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E5253">
        <w:rPr>
          <w:szCs w:val="24"/>
        </w:rPr>
        <w:t>1</w:t>
      </w:r>
      <w:r w:rsidR="000B3BBE">
        <w:rPr>
          <w:szCs w:val="24"/>
        </w:rPr>
        <w:t>9</w:t>
      </w:r>
      <w:r w:rsidR="00BE5253">
        <w:rPr>
          <w:szCs w:val="24"/>
        </w:rPr>
        <w:t>. marts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4A4C00" w:rsidP="009260DE">
      <w:pPr>
        <w:jc w:val="center"/>
        <w:rPr>
          <w:b/>
          <w:sz w:val="24"/>
          <w:szCs w:val="24"/>
        </w:rPr>
      </w:pPr>
      <w:proofErr w:type="spellStart"/>
      <w:r>
        <w:rPr>
          <w:b/>
          <w:sz w:val="24"/>
          <w:szCs w:val="24"/>
        </w:rPr>
        <w:t>Amzolynic</w:t>
      </w:r>
      <w:proofErr w:type="spellEnd"/>
      <w:r>
        <w:rPr>
          <w:b/>
          <w:sz w:val="24"/>
          <w:szCs w:val="24"/>
        </w:rPr>
        <w:t xml:space="preserve">, pulver til </w:t>
      </w:r>
      <w:r w:rsidR="00816AEF">
        <w:rPr>
          <w:b/>
          <w:sz w:val="24"/>
          <w:szCs w:val="24"/>
        </w:rPr>
        <w:t xml:space="preserve">koncentrat til </w:t>
      </w:r>
      <w:r>
        <w:rPr>
          <w:b/>
          <w:sz w:val="24"/>
          <w:szCs w:val="24"/>
        </w:rPr>
        <w:t>infusionsvæske</w:t>
      </w:r>
      <w:r w:rsidR="009A37FD">
        <w:rPr>
          <w:b/>
          <w:sz w:val="24"/>
          <w:szCs w:val="24"/>
        </w:rPr>
        <w:t>,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968BC" w:rsidP="009260DE">
      <w:pPr>
        <w:tabs>
          <w:tab w:val="left" w:pos="851"/>
        </w:tabs>
        <w:ind w:left="851"/>
        <w:rPr>
          <w:sz w:val="24"/>
          <w:szCs w:val="24"/>
        </w:rPr>
      </w:pPr>
      <w:r>
        <w:rPr>
          <w:sz w:val="24"/>
          <w:szCs w:val="24"/>
        </w:rPr>
        <w:t>32448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8968BC" w:rsidP="009260DE">
      <w:pPr>
        <w:tabs>
          <w:tab w:val="left" w:pos="851"/>
        </w:tabs>
        <w:ind w:left="851"/>
        <w:rPr>
          <w:sz w:val="24"/>
          <w:szCs w:val="24"/>
        </w:rPr>
      </w:pPr>
      <w:proofErr w:type="spellStart"/>
      <w:r>
        <w:rPr>
          <w:sz w:val="24"/>
          <w:szCs w:val="24"/>
        </w:rPr>
        <w:t>Amzolynic</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611FE" w:rsidRPr="002611FE" w:rsidRDefault="002611FE" w:rsidP="002611FE">
      <w:pPr>
        <w:tabs>
          <w:tab w:val="left" w:pos="851"/>
        </w:tabs>
        <w:ind w:left="851"/>
        <w:rPr>
          <w:sz w:val="24"/>
          <w:szCs w:val="24"/>
        </w:rPr>
      </w:pPr>
      <w:r w:rsidRPr="002611FE">
        <w:rPr>
          <w:sz w:val="24"/>
          <w:szCs w:val="24"/>
        </w:rPr>
        <w:t xml:space="preserve">Hvert hætteglas indeholder </w:t>
      </w:r>
      <w:proofErr w:type="spellStart"/>
      <w:r w:rsidRPr="002611FE">
        <w:rPr>
          <w:sz w:val="24"/>
          <w:szCs w:val="24"/>
        </w:rPr>
        <w:t>azithromycindihydrat</w:t>
      </w:r>
      <w:proofErr w:type="spellEnd"/>
      <w:r w:rsidRPr="002611FE">
        <w:rPr>
          <w:sz w:val="24"/>
          <w:szCs w:val="24"/>
        </w:rPr>
        <w:t xml:space="preserve"> svarende til 500 mg </w:t>
      </w:r>
      <w:proofErr w:type="spellStart"/>
      <w:r w:rsidRPr="002611FE">
        <w:rPr>
          <w:sz w:val="24"/>
          <w:szCs w:val="24"/>
        </w:rPr>
        <w:t>azithromycin</w:t>
      </w:r>
      <w:proofErr w:type="spellEnd"/>
      <w:r w:rsidRPr="002611FE">
        <w:rPr>
          <w:sz w:val="24"/>
          <w:szCs w:val="24"/>
        </w:rPr>
        <w:t xml:space="preserve">, resulterende i en koncentration på 100 mg/ml opløsning efter </w:t>
      </w:r>
      <w:proofErr w:type="spellStart"/>
      <w:r w:rsidRPr="002611FE">
        <w:rPr>
          <w:sz w:val="24"/>
          <w:szCs w:val="24"/>
        </w:rPr>
        <w:t>rekonstitution</w:t>
      </w:r>
      <w:proofErr w:type="spellEnd"/>
      <w:r w:rsidRPr="002611FE">
        <w:rPr>
          <w:sz w:val="24"/>
          <w:szCs w:val="24"/>
        </w:rPr>
        <w:t>.</w:t>
      </w:r>
    </w:p>
    <w:p w:rsidR="002611FE" w:rsidRPr="002611FE" w:rsidRDefault="002611FE" w:rsidP="002611FE">
      <w:pPr>
        <w:tabs>
          <w:tab w:val="left" w:pos="851"/>
        </w:tabs>
        <w:ind w:left="851"/>
        <w:rPr>
          <w:sz w:val="24"/>
          <w:szCs w:val="24"/>
        </w:rPr>
      </w:pPr>
    </w:p>
    <w:p w:rsidR="00B67126" w:rsidRPr="00B67126" w:rsidRDefault="002611FE" w:rsidP="002611FE">
      <w:pPr>
        <w:tabs>
          <w:tab w:val="left" w:pos="851"/>
        </w:tabs>
        <w:ind w:left="851"/>
        <w:rPr>
          <w:sz w:val="24"/>
          <w:szCs w:val="24"/>
          <w:u w:val="single"/>
        </w:rPr>
      </w:pPr>
      <w:r w:rsidRPr="00B67126">
        <w:rPr>
          <w:sz w:val="24"/>
          <w:szCs w:val="24"/>
          <w:u w:val="single"/>
        </w:rPr>
        <w:t>Hjælpestof, som behandleren skal være opmærksom på</w:t>
      </w:r>
    </w:p>
    <w:p w:rsidR="002611FE" w:rsidRPr="002611FE" w:rsidRDefault="002611FE" w:rsidP="002611FE">
      <w:pPr>
        <w:tabs>
          <w:tab w:val="left" w:pos="851"/>
        </w:tabs>
        <w:ind w:left="851"/>
        <w:rPr>
          <w:sz w:val="24"/>
          <w:szCs w:val="24"/>
        </w:rPr>
      </w:pPr>
      <w:r w:rsidRPr="002611FE">
        <w:rPr>
          <w:sz w:val="24"/>
          <w:szCs w:val="24"/>
        </w:rPr>
        <w:t>Hvert hætteglas indeholder 114 mg (4,96 mmol) natrium som en bestanddel af hjælpestofferne.</w:t>
      </w:r>
    </w:p>
    <w:p w:rsidR="002611FE" w:rsidRPr="002611FE" w:rsidRDefault="002611FE" w:rsidP="002611FE">
      <w:pPr>
        <w:tabs>
          <w:tab w:val="left" w:pos="851"/>
        </w:tabs>
        <w:ind w:left="851"/>
        <w:rPr>
          <w:sz w:val="24"/>
          <w:szCs w:val="24"/>
        </w:rPr>
      </w:pPr>
    </w:p>
    <w:p w:rsidR="002611FE" w:rsidRPr="002611FE" w:rsidRDefault="002611FE" w:rsidP="002611FE">
      <w:pPr>
        <w:tabs>
          <w:tab w:val="left" w:pos="851"/>
        </w:tabs>
        <w:ind w:left="851"/>
        <w:rPr>
          <w:sz w:val="24"/>
          <w:szCs w:val="24"/>
        </w:rPr>
      </w:pPr>
      <w:r w:rsidRPr="002611FE">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2469E" w:rsidRPr="00B2469E" w:rsidRDefault="00B2469E" w:rsidP="00B2469E">
      <w:pPr>
        <w:tabs>
          <w:tab w:val="left" w:pos="851"/>
        </w:tabs>
        <w:ind w:left="851"/>
        <w:rPr>
          <w:sz w:val="24"/>
          <w:szCs w:val="24"/>
        </w:rPr>
      </w:pPr>
      <w:r w:rsidRPr="00B2469E">
        <w:rPr>
          <w:sz w:val="24"/>
          <w:szCs w:val="24"/>
        </w:rPr>
        <w:t>Pulver til koncentrat til infusionsvæske, opløsning</w:t>
      </w:r>
    </w:p>
    <w:p w:rsidR="00B2469E" w:rsidRPr="00B2469E" w:rsidRDefault="00B2469E" w:rsidP="00B2469E">
      <w:pPr>
        <w:tabs>
          <w:tab w:val="left" w:pos="851"/>
        </w:tabs>
        <w:ind w:left="851"/>
        <w:rPr>
          <w:sz w:val="24"/>
          <w:szCs w:val="24"/>
        </w:rPr>
      </w:pPr>
    </w:p>
    <w:p w:rsidR="00B2469E" w:rsidRPr="00B2469E" w:rsidRDefault="00B2469E" w:rsidP="00B2469E">
      <w:pPr>
        <w:tabs>
          <w:tab w:val="left" w:pos="851"/>
        </w:tabs>
        <w:ind w:left="851"/>
        <w:rPr>
          <w:sz w:val="24"/>
          <w:szCs w:val="24"/>
        </w:rPr>
      </w:pPr>
      <w:r w:rsidRPr="00B2469E">
        <w:rPr>
          <w:sz w:val="24"/>
          <w:szCs w:val="24"/>
        </w:rPr>
        <w:t>Hvidt til offwhite pulver.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779E3" w:rsidRPr="000779E3" w:rsidRDefault="000779E3" w:rsidP="000779E3">
      <w:pPr>
        <w:tabs>
          <w:tab w:val="left" w:pos="851"/>
        </w:tabs>
        <w:ind w:left="851"/>
        <w:rPr>
          <w:sz w:val="24"/>
          <w:szCs w:val="24"/>
        </w:rPr>
      </w:pPr>
      <w:proofErr w:type="spellStart"/>
      <w:r w:rsidRPr="000779E3">
        <w:rPr>
          <w:sz w:val="24"/>
          <w:szCs w:val="24"/>
        </w:rPr>
        <w:t>Amzolynic</w:t>
      </w:r>
      <w:proofErr w:type="spellEnd"/>
      <w:r w:rsidRPr="000779E3">
        <w:rPr>
          <w:sz w:val="24"/>
          <w:szCs w:val="24"/>
        </w:rPr>
        <w:t xml:space="preserve"> er indiceret til intravenøs behandling af lungebetændelse opstået uden for hospitalsregi (CAP), og som er forårsaget af </w:t>
      </w:r>
      <w:proofErr w:type="spellStart"/>
      <w:r w:rsidRPr="000779E3">
        <w:rPr>
          <w:sz w:val="24"/>
          <w:szCs w:val="24"/>
        </w:rPr>
        <w:t>azithromycinfølsomme</w:t>
      </w:r>
      <w:proofErr w:type="spellEnd"/>
      <w:r w:rsidRPr="000779E3">
        <w:rPr>
          <w:sz w:val="24"/>
          <w:szCs w:val="24"/>
        </w:rPr>
        <w:t xml:space="preserve"> mikroorganismer, inklusive </w:t>
      </w:r>
      <w:r w:rsidRPr="000779E3">
        <w:rPr>
          <w:i/>
          <w:iCs/>
          <w:sz w:val="24"/>
          <w:szCs w:val="24"/>
        </w:rPr>
        <w:t xml:space="preserve">Legionella </w:t>
      </w:r>
      <w:proofErr w:type="spellStart"/>
      <w:r w:rsidRPr="000779E3">
        <w:rPr>
          <w:i/>
          <w:iCs/>
          <w:sz w:val="24"/>
          <w:szCs w:val="24"/>
        </w:rPr>
        <w:t>pneumophila</w:t>
      </w:r>
      <w:proofErr w:type="spellEnd"/>
      <w:r w:rsidRPr="000779E3">
        <w:rPr>
          <w:sz w:val="24"/>
          <w:szCs w:val="24"/>
        </w:rPr>
        <w:t>.</w:t>
      </w:r>
    </w:p>
    <w:p w:rsidR="000779E3" w:rsidRPr="000779E3" w:rsidRDefault="000779E3" w:rsidP="000779E3">
      <w:pPr>
        <w:tabs>
          <w:tab w:val="left" w:pos="851"/>
        </w:tabs>
        <w:ind w:left="851"/>
        <w:rPr>
          <w:sz w:val="24"/>
          <w:szCs w:val="24"/>
        </w:rPr>
      </w:pPr>
      <w:r w:rsidRPr="000779E3">
        <w:rPr>
          <w:sz w:val="24"/>
          <w:szCs w:val="24"/>
        </w:rPr>
        <w:t xml:space="preserve"> </w:t>
      </w:r>
    </w:p>
    <w:p w:rsidR="000779E3" w:rsidRPr="000779E3" w:rsidRDefault="000779E3" w:rsidP="000779E3">
      <w:pPr>
        <w:tabs>
          <w:tab w:val="left" w:pos="851"/>
        </w:tabs>
        <w:ind w:left="851"/>
        <w:rPr>
          <w:sz w:val="24"/>
          <w:szCs w:val="24"/>
        </w:rPr>
      </w:pPr>
      <w:proofErr w:type="spellStart"/>
      <w:r w:rsidRPr="000779E3">
        <w:rPr>
          <w:sz w:val="24"/>
          <w:szCs w:val="24"/>
        </w:rPr>
        <w:t>Amzolynic</w:t>
      </w:r>
      <w:proofErr w:type="spellEnd"/>
      <w:r w:rsidRPr="000779E3">
        <w:rPr>
          <w:sz w:val="24"/>
          <w:szCs w:val="24"/>
        </w:rPr>
        <w:t xml:space="preserve"> er indiceret til behandling</w:t>
      </w:r>
      <w:r w:rsidRPr="000779E3">
        <w:rPr>
          <w:i/>
          <w:sz w:val="24"/>
          <w:szCs w:val="24"/>
        </w:rPr>
        <w:t xml:space="preserve"> </w:t>
      </w:r>
      <w:r w:rsidRPr="000779E3">
        <w:rPr>
          <w:sz w:val="24"/>
          <w:szCs w:val="24"/>
        </w:rPr>
        <w:t xml:space="preserve">af underlivsinfektioner (PID) forårsaget af </w:t>
      </w:r>
      <w:proofErr w:type="spellStart"/>
      <w:r w:rsidRPr="000779E3">
        <w:rPr>
          <w:sz w:val="24"/>
          <w:szCs w:val="24"/>
        </w:rPr>
        <w:t>azithromycinfølsomme</w:t>
      </w:r>
      <w:proofErr w:type="spellEnd"/>
      <w:r w:rsidRPr="000779E3">
        <w:rPr>
          <w:sz w:val="24"/>
          <w:szCs w:val="24"/>
        </w:rPr>
        <w:t xml:space="preserve"> mikroorganismer.</w:t>
      </w:r>
    </w:p>
    <w:p w:rsidR="000779E3" w:rsidRPr="000779E3" w:rsidRDefault="000779E3" w:rsidP="000779E3">
      <w:pPr>
        <w:tabs>
          <w:tab w:val="left" w:pos="851"/>
        </w:tabs>
        <w:ind w:left="851"/>
        <w:rPr>
          <w:sz w:val="24"/>
          <w:szCs w:val="24"/>
        </w:rPr>
      </w:pPr>
    </w:p>
    <w:p w:rsidR="000779E3" w:rsidRPr="000779E3" w:rsidRDefault="000779E3" w:rsidP="000779E3">
      <w:pPr>
        <w:tabs>
          <w:tab w:val="left" w:pos="851"/>
        </w:tabs>
        <w:ind w:left="851"/>
        <w:rPr>
          <w:sz w:val="24"/>
          <w:szCs w:val="24"/>
        </w:rPr>
      </w:pPr>
      <w:r w:rsidRPr="000779E3">
        <w:rPr>
          <w:sz w:val="24"/>
          <w:szCs w:val="24"/>
        </w:rPr>
        <w:t>Der skal tages højde for officielle retningslinjer om korrekt brug af antibakterielle stoffer.</w:t>
      </w:r>
      <w:r w:rsidRPr="000779E3">
        <w:rPr>
          <w:b/>
          <w:sz w:val="24"/>
          <w:szCs w:val="24"/>
        </w:rPr>
        <w:t xml:space="preserve"> </w:t>
      </w:r>
      <w:r w:rsidRPr="000779E3">
        <w:rPr>
          <w:b/>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981843" w:rsidRPr="00BA4587">
        <w:rPr>
          <w:b/>
          <w:sz w:val="24"/>
          <w:szCs w:val="24"/>
        </w:rPr>
        <w:t>Dosering og administration</w:t>
      </w:r>
      <w:bookmarkEnd w:id="0"/>
    </w:p>
    <w:p w:rsidR="005A30CE" w:rsidRPr="005A30CE" w:rsidRDefault="005A30CE" w:rsidP="005A30CE">
      <w:pPr>
        <w:tabs>
          <w:tab w:val="left" w:pos="851"/>
        </w:tabs>
        <w:ind w:left="851"/>
        <w:rPr>
          <w:i/>
          <w:sz w:val="24"/>
          <w:szCs w:val="24"/>
        </w:rPr>
      </w:pPr>
    </w:p>
    <w:p w:rsidR="005A30CE" w:rsidRPr="005A30CE" w:rsidRDefault="005A30CE" w:rsidP="005A30CE">
      <w:pPr>
        <w:tabs>
          <w:tab w:val="left" w:pos="851"/>
        </w:tabs>
        <w:ind w:left="851"/>
        <w:rPr>
          <w:iCs/>
          <w:sz w:val="24"/>
          <w:szCs w:val="24"/>
          <w:u w:val="single"/>
        </w:rPr>
      </w:pPr>
      <w:r w:rsidRPr="005A30CE">
        <w:rPr>
          <w:iCs/>
          <w:sz w:val="24"/>
          <w:szCs w:val="24"/>
          <w:u w:val="single"/>
        </w:rPr>
        <w:t>Dosering</w:t>
      </w:r>
    </w:p>
    <w:p w:rsidR="005A30CE" w:rsidRPr="005A30CE" w:rsidRDefault="005A30CE" w:rsidP="005A30CE">
      <w:pPr>
        <w:tabs>
          <w:tab w:val="left" w:pos="851"/>
        </w:tabs>
        <w:ind w:left="851"/>
        <w:rPr>
          <w:i/>
          <w:sz w:val="24"/>
          <w:szCs w:val="24"/>
        </w:rPr>
      </w:pPr>
    </w:p>
    <w:p w:rsidR="005A30CE" w:rsidRPr="005A30CE" w:rsidRDefault="005A30CE" w:rsidP="005A30CE">
      <w:pPr>
        <w:tabs>
          <w:tab w:val="left" w:pos="851"/>
        </w:tabs>
        <w:ind w:left="851"/>
        <w:rPr>
          <w:i/>
          <w:sz w:val="24"/>
          <w:szCs w:val="24"/>
        </w:rPr>
      </w:pPr>
      <w:r w:rsidRPr="005A30CE">
        <w:rPr>
          <w:i/>
          <w:sz w:val="24"/>
          <w:szCs w:val="24"/>
        </w:rPr>
        <w:t>Lungebetændelse hos voksne</w:t>
      </w:r>
    </w:p>
    <w:p w:rsidR="005A30CE" w:rsidRPr="005A30CE" w:rsidRDefault="005A30CE" w:rsidP="005A30CE">
      <w:pPr>
        <w:tabs>
          <w:tab w:val="left" w:pos="851"/>
        </w:tabs>
        <w:ind w:left="851"/>
        <w:rPr>
          <w:sz w:val="24"/>
          <w:szCs w:val="24"/>
        </w:rPr>
      </w:pPr>
      <w:r w:rsidRPr="005A30CE">
        <w:rPr>
          <w:sz w:val="24"/>
          <w:szCs w:val="24"/>
        </w:rPr>
        <w:t xml:space="preserve">Den anbefalede dosis til behandling af voksne med lungebetændelse er 500 mg givet intravenøst som en enkelt daglig dosis i mindst to på hinanden følgende dage. Intravenøs behandling skal efterfølges af 500 mg </w:t>
      </w:r>
      <w:proofErr w:type="spellStart"/>
      <w:r w:rsidRPr="005A30CE">
        <w:rPr>
          <w:sz w:val="24"/>
          <w:szCs w:val="24"/>
        </w:rPr>
        <w:t>azithromycin</w:t>
      </w:r>
      <w:proofErr w:type="spellEnd"/>
      <w:r w:rsidRPr="005A30CE">
        <w:rPr>
          <w:sz w:val="24"/>
          <w:szCs w:val="24"/>
        </w:rPr>
        <w:t xml:space="preserve"> indgivet oralt en gang </w:t>
      </w:r>
      <w:r w:rsidR="003B0298">
        <w:rPr>
          <w:sz w:val="24"/>
          <w:szCs w:val="24"/>
        </w:rPr>
        <w:t>daglig</w:t>
      </w:r>
      <w:r w:rsidRPr="005A30CE">
        <w:rPr>
          <w:sz w:val="24"/>
          <w:szCs w:val="24"/>
        </w:rPr>
        <w:t xml:space="preserve"> for at fuldende en 7-10 dages behandlingskur. Tidspunktet for start af oral behandling afgøres af lægen og i overensstemmelse med klinisk respons.</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i/>
          <w:sz w:val="24"/>
          <w:szCs w:val="24"/>
        </w:rPr>
      </w:pPr>
      <w:r w:rsidRPr="005A30CE">
        <w:rPr>
          <w:i/>
          <w:sz w:val="24"/>
          <w:szCs w:val="24"/>
        </w:rPr>
        <w:t xml:space="preserve">Underlivsinfektioner </w:t>
      </w:r>
    </w:p>
    <w:p w:rsidR="005A30CE" w:rsidRPr="005A30CE" w:rsidRDefault="005A30CE" w:rsidP="005A30CE">
      <w:pPr>
        <w:tabs>
          <w:tab w:val="left" w:pos="851"/>
        </w:tabs>
        <w:ind w:left="851"/>
        <w:rPr>
          <w:sz w:val="24"/>
          <w:szCs w:val="24"/>
        </w:rPr>
      </w:pPr>
      <w:r w:rsidRPr="005A30CE">
        <w:rPr>
          <w:sz w:val="24"/>
          <w:szCs w:val="24"/>
        </w:rPr>
        <w:t xml:space="preserve">Den anbefalede dosis til behandling af voksne med underlivsinfektion er 500 mg givet intravenøst en gang </w:t>
      </w:r>
      <w:r w:rsidR="003B0298">
        <w:rPr>
          <w:sz w:val="24"/>
          <w:szCs w:val="24"/>
        </w:rPr>
        <w:t>daglig</w:t>
      </w:r>
      <w:r w:rsidRPr="005A30CE">
        <w:rPr>
          <w:sz w:val="24"/>
          <w:szCs w:val="24"/>
        </w:rPr>
        <w:t xml:space="preserve"> i 1-2 dage. Intravenøs behandling skal efterfølges af 250 mg </w:t>
      </w:r>
      <w:proofErr w:type="spellStart"/>
      <w:r w:rsidRPr="005A30CE">
        <w:rPr>
          <w:sz w:val="24"/>
          <w:szCs w:val="24"/>
        </w:rPr>
        <w:t>azithromycin</w:t>
      </w:r>
      <w:proofErr w:type="spellEnd"/>
      <w:r w:rsidRPr="005A30CE">
        <w:rPr>
          <w:sz w:val="24"/>
          <w:szCs w:val="24"/>
        </w:rPr>
        <w:t xml:space="preserve"> en gang </w:t>
      </w:r>
      <w:r w:rsidR="003B0298">
        <w:rPr>
          <w:sz w:val="24"/>
          <w:szCs w:val="24"/>
        </w:rPr>
        <w:t>daglig</w:t>
      </w:r>
      <w:r w:rsidRPr="005A30CE">
        <w:rPr>
          <w:sz w:val="24"/>
          <w:szCs w:val="24"/>
        </w:rPr>
        <w:t xml:space="preserve"> for at fuldende en 7 dages behandlingskur. Tidspunktet for start af oral behandling afgøres af lægen og i overensstemmelse med klinisk respons.</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sz w:val="24"/>
          <w:szCs w:val="24"/>
        </w:rPr>
      </w:pPr>
      <w:r w:rsidRPr="005A30CE">
        <w:rPr>
          <w:i/>
          <w:sz w:val="24"/>
          <w:szCs w:val="24"/>
        </w:rPr>
        <w:t>Ældre</w:t>
      </w:r>
    </w:p>
    <w:p w:rsidR="005A30CE" w:rsidRPr="005A30CE" w:rsidRDefault="005A30CE" w:rsidP="005A30CE">
      <w:pPr>
        <w:tabs>
          <w:tab w:val="left" w:pos="851"/>
        </w:tabs>
        <w:ind w:left="851"/>
        <w:rPr>
          <w:sz w:val="24"/>
          <w:szCs w:val="24"/>
        </w:rPr>
      </w:pPr>
      <w:r w:rsidRPr="005A30CE">
        <w:rPr>
          <w:sz w:val="24"/>
          <w:szCs w:val="24"/>
        </w:rPr>
        <w:t>Dosisjustering er ikke nødvendig. Den anbefalede dosis til voksne kan også anvendes til ældre.</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sz w:val="24"/>
          <w:szCs w:val="24"/>
        </w:rPr>
      </w:pPr>
      <w:r w:rsidRPr="005A30CE">
        <w:rPr>
          <w:sz w:val="24"/>
          <w:szCs w:val="24"/>
        </w:rPr>
        <w:t xml:space="preserve">Da ældre patienter kan have eksisterende </w:t>
      </w:r>
      <w:proofErr w:type="spellStart"/>
      <w:r w:rsidRPr="005A30CE">
        <w:rPr>
          <w:sz w:val="24"/>
          <w:szCs w:val="24"/>
        </w:rPr>
        <w:t>proarytmiske</w:t>
      </w:r>
      <w:proofErr w:type="spellEnd"/>
      <w:r w:rsidRPr="005A30CE">
        <w:rPr>
          <w:sz w:val="24"/>
          <w:szCs w:val="24"/>
        </w:rPr>
        <w:t xml:space="preserve"> lidelser, bør der udvises særlig forsigtighed pga. risiko for at udvikle </w:t>
      </w:r>
      <w:proofErr w:type="spellStart"/>
      <w:r w:rsidRPr="005A30CE">
        <w:rPr>
          <w:sz w:val="24"/>
          <w:szCs w:val="24"/>
        </w:rPr>
        <w:t>arytmier</w:t>
      </w:r>
      <w:proofErr w:type="spellEnd"/>
      <w:r w:rsidRPr="005A30CE">
        <w:rPr>
          <w:sz w:val="24"/>
          <w:szCs w:val="24"/>
        </w:rPr>
        <w:t xml:space="preserve"> og </w:t>
      </w:r>
      <w:proofErr w:type="spellStart"/>
      <w:r w:rsidRPr="005A30CE">
        <w:rPr>
          <w:sz w:val="24"/>
          <w:szCs w:val="24"/>
        </w:rPr>
        <w:t>torsade</w:t>
      </w:r>
      <w:proofErr w:type="spellEnd"/>
      <w:r w:rsidRPr="005A30CE">
        <w:rPr>
          <w:sz w:val="24"/>
          <w:szCs w:val="24"/>
        </w:rPr>
        <w:t xml:space="preserve"> de pointes (se pkt. 4.4).</w:t>
      </w:r>
    </w:p>
    <w:p w:rsidR="005A30CE" w:rsidRPr="005A30CE" w:rsidRDefault="005A30CE" w:rsidP="005A30CE">
      <w:pPr>
        <w:tabs>
          <w:tab w:val="left" w:pos="851"/>
        </w:tabs>
        <w:ind w:left="851"/>
        <w:rPr>
          <w:sz w:val="24"/>
          <w:szCs w:val="24"/>
        </w:rPr>
      </w:pPr>
    </w:p>
    <w:p w:rsidR="00BE5253" w:rsidRPr="005A30CE" w:rsidRDefault="00BE5253" w:rsidP="00BE5253">
      <w:pPr>
        <w:tabs>
          <w:tab w:val="left" w:pos="851"/>
        </w:tabs>
        <w:ind w:left="851"/>
        <w:rPr>
          <w:i/>
          <w:sz w:val="24"/>
          <w:szCs w:val="24"/>
        </w:rPr>
      </w:pPr>
      <w:r w:rsidRPr="005A30CE">
        <w:rPr>
          <w:i/>
          <w:sz w:val="24"/>
          <w:szCs w:val="24"/>
        </w:rPr>
        <w:t xml:space="preserve">Nedsat nyrefunktion </w:t>
      </w:r>
    </w:p>
    <w:p w:rsidR="00BE5253" w:rsidRPr="005A30CE" w:rsidRDefault="00BE5253" w:rsidP="00BE5253">
      <w:pPr>
        <w:tabs>
          <w:tab w:val="left" w:pos="851"/>
        </w:tabs>
        <w:ind w:left="851"/>
        <w:rPr>
          <w:sz w:val="24"/>
          <w:szCs w:val="24"/>
        </w:rPr>
      </w:pPr>
      <w:r w:rsidRPr="005A30CE">
        <w:rPr>
          <w:sz w:val="24"/>
          <w:szCs w:val="24"/>
        </w:rPr>
        <w:t xml:space="preserve">Dosisjustering er ikke nødvendig hos patienter med </w:t>
      </w:r>
      <w:proofErr w:type="spellStart"/>
      <w:r>
        <w:rPr>
          <w:sz w:val="24"/>
          <w:szCs w:val="24"/>
        </w:rPr>
        <w:t>glomerulær</w:t>
      </w:r>
      <w:proofErr w:type="spellEnd"/>
      <w:r>
        <w:rPr>
          <w:sz w:val="24"/>
          <w:szCs w:val="24"/>
        </w:rPr>
        <w:t xml:space="preserve"> filtrationshastighed</w:t>
      </w:r>
      <w:r w:rsidRPr="005A30CE">
        <w:rPr>
          <w:sz w:val="24"/>
          <w:szCs w:val="24"/>
        </w:rPr>
        <w:t xml:space="preserve"> (GFR</w:t>
      </w:r>
      <w:r>
        <w:rPr>
          <w:sz w:val="24"/>
          <w:szCs w:val="24"/>
        </w:rPr>
        <w:t>)</w:t>
      </w:r>
      <w:r w:rsidRPr="005A30CE">
        <w:rPr>
          <w:sz w:val="24"/>
          <w:szCs w:val="24"/>
        </w:rPr>
        <w:t xml:space="preserve"> 10-80 ml/min. Forsigtighed tilrådes, når </w:t>
      </w:r>
      <w:proofErr w:type="spellStart"/>
      <w:r w:rsidRPr="005A30CE">
        <w:rPr>
          <w:sz w:val="24"/>
          <w:szCs w:val="24"/>
        </w:rPr>
        <w:t>azithromycin</w:t>
      </w:r>
      <w:proofErr w:type="spellEnd"/>
      <w:r w:rsidRPr="005A30CE">
        <w:rPr>
          <w:sz w:val="24"/>
          <w:szCs w:val="24"/>
        </w:rPr>
        <w:t xml:space="preserve"> gives til patienter med GFR &lt;10 ml/min (se pkt. 4.4 og pkt. 5.2).</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sz w:val="24"/>
          <w:szCs w:val="24"/>
        </w:rPr>
      </w:pPr>
      <w:r w:rsidRPr="005A30CE">
        <w:rPr>
          <w:i/>
          <w:sz w:val="24"/>
          <w:szCs w:val="24"/>
        </w:rPr>
        <w:t>Nedsat leverfunktion</w:t>
      </w:r>
      <w:r w:rsidRPr="005A30CE">
        <w:rPr>
          <w:sz w:val="24"/>
          <w:szCs w:val="24"/>
        </w:rPr>
        <w:t xml:space="preserve"> </w:t>
      </w:r>
    </w:p>
    <w:p w:rsidR="005A30CE" w:rsidRPr="005A30CE" w:rsidRDefault="005A30CE" w:rsidP="005A30CE">
      <w:pPr>
        <w:tabs>
          <w:tab w:val="left" w:pos="851"/>
        </w:tabs>
        <w:ind w:left="851"/>
        <w:rPr>
          <w:sz w:val="24"/>
          <w:szCs w:val="24"/>
        </w:rPr>
      </w:pPr>
      <w:r w:rsidRPr="005A30CE">
        <w:rPr>
          <w:sz w:val="24"/>
          <w:szCs w:val="24"/>
        </w:rPr>
        <w:t xml:space="preserve">Dosisjustering er ikke nødvendig hos patienter med mild til moderat nedsat leverfunktion (se pkt. 4.4). </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i/>
          <w:sz w:val="24"/>
          <w:szCs w:val="24"/>
        </w:rPr>
      </w:pPr>
      <w:r w:rsidRPr="005A30CE">
        <w:rPr>
          <w:i/>
          <w:sz w:val="24"/>
          <w:szCs w:val="24"/>
        </w:rPr>
        <w:t>Børn</w:t>
      </w:r>
    </w:p>
    <w:p w:rsidR="005A30CE" w:rsidRPr="005A30CE" w:rsidRDefault="005A30CE" w:rsidP="005A30CE">
      <w:pPr>
        <w:tabs>
          <w:tab w:val="left" w:pos="851"/>
        </w:tabs>
        <w:ind w:left="851"/>
        <w:rPr>
          <w:sz w:val="24"/>
          <w:szCs w:val="24"/>
        </w:rPr>
      </w:pPr>
      <w:r w:rsidRPr="005A30CE">
        <w:rPr>
          <w:sz w:val="24"/>
          <w:szCs w:val="24"/>
        </w:rPr>
        <w:t xml:space="preserve">Sikkerheden ved og virkningen af intravenøs </w:t>
      </w:r>
      <w:proofErr w:type="spellStart"/>
      <w:r w:rsidRPr="005A30CE">
        <w:rPr>
          <w:sz w:val="24"/>
          <w:szCs w:val="24"/>
        </w:rPr>
        <w:t>azithromycin</w:t>
      </w:r>
      <w:proofErr w:type="spellEnd"/>
      <w:r w:rsidRPr="005A30CE">
        <w:rPr>
          <w:sz w:val="24"/>
          <w:szCs w:val="24"/>
        </w:rPr>
        <w:t xml:space="preserve"> til behandling af infektioner hos børn er ikke fastslået.</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iCs/>
          <w:sz w:val="24"/>
          <w:szCs w:val="24"/>
          <w:u w:val="single"/>
        </w:rPr>
      </w:pPr>
      <w:r w:rsidRPr="005A30CE">
        <w:rPr>
          <w:iCs/>
          <w:sz w:val="24"/>
          <w:szCs w:val="24"/>
          <w:u w:val="single"/>
        </w:rPr>
        <w:t>Administration</w:t>
      </w:r>
    </w:p>
    <w:p w:rsidR="005A30CE" w:rsidRPr="005A30CE" w:rsidRDefault="005A30CE" w:rsidP="005A30CE">
      <w:pPr>
        <w:tabs>
          <w:tab w:val="left" w:pos="851"/>
        </w:tabs>
        <w:ind w:left="851"/>
        <w:rPr>
          <w:sz w:val="24"/>
          <w:szCs w:val="24"/>
        </w:rPr>
      </w:pPr>
      <w:r w:rsidRPr="005A30CE">
        <w:rPr>
          <w:sz w:val="24"/>
          <w:szCs w:val="24"/>
        </w:rPr>
        <w:t xml:space="preserve">Intravenøs infusion (efter </w:t>
      </w:r>
      <w:proofErr w:type="spellStart"/>
      <w:r w:rsidRPr="005A30CE">
        <w:rPr>
          <w:sz w:val="24"/>
          <w:szCs w:val="24"/>
        </w:rPr>
        <w:t>rekonstitution</w:t>
      </w:r>
      <w:proofErr w:type="spellEnd"/>
      <w:r w:rsidRPr="005A30CE">
        <w:rPr>
          <w:sz w:val="24"/>
          <w:szCs w:val="24"/>
        </w:rPr>
        <w:t xml:space="preserve"> og fortynding) over en periode på mindst 60 minutter.</w:t>
      </w:r>
    </w:p>
    <w:p w:rsidR="005A30CE" w:rsidRPr="005A30CE" w:rsidRDefault="005A30CE" w:rsidP="005A30CE">
      <w:pPr>
        <w:tabs>
          <w:tab w:val="left" w:pos="851"/>
        </w:tabs>
        <w:ind w:left="851"/>
        <w:rPr>
          <w:sz w:val="24"/>
          <w:szCs w:val="24"/>
        </w:rPr>
      </w:pPr>
      <w:r w:rsidRPr="005A30CE">
        <w:rPr>
          <w:sz w:val="24"/>
          <w:szCs w:val="24"/>
        </w:rPr>
        <w:t xml:space="preserve">Opløsningen må ikke indgives som </w:t>
      </w:r>
      <w:proofErr w:type="spellStart"/>
      <w:r w:rsidRPr="005A30CE">
        <w:rPr>
          <w:sz w:val="24"/>
          <w:szCs w:val="24"/>
        </w:rPr>
        <w:t>bolus</w:t>
      </w:r>
      <w:proofErr w:type="spellEnd"/>
      <w:r w:rsidRPr="005A30CE">
        <w:rPr>
          <w:sz w:val="24"/>
          <w:szCs w:val="24"/>
        </w:rPr>
        <w:t xml:space="preserve"> eller intramuskulær injektion (se pkt. 4.4). </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sz w:val="24"/>
          <w:szCs w:val="24"/>
        </w:rPr>
      </w:pPr>
      <w:r w:rsidRPr="005A30CE">
        <w:rPr>
          <w:sz w:val="24"/>
          <w:szCs w:val="24"/>
        </w:rPr>
        <w:t xml:space="preserve">Koncentrationen og infusionshastigheden for </w:t>
      </w:r>
      <w:proofErr w:type="spellStart"/>
      <w:r w:rsidRPr="005A30CE">
        <w:rPr>
          <w:sz w:val="24"/>
          <w:szCs w:val="24"/>
        </w:rPr>
        <w:t>azithromycin</w:t>
      </w:r>
      <w:proofErr w:type="spellEnd"/>
      <w:r w:rsidRPr="005A30CE">
        <w:rPr>
          <w:sz w:val="24"/>
          <w:szCs w:val="24"/>
        </w:rPr>
        <w:t xml:space="preserve"> bør være enten 1 mg/ml over tre timer eller 2 mg/ml over en time.</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sz w:val="24"/>
          <w:szCs w:val="24"/>
        </w:rPr>
      </w:pPr>
      <w:r w:rsidRPr="005A30CE">
        <w:rPr>
          <w:sz w:val="24"/>
          <w:szCs w:val="24"/>
        </w:rPr>
        <w:t xml:space="preserve">For vejledning for </w:t>
      </w:r>
      <w:proofErr w:type="spellStart"/>
      <w:r w:rsidRPr="005A30CE">
        <w:rPr>
          <w:sz w:val="24"/>
          <w:szCs w:val="24"/>
        </w:rPr>
        <w:t>rekonstitution</w:t>
      </w:r>
      <w:proofErr w:type="spellEnd"/>
      <w:r w:rsidRPr="005A30CE">
        <w:rPr>
          <w:sz w:val="24"/>
          <w:szCs w:val="24"/>
        </w:rPr>
        <w:t xml:space="preserve"> og fortynding af lægemidlet før administration, se pkt. 6.6. </w:t>
      </w:r>
    </w:p>
    <w:p w:rsidR="005A30CE" w:rsidRDefault="005A30CE">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5A30CE" w:rsidRPr="005A30CE" w:rsidRDefault="005A30CE" w:rsidP="005A30CE">
      <w:pPr>
        <w:tabs>
          <w:tab w:val="left" w:pos="851"/>
        </w:tabs>
        <w:ind w:left="851"/>
        <w:rPr>
          <w:sz w:val="24"/>
          <w:szCs w:val="24"/>
        </w:rPr>
      </w:pPr>
      <w:r w:rsidRPr="005A30CE">
        <w:rPr>
          <w:sz w:val="24"/>
          <w:szCs w:val="24"/>
        </w:rPr>
        <w:t>Overfølsomhed over for det aktive stof (</w:t>
      </w:r>
      <w:proofErr w:type="spellStart"/>
      <w:r w:rsidRPr="005A30CE">
        <w:rPr>
          <w:sz w:val="24"/>
          <w:szCs w:val="24"/>
        </w:rPr>
        <w:t>azithromycin</w:t>
      </w:r>
      <w:proofErr w:type="spellEnd"/>
      <w:r w:rsidRPr="005A30CE">
        <w:rPr>
          <w:sz w:val="24"/>
          <w:szCs w:val="24"/>
        </w:rPr>
        <w:t xml:space="preserve">), andre </w:t>
      </w:r>
      <w:proofErr w:type="spellStart"/>
      <w:r w:rsidRPr="005A30CE">
        <w:rPr>
          <w:sz w:val="24"/>
          <w:szCs w:val="24"/>
        </w:rPr>
        <w:t>makrolidantibiotika</w:t>
      </w:r>
      <w:proofErr w:type="spellEnd"/>
      <w:r w:rsidRPr="005A30CE">
        <w:rPr>
          <w:sz w:val="24"/>
          <w:szCs w:val="24"/>
        </w:rPr>
        <w:t xml:space="preserve"> eller </w:t>
      </w:r>
      <w:proofErr w:type="spellStart"/>
      <w:r w:rsidRPr="005A30CE">
        <w:rPr>
          <w:sz w:val="24"/>
          <w:szCs w:val="24"/>
        </w:rPr>
        <w:t>ketolidantibiotika</w:t>
      </w:r>
      <w:proofErr w:type="spellEnd"/>
      <w:r w:rsidRPr="005A30CE">
        <w:rPr>
          <w:sz w:val="24"/>
          <w:szCs w:val="24"/>
        </w:rPr>
        <w:t>,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A30CE" w:rsidRPr="005A30CE" w:rsidRDefault="005A30CE" w:rsidP="005A30CE">
      <w:pPr>
        <w:tabs>
          <w:tab w:val="left" w:pos="851"/>
        </w:tabs>
        <w:ind w:left="851"/>
        <w:rPr>
          <w:sz w:val="24"/>
          <w:szCs w:val="24"/>
        </w:rPr>
      </w:pPr>
    </w:p>
    <w:p w:rsidR="005A30CE" w:rsidRPr="00F7226B" w:rsidRDefault="005A30CE" w:rsidP="005A30CE">
      <w:pPr>
        <w:tabs>
          <w:tab w:val="left" w:pos="851"/>
        </w:tabs>
        <w:ind w:left="851"/>
        <w:rPr>
          <w:iCs/>
          <w:sz w:val="24"/>
          <w:szCs w:val="24"/>
          <w:u w:val="single"/>
        </w:rPr>
      </w:pPr>
      <w:r w:rsidRPr="00F7226B">
        <w:rPr>
          <w:iCs/>
          <w:sz w:val="24"/>
          <w:szCs w:val="24"/>
          <w:u w:val="single"/>
        </w:rPr>
        <w:t>Allergiske reaktioner</w:t>
      </w:r>
    </w:p>
    <w:p w:rsidR="005A30CE" w:rsidRPr="005A30CE" w:rsidRDefault="005A30CE" w:rsidP="005A30CE">
      <w:pPr>
        <w:tabs>
          <w:tab w:val="left" w:pos="851"/>
        </w:tabs>
        <w:ind w:left="851"/>
        <w:rPr>
          <w:sz w:val="24"/>
          <w:szCs w:val="24"/>
        </w:rPr>
      </w:pPr>
      <w:r w:rsidRPr="005A30CE">
        <w:rPr>
          <w:sz w:val="24"/>
          <w:szCs w:val="24"/>
        </w:rPr>
        <w:t xml:space="preserve">Ligesom for </w:t>
      </w:r>
      <w:proofErr w:type="spellStart"/>
      <w:r w:rsidRPr="005A30CE">
        <w:rPr>
          <w:sz w:val="24"/>
          <w:szCs w:val="24"/>
        </w:rPr>
        <w:t>erythromycin</w:t>
      </w:r>
      <w:proofErr w:type="spellEnd"/>
      <w:r w:rsidRPr="005A30CE">
        <w:rPr>
          <w:sz w:val="24"/>
          <w:szCs w:val="24"/>
        </w:rPr>
        <w:t xml:space="preserve"> og andre </w:t>
      </w:r>
      <w:proofErr w:type="spellStart"/>
      <w:r w:rsidRPr="005A30CE">
        <w:rPr>
          <w:sz w:val="24"/>
          <w:szCs w:val="24"/>
        </w:rPr>
        <w:t>makrolidantibiotika</w:t>
      </w:r>
      <w:proofErr w:type="spellEnd"/>
      <w:r w:rsidRPr="005A30CE">
        <w:rPr>
          <w:sz w:val="24"/>
          <w:szCs w:val="24"/>
        </w:rPr>
        <w:t xml:space="preserve"> er der i sjældne tilfælde rapporteret om alvorlige allergiske reaktioner inkl. </w:t>
      </w:r>
      <w:proofErr w:type="spellStart"/>
      <w:r w:rsidRPr="005A30CE">
        <w:rPr>
          <w:sz w:val="24"/>
          <w:szCs w:val="24"/>
        </w:rPr>
        <w:t>angioødem</w:t>
      </w:r>
      <w:proofErr w:type="spellEnd"/>
      <w:r w:rsidRPr="005A30CE">
        <w:rPr>
          <w:sz w:val="24"/>
          <w:szCs w:val="24"/>
        </w:rPr>
        <w:t xml:space="preserve"> og anafylaksi (sjældent fatal) og hudreaktioner, herunder akut generaliseret </w:t>
      </w:r>
      <w:proofErr w:type="spellStart"/>
      <w:r w:rsidRPr="005A30CE">
        <w:rPr>
          <w:sz w:val="24"/>
          <w:szCs w:val="24"/>
        </w:rPr>
        <w:t>eksantematøs</w:t>
      </w:r>
      <w:proofErr w:type="spellEnd"/>
      <w:r w:rsidRPr="005A30CE">
        <w:rPr>
          <w:sz w:val="24"/>
          <w:szCs w:val="24"/>
        </w:rPr>
        <w:t xml:space="preserve"> </w:t>
      </w:r>
      <w:proofErr w:type="spellStart"/>
      <w:r w:rsidRPr="005A30CE">
        <w:rPr>
          <w:sz w:val="24"/>
          <w:szCs w:val="24"/>
        </w:rPr>
        <w:t>pustulose</w:t>
      </w:r>
      <w:proofErr w:type="spellEnd"/>
      <w:r w:rsidRPr="005A30CE">
        <w:rPr>
          <w:sz w:val="24"/>
          <w:szCs w:val="24"/>
        </w:rPr>
        <w:t xml:space="preserve"> (AGEP), Stevens Johnsons syndrom, toksisk </w:t>
      </w:r>
      <w:proofErr w:type="spellStart"/>
      <w:r w:rsidRPr="005A30CE">
        <w:rPr>
          <w:sz w:val="24"/>
          <w:szCs w:val="24"/>
        </w:rPr>
        <w:t>epidermal</w:t>
      </w:r>
      <w:proofErr w:type="spellEnd"/>
      <w:r w:rsidRPr="005A30CE">
        <w:rPr>
          <w:sz w:val="24"/>
          <w:szCs w:val="24"/>
        </w:rPr>
        <w:t xml:space="preserve"> </w:t>
      </w:r>
      <w:proofErr w:type="spellStart"/>
      <w:r w:rsidRPr="005A30CE">
        <w:rPr>
          <w:sz w:val="24"/>
          <w:szCs w:val="24"/>
        </w:rPr>
        <w:t>nekrolyse</w:t>
      </w:r>
      <w:proofErr w:type="spellEnd"/>
      <w:r w:rsidRPr="005A30CE">
        <w:rPr>
          <w:sz w:val="24"/>
          <w:szCs w:val="24"/>
        </w:rPr>
        <w:t xml:space="preserve"> (sjældent fatal) samt lægemiddelfremkaldt udslæt med </w:t>
      </w:r>
      <w:proofErr w:type="spellStart"/>
      <w:r w:rsidRPr="005A30CE">
        <w:rPr>
          <w:sz w:val="24"/>
          <w:szCs w:val="24"/>
        </w:rPr>
        <w:t>eosinofili</w:t>
      </w:r>
      <w:proofErr w:type="spellEnd"/>
      <w:r w:rsidRPr="005A30CE">
        <w:rPr>
          <w:sz w:val="24"/>
          <w:szCs w:val="24"/>
        </w:rPr>
        <w:t xml:space="preserve"> og systemiske symptomer (DRESS). Nogle af disse reaktioner har medført recidiverende symptomer og krævet længere tids observation og behandling. Hvis der opstår allergiske reaktioner, skal behandlingen seponeres og støttende behandling iværksættes. Behandlere skal være opmærksomme på, at de allergiske symptomer kan komme igen ved </w:t>
      </w:r>
      <w:proofErr w:type="spellStart"/>
      <w:r w:rsidRPr="005A30CE">
        <w:rPr>
          <w:sz w:val="24"/>
          <w:szCs w:val="24"/>
        </w:rPr>
        <w:t>seponering</w:t>
      </w:r>
      <w:proofErr w:type="spellEnd"/>
      <w:r w:rsidRPr="005A30CE">
        <w:rPr>
          <w:sz w:val="24"/>
          <w:szCs w:val="24"/>
        </w:rPr>
        <w:t xml:space="preserve"> af den symptomatiske behandling.</w:t>
      </w:r>
    </w:p>
    <w:p w:rsidR="005A30CE" w:rsidRPr="005A30CE" w:rsidRDefault="005A30CE" w:rsidP="005A30CE">
      <w:pPr>
        <w:tabs>
          <w:tab w:val="left" w:pos="851"/>
        </w:tabs>
        <w:ind w:left="851"/>
        <w:rPr>
          <w:sz w:val="24"/>
          <w:szCs w:val="24"/>
        </w:rPr>
      </w:pPr>
    </w:p>
    <w:p w:rsidR="005A30CE" w:rsidRPr="00F7226B" w:rsidRDefault="005A30CE" w:rsidP="005A30CE">
      <w:pPr>
        <w:tabs>
          <w:tab w:val="left" w:pos="851"/>
        </w:tabs>
        <w:ind w:left="851"/>
        <w:rPr>
          <w:iCs/>
          <w:sz w:val="24"/>
          <w:szCs w:val="24"/>
          <w:u w:val="single"/>
        </w:rPr>
      </w:pPr>
      <w:r w:rsidRPr="00F7226B">
        <w:rPr>
          <w:iCs/>
          <w:sz w:val="24"/>
          <w:szCs w:val="24"/>
          <w:u w:val="single"/>
        </w:rPr>
        <w:t>Nedsat leverfunktion</w:t>
      </w:r>
    </w:p>
    <w:p w:rsidR="005A30CE" w:rsidRPr="005A30CE" w:rsidRDefault="005A30CE" w:rsidP="005A30CE">
      <w:pPr>
        <w:tabs>
          <w:tab w:val="left" w:pos="851"/>
        </w:tabs>
        <w:ind w:left="851"/>
        <w:rPr>
          <w:sz w:val="24"/>
          <w:szCs w:val="24"/>
        </w:rPr>
      </w:pPr>
      <w:r w:rsidRPr="005A30CE">
        <w:rPr>
          <w:sz w:val="24"/>
          <w:szCs w:val="24"/>
        </w:rPr>
        <w:t xml:space="preserve">Leveren er den vigtigste eliminationsvej for </w:t>
      </w:r>
      <w:proofErr w:type="spellStart"/>
      <w:r w:rsidRPr="005A30CE">
        <w:rPr>
          <w:sz w:val="24"/>
          <w:szCs w:val="24"/>
        </w:rPr>
        <w:t>azithromycin</w:t>
      </w:r>
      <w:proofErr w:type="spellEnd"/>
      <w:r w:rsidRPr="005A30CE">
        <w:rPr>
          <w:sz w:val="24"/>
          <w:szCs w:val="24"/>
        </w:rPr>
        <w:t xml:space="preserve">, hvorfor brugen af </w:t>
      </w:r>
      <w:proofErr w:type="spellStart"/>
      <w:r w:rsidRPr="005A30CE">
        <w:rPr>
          <w:sz w:val="24"/>
          <w:szCs w:val="24"/>
        </w:rPr>
        <w:t>azithromycin</w:t>
      </w:r>
      <w:proofErr w:type="spellEnd"/>
      <w:r w:rsidRPr="005A30CE">
        <w:rPr>
          <w:sz w:val="24"/>
          <w:szCs w:val="24"/>
        </w:rPr>
        <w:t xml:space="preserve"> bør ske med forsigtighed hos patienter med signifikant leversygdom. Tilfælde af unormal leverfunktion, hepatitis, </w:t>
      </w:r>
      <w:proofErr w:type="spellStart"/>
      <w:r w:rsidRPr="005A30CE">
        <w:rPr>
          <w:sz w:val="24"/>
          <w:szCs w:val="24"/>
        </w:rPr>
        <w:t>staseicterus</w:t>
      </w:r>
      <w:proofErr w:type="spellEnd"/>
      <w:r w:rsidRPr="005A30CE">
        <w:rPr>
          <w:sz w:val="24"/>
          <w:szCs w:val="24"/>
        </w:rPr>
        <w:t xml:space="preserve">, levernekrose og leversvigt, som potentielt kan føre til livstruende leversvigt, er blevet rapporteret i forbindelse med </w:t>
      </w:r>
      <w:proofErr w:type="spellStart"/>
      <w:r w:rsidRPr="005A30CE">
        <w:rPr>
          <w:sz w:val="24"/>
          <w:szCs w:val="24"/>
        </w:rPr>
        <w:t>azithromycin</w:t>
      </w:r>
      <w:proofErr w:type="spellEnd"/>
      <w:r w:rsidRPr="005A30CE">
        <w:rPr>
          <w:sz w:val="24"/>
          <w:szCs w:val="24"/>
        </w:rPr>
        <w:t xml:space="preserve"> (se pkt. 4.8). Nogle patienter kan have haft eksisterende leversygdom eller have taget andre </w:t>
      </w:r>
      <w:proofErr w:type="spellStart"/>
      <w:r w:rsidRPr="005A30CE">
        <w:rPr>
          <w:sz w:val="24"/>
          <w:szCs w:val="24"/>
        </w:rPr>
        <w:t>hepatotoksiske</w:t>
      </w:r>
      <w:proofErr w:type="spellEnd"/>
      <w:r w:rsidRPr="005A30CE">
        <w:rPr>
          <w:sz w:val="24"/>
          <w:szCs w:val="24"/>
        </w:rPr>
        <w:t xml:space="preserve"> lægemidler.</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sz w:val="24"/>
          <w:szCs w:val="24"/>
        </w:rPr>
      </w:pPr>
      <w:r w:rsidRPr="005A30CE">
        <w:rPr>
          <w:sz w:val="24"/>
          <w:szCs w:val="24"/>
        </w:rPr>
        <w:t xml:space="preserve">I tilfælde af tegn og symptomer på leverdysfunktion, såsom hurtig udviklende asteni forbundet med gulsot, mørk urin, tendens til blødning eller </w:t>
      </w:r>
      <w:proofErr w:type="spellStart"/>
      <w:r w:rsidRPr="005A30CE">
        <w:rPr>
          <w:sz w:val="24"/>
          <w:szCs w:val="24"/>
        </w:rPr>
        <w:t>hepatisk</w:t>
      </w:r>
      <w:proofErr w:type="spellEnd"/>
      <w:r w:rsidRPr="005A30CE">
        <w:rPr>
          <w:sz w:val="24"/>
          <w:szCs w:val="24"/>
        </w:rPr>
        <w:t xml:space="preserve"> </w:t>
      </w:r>
      <w:proofErr w:type="spellStart"/>
      <w:r w:rsidRPr="005A30CE">
        <w:rPr>
          <w:sz w:val="24"/>
          <w:szCs w:val="24"/>
        </w:rPr>
        <w:t>encephalopati</w:t>
      </w:r>
      <w:proofErr w:type="spellEnd"/>
      <w:r w:rsidRPr="005A30CE">
        <w:rPr>
          <w:sz w:val="24"/>
          <w:szCs w:val="24"/>
        </w:rPr>
        <w:t xml:space="preserve">, bør der straks udføres leverfunktionstest/undersøgelse. I tilfælde af leverdysfunktion skal behandlingen med </w:t>
      </w:r>
      <w:proofErr w:type="spellStart"/>
      <w:r w:rsidRPr="005A30CE">
        <w:rPr>
          <w:sz w:val="24"/>
          <w:szCs w:val="24"/>
        </w:rPr>
        <w:t>azithromycin</w:t>
      </w:r>
      <w:proofErr w:type="spellEnd"/>
      <w:r w:rsidRPr="005A30CE">
        <w:rPr>
          <w:sz w:val="24"/>
          <w:szCs w:val="24"/>
        </w:rPr>
        <w:t xml:space="preserve"> seponeres.</w:t>
      </w:r>
    </w:p>
    <w:p w:rsidR="005A30CE" w:rsidRPr="005A30CE" w:rsidRDefault="005A30CE" w:rsidP="005A30CE">
      <w:pPr>
        <w:tabs>
          <w:tab w:val="left" w:pos="851"/>
        </w:tabs>
        <w:ind w:left="851"/>
        <w:rPr>
          <w:sz w:val="24"/>
          <w:szCs w:val="24"/>
        </w:rPr>
      </w:pPr>
    </w:p>
    <w:p w:rsidR="005A30CE" w:rsidRPr="00F7226B" w:rsidRDefault="005A30CE" w:rsidP="005A30CE">
      <w:pPr>
        <w:tabs>
          <w:tab w:val="left" w:pos="851"/>
        </w:tabs>
        <w:ind w:left="851"/>
        <w:rPr>
          <w:iCs/>
          <w:sz w:val="24"/>
          <w:szCs w:val="24"/>
          <w:u w:val="single"/>
        </w:rPr>
      </w:pPr>
      <w:r w:rsidRPr="00F7226B">
        <w:rPr>
          <w:iCs/>
          <w:sz w:val="24"/>
          <w:szCs w:val="24"/>
          <w:u w:val="single"/>
        </w:rPr>
        <w:t xml:space="preserve">Infantil </w:t>
      </w:r>
      <w:proofErr w:type="spellStart"/>
      <w:r w:rsidRPr="00F7226B">
        <w:rPr>
          <w:iCs/>
          <w:sz w:val="24"/>
          <w:szCs w:val="24"/>
          <w:u w:val="single"/>
        </w:rPr>
        <w:t>hypertrofisk</w:t>
      </w:r>
      <w:proofErr w:type="spellEnd"/>
      <w:r w:rsidRPr="00F7226B">
        <w:rPr>
          <w:iCs/>
          <w:sz w:val="24"/>
          <w:szCs w:val="24"/>
          <w:u w:val="single"/>
        </w:rPr>
        <w:t xml:space="preserve"> </w:t>
      </w:r>
      <w:proofErr w:type="spellStart"/>
      <w:r w:rsidRPr="00F7226B">
        <w:rPr>
          <w:iCs/>
          <w:sz w:val="24"/>
          <w:szCs w:val="24"/>
          <w:u w:val="single"/>
        </w:rPr>
        <w:t>pylorusstenose</w:t>
      </w:r>
      <w:proofErr w:type="spellEnd"/>
      <w:r w:rsidRPr="00F7226B">
        <w:rPr>
          <w:iCs/>
          <w:sz w:val="24"/>
          <w:szCs w:val="24"/>
          <w:u w:val="single"/>
        </w:rPr>
        <w:t xml:space="preserve"> (IHP)</w:t>
      </w:r>
    </w:p>
    <w:p w:rsidR="005A30CE" w:rsidRPr="005A30CE" w:rsidRDefault="005A30CE" w:rsidP="005A30CE">
      <w:pPr>
        <w:tabs>
          <w:tab w:val="left" w:pos="851"/>
        </w:tabs>
        <w:ind w:left="851"/>
        <w:rPr>
          <w:sz w:val="24"/>
          <w:szCs w:val="24"/>
        </w:rPr>
      </w:pPr>
      <w:r w:rsidRPr="005A30CE">
        <w:rPr>
          <w:sz w:val="24"/>
          <w:szCs w:val="24"/>
        </w:rPr>
        <w:t xml:space="preserve">Der er set infantil </w:t>
      </w:r>
      <w:proofErr w:type="spellStart"/>
      <w:r w:rsidRPr="005A30CE">
        <w:rPr>
          <w:sz w:val="24"/>
          <w:szCs w:val="24"/>
        </w:rPr>
        <w:t>hypertrofisk</w:t>
      </w:r>
      <w:proofErr w:type="spellEnd"/>
      <w:r w:rsidRPr="005A30CE">
        <w:rPr>
          <w:sz w:val="24"/>
          <w:szCs w:val="24"/>
        </w:rPr>
        <w:t xml:space="preserve"> </w:t>
      </w:r>
      <w:proofErr w:type="spellStart"/>
      <w:r w:rsidRPr="005A30CE">
        <w:rPr>
          <w:sz w:val="24"/>
          <w:szCs w:val="24"/>
        </w:rPr>
        <w:t>pylorusstenose</w:t>
      </w:r>
      <w:proofErr w:type="spellEnd"/>
      <w:r w:rsidRPr="005A30CE">
        <w:rPr>
          <w:sz w:val="24"/>
          <w:szCs w:val="24"/>
        </w:rPr>
        <w:t xml:space="preserve"> hos nyfødte, der er blevet behandlet med </w:t>
      </w:r>
      <w:proofErr w:type="spellStart"/>
      <w:r w:rsidRPr="005A30CE">
        <w:rPr>
          <w:sz w:val="24"/>
          <w:szCs w:val="24"/>
        </w:rPr>
        <w:t>azithromycin</w:t>
      </w:r>
      <w:proofErr w:type="spellEnd"/>
      <w:r w:rsidRPr="005A30CE">
        <w:rPr>
          <w:sz w:val="24"/>
          <w:szCs w:val="24"/>
        </w:rPr>
        <w:t xml:space="preserve"> (inden for de første 42 dage efter fødsel). Forældre og pårørende skal informeres om, at lægen skal kontaktes, hvis barnet kaster op, eller der opstår irritabilitet, når barnet får mad.</w:t>
      </w:r>
    </w:p>
    <w:p w:rsidR="005A30CE" w:rsidRPr="005A30CE" w:rsidRDefault="005A30CE" w:rsidP="005A30CE">
      <w:pPr>
        <w:tabs>
          <w:tab w:val="left" w:pos="851"/>
        </w:tabs>
        <w:ind w:left="851"/>
        <w:rPr>
          <w:sz w:val="24"/>
          <w:szCs w:val="24"/>
        </w:rPr>
      </w:pPr>
    </w:p>
    <w:p w:rsidR="005A30CE" w:rsidRPr="00F7226B" w:rsidRDefault="005A30CE" w:rsidP="005A30CE">
      <w:pPr>
        <w:tabs>
          <w:tab w:val="left" w:pos="851"/>
        </w:tabs>
        <w:ind w:left="851"/>
        <w:rPr>
          <w:iCs/>
          <w:sz w:val="24"/>
          <w:szCs w:val="24"/>
          <w:u w:val="single"/>
        </w:rPr>
      </w:pPr>
      <w:proofErr w:type="spellStart"/>
      <w:r w:rsidRPr="00F7226B">
        <w:rPr>
          <w:iCs/>
          <w:sz w:val="24"/>
          <w:szCs w:val="24"/>
          <w:u w:val="single"/>
        </w:rPr>
        <w:t>Ergotalkoloider</w:t>
      </w:r>
      <w:proofErr w:type="spellEnd"/>
    </w:p>
    <w:p w:rsidR="005A30CE" w:rsidRPr="005A30CE" w:rsidRDefault="005A30CE" w:rsidP="005A30CE">
      <w:pPr>
        <w:tabs>
          <w:tab w:val="left" w:pos="851"/>
        </w:tabs>
        <w:ind w:left="851"/>
        <w:rPr>
          <w:sz w:val="24"/>
          <w:szCs w:val="24"/>
        </w:rPr>
      </w:pPr>
      <w:r w:rsidRPr="005A30CE">
        <w:rPr>
          <w:sz w:val="24"/>
          <w:szCs w:val="24"/>
        </w:rPr>
        <w:t xml:space="preserve">Samtidig administration af </w:t>
      </w:r>
      <w:proofErr w:type="spellStart"/>
      <w:r w:rsidRPr="005A30CE">
        <w:rPr>
          <w:sz w:val="24"/>
          <w:szCs w:val="24"/>
        </w:rPr>
        <w:t>ergotalkoloider</w:t>
      </w:r>
      <w:proofErr w:type="spellEnd"/>
      <w:r w:rsidRPr="005A30CE">
        <w:rPr>
          <w:sz w:val="24"/>
          <w:szCs w:val="24"/>
        </w:rPr>
        <w:t xml:space="preserve"> og visse </w:t>
      </w:r>
      <w:proofErr w:type="spellStart"/>
      <w:r w:rsidRPr="005A30CE">
        <w:rPr>
          <w:sz w:val="24"/>
          <w:szCs w:val="24"/>
        </w:rPr>
        <w:t>makrolidantibiotika</w:t>
      </w:r>
      <w:proofErr w:type="spellEnd"/>
      <w:r w:rsidRPr="005A30CE">
        <w:rPr>
          <w:sz w:val="24"/>
          <w:szCs w:val="24"/>
        </w:rPr>
        <w:t xml:space="preserve"> kan udløse </w:t>
      </w:r>
      <w:proofErr w:type="spellStart"/>
      <w:r w:rsidRPr="005A30CE">
        <w:rPr>
          <w:sz w:val="24"/>
          <w:szCs w:val="24"/>
        </w:rPr>
        <w:t>ergotisme</w:t>
      </w:r>
      <w:proofErr w:type="spellEnd"/>
      <w:r w:rsidRPr="005A30CE">
        <w:rPr>
          <w:sz w:val="24"/>
          <w:szCs w:val="24"/>
        </w:rPr>
        <w:t xml:space="preserve">. Der er ingen data vedrørende risikoen for interaktion mellem </w:t>
      </w:r>
      <w:proofErr w:type="spellStart"/>
      <w:r w:rsidRPr="005A30CE">
        <w:rPr>
          <w:sz w:val="24"/>
          <w:szCs w:val="24"/>
        </w:rPr>
        <w:t>ergotalkoloider</w:t>
      </w:r>
      <w:proofErr w:type="spellEnd"/>
      <w:r w:rsidRPr="005A30CE">
        <w:rPr>
          <w:sz w:val="24"/>
          <w:szCs w:val="24"/>
        </w:rPr>
        <w:t xml:space="preserve"> og </w:t>
      </w:r>
      <w:proofErr w:type="spellStart"/>
      <w:r w:rsidRPr="005A30CE">
        <w:rPr>
          <w:sz w:val="24"/>
          <w:szCs w:val="24"/>
        </w:rPr>
        <w:t>azithromycin</w:t>
      </w:r>
      <w:proofErr w:type="spellEnd"/>
      <w:r w:rsidRPr="005A30CE">
        <w:rPr>
          <w:sz w:val="24"/>
          <w:szCs w:val="24"/>
        </w:rPr>
        <w:t xml:space="preserve">. Samtidig indtagelse af </w:t>
      </w:r>
      <w:proofErr w:type="spellStart"/>
      <w:r w:rsidRPr="005A30CE">
        <w:rPr>
          <w:sz w:val="24"/>
          <w:szCs w:val="24"/>
        </w:rPr>
        <w:t>azithromycin</w:t>
      </w:r>
      <w:proofErr w:type="spellEnd"/>
      <w:r w:rsidRPr="005A30CE">
        <w:rPr>
          <w:sz w:val="24"/>
          <w:szCs w:val="24"/>
        </w:rPr>
        <w:t xml:space="preserve"> og </w:t>
      </w:r>
      <w:proofErr w:type="spellStart"/>
      <w:r w:rsidRPr="005A30CE">
        <w:rPr>
          <w:sz w:val="24"/>
          <w:szCs w:val="24"/>
        </w:rPr>
        <w:t>ergotalkoloider</w:t>
      </w:r>
      <w:proofErr w:type="spellEnd"/>
      <w:r w:rsidRPr="005A30CE">
        <w:rPr>
          <w:sz w:val="24"/>
          <w:szCs w:val="24"/>
        </w:rPr>
        <w:t xml:space="preserve"> bør dog undgås på grund af den teoretiske mulighed for </w:t>
      </w:r>
      <w:proofErr w:type="spellStart"/>
      <w:r w:rsidRPr="005A30CE">
        <w:rPr>
          <w:sz w:val="24"/>
          <w:szCs w:val="24"/>
        </w:rPr>
        <w:t>ergotisme</w:t>
      </w:r>
      <w:proofErr w:type="spellEnd"/>
      <w:r w:rsidRPr="005A30CE">
        <w:rPr>
          <w:sz w:val="24"/>
          <w:szCs w:val="24"/>
        </w:rPr>
        <w:t>.</w:t>
      </w:r>
    </w:p>
    <w:p w:rsidR="005A30CE" w:rsidRPr="005A30CE" w:rsidRDefault="005A30CE" w:rsidP="005A30CE">
      <w:pPr>
        <w:tabs>
          <w:tab w:val="left" w:pos="851"/>
        </w:tabs>
        <w:ind w:left="851"/>
        <w:rPr>
          <w:sz w:val="24"/>
          <w:szCs w:val="24"/>
        </w:rPr>
      </w:pPr>
    </w:p>
    <w:p w:rsidR="005A30CE" w:rsidRPr="00F7226B" w:rsidRDefault="005A30CE" w:rsidP="005A30CE">
      <w:pPr>
        <w:tabs>
          <w:tab w:val="left" w:pos="851"/>
        </w:tabs>
        <w:ind w:left="851"/>
        <w:rPr>
          <w:iCs/>
          <w:sz w:val="24"/>
          <w:szCs w:val="24"/>
          <w:u w:val="single"/>
        </w:rPr>
      </w:pPr>
      <w:r w:rsidRPr="00F7226B">
        <w:rPr>
          <w:iCs/>
          <w:sz w:val="24"/>
          <w:szCs w:val="24"/>
          <w:u w:val="single"/>
        </w:rPr>
        <w:t>Superinfektioner</w:t>
      </w:r>
    </w:p>
    <w:p w:rsidR="005A30CE" w:rsidRPr="005A30CE" w:rsidRDefault="005A30CE" w:rsidP="005A30CE">
      <w:pPr>
        <w:tabs>
          <w:tab w:val="left" w:pos="851"/>
        </w:tabs>
        <w:ind w:left="851"/>
        <w:rPr>
          <w:sz w:val="24"/>
          <w:szCs w:val="24"/>
        </w:rPr>
      </w:pPr>
      <w:r w:rsidRPr="005A30CE">
        <w:rPr>
          <w:sz w:val="24"/>
          <w:szCs w:val="24"/>
        </w:rPr>
        <w:t>Som ved anden antibiotisk behandling tilrådes det at udvise opmærksomhed på tegn på super</w:t>
      </w:r>
      <w:r w:rsidRPr="005A30CE">
        <w:rPr>
          <w:sz w:val="24"/>
          <w:szCs w:val="24"/>
        </w:rPr>
        <w:softHyphen/>
        <w:t>infektion med ikke-</w:t>
      </w:r>
      <w:proofErr w:type="spellStart"/>
      <w:r w:rsidRPr="005A30CE">
        <w:rPr>
          <w:sz w:val="24"/>
          <w:szCs w:val="24"/>
        </w:rPr>
        <w:t>azithromycinfølsomme</w:t>
      </w:r>
      <w:proofErr w:type="spellEnd"/>
      <w:r w:rsidRPr="005A30CE">
        <w:rPr>
          <w:sz w:val="24"/>
          <w:szCs w:val="24"/>
        </w:rPr>
        <w:t xml:space="preserve"> organismer, herunder svampe.</w:t>
      </w:r>
    </w:p>
    <w:p w:rsidR="005A30CE" w:rsidRPr="005A30CE" w:rsidRDefault="005A30CE" w:rsidP="005A30CE">
      <w:pPr>
        <w:tabs>
          <w:tab w:val="left" w:pos="851"/>
        </w:tabs>
        <w:ind w:left="851"/>
        <w:rPr>
          <w:i/>
          <w:iCs/>
          <w:sz w:val="24"/>
          <w:szCs w:val="24"/>
        </w:rPr>
      </w:pPr>
    </w:p>
    <w:p w:rsidR="005A30CE" w:rsidRPr="00F7226B" w:rsidRDefault="005A30CE" w:rsidP="005A30CE">
      <w:pPr>
        <w:tabs>
          <w:tab w:val="left" w:pos="851"/>
        </w:tabs>
        <w:ind w:left="851"/>
        <w:rPr>
          <w:iCs/>
          <w:sz w:val="24"/>
          <w:szCs w:val="24"/>
          <w:u w:val="single"/>
        </w:rPr>
      </w:pPr>
      <w:r w:rsidRPr="00F7226B">
        <w:rPr>
          <w:iCs/>
          <w:sz w:val="24"/>
          <w:szCs w:val="24"/>
          <w:u w:val="single"/>
        </w:rPr>
        <w:t xml:space="preserve">Diarré forårsaget af </w:t>
      </w:r>
      <w:proofErr w:type="spellStart"/>
      <w:r w:rsidRPr="00F7226B">
        <w:rPr>
          <w:i/>
          <w:iCs/>
          <w:sz w:val="24"/>
          <w:szCs w:val="24"/>
          <w:u w:val="single"/>
        </w:rPr>
        <w:t>Clostridioides</w:t>
      </w:r>
      <w:proofErr w:type="spellEnd"/>
      <w:r w:rsidRPr="00F7226B">
        <w:rPr>
          <w:i/>
          <w:iCs/>
          <w:sz w:val="24"/>
          <w:szCs w:val="24"/>
          <w:u w:val="single"/>
        </w:rPr>
        <w:t xml:space="preserve"> difficile</w:t>
      </w:r>
    </w:p>
    <w:p w:rsidR="005A30CE" w:rsidRPr="005A30CE" w:rsidRDefault="005A30CE" w:rsidP="005A30CE">
      <w:pPr>
        <w:tabs>
          <w:tab w:val="left" w:pos="851"/>
        </w:tabs>
        <w:ind w:left="851"/>
        <w:rPr>
          <w:sz w:val="24"/>
          <w:szCs w:val="24"/>
        </w:rPr>
      </w:pPr>
      <w:r w:rsidRPr="005A30CE">
        <w:rPr>
          <w:sz w:val="24"/>
          <w:szCs w:val="24"/>
        </w:rPr>
        <w:t xml:space="preserve">Der er rapporteret diarré forårsaget af </w:t>
      </w:r>
      <w:proofErr w:type="spellStart"/>
      <w:r w:rsidRPr="005A30CE">
        <w:rPr>
          <w:sz w:val="24"/>
          <w:szCs w:val="24"/>
        </w:rPr>
        <w:t>C</w:t>
      </w:r>
      <w:r w:rsidRPr="005A30CE">
        <w:rPr>
          <w:i/>
          <w:iCs/>
          <w:sz w:val="24"/>
          <w:szCs w:val="24"/>
        </w:rPr>
        <w:t>lostridioides</w:t>
      </w:r>
      <w:proofErr w:type="spellEnd"/>
      <w:r w:rsidRPr="005A30CE">
        <w:rPr>
          <w:i/>
          <w:iCs/>
          <w:sz w:val="24"/>
          <w:szCs w:val="24"/>
        </w:rPr>
        <w:t xml:space="preserve"> difficile </w:t>
      </w:r>
      <w:r w:rsidRPr="005A30CE">
        <w:rPr>
          <w:sz w:val="24"/>
          <w:szCs w:val="24"/>
        </w:rPr>
        <w:t>(CDAD)</w:t>
      </w:r>
      <w:r w:rsidRPr="005A30CE">
        <w:rPr>
          <w:i/>
          <w:iCs/>
          <w:sz w:val="24"/>
          <w:szCs w:val="24"/>
        </w:rPr>
        <w:t xml:space="preserve"> </w:t>
      </w:r>
      <w:r w:rsidRPr="005A30CE">
        <w:rPr>
          <w:sz w:val="24"/>
          <w:szCs w:val="24"/>
        </w:rPr>
        <w:t xml:space="preserve">i forbindelse med næsten alle antibakterielle stoffer, inklusive </w:t>
      </w:r>
      <w:proofErr w:type="spellStart"/>
      <w:r w:rsidRPr="005A30CE">
        <w:rPr>
          <w:sz w:val="24"/>
          <w:szCs w:val="24"/>
        </w:rPr>
        <w:t>azithromycin</w:t>
      </w:r>
      <w:proofErr w:type="spellEnd"/>
      <w:r w:rsidRPr="005A30CE">
        <w:rPr>
          <w:sz w:val="24"/>
          <w:szCs w:val="24"/>
        </w:rPr>
        <w:t xml:space="preserve">, hvilket kan føre til symptomer </w:t>
      </w:r>
      <w:r w:rsidRPr="005A30CE">
        <w:rPr>
          <w:sz w:val="24"/>
          <w:szCs w:val="24"/>
        </w:rPr>
        <w:lastRenderedPageBreak/>
        <w:t xml:space="preserve">der varierer fra mild diarré til </w:t>
      </w:r>
      <w:proofErr w:type="gramStart"/>
      <w:r w:rsidRPr="005A30CE">
        <w:rPr>
          <w:sz w:val="24"/>
          <w:szCs w:val="24"/>
        </w:rPr>
        <w:t>fatal colitis</w:t>
      </w:r>
      <w:proofErr w:type="gramEnd"/>
      <w:r w:rsidRPr="005A30CE">
        <w:rPr>
          <w:sz w:val="24"/>
          <w:szCs w:val="24"/>
        </w:rPr>
        <w:t xml:space="preserve">. Behandling med antibiotika kan ændre den normale tarmflora, hvilket kan føre til overvækst af </w:t>
      </w:r>
      <w:proofErr w:type="spellStart"/>
      <w:r w:rsidRPr="005A30CE">
        <w:rPr>
          <w:i/>
          <w:iCs/>
          <w:sz w:val="24"/>
          <w:szCs w:val="24"/>
        </w:rPr>
        <w:t>Clostridioides</w:t>
      </w:r>
      <w:proofErr w:type="spellEnd"/>
      <w:r w:rsidRPr="005A30CE">
        <w:rPr>
          <w:i/>
          <w:iCs/>
          <w:sz w:val="24"/>
          <w:szCs w:val="24"/>
        </w:rPr>
        <w:t xml:space="preserve"> difficile</w:t>
      </w:r>
      <w:r w:rsidRPr="005A30CE">
        <w:rPr>
          <w:sz w:val="24"/>
          <w:szCs w:val="24"/>
        </w:rPr>
        <w:t xml:space="preserve"> i tarmen.</w:t>
      </w:r>
    </w:p>
    <w:p w:rsidR="005A30CE" w:rsidRPr="005A30CE" w:rsidRDefault="005A30CE" w:rsidP="005A30CE">
      <w:pPr>
        <w:tabs>
          <w:tab w:val="left" w:pos="851"/>
        </w:tabs>
        <w:ind w:left="851"/>
        <w:rPr>
          <w:sz w:val="24"/>
          <w:szCs w:val="24"/>
        </w:rPr>
      </w:pPr>
      <w:r w:rsidRPr="005A30CE">
        <w:rPr>
          <w:sz w:val="24"/>
          <w:szCs w:val="24"/>
        </w:rPr>
        <w:t xml:space="preserve"> </w:t>
      </w:r>
    </w:p>
    <w:p w:rsidR="005A30CE" w:rsidRPr="005A30CE" w:rsidRDefault="005A30CE" w:rsidP="005A30CE">
      <w:pPr>
        <w:tabs>
          <w:tab w:val="left" w:pos="851"/>
        </w:tabs>
        <w:ind w:left="851"/>
        <w:rPr>
          <w:sz w:val="24"/>
          <w:szCs w:val="24"/>
        </w:rPr>
      </w:pPr>
      <w:proofErr w:type="spellStart"/>
      <w:r w:rsidRPr="005A30CE">
        <w:rPr>
          <w:i/>
          <w:iCs/>
          <w:sz w:val="24"/>
          <w:szCs w:val="24"/>
        </w:rPr>
        <w:t>Clostridioides</w:t>
      </w:r>
      <w:proofErr w:type="spellEnd"/>
      <w:r w:rsidRPr="005A30CE">
        <w:rPr>
          <w:i/>
          <w:iCs/>
          <w:sz w:val="24"/>
          <w:szCs w:val="24"/>
        </w:rPr>
        <w:t xml:space="preserve"> difficile</w:t>
      </w:r>
      <w:r w:rsidRPr="005A30CE">
        <w:rPr>
          <w:sz w:val="24"/>
          <w:szCs w:val="24"/>
        </w:rPr>
        <w:t xml:space="preserve"> producerer toksinerne A og B, der medvirker til udvikling af CDAD. Toksinproducerende stammer af </w:t>
      </w:r>
      <w:proofErr w:type="spellStart"/>
      <w:r w:rsidRPr="005A30CE">
        <w:rPr>
          <w:i/>
          <w:iCs/>
          <w:sz w:val="24"/>
          <w:szCs w:val="24"/>
        </w:rPr>
        <w:t>Clostridioides</w:t>
      </w:r>
      <w:proofErr w:type="spellEnd"/>
      <w:r w:rsidRPr="005A30CE">
        <w:rPr>
          <w:i/>
          <w:iCs/>
          <w:sz w:val="24"/>
          <w:szCs w:val="24"/>
        </w:rPr>
        <w:t xml:space="preserve"> difficile</w:t>
      </w:r>
      <w:r w:rsidRPr="005A30CE">
        <w:rPr>
          <w:sz w:val="24"/>
          <w:szCs w:val="24"/>
        </w:rPr>
        <w:t xml:space="preserve"> medfører øget morbiditet og mortalitet, da disse infektioner kan være vanskelige at behandle med antimikrobiel behandling og kan kræve </w:t>
      </w:r>
      <w:proofErr w:type="spellStart"/>
      <w:r w:rsidRPr="005A30CE">
        <w:rPr>
          <w:sz w:val="24"/>
          <w:szCs w:val="24"/>
        </w:rPr>
        <w:t>kolektomi</w:t>
      </w:r>
      <w:proofErr w:type="spellEnd"/>
      <w:r w:rsidRPr="005A30CE">
        <w:rPr>
          <w:sz w:val="24"/>
          <w:szCs w:val="24"/>
        </w:rPr>
        <w:t>. Patienter, der får diarré efter antibiotisk behandling, bør derfor undersøges for CDAD. Grundig gennemgang af patientens sygehistorie er nødvendig, eftersom CDAD kan opstå op til to måneder efter afsluttet antibiotisk behandling.</w:t>
      </w:r>
    </w:p>
    <w:p w:rsidR="005A30CE" w:rsidRPr="005A30CE" w:rsidRDefault="005A30CE" w:rsidP="005A30CE">
      <w:pPr>
        <w:tabs>
          <w:tab w:val="left" w:pos="851"/>
        </w:tabs>
        <w:ind w:left="851"/>
        <w:rPr>
          <w:sz w:val="24"/>
          <w:szCs w:val="24"/>
        </w:rPr>
      </w:pPr>
    </w:p>
    <w:p w:rsidR="00BE5253" w:rsidRPr="00F7226B" w:rsidRDefault="00BE5253" w:rsidP="00BE5253">
      <w:pPr>
        <w:tabs>
          <w:tab w:val="left" w:pos="851"/>
        </w:tabs>
        <w:ind w:left="851"/>
        <w:rPr>
          <w:iCs/>
          <w:sz w:val="24"/>
          <w:szCs w:val="24"/>
          <w:u w:val="single"/>
        </w:rPr>
      </w:pPr>
      <w:r w:rsidRPr="00F7226B">
        <w:rPr>
          <w:iCs/>
          <w:sz w:val="24"/>
          <w:szCs w:val="24"/>
          <w:u w:val="single"/>
        </w:rPr>
        <w:t>Nedsat nyrefunktion</w:t>
      </w:r>
    </w:p>
    <w:p w:rsidR="00BE5253" w:rsidRPr="005A30CE" w:rsidRDefault="00BE5253" w:rsidP="00BE5253">
      <w:pPr>
        <w:tabs>
          <w:tab w:val="left" w:pos="851"/>
        </w:tabs>
        <w:ind w:left="851"/>
        <w:rPr>
          <w:sz w:val="24"/>
          <w:szCs w:val="24"/>
        </w:rPr>
      </w:pPr>
      <w:r w:rsidRPr="005A30CE">
        <w:rPr>
          <w:sz w:val="24"/>
          <w:szCs w:val="24"/>
        </w:rPr>
        <w:t xml:space="preserve">Ved systemisk administration ses en stigning af </w:t>
      </w:r>
      <w:proofErr w:type="spellStart"/>
      <w:r w:rsidRPr="005A30CE">
        <w:rPr>
          <w:sz w:val="24"/>
          <w:szCs w:val="24"/>
        </w:rPr>
        <w:t>azithromycin</w:t>
      </w:r>
      <w:proofErr w:type="spellEnd"/>
      <w:r w:rsidRPr="005A30CE">
        <w:rPr>
          <w:sz w:val="24"/>
          <w:szCs w:val="24"/>
        </w:rPr>
        <w:t xml:space="preserve"> på 33 % hos patienter med GFR &lt;10 ml/min (se pkt. 5.2).</w:t>
      </w:r>
    </w:p>
    <w:p w:rsidR="005A30CE" w:rsidRPr="005A30CE" w:rsidRDefault="005A30CE" w:rsidP="005A30CE">
      <w:pPr>
        <w:tabs>
          <w:tab w:val="left" w:pos="851"/>
        </w:tabs>
        <w:ind w:left="851"/>
        <w:rPr>
          <w:sz w:val="24"/>
          <w:szCs w:val="24"/>
        </w:rPr>
      </w:pPr>
    </w:p>
    <w:p w:rsidR="005A30CE" w:rsidRPr="00F7226B" w:rsidRDefault="005A30CE" w:rsidP="005A30CE">
      <w:pPr>
        <w:tabs>
          <w:tab w:val="left" w:pos="851"/>
        </w:tabs>
        <w:ind w:left="851"/>
        <w:rPr>
          <w:iCs/>
          <w:sz w:val="24"/>
          <w:szCs w:val="24"/>
          <w:u w:val="single"/>
        </w:rPr>
      </w:pPr>
      <w:r w:rsidRPr="00F7226B">
        <w:rPr>
          <w:iCs/>
          <w:sz w:val="24"/>
          <w:szCs w:val="24"/>
          <w:u w:val="single"/>
        </w:rPr>
        <w:t>Hjerte</w:t>
      </w:r>
    </w:p>
    <w:p w:rsidR="005A30CE" w:rsidRPr="005A30CE" w:rsidRDefault="005A30CE" w:rsidP="005A30CE">
      <w:pPr>
        <w:tabs>
          <w:tab w:val="left" w:pos="851"/>
        </w:tabs>
        <w:ind w:left="851"/>
        <w:rPr>
          <w:sz w:val="24"/>
          <w:szCs w:val="24"/>
        </w:rPr>
      </w:pPr>
      <w:r w:rsidRPr="005A30CE">
        <w:rPr>
          <w:sz w:val="24"/>
          <w:szCs w:val="24"/>
        </w:rPr>
        <w:t xml:space="preserve">Der er set forlænget kardial </w:t>
      </w:r>
      <w:proofErr w:type="spellStart"/>
      <w:r w:rsidRPr="005A30CE">
        <w:rPr>
          <w:sz w:val="24"/>
          <w:szCs w:val="24"/>
        </w:rPr>
        <w:t>repolarisering</w:t>
      </w:r>
      <w:proofErr w:type="spellEnd"/>
      <w:r w:rsidRPr="005A30CE">
        <w:rPr>
          <w:sz w:val="24"/>
          <w:szCs w:val="24"/>
        </w:rPr>
        <w:t xml:space="preserve"> og QT-interval, hvilket medfører en risiko for udvikling af </w:t>
      </w:r>
      <w:proofErr w:type="spellStart"/>
      <w:r w:rsidRPr="005A30CE">
        <w:rPr>
          <w:sz w:val="24"/>
          <w:szCs w:val="24"/>
        </w:rPr>
        <w:t>hjertearytmier</w:t>
      </w:r>
      <w:proofErr w:type="spellEnd"/>
      <w:r w:rsidRPr="005A30CE">
        <w:rPr>
          <w:sz w:val="24"/>
          <w:szCs w:val="24"/>
        </w:rPr>
        <w:t xml:space="preserve"> og </w:t>
      </w:r>
      <w:proofErr w:type="spellStart"/>
      <w:r w:rsidRPr="005A30CE">
        <w:rPr>
          <w:sz w:val="24"/>
          <w:szCs w:val="24"/>
        </w:rPr>
        <w:t>torsades</w:t>
      </w:r>
      <w:proofErr w:type="spellEnd"/>
      <w:r w:rsidRPr="005A30CE">
        <w:rPr>
          <w:sz w:val="24"/>
          <w:szCs w:val="24"/>
        </w:rPr>
        <w:t xml:space="preserve"> de pointes hos patienter, der blev behandlet med andre makrolider, herunder </w:t>
      </w:r>
      <w:proofErr w:type="spellStart"/>
      <w:r w:rsidRPr="005A30CE">
        <w:rPr>
          <w:sz w:val="24"/>
          <w:szCs w:val="24"/>
        </w:rPr>
        <w:t>azithromycin</w:t>
      </w:r>
      <w:proofErr w:type="spellEnd"/>
      <w:r w:rsidRPr="005A30CE">
        <w:rPr>
          <w:sz w:val="24"/>
          <w:szCs w:val="24"/>
        </w:rPr>
        <w:t xml:space="preserve"> (se pkt. 4.8). Da de følgende lidelser kan føre til en forøget risiko for </w:t>
      </w:r>
      <w:proofErr w:type="spellStart"/>
      <w:r w:rsidRPr="005A30CE">
        <w:rPr>
          <w:sz w:val="24"/>
          <w:szCs w:val="24"/>
        </w:rPr>
        <w:t>ventrikulære</w:t>
      </w:r>
      <w:proofErr w:type="spellEnd"/>
      <w:r w:rsidRPr="005A30CE">
        <w:rPr>
          <w:sz w:val="24"/>
          <w:szCs w:val="24"/>
        </w:rPr>
        <w:t xml:space="preserve"> </w:t>
      </w:r>
      <w:proofErr w:type="spellStart"/>
      <w:r w:rsidRPr="005A30CE">
        <w:rPr>
          <w:sz w:val="24"/>
          <w:szCs w:val="24"/>
        </w:rPr>
        <w:t>arytmier</w:t>
      </w:r>
      <w:proofErr w:type="spellEnd"/>
      <w:r w:rsidRPr="005A30CE">
        <w:rPr>
          <w:sz w:val="24"/>
          <w:szCs w:val="24"/>
        </w:rPr>
        <w:t xml:space="preserve"> (herunder </w:t>
      </w:r>
      <w:proofErr w:type="spellStart"/>
      <w:r w:rsidRPr="005A30CE">
        <w:rPr>
          <w:sz w:val="24"/>
          <w:szCs w:val="24"/>
        </w:rPr>
        <w:t>torsades</w:t>
      </w:r>
      <w:proofErr w:type="spellEnd"/>
      <w:r w:rsidRPr="005A30CE">
        <w:rPr>
          <w:sz w:val="24"/>
          <w:szCs w:val="24"/>
        </w:rPr>
        <w:t xml:space="preserve"> de pointes), der kan føre til hjertestop, bør </w:t>
      </w:r>
      <w:proofErr w:type="spellStart"/>
      <w:r w:rsidRPr="005A30CE">
        <w:rPr>
          <w:sz w:val="24"/>
          <w:szCs w:val="24"/>
        </w:rPr>
        <w:t>azithromycin</w:t>
      </w:r>
      <w:proofErr w:type="spellEnd"/>
      <w:r w:rsidRPr="005A30CE">
        <w:rPr>
          <w:sz w:val="24"/>
          <w:szCs w:val="24"/>
        </w:rPr>
        <w:t xml:space="preserve"> anvendes med forsigtighed til patienter med eksisterende </w:t>
      </w:r>
      <w:proofErr w:type="spellStart"/>
      <w:r w:rsidRPr="005A30CE">
        <w:rPr>
          <w:sz w:val="24"/>
          <w:szCs w:val="24"/>
        </w:rPr>
        <w:t>pro</w:t>
      </w:r>
      <w:r w:rsidRPr="005A30CE">
        <w:rPr>
          <w:sz w:val="24"/>
          <w:szCs w:val="24"/>
        </w:rPr>
        <w:softHyphen/>
        <w:t>arytmiske</w:t>
      </w:r>
      <w:proofErr w:type="spellEnd"/>
      <w:r w:rsidRPr="005A30CE">
        <w:rPr>
          <w:sz w:val="24"/>
          <w:szCs w:val="24"/>
        </w:rPr>
        <w:t xml:space="preserve"> tilstande (særligt kvinder og ældre). Dette gælder for eksempel for patienter med:</w:t>
      </w:r>
    </w:p>
    <w:p w:rsidR="005A30CE" w:rsidRPr="005A30CE" w:rsidRDefault="005A30CE" w:rsidP="00F7226B">
      <w:pPr>
        <w:numPr>
          <w:ilvl w:val="0"/>
          <w:numId w:val="6"/>
        </w:numPr>
        <w:tabs>
          <w:tab w:val="clear" w:pos="1871"/>
          <w:tab w:val="left" w:pos="851"/>
          <w:tab w:val="num" w:pos="1134"/>
        </w:tabs>
        <w:ind w:left="1134" w:hanging="283"/>
        <w:rPr>
          <w:sz w:val="24"/>
          <w:szCs w:val="24"/>
        </w:rPr>
      </w:pPr>
      <w:r w:rsidRPr="005A30CE">
        <w:rPr>
          <w:sz w:val="24"/>
          <w:szCs w:val="24"/>
        </w:rPr>
        <w:t>medfødt eller dokumenteret forlænget QT-interval</w:t>
      </w:r>
    </w:p>
    <w:p w:rsidR="005A30CE" w:rsidRPr="005A30CE" w:rsidRDefault="005A30CE" w:rsidP="00F7226B">
      <w:pPr>
        <w:numPr>
          <w:ilvl w:val="0"/>
          <w:numId w:val="6"/>
        </w:numPr>
        <w:tabs>
          <w:tab w:val="clear" w:pos="1871"/>
          <w:tab w:val="left" w:pos="851"/>
          <w:tab w:val="num" w:pos="1134"/>
        </w:tabs>
        <w:ind w:left="1134" w:hanging="283"/>
        <w:rPr>
          <w:sz w:val="24"/>
          <w:szCs w:val="24"/>
        </w:rPr>
      </w:pPr>
      <w:r w:rsidRPr="005A30CE">
        <w:rPr>
          <w:sz w:val="24"/>
          <w:szCs w:val="24"/>
        </w:rPr>
        <w:t xml:space="preserve">aktiv behandling med lægemidler, der forlænger QT-intervallet, f.eks. </w:t>
      </w:r>
      <w:proofErr w:type="spellStart"/>
      <w:r w:rsidRPr="005A30CE">
        <w:rPr>
          <w:sz w:val="24"/>
          <w:szCs w:val="24"/>
        </w:rPr>
        <w:t>antiarytmika</w:t>
      </w:r>
      <w:proofErr w:type="spellEnd"/>
      <w:r w:rsidRPr="005A30CE">
        <w:rPr>
          <w:sz w:val="24"/>
          <w:szCs w:val="24"/>
        </w:rPr>
        <w:t xml:space="preserve"> klasse IA (</w:t>
      </w:r>
      <w:proofErr w:type="spellStart"/>
      <w:r w:rsidRPr="005A30CE">
        <w:rPr>
          <w:sz w:val="24"/>
          <w:szCs w:val="24"/>
        </w:rPr>
        <w:t>kinidin</w:t>
      </w:r>
      <w:proofErr w:type="spellEnd"/>
      <w:r w:rsidRPr="005A30CE">
        <w:rPr>
          <w:sz w:val="24"/>
          <w:szCs w:val="24"/>
        </w:rPr>
        <w:t xml:space="preserve"> og </w:t>
      </w:r>
      <w:proofErr w:type="spellStart"/>
      <w:r w:rsidRPr="005A30CE">
        <w:rPr>
          <w:sz w:val="24"/>
          <w:szCs w:val="24"/>
        </w:rPr>
        <w:t>procanivamid</w:t>
      </w:r>
      <w:proofErr w:type="spellEnd"/>
      <w:r w:rsidRPr="005A30CE">
        <w:rPr>
          <w:sz w:val="24"/>
          <w:szCs w:val="24"/>
        </w:rPr>
        <w:t>) og klasse III (</w:t>
      </w:r>
      <w:proofErr w:type="spellStart"/>
      <w:r w:rsidRPr="005A30CE">
        <w:rPr>
          <w:sz w:val="24"/>
          <w:szCs w:val="24"/>
        </w:rPr>
        <w:t>dofetilid</w:t>
      </w:r>
      <w:proofErr w:type="spellEnd"/>
      <w:r w:rsidRPr="005A30CE">
        <w:rPr>
          <w:sz w:val="24"/>
          <w:szCs w:val="24"/>
        </w:rPr>
        <w:t xml:space="preserve">, </w:t>
      </w:r>
      <w:proofErr w:type="spellStart"/>
      <w:r w:rsidRPr="005A30CE">
        <w:rPr>
          <w:sz w:val="24"/>
          <w:szCs w:val="24"/>
        </w:rPr>
        <w:t>amiodaron</w:t>
      </w:r>
      <w:proofErr w:type="spellEnd"/>
      <w:r w:rsidRPr="005A30CE">
        <w:rPr>
          <w:sz w:val="24"/>
          <w:szCs w:val="24"/>
        </w:rPr>
        <w:t xml:space="preserve"> og </w:t>
      </w:r>
      <w:proofErr w:type="spellStart"/>
      <w:r w:rsidRPr="005A30CE">
        <w:rPr>
          <w:sz w:val="24"/>
          <w:szCs w:val="24"/>
        </w:rPr>
        <w:t>sotalol</w:t>
      </w:r>
      <w:proofErr w:type="spellEnd"/>
      <w:r w:rsidRPr="005A30CE">
        <w:rPr>
          <w:sz w:val="24"/>
          <w:szCs w:val="24"/>
        </w:rPr>
        <w:t xml:space="preserve">), </w:t>
      </w:r>
      <w:proofErr w:type="spellStart"/>
      <w:r w:rsidRPr="005A30CE">
        <w:rPr>
          <w:sz w:val="24"/>
          <w:szCs w:val="24"/>
        </w:rPr>
        <w:t>cisaprid</w:t>
      </w:r>
      <w:proofErr w:type="spellEnd"/>
      <w:r w:rsidRPr="005A30CE">
        <w:rPr>
          <w:sz w:val="24"/>
          <w:szCs w:val="24"/>
        </w:rPr>
        <w:t xml:space="preserve"> og </w:t>
      </w:r>
      <w:proofErr w:type="spellStart"/>
      <w:r w:rsidRPr="005A30CE">
        <w:rPr>
          <w:sz w:val="24"/>
          <w:szCs w:val="24"/>
        </w:rPr>
        <w:t>terfenadin</w:t>
      </w:r>
      <w:proofErr w:type="spellEnd"/>
      <w:r w:rsidRPr="005A30CE">
        <w:rPr>
          <w:sz w:val="24"/>
          <w:szCs w:val="24"/>
        </w:rPr>
        <w:t xml:space="preserve">, antipsykotika (f.eks. </w:t>
      </w:r>
      <w:proofErr w:type="spellStart"/>
      <w:r w:rsidRPr="005A30CE">
        <w:rPr>
          <w:sz w:val="24"/>
          <w:szCs w:val="24"/>
        </w:rPr>
        <w:t>pimozid</w:t>
      </w:r>
      <w:proofErr w:type="spellEnd"/>
      <w:r w:rsidRPr="005A30CE">
        <w:rPr>
          <w:sz w:val="24"/>
          <w:szCs w:val="24"/>
        </w:rPr>
        <w:t xml:space="preserve">), </w:t>
      </w:r>
      <w:proofErr w:type="spellStart"/>
      <w:r w:rsidRPr="005A30CE">
        <w:rPr>
          <w:sz w:val="24"/>
          <w:szCs w:val="24"/>
        </w:rPr>
        <w:t>antidepressiva</w:t>
      </w:r>
      <w:proofErr w:type="spellEnd"/>
      <w:r w:rsidRPr="005A30CE">
        <w:rPr>
          <w:sz w:val="24"/>
          <w:szCs w:val="24"/>
        </w:rPr>
        <w:t xml:space="preserve"> (f.eks. </w:t>
      </w:r>
      <w:proofErr w:type="spellStart"/>
      <w:r w:rsidRPr="005A30CE">
        <w:rPr>
          <w:sz w:val="24"/>
          <w:szCs w:val="24"/>
        </w:rPr>
        <w:t>citalopram</w:t>
      </w:r>
      <w:proofErr w:type="spellEnd"/>
      <w:r w:rsidRPr="005A30CE">
        <w:rPr>
          <w:sz w:val="24"/>
          <w:szCs w:val="24"/>
        </w:rPr>
        <w:t xml:space="preserve">) og </w:t>
      </w:r>
      <w:proofErr w:type="spellStart"/>
      <w:r w:rsidRPr="005A30CE">
        <w:rPr>
          <w:sz w:val="24"/>
          <w:szCs w:val="24"/>
        </w:rPr>
        <w:t>fluorokinoloner</w:t>
      </w:r>
      <w:proofErr w:type="spellEnd"/>
      <w:r w:rsidRPr="005A30CE">
        <w:rPr>
          <w:sz w:val="24"/>
          <w:szCs w:val="24"/>
        </w:rPr>
        <w:t xml:space="preserve"> (f.eks. </w:t>
      </w:r>
      <w:proofErr w:type="spellStart"/>
      <w:r w:rsidRPr="005A30CE">
        <w:rPr>
          <w:sz w:val="24"/>
          <w:szCs w:val="24"/>
        </w:rPr>
        <w:t>moxifloxacin</w:t>
      </w:r>
      <w:proofErr w:type="spellEnd"/>
      <w:r w:rsidRPr="005A30CE">
        <w:rPr>
          <w:sz w:val="24"/>
          <w:szCs w:val="24"/>
        </w:rPr>
        <w:t xml:space="preserve"> og </w:t>
      </w:r>
      <w:proofErr w:type="spellStart"/>
      <w:r w:rsidRPr="005A30CE">
        <w:rPr>
          <w:sz w:val="24"/>
          <w:szCs w:val="24"/>
        </w:rPr>
        <w:t>levofloxacin</w:t>
      </w:r>
      <w:proofErr w:type="spellEnd"/>
      <w:r w:rsidRPr="005A30CE">
        <w:rPr>
          <w:sz w:val="24"/>
          <w:szCs w:val="24"/>
        </w:rPr>
        <w:t>).</w:t>
      </w:r>
    </w:p>
    <w:p w:rsidR="005A30CE" w:rsidRPr="005A30CE" w:rsidRDefault="005A30CE" w:rsidP="00F7226B">
      <w:pPr>
        <w:numPr>
          <w:ilvl w:val="0"/>
          <w:numId w:val="6"/>
        </w:numPr>
        <w:tabs>
          <w:tab w:val="clear" w:pos="1871"/>
          <w:tab w:val="left" w:pos="851"/>
          <w:tab w:val="num" w:pos="1134"/>
        </w:tabs>
        <w:ind w:left="1134" w:hanging="283"/>
        <w:rPr>
          <w:sz w:val="24"/>
          <w:szCs w:val="24"/>
        </w:rPr>
      </w:pPr>
      <w:r w:rsidRPr="005A30CE">
        <w:rPr>
          <w:sz w:val="24"/>
          <w:szCs w:val="24"/>
        </w:rPr>
        <w:t xml:space="preserve">elektrolytforstyrrelser, særligt i tilfælde af </w:t>
      </w:r>
      <w:proofErr w:type="spellStart"/>
      <w:r w:rsidRPr="005A30CE">
        <w:rPr>
          <w:sz w:val="24"/>
          <w:szCs w:val="24"/>
        </w:rPr>
        <w:t>hypokaliæmi</w:t>
      </w:r>
      <w:proofErr w:type="spellEnd"/>
      <w:r w:rsidRPr="005A30CE">
        <w:rPr>
          <w:sz w:val="24"/>
          <w:szCs w:val="24"/>
        </w:rPr>
        <w:t xml:space="preserve"> og </w:t>
      </w:r>
      <w:proofErr w:type="spellStart"/>
      <w:r w:rsidRPr="005A30CE">
        <w:rPr>
          <w:sz w:val="24"/>
          <w:szCs w:val="24"/>
        </w:rPr>
        <w:t>hypomagnesæmi</w:t>
      </w:r>
      <w:proofErr w:type="spellEnd"/>
    </w:p>
    <w:p w:rsidR="005A30CE" w:rsidRPr="005A30CE" w:rsidRDefault="005A30CE" w:rsidP="00F7226B">
      <w:pPr>
        <w:numPr>
          <w:ilvl w:val="0"/>
          <w:numId w:val="6"/>
        </w:numPr>
        <w:tabs>
          <w:tab w:val="clear" w:pos="1871"/>
          <w:tab w:val="left" w:pos="851"/>
          <w:tab w:val="num" w:pos="1134"/>
        </w:tabs>
        <w:ind w:left="1134" w:hanging="283"/>
        <w:rPr>
          <w:sz w:val="24"/>
          <w:szCs w:val="24"/>
        </w:rPr>
      </w:pPr>
      <w:r w:rsidRPr="005A30CE">
        <w:rPr>
          <w:sz w:val="24"/>
          <w:szCs w:val="24"/>
        </w:rPr>
        <w:t xml:space="preserve">klinisk relevant bradykardi, </w:t>
      </w:r>
      <w:proofErr w:type="spellStart"/>
      <w:r w:rsidRPr="005A30CE">
        <w:rPr>
          <w:sz w:val="24"/>
          <w:szCs w:val="24"/>
        </w:rPr>
        <w:t>hjertearytmi</w:t>
      </w:r>
      <w:proofErr w:type="spellEnd"/>
      <w:r w:rsidRPr="005A30CE">
        <w:rPr>
          <w:sz w:val="24"/>
          <w:szCs w:val="24"/>
        </w:rPr>
        <w:t xml:space="preserve"> og alvorlig hjerteinsufficiens.</w:t>
      </w:r>
    </w:p>
    <w:p w:rsidR="005A30CE" w:rsidRPr="005A30CE" w:rsidRDefault="005A30CE" w:rsidP="00F7226B">
      <w:pPr>
        <w:tabs>
          <w:tab w:val="left" w:pos="851"/>
          <w:tab w:val="num" w:pos="1134"/>
        </w:tabs>
        <w:ind w:left="1134" w:hanging="283"/>
        <w:rPr>
          <w:sz w:val="24"/>
          <w:szCs w:val="24"/>
        </w:rPr>
      </w:pPr>
    </w:p>
    <w:p w:rsidR="005A30CE" w:rsidRPr="00BB5B3B" w:rsidRDefault="005A30CE" w:rsidP="005A30CE">
      <w:pPr>
        <w:tabs>
          <w:tab w:val="left" w:pos="840"/>
        </w:tabs>
        <w:ind w:left="851"/>
        <w:rPr>
          <w:iCs/>
          <w:sz w:val="24"/>
          <w:szCs w:val="24"/>
          <w:u w:val="single"/>
        </w:rPr>
      </w:pPr>
      <w:proofErr w:type="spellStart"/>
      <w:r w:rsidRPr="00BB5B3B">
        <w:rPr>
          <w:iCs/>
          <w:sz w:val="24"/>
          <w:szCs w:val="24"/>
          <w:u w:val="single"/>
        </w:rPr>
        <w:t>Myastenia</w:t>
      </w:r>
      <w:proofErr w:type="spellEnd"/>
      <w:r w:rsidRPr="00BB5B3B">
        <w:rPr>
          <w:iCs/>
          <w:sz w:val="24"/>
          <w:szCs w:val="24"/>
          <w:u w:val="single"/>
        </w:rPr>
        <w:t xml:space="preserve"> </w:t>
      </w:r>
      <w:proofErr w:type="spellStart"/>
      <w:r w:rsidRPr="00BB5B3B">
        <w:rPr>
          <w:iCs/>
          <w:sz w:val="24"/>
          <w:szCs w:val="24"/>
          <w:u w:val="single"/>
        </w:rPr>
        <w:t>gravis</w:t>
      </w:r>
      <w:proofErr w:type="spellEnd"/>
    </w:p>
    <w:p w:rsidR="005A30CE" w:rsidRPr="005A30CE" w:rsidRDefault="005A30CE" w:rsidP="005A30CE">
      <w:pPr>
        <w:tabs>
          <w:tab w:val="left" w:pos="840"/>
        </w:tabs>
        <w:ind w:left="851"/>
        <w:rPr>
          <w:sz w:val="24"/>
          <w:szCs w:val="24"/>
        </w:rPr>
      </w:pPr>
      <w:r w:rsidRPr="005A30CE">
        <w:rPr>
          <w:sz w:val="24"/>
          <w:szCs w:val="24"/>
        </w:rPr>
        <w:t xml:space="preserve">Forværring af symptomer på </w:t>
      </w:r>
      <w:proofErr w:type="spellStart"/>
      <w:r w:rsidRPr="005A30CE">
        <w:rPr>
          <w:sz w:val="24"/>
          <w:szCs w:val="24"/>
        </w:rPr>
        <w:t>myastenia</w:t>
      </w:r>
      <w:proofErr w:type="spellEnd"/>
      <w:r w:rsidRPr="005A30CE">
        <w:rPr>
          <w:sz w:val="24"/>
          <w:szCs w:val="24"/>
        </w:rPr>
        <w:t xml:space="preserve"> </w:t>
      </w:r>
      <w:proofErr w:type="spellStart"/>
      <w:r w:rsidRPr="005A30CE">
        <w:rPr>
          <w:sz w:val="24"/>
          <w:szCs w:val="24"/>
        </w:rPr>
        <w:t>gravis</w:t>
      </w:r>
      <w:proofErr w:type="spellEnd"/>
      <w:r w:rsidRPr="005A30CE">
        <w:rPr>
          <w:sz w:val="24"/>
          <w:szCs w:val="24"/>
        </w:rPr>
        <w:t xml:space="preserve"> og nyopstået </w:t>
      </w:r>
      <w:proofErr w:type="spellStart"/>
      <w:r w:rsidRPr="005A30CE">
        <w:rPr>
          <w:sz w:val="24"/>
          <w:szCs w:val="24"/>
        </w:rPr>
        <w:t>myasteniasyndrom</w:t>
      </w:r>
      <w:proofErr w:type="spellEnd"/>
      <w:r w:rsidRPr="005A30CE">
        <w:rPr>
          <w:sz w:val="24"/>
          <w:szCs w:val="24"/>
        </w:rPr>
        <w:t xml:space="preserve"> er set hos patienter i behandling med </w:t>
      </w:r>
      <w:proofErr w:type="spellStart"/>
      <w:r w:rsidRPr="005A30CE">
        <w:rPr>
          <w:sz w:val="24"/>
          <w:szCs w:val="24"/>
        </w:rPr>
        <w:t>azithromycin</w:t>
      </w:r>
      <w:proofErr w:type="spellEnd"/>
      <w:r w:rsidRPr="005A30CE">
        <w:rPr>
          <w:sz w:val="24"/>
          <w:szCs w:val="24"/>
        </w:rPr>
        <w:t xml:space="preserve"> (se pkt. 4.8).</w:t>
      </w:r>
    </w:p>
    <w:p w:rsidR="005A30CE" w:rsidRPr="005A30CE" w:rsidRDefault="005A30CE" w:rsidP="005A30CE">
      <w:pPr>
        <w:tabs>
          <w:tab w:val="left" w:pos="840"/>
        </w:tabs>
        <w:ind w:left="851"/>
        <w:rPr>
          <w:sz w:val="24"/>
          <w:szCs w:val="24"/>
        </w:rPr>
      </w:pPr>
    </w:p>
    <w:p w:rsidR="005A30CE" w:rsidRPr="00BB5B3B" w:rsidRDefault="005A30CE" w:rsidP="005A30CE">
      <w:pPr>
        <w:tabs>
          <w:tab w:val="left" w:pos="840"/>
        </w:tabs>
        <w:ind w:left="851"/>
        <w:rPr>
          <w:iCs/>
          <w:sz w:val="24"/>
          <w:szCs w:val="24"/>
          <w:u w:val="single"/>
        </w:rPr>
      </w:pPr>
      <w:r w:rsidRPr="00BB5B3B">
        <w:rPr>
          <w:iCs/>
          <w:sz w:val="24"/>
          <w:szCs w:val="24"/>
          <w:u w:val="single"/>
        </w:rPr>
        <w:t>Pædiatrisk population</w:t>
      </w:r>
    </w:p>
    <w:p w:rsidR="005A30CE" w:rsidRPr="005A30CE" w:rsidRDefault="005A30CE" w:rsidP="005A30CE">
      <w:pPr>
        <w:tabs>
          <w:tab w:val="left" w:pos="840"/>
        </w:tabs>
        <w:ind w:left="851"/>
        <w:rPr>
          <w:sz w:val="24"/>
          <w:szCs w:val="24"/>
        </w:rPr>
      </w:pPr>
      <w:r w:rsidRPr="005A30CE">
        <w:rPr>
          <w:sz w:val="24"/>
          <w:szCs w:val="24"/>
        </w:rPr>
        <w:t xml:space="preserve">Sikkerhed og virkning af intravenøs </w:t>
      </w:r>
      <w:proofErr w:type="spellStart"/>
      <w:r w:rsidRPr="005A30CE">
        <w:rPr>
          <w:sz w:val="24"/>
          <w:szCs w:val="24"/>
        </w:rPr>
        <w:t>azithromycin</w:t>
      </w:r>
      <w:proofErr w:type="spellEnd"/>
      <w:r w:rsidRPr="005A30CE">
        <w:rPr>
          <w:sz w:val="24"/>
          <w:szCs w:val="24"/>
        </w:rPr>
        <w:t xml:space="preserve"> til behandling af infektioner hos børn er ikke fastslået.</w:t>
      </w:r>
    </w:p>
    <w:p w:rsidR="005A30CE" w:rsidRPr="005A30CE" w:rsidRDefault="005A30CE" w:rsidP="005A30CE">
      <w:pPr>
        <w:tabs>
          <w:tab w:val="left" w:pos="840"/>
        </w:tabs>
        <w:ind w:left="851"/>
        <w:rPr>
          <w:sz w:val="24"/>
          <w:szCs w:val="24"/>
        </w:rPr>
      </w:pPr>
    </w:p>
    <w:p w:rsidR="005A30CE" w:rsidRPr="005A30CE" w:rsidRDefault="005A30CE" w:rsidP="005A30CE">
      <w:pPr>
        <w:tabs>
          <w:tab w:val="left" w:pos="840"/>
        </w:tabs>
        <w:ind w:left="851"/>
        <w:rPr>
          <w:sz w:val="24"/>
          <w:szCs w:val="24"/>
        </w:rPr>
      </w:pPr>
      <w:r w:rsidRPr="005A30CE">
        <w:rPr>
          <w:sz w:val="24"/>
          <w:szCs w:val="24"/>
        </w:rPr>
        <w:t xml:space="preserve">Sikkerhed og virkning ved forebyggelse eller behandling af </w:t>
      </w:r>
      <w:proofErr w:type="spellStart"/>
      <w:r w:rsidRPr="005A30CE">
        <w:rPr>
          <w:i/>
          <w:iCs/>
          <w:sz w:val="24"/>
          <w:szCs w:val="24"/>
        </w:rPr>
        <w:t>Mycobacterium</w:t>
      </w:r>
      <w:proofErr w:type="spellEnd"/>
      <w:r w:rsidRPr="005A30CE">
        <w:rPr>
          <w:i/>
          <w:iCs/>
          <w:sz w:val="24"/>
          <w:szCs w:val="24"/>
        </w:rPr>
        <w:t xml:space="preserve"> </w:t>
      </w:r>
      <w:proofErr w:type="spellStart"/>
      <w:r w:rsidRPr="005A30CE">
        <w:rPr>
          <w:i/>
          <w:iCs/>
          <w:sz w:val="24"/>
          <w:szCs w:val="24"/>
        </w:rPr>
        <w:t>avium</w:t>
      </w:r>
      <w:proofErr w:type="spellEnd"/>
      <w:r w:rsidRPr="005A30CE">
        <w:rPr>
          <w:sz w:val="24"/>
          <w:szCs w:val="24"/>
        </w:rPr>
        <w:t xml:space="preserve"> </w:t>
      </w:r>
      <w:proofErr w:type="spellStart"/>
      <w:r w:rsidRPr="005A30CE">
        <w:rPr>
          <w:sz w:val="24"/>
          <w:szCs w:val="24"/>
        </w:rPr>
        <w:t>complex</w:t>
      </w:r>
      <w:proofErr w:type="spellEnd"/>
      <w:r w:rsidRPr="005A30CE">
        <w:rPr>
          <w:sz w:val="24"/>
          <w:szCs w:val="24"/>
        </w:rPr>
        <w:t xml:space="preserve"> (MAC) hos børn er ikke fastslået.</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sz w:val="24"/>
          <w:szCs w:val="24"/>
          <w:u w:val="single"/>
        </w:rPr>
      </w:pPr>
      <w:r w:rsidRPr="005A30CE">
        <w:rPr>
          <w:sz w:val="24"/>
          <w:szCs w:val="24"/>
          <w:u w:val="single"/>
        </w:rPr>
        <w:t>Intravenøs administration</w:t>
      </w:r>
    </w:p>
    <w:p w:rsidR="005A30CE" w:rsidRPr="005A30CE" w:rsidRDefault="005A30CE" w:rsidP="005A30CE">
      <w:pPr>
        <w:tabs>
          <w:tab w:val="left" w:pos="851"/>
        </w:tabs>
        <w:ind w:left="851"/>
        <w:rPr>
          <w:sz w:val="24"/>
          <w:szCs w:val="24"/>
        </w:rPr>
      </w:pPr>
      <w:proofErr w:type="spellStart"/>
      <w:r w:rsidRPr="005A30CE">
        <w:rPr>
          <w:sz w:val="24"/>
          <w:szCs w:val="24"/>
        </w:rPr>
        <w:t>Azithromycin</w:t>
      </w:r>
      <w:proofErr w:type="spellEnd"/>
      <w:r w:rsidRPr="005A30CE">
        <w:rPr>
          <w:sz w:val="24"/>
          <w:szCs w:val="24"/>
        </w:rPr>
        <w:t xml:space="preserve"> skal administreres intravenøst (i henhold til vejledningen for </w:t>
      </w:r>
      <w:proofErr w:type="spellStart"/>
      <w:r w:rsidRPr="005A30CE">
        <w:rPr>
          <w:sz w:val="24"/>
          <w:szCs w:val="24"/>
        </w:rPr>
        <w:t>rekonstitution</w:t>
      </w:r>
      <w:proofErr w:type="spellEnd"/>
      <w:r w:rsidRPr="005A30CE">
        <w:rPr>
          <w:sz w:val="24"/>
          <w:szCs w:val="24"/>
        </w:rPr>
        <w:t xml:space="preserve"> og fortynding) og indgives over mindst 60 minutter. </w:t>
      </w:r>
      <w:r w:rsidRPr="005A30CE">
        <w:rPr>
          <w:b/>
          <w:sz w:val="24"/>
          <w:szCs w:val="24"/>
        </w:rPr>
        <w:t xml:space="preserve">Må ikke indgives som intravenøs </w:t>
      </w:r>
      <w:proofErr w:type="spellStart"/>
      <w:r w:rsidRPr="005A30CE">
        <w:rPr>
          <w:b/>
          <w:sz w:val="24"/>
          <w:szCs w:val="24"/>
        </w:rPr>
        <w:t>bolus</w:t>
      </w:r>
      <w:proofErr w:type="spellEnd"/>
      <w:r w:rsidRPr="005A30CE">
        <w:rPr>
          <w:b/>
          <w:sz w:val="24"/>
          <w:szCs w:val="24"/>
        </w:rPr>
        <w:t xml:space="preserve"> eller intramuskulær injektion (se pkt. 4.2 og 6.6).</w:t>
      </w:r>
      <w:r w:rsidRPr="005A30CE">
        <w:rPr>
          <w:sz w:val="24"/>
          <w:szCs w:val="24"/>
        </w:rPr>
        <w:t xml:space="preserve"> </w:t>
      </w:r>
    </w:p>
    <w:p w:rsidR="005A30CE" w:rsidRPr="005A30CE" w:rsidRDefault="005A30CE" w:rsidP="005A30CE">
      <w:pPr>
        <w:tabs>
          <w:tab w:val="left" w:pos="851"/>
        </w:tabs>
        <w:ind w:left="851"/>
        <w:rPr>
          <w:sz w:val="24"/>
          <w:szCs w:val="24"/>
        </w:rPr>
      </w:pPr>
    </w:p>
    <w:p w:rsidR="005A30CE" w:rsidRPr="005A30CE" w:rsidRDefault="005A30CE" w:rsidP="005A30CE">
      <w:pPr>
        <w:tabs>
          <w:tab w:val="left" w:pos="851"/>
        </w:tabs>
        <w:ind w:left="851"/>
        <w:rPr>
          <w:i/>
          <w:iCs/>
          <w:sz w:val="24"/>
          <w:szCs w:val="24"/>
        </w:rPr>
      </w:pPr>
      <w:r w:rsidRPr="005A30CE">
        <w:rPr>
          <w:i/>
          <w:iCs/>
          <w:sz w:val="24"/>
          <w:szCs w:val="24"/>
        </w:rPr>
        <w:t>Reaktioner på infusionsstedet</w:t>
      </w:r>
    </w:p>
    <w:p w:rsidR="005A30CE" w:rsidRPr="005A30CE" w:rsidRDefault="005A30CE" w:rsidP="005A30CE">
      <w:pPr>
        <w:tabs>
          <w:tab w:val="left" w:pos="851"/>
        </w:tabs>
        <w:ind w:left="851"/>
        <w:rPr>
          <w:sz w:val="24"/>
          <w:szCs w:val="24"/>
        </w:rPr>
      </w:pPr>
      <w:r w:rsidRPr="005A30CE">
        <w:rPr>
          <w:sz w:val="24"/>
          <w:szCs w:val="24"/>
        </w:rPr>
        <w:t>Alle frivillige forsøgspersoner, som har fået infusionskoncentrationer over 2,0 mg/ml, fik lokale reaktioner på infusionsstedet (lokal smerte og inflammation på infusionsstedet), hvorfor højere koncentrationer bør undgås.</w:t>
      </w:r>
    </w:p>
    <w:p w:rsidR="005A30CE" w:rsidRPr="005A30CE" w:rsidRDefault="005A30CE" w:rsidP="005A30CE">
      <w:pPr>
        <w:tabs>
          <w:tab w:val="left" w:pos="851"/>
        </w:tabs>
        <w:ind w:left="851"/>
        <w:rPr>
          <w:sz w:val="24"/>
          <w:szCs w:val="24"/>
        </w:rPr>
      </w:pPr>
      <w:r w:rsidRPr="005A30CE">
        <w:rPr>
          <w:sz w:val="24"/>
          <w:szCs w:val="24"/>
        </w:rPr>
        <w:lastRenderedPageBreak/>
        <w:t xml:space="preserve">   </w:t>
      </w:r>
    </w:p>
    <w:p w:rsidR="005A30CE" w:rsidRPr="005A30CE" w:rsidRDefault="005A30CE" w:rsidP="005A30CE">
      <w:pPr>
        <w:tabs>
          <w:tab w:val="left" w:pos="851"/>
        </w:tabs>
        <w:ind w:left="851"/>
        <w:rPr>
          <w:sz w:val="24"/>
          <w:szCs w:val="24"/>
        </w:rPr>
      </w:pPr>
      <w:r w:rsidRPr="005A30CE">
        <w:rPr>
          <w:sz w:val="24"/>
          <w:szCs w:val="24"/>
        </w:rPr>
        <w:t xml:space="preserve">Dette lægemiddel indeholder 114 mg natrium pr. hætteglas, svarende til 5,7 % af </w:t>
      </w:r>
      <w:proofErr w:type="gramStart"/>
      <w:r w:rsidRPr="005A30CE">
        <w:rPr>
          <w:sz w:val="24"/>
          <w:szCs w:val="24"/>
        </w:rPr>
        <w:t>WHO's  maksimale</w:t>
      </w:r>
      <w:proofErr w:type="gramEnd"/>
      <w:r w:rsidRPr="005A30CE">
        <w:rPr>
          <w:sz w:val="24"/>
          <w:szCs w:val="24"/>
        </w:rPr>
        <w:t xml:space="preserve"> daglige anbefalede mængde på 2 g natrium for en voksen.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B5B3B" w:rsidRPr="00BB5B3B" w:rsidRDefault="00BB5B3B" w:rsidP="00BB5B3B">
      <w:pPr>
        <w:tabs>
          <w:tab w:val="left" w:pos="851"/>
        </w:tabs>
        <w:ind w:left="851"/>
        <w:rPr>
          <w:i/>
          <w:sz w:val="24"/>
          <w:szCs w:val="24"/>
        </w:rPr>
      </w:pPr>
    </w:p>
    <w:p w:rsidR="00265736" w:rsidRPr="00A87638" w:rsidRDefault="00BB5B3B" w:rsidP="00BB5B3B">
      <w:pPr>
        <w:tabs>
          <w:tab w:val="left" w:pos="851"/>
        </w:tabs>
        <w:ind w:left="851"/>
        <w:rPr>
          <w:sz w:val="24"/>
          <w:szCs w:val="24"/>
          <w:u w:val="single"/>
        </w:rPr>
      </w:pPr>
      <w:proofErr w:type="spellStart"/>
      <w:r w:rsidRPr="00A87638">
        <w:rPr>
          <w:sz w:val="24"/>
          <w:szCs w:val="24"/>
          <w:u w:val="single"/>
        </w:rPr>
        <w:t>Antacida</w:t>
      </w:r>
      <w:proofErr w:type="spellEnd"/>
    </w:p>
    <w:p w:rsidR="00BB5B3B" w:rsidRPr="00BB5B3B" w:rsidRDefault="00BB5B3B" w:rsidP="00BB5B3B">
      <w:pPr>
        <w:tabs>
          <w:tab w:val="left" w:pos="851"/>
        </w:tabs>
        <w:ind w:left="851"/>
        <w:rPr>
          <w:sz w:val="24"/>
          <w:szCs w:val="24"/>
        </w:rPr>
      </w:pPr>
      <w:r w:rsidRPr="00BB5B3B">
        <w:rPr>
          <w:sz w:val="24"/>
          <w:szCs w:val="24"/>
        </w:rPr>
        <w:t xml:space="preserve">Et </w:t>
      </w:r>
      <w:proofErr w:type="spellStart"/>
      <w:r w:rsidRPr="00BB5B3B">
        <w:rPr>
          <w:sz w:val="24"/>
          <w:szCs w:val="24"/>
        </w:rPr>
        <w:t>farmakokinetisk</w:t>
      </w:r>
      <w:proofErr w:type="spellEnd"/>
      <w:r w:rsidRPr="00BB5B3B">
        <w:rPr>
          <w:sz w:val="24"/>
          <w:szCs w:val="24"/>
        </w:rPr>
        <w:t xml:space="preserve"> studie, der undersøgte effekt af samtidig indgift af </w:t>
      </w:r>
      <w:proofErr w:type="spellStart"/>
      <w:r w:rsidRPr="00BB5B3B">
        <w:rPr>
          <w:sz w:val="24"/>
          <w:szCs w:val="24"/>
        </w:rPr>
        <w:t>antacida</w:t>
      </w:r>
      <w:proofErr w:type="spellEnd"/>
      <w:r w:rsidRPr="00BB5B3B">
        <w:rPr>
          <w:sz w:val="24"/>
          <w:szCs w:val="24"/>
        </w:rPr>
        <w:t xml:space="preserve"> med </w:t>
      </w:r>
      <w:proofErr w:type="spellStart"/>
      <w:r w:rsidRPr="00BB5B3B">
        <w:rPr>
          <w:sz w:val="24"/>
          <w:szCs w:val="24"/>
        </w:rPr>
        <w:t>azithromycin</w:t>
      </w:r>
      <w:proofErr w:type="spellEnd"/>
      <w:r w:rsidRPr="00BB5B3B">
        <w:rPr>
          <w:sz w:val="24"/>
          <w:szCs w:val="24"/>
        </w:rPr>
        <w:t xml:space="preserve"> viste ingen generel effekt på biotilgængelighed selvom de maksimale serumkoncentrationer blev reduceret med 24 %. Patienter der får både </w:t>
      </w:r>
      <w:proofErr w:type="spellStart"/>
      <w:r w:rsidRPr="00BB5B3B">
        <w:rPr>
          <w:sz w:val="24"/>
          <w:szCs w:val="24"/>
        </w:rPr>
        <w:t>azithromycin</w:t>
      </w:r>
      <w:proofErr w:type="spellEnd"/>
      <w:r w:rsidRPr="00BB5B3B">
        <w:rPr>
          <w:sz w:val="24"/>
          <w:szCs w:val="24"/>
        </w:rPr>
        <w:t xml:space="preserve"> og </w:t>
      </w:r>
      <w:proofErr w:type="spellStart"/>
      <w:r w:rsidRPr="00BB5B3B">
        <w:rPr>
          <w:sz w:val="24"/>
          <w:szCs w:val="24"/>
        </w:rPr>
        <w:t>antacida</w:t>
      </w:r>
      <w:proofErr w:type="spellEnd"/>
      <w:r w:rsidRPr="00BB5B3B">
        <w:rPr>
          <w:sz w:val="24"/>
          <w:szCs w:val="24"/>
        </w:rPr>
        <w:t xml:space="preserve"> bør ikke tage lægemidlerne samtidig. </w:t>
      </w:r>
      <w:proofErr w:type="spellStart"/>
      <w:r w:rsidRPr="00BB5B3B">
        <w:rPr>
          <w:sz w:val="24"/>
          <w:szCs w:val="24"/>
        </w:rPr>
        <w:t>Antacida</w:t>
      </w:r>
      <w:proofErr w:type="spellEnd"/>
      <w:r w:rsidRPr="00BB5B3B">
        <w:rPr>
          <w:sz w:val="24"/>
          <w:szCs w:val="24"/>
        </w:rPr>
        <w:t xml:space="preserve"> skal tages mindst en time før eller to timer efter </w:t>
      </w:r>
      <w:proofErr w:type="spellStart"/>
      <w:r w:rsidRPr="00BB5B3B">
        <w:rPr>
          <w:sz w:val="24"/>
          <w:szCs w:val="24"/>
        </w:rPr>
        <w:t>azithromycin</w:t>
      </w:r>
      <w:proofErr w:type="spellEnd"/>
      <w:r w:rsidRPr="00BB5B3B">
        <w:rPr>
          <w:sz w:val="24"/>
          <w:szCs w:val="24"/>
        </w:rPr>
        <w:t>.</w:t>
      </w:r>
    </w:p>
    <w:p w:rsidR="00BB5B3B" w:rsidRPr="00BB5B3B" w:rsidRDefault="00BB5B3B" w:rsidP="00BB5B3B">
      <w:pPr>
        <w:tabs>
          <w:tab w:val="left" w:pos="851"/>
        </w:tabs>
        <w:ind w:left="851"/>
        <w:rPr>
          <w:sz w:val="24"/>
          <w:szCs w:val="24"/>
        </w:rPr>
      </w:pPr>
    </w:p>
    <w:p w:rsidR="00265736" w:rsidRPr="00A87638" w:rsidRDefault="00BB5B3B" w:rsidP="00BB5B3B">
      <w:pPr>
        <w:tabs>
          <w:tab w:val="left" w:pos="851"/>
        </w:tabs>
        <w:ind w:left="851"/>
        <w:rPr>
          <w:iCs/>
          <w:sz w:val="24"/>
          <w:szCs w:val="24"/>
          <w:u w:val="single"/>
        </w:rPr>
      </w:pPr>
      <w:proofErr w:type="spellStart"/>
      <w:r w:rsidRPr="00A87638">
        <w:rPr>
          <w:sz w:val="24"/>
          <w:szCs w:val="24"/>
          <w:u w:val="single"/>
        </w:rPr>
        <w:t>Cetirizin</w:t>
      </w:r>
      <w:proofErr w:type="spellEnd"/>
    </w:p>
    <w:p w:rsidR="00BB5B3B" w:rsidRPr="00BB5B3B" w:rsidRDefault="00BB5B3B" w:rsidP="00BB5B3B">
      <w:pPr>
        <w:tabs>
          <w:tab w:val="left" w:pos="851"/>
        </w:tabs>
        <w:ind w:left="851"/>
        <w:rPr>
          <w:iCs/>
          <w:sz w:val="24"/>
          <w:szCs w:val="24"/>
        </w:rPr>
      </w:pPr>
      <w:r w:rsidRPr="00BB5B3B">
        <w:rPr>
          <w:iCs/>
          <w:sz w:val="24"/>
          <w:szCs w:val="24"/>
        </w:rPr>
        <w:t xml:space="preserve">Samtidig behandling med </w:t>
      </w:r>
      <w:proofErr w:type="spellStart"/>
      <w:r w:rsidRPr="00BB5B3B">
        <w:rPr>
          <w:iCs/>
          <w:sz w:val="24"/>
          <w:szCs w:val="24"/>
        </w:rPr>
        <w:t>azithromycin</w:t>
      </w:r>
      <w:proofErr w:type="spellEnd"/>
      <w:r w:rsidRPr="00BB5B3B">
        <w:rPr>
          <w:iCs/>
          <w:sz w:val="24"/>
          <w:szCs w:val="24"/>
        </w:rPr>
        <w:t xml:space="preserve"> i fem dage og </w:t>
      </w:r>
      <w:proofErr w:type="spellStart"/>
      <w:r w:rsidRPr="00BB5B3B">
        <w:rPr>
          <w:iCs/>
          <w:sz w:val="24"/>
          <w:szCs w:val="24"/>
        </w:rPr>
        <w:t>cetirizin</w:t>
      </w:r>
      <w:proofErr w:type="spellEnd"/>
      <w:r w:rsidRPr="00BB5B3B">
        <w:rPr>
          <w:iCs/>
          <w:sz w:val="24"/>
          <w:szCs w:val="24"/>
        </w:rPr>
        <w:t xml:space="preserve"> 20 mg ved </w:t>
      </w:r>
      <w:proofErr w:type="spellStart"/>
      <w:r w:rsidRPr="00BB5B3B">
        <w:rPr>
          <w:iCs/>
          <w:sz w:val="24"/>
          <w:szCs w:val="24"/>
        </w:rPr>
        <w:t>steady</w:t>
      </w:r>
      <w:proofErr w:type="spellEnd"/>
      <w:r w:rsidRPr="00BB5B3B">
        <w:rPr>
          <w:iCs/>
          <w:sz w:val="24"/>
          <w:szCs w:val="24"/>
        </w:rPr>
        <w:t xml:space="preserve"> </w:t>
      </w:r>
      <w:proofErr w:type="spellStart"/>
      <w:r w:rsidRPr="00BB5B3B">
        <w:rPr>
          <w:iCs/>
          <w:sz w:val="24"/>
          <w:szCs w:val="24"/>
        </w:rPr>
        <w:t>state</w:t>
      </w:r>
      <w:proofErr w:type="spellEnd"/>
      <w:r w:rsidRPr="00BB5B3B">
        <w:rPr>
          <w:iCs/>
          <w:sz w:val="24"/>
          <w:szCs w:val="24"/>
        </w:rPr>
        <w:t xml:space="preserve"> resulterede ikke i nogen </w:t>
      </w:r>
      <w:proofErr w:type="spellStart"/>
      <w:r w:rsidRPr="00BB5B3B">
        <w:rPr>
          <w:iCs/>
          <w:sz w:val="24"/>
          <w:szCs w:val="24"/>
        </w:rPr>
        <w:t>farmakokinetisk</w:t>
      </w:r>
      <w:proofErr w:type="spellEnd"/>
      <w:r w:rsidRPr="00BB5B3B">
        <w:rPr>
          <w:iCs/>
          <w:sz w:val="24"/>
          <w:szCs w:val="24"/>
        </w:rPr>
        <w:t xml:space="preserve"> interaktion eller nogen signifikante ændringer i QT-intervallet hos raske frivillige forsøgspersoner.</w:t>
      </w:r>
    </w:p>
    <w:p w:rsidR="00BB5B3B" w:rsidRPr="00BB5B3B" w:rsidRDefault="00BB5B3B" w:rsidP="00BB5B3B">
      <w:pPr>
        <w:tabs>
          <w:tab w:val="left" w:pos="851"/>
        </w:tabs>
        <w:ind w:left="851"/>
        <w:rPr>
          <w:sz w:val="24"/>
          <w:szCs w:val="24"/>
        </w:rPr>
      </w:pPr>
    </w:p>
    <w:p w:rsidR="00265736" w:rsidRPr="00A87638" w:rsidRDefault="00BB5B3B" w:rsidP="00BB5B3B">
      <w:pPr>
        <w:tabs>
          <w:tab w:val="left" w:pos="851"/>
        </w:tabs>
        <w:ind w:left="851"/>
        <w:rPr>
          <w:sz w:val="24"/>
          <w:szCs w:val="24"/>
          <w:u w:val="single"/>
        </w:rPr>
      </w:pPr>
      <w:proofErr w:type="spellStart"/>
      <w:r w:rsidRPr="00A87638">
        <w:rPr>
          <w:sz w:val="24"/>
          <w:szCs w:val="24"/>
          <w:u w:val="single"/>
        </w:rPr>
        <w:t>Didanosin</w:t>
      </w:r>
      <w:proofErr w:type="spellEnd"/>
      <w:r w:rsidRPr="00A87638">
        <w:rPr>
          <w:sz w:val="24"/>
          <w:szCs w:val="24"/>
          <w:u w:val="single"/>
        </w:rPr>
        <w:t xml:space="preserve"> (</w:t>
      </w:r>
      <w:proofErr w:type="spellStart"/>
      <w:r w:rsidRPr="00A87638">
        <w:rPr>
          <w:sz w:val="24"/>
          <w:szCs w:val="24"/>
          <w:u w:val="single"/>
        </w:rPr>
        <w:t>dideoxyinosin</w:t>
      </w:r>
      <w:proofErr w:type="spellEnd"/>
      <w:r w:rsidRPr="00A87638">
        <w:rPr>
          <w:sz w:val="24"/>
          <w:szCs w:val="24"/>
          <w:u w:val="single"/>
        </w:rPr>
        <w:t>)</w:t>
      </w:r>
    </w:p>
    <w:p w:rsidR="00BB5B3B" w:rsidRPr="00BB5B3B" w:rsidRDefault="00BB5B3B" w:rsidP="00BB5B3B">
      <w:pPr>
        <w:tabs>
          <w:tab w:val="left" w:pos="851"/>
        </w:tabs>
        <w:ind w:left="851"/>
        <w:rPr>
          <w:sz w:val="24"/>
          <w:szCs w:val="24"/>
        </w:rPr>
      </w:pPr>
      <w:r w:rsidRPr="00BB5B3B">
        <w:rPr>
          <w:sz w:val="24"/>
          <w:szCs w:val="24"/>
        </w:rPr>
        <w:t xml:space="preserve">Samtidig indgift af </w:t>
      </w:r>
      <w:proofErr w:type="spellStart"/>
      <w:r w:rsidRPr="00BB5B3B">
        <w:rPr>
          <w:sz w:val="24"/>
          <w:szCs w:val="24"/>
        </w:rPr>
        <w:t>azithromycin</w:t>
      </w:r>
      <w:proofErr w:type="spellEnd"/>
      <w:r w:rsidRPr="00BB5B3B">
        <w:rPr>
          <w:sz w:val="24"/>
          <w:szCs w:val="24"/>
        </w:rPr>
        <w:t xml:space="preserve"> (1.200 mg/dag) og </w:t>
      </w:r>
      <w:proofErr w:type="spellStart"/>
      <w:r w:rsidRPr="00BB5B3B">
        <w:rPr>
          <w:sz w:val="24"/>
          <w:szCs w:val="24"/>
        </w:rPr>
        <w:t>didanosin</w:t>
      </w:r>
      <w:proofErr w:type="spellEnd"/>
      <w:r w:rsidRPr="00BB5B3B">
        <w:rPr>
          <w:sz w:val="24"/>
          <w:szCs w:val="24"/>
        </w:rPr>
        <w:t xml:space="preserve"> 400 mg/dag hos seks hiv-positive forsøgspersoner påvirkede tilsyneladende ikke </w:t>
      </w:r>
      <w:proofErr w:type="spellStart"/>
      <w:r w:rsidRPr="00BB5B3B">
        <w:rPr>
          <w:sz w:val="24"/>
          <w:szCs w:val="24"/>
        </w:rPr>
        <w:t>didanosins</w:t>
      </w:r>
      <w:proofErr w:type="spellEnd"/>
      <w:r w:rsidRPr="00BB5B3B">
        <w:rPr>
          <w:sz w:val="24"/>
          <w:szCs w:val="24"/>
        </w:rPr>
        <w:t xml:space="preserve"> farmakokinetik ved </w:t>
      </w:r>
      <w:proofErr w:type="spellStart"/>
      <w:r w:rsidRPr="00BB5B3B">
        <w:rPr>
          <w:sz w:val="24"/>
          <w:szCs w:val="24"/>
        </w:rPr>
        <w:t>steady-state</w:t>
      </w:r>
      <w:proofErr w:type="spellEnd"/>
      <w:r w:rsidRPr="00BB5B3B">
        <w:rPr>
          <w:sz w:val="24"/>
          <w:szCs w:val="24"/>
        </w:rPr>
        <w:t xml:space="preserve"> sammenlignet med placebo.</w:t>
      </w:r>
    </w:p>
    <w:p w:rsidR="00BB5B3B" w:rsidRPr="00BB5B3B" w:rsidRDefault="00BB5B3B" w:rsidP="00BB5B3B">
      <w:pPr>
        <w:tabs>
          <w:tab w:val="left" w:pos="851"/>
        </w:tabs>
        <w:ind w:left="851"/>
        <w:rPr>
          <w:sz w:val="24"/>
          <w:szCs w:val="24"/>
        </w:rPr>
      </w:pPr>
    </w:p>
    <w:p w:rsidR="00265736" w:rsidRPr="00A87638" w:rsidRDefault="00BB5B3B" w:rsidP="00BB5B3B">
      <w:pPr>
        <w:tabs>
          <w:tab w:val="left" w:pos="851"/>
        </w:tabs>
        <w:ind w:left="851"/>
        <w:rPr>
          <w:sz w:val="24"/>
          <w:szCs w:val="24"/>
          <w:u w:val="single"/>
        </w:rPr>
      </w:pPr>
      <w:proofErr w:type="spellStart"/>
      <w:r w:rsidRPr="00A87638">
        <w:rPr>
          <w:sz w:val="24"/>
          <w:szCs w:val="24"/>
          <w:u w:val="single"/>
        </w:rPr>
        <w:t>Digoxin</w:t>
      </w:r>
      <w:proofErr w:type="spellEnd"/>
      <w:r w:rsidRPr="00A87638">
        <w:rPr>
          <w:sz w:val="24"/>
          <w:szCs w:val="24"/>
          <w:u w:val="single"/>
        </w:rPr>
        <w:t xml:space="preserve"> og </w:t>
      </w:r>
      <w:proofErr w:type="spellStart"/>
      <w:r w:rsidRPr="00A87638">
        <w:rPr>
          <w:sz w:val="24"/>
          <w:szCs w:val="24"/>
          <w:u w:val="single"/>
        </w:rPr>
        <w:t>colchicin</w:t>
      </w:r>
      <w:proofErr w:type="spellEnd"/>
      <w:r w:rsidRPr="00A87638">
        <w:rPr>
          <w:sz w:val="24"/>
          <w:szCs w:val="24"/>
          <w:u w:val="single"/>
        </w:rPr>
        <w:t xml:space="preserve"> (P-gp-substrater)</w:t>
      </w:r>
    </w:p>
    <w:p w:rsidR="00BB5B3B" w:rsidRPr="00BB5B3B" w:rsidRDefault="00BB5B3B" w:rsidP="00BB5B3B">
      <w:pPr>
        <w:tabs>
          <w:tab w:val="left" w:pos="851"/>
        </w:tabs>
        <w:ind w:left="851"/>
        <w:rPr>
          <w:sz w:val="24"/>
          <w:szCs w:val="24"/>
        </w:rPr>
      </w:pPr>
      <w:r w:rsidRPr="00BB5B3B">
        <w:rPr>
          <w:sz w:val="24"/>
          <w:szCs w:val="24"/>
        </w:rPr>
        <w:t xml:space="preserve">Samtidig indgift af </w:t>
      </w:r>
      <w:proofErr w:type="spellStart"/>
      <w:r w:rsidRPr="00BB5B3B">
        <w:rPr>
          <w:sz w:val="24"/>
          <w:szCs w:val="24"/>
        </w:rPr>
        <w:t>makrolidantibiotika</w:t>
      </w:r>
      <w:proofErr w:type="spellEnd"/>
      <w:r w:rsidRPr="00BB5B3B">
        <w:rPr>
          <w:sz w:val="24"/>
          <w:szCs w:val="24"/>
        </w:rPr>
        <w:t xml:space="preserve">, herunder </w:t>
      </w:r>
      <w:proofErr w:type="spellStart"/>
      <w:r w:rsidRPr="00BB5B3B">
        <w:rPr>
          <w:sz w:val="24"/>
          <w:szCs w:val="24"/>
        </w:rPr>
        <w:t>azithromycin</w:t>
      </w:r>
      <w:proofErr w:type="spellEnd"/>
      <w:r w:rsidRPr="00BB5B3B">
        <w:rPr>
          <w:sz w:val="24"/>
          <w:szCs w:val="24"/>
        </w:rPr>
        <w:t xml:space="preserve">, med P-gp-substrater som </w:t>
      </w:r>
      <w:proofErr w:type="spellStart"/>
      <w:r w:rsidRPr="00BB5B3B">
        <w:rPr>
          <w:sz w:val="24"/>
          <w:szCs w:val="24"/>
        </w:rPr>
        <w:t>digoxin</w:t>
      </w:r>
      <w:proofErr w:type="spellEnd"/>
      <w:r w:rsidRPr="00BB5B3B">
        <w:rPr>
          <w:sz w:val="24"/>
          <w:szCs w:val="24"/>
        </w:rPr>
        <w:t xml:space="preserve"> og </w:t>
      </w:r>
      <w:proofErr w:type="spellStart"/>
      <w:r w:rsidRPr="00BB5B3B">
        <w:rPr>
          <w:sz w:val="24"/>
          <w:szCs w:val="24"/>
        </w:rPr>
        <w:t>colchicin</w:t>
      </w:r>
      <w:proofErr w:type="spellEnd"/>
      <w:r w:rsidRPr="00BB5B3B">
        <w:rPr>
          <w:sz w:val="24"/>
          <w:szCs w:val="24"/>
        </w:rPr>
        <w:t xml:space="preserve">, har resulteret i forhøjet P-gp-substrat i serum. Muligheden for forhøjede substratniveauer bør derfor tages i betragtning ved samtidig behandling af </w:t>
      </w:r>
      <w:proofErr w:type="spellStart"/>
      <w:r w:rsidRPr="00BB5B3B">
        <w:rPr>
          <w:sz w:val="24"/>
          <w:szCs w:val="24"/>
        </w:rPr>
        <w:t>azithromycin</w:t>
      </w:r>
      <w:proofErr w:type="spellEnd"/>
      <w:r w:rsidRPr="00BB5B3B">
        <w:rPr>
          <w:sz w:val="24"/>
          <w:szCs w:val="24"/>
        </w:rPr>
        <w:t xml:space="preserve"> og P-gp-substrater som f.eks. </w:t>
      </w:r>
      <w:proofErr w:type="spellStart"/>
      <w:r w:rsidRPr="00BB5B3B">
        <w:rPr>
          <w:sz w:val="24"/>
          <w:szCs w:val="24"/>
        </w:rPr>
        <w:t>digoxin</w:t>
      </w:r>
      <w:proofErr w:type="spellEnd"/>
      <w:r w:rsidRPr="00BB5B3B">
        <w:rPr>
          <w:sz w:val="24"/>
          <w:szCs w:val="24"/>
        </w:rPr>
        <w:t xml:space="preserve">. Klinisk monitorering og hos nogle patienter desuden måling af </w:t>
      </w:r>
      <w:proofErr w:type="spellStart"/>
      <w:r w:rsidRPr="00BB5B3B">
        <w:rPr>
          <w:sz w:val="24"/>
          <w:szCs w:val="24"/>
        </w:rPr>
        <w:t>digoxinserumniveau</w:t>
      </w:r>
      <w:proofErr w:type="spellEnd"/>
      <w:r w:rsidRPr="00BB5B3B">
        <w:rPr>
          <w:sz w:val="24"/>
          <w:szCs w:val="24"/>
        </w:rPr>
        <w:t xml:space="preserve"> er nødvendig under og efter behandling med </w:t>
      </w:r>
      <w:proofErr w:type="spellStart"/>
      <w:r w:rsidRPr="00BB5B3B">
        <w:rPr>
          <w:sz w:val="24"/>
          <w:szCs w:val="24"/>
        </w:rPr>
        <w:t>azithromycin</w:t>
      </w:r>
      <w:proofErr w:type="spellEnd"/>
      <w:r w:rsidRPr="00BB5B3B">
        <w:rPr>
          <w:sz w:val="24"/>
          <w:szCs w:val="24"/>
        </w:rPr>
        <w:t>.</w:t>
      </w:r>
    </w:p>
    <w:p w:rsidR="00BB5B3B" w:rsidRPr="00BB5B3B" w:rsidRDefault="00BB5B3B" w:rsidP="00BB5B3B">
      <w:pPr>
        <w:tabs>
          <w:tab w:val="left" w:pos="851"/>
        </w:tabs>
        <w:ind w:left="851"/>
        <w:rPr>
          <w:sz w:val="24"/>
          <w:szCs w:val="24"/>
        </w:rPr>
      </w:pPr>
    </w:p>
    <w:p w:rsidR="00265736" w:rsidRPr="00A87638" w:rsidRDefault="00BB5B3B" w:rsidP="00BB5B3B">
      <w:pPr>
        <w:tabs>
          <w:tab w:val="left" w:pos="851"/>
        </w:tabs>
        <w:ind w:left="851"/>
        <w:rPr>
          <w:sz w:val="24"/>
          <w:szCs w:val="24"/>
          <w:u w:val="single"/>
        </w:rPr>
      </w:pPr>
      <w:proofErr w:type="spellStart"/>
      <w:r w:rsidRPr="00A87638">
        <w:rPr>
          <w:sz w:val="24"/>
          <w:szCs w:val="24"/>
          <w:u w:val="single"/>
        </w:rPr>
        <w:t>Zidovudin</w:t>
      </w:r>
      <w:proofErr w:type="spellEnd"/>
    </w:p>
    <w:p w:rsidR="00BB5B3B" w:rsidRPr="00BB5B3B" w:rsidRDefault="00BB5B3B" w:rsidP="00BB5B3B">
      <w:pPr>
        <w:tabs>
          <w:tab w:val="left" w:pos="851"/>
        </w:tabs>
        <w:ind w:left="851"/>
        <w:rPr>
          <w:sz w:val="24"/>
          <w:szCs w:val="24"/>
        </w:rPr>
      </w:pPr>
      <w:r w:rsidRPr="00BB5B3B">
        <w:rPr>
          <w:sz w:val="24"/>
          <w:szCs w:val="24"/>
        </w:rPr>
        <w:t xml:space="preserve">Enkeltdoser på 1.000 mg og gentagne doser på 1200 mg eller 600 mg </w:t>
      </w:r>
      <w:proofErr w:type="spellStart"/>
      <w:r w:rsidRPr="00BB5B3B">
        <w:rPr>
          <w:sz w:val="24"/>
          <w:szCs w:val="24"/>
        </w:rPr>
        <w:t>azithromycin</w:t>
      </w:r>
      <w:proofErr w:type="spellEnd"/>
      <w:r w:rsidRPr="00BB5B3B">
        <w:rPr>
          <w:sz w:val="24"/>
          <w:szCs w:val="24"/>
        </w:rPr>
        <w:t xml:space="preserve"> havde en lille effekt på plasmafarmakokinetikken og urinudskillelsen af </w:t>
      </w:r>
      <w:proofErr w:type="spellStart"/>
      <w:r w:rsidRPr="00BB5B3B">
        <w:rPr>
          <w:sz w:val="24"/>
          <w:szCs w:val="24"/>
        </w:rPr>
        <w:t>zidovudin</w:t>
      </w:r>
      <w:proofErr w:type="spellEnd"/>
      <w:r w:rsidRPr="00BB5B3B">
        <w:rPr>
          <w:sz w:val="24"/>
          <w:szCs w:val="24"/>
        </w:rPr>
        <w:t xml:space="preserve"> og dets </w:t>
      </w:r>
      <w:proofErr w:type="spellStart"/>
      <w:r w:rsidRPr="00BB5B3B">
        <w:rPr>
          <w:sz w:val="24"/>
          <w:szCs w:val="24"/>
        </w:rPr>
        <w:t>glucuronidmetabolit</w:t>
      </w:r>
      <w:proofErr w:type="spellEnd"/>
      <w:r w:rsidRPr="00BB5B3B">
        <w:rPr>
          <w:sz w:val="24"/>
          <w:szCs w:val="24"/>
        </w:rPr>
        <w:t xml:space="preserve">. Øget koncentration af </w:t>
      </w:r>
      <w:proofErr w:type="spellStart"/>
      <w:r w:rsidRPr="00BB5B3B">
        <w:rPr>
          <w:sz w:val="24"/>
          <w:szCs w:val="24"/>
        </w:rPr>
        <w:t>fosforyleret</w:t>
      </w:r>
      <w:proofErr w:type="spellEnd"/>
      <w:r w:rsidRPr="00BB5B3B">
        <w:rPr>
          <w:sz w:val="24"/>
          <w:szCs w:val="24"/>
        </w:rPr>
        <w:t xml:space="preserve"> </w:t>
      </w:r>
      <w:proofErr w:type="spellStart"/>
      <w:r w:rsidRPr="00BB5B3B">
        <w:rPr>
          <w:sz w:val="24"/>
          <w:szCs w:val="24"/>
        </w:rPr>
        <w:t>zidovudin</w:t>
      </w:r>
      <w:proofErr w:type="spellEnd"/>
      <w:r w:rsidRPr="00BB5B3B">
        <w:rPr>
          <w:sz w:val="24"/>
          <w:szCs w:val="24"/>
        </w:rPr>
        <w:t xml:space="preserve"> (den klinisk aktive metabolit) i </w:t>
      </w:r>
      <w:proofErr w:type="spellStart"/>
      <w:r w:rsidRPr="00BB5B3B">
        <w:rPr>
          <w:sz w:val="24"/>
          <w:szCs w:val="24"/>
        </w:rPr>
        <w:t>mononukleære</w:t>
      </w:r>
      <w:proofErr w:type="spellEnd"/>
      <w:r w:rsidRPr="00BB5B3B">
        <w:rPr>
          <w:sz w:val="24"/>
          <w:szCs w:val="24"/>
        </w:rPr>
        <w:t xml:space="preserve"> celler i perifert blod er set ved samtidig behandling med </w:t>
      </w:r>
      <w:proofErr w:type="spellStart"/>
      <w:r w:rsidRPr="00BB5B3B">
        <w:rPr>
          <w:sz w:val="24"/>
          <w:szCs w:val="24"/>
        </w:rPr>
        <w:t>azithromycin</w:t>
      </w:r>
      <w:proofErr w:type="spellEnd"/>
      <w:r w:rsidRPr="00BB5B3B">
        <w:rPr>
          <w:sz w:val="24"/>
          <w:szCs w:val="24"/>
        </w:rPr>
        <w:t>. Den kliniske betydning af dette er dog uklar, men det kan være til gavn for patienterne.</w:t>
      </w:r>
    </w:p>
    <w:p w:rsidR="00BB5B3B" w:rsidRPr="00BB5B3B" w:rsidRDefault="00BB5B3B" w:rsidP="00BB5B3B">
      <w:pPr>
        <w:tabs>
          <w:tab w:val="left" w:pos="851"/>
        </w:tabs>
        <w:ind w:left="851"/>
        <w:rPr>
          <w:sz w:val="24"/>
          <w:szCs w:val="24"/>
        </w:rPr>
      </w:pPr>
    </w:p>
    <w:p w:rsidR="00BB5B3B" w:rsidRPr="00BB5B3B" w:rsidRDefault="00BB5B3B" w:rsidP="00BB5B3B">
      <w:pPr>
        <w:tabs>
          <w:tab w:val="left" w:pos="851"/>
        </w:tabs>
        <w:ind w:left="851"/>
        <w:rPr>
          <w:bCs/>
          <w:sz w:val="24"/>
          <w:szCs w:val="24"/>
        </w:rPr>
      </w:pPr>
      <w:r w:rsidRPr="00BB5B3B">
        <w:rPr>
          <w:bCs/>
          <w:sz w:val="24"/>
          <w:szCs w:val="24"/>
        </w:rPr>
        <w:t xml:space="preserve">Der er ikke signifikant interaktion mellem </w:t>
      </w:r>
      <w:proofErr w:type="spellStart"/>
      <w:r w:rsidRPr="00BB5B3B">
        <w:rPr>
          <w:bCs/>
          <w:sz w:val="24"/>
          <w:szCs w:val="24"/>
        </w:rPr>
        <w:t>azithromycin</w:t>
      </w:r>
      <w:proofErr w:type="spellEnd"/>
      <w:r w:rsidRPr="00BB5B3B">
        <w:rPr>
          <w:bCs/>
          <w:sz w:val="24"/>
          <w:szCs w:val="24"/>
        </w:rPr>
        <w:t xml:space="preserve"> og det </w:t>
      </w:r>
      <w:proofErr w:type="spellStart"/>
      <w:r w:rsidRPr="00BB5B3B">
        <w:rPr>
          <w:bCs/>
          <w:sz w:val="24"/>
          <w:szCs w:val="24"/>
        </w:rPr>
        <w:t>hepatiske</w:t>
      </w:r>
      <w:proofErr w:type="spellEnd"/>
      <w:r w:rsidRPr="00BB5B3B">
        <w:rPr>
          <w:bCs/>
          <w:sz w:val="24"/>
          <w:szCs w:val="24"/>
        </w:rPr>
        <w:t xml:space="preserve"> </w:t>
      </w:r>
      <w:proofErr w:type="spellStart"/>
      <w:r w:rsidRPr="00BB5B3B">
        <w:rPr>
          <w:bCs/>
          <w:sz w:val="24"/>
          <w:szCs w:val="24"/>
        </w:rPr>
        <w:t>cytochrom</w:t>
      </w:r>
      <w:proofErr w:type="spellEnd"/>
      <w:r w:rsidRPr="00BB5B3B">
        <w:rPr>
          <w:bCs/>
          <w:sz w:val="24"/>
          <w:szCs w:val="24"/>
        </w:rPr>
        <w:t xml:space="preserve"> P450-system. Det forventes ikke, at der er nogen form for </w:t>
      </w:r>
      <w:proofErr w:type="spellStart"/>
      <w:r w:rsidRPr="00BB5B3B">
        <w:rPr>
          <w:bCs/>
          <w:sz w:val="24"/>
          <w:szCs w:val="24"/>
        </w:rPr>
        <w:t>farmakokinetisk</w:t>
      </w:r>
      <w:proofErr w:type="spellEnd"/>
      <w:r w:rsidRPr="00BB5B3B">
        <w:rPr>
          <w:bCs/>
          <w:sz w:val="24"/>
          <w:szCs w:val="24"/>
        </w:rPr>
        <w:t xml:space="preserve"> interaktion, som er set med </w:t>
      </w:r>
      <w:proofErr w:type="spellStart"/>
      <w:r w:rsidRPr="00BB5B3B">
        <w:rPr>
          <w:bCs/>
          <w:sz w:val="24"/>
          <w:szCs w:val="24"/>
        </w:rPr>
        <w:t>erythromycin</w:t>
      </w:r>
      <w:proofErr w:type="spellEnd"/>
      <w:r w:rsidRPr="00BB5B3B">
        <w:rPr>
          <w:bCs/>
          <w:sz w:val="24"/>
          <w:szCs w:val="24"/>
        </w:rPr>
        <w:t xml:space="preserve"> og andre makrolider. </w:t>
      </w:r>
      <w:proofErr w:type="spellStart"/>
      <w:r w:rsidRPr="00BB5B3B">
        <w:rPr>
          <w:bCs/>
          <w:sz w:val="24"/>
          <w:szCs w:val="24"/>
        </w:rPr>
        <w:t>Hepatisk</w:t>
      </w:r>
      <w:proofErr w:type="spellEnd"/>
      <w:r w:rsidRPr="00BB5B3B">
        <w:rPr>
          <w:bCs/>
          <w:sz w:val="24"/>
          <w:szCs w:val="24"/>
        </w:rPr>
        <w:t xml:space="preserve"> </w:t>
      </w:r>
      <w:proofErr w:type="spellStart"/>
      <w:r w:rsidRPr="00BB5B3B">
        <w:rPr>
          <w:bCs/>
          <w:sz w:val="24"/>
          <w:szCs w:val="24"/>
        </w:rPr>
        <w:t>cytochrom</w:t>
      </w:r>
      <w:proofErr w:type="spellEnd"/>
      <w:r w:rsidRPr="00BB5B3B">
        <w:rPr>
          <w:bCs/>
          <w:sz w:val="24"/>
          <w:szCs w:val="24"/>
        </w:rPr>
        <w:t xml:space="preserve"> P450-induktion eller inaktivering via </w:t>
      </w:r>
      <w:proofErr w:type="spellStart"/>
      <w:r w:rsidRPr="00BB5B3B">
        <w:rPr>
          <w:bCs/>
          <w:sz w:val="24"/>
          <w:szCs w:val="24"/>
        </w:rPr>
        <w:t>cytochrom</w:t>
      </w:r>
      <w:proofErr w:type="spellEnd"/>
      <w:r w:rsidRPr="00BB5B3B">
        <w:rPr>
          <w:bCs/>
          <w:sz w:val="24"/>
          <w:szCs w:val="24"/>
        </w:rPr>
        <w:t xml:space="preserve">-metabolitkomplekset forekommer ikke med </w:t>
      </w:r>
      <w:proofErr w:type="spellStart"/>
      <w:r w:rsidRPr="00BB5B3B">
        <w:rPr>
          <w:bCs/>
          <w:sz w:val="24"/>
          <w:szCs w:val="24"/>
        </w:rPr>
        <w:t>azithromycin</w:t>
      </w:r>
      <w:proofErr w:type="spellEnd"/>
      <w:r w:rsidRPr="00BB5B3B">
        <w:rPr>
          <w:bCs/>
          <w:sz w:val="24"/>
          <w:szCs w:val="24"/>
        </w:rPr>
        <w:t>.</w:t>
      </w:r>
    </w:p>
    <w:p w:rsidR="00BB5B3B" w:rsidRPr="00BB5B3B" w:rsidRDefault="00BB5B3B" w:rsidP="00BB5B3B">
      <w:pPr>
        <w:tabs>
          <w:tab w:val="left" w:pos="851"/>
        </w:tabs>
        <w:ind w:left="851"/>
        <w:rPr>
          <w:sz w:val="24"/>
          <w:szCs w:val="24"/>
        </w:rPr>
      </w:pPr>
    </w:p>
    <w:p w:rsidR="00265736" w:rsidRPr="00A87638" w:rsidRDefault="00BB5B3B" w:rsidP="00BB5B3B">
      <w:pPr>
        <w:tabs>
          <w:tab w:val="left" w:pos="851"/>
        </w:tabs>
        <w:ind w:left="851"/>
        <w:rPr>
          <w:sz w:val="24"/>
          <w:szCs w:val="24"/>
          <w:u w:val="single"/>
        </w:rPr>
      </w:pPr>
      <w:proofErr w:type="spellStart"/>
      <w:r w:rsidRPr="00A87638">
        <w:rPr>
          <w:sz w:val="24"/>
          <w:szCs w:val="24"/>
          <w:u w:val="single"/>
        </w:rPr>
        <w:t>Ergotderivater</w:t>
      </w:r>
      <w:proofErr w:type="spellEnd"/>
      <w:r w:rsidRPr="00A87638">
        <w:rPr>
          <w:sz w:val="24"/>
          <w:szCs w:val="24"/>
          <w:u w:val="single"/>
        </w:rPr>
        <w:t xml:space="preserve"> (</w:t>
      </w:r>
      <w:proofErr w:type="spellStart"/>
      <w:r w:rsidRPr="00A87638">
        <w:rPr>
          <w:sz w:val="24"/>
          <w:szCs w:val="24"/>
          <w:u w:val="single"/>
        </w:rPr>
        <w:t>ergotamin</w:t>
      </w:r>
      <w:proofErr w:type="spellEnd"/>
      <w:r w:rsidRPr="00A87638">
        <w:rPr>
          <w:sz w:val="24"/>
          <w:szCs w:val="24"/>
          <w:u w:val="single"/>
        </w:rPr>
        <w:t>)</w:t>
      </w:r>
    </w:p>
    <w:p w:rsidR="00BB5B3B" w:rsidRPr="00BB5B3B" w:rsidRDefault="00BB5B3B" w:rsidP="00BB5B3B">
      <w:pPr>
        <w:tabs>
          <w:tab w:val="left" w:pos="851"/>
        </w:tabs>
        <w:ind w:left="851"/>
        <w:rPr>
          <w:sz w:val="24"/>
          <w:szCs w:val="24"/>
        </w:rPr>
      </w:pPr>
      <w:proofErr w:type="spellStart"/>
      <w:r w:rsidRPr="00BB5B3B">
        <w:rPr>
          <w:sz w:val="24"/>
          <w:szCs w:val="24"/>
        </w:rPr>
        <w:t>Azithromycin</w:t>
      </w:r>
      <w:proofErr w:type="spellEnd"/>
      <w:r w:rsidRPr="00BB5B3B">
        <w:rPr>
          <w:sz w:val="24"/>
          <w:szCs w:val="24"/>
        </w:rPr>
        <w:t xml:space="preserve"> og </w:t>
      </w:r>
      <w:proofErr w:type="spellStart"/>
      <w:r w:rsidRPr="00BB5B3B">
        <w:rPr>
          <w:sz w:val="24"/>
          <w:szCs w:val="24"/>
        </w:rPr>
        <w:t>ergotderivater</w:t>
      </w:r>
      <w:proofErr w:type="spellEnd"/>
      <w:r w:rsidRPr="00BB5B3B">
        <w:rPr>
          <w:sz w:val="24"/>
          <w:szCs w:val="24"/>
        </w:rPr>
        <w:t xml:space="preserve"> bør ikke gives samtidig på grund af den teoretiske mulighed for interaktion (se pkt. 4.4).</w:t>
      </w:r>
    </w:p>
    <w:p w:rsidR="00BB5B3B" w:rsidRPr="00BB5B3B" w:rsidRDefault="00BB5B3B" w:rsidP="00BB5B3B">
      <w:pPr>
        <w:tabs>
          <w:tab w:val="left" w:pos="851"/>
        </w:tabs>
        <w:ind w:left="851"/>
        <w:rPr>
          <w:sz w:val="24"/>
          <w:szCs w:val="24"/>
        </w:rPr>
      </w:pPr>
    </w:p>
    <w:p w:rsidR="00265736" w:rsidRPr="00A87638" w:rsidRDefault="00BB5B3B" w:rsidP="00BB5B3B">
      <w:pPr>
        <w:tabs>
          <w:tab w:val="left" w:pos="851"/>
        </w:tabs>
        <w:ind w:left="851"/>
        <w:rPr>
          <w:iCs/>
          <w:sz w:val="24"/>
          <w:szCs w:val="24"/>
          <w:u w:val="single"/>
        </w:rPr>
      </w:pPr>
      <w:proofErr w:type="spellStart"/>
      <w:r w:rsidRPr="00A87638">
        <w:rPr>
          <w:iCs/>
          <w:sz w:val="24"/>
          <w:szCs w:val="24"/>
          <w:u w:val="single"/>
        </w:rPr>
        <w:t>Cytochrom</w:t>
      </w:r>
      <w:proofErr w:type="spellEnd"/>
      <w:r w:rsidRPr="00A87638">
        <w:rPr>
          <w:iCs/>
          <w:sz w:val="24"/>
          <w:szCs w:val="24"/>
          <w:u w:val="single"/>
        </w:rPr>
        <w:t xml:space="preserve"> P450-systemet</w:t>
      </w:r>
    </w:p>
    <w:p w:rsidR="00BB5B3B" w:rsidRPr="00BB5B3B" w:rsidRDefault="00BB5B3B" w:rsidP="00BB5B3B">
      <w:pPr>
        <w:tabs>
          <w:tab w:val="left" w:pos="851"/>
        </w:tabs>
        <w:ind w:left="851"/>
        <w:rPr>
          <w:sz w:val="24"/>
          <w:szCs w:val="24"/>
        </w:rPr>
      </w:pPr>
      <w:r w:rsidRPr="00BB5B3B">
        <w:rPr>
          <w:sz w:val="24"/>
          <w:szCs w:val="24"/>
        </w:rPr>
        <w:t xml:space="preserve">Der er udført </w:t>
      </w:r>
      <w:proofErr w:type="spellStart"/>
      <w:r w:rsidRPr="00BB5B3B">
        <w:rPr>
          <w:sz w:val="24"/>
          <w:szCs w:val="24"/>
        </w:rPr>
        <w:t>farmakokinetiske</w:t>
      </w:r>
      <w:proofErr w:type="spellEnd"/>
      <w:r w:rsidRPr="00BB5B3B">
        <w:rPr>
          <w:sz w:val="24"/>
          <w:szCs w:val="24"/>
        </w:rPr>
        <w:t xml:space="preserve"> studier med </w:t>
      </w:r>
      <w:proofErr w:type="spellStart"/>
      <w:r w:rsidRPr="00BB5B3B">
        <w:rPr>
          <w:sz w:val="24"/>
          <w:szCs w:val="24"/>
        </w:rPr>
        <w:t>azithromycin</w:t>
      </w:r>
      <w:proofErr w:type="spellEnd"/>
      <w:r w:rsidRPr="00BB5B3B">
        <w:rPr>
          <w:sz w:val="24"/>
          <w:szCs w:val="24"/>
        </w:rPr>
        <w:t xml:space="preserve"> og de nedenfor nævnte præparater, der omdannes ved </w:t>
      </w:r>
      <w:proofErr w:type="spellStart"/>
      <w:r w:rsidRPr="00BB5B3B">
        <w:rPr>
          <w:sz w:val="24"/>
          <w:szCs w:val="24"/>
        </w:rPr>
        <w:t>cytochrom</w:t>
      </w:r>
      <w:proofErr w:type="spellEnd"/>
      <w:r w:rsidRPr="00BB5B3B">
        <w:rPr>
          <w:sz w:val="24"/>
          <w:szCs w:val="24"/>
        </w:rPr>
        <w:t xml:space="preserve"> P450-metabolisme.</w:t>
      </w:r>
    </w:p>
    <w:p w:rsidR="00BB5B3B" w:rsidRPr="00BB5B3B" w:rsidRDefault="00BB5B3B" w:rsidP="00BB5B3B">
      <w:pPr>
        <w:tabs>
          <w:tab w:val="left" w:pos="851"/>
        </w:tabs>
        <w:ind w:left="851"/>
        <w:rPr>
          <w:i/>
          <w:sz w:val="24"/>
          <w:szCs w:val="24"/>
        </w:rPr>
      </w:pPr>
    </w:p>
    <w:p w:rsidR="00265736" w:rsidRPr="00A87638" w:rsidRDefault="00BB5B3B" w:rsidP="00BB5B3B">
      <w:pPr>
        <w:tabs>
          <w:tab w:val="left" w:pos="851"/>
        </w:tabs>
        <w:ind w:left="851"/>
        <w:rPr>
          <w:sz w:val="24"/>
          <w:szCs w:val="24"/>
          <w:u w:val="single"/>
        </w:rPr>
      </w:pPr>
      <w:proofErr w:type="spellStart"/>
      <w:r w:rsidRPr="00A87638">
        <w:rPr>
          <w:sz w:val="24"/>
          <w:szCs w:val="24"/>
          <w:u w:val="single"/>
        </w:rPr>
        <w:t>Atorvastatin</w:t>
      </w:r>
      <w:proofErr w:type="spellEnd"/>
    </w:p>
    <w:p w:rsidR="00BB5B3B" w:rsidRPr="00BB5B3B" w:rsidRDefault="00BB5B3B" w:rsidP="00BB5B3B">
      <w:pPr>
        <w:tabs>
          <w:tab w:val="left" w:pos="851"/>
        </w:tabs>
        <w:ind w:left="851"/>
        <w:rPr>
          <w:sz w:val="24"/>
          <w:szCs w:val="24"/>
        </w:rPr>
      </w:pPr>
      <w:r w:rsidRPr="00BB5B3B">
        <w:rPr>
          <w:sz w:val="24"/>
          <w:szCs w:val="24"/>
        </w:rPr>
        <w:t xml:space="preserve">Samtidig indgift af </w:t>
      </w:r>
      <w:proofErr w:type="spellStart"/>
      <w:r w:rsidRPr="00BB5B3B">
        <w:rPr>
          <w:sz w:val="24"/>
          <w:szCs w:val="24"/>
        </w:rPr>
        <w:t>atorvastatin</w:t>
      </w:r>
      <w:proofErr w:type="spellEnd"/>
      <w:r w:rsidRPr="00BB5B3B">
        <w:rPr>
          <w:sz w:val="24"/>
          <w:szCs w:val="24"/>
        </w:rPr>
        <w:t xml:space="preserve"> (10 mg/dag) og </w:t>
      </w:r>
      <w:proofErr w:type="spellStart"/>
      <w:r w:rsidRPr="00BB5B3B">
        <w:rPr>
          <w:sz w:val="24"/>
          <w:szCs w:val="24"/>
        </w:rPr>
        <w:t>azithromycin</w:t>
      </w:r>
      <w:proofErr w:type="spellEnd"/>
      <w:r w:rsidRPr="00BB5B3B">
        <w:rPr>
          <w:sz w:val="24"/>
          <w:szCs w:val="24"/>
        </w:rPr>
        <w:t xml:space="preserve"> (500 mg/dag) forandrede ikke plasmakoncentrationen af </w:t>
      </w:r>
      <w:proofErr w:type="spellStart"/>
      <w:r w:rsidRPr="00BB5B3B">
        <w:rPr>
          <w:sz w:val="24"/>
          <w:szCs w:val="24"/>
        </w:rPr>
        <w:t>atorvastatin</w:t>
      </w:r>
      <w:proofErr w:type="spellEnd"/>
      <w:r w:rsidRPr="00BB5B3B">
        <w:rPr>
          <w:sz w:val="24"/>
          <w:szCs w:val="24"/>
        </w:rPr>
        <w:t xml:space="preserve"> (bestemt ud fra HMG </w:t>
      </w:r>
      <w:proofErr w:type="spellStart"/>
      <w:r w:rsidRPr="00BB5B3B">
        <w:rPr>
          <w:sz w:val="24"/>
          <w:szCs w:val="24"/>
        </w:rPr>
        <w:t>CoA-reduktase</w:t>
      </w:r>
      <w:proofErr w:type="spellEnd"/>
      <w:r w:rsidRPr="00BB5B3B">
        <w:rPr>
          <w:sz w:val="24"/>
          <w:szCs w:val="24"/>
        </w:rPr>
        <w:t xml:space="preserve"> inhibition </w:t>
      </w:r>
      <w:proofErr w:type="spellStart"/>
      <w:r w:rsidRPr="00BB5B3B">
        <w:rPr>
          <w:sz w:val="24"/>
          <w:szCs w:val="24"/>
        </w:rPr>
        <w:t>assay</w:t>
      </w:r>
      <w:proofErr w:type="spellEnd"/>
      <w:r w:rsidRPr="00BB5B3B">
        <w:rPr>
          <w:sz w:val="24"/>
          <w:szCs w:val="24"/>
        </w:rPr>
        <w:t xml:space="preserve">). Der er dog efter markedsføring set tilfælde af </w:t>
      </w:r>
      <w:proofErr w:type="spellStart"/>
      <w:r w:rsidRPr="00BB5B3B">
        <w:rPr>
          <w:sz w:val="24"/>
          <w:szCs w:val="24"/>
        </w:rPr>
        <w:t>rabdomyolyse</w:t>
      </w:r>
      <w:proofErr w:type="spellEnd"/>
      <w:r w:rsidRPr="00BB5B3B">
        <w:rPr>
          <w:sz w:val="24"/>
          <w:szCs w:val="24"/>
        </w:rPr>
        <w:t xml:space="preserve"> hos patienter, der fik </w:t>
      </w:r>
      <w:proofErr w:type="spellStart"/>
      <w:r w:rsidRPr="00BB5B3B">
        <w:rPr>
          <w:sz w:val="24"/>
          <w:szCs w:val="24"/>
        </w:rPr>
        <w:t>azithromycin</w:t>
      </w:r>
      <w:proofErr w:type="spellEnd"/>
      <w:r w:rsidRPr="00BB5B3B">
        <w:rPr>
          <w:sz w:val="24"/>
          <w:szCs w:val="24"/>
        </w:rPr>
        <w:t xml:space="preserve"> og </w:t>
      </w:r>
      <w:proofErr w:type="spellStart"/>
      <w:r w:rsidRPr="00BB5B3B">
        <w:rPr>
          <w:sz w:val="24"/>
          <w:szCs w:val="24"/>
        </w:rPr>
        <w:t>statiner</w:t>
      </w:r>
      <w:proofErr w:type="spellEnd"/>
      <w:r w:rsidRPr="00BB5B3B">
        <w:rPr>
          <w:sz w:val="24"/>
          <w:szCs w:val="24"/>
        </w:rPr>
        <w:t>.</w:t>
      </w:r>
    </w:p>
    <w:p w:rsidR="00BB5B3B" w:rsidRPr="00BB5B3B" w:rsidRDefault="00BB5B3B" w:rsidP="00BB5B3B">
      <w:pPr>
        <w:tabs>
          <w:tab w:val="left" w:pos="851"/>
        </w:tabs>
        <w:ind w:left="851"/>
        <w:rPr>
          <w:sz w:val="24"/>
          <w:szCs w:val="24"/>
        </w:rPr>
      </w:pPr>
    </w:p>
    <w:p w:rsidR="00265736" w:rsidRPr="00A87638" w:rsidRDefault="00BB5B3B" w:rsidP="00BB5B3B">
      <w:pPr>
        <w:tabs>
          <w:tab w:val="left" w:pos="851"/>
        </w:tabs>
        <w:ind w:left="851"/>
        <w:rPr>
          <w:sz w:val="24"/>
          <w:szCs w:val="24"/>
          <w:u w:val="single"/>
        </w:rPr>
      </w:pPr>
      <w:proofErr w:type="spellStart"/>
      <w:r w:rsidRPr="00A87638">
        <w:rPr>
          <w:sz w:val="24"/>
          <w:szCs w:val="24"/>
          <w:u w:val="single"/>
        </w:rPr>
        <w:t>Carbamazepin</w:t>
      </w:r>
      <w:proofErr w:type="spellEnd"/>
    </w:p>
    <w:p w:rsidR="00BB5B3B" w:rsidRPr="00BB5B3B" w:rsidRDefault="00BB5B3B" w:rsidP="00BB5B3B">
      <w:pPr>
        <w:tabs>
          <w:tab w:val="left" w:pos="851"/>
        </w:tabs>
        <w:ind w:left="851"/>
        <w:rPr>
          <w:sz w:val="24"/>
          <w:szCs w:val="24"/>
        </w:rPr>
      </w:pPr>
      <w:r w:rsidRPr="00BB5B3B">
        <w:rPr>
          <w:sz w:val="24"/>
          <w:szCs w:val="24"/>
        </w:rPr>
        <w:t xml:space="preserve">I et </w:t>
      </w:r>
      <w:proofErr w:type="spellStart"/>
      <w:r w:rsidRPr="00BB5B3B">
        <w:rPr>
          <w:sz w:val="24"/>
          <w:szCs w:val="24"/>
        </w:rPr>
        <w:t>farmakokinetisk</w:t>
      </w:r>
      <w:proofErr w:type="spellEnd"/>
      <w:r w:rsidRPr="00BB5B3B">
        <w:rPr>
          <w:sz w:val="24"/>
          <w:szCs w:val="24"/>
        </w:rPr>
        <w:t xml:space="preserve"> interaktionsstudie blev der ikke set signifikant virkning på plasmakoncentrationen af </w:t>
      </w:r>
      <w:proofErr w:type="spellStart"/>
      <w:r w:rsidRPr="00BB5B3B">
        <w:rPr>
          <w:sz w:val="24"/>
          <w:szCs w:val="24"/>
        </w:rPr>
        <w:t>carbamazepin</w:t>
      </w:r>
      <w:proofErr w:type="spellEnd"/>
      <w:r w:rsidRPr="00BB5B3B">
        <w:rPr>
          <w:sz w:val="24"/>
          <w:szCs w:val="24"/>
        </w:rPr>
        <w:t xml:space="preserve"> eller dets aktive metabolit hos patienter, der samtidig fik </w:t>
      </w:r>
      <w:proofErr w:type="spellStart"/>
      <w:r w:rsidRPr="00BB5B3B">
        <w:rPr>
          <w:sz w:val="24"/>
          <w:szCs w:val="24"/>
        </w:rPr>
        <w:t>azithromycin</w:t>
      </w:r>
      <w:proofErr w:type="spellEnd"/>
      <w:r w:rsidRPr="00BB5B3B">
        <w:rPr>
          <w:sz w:val="24"/>
          <w:szCs w:val="24"/>
        </w:rPr>
        <w:t>.</w:t>
      </w:r>
    </w:p>
    <w:p w:rsidR="00BB5B3B" w:rsidRPr="00BB5B3B" w:rsidRDefault="00BB5B3B" w:rsidP="00BB5B3B">
      <w:pPr>
        <w:tabs>
          <w:tab w:val="left" w:pos="851"/>
        </w:tabs>
        <w:ind w:left="851"/>
        <w:rPr>
          <w:sz w:val="24"/>
          <w:szCs w:val="24"/>
        </w:rPr>
      </w:pPr>
    </w:p>
    <w:p w:rsidR="00265736" w:rsidRPr="00A87638" w:rsidRDefault="00BB5B3B" w:rsidP="00BB5B3B">
      <w:pPr>
        <w:tabs>
          <w:tab w:val="left" w:pos="851"/>
        </w:tabs>
        <w:ind w:left="851"/>
        <w:rPr>
          <w:sz w:val="24"/>
          <w:szCs w:val="24"/>
          <w:u w:val="single"/>
        </w:rPr>
      </w:pPr>
      <w:proofErr w:type="spellStart"/>
      <w:r w:rsidRPr="00A87638">
        <w:rPr>
          <w:sz w:val="24"/>
          <w:szCs w:val="24"/>
          <w:u w:val="single"/>
        </w:rPr>
        <w:t>Cimetidin</w:t>
      </w:r>
      <w:proofErr w:type="spellEnd"/>
    </w:p>
    <w:p w:rsidR="00BB5B3B" w:rsidRPr="00BB5B3B" w:rsidRDefault="00BB5B3B" w:rsidP="00BB5B3B">
      <w:pPr>
        <w:tabs>
          <w:tab w:val="left" w:pos="851"/>
        </w:tabs>
        <w:ind w:left="851"/>
        <w:rPr>
          <w:sz w:val="24"/>
          <w:szCs w:val="24"/>
        </w:rPr>
      </w:pPr>
      <w:r w:rsidRPr="00BB5B3B">
        <w:rPr>
          <w:sz w:val="24"/>
          <w:szCs w:val="24"/>
        </w:rPr>
        <w:t xml:space="preserve">I et </w:t>
      </w:r>
      <w:proofErr w:type="spellStart"/>
      <w:r w:rsidRPr="00BB5B3B">
        <w:rPr>
          <w:sz w:val="24"/>
          <w:szCs w:val="24"/>
        </w:rPr>
        <w:t>farmakokinetisk</w:t>
      </w:r>
      <w:proofErr w:type="spellEnd"/>
      <w:r w:rsidRPr="00BB5B3B">
        <w:rPr>
          <w:sz w:val="24"/>
          <w:szCs w:val="24"/>
        </w:rPr>
        <w:t xml:space="preserve"> studie, der undersøgte effekten af enkelt-dosis </w:t>
      </w:r>
      <w:proofErr w:type="spellStart"/>
      <w:r w:rsidRPr="00BB5B3B">
        <w:rPr>
          <w:sz w:val="24"/>
          <w:szCs w:val="24"/>
        </w:rPr>
        <w:t>cimetidin</w:t>
      </w:r>
      <w:proofErr w:type="spellEnd"/>
      <w:r w:rsidRPr="00BB5B3B">
        <w:rPr>
          <w:sz w:val="24"/>
          <w:szCs w:val="24"/>
        </w:rPr>
        <w:t xml:space="preserve"> givet 2 timer før administration af </w:t>
      </w:r>
      <w:proofErr w:type="spellStart"/>
      <w:r w:rsidRPr="00BB5B3B">
        <w:rPr>
          <w:sz w:val="24"/>
          <w:szCs w:val="24"/>
        </w:rPr>
        <w:t>azithromycin</w:t>
      </w:r>
      <w:proofErr w:type="spellEnd"/>
      <w:r w:rsidRPr="00BB5B3B">
        <w:rPr>
          <w:sz w:val="24"/>
          <w:szCs w:val="24"/>
        </w:rPr>
        <w:t xml:space="preserve">, blev der ikke set ændringer i </w:t>
      </w:r>
      <w:proofErr w:type="spellStart"/>
      <w:r w:rsidRPr="00BB5B3B">
        <w:rPr>
          <w:sz w:val="24"/>
          <w:szCs w:val="24"/>
        </w:rPr>
        <w:t>azithromycins</w:t>
      </w:r>
      <w:proofErr w:type="spellEnd"/>
      <w:r w:rsidRPr="00BB5B3B">
        <w:rPr>
          <w:sz w:val="24"/>
          <w:szCs w:val="24"/>
        </w:rPr>
        <w:t xml:space="preserve"> farmakokinetik. </w:t>
      </w:r>
    </w:p>
    <w:p w:rsidR="00BB5B3B" w:rsidRPr="00BB5B3B" w:rsidRDefault="00BB5B3B" w:rsidP="00BB5B3B">
      <w:pPr>
        <w:tabs>
          <w:tab w:val="left" w:pos="851"/>
        </w:tabs>
        <w:ind w:left="851"/>
        <w:rPr>
          <w:bCs/>
          <w:sz w:val="24"/>
          <w:szCs w:val="24"/>
        </w:rPr>
      </w:pPr>
    </w:p>
    <w:p w:rsidR="00265736" w:rsidRPr="00A94A3A" w:rsidRDefault="00BB5B3B" w:rsidP="00BB5B3B">
      <w:pPr>
        <w:tabs>
          <w:tab w:val="left" w:pos="851"/>
        </w:tabs>
        <w:ind w:left="851"/>
        <w:rPr>
          <w:bCs/>
          <w:sz w:val="24"/>
          <w:szCs w:val="24"/>
          <w:u w:val="single"/>
        </w:rPr>
      </w:pPr>
      <w:proofErr w:type="spellStart"/>
      <w:r w:rsidRPr="00A94A3A">
        <w:rPr>
          <w:bCs/>
          <w:sz w:val="24"/>
          <w:szCs w:val="24"/>
          <w:u w:val="single"/>
        </w:rPr>
        <w:t>Coumarinlignende</w:t>
      </w:r>
      <w:proofErr w:type="spellEnd"/>
      <w:r w:rsidRPr="00A94A3A">
        <w:rPr>
          <w:bCs/>
          <w:sz w:val="24"/>
          <w:szCs w:val="24"/>
          <w:u w:val="single"/>
        </w:rPr>
        <w:t xml:space="preserve"> orale </w:t>
      </w:r>
      <w:proofErr w:type="spellStart"/>
      <w:r w:rsidRPr="00A94A3A">
        <w:rPr>
          <w:bCs/>
          <w:sz w:val="24"/>
          <w:szCs w:val="24"/>
          <w:u w:val="single"/>
        </w:rPr>
        <w:t>antikoagulantia</w:t>
      </w:r>
      <w:proofErr w:type="spellEnd"/>
    </w:p>
    <w:p w:rsidR="00BB5B3B" w:rsidRPr="00BB5B3B" w:rsidRDefault="00BB5B3B" w:rsidP="00BB5B3B">
      <w:pPr>
        <w:tabs>
          <w:tab w:val="left" w:pos="851"/>
        </w:tabs>
        <w:ind w:left="851"/>
        <w:rPr>
          <w:bCs/>
          <w:sz w:val="24"/>
          <w:szCs w:val="24"/>
        </w:rPr>
      </w:pPr>
      <w:r w:rsidRPr="00BB5B3B">
        <w:rPr>
          <w:bCs/>
          <w:sz w:val="24"/>
          <w:szCs w:val="24"/>
        </w:rPr>
        <w:t xml:space="preserve">I et </w:t>
      </w:r>
      <w:proofErr w:type="spellStart"/>
      <w:r w:rsidRPr="00BB5B3B">
        <w:rPr>
          <w:bCs/>
          <w:sz w:val="24"/>
          <w:szCs w:val="24"/>
        </w:rPr>
        <w:t>farmakokinetisk</w:t>
      </w:r>
      <w:proofErr w:type="spellEnd"/>
      <w:r w:rsidRPr="00BB5B3B">
        <w:rPr>
          <w:bCs/>
          <w:sz w:val="24"/>
          <w:szCs w:val="24"/>
        </w:rPr>
        <w:t xml:space="preserve"> interaktionsstudie ændrede </w:t>
      </w:r>
      <w:proofErr w:type="spellStart"/>
      <w:r w:rsidRPr="00BB5B3B">
        <w:rPr>
          <w:bCs/>
          <w:sz w:val="24"/>
          <w:szCs w:val="24"/>
        </w:rPr>
        <w:t>azithromycin</w:t>
      </w:r>
      <w:proofErr w:type="spellEnd"/>
      <w:r w:rsidRPr="00BB5B3B">
        <w:rPr>
          <w:bCs/>
          <w:sz w:val="24"/>
          <w:szCs w:val="24"/>
        </w:rPr>
        <w:t xml:space="preserve"> ikke den </w:t>
      </w:r>
      <w:proofErr w:type="spellStart"/>
      <w:r w:rsidRPr="00BB5B3B">
        <w:rPr>
          <w:bCs/>
          <w:sz w:val="24"/>
          <w:szCs w:val="24"/>
        </w:rPr>
        <w:t>antikoagulantiske</w:t>
      </w:r>
      <w:proofErr w:type="spellEnd"/>
      <w:r w:rsidRPr="00BB5B3B">
        <w:rPr>
          <w:bCs/>
          <w:sz w:val="24"/>
          <w:szCs w:val="24"/>
        </w:rPr>
        <w:t xml:space="preserve"> effekt af en 15 mg </w:t>
      </w:r>
      <w:proofErr w:type="spellStart"/>
      <w:r w:rsidRPr="00BB5B3B">
        <w:rPr>
          <w:bCs/>
          <w:sz w:val="24"/>
          <w:szCs w:val="24"/>
        </w:rPr>
        <w:t>warfarindosis</w:t>
      </w:r>
      <w:proofErr w:type="spellEnd"/>
      <w:r w:rsidRPr="00BB5B3B">
        <w:rPr>
          <w:bCs/>
          <w:sz w:val="24"/>
          <w:szCs w:val="24"/>
        </w:rPr>
        <w:t xml:space="preserve"> hos raske frivillige forsøgspersoner. Der er efter markedsføring rapporteret om forstærket </w:t>
      </w:r>
      <w:proofErr w:type="spellStart"/>
      <w:r w:rsidRPr="00BB5B3B">
        <w:rPr>
          <w:bCs/>
          <w:sz w:val="24"/>
          <w:szCs w:val="24"/>
        </w:rPr>
        <w:t>anti</w:t>
      </w:r>
      <w:r w:rsidRPr="00BB5B3B">
        <w:rPr>
          <w:bCs/>
          <w:sz w:val="24"/>
          <w:szCs w:val="24"/>
        </w:rPr>
        <w:softHyphen/>
        <w:t>koagulantisk</w:t>
      </w:r>
      <w:proofErr w:type="spellEnd"/>
      <w:r w:rsidRPr="00BB5B3B">
        <w:rPr>
          <w:bCs/>
          <w:sz w:val="24"/>
          <w:szCs w:val="24"/>
        </w:rPr>
        <w:t xml:space="preserve"> effekt efter samtidig indgift af </w:t>
      </w:r>
      <w:proofErr w:type="spellStart"/>
      <w:r w:rsidRPr="00BB5B3B">
        <w:rPr>
          <w:bCs/>
          <w:sz w:val="24"/>
          <w:szCs w:val="24"/>
        </w:rPr>
        <w:t>azithromycin</w:t>
      </w:r>
      <w:proofErr w:type="spellEnd"/>
      <w:r w:rsidRPr="00BB5B3B">
        <w:rPr>
          <w:bCs/>
          <w:sz w:val="24"/>
          <w:szCs w:val="24"/>
        </w:rPr>
        <w:t xml:space="preserve"> og </w:t>
      </w:r>
      <w:proofErr w:type="spellStart"/>
      <w:r w:rsidRPr="00BB5B3B">
        <w:rPr>
          <w:bCs/>
          <w:sz w:val="24"/>
          <w:szCs w:val="24"/>
        </w:rPr>
        <w:t>coumarinlignende</w:t>
      </w:r>
      <w:proofErr w:type="spellEnd"/>
      <w:r w:rsidRPr="00BB5B3B">
        <w:rPr>
          <w:bCs/>
          <w:sz w:val="24"/>
          <w:szCs w:val="24"/>
        </w:rPr>
        <w:t xml:space="preserve"> orale </w:t>
      </w:r>
      <w:proofErr w:type="spellStart"/>
      <w:r w:rsidRPr="00BB5B3B">
        <w:rPr>
          <w:bCs/>
          <w:sz w:val="24"/>
          <w:szCs w:val="24"/>
        </w:rPr>
        <w:t>antikoagulantia</w:t>
      </w:r>
      <w:proofErr w:type="spellEnd"/>
      <w:r w:rsidRPr="00BB5B3B">
        <w:rPr>
          <w:bCs/>
          <w:sz w:val="24"/>
          <w:szCs w:val="24"/>
        </w:rPr>
        <w:t xml:space="preserve">. Selvom der ikke er fastslået en årsagssammenhæng, bør hyppigheden af monitorering af </w:t>
      </w:r>
      <w:proofErr w:type="spellStart"/>
      <w:r w:rsidRPr="00BB5B3B">
        <w:rPr>
          <w:bCs/>
          <w:sz w:val="24"/>
          <w:szCs w:val="24"/>
        </w:rPr>
        <w:t>prothrombintid</w:t>
      </w:r>
      <w:proofErr w:type="spellEnd"/>
      <w:r w:rsidRPr="00BB5B3B">
        <w:rPr>
          <w:bCs/>
          <w:sz w:val="24"/>
          <w:szCs w:val="24"/>
        </w:rPr>
        <w:t xml:space="preserve"> overvejes hos patienter, der får </w:t>
      </w:r>
      <w:proofErr w:type="spellStart"/>
      <w:r w:rsidRPr="00BB5B3B">
        <w:rPr>
          <w:bCs/>
          <w:sz w:val="24"/>
          <w:szCs w:val="24"/>
        </w:rPr>
        <w:t>azithromycin</w:t>
      </w:r>
      <w:proofErr w:type="spellEnd"/>
      <w:r w:rsidRPr="00BB5B3B">
        <w:rPr>
          <w:bCs/>
          <w:sz w:val="24"/>
          <w:szCs w:val="24"/>
        </w:rPr>
        <w:t xml:space="preserve"> samtidig med </w:t>
      </w:r>
      <w:proofErr w:type="spellStart"/>
      <w:r w:rsidRPr="00BB5B3B">
        <w:rPr>
          <w:bCs/>
          <w:sz w:val="24"/>
          <w:szCs w:val="24"/>
        </w:rPr>
        <w:t>coumarinlignende</w:t>
      </w:r>
      <w:proofErr w:type="spellEnd"/>
      <w:r w:rsidRPr="00BB5B3B">
        <w:rPr>
          <w:bCs/>
          <w:sz w:val="24"/>
          <w:szCs w:val="24"/>
        </w:rPr>
        <w:t xml:space="preserve"> orale </w:t>
      </w:r>
      <w:proofErr w:type="spellStart"/>
      <w:r w:rsidRPr="00BB5B3B">
        <w:rPr>
          <w:bCs/>
          <w:sz w:val="24"/>
          <w:szCs w:val="24"/>
        </w:rPr>
        <w:t>antikoagulantia</w:t>
      </w:r>
      <w:proofErr w:type="spellEnd"/>
      <w:r w:rsidRPr="00BB5B3B">
        <w:rPr>
          <w:bCs/>
          <w:sz w:val="24"/>
          <w:szCs w:val="24"/>
        </w:rPr>
        <w:t xml:space="preserve">. </w:t>
      </w:r>
    </w:p>
    <w:p w:rsidR="00BB5B3B" w:rsidRPr="00BB5B3B" w:rsidRDefault="00BB5B3B" w:rsidP="00BB5B3B">
      <w:pPr>
        <w:tabs>
          <w:tab w:val="left" w:pos="851"/>
        </w:tabs>
        <w:ind w:left="851"/>
        <w:rPr>
          <w:iCs/>
          <w:sz w:val="24"/>
          <w:szCs w:val="24"/>
        </w:rPr>
      </w:pPr>
    </w:p>
    <w:p w:rsidR="00265736" w:rsidRPr="00A94A3A" w:rsidRDefault="00BB5B3B" w:rsidP="00BB5B3B">
      <w:pPr>
        <w:tabs>
          <w:tab w:val="left" w:pos="851"/>
        </w:tabs>
        <w:ind w:left="851"/>
        <w:rPr>
          <w:sz w:val="24"/>
          <w:szCs w:val="24"/>
          <w:u w:val="single"/>
        </w:rPr>
      </w:pPr>
      <w:proofErr w:type="spellStart"/>
      <w:r w:rsidRPr="00A94A3A">
        <w:rPr>
          <w:sz w:val="24"/>
          <w:szCs w:val="24"/>
          <w:u w:val="single"/>
        </w:rPr>
        <w:t>Ciclosporin</w:t>
      </w:r>
      <w:proofErr w:type="spellEnd"/>
    </w:p>
    <w:p w:rsidR="00BB5B3B" w:rsidRPr="00BB5B3B" w:rsidRDefault="00BB5B3B" w:rsidP="00BB5B3B">
      <w:pPr>
        <w:tabs>
          <w:tab w:val="left" w:pos="851"/>
        </w:tabs>
        <w:ind w:left="851"/>
        <w:rPr>
          <w:sz w:val="24"/>
          <w:szCs w:val="24"/>
        </w:rPr>
      </w:pPr>
      <w:r w:rsidRPr="00BB5B3B">
        <w:rPr>
          <w:sz w:val="24"/>
          <w:szCs w:val="24"/>
        </w:rPr>
        <w:t xml:space="preserve">I et </w:t>
      </w:r>
      <w:proofErr w:type="spellStart"/>
      <w:r w:rsidRPr="00BB5B3B">
        <w:rPr>
          <w:sz w:val="24"/>
          <w:szCs w:val="24"/>
        </w:rPr>
        <w:t>farmakokinetisk</w:t>
      </w:r>
      <w:proofErr w:type="spellEnd"/>
      <w:r w:rsidRPr="00BB5B3B">
        <w:rPr>
          <w:sz w:val="24"/>
          <w:szCs w:val="24"/>
        </w:rPr>
        <w:t xml:space="preserve"> studie med raske, frivillige forsøgspersoner, der fik 500 mg/dag oral </w:t>
      </w:r>
      <w:proofErr w:type="spellStart"/>
      <w:r w:rsidRPr="00BB5B3B">
        <w:rPr>
          <w:sz w:val="24"/>
          <w:szCs w:val="24"/>
        </w:rPr>
        <w:t>azithromycin</w:t>
      </w:r>
      <w:proofErr w:type="spellEnd"/>
      <w:r w:rsidRPr="00BB5B3B">
        <w:rPr>
          <w:sz w:val="24"/>
          <w:szCs w:val="24"/>
        </w:rPr>
        <w:t xml:space="preserve"> i 3 dage og dernæst en 10 mg/kg oral dosis </w:t>
      </w:r>
      <w:proofErr w:type="spellStart"/>
      <w:r w:rsidRPr="00BB5B3B">
        <w:rPr>
          <w:sz w:val="24"/>
          <w:szCs w:val="24"/>
        </w:rPr>
        <w:t>ciclosporin</w:t>
      </w:r>
      <w:proofErr w:type="spellEnd"/>
      <w:r w:rsidRPr="00BB5B3B">
        <w:rPr>
          <w:sz w:val="24"/>
          <w:szCs w:val="24"/>
        </w:rPr>
        <w:t xml:space="preserve">, fandt man, at </w:t>
      </w:r>
      <w:proofErr w:type="spellStart"/>
      <w:r w:rsidRPr="00BB5B3B">
        <w:rPr>
          <w:sz w:val="24"/>
          <w:szCs w:val="24"/>
        </w:rPr>
        <w:t>ciclosporin</w:t>
      </w:r>
      <w:proofErr w:type="spellEnd"/>
      <w:r w:rsidRPr="00BB5B3B">
        <w:rPr>
          <w:sz w:val="24"/>
          <w:szCs w:val="24"/>
        </w:rPr>
        <w:t xml:space="preserve"> </w:t>
      </w:r>
      <w:proofErr w:type="spellStart"/>
      <w:r w:rsidRPr="00BB5B3B">
        <w:rPr>
          <w:sz w:val="24"/>
          <w:szCs w:val="24"/>
        </w:rPr>
        <w:t>C</w:t>
      </w:r>
      <w:r w:rsidRPr="00BB5B3B">
        <w:rPr>
          <w:sz w:val="24"/>
          <w:szCs w:val="24"/>
          <w:vertAlign w:val="subscript"/>
        </w:rPr>
        <w:t>max</w:t>
      </w:r>
      <w:proofErr w:type="spellEnd"/>
      <w:r w:rsidRPr="00BB5B3B">
        <w:rPr>
          <w:sz w:val="24"/>
          <w:szCs w:val="24"/>
        </w:rPr>
        <w:t xml:space="preserve"> og AUC</w:t>
      </w:r>
      <w:r w:rsidRPr="00BB5B3B">
        <w:rPr>
          <w:sz w:val="24"/>
          <w:szCs w:val="24"/>
          <w:vertAlign w:val="subscript"/>
        </w:rPr>
        <w:t>0-5</w:t>
      </w:r>
      <w:r w:rsidRPr="00BB5B3B">
        <w:rPr>
          <w:sz w:val="24"/>
          <w:szCs w:val="24"/>
        </w:rPr>
        <w:t xml:space="preserve"> var signifikant forhøjede. Derfor bør der udvises forsigtighed ved samtidig behandling. Hvis samtidig behandling er nødvendig, bør </w:t>
      </w:r>
      <w:proofErr w:type="spellStart"/>
      <w:r w:rsidRPr="00BB5B3B">
        <w:rPr>
          <w:sz w:val="24"/>
          <w:szCs w:val="24"/>
        </w:rPr>
        <w:t>ciclosporinniveauet</w:t>
      </w:r>
      <w:proofErr w:type="spellEnd"/>
      <w:r w:rsidRPr="00BB5B3B">
        <w:rPr>
          <w:sz w:val="24"/>
          <w:szCs w:val="24"/>
        </w:rPr>
        <w:t xml:space="preserve"> monitoreres og dosis justeres i overensstemmelse hermed.</w:t>
      </w:r>
    </w:p>
    <w:p w:rsidR="00BB5B3B" w:rsidRPr="00BB5B3B" w:rsidRDefault="00BB5B3B" w:rsidP="00BB5B3B">
      <w:pPr>
        <w:tabs>
          <w:tab w:val="left" w:pos="851"/>
        </w:tabs>
        <w:ind w:left="851"/>
        <w:rPr>
          <w:bCs/>
          <w:sz w:val="24"/>
          <w:szCs w:val="24"/>
        </w:rPr>
      </w:pPr>
    </w:p>
    <w:p w:rsidR="00265736" w:rsidRPr="00A94A3A" w:rsidRDefault="00BB5B3B" w:rsidP="00BB5B3B">
      <w:pPr>
        <w:tabs>
          <w:tab w:val="left" w:pos="851"/>
        </w:tabs>
        <w:ind w:left="851"/>
        <w:rPr>
          <w:bCs/>
          <w:sz w:val="24"/>
          <w:szCs w:val="24"/>
          <w:u w:val="single"/>
        </w:rPr>
      </w:pPr>
      <w:proofErr w:type="spellStart"/>
      <w:r w:rsidRPr="00A94A3A">
        <w:rPr>
          <w:bCs/>
          <w:sz w:val="24"/>
          <w:szCs w:val="24"/>
          <w:u w:val="single"/>
        </w:rPr>
        <w:t>Efavirenz</w:t>
      </w:r>
      <w:proofErr w:type="spellEnd"/>
    </w:p>
    <w:p w:rsidR="00BB5B3B" w:rsidRPr="00BB5B3B" w:rsidRDefault="00BB5B3B" w:rsidP="00BB5B3B">
      <w:pPr>
        <w:tabs>
          <w:tab w:val="left" w:pos="851"/>
        </w:tabs>
        <w:ind w:left="851"/>
        <w:rPr>
          <w:sz w:val="24"/>
          <w:szCs w:val="24"/>
        </w:rPr>
      </w:pPr>
      <w:r w:rsidRPr="00BB5B3B">
        <w:rPr>
          <w:bCs/>
          <w:sz w:val="24"/>
          <w:szCs w:val="24"/>
        </w:rPr>
        <w:t xml:space="preserve">Samtidig indgift af enkeltdosis </w:t>
      </w:r>
      <w:proofErr w:type="spellStart"/>
      <w:r w:rsidRPr="00BB5B3B">
        <w:rPr>
          <w:bCs/>
          <w:sz w:val="24"/>
          <w:szCs w:val="24"/>
        </w:rPr>
        <w:t>azi</w:t>
      </w:r>
      <w:r w:rsidRPr="00BB5B3B">
        <w:rPr>
          <w:sz w:val="24"/>
          <w:szCs w:val="24"/>
        </w:rPr>
        <w:t>thromycin</w:t>
      </w:r>
      <w:proofErr w:type="spellEnd"/>
      <w:r w:rsidRPr="00BB5B3B">
        <w:rPr>
          <w:sz w:val="24"/>
          <w:szCs w:val="24"/>
        </w:rPr>
        <w:t xml:space="preserve"> (600 mg) og </w:t>
      </w:r>
      <w:proofErr w:type="spellStart"/>
      <w:r w:rsidRPr="00BB5B3B">
        <w:rPr>
          <w:sz w:val="24"/>
          <w:szCs w:val="24"/>
        </w:rPr>
        <w:t>efavirenz</w:t>
      </w:r>
      <w:proofErr w:type="spellEnd"/>
      <w:r w:rsidRPr="00BB5B3B">
        <w:rPr>
          <w:sz w:val="24"/>
          <w:szCs w:val="24"/>
        </w:rPr>
        <w:t xml:space="preserve"> (400 mg/dag i 7 dage) viste ikke kliniske relevante </w:t>
      </w:r>
      <w:proofErr w:type="spellStart"/>
      <w:r w:rsidRPr="00BB5B3B">
        <w:rPr>
          <w:sz w:val="24"/>
          <w:szCs w:val="24"/>
        </w:rPr>
        <w:t>farmakokinetiske</w:t>
      </w:r>
      <w:proofErr w:type="spellEnd"/>
      <w:r w:rsidRPr="00BB5B3B">
        <w:rPr>
          <w:sz w:val="24"/>
          <w:szCs w:val="24"/>
        </w:rPr>
        <w:t xml:space="preserve"> interaktioner.</w:t>
      </w:r>
    </w:p>
    <w:p w:rsidR="00BB5B3B" w:rsidRPr="00BB5B3B" w:rsidRDefault="00BB5B3B" w:rsidP="00BB5B3B">
      <w:pPr>
        <w:tabs>
          <w:tab w:val="left" w:pos="851"/>
        </w:tabs>
        <w:ind w:left="851"/>
        <w:rPr>
          <w:i/>
          <w:sz w:val="24"/>
          <w:szCs w:val="24"/>
        </w:rPr>
      </w:pPr>
    </w:p>
    <w:p w:rsidR="00265736" w:rsidRPr="00A94A3A" w:rsidRDefault="00BB5B3B" w:rsidP="00BB5B3B">
      <w:pPr>
        <w:tabs>
          <w:tab w:val="left" w:pos="851"/>
        </w:tabs>
        <w:ind w:left="851"/>
        <w:rPr>
          <w:sz w:val="24"/>
          <w:szCs w:val="24"/>
          <w:u w:val="single"/>
        </w:rPr>
      </w:pPr>
      <w:proofErr w:type="spellStart"/>
      <w:r w:rsidRPr="00A94A3A">
        <w:rPr>
          <w:sz w:val="24"/>
          <w:szCs w:val="24"/>
          <w:u w:val="single"/>
        </w:rPr>
        <w:t>Fluconazol</w:t>
      </w:r>
      <w:proofErr w:type="spellEnd"/>
    </w:p>
    <w:p w:rsidR="00BB5B3B" w:rsidRPr="00BB5B3B" w:rsidRDefault="00BB5B3B" w:rsidP="00BB5B3B">
      <w:pPr>
        <w:tabs>
          <w:tab w:val="left" w:pos="851"/>
        </w:tabs>
        <w:ind w:left="851"/>
        <w:rPr>
          <w:sz w:val="24"/>
          <w:szCs w:val="24"/>
        </w:rPr>
      </w:pPr>
      <w:r w:rsidRPr="00BB5B3B">
        <w:rPr>
          <w:sz w:val="24"/>
          <w:szCs w:val="24"/>
        </w:rPr>
        <w:t xml:space="preserve">Samtidig indgift af enkeltdosis </w:t>
      </w:r>
      <w:proofErr w:type="spellStart"/>
      <w:r w:rsidRPr="00BB5B3B">
        <w:rPr>
          <w:sz w:val="24"/>
          <w:szCs w:val="24"/>
        </w:rPr>
        <w:t>azithromycin</w:t>
      </w:r>
      <w:proofErr w:type="spellEnd"/>
      <w:r w:rsidRPr="00BB5B3B">
        <w:rPr>
          <w:sz w:val="24"/>
          <w:szCs w:val="24"/>
        </w:rPr>
        <w:t xml:space="preserve"> (1200 mg) ændrede ikke farmakokinetikken for en enkeltdosis </w:t>
      </w:r>
      <w:proofErr w:type="spellStart"/>
      <w:r w:rsidRPr="00BB5B3B">
        <w:rPr>
          <w:sz w:val="24"/>
          <w:szCs w:val="24"/>
        </w:rPr>
        <w:t>fluconazol</w:t>
      </w:r>
      <w:proofErr w:type="spellEnd"/>
      <w:r w:rsidRPr="00BB5B3B">
        <w:rPr>
          <w:sz w:val="24"/>
          <w:szCs w:val="24"/>
        </w:rPr>
        <w:t xml:space="preserve"> (800 mg). Den samlede eksponering og halveringstiden for </w:t>
      </w:r>
      <w:proofErr w:type="spellStart"/>
      <w:r w:rsidRPr="00BB5B3B">
        <w:rPr>
          <w:sz w:val="24"/>
          <w:szCs w:val="24"/>
        </w:rPr>
        <w:t>azithromycin</w:t>
      </w:r>
      <w:proofErr w:type="spellEnd"/>
      <w:r w:rsidRPr="00BB5B3B">
        <w:rPr>
          <w:sz w:val="24"/>
          <w:szCs w:val="24"/>
        </w:rPr>
        <w:t xml:space="preserve"> var uændret ved samtidig indgift af </w:t>
      </w:r>
      <w:proofErr w:type="spellStart"/>
      <w:r w:rsidRPr="00BB5B3B">
        <w:rPr>
          <w:sz w:val="24"/>
          <w:szCs w:val="24"/>
        </w:rPr>
        <w:t>fluconazol</w:t>
      </w:r>
      <w:proofErr w:type="spellEnd"/>
      <w:r w:rsidRPr="00BB5B3B">
        <w:rPr>
          <w:sz w:val="24"/>
          <w:szCs w:val="24"/>
        </w:rPr>
        <w:t xml:space="preserve">, men der blev observeret en klinisk </w:t>
      </w:r>
      <w:proofErr w:type="spellStart"/>
      <w:r w:rsidRPr="00BB5B3B">
        <w:rPr>
          <w:sz w:val="24"/>
          <w:szCs w:val="24"/>
        </w:rPr>
        <w:t>insignifikant</w:t>
      </w:r>
      <w:proofErr w:type="spellEnd"/>
      <w:r w:rsidRPr="00BB5B3B">
        <w:rPr>
          <w:sz w:val="24"/>
          <w:szCs w:val="24"/>
        </w:rPr>
        <w:t xml:space="preserve"> reduktion i </w:t>
      </w:r>
      <w:proofErr w:type="spellStart"/>
      <w:r w:rsidRPr="00BB5B3B">
        <w:rPr>
          <w:sz w:val="24"/>
          <w:szCs w:val="24"/>
        </w:rPr>
        <w:t>C</w:t>
      </w:r>
      <w:r w:rsidRPr="00BB5B3B">
        <w:rPr>
          <w:sz w:val="24"/>
          <w:szCs w:val="24"/>
          <w:vertAlign w:val="subscript"/>
        </w:rPr>
        <w:t>max</w:t>
      </w:r>
      <w:proofErr w:type="spellEnd"/>
      <w:r w:rsidRPr="00BB5B3B">
        <w:rPr>
          <w:sz w:val="24"/>
          <w:szCs w:val="24"/>
        </w:rPr>
        <w:t xml:space="preserve"> (18 %) for </w:t>
      </w:r>
      <w:proofErr w:type="spellStart"/>
      <w:r w:rsidRPr="00BB5B3B">
        <w:rPr>
          <w:sz w:val="24"/>
          <w:szCs w:val="24"/>
        </w:rPr>
        <w:t>azithromycin</w:t>
      </w:r>
      <w:proofErr w:type="spellEnd"/>
      <w:r w:rsidRPr="00BB5B3B">
        <w:rPr>
          <w:sz w:val="24"/>
          <w:szCs w:val="24"/>
        </w:rPr>
        <w:t>.</w:t>
      </w:r>
    </w:p>
    <w:p w:rsidR="00BB5B3B" w:rsidRPr="00BB5B3B" w:rsidRDefault="00BB5B3B" w:rsidP="00BB5B3B">
      <w:pPr>
        <w:tabs>
          <w:tab w:val="left" w:pos="851"/>
        </w:tabs>
        <w:ind w:left="851"/>
        <w:rPr>
          <w:sz w:val="24"/>
          <w:szCs w:val="24"/>
        </w:rPr>
      </w:pPr>
    </w:p>
    <w:p w:rsidR="00265736" w:rsidRPr="00A94A3A" w:rsidRDefault="00BB5B3B" w:rsidP="00BB5B3B">
      <w:pPr>
        <w:tabs>
          <w:tab w:val="left" w:pos="851"/>
        </w:tabs>
        <w:ind w:left="851"/>
        <w:rPr>
          <w:sz w:val="24"/>
          <w:szCs w:val="24"/>
          <w:u w:val="single"/>
        </w:rPr>
      </w:pPr>
      <w:proofErr w:type="spellStart"/>
      <w:r w:rsidRPr="00A94A3A">
        <w:rPr>
          <w:sz w:val="24"/>
          <w:szCs w:val="24"/>
          <w:u w:val="single"/>
        </w:rPr>
        <w:t>Indinavir</w:t>
      </w:r>
      <w:proofErr w:type="spellEnd"/>
    </w:p>
    <w:p w:rsidR="00BB5B3B" w:rsidRPr="00BB5B3B" w:rsidRDefault="00BB5B3B" w:rsidP="00BB5B3B">
      <w:pPr>
        <w:tabs>
          <w:tab w:val="left" w:pos="851"/>
        </w:tabs>
        <w:ind w:left="851"/>
        <w:rPr>
          <w:sz w:val="24"/>
          <w:szCs w:val="24"/>
        </w:rPr>
      </w:pPr>
      <w:r w:rsidRPr="00BB5B3B">
        <w:rPr>
          <w:sz w:val="24"/>
          <w:szCs w:val="24"/>
        </w:rPr>
        <w:t xml:space="preserve">Samtidig indgift af en enkeltdosis </w:t>
      </w:r>
      <w:proofErr w:type="spellStart"/>
      <w:r w:rsidRPr="00BB5B3B">
        <w:rPr>
          <w:sz w:val="24"/>
          <w:szCs w:val="24"/>
        </w:rPr>
        <w:t>azithromycin</w:t>
      </w:r>
      <w:proofErr w:type="spellEnd"/>
      <w:r w:rsidRPr="00BB5B3B">
        <w:rPr>
          <w:sz w:val="24"/>
          <w:szCs w:val="24"/>
        </w:rPr>
        <w:t xml:space="preserve"> (1200 mg) havde ikke statistisk signifikant effekt på farmakokinetikken for </w:t>
      </w:r>
      <w:proofErr w:type="spellStart"/>
      <w:r w:rsidRPr="00BB5B3B">
        <w:rPr>
          <w:sz w:val="24"/>
          <w:szCs w:val="24"/>
        </w:rPr>
        <w:t>indinavir</w:t>
      </w:r>
      <w:proofErr w:type="spellEnd"/>
      <w:r w:rsidRPr="00BB5B3B">
        <w:rPr>
          <w:sz w:val="24"/>
          <w:szCs w:val="24"/>
        </w:rPr>
        <w:t xml:space="preserve"> 800 mg 3 gange </w:t>
      </w:r>
      <w:r w:rsidR="003B0298">
        <w:rPr>
          <w:sz w:val="24"/>
          <w:szCs w:val="24"/>
        </w:rPr>
        <w:t>daglig</w:t>
      </w:r>
      <w:r w:rsidRPr="00BB5B3B">
        <w:rPr>
          <w:sz w:val="24"/>
          <w:szCs w:val="24"/>
        </w:rPr>
        <w:t xml:space="preserve"> i 5 dage.</w:t>
      </w:r>
    </w:p>
    <w:p w:rsidR="00BB5B3B" w:rsidRPr="00BB5B3B" w:rsidRDefault="00BB5B3B" w:rsidP="00BB5B3B">
      <w:pPr>
        <w:tabs>
          <w:tab w:val="left" w:pos="851"/>
        </w:tabs>
        <w:ind w:left="851"/>
        <w:rPr>
          <w:sz w:val="24"/>
          <w:szCs w:val="24"/>
        </w:rPr>
      </w:pPr>
    </w:p>
    <w:p w:rsidR="00A87638" w:rsidRPr="00A94A3A" w:rsidRDefault="00BB5B3B" w:rsidP="00BB5B3B">
      <w:pPr>
        <w:tabs>
          <w:tab w:val="left" w:pos="851"/>
        </w:tabs>
        <w:ind w:left="851"/>
        <w:rPr>
          <w:sz w:val="24"/>
          <w:szCs w:val="24"/>
          <w:u w:val="single"/>
        </w:rPr>
      </w:pPr>
      <w:proofErr w:type="spellStart"/>
      <w:r w:rsidRPr="00A94A3A">
        <w:rPr>
          <w:sz w:val="24"/>
          <w:szCs w:val="24"/>
          <w:u w:val="single"/>
        </w:rPr>
        <w:t>Methylprednisolon</w:t>
      </w:r>
      <w:proofErr w:type="spellEnd"/>
    </w:p>
    <w:p w:rsidR="00BB5B3B" w:rsidRPr="00BB5B3B" w:rsidRDefault="00BB5B3B" w:rsidP="00BB5B3B">
      <w:pPr>
        <w:tabs>
          <w:tab w:val="left" w:pos="851"/>
        </w:tabs>
        <w:ind w:left="851"/>
        <w:rPr>
          <w:sz w:val="24"/>
          <w:szCs w:val="24"/>
        </w:rPr>
      </w:pPr>
      <w:r w:rsidRPr="00BB5B3B">
        <w:rPr>
          <w:sz w:val="24"/>
          <w:szCs w:val="24"/>
        </w:rPr>
        <w:t xml:space="preserve">I et </w:t>
      </w:r>
      <w:proofErr w:type="spellStart"/>
      <w:r w:rsidRPr="00BB5B3B">
        <w:rPr>
          <w:sz w:val="24"/>
          <w:szCs w:val="24"/>
        </w:rPr>
        <w:t>farmakokinetisk</w:t>
      </w:r>
      <w:proofErr w:type="spellEnd"/>
      <w:r w:rsidRPr="00BB5B3B">
        <w:rPr>
          <w:sz w:val="24"/>
          <w:szCs w:val="24"/>
        </w:rPr>
        <w:t xml:space="preserve"> interaktionsstudie med raske frivillige forsøgspersoner havde </w:t>
      </w:r>
      <w:proofErr w:type="spellStart"/>
      <w:r w:rsidRPr="00BB5B3B">
        <w:rPr>
          <w:sz w:val="24"/>
          <w:szCs w:val="24"/>
        </w:rPr>
        <w:t>azithromycin</w:t>
      </w:r>
      <w:proofErr w:type="spellEnd"/>
      <w:r w:rsidRPr="00BB5B3B">
        <w:rPr>
          <w:sz w:val="24"/>
          <w:szCs w:val="24"/>
        </w:rPr>
        <w:t xml:space="preserve"> ikke indflydelse på </w:t>
      </w:r>
      <w:proofErr w:type="spellStart"/>
      <w:r w:rsidRPr="00BB5B3B">
        <w:rPr>
          <w:sz w:val="24"/>
          <w:szCs w:val="24"/>
        </w:rPr>
        <w:t>methylprednisolons</w:t>
      </w:r>
      <w:proofErr w:type="spellEnd"/>
      <w:r w:rsidRPr="00BB5B3B">
        <w:rPr>
          <w:sz w:val="24"/>
          <w:szCs w:val="24"/>
        </w:rPr>
        <w:t xml:space="preserve"> farmakokinetik.</w:t>
      </w:r>
    </w:p>
    <w:p w:rsidR="00A87638" w:rsidRDefault="00A87638">
      <w:pPr>
        <w:rPr>
          <w:sz w:val="24"/>
          <w:szCs w:val="24"/>
        </w:rPr>
      </w:pPr>
      <w:r>
        <w:rPr>
          <w:sz w:val="24"/>
          <w:szCs w:val="24"/>
        </w:rPr>
        <w:br w:type="page"/>
      </w:r>
    </w:p>
    <w:p w:rsidR="00BB5B3B" w:rsidRPr="00BB5B3B" w:rsidRDefault="00BB5B3B" w:rsidP="00BB5B3B">
      <w:pPr>
        <w:tabs>
          <w:tab w:val="left" w:pos="851"/>
        </w:tabs>
        <w:ind w:left="851"/>
        <w:rPr>
          <w:sz w:val="24"/>
          <w:szCs w:val="24"/>
        </w:rPr>
      </w:pPr>
    </w:p>
    <w:p w:rsidR="00A87638" w:rsidRPr="00A94A3A" w:rsidRDefault="00BB5B3B" w:rsidP="00BB5B3B">
      <w:pPr>
        <w:tabs>
          <w:tab w:val="left" w:pos="851"/>
        </w:tabs>
        <w:ind w:left="851"/>
        <w:rPr>
          <w:sz w:val="24"/>
          <w:szCs w:val="24"/>
          <w:u w:val="single"/>
        </w:rPr>
      </w:pPr>
      <w:proofErr w:type="spellStart"/>
      <w:r w:rsidRPr="00A94A3A">
        <w:rPr>
          <w:sz w:val="24"/>
          <w:szCs w:val="24"/>
          <w:u w:val="single"/>
        </w:rPr>
        <w:t>Midazolam</w:t>
      </w:r>
      <w:proofErr w:type="spellEnd"/>
    </w:p>
    <w:p w:rsidR="00BB5B3B" w:rsidRPr="00BB5B3B" w:rsidRDefault="00BB5B3B" w:rsidP="00BB5B3B">
      <w:pPr>
        <w:tabs>
          <w:tab w:val="left" w:pos="851"/>
        </w:tabs>
        <w:ind w:left="851"/>
        <w:rPr>
          <w:sz w:val="24"/>
          <w:szCs w:val="24"/>
        </w:rPr>
      </w:pPr>
      <w:r w:rsidRPr="00BB5B3B">
        <w:rPr>
          <w:sz w:val="24"/>
          <w:szCs w:val="24"/>
        </w:rPr>
        <w:t xml:space="preserve">Hos raske frivillige forsøgspersoner, medførte samtidig indgift af </w:t>
      </w:r>
      <w:proofErr w:type="spellStart"/>
      <w:r w:rsidRPr="00BB5B3B">
        <w:rPr>
          <w:sz w:val="24"/>
          <w:szCs w:val="24"/>
        </w:rPr>
        <w:t>azithromycin</w:t>
      </w:r>
      <w:proofErr w:type="spellEnd"/>
      <w:r w:rsidRPr="00BB5B3B">
        <w:rPr>
          <w:sz w:val="24"/>
          <w:szCs w:val="24"/>
        </w:rPr>
        <w:t xml:space="preserve"> (500 mg/dag i 3 dage) ikke klinisk signifikante ændringer i farmakokinetikken og </w:t>
      </w:r>
      <w:proofErr w:type="spellStart"/>
      <w:r w:rsidRPr="00BB5B3B">
        <w:rPr>
          <w:sz w:val="24"/>
          <w:szCs w:val="24"/>
        </w:rPr>
        <w:t>farmakodynamikken</w:t>
      </w:r>
      <w:proofErr w:type="spellEnd"/>
      <w:r w:rsidRPr="00BB5B3B">
        <w:rPr>
          <w:sz w:val="24"/>
          <w:szCs w:val="24"/>
        </w:rPr>
        <w:t xml:space="preserve"> for </w:t>
      </w:r>
      <w:proofErr w:type="spellStart"/>
      <w:r w:rsidRPr="00BB5B3B">
        <w:rPr>
          <w:sz w:val="24"/>
          <w:szCs w:val="24"/>
        </w:rPr>
        <w:t>midazolam</w:t>
      </w:r>
      <w:proofErr w:type="spellEnd"/>
      <w:r w:rsidRPr="00BB5B3B">
        <w:rPr>
          <w:sz w:val="24"/>
          <w:szCs w:val="24"/>
        </w:rPr>
        <w:t xml:space="preserve"> (enkeltdosis 15 mg).</w:t>
      </w:r>
    </w:p>
    <w:p w:rsidR="00BB5B3B" w:rsidRPr="00BB5B3B" w:rsidRDefault="00BB5B3B" w:rsidP="00BB5B3B">
      <w:pPr>
        <w:tabs>
          <w:tab w:val="left" w:pos="851"/>
        </w:tabs>
        <w:ind w:left="851"/>
        <w:rPr>
          <w:sz w:val="24"/>
          <w:szCs w:val="24"/>
        </w:rPr>
      </w:pPr>
    </w:p>
    <w:p w:rsidR="00A87638" w:rsidRPr="00A94A3A" w:rsidRDefault="00BB5B3B" w:rsidP="00BB5B3B">
      <w:pPr>
        <w:tabs>
          <w:tab w:val="left" w:pos="851"/>
        </w:tabs>
        <w:ind w:left="851"/>
        <w:rPr>
          <w:sz w:val="24"/>
          <w:szCs w:val="24"/>
          <w:u w:val="single"/>
        </w:rPr>
      </w:pPr>
      <w:proofErr w:type="spellStart"/>
      <w:r w:rsidRPr="00A94A3A">
        <w:rPr>
          <w:sz w:val="24"/>
          <w:szCs w:val="24"/>
          <w:u w:val="single"/>
        </w:rPr>
        <w:t>Nelfinavir</w:t>
      </w:r>
      <w:proofErr w:type="spellEnd"/>
    </w:p>
    <w:p w:rsidR="00BB5B3B" w:rsidRPr="00BB5B3B" w:rsidRDefault="00BB5B3B" w:rsidP="00BB5B3B">
      <w:pPr>
        <w:tabs>
          <w:tab w:val="left" w:pos="851"/>
        </w:tabs>
        <w:ind w:left="851"/>
        <w:rPr>
          <w:sz w:val="24"/>
          <w:szCs w:val="24"/>
        </w:rPr>
      </w:pPr>
      <w:r w:rsidRPr="00BB5B3B">
        <w:rPr>
          <w:sz w:val="24"/>
          <w:szCs w:val="24"/>
        </w:rPr>
        <w:t xml:space="preserve">Samtidig indgift af </w:t>
      </w:r>
      <w:proofErr w:type="spellStart"/>
      <w:r w:rsidRPr="00BB5B3B">
        <w:rPr>
          <w:sz w:val="24"/>
          <w:szCs w:val="24"/>
        </w:rPr>
        <w:t>azithromycin</w:t>
      </w:r>
      <w:proofErr w:type="spellEnd"/>
      <w:r w:rsidRPr="00BB5B3B">
        <w:rPr>
          <w:sz w:val="24"/>
          <w:szCs w:val="24"/>
        </w:rPr>
        <w:t xml:space="preserve"> (1200 mg) og </w:t>
      </w:r>
      <w:proofErr w:type="spellStart"/>
      <w:r w:rsidRPr="00BB5B3B">
        <w:rPr>
          <w:sz w:val="24"/>
          <w:szCs w:val="24"/>
        </w:rPr>
        <w:t>nelfinavir</w:t>
      </w:r>
      <w:proofErr w:type="spellEnd"/>
      <w:r w:rsidRPr="00BB5B3B">
        <w:rPr>
          <w:sz w:val="24"/>
          <w:szCs w:val="24"/>
        </w:rPr>
        <w:t xml:space="preserve"> ved </w:t>
      </w:r>
      <w:proofErr w:type="spellStart"/>
      <w:r w:rsidRPr="00BB5B3B">
        <w:rPr>
          <w:sz w:val="24"/>
          <w:szCs w:val="24"/>
        </w:rPr>
        <w:t>steady</w:t>
      </w:r>
      <w:proofErr w:type="spellEnd"/>
      <w:r w:rsidRPr="00BB5B3B">
        <w:rPr>
          <w:sz w:val="24"/>
          <w:szCs w:val="24"/>
        </w:rPr>
        <w:t xml:space="preserve"> </w:t>
      </w:r>
      <w:proofErr w:type="spellStart"/>
      <w:r w:rsidRPr="00BB5B3B">
        <w:rPr>
          <w:sz w:val="24"/>
          <w:szCs w:val="24"/>
        </w:rPr>
        <w:t>state</w:t>
      </w:r>
      <w:proofErr w:type="spellEnd"/>
      <w:r w:rsidRPr="00BB5B3B">
        <w:rPr>
          <w:sz w:val="24"/>
          <w:szCs w:val="24"/>
        </w:rPr>
        <w:t xml:space="preserve"> (750 mg 3 gange </w:t>
      </w:r>
      <w:r w:rsidR="003B0298">
        <w:rPr>
          <w:sz w:val="24"/>
          <w:szCs w:val="24"/>
        </w:rPr>
        <w:t>daglig</w:t>
      </w:r>
      <w:r w:rsidRPr="00BB5B3B">
        <w:rPr>
          <w:sz w:val="24"/>
          <w:szCs w:val="24"/>
        </w:rPr>
        <w:t xml:space="preserve">) medførte en øget </w:t>
      </w:r>
      <w:proofErr w:type="spellStart"/>
      <w:r w:rsidRPr="00BB5B3B">
        <w:rPr>
          <w:sz w:val="24"/>
          <w:szCs w:val="24"/>
        </w:rPr>
        <w:t>azithromycinkoncentration</w:t>
      </w:r>
      <w:proofErr w:type="spellEnd"/>
      <w:r w:rsidRPr="00BB5B3B">
        <w:rPr>
          <w:sz w:val="24"/>
          <w:szCs w:val="24"/>
        </w:rPr>
        <w:t>. Der blev ikke set klinisk signifikante bivirkninger, og det er ikke nødvendigt at justere dosis.</w:t>
      </w:r>
    </w:p>
    <w:p w:rsidR="00BB5B3B" w:rsidRPr="00BB5B3B" w:rsidRDefault="00BB5B3B" w:rsidP="00BB5B3B">
      <w:pPr>
        <w:tabs>
          <w:tab w:val="left" w:pos="851"/>
        </w:tabs>
        <w:ind w:left="851"/>
        <w:rPr>
          <w:i/>
          <w:sz w:val="24"/>
          <w:szCs w:val="24"/>
        </w:rPr>
      </w:pPr>
    </w:p>
    <w:p w:rsidR="00A87638" w:rsidRPr="00A94A3A" w:rsidRDefault="00BB5B3B" w:rsidP="00BB5B3B">
      <w:pPr>
        <w:tabs>
          <w:tab w:val="left" w:pos="851"/>
        </w:tabs>
        <w:ind w:left="851"/>
        <w:rPr>
          <w:sz w:val="24"/>
          <w:szCs w:val="24"/>
          <w:u w:val="single"/>
        </w:rPr>
      </w:pPr>
      <w:proofErr w:type="spellStart"/>
      <w:r w:rsidRPr="00A94A3A">
        <w:rPr>
          <w:sz w:val="24"/>
          <w:szCs w:val="24"/>
          <w:u w:val="single"/>
        </w:rPr>
        <w:t>Rifabutin</w:t>
      </w:r>
      <w:proofErr w:type="spellEnd"/>
    </w:p>
    <w:p w:rsidR="00BB5B3B" w:rsidRPr="00BB5B3B" w:rsidRDefault="00BB5B3B" w:rsidP="00BB5B3B">
      <w:pPr>
        <w:tabs>
          <w:tab w:val="left" w:pos="851"/>
        </w:tabs>
        <w:ind w:left="851"/>
        <w:rPr>
          <w:sz w:val="24"/>
          <w:szCs w:val="24"/>
        </w:rPr>
      </w:pPr>
      <w:r w:rsidRPr="00BB5B3B">
        <w:rPr>
          <w:sz w:val="24"/>
          <w:szCs w:val="24"/>
        </w:rPr>
        <w:t xml:space="preserve">Samtidig administration af </w:t>
      </w:r>
      <w:proofErr w:type="spellStart"/>
      <w:r w:rsidRPr="00BB5B3B">
        <w:rPr>
          <w:sz w:val="24"/>
          <w:szCs w:val="24"/>
        </w:rPr>
        <w:t>rifabutin</w:t>
      </w:r>
      <w:proofErr w:type="spellEnd"/>
      <w:r w:rsidRPr="00BB5B3B">
        <w:rPr>
          <w:sz w:val="24"/>
          <w:szCs w:val="24"/>
        </w:rPr>
        <w:t xml:space="preserve"> og </w:t>
      </w:r>
      <w:proofErr w:type="spellStart"/>
      <w:r w:rsidRPr="00BB5B3B">
        <w:rPr>
          <w:sz w:val="24"/>
          <w:szCs w:val="24"/>
        </w:rPr>
        <w:t>azithromycin</w:t>
      </w:r>
      <w:proofErr w:type="spellEnd"/>
      <w:r w:rsidRPr="00BB5B3B">
        <w:rPr>
          <w:sz w:val="24"/>
          <w:szCs w:val="24"/>
        </w:rPr>
        <w:t xml:space="preserve"> påvirkede ikke serumkoncentrationerne af nogen af stofferne. </w:t>
      </w:r>
      <w:proofErr w:type="spellStart"/>
      <w:r w:rsidRPr="00BB5B3B">
        <w:rPr>
          <w:sz w:val="24"/>
          <w:szCs w:val="24"/>
        </w:rPr>
        <w:t>Neutropeni</w:t>
      </w:r>
      <w:proofErr w:type="spellEnd"/>
      <w:r w:rsidRPr="00BB5B3B">
        <w:rPr>
          <w:sz w:val="24"/>
          <w:szCs w:val="24"/>
        </w:rPr>
        <w:t xml:space="preserve"> er set hos personer, der fik samtidig behandling </w:t>
      </w:r>
      <w:proofErr w:type="spellStart"/>
      <w:r w:rsidRPr="00BB5B3B">
        <w:rPr>
          <w:sz w:val="24"/>
          <w:szCs w:val="24"/>
        </w:rPr>
        <w:t>azithromycin</w:t>
      </w:r>
      <w:proofErr w:type="spellEnd"/>
      <w:r w:rsidRPr="00BB5B3B">
        <w:rPr>
          <w:sz w:val="24"/>
          <w:szCs w:val="24"/>
        </w:rPr>
        <w:t xml:space="preserve"> og </w:t>
      </w:r>
      <w:proofErr w:type="spellStart"/>
      <w:r w:rsidRPr="00BB5B3B">
        <w:rPr>
          <w:sz w:val="24"/>
          <w:szCs w:val="24"/>
        </w:rPr>
        <w:t>rifabutin</w:t>
      </w:r>
      <w:proofErr w:type="spellEnd"/>
      <w:r w:rsidRPr="00BB5B3B">
        <w:rPr>
          <w:sz w:val="24"/>
          <w:szCs w:val="24"/>
        </w:rPr>
        <w:t xml:space="preserve">. Der er ikke vist en årsagssammenhæng i forbindelse med kombinationen med </w:t>
      </w:r>
      <w:proofErr w:type="spellStart"/>
      <w:r w:rsidRPr="00BB5B3B">
        <w:rPr>
          <w:sz w:val="24"/>
          <w:szCs w:val="24"/>
        </w:rPr>
        <w:t>azithromycin</w:t>
      </w:r>
      <w:proofErr w:type="spellEnd"/>
      <w:r w:rsidRPr="00BB5B3B">
        <w:rPr>
          <w:sz w:val="24"/>
          <w:szCs w:val="24"/>
        </w:rPr>
        <w:t xml:space="preserve"> (se pkt. 4.8).</w:t>
      </w:r>
    </w:p>
    <w:p w:rsidR="00BB5B3B" w:rsidRPr="00BB5B3B" w:rsidRDefault="00BB5B3B" w:rsidP="00BB5B3B">
      <w:pPr>
        <w:tabs>
          <w:tab w:val="left" w:pos="851"/>
        </w:tabs>
        <w:ind w:left="851"/>
        <w:rPr>
          <w:i/>
          <w:sz w:val="24"/>
          <w:szCs w:val="24"/>
        </w:rPr>
      </w:pPr>
    </w:p>
    <w:p w:rsidR="00A87638" w:rsidRPr="00A94A3A" w:rsidRDefault="00BB5B3B" w:rsidP="00BB5B3B">
      <w:pPr>
        <w:tabs>
          <w:tab w:val="left" w:pos="851"/>
        </w:tabs>
        <w:ind w:left="851"/>
        <w:rPr>
          <w:sz w:val="24"/>
          <w:szCs w:val="24"/>
          <w:u w:val="single"/>
        </w:rPr>
      </w:pPr>
      <w:proofErr w:type="spellStart"/>
      <w:r w:rsidRPr="00A94A3A">
        <w:rPr>
          <w:sz w:val="24"/>
          <w:szCs w:val="24"/>
          <w:u w:val="single"/>
        </w:rPr>
        <w:t>Sildenafil</w:t>
      </w:r>
      <w:proofErr w:type="spellEnd"/>
    </w:p>
    <w:p w:rsidR="00BB5B3B" w:rsidRPr="00BB5B3B" w:rsidRDefault="00BB5B3B" w:rsidP="00BB5B3B">
      <w:pPr>
        <w:tabs>
          <w:tab w:val="left" w:pos="851"/>
        </w:tabs>
        <w:ind w:left="851"/>
        <w:rPr>
          <w:sz w:val="24"/>
          <w:szCs w:val="24"/>
        </w:rPr>
      </w:pPr>
      <w:r w:rsidRPr="00BB5B3B">
        <w:rPr>
          <w:sz w:val="24"/>
          <w:szCs w:val="24"/>
        </w:rPr>
        <w:t xml:space="preserve">Hos raske, frivillige, mandlige forsøgspersoner var der ikke tegn på en effekt af </w:t>
      </w:r>
      <w:proofErr w:type="spellStart"/>
      <w:r w:rsidRPr="00BB5B3B">
        <w:rPr>
          <w:sz w:val="24"/>
          <w:szCs w:val="24"/>
        </w:rPr>
        <w:t>azithromycin</w:t>
      </w:r>
      <w:proofErr w:type="spellEnd"/>
      <w:r w:rsidRPr="00BB5B3B">
        <w:rPr>
          <w:sz w:val="24"/>
          <w:szCs w:val="24"/>
        </w:rPr>
        <w:t xml:space="preserve"> (500 mg/dag i 3 dage) på AUC og </w:t>
      </w:r>
      <w:proofErr w:type="spellStart"/>
      <w:r w:rsidRPr="00BB5B3B">
        <w:rPr>
          <w:sz w:val="24"/>
          <w:szCs w:val="24"/>
        </w:rPr>
        <w:t>C</w:t>
      </w:r>
      <w:r w:rsidRPr="00BB5B3B">
        <w:rPr>
          <w:sz w:val="24"/>
          <w:szCs w:val="24"/>
          <w:vertAlign w:val="subscript"/>
        </w:rPr>
        <w:t>max</w:t>
      </w:r>
      <w:proofErr w:type="spellEnd"/>
      <w:r w:rsidRPr="00BB5B3B">
        <w:rPr>
          <w:sz w:val="24"/>
          <w:szCs w:val="24"/>
        </w:rPr>
        <w:t xml:space="preserve"> for </w:t>
      </w:r>
      <w:proofErr w:type="spellStart"/>
      <w:r w:rsidRPr="00BB5B3B">
        <w:rPr>
          <w:sz w:val="24"/>
          <w:szCs w:val="24"/>
        </w:rPr>
        <w:t>sildenafil</w:t>
      </w:r>
      <w:proofErr w:type="spellEnd"/>
      <w:r w:rsidRPr="00BB5B3B">
        <w:rPr>
          <w:sz w:val="24"/>
          <w:szCs w:val="24"/>
        </w:rPr>
        <w:t xml:space="preserve"> eller dets primære metabolit.</w:t>
      </w:r>
    </w:p>
    <w:p w:rsidR="00BB5B3B" w:rsidRPr="00BB5B3B" w:rsidRDefault="00BB5B3B" w:rsidP="00BB5B3B">
      <w:pPr>
        <w:tabs>
          <w:tab w:val="left" w:pos="851"/>
        </w:tabs>
        <w:ind w:left="851"/>
        <w:rPr>
          <w:sz w:val="24"/>
          <w:szCs w:val="24"/>
        </w:rPr>
      </w:pPr>
    </w:p>
    <w:p w:rsidR="00A87638" w:rsidRPr="00A94A3A" w:rsidRDefault="00BB5B3B" w:rsidP="00BB5B3B">
      <w:pPr>
        <w:tabs>
          <w:tab w:val="left" w:pos="851"/>
        </w:tabs>
        <w:ind w:left="851"/>
        <w:rPr>
          <w:sz w:val="24"/>
          <w:szCs w:val="24"/>
          <w:u w:val="single"/>
        </w:rPr>
      </w:pPr>
      <w:proofErr w:type="spellStart"/>
      <w:r w:rsidRPr="00A94A3A">
        <w:rPr>
          <w:sz w:val="24"/>
          <w:szCs w:val="24"/>
          <w:u w:val="single"/>
        </w:rPr>
        <w:t>Terfenadin</w:t>
      </w:r>
      <w:proofErr w:type="spellEnd"/>
    </w:p>
    <w:p w:rsidR="00BB5B3B" w:rsidRPr="00BB5B3B" w:rsidRDefault="00BB5B3B" w:rsidP="00BB5B3B">
      <w:pPr>
        <w:tabs>
          <w:tab w:val="left" w:pos="851"/>
        </w:tabs>
        <w:ind w:left="851"/>
        <w:rPr>
          <w:sz w:val="24"/>
          <w:szCs w:val="24"/>
        </w:rPr>
      </w:pPr>
      <w:proofErr w:type="spellStart"/>
      <w:r w:rsidRPr="00BB5B3B">
        <w:rPr>
          <w:sz w:val="24"/>
          <w:szCs w:val="24"/>
        </w:rPr>
        <w:t>Farmakokinetiske</w:t>
      </w:r>
      <w:proofErr w:type="spellEnd"/>
      <w:r w:rsidRPr="00BB5B3B">
        <w:rPr>
          <w:sz w:val="24"/>
          <w:szCs w:val="24"/>
        </w:rPr>
        <w:t xml:space="preserve"> studier har ikke vist evidens for interaktion mellem </w:t>
      </w:r>
      <w:proofErr w:type="spellStart"/>
      <w:r w:rsidRPr="00BB5B3B">
        <w:rPr>
          <w:sz w:val="24"/>
          <w:szCs w:val="24"/>
        </w:rPr>
        <w:t>azithromycin</w:t>
      </w:r>
      <w:proofErr w:type="spellEnd"/>
      <w:r w:rsidRPr="00BB5B3B">
        <w:rPr>
          <w:sz w:val="24"/>
          <w:szCs w:val="24"/>
        </w:rPr>
        <w:t xml:space="preserve"> og </w:t>
      </w:r>
      <w:proofErr w:type="spellStart"/>
      <w:r w:rsidRPr="00BB5B3B">
        <w:rPr>
          <w:sz w:val="24"/>
          <w:szCs w:val="24"/>
        </w:rPr>
        <w:t>terfenadin</w:t>
      </w:r>
      <w:proofErr w:type="spellEnd"/>
      <w:r w:rsidRPr="00BB5B3B">
        <w:rPr>
          <w:sz w:val="24"/>
          <w:szCs w:val="24"/>
        </w:rPr>
        <w:t>. Der har været sjældne tilfælde, hvor muligheden for en sådan interaktion ikke helt har kunnet udelukkes, men der har ikke været specifik evidens for, at en sådan interaktion var indtruffet.</w:t>
      </w:r>
    </w:p>
    <w:p w:rsidR="00BB5B3B" w:rsidRPr="00BB5B3B" w:rsidRDefault="00BB5B3B" w:rsidP="00BB5B3B">
      <w:pPr>
        <w:tabs>
          <w:tab w:val="left" w:pos="851"/>
        </w:tabs>
        <w:ind w:left="851"/>
        <w:rPr>
          <w:sz w:val="24"/>
          <w:szCs w:val="24"/>
        </w:rPr>
      </w:pPr>
    </w:p>
    <w:p w:rsidR="00A87638" w:rsidRPr="00A94A3A" w:rsidRDefault="00BB5B3B" w:rsidP="00BB5B3B">
      <w:pPr>
        <w:tabs>
          <w:tab w:val="left" w:pos="851"/>
        </w:tabs>
        <w:ind w:left="851"/>
        <w:rPr>
          <w:sz w:val="24"/>
          <w:szCs w:val="24"/>
          <w:u w:val="single"/>
        </w:rPr>
      </w:pPr>
      <w:proofErr w:type="spellStart"/>
      <w:r w:rsidRPr="00A94A3A">
        <w:rPr>
          <w:sz w:val="24"/>
          <w:szCs w:val="24"/>
          <w:u w:val="single"/>
        </w:rPr>
        <w:t>Theophyllin</w:t>
      </w:r>
      <w:proofErr w:type="spellEnd"/>
    </w:p>
    <w:p w:rsidR="00BB5B3B" w:rsidRPr="00BB5B3B" w:rsidRDefault="00BB5B3B" w:rsidP="00BB5B3B">
      <w:pPr>
        <w:tabs>
          <w:tab w:val="left" w:pos="851"/>
        </w:tabs>
        <w:ind w:left="851"/>
        <w:rPr>
          <w:sz w:val="24"/>
          <w:szCs w:val="24"/>
        </w:rPr>
      </w:pPr>
      <w:r w:rsidRPr="00BB5B3B">
        <w:rPr>
          <w:sz w:val="24"/>
          <w:szCs w:val="24"/>
        </w:rPr>
        <w:t xml:space="preserve">Der er ingen tegn på klinisk signifikant </w:t>
      </w:r>
      <w:proofErr w:type="spellStart"/>
      <w:r w:rsidRPr="00BB5B3B">
        <w:rPr>
          <w:sz w:val="24"/>
          <w:szCs w:val="24"/>
        </w:rPr>
        <w:t>farmakokinetisk</w:t>
      </w:r>
      <w:proofErr w:type="spellEnd"/>
      <w:r w:rsidRPr="00BB5B3B">
        <w:rPr>
          <w:sz w:val="24"/>
          <w:szCs w:val="24"/>
        </w:rPr>
        <w:t xml:space="preserve"> interaktion, når </w:t>
      </w:r>
      <w:proofErr w:type="spellStart"/>
      <w:r w:rsidRPr="00BB5B3B">
        <w:rPr>
          <w:sz w:val="24"/>
          <w:szCs w:val="24"/>
        </w:rPr>
        <w:t>azithromycin</w:t>
      </w:r>
      <w:proofErr w:type="spellEnd"/>
      <w:r w:rsidRPr="00BB5B3B">
        <w:rPr>
          <w:sz w:val="24"/>
          <w:szCs w:val="24"/>
        </w:rPr>
        <w:t xml:space="preserve"> og </w:t>
      </w:r>
      <w:proofErr w:type="spellStart"/>
      <w:r w:rsidRPr="00BB5B3B">
        <w:rPr>
          <w:sz w:val="24"/>
          <w:szCs w:val="24"/>
        </w:rPr>
        <w:t>theophyllin</w:t>
      </w:r>
      <w:proofErr w:type="spellEnd"/>
      <w:r w:rsidRPr="00BB5B3B">
        <w:rPr>
          <w:sz w:val="24"/>
          <w:szCs w:val="24"/>
        </w:rPr>
        <w:t xml:space="preserve"> gives samtidig til raske frivillige forsøgspersoner. </w:t>
      </w:r>
    </w:p>
    <w:p w:rsidR="00BB5B3B" w:rsidRPr="00BB5B3B" w:rsidRDefault="00BB5B3B" w:rsidP="00BB5B3B">
      <w:pPr>
        <w:tabs>
          <w:tab w:val="left" w:pos="851"/>
        </w:tabs>
        <w:ind w:left="851"/>
        <w:rPr>
          <w:sz w:val="24"/>
          <w:szCs w:val="24"/>
        </w:rPr>
      </w:pPr>
    </w:p>
    <w:p w:rsidR="00A87638" w:rsidRPr="00A94A3A" w:rsidRDefault="00BB5B3B" w:rsidP="00BB5B3B">
      <w:pPr>
        <w:tabs>
          <w:tab w:val="left" w:pos="851"/>
        </w:tabs>
        <w:ind w:left="851"/>
        <w:rPr>
          <w:sz w:val="24"/>
          <w:szCs w:val="24"/>
          <w:u w:val="single"/>
        </w:rPr>
      </w:pPr>
      <w:proofErr w:type="spellStart"/>
      <w:r w:rsidRPr="00A94A3A">
        <w:rPr>
          <w:sz w:val="24"/>
          <w:szCs w:val="24"/>
          <w:u w:val="single"/>
        </w:rPr>
        <w:t>Triazolam</w:t>
      </w:r>
      <w:proofErr w:type="spellEnd"/>
    </w:p>
    <w:p w:rsidR="00BB5B3B" w:rsidRPr="00BB5B3B" w:rsidRDefault="00BB5B3B" w:rsidP="00BB5B3B">
      <w:pPr>
        <w:tabs>
          <w:tab w:val="left" w:pos="851"/>
        </w:tabs>
        <w:ind w:left="851"/>
        <w:rPr>
          <w:sz w:val="24"/>
          <w:szCs w:val="24"/>
        </w:rPr>
      </w:pPr>
      <w:r w:rsidRPr="00BB5B3B">
        <w:rPr>
          <w:sz w:val="24"/>
          <w:szCs w:val="24"/>
        </w:rPr>
        <w:t xml:space="preserve">Hos 14 raske frivillige forsøgspersoner, havde samtidig administration af </w:t>
      </w:r>
      <w:proofErr w:type="spellStart"/>
      <w:r w:rsidRPr="00BB5B3B">
        <w:rPr>
          <w:sz w:val="24"/>
          <w:szCs w:val="24"/>
        </w:rPr>
        <w:t>azithromycin</w:t>
      </w:r>
      <w:proofErr w:type="spellEnd"/>
      <w:r w:rsidRPr="00BB5B3B">
        <w:rPr>
          <w:sz w:val="24"/>
          <w:szCs w:val="24"/>
        </w:rPr>
        <w:t xml:space="preserve"> (500 mg på dag 1 og 250 mg på dag 2) og </w:t>
      </w:r>
      <w:proofErr w:type="spellStart"/>
      <w:r w:rsidRPr="00BB5B3B">
        <w:rPr>
          <w:sz w:val="24"/>
          <w:szCs w:val="24"/>
        </w:rPr>
        <w:t>triazolam</w:t>
      </w:r>
      <w:proofErr w:type="spellEnd"/>
      <w:r w:rsidRPr="00BB5B3B">
        <w:rPr>
          <w:sz w:val="24"/>
          <w:szCs w:val="24"/>
        </w:rPr>
        <w:t xml:space="preserve"> (0,125 mg på dag 2) ingen signifikant effekt på nogen af de </w:t>
      </w:r>
      <w:proofErr w:type="spellStart"/>
      <w:r w:rsidRPr="00BB5B3B">
        <w:rPr>
          <w:sz w:val="24"/>
          <w:szCs w:val="24"/>
        </w:rPr>
        <w:t>farmakokinetiske</w:t>
      </w:r>
      <w:proofErr w:type="spellEnd"/>
      <w:r w:rsidRPr="00BB5B3B">
        <w:rPr>
          <w:sz w:val="24"/>
          <w:szCs w:val="24"/>
        </w:rPr>
        <w:t xml:space="preserve"> værdier for </w:t>
      </w:r>
      <w:proofErr w:type="spellStart"/>
      <w:r w:rsidRPr="00BB5B3B">
        <w:rPr>
          <w:sz w:val="24"/>
          <w:szCs w:val="24"/>
        </w:rPr>
        <w:t>triazolam</w:t>
      </w:r>
      <w:proofErr w:type="spellEnd"/>
      <w:r w:rsidRPr="00BB5B3B">
        <w:rPr>
          <w:sz w:val="24"/>
          <w:szCs w:val="24"/>
        </w:rPr>
        <w:t xml:space="preserve"> sammenlignet med </w:t>
      </w:r>
      <w:proofErr w:type="spellStart"/>
      <w:r w:rsidRPr="00BB5B3B">
        <w:rPr>
          <w:sz w:val="24"/>
          <w:szCs w:val="24"/>
        </w:rPr>
        <w:t>triazolam</w:t>
      </w:r>
      <w:proofErr w:type="spellEnd"/>
      <w:r w:rsidRPr="00BB5B3B">
        <w:rPr>
          <w:sz w:val="24"/>
          <w:szCs w:val="24"/>
        </w:rPr>
        <w:t xml:space="preserve"> og placebo.</w:t>
      </w:r>
    </w:p>
    <w:p w:rsidR="00BB5B3B" w:rsidRPr="00BB5B3B" w:rsidRDefault="00BB5B3B" w:rsidP="00BB5B3B">
      <w:pPr>
        <w:tabs>
          <w:tab w:val="left" w:pos="851"/>
        </w:tabs>
        <w:ind w:left="851"/>
        <w:rPr>
          <w:sz w:val="24"/>
          <w:szCs w:val="24"/>
        </w:rPr>
      </w:pPr>
    </w:p>
    <w:p w:rsidR="00A87638" w:rsidRPr="00A94A3A" w:rsidRDefault="00BB5B3B" w:rsidP="00BB5B3B">
      <w:pPr>
        <w:tabs>
          <w:tab w:val="left" w:pos="851"/>
        </w:tabs>
        <w:ind w:left="851"/>
        <w:rPr>
          <w:sz w:val="24"/>
          <w:szCs w:val="24"/>
          <w:u w:val="single"/>
        </w:rPr>
      </w:pPr>
      <w:proofErr w:type="spellStart"/>
      <w:r w:rsidRPr="00A94A3A">
        <w:rPr>
          <w:sz w:val="24"/>
          <w:szCs w:val="24"/>
          <w:u w:val="single"/>
        </w:rPr>
        <w:t>Trimethoprim</w:t>
      </w:r>
      <w:proofErr w:type="spellEnd"/>
      <w:r w:rsidRPr="00A94A3A">
        <w:rPr>
          <w:sz w:val="24"/>
          <w:szCs w:val="24"/>
          <w:u w:val="single"/>
        </w:rPr>
        <w:t>/</w:t>
      </w:r>
      <w:proofErr w:type="spellStart"/>
      <w:r w:rsidRPr="00A94A3A">
        <w:rPr>
          <w:sz w:val="24"/>
          <w:szCs w:val="24"/>
          <w:u w:val="single"/>
        </w:rPr>
        <w:t>sulfamethoxazol</w:t>
      </w:r>
      <w:proofErr w:type="spellEnd"/>
    </w:p>
    <w:p w:rsidR="00BB5B3B" w:rsidRPr="00BB5B3B" w:rsidRDefault="00BB5B3B" w:rsidP="00BB5B3B">
      <w:pPr>
        <w:tabs>
          <w:tab w:val="left" w:pos="851"/>
        </w:tabs>
        <w:ind w:left="851"/>
        <w:rPr>
          <w:sz w:val="24"/>
          <w:szCs w:val="24"/>
        </w:rPr>
      </w:pPr>
      <w:r w:rsidRPr="00BB5B3B">
        <w:rPr>
          <w:sz w:val="24"/>
          <w:szCs w:val="24"/>
        </w:rPr>
        <w:t xml:space="preserve">Samtidig administration af </w:t>
      </w:r>
      <w:proofErr w:type="spellStart"/>
      <w:r w:rsidRPr="00BB5B3B">
        <w:rPr>
          <w:sz w:val="24"/>
          <w:szCs w:val="24"/>
        </w:rPr>
        <w:t>trimethoprim</w:t>
      </w:r>
      <w:proofErr w:type="spellEnd"/>
      <w:r w:rsidRPr="00BB5B3B">
        <w:rPr>
          <w:sz w:val="24"/>
          <w:szCs w:val="24"/>
        </w:rPr>
        <w:t>/</w:t>
      </w:r>
      <w:proofErr w:type="spellStart"/>
      <w:r w:rsidRPr="00BB5B3B">
        <w:rPr>
          <w:sz w:val="24"/>
          <w:szCs w:val="24"/>
        </w:rPr>
        <w:t>sulfamethoxazol</w:t>
      </w:r>
      <w:proofErr w:type="spellEnd"/>
      <w:r w:rsidRPr="00BB5B3B">
        <w:rPr>
          <w:sz w:val="24"/>
          <w:szCs w:val="24"/>
        </w:rPr>
        <w:t xml:space="preserve"> (160 mg/800 mg) i 7 dage med </w:t>
      </w:r>
      <w:proofErr w:type="spellStart"/>
      <w:r w:rsidRPr="00BB5B3B">
        <w:rPr>
          <w:sz w:val="24"/>
          <w:szCs w:val="24"/>
        </w:rPr>
        <w:t>azithromycin</w:t>
      </w:r>
      <w:proofErr w:type="spellEnd"/>
      <w:r w:rsidRPr="00BB5B3B">
        <w:rPr>
          <w:sz w:val="24"/>
          <w:szCs w:val="24"/>
        </w:rPr>
        <w:t xml:space="preserve"> 1200 mg på dag 7 havde ingen signifikant effekt på de maksimale koncentrationer, samlet eksponering eller urinudskillelsen af enten </w:t>
      </w:r>
      <w:proofErr w:type="spellStart"/>
      <w:r w:rsidRPr="00BB5B3B">
        <w:rPr>
          <w:sz w:val="24"/>
          <w:szCs w:val="24"/>
        </w:rPr>
        <w:t>trimethoprim</w:t>
      </w:r>
      <w:proofErr w:type="spellEnd"/>
      <w:r w:rsidRPr="00BB5B3B">
        <w:rPr>
          <w:sz w:val="24"/>
          <w:szCs w:val="24"/>
        </w:rPr>
        <w:t xml:space="preserve"> eller </w:t>
      </w:r>
      <w:proofErr w:type="spellStart"/>
      <w:r w:rsidRPr="00BB5B3B">
        <w:rPr>
          <w:sz w:val="24"/>
          <w:szCs w:val="24"/>
        </w:rPr>
        <w:t>sulfamethoxazol</w:t>
      </w:r>
      <w:proofErr w:type="spellEnd"/>
      <w:r w:rsidRPr="00BB5B3B">
        <w:rPr>
          <w:sz w:val="24"/>
          <w:szCs w:val="24"/>
        </w:rPr>
        <w:t xml:space="preserve">. Serumkoncentrationerne af </w:t>
      </w:r>
      <w:proofErr w:type="spellStart"/>
      <w:r w:rsidRPr="00BB5B3B">
        <w:rPr>
          <w:sz w:val="24"/>
          <w:szCs w:val="24"/>
        </w:rPr>
        <w:t>azithromycin</w:t>
      </w:r>
      <w:proofErr w:type="spellEnd"/>
      <w:r w:rsidRPr="00BB5B3B">
        <w:rPr>
          <w:sz w:val="24"/>
          <w:szCs w:val="24"/>
        </w:rPr>
        <w:t xml:space="preserve"> svarede til dem, der blev set i andre 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981843" w:rsidRPr="00BA4587">
        <w:rPr>
          <w:b/>
          <w:noProof/>
          <w:sz w:val="24"/>
          <w:szCs w:val="24"/>
        </w:rPr>
        <w:t>Fertilitet, g</w:t>
      </w:r>
      <w:r w:rsidR="00981843" w:rsidRPr="00BA4587">
        <w:rPr>
          <w:b/>
          <w:sz w:val="24"/>
          <w:szCs w:val="24"/>
        </w:rPr>
        <w:t>raviditet og amning</w:t>
      </w:r>
      <w:bookmarkEnd w:id="1"/>
    </w:p>
    <w:p w:rsidR="00873A04" w:rsidRPr="00873A04" w:rsidRDefault="00873A04" w:rsidP="00873A04">
      <w:pPr>
        <w:tabs>
          <w:tab w:val="left" w:pos="851"/>
        </w:tabs>
        <w:ind w:left="851"/>
        <w:rPr>
          <w:sz w:val="24"/>
          <w:szCs w:val="24"/>
        </w:rPr>
      </w:pPr>
    </w:p>
    <w:p w:rsidR="00BE5253" w:rsidRPr="00873A04" w:rsidRDefault="00BE5253" w:rsidP="00BE5253">
      <w:pPr>
        <w:tabs>
          <w:tab w:val="left" w:pos="851"/>
        </w:tabs>
        <w:ind w:left="851"/>
        <w:rPr>
          <w:sz w:val="24"/>
          <w:szCs w:val="24"/>
          <w:u w:val="single"/>
        </w:rPr>
      </w:pPr>
      <w:r w:rsidRPr="00873A04">
        <w:rPr>
          <w:sz w:val="24"/>
          <w:szCs w:val="24"/>
          <w:u w:val="single"/>
        </w:rPr>
        <w:t>Graviditet</w:t>
      </w:r>
    </w:p>
    <w:p w:rsidR="00BE5253" w:rsidRPr="006D1FE1" w:rsidRDefault="00BE5253" w:rsidP="00BE5253">
      <w:pPr>
        <w:tabs>
          <w:tab w:val="left" w:pos="851"/>
        </w:tabs>
        <w:ind w:left="851"/>
        <w:rPr>
          <w:sz w:val="24"/>
          <w:szCs w:val="24"/>
        </w:rPr>
      </w:pPr>
      <w:r w:rsidRPr="006D1FE1">
        <w:rPr>
          <w:sz w:val="24"/>
          <w:szCs w:val="24"/>
        </w:rPr>
        <w:t xml:space="preserve">I reproduktionstoksicitetsstudier hos dyr blev </w:t>
      </w:r>
      <w:proofErr w:type="spellStart"/>
      <w:r w:rsidRPr="006D1FE1">
        <w:rPr>
          <w:sz w:val="24"/>
          <w:szCs w:val="24"/>
        </w:rPr>
        <w:t>azithromycin</w:t>
      </w:r>
      <w:proofErr w:type="spellEnd"/>
      <w:r w:rsidRPr="006D1FE1">
        <w:rPr>
          <w:sz w:val="24"/>
          <w:szCs w:val="24"/>
        </w:rPr>
        <w:t xml:space="preserve"> påvist at passere placenta, men der blev ikke observeret </w:t>
      </w:r>
      <w:proofErr w:type="spellStart"/>
      <w:r w:rsidRPr="006D1FE1">
        <w:rPr>
          <w:sz w:val="24"/>
          <w:szCs w:val="24"/>
        </w:rPr>
        <w:t>teratogene</w:t>
      </w:r>
      <w:proofErr w:type="spellEnd"/>
      <w:r w:rsidRPr="006D1FE1">
        <w:rPr>
          <w:sz w:val="24"/>
          <w:szCs w:val="24"/>
        </w:rPr>
        <w:t xml:space="preserve"> virkninger. Der er en stor mængde data fra observationsundersøgelser udført i flere lande om eksponering for </w:t>
      </w:r>
      <w:proofErr w:type="spellStart"/>
      <w:r w:rsidRPr="006D1FE1">
        <w:rPr>
          <w:sz w:val="24"/>
          <w:szCs w:val="24"/>
        </w:rPr>
        <w:t>azithromycin</w:t>
      </w:r>
      <w:proofErr w:type="spellEnd"/>
      <w:r w:rsidRPr="006D1FE1">
        <w:rPr>
          <w:sz w:val="24"/>
          <w:szCs w:val="24"/>
        </w:rPr>
        <w:t xml:space="preserve"> under </w:t>
      </w:r>
      <w:r w:rsidRPr="006D1FE1">
        <w:rPr>
          <w:sz w:val="24"/>
          <w:szCs w:val="24"/>
        </w:rPr>
        <w:lastRenderedPageBreak/>
        <w:t xml:space="preserve">graviditet sammenlignet med ingen antibiotikabrug eller brug af et andet antibiotikum i samme periode. Selv om de fleste undersøgelser ikke tyder på en sammenhæng med bivirkninger </w:t>
      </w:r>
      <w:r>
        <w:rPr>
          <w:sz w:val="24"/>
          <w:szCs w:val="24"/>
        </w:rPr>
        <w:t>hos</w:t>
      </w:r>
      <w:r w:rsidRPr="006D1FE1">
        <w:rPr>
          <w:sz w:val="24"/>
          <w:szCs w:val="24"/>
        </w:rPr>
        <w:t xml:space="preserve"> fosteret, såsom alvorlige medfødte misdannelser eller </w:t>
      </w:r>
      <w:proofErr w:type="spellStart"/>
      <w:r w:rsidRPr="006D1FE1">
        <w:rPr>
          <w:sz w:val="24"/>
          <w:szCs w:val="24"/>
        </w:rPr>
        <w:t>kardiovaskulære</w:t>
      </w:r>
      <w:proofErr w:type="spellEnd"/>
      <w:r w:rsidRPr="006D1FE1">
        <w:rPr>
          <w:sz w:val="24"/>
          <w:szCs w:val="24"/>
        </w:rPr>
        <w:t xml:space="preserve"> misdannelser, er der begrænset epidemiologisk dokumentation for en øget risiko for abort efter eksponering for </w:t>
      </w:r>
      <w:proofErr w:type="spellStart"/>
      <w:r w:rsidRPr="006D1FE1">
        <w:rPr>
          <w:sz w:val="24"/>
          <w:szCs w:val="24"/>
        </w:rPr>
        <w:t>azithromycin</w:t>
      </w:r>
      <w:proofErr w:type="spellEnd"/>
      <w:r w:rsidRPr="006D1FE1">
        <w:rPr>
          <w:sz w:val="24"/>
          <w:szCs w:val="24"/>
        </w:rPr>
        <w:t xml:space="preserve"> tidligt i graviditeten.</w:t>
      </w:r>
    </w:p>
    <w:p w:rsidR="00873A04" w:rsidRDefault="00BE5253" w:rsidP="00BE5253">
      <w:pPr>
        <w:tabs>
          <w:tab w:val="left" w:pos="851"/>
        </w:tabs>
        <w:ind w:left="851"/>
        <w:rPr>
          <w:sz w:val="24"/>
          <w:szCs w:val="24"/>
        </w:rPr>
      </w:pPr>
      <w:proofErr w:type="spellStart"/>
      <w:r w:rsidRPr="006D1FE1">
        <w:rPr>
          <w:sz w:val="24"/>
          <w:szCs w:val="24"/>
        </w:rPr>
        <w:t>Azithromycin</w:t>
      </w:r>
      <w:proofErr w:type="spellEnd"/>
      <w:r w:rsidRPr="006D1FE1">
        <w:rPr>
          <w:sz w:val="24"/>
          <w:szCs w:val="24"/>
        </w:rPr>
        <w:t xml:space="preserve"> bør kun anvendes under graviditet, hvis det er klinisk nødvendigt, og hvis fordelene ved behandlingen forventes at opveje eventuelle små øgede risici, der måtte eksistere</w:t>
      </w:r>
      <w:r>
        <w:rPr>
          <w:sz w:val="24"/>
          <w:szCs w:val="24"/>
        </w:rPr>
        <w:t>.</w:t>
      </w:r>
    </w:p>
    <w:p w:rsidR="00BE5253" w:rsidRPr="00873A04" w:rsidRDefault="00BE5253" w:rsidP="00BE5253">
      <w:pPr>
        <w:tabs>
          <w:tab w:val="left" w:pos="851"/>
        </w:tabs>
        <w:ind w:left="851"/>
        <w:rPr>
          <w:sz w:val="24"/>
          <w:szCs w:val="24"/>
        </w:rPr>
      </w:pPr>
    </w:p>
    <w:p w:rsidR="00873A04" w:rsidRPr="00873A04" w:rsidRDefault="00873A04" w:rsidP="00873A04">
      <w:pPr>
        <w:tabs>
          <w:tab w:val="left" w:pos="851"/>
        </w:tabs>
        <w:ind w:left="851"/>
        <w:rPr>
          <w:sz w:val="24"/>
          <w:szCs w:val="24"/>
          <w:u w:val="single"/>
        </w:rPr>
      </w:pPr>
      <w:r w:rsidRPr="00873A04">
        <w:rPr>
          <w:sz w:val="24"/>
          <w:szCs w:val="24"/>
          <w:u w:val="single"/>
        </w:rPr>
        <w:t>Amning</w:t>
      </w:r>
    </w:p>
    <w:p w:rsidR="00873A04" w:rsidRPr="00873A04" w:rsidRDefault="00873A04" w:rsidP="00873A04">
      <w:pPr>
        <w:tabs>
          <w:tab w:val="left" w:pos="851"/>
        </w:tabs>
        <w:ind w:left="851"/>
        <w:rPr>
          <w:sz w:val="24"/>
          <w:szCs w:val="24"/>
        </w:rPr>
      </w:pPr>
      <w:r w:rsidRPr="00873A04">
        <w:rPr>
          <w:sz w:val="24"/>
          <w:szCs w:val="24"/>
        </w:rPr>
        <w:t xml:space="preserve">Begrænsede oplysninger i publiceret litteratur indikerer, at </w:t>
      </w:r>
      <w:proofErr w:type="spellStart"/>
      <w:r w:rsidRPr="00873A04">
        <w:rPr>
          <w:sz w:val="24"/>
          <w:szCs w:val="24"/>
        </w:rPr>
        <w:t>azithromycin</w:t>
      </w:r>
      <w:proofErr w:type="spellEnd"/>
      <w:r w:rsidRPr="00873A04">
        <w:rPr>
          <w:sz w:val="24"/>
          <w:szCs w:val="24"/>
        </w:rPr>
        <w:t xml:space="preserve"> udskilles i modermælk med en estimeret maksimal dosis på 0,1 til 0,7 mg/kg/dag. Der er ikke set alvorlige bivirkninger ved </w:t>
      </w:r>
      <w:proofErr w:type="spellStart"/>
      <w:r w:rsidRPr="00873A04">
        <w:rPr>
          <w:sz w:val="24"/>
          <w:szCs w:val="24"/>
        </w:rPr>
        <w:t>azithromycin</w:t>
      </w:r>
      <w:proofErr w:type="spellEnd"/>
      <w:r w:rsidRPr="00873A04">
        <w:rPr>
          <w:sz w:val="24"/>
          <w:szCs w:val="24"/>
        </w:rPr>
        <w:t xml:space="preserve"> hos børn, som får brystmælk.</w:t>
      </w:r>
    </w:p>
    <w:p w:rsidR="00873A04" w:rsidRPr="00873A04" w:rsidRDefault="00873A04" w:rsidP="00873A04">
      <w:pPr>
        <w:tabs>
          <w:tab w:val="left" w:pos="851"/>
        </w:tabs>
        <w:ind w:left="851"/>
        <w:rPr>
          <w:sz w:val="24"/>
          <w:szCs w:val="24"/>
        </w:rPr>
      </w:pPr>
    </w:p>
    <w:p w:rsidR="00873A04" w:rsidRPr="00873A04" w:rsidRDefault="00873A04" w:rsidP="00873A04">
      <w:pPr>
        <w:tabs>
          <w:tab w:val="left" w:pos="851"/>
        </w:tabs>
        <w:ind w:left="851"/>
        <w:rPr>
          <w:sz w:val="24"/>
          <w:szCs w:val="24"/>
        </w:rPr>
      </w:pPr>
      <w:r w:rsidRPr="00873A04">
        <w:rPr>
          <w:sz w:val="24"/>
          <w:szCs w:val="24"/>
        </w:rPr>
        <w:t xml:space="preserve">Det skal besluttes om amningen skal afsluttes, eller om behandlingen med </w:t>
      </w:r>
      <w:proofErr w:type="spellStart"/>
      <w:r w:rsidRPr="00873A04">
        <w:rPr>
          <w:sz w:val="24"/>
          <w:szCs w:val="24"/>
        </w:rPr>
        <w:t>azithromycin</w:t>
      </w:r>
      <w:proofErr w:type="spellEnd"/>
      <w:r w:rsidRPr="00873A04">
        <w:rPr>
          <w:sz w:val="24"/>
          <w:szCs w:val="24"/>
        </w:rPr>
        <w:t xml:space="preserve"> skal sættes på pause/seponeres ud fra et hensyn til fordelene for barnet ved amning og fordelene ved behandlingen for kvinden.</w:t>
      </w:r>
    </w:p>
    <w:p w:rsidR="00873A04" w:rsidRPr="00873A04" w:rsidRDefault="00873A04" w:rsidP="00873A04">
      <w:pPr>
        <w:tabs>
          <w:tab w:val="left" w:pos="851"/>
        </w:tabs>
        <w:ind w:left="851"/>
        <w:rPr>
          <w:sz w:val="24"/>
          <w:szCs w:val="24"/>
        </w:rPr>
      </w:pPr>
    </w:p>
    <w:p w:rsidR="00873A04" w:rsidRPr="00873A04" w:rsidRDefault="00873A04" w:rsidP="00873A04">
      <w:pPr>
        <w:tabs>
          <w:tab w:val="left" w:pos="851"/>
        </w:tabs>
        <w:ind w:left="851"/>
        <w:rPr>
          <w:sz w:val="24"/>
          <w:szCs w:val="24"/>
          <w:u w:val="single"/>
        </w:rPr>
      </w:pPr>
      <w:r w:rsidRPr="00873A04">
        <w:rPr>
          <w:sz w:val="24"/>
          <w:szCs w:val="24"/>
          <w:u w:val="single"/>
        </w:rPr>
        <w:t>Fertilitet</w:t>
      </w:r>
    </w:p>
    <w:p w:rsidR="00873A04" w:rsidRPr="00873A04" w:rsidRDefault="00873A04" w:rsidP="00873A04">
      <w:pPr>
        <w:tabs>
          <w:tab w:val="left" w:pos="851"/>
        </w:tabs>
        <w:ind w:left="851"/>
        <w:rPr>
          <w:sz w:val="24"/>
          <w:szCs w:val="24"/>
        </w:rPr>
      </w:pPr>
      <w:r w:rsidRPr="00873A04">
        <w:rPr>
          <w:sz w:val="24"/>
          <w:szCs w:val="24"/>
        </w:rPr>
        <w:t xml:space="preserve">I fertilitetsstudier med rotter blev der set færre graviditeter hos rotter, der fik </w:t>
      </w:r>
      <w:proofErr w:type="spellStart"/>
      <w:r w:rsidRPr="00873A04">
        <w:rPr>
          <w:sz w:val="24"/>
          <w:szCs w:val="24"/>
        </w:rPr>
        <w:t>azithromycin</w:t>
      </w:r>
      <w:proofErr w:type="spellEnd"/>
      <w:r w:rsidRPr="00873A04">
        <w:rPr>
          <w:sz w:val="24"/>
          <w:szCs w:val="24"/>
        </w:rPr>
        <w:t>. Betydningen af dette fund for mennesker er ukendt.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981843" w:rsidRPr="00BA4587">
        <w:rPr>
          <w:b/>
          <w:sz w:val="24"/>
          <w:szCs w:val="24"/>
        </w:rPr>
        <w:t xml:space="preserve">Virkning på evnen til at føre motorkøretøj </w:t>
      </w:r>
      <w:r w:rsidR="00981843" w:rsidRPr="00BA4587">
        <w:rPr>
          <w:b/>
          <w:noProof/>
          <w:sz w:val="24"/>
          <w:szCs w:val="24"/>
        </w:rPr>
        <w:t>og</w:t>
      </w:r>
      <w:r w:rsidR="00981843" w:rsidRPr="00BA4587">
        <w:rPr>
          <w:b/>
          <w:sz w:val="24"/>
          <w:szCs w:val="24"/>
        </w:rPr>
        <w:t xml:space="preserve"> betjene maskiner</w:t>
      </w:r>
      <w:bookmarkEnd w:id="2"/>
    </w:p>
    <w:p w:rsidR="00873A04" w:rsidRPr="00873A04" w:rsidRDefault="00873A04" w:rsidP="00873A04">
      <w:pPr>
        <w:tabs>
          <w:tab w:val="left" w:pos="851"/>
        </w:tabs>
        <w:ind w:left="851"/>
        <w:rPr>
          <w:sz w:val="24"/>
          <w:szCs w:val="24"/>
        </w:rPr>
      </w:pPr>
      <w:r w:rsidRPr="00873A04">
        <w:rPr>
          <w:sz w:val="24"/>
          <w:szCs w:val="24"/>
        </w:rPr>
        <w:t xml:space="preserve">Der er ikke bevis for, at </w:t>
      </w:r>
      <w:proofErr w:type="spellStart"/>
      <w:r w:rsidRPr="00873A04">
        <w:rPr>
          <w:sz w:val="24"/>
          <w:szCs w:val="24"/>
        </w:rPr>
        <w:t>azithromycin</w:t>
      </w:r>
      <w:proofErr w:type="spellEnd"/>
      <w:r w:rsidRPr="00873A04">
        <w:rPr>
          <w:sz w:val="24"/>
          <w:szCs w:val="24"/>
        </w:rPr>
        <w:t xml:space="preserve"> påvirker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23521" w:rsidRPr="00623521" w:rsidRDefault="00623521" w:rsidP="00623521">
      <w:pPr>
        <w:tabs>
          <w:tab w:val="left" w:pos="851"/>
        </w:tabs>
        <w:ind w:left="851"/>
        <w:rPr>
          <w:sz w:val="24"/>
          <w:szCs w:val="24"/>
        </w:rPr>
      </w:pPr>
      <w:r w:rsidRPr="00623521">
        <w:rPr>
          <w:bCs/>
          <w:sz w:val="24"/>
          <w:szCs w:val="24"/>
        </w:rPr>
        <w:t>Skemaet nedenfor anfører de bivirkninger, der er rapporteret gennem kliniske studier og erfaring efter markedsføring.</w:t>
      </w:r>
      <w:r w:rsidRPr="00623521">
        <w:rPr>
          <w:sz w:val="24"/>
          <w:szCs w:val="24"/>
        </w:rPr>
        <w:t xml:space="preserve"> </w:t>
      </w:r>
      <w:r w:rsidRPr="00623521">
        <w:rPr>
          <w:sz w:val="24"/>
          <w:szCs w:val="24"/>
        </w:rPr>
        <w:br/>
        <w:t xml:space="preserve">Frekvenser er defineret ud fra: </w:t>
      </w:r>
      <w:r>
        <w:rPr>
          <w:sz w:val="24"/>
          <w:szCs w:val="24"/>
        </w:rPr>
        <w:t>M</w:t>
      </w:r>
      <w:r w:rsidRPr="00623521">
        <w:rPr>
          <w:sz w:val="24"/>
          <w:szCs w:val="24"/>
        </w:rPr>
        <w:t>eget almindelig ≥1/10, almindelig ≥1/100 og &lt;1/10, ikke almindelig ≥1/1.000 og &lt;1/100, sjælden ≥1/10.000 og &lt;1/1.000, meget sjælden &lt;1/10.000 samt ikke kendt (kan ikke estimeres ud fra forhånden</w:t>
      </w:r>
      <w:r w:rsidRPr="00623521">
        <w:rPr>
          <w:sz w:val="24"/>
          <w:szCs w:val="24"/>
        </w:rPr>
        <w:softHyphen/>
        <w:t xml:space="preserve">værende data). </w:t>
      </w:r>
      <w:r w:rsidRPr="00623521">
        <w:rPr>
          <w:sz w:val="24"/>
          <w:szCs w:val="24"/>
        </w:rPr>
        <w:br/>
        <w:t>Inden for hver frekvensgruppering er bivirkningerne anført i rækkefølge efter alvorlighed.</w:t>
      </w:r>
    </w:p>
    <w:p w:rsidR="00623521" w:rsidRPr="00623521" w:rsidRDefault="00623521" w:rsidP="00623521">
      <w:pPr>
        <w:tabs>
          <w:tab w:val="left" w:pos="851"/>
        </w:tabs>
        <w:ind w:left="851"/>
        <w:rPr>
          <w:sz w:val="24"/>
          <w:szCs w:val="24"/>
        </w:rPr>
      </w:pPr>
    </w:p>
    <w:p w:rsidR="00623521" w:rsidRPr="00A65F0B" w:rsidRDefault="00623521" w:rsidP="00623521">
      <w:pPr>
        <w:tabs>
          <w:tab w:val="left" w:pos="851"/>
        </w:tabs>
        <w:ind w:left="851"/>
        <w:rPr>
          <w:b/>
          <w:bCs/>
          <w:sz w:val="24"/>
          <w:szCs w:val="24"/>
        </w:rPr>
      </w:pPr>
      <w:r w:rsidRPr="00A65F0B">
        <w:rPr>
          <w:b/>
          <w:bCs/>
          <w:sz w:val="24"/>
          <w:szCs w:val="24"/>
        </w:rPr>
        <w:t xml:space="preserve">Bivirkninger der formentlig kan relateres til </w:t>
      </w:r>
      <w:proofErr w:type="spellStart"/>
      <w:r w:rsidRPr="00A65F0B">
        <w:rPr>
          <w:b/>
          <w:bCs/>
          <w:sz w:val="24"/>
          <w:szCs w:val="24"/>
        </w:rPr>
        <w:t>azithromycin</w:t>
      </w:r>
      <w:proofErr w:type="spellEnd"/>
      <w:r w:rsidRPr="00A65F0B">
        <w:rPr>
          <w:b/>
          <w:bCs/>
          <w:sz w:val="24"/>
          <w:szCs w:val="24"/>
        </w:rPr>
        <w:t xml:space="preserve"> baseret på kliniske studier og indberetninger efter markedsføring:</w:t>
      </w:r>
    </w:p>
    <w:p w:rsidR="00623521" w:rsidRPr="00623521" w:rsidRDefault="00623521" w:rsidP="00623521">
      <w:pPr>
        <w:tabs>
          <w:tab w:val="left" w:pos="851"/>
        </w:tabs>
        <w:ind w:left="851"/>
        <w:rPr>
          <w:b/>
          <w:bCs/>
          <w:sz w:val="24"/>
          <w:szCs w:val="24"/>
        </w:rPr>
      </w:pPr>
    </w:p>
    <w:tbl>
      <w:tblPr>
        <w:tblW w:w="93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365"/>
        <w:gridCol w:w="5746"/>
      </w:tblGrid>
      <w:tr w:rsidR="00623521" w:rsidRPr="00623521" w:rsidTr="00F5134C">
        <w:trPr>
          <w:cantSplit/>
          <w:tblHeader/>
        </w:trPr>
        <w:tc>
          <w:tcPr>
            <w:tcW w:w="2268" w:type="dxa"/>
            <w:tcBorders>
              <w:top w:val="single" w:sz="4" w:space="0" w:color="auto"/>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roofErr w:type="spellStart"/>
            <w:r w:rsidRPr="00623521">
              <w:rPr>
                <w:b/>
                <w:sz w:val="24"/>
                <w:szCs w:val="24"/>
              </w:rPr>
              <w:t>MedDRA</w:t>
            </w:r>
            <w:proofErr w:type="spellEnd"/>
            <w:r w:rsidRPr="00623521">
              <w:rPr>
                <w:b/>
                <w:sz w:val="24"/>
                <w:szCs w:val="24"/>
              </w:rPr>
              <w:t xml:space="preserve"> </w:t>
            </w:r>
            <w:r w:rsidR="00F5134C">
              <w:rPr>
                <w:b/>
                <w:sz w:val="24"/>
                <w:szCs w:val="24"/>
              </w:rPr>
              <w:t>system</w:t>
            </w:r>
            <w:r w:rsidRPr="00623521">
              <w:rPr>
                <w:b/>
                <w:sz w:val="24"/>
                <w:szCs w:val="24"/>
              </w:rPr>
              <w:t>organklasse</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b/>
                <w:sz w:val="24"/>
                <w:szCs w:val="24"/>
              </w:rPr>
            </w:pPr>
            <w:r w:rsidRPr="00623521">
              <w:rPr>
                <w:b/>
                <w:sz w:val="24"/>
                <w:szCs w:val="24"/>
              </w:rPr>
              <w:t>Frekvens</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b/>
                <w:sz w:val="24"/>
                <w:szCs w:val="24"/>
              </w:rPr>
            </w:pPr>
            <w:r w:rsidRPr="00623521">
              <w:rPr>
                <w:b/>
                <w:sz w:val="24"/>
                <w:szCs w:val="24"/>
              </w:rPr>
              <w:t>Bivirkninger</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hideMark/>
          </w:tcPr>
          <w:p w:rsidR="00623521" w:rsidRPr="00623521" w:rsidRDefault="00623521" w:rsidP="00623521">
            <w:pPr>
              <w:ind w:left="34"/>
              <w:rPr>
                <w:b/>
                <w:sz w:val="24"/>
                <w:szCs w:val="24"/>
              </w:rPr>
            </w:pPr>
            <w:r w:rsidRPr="00623521">
              <w:rPr>
                <w:b/>
                <w:sz w:val="24"/>
                <w:szCs w:val="24"/>
              </w:rPr>
              <w:t>Infektioner og parasitære sygdomme</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proofErr w:type="spellStart"/>
            <w:r w:rsidRPr="00623521">
              <w:rPr>
                <w:sz w:val="24"/>
                <w:szCs w:val="24"/>
              </w:rPr>
              <w:t>Candidiasis</w:t>
            </w:r>
            <w:proofErr w:type="spellEnd"/>
            <w:r w:rsidRPr="00623521">
              <w:rPr>
                <w:sz w:val="24"/>
                <w:szCs w:val="24"/>
              </w:rPr>
              <w:t xml:space="preserve">, vaginal infektion, lungebetændelse, svampeinfektion, bakterieinfektion, </w:t>
            </w:r>
            <w:proofErr w:type="spellStart"/>
            <w:r w:rsidRPr="00623521">
              <w:rPr>
                <w:sz w:val="24"/>
                <w:szCs w:val="24"/>
              </w:rPr>
              <w:t>faryngitis</w:t>
            </w:r>
            <w:proofErr w:type="spellEnd"/>
            <w:r w:rsidRPr="00623521">
              <w:rPr>
                <w:sz w:val="24"/>
                <w:szCs w:val="24"/>
              </w:rPr>
              <w:t xml:space="preserve">, </w:t>
            </w:r>
            <w:proofErr w:type="spellStart"/>
            <w:r w:rsidRPr="00623521">
              <w:rPr>
                <w:sz w:val="24"/>
                <w:szCs w:val="24"/>
              </w:rPr>
              <w:t>gastroenteritis</w:t>
            </w:r>
            <w:proofErr w:type="spellEnd"/>
            <w:r w:rsidRPr="00623521">
              <w:rPr>
                <w:sz w:val="24"/>
                <w:szCs w:val="24"/>
              </w:rPr>
              <w:t xml:space="preserve">, vejrtrækningslidelser, </w:t>
            </w:r>
            <w:proofErr w:type="spellStart"/>
            <w:r w:rsidRPr="00623521">
              <w:rPr>
                <w:sz w:val="24"/>
                <w:szCs w:val="24"/>
              </w:rPr>
              <w:t>rhinitis</w:t>
            </w:r>
            <w:proofErr w:type="spellEnd"/>
            <w:r w:rsidRPr="00623521">
              <w:rPr>
                <w:sz w:val="24"/>
                <w:szCs w:val="24"/>
              </w:rPr>
              <w:t xml:space="preserve">, oral </w:t>
            </w:r>
            <w:proofErr w:type="spellStart"/>
            <w:r w:rsidRPr="00623521">
              <w:rPr>
                <w:sz w:val="24"/>
                <w:szCs w:val="24"/>
              </w:rPr>
              <w:t>candidiasis</w:t>
            </w:r>
            <w:proofErr w:type="spellEnd"/>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proofErr w:type="spellStart"/>
            <w:r w:rsidRPr="00623521">
              <w:rPr>
                <w:sz w:val="24"/>
                <w:szCs w:val="24"/>
              </w:rPr>
              <w:t>Pseudomembranøs</w:t>
            </w:r>
            <w:proofErr w:type="spellEnd"/>
            <w:r w:rsidRPr="00623521">
              <w:rPr>
                <w:sz w:val="24"/>
                <w:szCs w:val="24"/>
              </w:rPr>
              <w:t xml:space="preserve"> colitis (se pkt. 4.4)</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vAlign w:val="center"/>
            <w:hideMark/>
          </w:tcPr>
          <w:p w:rsidR="00623521" w:rsidRPr="00623521" w:rsidRDefault="00623521" w:rsidP="00623521">
            <w:pPr>
              <w:ind w:left="34"/>
              <w:rPr>
                <w:b/>
                <w:sz w:val="24"/>
                <w:szCs w:val="24"/>
              </w:rPr>
            </w:pPr>
            <w:r w:rsidRPr="00623521">
              <w:rPr>
                <w:b/>
                <w:sz w:val="24"/>
                <w:szCs w:val="24"/>
              </w:rPr>
              <w:t>Blod og lymfesystem</w:t>
            </w:r>
          </w:p>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lang w:val="en-GB"/>
              </w:rPr>
            </w:pPr>
            <w:proofErr w:type="spellStart"/>
            <w:r w:rsidRPr="00623521">
              <w:rPr>
                <w:sz w:val="24"/>
                <w:szCs w:val="24"/>
                <w:lang w:val="en-GB"/>
              </w:rPr>
              <w:t>Leukopeni</w:t>
            </w:r>
            <w:proofErr w:type="spellEnd"/>
            <w:r w:rsidRPr="00623521">
              <w:rPr>
                <w:sz w:val="24"/>
                <w:szCs w:val="24"/>
                <w:lang w:val="en-GB"/>
              </w:rPr>
              <w:t xml:space="preserve">, </w:t>
            </w:r>
            <w:proofErr w:type="spellStart"/>
            <w:r w:rsidRPr="00623521">
              <w:rPr>
                <w:sz w:val="24"/>
                <w:szCs w:val="24"/>
                <w:lang w:val="en-GB"/>
              </w:rPr>
              <w:t>neutropeni</w:t>
            </w:r>
            <w:proofErr w:type="spellEnd"/>
            <w:r w:rsidRPr="00623521">
              <w:rPr>
                <w:sz w:val="24"/>
                <w:szCs w:val="24"/>
                <w:lang w:val="en-GB"/>
              </w:rPr>
              <w:t xml:space="preserve">, </w:t>
            </w:r>
            <w:proofErr w:type="spellStart"/>
            <w:r w:rsidRPr="00623521">
              <w:rPr>
                <w:sz w:val="24"/>
                <w:szCs w:val="24"/>
                <w:lang w:val="en-GB"/>
              </w:rPr>
              <w:t>eosinofili</w:t>
            </w:r>
            <w:proofErr w:type="spellEnd"/>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lang w:val="en-GB"/>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proofErr w:type="spellStart"/>
            <w:r w:rsidRPr="00623521">
              <w:rPr>
                <w:sz w:val="24"/>
                <w:szCs w:val="24"/>
                <w:lang w:val="en-GB"/>
              </w:rPr>
              <w:t>Thrombocytopeni</w:t>
            </w:r>
            <w:proofErr w:type="spellEnd"/>
            <w:r w:rsidRPr="00623521">
              <w:rPr>
                <w:sz w:val="24"/>
                <w:szCs w:val="24"/>
                <w:lang w:val="en-GB"/>
              </w:rPr>
              <w:t xml:space="preserve">, </w:t>
            </w:r>
            <w:proofErr w:type="spellStart"/>
            <w:r w:rsidRPr="00623521">
              <w:rPr>
                <w:sz w:val="24"/>
                <w:szCs w:val="24"/>
                <w:lang w:val="en-GB"/>
              </w:rPr>
              <w:t>hæmolytisk</w:t>
            </w:r>
            <w:proofErr w:type="spellEnd"/>
            <w:r w:rsidRPr="00623521">
              <w:rPr>
                <w:sz w:val="24"/>
                <w:szCs w:val="24"/>
                <w:lang w:val="en-GB"/>
              </w:rPr>
              <w:t xml:space="preserve"> </w:t>
            </w:r>
            <w:proofErr w:type="spellStart"/>
            <w:r w:rsidRPr="00623521">
              <w:rPr>
                <w:sz w:val="24"/>
                <w:szCs w:val="24"/>
                <w:lang w:val="en-GB"/>
              </w:rPr>
              <w:t>anæmi</w:t>
            </w:r>
            <w:proofErr w:type="spellEnd"/>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vAlign w:val="center"/>
            <w:hideMark/>
          </w:tcPr>
          <w:p w:rsidR="00623521" w:rsidRPr="00623521" w:rsidRDefault="00623521" w:rsidP="00623521">
            <w:pPr>
              <w:ind w:left="34"/>
              <w:rPr>
                <w:b/>
                <w:sz w:val="24"/>
                <w:szCs w:val="24"/>
              </w:rPr>
            </w:pPr>
            <w:r w:rsidRPr="00623521">
              <w:rPr>
                <w:b/>
                <w:sz w:val="24"/>
                <w:szCs w:val="24"/>
              </w:rPr>
              <w:t>Immunsystemet</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proofErr w:type="spellStart"/>
            <w:r w:rsidRPr="00623521">
              <w:rPr>
                <w:sz w:val="24"/>
                <w:szCs w:val="24"/>
              </w:rPr>
              <w:t>Angioødem</w:t>
            </w:r>
            <w:proofErr w:type="spellEnd"/>
            <w:r w:rsidRPr="00623521">
              <w:rPr>
                <w:sz w:val="24"/>
                <w:szCs w:val="24"/>
              </w:rPr>
              <w:t xml:space="preserve">, hypersensitivitet </w:t>
            </w:r>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proofErr w:type="spellStart"/>
            <w:r w:rsidRPr="00623521">
              <w:rPr>
                <w:sz w:val="24"/>
                <w:szCs w:val="24"/>
              </w:rPr>
              <w:t>Anafylaktisk</w:t>
            </w:r>
            <w:proofErr w:type="spellEnd"/>
            <w:r w:rsidRPr="00623521">
              <w:rPr>
                <w:sz w:val="24"/>
                <w:szCs w:val="24"/>
              </w:rPr>
              <w:t xml:space="preserve"> reaktion (se pkt. 4.4)</w:t>
            </w:r>
          </w:p>
        </w:tc>
      </w:tr>
      <w:tr w:rsidR="00623521" w:rsidRPr="00623521" w:rsidTr="00F5134C">
        <w:trPr>
          <w:cantSplit/>
        </w:trPr>
        <w:tc>
          <w:tcPr>
            <w:tcW w:w="2268" w:type="dxa"/>
            <w:tcBorders>
              <w:top w:val="single" w:sz="4" w:space="0" w:color="auto"/>
              <w:left w:val="single" w:sz="4" w:space="0" w:color="auto"/>
              <w:bottom w:val="single" w:sz="4" w:space="0" w:color="auto"/>
              <w:right w:val="single" w:sz="4" w:space="0" w:color="auto"/>
            </w:tcBorders>
            <w:vAlign w:val="center"/>
            <w:hideMark/>
          </w:tcPr>
          <w:p w:rsidR="00623521" w:rsidRPr="00623521" w:rsidRDefault="00623521" w:rsidP="00623521">
            <w:pPr>
              <w:ind w:left="34"/>
              <w:rPr>
                <w:i/>
                <w:sz w:val="24"/>
                <w:szCs w:val="24"/>
              </w:rPr>
            </w:pPr>
            <w:r w:rsidRPr="00623521">
              <w:rPr>
                <w:b/>
                <w:sz w:val="24"/>
                <w:szCs w:val="24"/>
              </w:rPr>
              <w:lastRenderedPageBreak/>
              <w:t>Metabolisme og ernæring</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Appetitløshed</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vAlign w:val="center"/>
            <w:hideMark/>
          </w:tcPr>
          <w:p w:rsidR="00623521" w:rsidRPr="00623521" w:rsidRDefault="00623521" w:rsidP="00623521">
            <w:pPr>
              <w:ind w:left="34"/>
              <w:rPr>
                <w:sz w:val="24"/>
                <w:szCs w:val="24"/>
              </w:rPr>
            </w:pPr>
            <w:r w:rsidRPr="00623521">
              <w:rPr>
                <w:b/>
                <w:sz w:val="24"/>
                <w:szCs w:val="24"/>
              </w:rPr>
              <w:t>Psykiske forstyrrelser</w:t>
            </w:r>
          </w:p>
          <w:p w:rsidR="00623521" w:rsidRPr="00623521" w:rsidRDefault="00623521" w:rsidP="00623521">
            <w:pPr>
              <w:ind w:left="34"/>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Nervøsitet, søvnløshed</w:t>
            </w:r>
          </w:p>
        </w:tc>
      </w:tr>
      <w:tr w:rsidR="00623521" w:rsidRPr="00623521" w:rsidTr="00F5134C">
        <w:trPr>
          <w:cantSplit/>
        </w:trPr>
        <w:tc>
          <w:tcPr>
            <w:tcW w:w="2268" w:type="dxa"/>
            <w:vMerge/>
            <w:tcBorders>
              <w:left w:val="single" w:sz="4" w:space="0" w:color="auto"/>
              <w:right w:val="single" w:sz="4" w:space="0" w:color="auto"/>
            </w:tcBorders>
            <w:vAlign w:val="center"/>
            <w:hideMark/>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Sjælden</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Agitation</w:t>
            </w:r>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Aggressivitet, angst, delirium, hallucinationer</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vAlign w:val="center"/>
            <w:hideMark/>
          </w:tcPr>
          <w:p w:rsidR="00623521" w:rsidRPr="00623521" w:rsidRDefault="00623521" w:rsidP="00623521">
            <w:pPr>
              <w:ind w:left="34"/>
              <w:rPr>
                <w:b/>
                <w:sz w:val="24"/>
                <w:szCs w:val="24"/>
              </w:rPr>
            </w:pPr>
            <w:r w:rsidRPr="00623521">
              <w:rPr>
                <w:b/>
                <w:sz w:val="24"/>
                <w:szCs w:val="24"/>
              </w:rPr>
              <w:t>Nervesystemet</w:t>
            </w:r>
          </w:p>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Hovedpine</w:t>
            </w:r>
          </w:p>
        </w:tc>
      </w:tr>
      <w:tr w:rsidR="00623521" w:rsidRPr="00623521" w:rsidTr="00F5134C">
        <w:trPr>
          <w:cantSplit/>
        </w:trPr>
        <w:tc>
          <w:tcPr>
            <w:tcW w:w="2268" w:type="dxa"/>
            <w:vMerge/>
            <w:tcBorders>
              <w:left w:val="single" w:sz="4" w:space="0" w:color="auto"/>
              <w:right w:val="single" w:sz="4" w:space="0" w:color="auto"/>
            </w:tcBorders>
            <w:vAlign w:val="center"/>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 xml:space="preserve">Svimmelhed, søvnighed, </w:t>
            </w:r>
            <w:proofErr w:type="spellStart"/>
            <w:r w:rsidRPr="00623521">
              <w:rPr>
                <w:sz w:val="24"/>
                <w:szCs w:val="24"/>
              </w:rPr>
              <w:t>dysgeusi</w:t>
            </w:r>
            <w:proofErr w:type="spellEnd"/>
            <w:r w:rsidRPr="00623521">
              <w:rPr>
                <w:sz w:val="24"/>
                <w:szCs w:val="24"/>
              </w:rPr>
              <w:t xml:space="preserve">, </w:t>
            </w:r>
            <w:proofErr w:type="spellStart"/>
            <w:r w:rsidRPr="00623521">
              <w:rPr>
                <w:sz w:val="24"/>
                <w:szCs w:val="24"/>
              </w:rPr>
              <w:t>paræstesi</w:t>
            </w:r>
            <w:proofErr w:type="spellEnd"/>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proofErr w:type="spellStart"/>
            <w:r w:rsidRPr="00623521">
              <w:rPr>
                <w:sz w:val="24"/>
                <w:szCs w:val="24"/>
              </w:rPr>
              <w:t>Syncope</w:t>
            </w:r>
            <w:proofErr w:type="spellEnd"/>
            <w:r w:rsidRPr="00623521">
              <w:rPr>
                <w:sz w:val="24"/>
                <w:szCs w:val="24"/>
              </w:rPr>
              <w:t xml:space="preserve">, kramper, </w:t>
            </w:r>
            <w:proofErr w:type="spellStart"/>
            <w:r w:rsidRPr="00623521">
              <w:rPr>
                <w:sz w:val="24"/>
                <w:szCs w:val="24"/>
              </w:rPr>
              <w:t>hypæstesi</w:t>
            </w:r>
            <w:proofErr w:type="spellEnd"/>
            <w:r w:rsidRPr="00623521">
              <w:rPr>
                <w:sz w:val="24"/>
                <w:szCs w:val="24"/>
              </w:rPr>
              <w:t xml:space="preserve">, </w:t>
            </w:r>
            <w:proofErr w:type="spellStart"/>
            <w:r w:rsidRPr="00623521">
              <w:rPr>
                <w:sz w:val="24"/>
                <w:szCs w:val="24"/>
              </w:rPr>
              <w:t>psykomotorisk</w:t>
            </w:r>
            <w:proofErr w:type="spellEnd"/>
            <w:r w:rsidRPr="00623521">
              <w:rPr>
                <w:sz w:val="24"/>
                <w:szCs w:val="24"/>
              </w:rPr>
              <w:t xml:space="preserve"> hyperaktivitet, </w:t>
            </w:r>
            <w:proofErr w:type="spellStart"/>
            <w:r w:rsidRPr="00623521">
              <w:rPr>
                <w:sz w:val="24"/>
                <w:szCs w:val="24"/>
              </w:rPr>
              <w:t>anosmi</w:t>
            </w:r>
            <w:proofErr w:type="spellEnd"/>
            <w:r w:rsidRPr="00623521">
              <w:rPr>
                <w:sz w:val="24"/>
                <w:szCs w:val="24"/>
              </w:rPr>
              <w:t xml:space="preserve">, </w:t>
            </w:r>
            <w:proofErr w:type="spellStart"/>
            <w:r w:rsidRPr="00623521">
              <w:rPr>
                <w:sz w:val="24"/>
                <w:szCs w:val="24"/>
              </w:rPr>
              <w:t>ageusi</w:t>
            </w:r>
            <w:proofErr w:type="spellEnd"/>
            <w:r w:rsidRPr="00623521">
              <w:rPr>
                <w:sz w:val="24"/>
                <w:szCs w:val="24"/>
              </w:rPr>
              <w:t xml:space="preserve">, </w:t>
            </w:r>
            <w:proofErr w:type="spellStart"/>
            <w:r w:rsidRPr="00623521">
              <w:rPr>
                <w:sz w:val="24"/>
                <w:szCs w:val="24"/>
              </w:rPr>
              <w:t>parosmi</w:t>
            </w:r>
            <w:proofErr w:type="spellEnd"/>
            <w:r w:rsidRPr="00623521">
              <w:rPr>
                <w:sz w:val="24"/>
                <w:szCs w:val="24"/>
              </w:rPr>
              <w:t xml:space="preserve">, </w:t>
            </w:r>
            <w:proofErr w:type="spellStart"/>
            <w:r w:rsidRPr="00623521">
              <w:rPr>
                <w:sz w:val="24"/>
                <w:szCs w:val="24"/>
              </w:rPr>
              <w:t>myastenia</w:t>
            </w:r>
            <w:proofErr w:type="spellEnd"/>
            <w:r w:rsidRPr="00623521">
              <w:rPr>
                <w:sz w:val="24"/>
                <w:szCs w:val="24"/>
              </w:rPr>
              <w:t xml:space="preserve"> </w:t>
            </w:r>
            <w:proofErr w:type="spellStart"/>
            <w:r w:rsidRPr="00623521">
              <w:rPr>
                <w:sz w:val="24"/>
                <w:szCs w:val="24"/>
              </w:rPr>
              <w:t>gravis</w:t>
            </w:r>
            <w:proofErr w:type="spellEnd"/>
            <w:r w:rsidRPr="00623521">
              <w:rPr>
                <w:sz w:val="24"/>
                <w:szCs w:val="24"/>
              </w:rPr>
              <w:t xml:space="preserve"> (se pkt. 4.4)</w:t>
            </w:r>
          </w:p>
        </w:tc>
      </w:tr>
      <w:tr w:rsidR="00623521" w:rsidRPr="00623521" w:rsidTr="00F5134C">
        <w:trPr>
          <w:cantSplit/>
        </w:trPr>
        <w:tc>
          <w:tcPr>
            <w:tcW w:w="2268" w:type="dxa"/>
            <w:tcBorders>
              <w:top w:val="single" w:sz="4" w:space="0" w:color="auto"/>
              <w:left w:val="single" w:sz="4" w:space="0" w:color="auto"/>
              <w:bottom w:val="single" w:sz="4" w:space="0" w:color="auto"/>
              <w:right w:val="single" w:sz="4" w:space="0" w:color="auto"/>
            </w:tcBorders>
            <w:vAlign w:val="center"/>
            <w:hideMark/>
          </w:tcPr>
          <w:p w:rsidR="00623521" w:rsidRPr="00623521" w:rsidRDefault="00623521" w:rsidP="00623521">
            <w:pPr>
              <w:ind w:left="34"/>
              <w:rPr>
                <w:i/>
                <w:sz w:val="24"/>
                <w:szCs w:val="24"/>
              </w:rPr>
            </w:pPr>
            <w:r w:rsidRPr="00623521">
              <w:rPr>
                <w:b/>
                <w:sz w:val="24"/>
                <w:szCs w:val="24"/>
              </w:rPr>
              <w:t>Øjne</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Synsforstyrrelser</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vAlign w:val="center"/>
          </w:tcPr>
          <w:p w:rsidR="00623521" w:rsidRPr="00623521" w:rsidRDefault="00623521" w:rsidP="00623521">
            <w:pPr>
              <w:ind w:left="34"/>
              <w:rPr>
                <w:b/>
                <w:sz w:val="24"/>
                <w:szCs w:val="24"/>
              </w:rPr>
            </w:pPr>
            <w:r w:rsidRPr="00623521">
              <w:rPr>
                <w:b/>
                <w:sz w:val="24"/>
                <w:szCs w:val="24"/>
              </w:rPr>
              <w:t>Øre og labyrint</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 xml:space="preserve">Lidelser i ørene, </w:t>
            </w:r>
            <w:proofErr w:type="spellStart"/>
            <w:r w:rsidRPr="00623521">
              <w:rPr>
                <w:sz w:val="24"/>
                <w:szCs w:val="24"/>
              </w:rPr>
              <w:t>vertigo</w:t>
            </w:r>
            <w:proofErr w:type="spellEnd"/>
            <w:r w:rsidRPr="00623521">
              <w:rPr>
                <w:sz w:val="24"/>
                <w:szCs w:val="24"/>
              </w:rPr>
              <w:t xml:space="preserve"> </w:t>
            </w:r>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 xml:space="preserve">Nedsat hørelse, inklusive døvhed og/eller tinnitus </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hideMark/>
          </w:tcPr>
          <w:p w:rsidR="00623521" w:rsidRPr="00623521" w:rsidRDefault="00623521" w:rsidP="00623521">
            <w:pPr>
              <w:ind w:left="34"/>
              <w:rPr>
                <w:b/>
                <w:sz w:val="24"/>
                <w:szCs w:val="24"/>
              </w:rPr>
            </w:pPr>
            <w:r w:rsidRPr="00623521">
              <w:rPr>
                <w:b/>
                <w:sz w:val="24"/>
                <w:szCs w:val="24"/>
              </w:rPr>
              <w:t>Hjerte</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proofErr w:type="spellStart"/>
            <w:r w:rsidRPr="00623521">
              <w:rPr>
                <w:sz w:val="24"/>
                <w:szCs w:val="24"/>
              </w:rPr>
              <w:t>Palpitationer</w:t>
            </w:r>
            <w:proofErr w:type="spellEnd"/>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proofErr w:type="spellStart"/>
            <w:r w:rsidRPr="00623521">
              <w:rPr>
                <w:sz w:val="24"/>
                <w:szCs w:val="24"/>
              </w:rPr>
              <w:t>Torsades</w:t>
            </w:r>
            <w:proofErr w:type="spellEnd"/>
            <w:r w:rsidRPr="00623521">
              <w:rPr>
                <w:sz w:val="24"/>
                <w:szCs w:val="24"/>
              </w:rPr>
              <w:t xml:space="preserve"> de pointes (se pkt. 4.4), </w:t>
            </w:r>
            <w:proofErr w:type="spellStart"/>
            <w:r w:rsidRPr="00623521">
              <w:rPr>
                <w:sz w:val="24"/>
                <w:szCs w:val="24"/>
              </w:rPr>
              <w:t>arytmi</w:t>
            </w:r>
            <w:proofErr w:type="spellEnd"/>
            <w:r w:rsidRPr="00623521">
              <w:rPr>
                <w:sz w:val="24"/>
                <w:szCs w:val="24"/>
              </w:rPr>
              <w:t xml:space="preserve"> (se pkt. 4.4), inklusive </w:t>
            </w:r>
            <w:proofErr w:type="spellStart"/>
            <w:r w:rsidRPr="00623521">
              <w:rPr>
                <w:sz w:val="24"/>
                <w:szCs w:val="24"/>
              </w:rPr>
              <w:t>ventrikulær</w:t>
            </w:r>
            <w:proofErr w:type="spellEnd"/>
            <w:r w:rsidRPr="00623521">
              <w:rPr>
                <w:sz w:val="24"/>
                <w:szCs w:val="24"/>
              </w:rPr>
              <w:t xml:space="preserve"> </w:t>
            </w:r>
            <w:proofErr w:type="spellStart"/>
            <w:r w:rsidRPr="00623521">
              <w:rPr>
                <w:sz w:val="24"/>
                <w:szCs w:val="24"/>
              </w:rPr>
              <w:t>takykardi</w:t>
            </w:r>
            <w:proofErr w:type="spellEnd"/>
            <w:r w:rsidRPr="00623521">
              <w:rPr>
                <w:sz w:val="24"/>
                <w:szCs w:val="24"/>
              </w:rPr>
              <w:t>, forlænget QT-interval (EKG) (se pkt. 4.4)</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vAlign w:val="center"/>
            <w:hideMark/>
          </w:tcPr>
          <w:p w:rsidR="00623521" w:rsidRPr="00623521" w:rsidRDefault="00623521" w:rsidP="00623521">
            <w:pPr>
              <w:ind w:left="34"/>
              <w:rPr>
                <w:i/>
                <w:sz w:val="24"/>
                <w:szCs w:val="24"/>
              </w:rPr>
            </w:pPr>
            <w:proofErr w:type="spellStart"/>
            <w:r w:rsidRPr="00623521">
              <w:rPr>
                <w:b/>
                <w:sz w:val="24"/>
                <w:szCs w:val="24"/>
              </w:rPr>
              <w:t>Vaskulære</w:t>
            </w:r>
            <w:proofErr w:type="spellEnd"/>
            <w:r w:rsidRPr="00623521">
              <w:rPr>
                <w:b/>
                <w:sz w:val="24"/>
                <w:szCs w:val="24"/>
              </w:rPr>
              <w:t xml:space="preserve"> sygdomme</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Hedeture</w:t>
            </w:r>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proofErr w:type="spellStart"/>
            <w:r w:rsidRPr="00623521">
              <w:rPr>
                <w:sz w:val="24"/>
                <w:szCs w:val="24"/>
              </w:rPr>
              <w:t>Hypotoni</w:t>
            </w:r>
            <w:proofErr w:type="spellEnd"/>
          </w:p>
        </w:tc>
      </w:tr>
      <w:tr w:rsidR="00623521" w:rsidRPr="00623521" w:rsidTr="00F5134C">
        <w:trPr>
          <w:cantSplit/>
        </w:trPr>
        <w:tc>
          <w:tcPr>
            <w:tcW w:w="2268" w:type="dxa"/>
            <w:tcBorders>
              <w:top w:val="single" w:sz="4" w:space="0" w:color="auto"/>
              <w:left w:val="single" w:sz="4" w:space="0" w:color="auto"/>
              <w:bottom w:val="single" w:sz="4" w:space="0" w:color="auto"/>
              <w:right w:val="single" w:sz="4" w:space="0" w:color="auto"/>
            </w:tcBorders>
            <w:vAlign w:val="center"/>
            <w:hideMark/>
          </w:tcPr>
          <w:p w:rsidR="00623521" w:rsidRPr="00623521" w:rsidRDefault="00623521" w:rsidP="00623521">
            <w:pPr>
              <w:ind w:left="34"/>
              <w:rPr>
                <w:i/>
                <w:sz w:val="24"/>
                <w:szCs w:val="24"/>
              </w:rPr>
            </w:pPr>
            <w:r w:rsidRPr="00623521">
              <w:rPr>
                <w:b/>
                <w:sz w:val="24"/>
                <w:szCs w:val="24"/>
              </w:rPr>
              <w:t xml:space="preserve">Luftveje, thorax og </w:t>
            </w:r>
            <w:proofErr w:type="spellStart"/>
            <w:r w:rsidRPr="00623521">
              <w:rPr>
                <w:b/>
                <w:sz w:val="24"/>
                <w:szCs w:val="24"/>
              </w:rPr>
              <w:t>mediastinum</w:t>
            </w:r>
            <w:proofErr w:type="spellEnd"/>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 xml:space="preserve">Dyspnø, </w:t>
            </w:r>
            <w:proofErr w:type="spellStart"/>
            <w:r w:rsidRPr="00623521">
              <w:rPr>
                <w:sz w:val="24"/>
                <w:szCs w:val="24"/>
              </w:rPr>
              <w:t>epitaxis</w:t>
            </w:r>
            <w:proofErr w:type="spellEnd"/>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vAlign w:val="center"/>
            <w:hideMark/>
          </w:tcPr>
          <w:p w:rsidR="00623521" w:rsidRPr="00623521" w:rsidRDefault="00623521" w:rsidP="00623521">
            <w:pPr>
              <w:ind w:left="34"/>
              <w:rPr>
                <w:b/>
                <w:sz w:val="24"/>
                <w:szCs w:val="24"/>
              </w:rPr>
            </w:pPr>
            <w:r w:rsidRPr="00623521">
              <w:rPr>
                <w:b/>
                <w:sz w:val="24"/>
                <w:szCs w:val="24"/>
              </w:rPr>
              <w:t>Mave-tarm-kanalen</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Meget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 xml:space="preserve">Diarré      </w:t>
            </w:r>
          </w:p>
        </w:tc>
      </w:tr>
      <w:tr w:rsidR="00623521" w:rsidRPr="00623521" w:rsidTr="00F5134C">
        <w:trPr>
          <w:cantSplit/>
        </w:trPr>
        <w:tc>
          <w:tcPr>
            <w:tcW w:w="2268" w:type="dxa"/>
            <w:vMerge/>
            <w:tcBorders>
              <w:left w:val="single" w:sz="4" w:space="0" w:color="auto"/>
              <w:right w:val="single" w:sz="4" w:space="0" w:color="auto"/>
            </w:tcBorders>
            <w:vAlign w:val="center"/>
            <w:hideMark/>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Almindelig</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 xml:space="preserve">Opkast, </w:t>
            </w:r>
            <w:proofErr w:type="spellStart"/>
            <w:r w:rsidRPr="00623521">
              <w:rPr>
                <w:sz w:val="24"/>
                <w:szCs w:val="24"/>
              </w:rPr>
              <w:t>abdominalsmerter</w:t>
            </w:r>
            <w:proofErr w:type="spellEnd"/>
            <w:r w:rsidRPr="00623521">
              <w:rPr>
                <w:sz w:val="24"/>
                <w:szCs w:val="24"/>
              </w:rPr>
              <w:t>, kvalme</w:t>
            </w:r>
          </w:p>
        </w:tc>
      </w:tr>
      <w:tr w:rsidR="00623521" w:rsidRPr="00623521" w:rsidTr="00F5134C">
        <w:trPr>
          <w:cantSplit/>
        </w:trPr>
        <w:tc>
          <w:tcPr>
            <w:tcW w:w="2268" w:type="dxa"/>
            <w:vMerge/>
            <w:tcBorders>
              <w:left w:val="single" w:sz="4" w:space="0" w:color="auto"/>
              <w:right w:val="single" w:sz="4" w:space="0" w:color="auto"/>
            </w:tcBorders>
            <w:vAlign w:val="center"/>
            <w:hideMark/>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 xml:space="preserve">Forstoppelse, </w:t>
            </w:r>
            <w:proofErr w:type="spellStart"/>
            <w:r w:rsidRPr="00623521">
              <w:rPr>
                <w:sz w:val="24"/>
                <w:szCs w:val="24"/>
              </w:rPr>
              <w:t>flatulens</w:t>
            </w:r>
            <w:proofErr w:type="spellEnd"/>
            <w:r w:rsidRPr="00623521">
              <w:rPr>
                <w:sz w:val="24"/>
                <w:szCs w:val="24"/>
              </w:rPr>
              <w:t xml:space="preserve">, dyspepsi, gastritis, </w:t>
            </w:r>
            <w:proofErr w:type="spellStart"/>
            <w:r w:rsidRPr="00623521">
              <w:rPr>
                <w:sz w:val="24"/>
                <w:szCs w:val="24"/>
              </w:rPr>
              <w:t>dysfagi</w:t>
            </w:r>
            <w:proofErr w:type="spellEnd"/>
            <w:r w:rsidRPr="00623521">
              <w:rPr>
                <w:sz w:val="24"/>
                <w:szCs w:val="24"/>
              </w:rPr>
              <w:t>, opsvulmet abdomen, mundtørhed, bøvsen, mundsår, overproduktion af spyt</w:t>
            </w:r>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proofErr w:type="spellStart"/>
            <w:r w:rsidRPr="00623521">
              <w:rPr>
                <w:sz w:val="24"/>
                <w:szCs w:val="24"/>
              </w:rPr>
              <w:t>Pancreatitis</w:t>
            </w:r>
            <w:proofErr w:type="spellEnd"/>
            <w:r w:rsidRPr="00623521">
              <w:rPr>
                <w:sz w:val="24"/>
                <w:szCs w:val="24"/>
              </w:rPr>
              <w:t>, misfarvning af tungen</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hideMark/>
          </w:tcPr>
          <w:p w:rsidR="00623521" w:rsidRPr="00623521" w:rsidRDefault="00623521" w:rsidP="00623521">
            <w:pPr>
              <w:ind w:left="34"/>
              <w:rPr>
                <w:i/>
                <w:sz w:val="24"/>
                <w:szCs w:val="24"/>
              </w:rPr>
            </w:pPr>
            <w:r w:rsidRPr="00623521">
              <w:rPr>
                <w:b/>
                <w:sz w:val="24"/>
                <w:szCs w:val="24"/>
              </w:rPr>
              <w:t>Lever og galdeveje</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Sjælden</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 xml:space="preserve">Unormal leverfunktion, </w:t>
            </w:r>
            <w:proofErr w:type="spellStart"/>
            <w:r w:rsidRPr="00623521">
              <w:rPr>
                <w:sz w:val="24"/>
                <w:szCs w:val="24"/>
              </w:rPr>
              <w:t>staseicterus</w:t>
            </w:r>
            <w:proofErr w:type="spellEnd"/>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Leversvigt (i sjældne tilfælde med dødelig udgang) (se pkt. 4.4), fulminant hepatitis, levernekrose</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hideMark/>
          </w:tcPr>
          <w:p w:rsidR="00623521" w:rsidRPr="00623521" w:rsidRDefault="00623521" w:rsidP="00623521">
            <w:pPr>
              <w:ind w:left="34"/>
              <w:rPr>
                <w:b/>
                <w:sz w:val="24"/>
                <w:szCs w:val="24"/>
              </w:rPr>
            </w:pPr>
            <w:r w:rsidRPr="00623521">
              <w:rPr>
                <w:b/>
                <w:sz w:val="24"/>
                <w:szCs w:val="24"/>
              </w:rPr>
              <w:t>Hud og subkutane væv</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i/>
                <w:sz w:val="24"/>
                <w:szCs w:val="24"/>
              </w:rPr>
            </w:pPr>
            <w:r w:rsidRPr="00623521">
              <w:rPr>
                <w:sz w:val="24"/>
                <w:szCs w:val="24"/>
              </w:rPr>
              <w:t xml:space="preserve">Udslæt, </w:t>
            </w:r>
            <w:proofErr w:type="spellStart"/>
            <w:r w:rsidRPr="00623521">
              <w:rPr>
                <w:sz w:val="24"/>
                <w:szCs w:val="24"/>
              </w:rPr>
              <w:t>pruritus</w:t>
            </w:r>
            <w:proofErr w:type="spellEnd"/>
            <w:r w:rsidRPr="00623521">
              <w:rPr>
                <w:sz w:val="24"/>
                <w:szCs w:val="24"/>
              </w:rPr>
              <w:t xml:space="preserve">, </w:t>
            </w:r>
            <w:proofErr w:type="spellStart"/>
            <w:r w:rsidRPr="00623521">
              <w:rPr>
                <w:sz w:val="24"/>
                <w:szCs w:val="24"/>
              </w:rPr>
              <w:t>urticaria</w:t>
            </w:r>
            <w:proofErr w:type="spellEnd"/>
            <w:r w:rsidRPr="00623521">
              <w:rPr>
                <w:sz w:val="24"/>
                <w:szCs w:val="24"/>
              </w:rPr>
              <w:t xml:space="preserve">, </w:t>
            </w:r>
            <w:proofErr w:type="spellStart"/>
            <w:r w:rsidRPr="00623521">
              <w:rPr>
                <w:sz w:val="24"/>
                <w:szCs w:val="24"/>
              </w:rPr>
              <w:t>dermatitis</w:t>
            </w:r>
            <w:proofErr w:type="spellEnd"/>
            <w:r w:rsidRPr="00623521">
              <w:rPr>
                <w:sz w:val="24"/>
                <w:szCs w:val="24"/>
              </w:rPr>
              <w:t xml:space="preserve">, tør hud, </w:t>
            </w:r>
            <w:proofErr w:type="spellStart"/>
            <w:r w:rsidRPr="00623521">
              <w:rPr>
                <w:sz w:val="24"/>
                <w:szCs w:val="24"/>
              </w:rPr>
              <w:t>hyperhidrose</w:t>
            </w:r>
            <w:proofErr w:type="spellEnd"/>
          </w:p>
        </w:tc>
      </w:tr>
      <w:tr w:rsidR="00623521" w:rsidRPr="00623521" w:rsidTr="00F5134C">
        <w:trPr>
          <w:cantSplit/>
        </w:trPr>
        <w:tc>
          <w:tcPr>
            <w:tcW w:w="2268" w:type="dxa"/>
            <w:vMerge/>
            <w:tcBorders>
              <w:left w:val="single" w:sz="4" w:space="0" w:color="auto"/>
              <w:right w:val="single" w:sz="4" w:space="0" w:color="auto"/>
            </w:tcBorders>
            <w:vAlign w:val="center"/>
            <w:hideMark/>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Sjælden</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 xml:space="preserve">Fotosensitivitet, akut generaliseret </w:t>
            </w:r>
            <w:proofErr w:type="spellStart"/>
            <w:r w:rsidRPr="00623521">
              <w:rPr>
                <w:sz w:val="24"/>
                <w:szCs w:val="24"/>
              </w:rPr>
              <w:t>eksantematøs</w:t>
            </w:r>
            <w:proofErr w:type="spellEnd"/>
            <w:r w:rsidRPr="00623521">
              <w:rPr>
                <w:sz w:val="24"/>
                <w:szCs w:val="24"/>
              </w:rPr>
              <w:t xml:space="preserve"> </w:t>
            </w:r>
            <w:proofErr w:type="spellStart"/>
            <w:r w:rsidRPr="00623521">
              <w:rPr>
                <w:sz w:val="24"/>
                <w:szCs w:val="24"/>
              </w:rPr>
              <w:t>pustulose</w:t>
            </w:r>
            <w:proofErr w:type="spellEnd"/>
            <w:r w:rsidRPr="00623521">
              <w:rPr>
                <w:sz w:val="24"/>
                <w:szCs w:val="24"/>
              </w:rPr>
              <w:t xml:space="preserve"> (AGEP)*, lægemiddelfremkaldt udslæt med </w:t>
            </w:r>
            <w:proofErr w:type="spellStart"/>
            <w:r w:rsidRPr="00623521">
              <w:rPr>
                <w:sz w:val="24"/>
                <w:szCs w:val="24"/>
              </w:rPr>
              <w:t>eosinofili</w:t>
            </w:r>
            <w:proofErr w:type="spellEnd"/>
            <w:r w:rsidRPr="00623521">
              <w:rPr>
                <w:sz w:val="24"/>
                <w:szCs w:val="24"/>
              </w:rPr>
              <w:t xml:space="preserve"> og systemiske symptomer (DRESS)*</w:t>
            </w:r>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 xml:space="preserve">Stevens-Johnsons syndrom, toksisk </w:t>
            </w:r>
            <w:proofErr w:type="spellStart"/>
            <w:r w:rsidRPr="00623521">
              <w:rPr>
                <w:sz w:val="24"/>
                <w:szCs w:val="24"/>
              </w:rPr>
              <w:t>epidermal</w:t>
            </w:r>
            <w:proofErr w:type="spellEnd"/>
            <w:r w:rsidRPr="00623521">
              <w:rPr>
                <w:sz w:val="24"/>
                <w:szCs w:val="24"/>
              </w:rPr>
              <w:t xml:space="preserve"> </w:t>
            </w:r>
            <w:proofErr w:type="spellStart"/>
            <w:r w:rsidRPr="00623521">
              <w:rPr>
                <w:sz w:val="24"/>
                <w:szCs w:val="24"/>
              </w:rPr>
              <w:t>nekrolyse</w:t>
            </w:r>
            <w:proofErr w:type="spellEnd"/>
            <w:r w:rsidRPr="00623521">
              <w:rPr>
                <w:sz w:val="24"/>
                <w:szCs w:val="24"/>
              </w:rPr>
              <w:t xml:space="preserve">, </w:t>
            </w:r>
            <w:proofErr w:type="spellStart"/>
            <w:r w:rsidRPr="00623521">
              <w:rPr>
                <w:sz w:val="24"/>
                <w:szCs w:val="24"/>
              </w:rPr>
              <w:t>erythema</w:t>
            </w:r>
            <w:proofErr w:type="spellEnd"/>
            <w:r w:rsidRPr="00623521">
              <w:rPr>
                <w:sz w:val="24"/>
                <w:szCs w:val="24"/>
              </w:rPr>
              <w:t xml:space="preserve"> multiforme</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vAlign w:val="center"/>
            <w:hideMark/>
          </w:tcPr>
          <w:p w:rsidR="00623521" w:rsidRPr="00623521" w:rsidRDefault="00623521" w:rsidP="00623521">
            <w:pPr>
              <w:ind w:left="34"/>
              <w:rPr>
                <w:b/>
                <w:sz w:val="24"/>
                <w:szCs w:val="24"/>
              </w:rPr>
            </w:pPr>
            <w:r w:rsidRPr="00623521">
              <w:rPr>
                <w:b/>
                <w:sz w:val="24"/>
                <w:szCs w:val="24"/>
              </w:rPr>
              <w:t>Knogler, led, muskler og bindevæv</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i/>
                <w:iCs/>
                <w:sz w:val="24"/>
                <w:szCs w:val="24"/>
              </w:rPr>
            </w:pPr>
            <w:r w:rsidRPr="00623521">
              <w:rPr>
                <w:i/>
                <w:iCs/>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proofErr w:type="spellStart"/>
            <w:r w:rsidRPr="00623521">
              <w:rPr>
                <w:sz w:val="24"/>
                <w:szCs w:val="24"/>
              </w:rPr>
              <w:t>Osteoarthritis</w:t>
            </w:r>
            <w:proofErr w:type="spellEnd"/>
            <w:r w:rsidRPr="00623521">
              <w:rPr>
                <w:sz w:val="24"/>
                <w:szCs w:val="24"/>
              </w:rPr>
              <w:t>, myalgi, rygsmerter, nakkesmerter</w:t>
            </w:r>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proofErr w:type="spellStart"/>
            <w:r w:rsidRPr="00623521">
              <w:rPr>
                <w:sz w:val="24"/>
                <w:szCs w:val="24"/>
              </w:rPr>
              <w:t>Artralgi</w:t>
            </w:r>
            <w:proofErr w:type="spellEnd"/>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vAlign w:val="center"/>
            <w:hideMark/>
          </w:tcPr>
          <w:p w:rsidR="00623521" w:rsidRPr="00623521" w:rsidRDefault="00623521" w:rsidP="00623521">
            <w:pPr>
              <w:ind w:left="34"/>
              <w:rPr>
                <w:sz w:val="24"/>
                <w:szCs w:val="24"/>
              </w:rPr>
            </w:pPr>
            <w:r w:rsidRPr="00623521">
              <w:rPr>
                <w:b/>
                <w:sz w:val="24"/>
                <w:szCs w:val="24"/>
              </w:rPr>
              <w:lastRenderedPageBreak/>
              <w:t>Nyrer og urinveje</w:t>
            </w:r>
          </w:p>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proofErr w:type="spellStart"/>
            <w:r w:rsidRPr="00623521">
              <w:rPr>
                <w:sz w:val="24"/>
                <w:szCs w:val="24"/>
              </w:rPr>
              <w:t>Dysuri</w:t>
            </w:r>
            <w:proofErr w:type="spellEnd"/>
            <w:r w:rsidRPr="00623521">
              <w:rPr>
                <w:sz w:val="24"/>
                <w:szCs w:val="24"/>
              </w:rPr>
              <w:t>, nyresmerter</w:t>
            </w:r>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kendt</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 xml:space="preserve">Akut nyresvigt, </w:t>
            </w:r>
            <w:proofErr w:type="spellStart"/>
            <w:r w:rsidRPr="00623521">
              <w:rPr>
                <w:sz w:val="24"/>
                <w:szCs w:val="24"/>
              </w:rPr>
              <w:t>interstitiel</w:t>
            </w:r>
            <w:proofErr w:type="spellEnd"/>
            <w:r w:rsidRPr="00623521">
              <w:rPr>
                <w:sz w:val="24"/>
                <w:szCs w:val="24"/>
              </w:rPr>
              <w:t xml:space="preserve"> </w:t>
            </w:r>
            <w:proofErr w:type="spellStart"/>
            <w:r w:rsidRPr="00623521">
              <w:rPr>
                <w:sz w:val="24"/>
                <w:szCs w:val="24"/>
              </w:rPr>
              <w:t>nefritis</w:t>
            </w:r>
            <w:proofErr w:type="spellEnd"/>
          </w:p>
        </w:tc>
      </w:tr>
      <w:tr w:rsidR="00623521" w:rsidRPr="00623521" w:rsidTr="00F5134C">
        <w:trPr>
          <w:cantSplit/>
        </w:trPr>
        <w:tc>
          <w:tcPr>
            <w:tcW w:w="2268" w:type="dxa"/>
            <w:tcBorders>
              <w:top w:val="single" w:sz="4" w:space="0" w:color="auto"/>
              <w:left w:val="single" w:sz="4" w:space="0" w:color="auto"/>
              <w:bottom w:val="single" w:sz="4" w:space="0" w:color="auto"/>
              <w:right w:val="single" w:sz="4" w:space="0" w:color="auto"/>
            </w:tcBorders>
            <w:vAlign w:val="center"/>
            <w:hideMark/>
          </w:tcPr>
          <w:p w:rsidR="00623521" w:rsidRPr="00623521" w:rsidRDefault="00623521" w:rsidP="00623521">
            <w:pPr>
              <w:ind w:left="34"/>
              <w:rPr>
                <w:i/>
                <w:sz w:val="24"/>
                <w:szCs w:val="24"/>
              </w:rPr>
            </w:pPr>
            <w:r w:rsidRPr="00623521">
              <w:rPr>
                <w:b/>
                <w:sz w:val="24"/>
                <w:szCs w:val="24"/>
              </w:rPr>
              <w:t>Det reproduktive system og mammae</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proofErr w:type="spellStart"/>
            <w:r w:rsidRPr="00623521">
              <w:rPr>
                <w:sz w:val="24"/>
                <w:szCs w:val="24"/>
              </w:rPr>
              <w:t>Metrorrhagia</w:t>
            </w:r>
            <w:proofErr w:type="spellEnd"/>
            <w:r w:rsidRPr="00623521">
              <w:rPr>
                <w:sz w:val="24"/>
                <w:szCs w:val="24"/>
              </w:rPr>
              <w:t>, lidelser i testes</w:t>
            </w:r>
          </w:p>
        </w:tc>
      </w:tr>
      <w:tr w:rsidR="00623521" w:rsidRPr="00623521" w:rsidTr="00F5134C">
        <w:trPr>
          <w:cantSplit/>
        </w:trPr>
        <w:tc>
          <w:tcPr>
            <w:tcW w:w="2268" w:type="dxa"/>
            <w:vMerge w:val="restart"/>
            <w:tcBorders>
              <w:top w:val="single" w:sz="4" w:space="0" w:color="auto"/>
              <w:left w:val="single" w:sz="4" w:space="0" w:color="auto"/>
              <w:right w:val="single" w:sz="4" w:space="0" w:color="auto"/>
            </w:tcBorders>
            <w:hideMark/>
          </w:tcPr>
          <w:p w:rsidR="00623521" w:rsidRPr="00623521" w:rsidRDefault="00623521" w:rsidP="00623521">
            <w:pPr>
              <w:ind w:left="34"/>
              <w:rPr>
                <w:b/>
                <w:sz w:val="24"/>
                <w:szCs w:val="24"/>
              </w:rPr>
            </w:pPr>
            <w:r w:rsidRPr="00623521">
              <w:rPr>
                <w:b/>
                <w:sz w:val="24"/>
                <w:szCs w:val="24"/>
              </w:rPr>
              <w:t>Almene symptomer og reaktioner på administrationsstedet</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Smerter på injektionsstedet, inflammation ved injektionsstedet</w:t>
            </w:r>
          </w:p>
        </w:tc>
      </w:tr>
      <w:tr w:rsidR="00623521" w:rsidRPr="00623521" w:rsidTr="00F5134C">
        <w:trPr>
          <w:cantSplit/>
        </w:trPr>
        <w:tc>
          <w:tcPr>
            <w:tcW w:w="2268" w:type="dxa"/>
            <w:vMerge/>
            <w:tcBorders>
              <w:left w:val="single" w:sz="4" w:space="0" w:color="auto"/>
              <w:bottom w:val="single" w:sz="4" w:space="0" w:color="auto"/>
              <w:right w:val="single" w:sz="4" w:space="0" w:color="auto"/>
            </w:tcBorders>
            <w:vAlign w:val="center"/>
            <w:hideMark/>
          </w:tcPr>
          <w:p w:rsidR="00623521" w:rsidRPr="00623521" w:rsidRDefault="00623521" w:rsidP="00623521">
            <w:pPr>
              <w:ind w:left="34"/>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vAlign w:val="center"/>
            <w:hideMark/>
          </w:tcPr>
          <w:p w:rsidR="00623521" w:rsidRPr="00623521" w:rsidRDefault="00623521" w:rsidP="00A65F0B">
            <w:pPr>
              <w:ind w:left="110"/>
              <w:rPr>
                <w:sz w:val="24"/>
                <w:szCs w:val="24"/>
              </w:rPr>
            </w:pPr>
            <w:r w:rsidRPr="00623521">
              <w:rPr>
                <w:sz w:val="24"/>
                <w:szCs w:val="24"/>
              </w:rPr>
              <w:t xml:space="preserve">Ødemer, asteni, utilpashed, træthed, ansigtsødem, smerter i brystet, </w:t>
            </w:r>
            <w:proofErr w:type="spellStart"/>
            <w:r w:rsidRPr="00623521">
              <w:rPr>
                <w:sz w:val="24"/>
                <w:szCs w:val="24"/>
              </w:rPr>
              <w:t>pyreksi</w:t>
            </w:r>
            <w:proofErr w:type="spellEnd"/>
            <w:r w:rsidRPr="00623521">
              <w:rPr>
                <w:sz w:val="24"/>
                <w:szCs w:val="24"/>
              </w:rPr>
              <w:t>, smerter, perifært ødem</w:t>
            </w:r>
          </w:p>
        </w:tc>
      </w:tr>
      <w:tr w:rsidR="00623521" w:rsidRPr="00623521" w:rsidTr="00F5134C">
        <w:trPr>
          <w:cantSplit/>
          <w:trHeight w:val="718"/>
        </w:trPr>
        <w:tc>
          <w:tcPr>
            <w:tcW w:w="2268" w:type="dxa"/>
            <w:vMerge w:val="restart"/>
            <w:tcBorders>
              <w:top w:val="single" w:sz="4" w:space="0" w:color="auto"/>
              <w:left w:val="single" w:sz="4" w:space="0" w:color="auto"/>
              <w:right w:val="single" w:sz="4" w:space="0" w:color="auto"/>
            </w:tcBorders>
          </w:tcPr>
          <w:p w:rsidR="00623521" w:rsidRPr="00623521" w:rsidRDefault="00623521" w:rsidP="00623521">
            <w:pPr>
              <w:ind w:left="34"/>
              <w:rPr>
                <w:i/>
                <w:sz w:val="24"/>
                <w:szCs w:val="24"/>
              </w:rPr>
            </w:pPr>
            <w:r w:rsidRPr="00623521">
              <w:rPr>
                <w:b/>
                <w:sz w:val="24"/>
                <w:szCs w:val="24"/>
              </w:rPr>
              <w:t>Undersøgelser</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 xml:space="preserve">Reduceret lymfocyttal, stigning i </w:t>
            </w:r>
            <w:proofErr w:type="spellStart"/>
            <w:r w:rsidRPr="00623521">
              <w:rPr>
                <w:sz w:val="24"/>
                <w:szCs w:val="24"/>
              </w:rPr>
              <w:t>eosinofiltal</w:t>
            </w:r>
            <w:proofErr w:type="spellEnd"/>
            <w:r w:rsidRPr="00623521">
              <w:rPr>
                <w:sz w:val="24"/>
                <w:szCs w:val="24"/>
              </w:rPr>
              <w:t xml:space="preserve">, nedsat serumbikarbonat, stigning i </w:t>
            </w:r>
            <w:proofErr w:type="spellStart"/>
            <w:r w:rsidRPr="00623521">
              <w:rPr>
                <w:sz w:val="24"/>
                <w:szCs w:val="24"/>
              </w:rPr>
              <w:t>basofile</w:t>
            </w:r>
            <w:proofErr w:type="spellEnd"/>
            <w:r w:rsidRPr="00623521">
              <w:rPr>
                <w:sz w:val="24"/>
                <w:szCs w:val="24"/>
              </w:rPr>
              <w:t xml:space="preserve">, stigning i </w:t>
            </w:r>
            <w:proofErr w:type="spellStart"/>
            <w:r w:rsidRPr="00623521">
              <w:rPr>
                <w:sz w:val="24"/>
                <w:szCs w:val="24"/>
              </w:rPr>
              <w:t>monocytter</w:t>
            </w:r>
            <w:proofErr w:type="spellEnd"/>
            <w:r w:rsidRPr="00623521">
              <w:rPr>
                <w:sz w:val="24"/>
                <w:szCs w:val="24"/>
              </w:rPr>
              <w:t xml:space="preserve">, stigning i </w:t>
            </w:r>
            <w:proofErr w:type="spellStart"/>
            <w:r w:rsidRPr="00623521">
              <w:rPr>
                <w:sz w:val="24"/>
                <w:szCs w:val="24"/>
              </w:rPr>
              <w:t>neutrofile</w:t>
            </w:r>
            <w:proofErr w:type="spellEnd"/>
          </w:p>
        </w:tc>
      </w:tr>
      <w:tr w:rsidR="00623521" w:rsidRPr="00623521" w:rsidTr="00F5134C">
        <w:trPr>
          <w:cantSplit/>
          <w:trHeight w:val="1673"/>
        </w:trPr>
        <w:tc>
          <w:tcPr>
            <w:tcW w:w="2268" w:type="dxa"/>
            <w:vMerge/>
            <w:tcBorders>
              <w:left w:val="single" w:sz="4" w:space="0" w:color="auto"/>
              <w:bottom w:val="single" w:sz="4" w:space="0" w:color="auto"/>
              <w:right w:val="single" w:sz="4" w:space="0" w:color="auto"/>
            </w:tcBorders>
            <w:hideMark/>
          </w:tcPr>
          <w:p w:rsidR="00623521" w:rsidRPr="00623521" w:rsidRDefault="00623521" w:rsidP="00623521">
            <w:pPr>
              <w:ind w:left="34"/>
              <w:rPr>
                <w:i/>
                <w:sz w:val="24"/>
                <w:szCs w:val="24"/>
              </w:rPr>
            </w:pP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hideMark/>
          </w:tcPr>
          <w:p w:rsidR="00623521" w:rsidRPr="00623521" w:rsidRDefault="00623521" w:rsidP="00A65F0B">
            <w:pPr>
              <w:ind w:left="110"/>
              <w:rPr>
                <w:sz w:val="24"/>
                <w:szCs w:val="24"/>
              </w:rPr>
            </w:pPr>
            <w:r w:rsidRPr="00623521">
              <w:rPr>
                <w:sz w:val="24"/>
                <w:szCs w:val="24"/>
              </w:rPr>
              <w:t xml:space="preserve">Stigning i </w:t>
            </w:r>
            <w:proofErr w:type="spellStart"/>
            <w:r w:rsidRPr="00623521">
              <w:rPr>
                <w:sz w:val="24"/>
                <w:szCs w:val="24"/>
              </w:rPr>
              <w:t>serumaspartatamino</w:t>
            </w:r>
            <w:r w:rsidRPr="00623521">
              <w:rPr>
                <w:sz w:val="24"/>
                <w:szCs w:val="24"/>
              </w:rPr>
              <w:softHyphen/>
              <w:t>trans</w:t>
            </w:r>
            <w:r w:rsidRPr="00623521">
              <w:rPr>
                <w:sz w:val="24"/>
                <w:szCs w:val="24"/>
              </w:rPr>
              <w:softHyphen/>
              <w:t>ferase</w:t>
            </w:r>
            <w:proofErr w:type="spellEnd"/>
            <w:r w:rsidRPr="00623521">
              <w:rPr>
                <w:sz w:val="24"/>
                <w:szCs w:val="24"/>
              </w:rPr>
              <w:t xml:space="preserve"> (ASAT), stigning i </w:t>
            </w:r>
            <w:proofErr w:type="spellStart"/>
            <w:r w:rsidRPr="00623521">
              <w:rPr>
                <w:sz w:val="24"/>
                <w:szCs w:val="24"/>
              </w:rPr>
              <w:t>serum</w:t>
            </w:r>
            <w:r w:rsidRPr="00623521">
              <w:rPr>
                <w:sz w:val="24"/>
                <w:szCs w:val="24"/>
              </w:rPr>
              <w:softHyphen/>
              <w:t>alaninaminotransferase</w:t>
            </w:r>
            <w:proofErr w:type="spellEnd"/>
            <w:r w:rsidRPr="00623521">
              <w:rPr>
                <w:sz w:val="24"/>
                <w:szCs w:val="24"/>
              </w:rPr>
              <w:t xml:space="preserve"> (ALAT), stigning i serumbilirubin, stigning i serumurinstof, stigning i </w:t>
            </w:r>
            <w:proofErr w:type="spellStart"/>
            <w:r w:rsidRPr="00623521">
              <w:rPr>
                <w:sz w:val="24"/>
                <w:szCs w:val="24"/>
              </w:rPr>
              <w:t>kreatinin</w:t>
            </w:r>
            <w:proofErr w:type="spellEnd"/>
            <w:r w:rsidRPr="00623521">
              <w:rPr>
                <w:sz w:val="24"/>
                <w:szCs w:val="24"/>
              </w:rPr>
              <w:t xml:space="preserve">, forstyrrelser i kalium i blodet, stigning i basisk fosfatase, stigning i </w:t>
            </w:r>
            <w:proofErr w:type="spellStart"/>
            <w:r w:rsidRPr="00623521">
              <w:rPr>
                <w:sz w:val="24"/>
                <w:szCs w:val="24"/>
              </w:rPr>
              <w:t>chlorid</w:t>
            </w:r>
            <w:proofErr w:type="spellEnd"/>
            <w:r w:rsidRPr="00623521">
              <w:rPr>
                <w:sz w:val="24"/>
                <w:szCs w:val="24"/>
              </w:rPr>
              <w:t xml:space="preserve">, stigning i </w:t>
            </w:r>
            <w:proofErr w:type="spellStart"/>
            <w:r w:rsidRPr="00623521">
              <w:rPr>
                <w:sz w:val="24"/>
                <w:szCs w:val="24"/>
              </w:rPr>
              <w:t>glucose</w:t>
            </w:r>
            <w:proofErr w:type="spellEnd"/>
            <w:r w:rsidRPr="00623521">
              <w:rPr>
                <w:sz w:val="24"/>
                <w:szCs w:val="24"/>
              </w:rPr>
              <w:t xml:space="preserve">, stigning i </w:t>
            </w:r>
            <w:proofErr w:type="spellStart"/>
            <w:r w:rsidRPr="00623521">
              <w:rPr>
                <w:sz w:val="24"/>
                <w:szCs w:val="24"/>
              </w:rPr>
              <w:t>trombocytter</w:t>
            </w:r>
            <w:proofErr w:type="spellEnd"/>
            <w:r w:rsidRPr="00623521">
              <w:rPr>
                <w:sz w:val="24"/>
                <w:szCs w:val="24"/>
              </w:rPr>
              <w:t>, fald i hæmatokrit, stigning i bikarbonat, unormalt natriumindhold i blodet</w:t>
            </w:r>
          </w:p>
        </w:tc>
      </w:tr>
      <w:tr w:rsidR="00623521" w:rsidRPr="00623521" w:rsidTr="00F5134C">
        <w:trPr>
          <w:cantSplit/>
          <w:trHeight w:val="710"/>
        </w:trPr>
        <w:tc>
          <w:tcPr>
            <w:tcW w:w="2268" w:type="dxa"/>
            <w:tcBorders>
              <w:top w:val="single" w:sz="4" w:space="0" w:color="auto"/>
              <w:left w:val="single" w:sz="4" w:space="0" w:color="auto"/>
              <w:bottom w:val="single" w:sz="4" w:space="0" w:color="auto"/>
              <w:right w:val="single" w:sz="4" w:space="0" w:color="auto"/>
            </w:tcBorders>
            <w:hideMark/>
          </w:tcPr>
          <w:p w:rsidR="00623521" w:rsidRPr="00623521" w:rsidRDefault="00623521" w:rsidP="00623521">
            <w:pPr>
              <w:ind w:left="34"/>
              <w:rPr>
                <w:i/>
                <w:sz w:val="24"/>
                <w:szCs w:val="24"/>
              </w:rPr>
            </w:pPr>
            <w:r w:rsidRPr="00623521">
              <w:rPr>
                <w:b/>
                <w:sz w:val="24"/>
                <w:szCs w:val="24"/>
              </w:rPr>
              <w:t>Traumer, forgiftninger og behandlings</w:t>
            </w:r>
            <w:r w:rsidRPr="00623521">
              <w:rPr>
                <w:b/>
                <w:sz w:val="24"/>
                <w:szCs w:val="24"/>
              </w:rPr>
              <w:softHyphen/>
              <w:t>komplikationer</w:t>
            </w:r>
          </w:p>
        </w:tc>
        <w:tc>
          <w:tcPr>
            <w:tcW w:w="1365" w:type="dxa"/>
            <w:tcBorders>
              <w:top w:val="single" w:sz="4" w:space="0" w:color="auto"/>
              <w:left w:val="single" w:sz="4" w:space="0" w:color="auto"/>
              <w:bottom w:val="single" w:sz="4" w:space="0" w:color="auto"/>
              <w:right w:val="single" w:sz="4" w:space="0" w:color="auto"/>
            </w:tcBorders>
          </w:tcPr>
          <w:p w:rsidR="00623521" w:rsidRPr="00623521" w:rsidRDefault="00623521" w:rsidP="00623521">
            <w:pPr>
              <w:rPr>
                <w:sz w:val="24"/>
                <w:szCs w:val="24"/>
              </w:rPr>
            </w:pPr>
            <w:r w:rsidRPr="00623521">
              <w:rPr>
                <w:i/>
                <w:sz w:val="24"/>
                <w:szCs w:val="24"/>
              </w:rPr>
              <w:t>Ikke almindelig</w:t>
            </w:r>
          </w:p>
        </w:tc>
        <w:tc>
          <w:tcPr>
            <w:tcW w:w="5746" w:type="dxa"/>
            <w:tcBorders>
              <w:top w:val="single" w:sz="4" w:space="0" w:color="auto"/>
              <w:left w:val="single" w:sz="4" w:space="0" w:color="auto"/>
              <w:bottom w:val="single" w:sz="4" w:space="0" w:color="auto"/>
              <w:right w:val="single" w:sz="4" w:space="0" w:color="auto"/>
            </w:tcBorders>
          </w:tcPr>
          <w:p w:rsidR="00623521" w:rsidRPr="00623521" w:rsidRDefault="00623521" w:rsidP="00A65F0B">
            <w:pPr>
              <w:ind w:left="110"/>
              <w:rPr>
                <w:sz w:val="24"/>
                <w:szCs w:val="24"/>
              </w:rPr>
            </w:pPr>
            <w:r w:rsidRPr="00623521">
              <w:rPr>
                <w:sz w:val="24"/>
                <w:szCs w:val="24"/>
              </w:rPr>
              <w:t>Postoperative komplikationer</w:t>
            </w:r>
          </w:p>
        </w:tc>
      </w:tr>
    </w:tbl>
    <w:p w:rsidR="00623521" w:rsidRPr="00623521" w:rsidRDefault="00623521" w:rsidP="00623521">
      <w:pPr>
        <w:tabs>
          <w:tab w:val="left" w:pos="840"/>
        </w:tabs>
        <w:ind w:left="851"/>
        <w:rPr>
          <w:sz w:val="24"/>
          <w:szCs w:val="24"/>
        </w:rPr>
      </w:pPr>
      <w:r w:rsidRPr="00623521">
        <w:rPr>
          <w:sz w:val="24"/>
          <w:szCs w:val="24"/>
        </w:rPr>
        <w:t>*Hyppighed af bivirkninger rapporteret med øvre grænse på 95 % konfidensinterval, udregnet i henhold til ”</w:t>
      </w:r>
      <w:proofErr w:type="spellStart"/>
      <w:r w:rsidRPr="00623521">
        <w:rPr>
          <w:sz w:val="24"/>
          <w:szCs w:val="24"/>
        </w:rPr>
        <w:t>rule</w:t>
      </w:r>
      <w:proofErr w:type="spellEnd"/>
      <w:r w:rsidRPr="00623521">
        <w:rPr>
          <w:sz w:val="24"/>
          <w:szCs w:val="24"/>
        </w:rPr>
        <w:t xml:space="preserve"> </w:t>
      </w:r>
      <w:proofErr w:type="gramStart"/>
      <w:r w:rsidRPr="00623521">
        <w:rPr>
          <w:sz w:val="24"/>
          <w:szCs w:val="24"/>
        </w:rPr>
        <w:t>of  3</w:t>
      </w:r>
      <w:proofErr w:type="gramEnd"/>
      <w:r w:rsidRPr="00623521">
        <w:rPr>
          <w:sz w:val="24"/>
          <w:szCs w:val="24"/>
        </w:rPr>
        <w:t>”.</w:t>
      </w:r>
    </w:p>
    <w:p w:rsidR="00623521" w:rsidRPr="00623521" w:rsidRDefault="00623521" w:rsidP="00623521">
      <w:pPr>
        <w:tabs>
          <w:tab w:val="left" w:pos="851"/>
        </w:tabs>
        <w:ind w:left="851"/>
        <w:rPr>
          <w:sz w:val="24"/>
          <w:szCs w:val="24"/>
        </w:rPr>
      </w:pPr>
    </w:p>
    <w:p w:rsidR="00623521" w:rsidRPr="00623521" w:rsidRDefault="00623521" w:rsidP="00623521">
      <w:pPr>
        <w:tabs>
          <w:tab w:val="left" w:pos="851"/>
        </w:tabs>
        <w:ind w:left="851"/>
        <w:rPr>
          <w:b/>
          <w:bCs/>
          <w:sz w:val="24"/>
          <w:szCs w:val="24"/>
        </w:rPr>
      </w:pPr>
      <w:r w:rsidRPr="00623521">
        <w:rPr>
          <w:b/>
          <w:bCs/>
          <w:sz w:val="24"/>
          <w:szCs w:val="24"/>
        </w:rPr>
        <w:t xml:space="preserve">Bivirkninger som muligvis og sandsynligt er relateret til profylaksebehandling af </w:t>
      </w:r>
      <w:proofErr w:type="spellStart"/>
      <w:r w:rsidRPr="00623521">
        <w:rPr>
          <w:b/>
          <w:bCs/>
          <w:i/>
          <w:iCs/>
          <w:sz w:val="24"/>
          <w:szCs w:val="24"/>
        </w:rPr>
        <w:t>Mycobacterium</w:t>
      </w:r>
      <w:proofErr w:type="spellEnd"/>
      <w:r w:rsidRPr="00623521">
        <w:rPr>
          <w:b/>
          <w:bCs/>
          <w:i/>
          <w:iCs/>
          <w:sz w:val="24"/>
          <w:szCs w:val="24"/>
        </w:rPr>
        <w:t xml:space="preserve"> </w:t>
      </w:r>
      <w:proofErr w:type="spellStart"/>
      <w:r w:rsidRPr="00623521">
        <w:rPr>
          <w:b/>
          <w:bCs/>
          <w:i/>
          <w:iCs/>
          <w:sz w:val="24"/>
          <w:szCs w:val="24"/>
        </w:rPr>
        <w:t>avium</w:t>
      </w:r>
      <w:proofErr w:type="spellEnd"/>
      <w:r w:rsidRPr="00623521">
        <w:rPr>
          <w:b/>
          <w:bCs/>
          <w:sz w:val="24"/>
          <w:szCs w:val="24"/>
        </w:rPr>
        <w:t xml:space="preserve"> kompleks baseret på kliniske studier og ved overvågning efter markedsføring. Disse bivirkninger er forskellige fra dem, der er indrapporteret for lægemidler med øjeblikkelig frigivelse eller depotformuleringer, både i påvirkning og hyppighed</w:t>
      </w:r>
      <w:r w:rsidR="00A65F0B">
        <w:rPr>
          <w:b/>
          <w:bCs/>
          <w:sz w:val="24"/>
          <w:szCs w:val="24"/>
        </w:rPr>
        <w:t>:</w:t>
      </w:r>
    </w:p>
    <w:p w:rsidR="00623521" w:rsidRPr="00623521" w:rsidRDefault="00623521" w:rsidP="00623521">
      <w:pPr>
        <w:tabs>
          <w:tab w:val="left" w:pos="851"/>
        </w:tabs>
        <w:ind w:left="851"/>
        <w:rPr>
          <w:b/>
          <w:bCs/>
          <w:sz w:val="24"/>
          <w:szCs w:val="24"/>
        </w:rPr>
      </w:pPr>
    </w:p>
    <w:tbl>
      <w:tblPr>
        <w:tblW w:w="906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772"/>
        <w:gridCol w:w="4114"/>
      </w:tblGrid>
      <w:tr w:rsidR="00623521" w:rsidRPr="00623521" w:rsidTr="00623521">
        <w:tc>
          <w:tcPr>
            <w:tcW w:w="3175" w:type="dxa"/>
            <w:shd w:val="clear" w:color="auto" w:fill="auto"/>
          </w:tcPr>
          <w:p w:rsidR="00623521" w:rsidRPr="00623521" w:rsidRDefault="00F5134C" w:rsidP="00A65F0B">
            <w:pPr>
              <w:ind w:left="33"/>
              <w:rPr>
                <w:b/>
                <w:sz w:val="24"/>
                <w:szCs w:val="24"/>
              </w:rPr>
            </w:pPr>
            <w:proofErr w:type="spellStart"/>
            <w:r w:rsidRPr="00623521">
              <w:rPr>
                <w:b/>
                <w:sz w:val="24"/>
                <w:szCs w:val="24"/>
              </w:rPr>
              <w:t>MedDRA</w:t>
            </w:r>
            <w:proofErr w:type="spellEnd"/>
            <w:r w:rsidRPr="00623521">
              <w:rPr>
                <w:b/>
                <w:sz w:val="24"/>
                <w:szCs w:val="24"/>
              </w:rPr>
              <w:t xml:space="preserve"> </w:t>
            </w:r>
            <w:r>
              <w:rPr>
                <w:b/>
                <w:sz w:val="24"/>
                <w:szCs w:val="24"/>
              </w:rPr>
              <w:t>system</w:t>
            </w:r>
            <w:r w:rsidRPr="00623521">
              <w:rPr>
                <w:b/>
                <w:sz w:val="24"/>
                <w:szCs w:val="24"/>
              </w:rPr>
              <w:t>organklasse</w:t>
            </w:r>
          </w:p>
        </w:tc>
        <w:tc>
          <w:tcPr>
            <w:tcW w:w="1772" w:type="dxa"/>
            <w:shd w:val="clear" w:color="auto" w:fill="auto"/>
          </w:tcPr>
          <w:p w:rsidR="00623521" w:rsidRPr="00623521" w:rsidRDefault="00623521" w:rsidP="00A65F0B">
            <w:pPr>
              <w:rPr>
                <w:b/>
                <w:sz w:val="24"/>
                <w:szCs w:val="24"/>
              </w:rPr>
            </w:pPr>
            <w:r w:rsidRPr="00623521">
              <w:rPr>
                <w:b/>
                <w:sz w:val="24"/>
                <w:szCs w:val="24"/>
              </w:rPr>
              <w:t>Fr</w:t>
            </w:r>
            <w:r w:rsidR="00F5134C">
              <w:rPr>
                <w:b/>
                <w:sz w:val="24"/>
                <w:szCs w:val="24"/>
              </w:rPr>
              <w:t>ekvens</w:t>
            </w:r>
          </w:p>
        </w:tc>
        <w:tc>
          <w:tcPr>
            <w:tcW w:w="4114" w:type="dxa"/>
            <w:shd w:val="clear" w:color="auto" w:fill="auto"/>
          </w:tcPr>
          <w:p w:rsidR="00623521" w:rsidRPr="00623521" w:rsidRDefault="00F5134C" w:rsidP="00A65F0B">
            <w:pPr>
              <w:ind w:left="44"/>
              <w:rPr>
                <w:b/>
                <w:sz w:val="24"/>
                <w:szCs w:val="24"/>
              </w:rPr>
            </w:pPr>
            <w:r>
              <w:rPr>
                <w:b/>
                <w:sz w:val="24"/>
                <w:szCs w:val="24"/>
              </w:rPr>
              <w:t>Bivirkninger</w:t>
            </w:r>
          </w:p>
        </w:tc>
      </w:tr>
      <w:tr w:rsidR="00623521" w:rsidRPr="00623521" w:rsidTr="00623521">
        <w:tc>
          <w:tcPr>
            <w:tcW w:w="3175" w:type="dxa"/>
            <w:shd w:val="clear" w:color="auto" w:fill="auto"/>
          </w:tcPr>
          <w:p w:rsidR="00623521" w:rsidRPr="00623521" w:rsidRDefault="00623521" w:rsidP="00A65F0B">
            <w:pPr>
              <w:ind w:left="33"/>
              <w:rPr>
                <w:sz w:val="24"/>
                <w:szCs w:val="24"/>
              </w:rPr>
            </w:pPr>
            <w:r w:rsidRPr="00623521">
              <w:rPr>
                <w:b/>
                <w:sz w:val="24"/>
                <w:szCs w:val="24"/>
              </w:rPr>
              <w:t>Metabolisme og ernæring</w:t>
            </w:r>
          </w:p>
        </w:tc>
        <w:tc>
          <w:tcPr>
            <w:tcW w:w="1772" w:type="dxa"/>
            <w:shd w:val="clear" w:color="auto" w:fill="auto"/>
          </w:tcPr>
          <w:p w:rsidR="00623521" w:rsidRPr="00623521" w:rsidRDefault="00623521" w:rsidP="00A65F0B">
            <w:pPr>
              <w:rPr>
                <w:i/>
                <w:iCs/>
                <w:sz w:val="24"/>
                <w:szCs w:val="24"/>
              </w:rPr>
            </w:pPr>
            <w:r w:rsidRPr="00623521">
              <w:rPr>
                <w:i/>
                <w:iCs/>
                <w:sz w:val="24"/>
                <w:szCs w:val="24"/>
              </w:rPr>
              <w:t>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 xml:space="preserve">Anoreksi, svimmelhed, hovedpine, </w:t>
            </w:r>
            <w:proofErr w:type="spellStart"/>
            <w:r w:rsidRPr="00623521">
              <w:rPr>
                <w:sz w:val="24"/>
                <w:szCs w:val="24"/>
              </w:rPr>
              <w:t>paræstesi</w:t>
            </w:r>
            <w:proofErr w:type="spellEnd"/>
            <w:r w:rsidRPr="00623521">
              <w:rPr>
                <w:sz w:val="24"/>
                <w:szCs w:val="24"/>
              </w:rPr>
              <w:t xml:space="preserve">, </w:t>
            </w:r>
            <w:proofErr w:type="spellStart"/>
            <w:r w:rsidRPr="00623521">
              <w:rPr>
                <w:sz w:val="24"/>
                <w:szCs w:val="24"/>
              </w:rPr>
              <w:t>dysgeusi</w:t>
            </w:r>
            <w:proofErr w:type="spellEnd"/>
          </w:p>
        </w:tc>
      </w:tr>
      <w:tr w:rsidR="00623521" w:rsidRPr="00623521" w:rsidTr="00623521">
        <w:tc>
          <w:tcPr>
            <w:tcW w:w="3175" w:type="dxa"/>
            <w:shd w:val="clear" w:color="auto" w:fill="auto"/>
          </w:tcPr>
          <w:p w:rsidR="00623521" w:rsidRPr="00623521" w:rsidRDefault="00623521" w:rsidP="00A65F0B">
            <w:pPr>
              <w:ind w:left="33"/>
              <w:rPr>
                <w:b/>
                <w:sz w:val="24"/>
                <w:szCs w:val="24"/>
              </w:rPr>
            </w:pPr>
          </w:p>
        </w:tc>
        <w:tc>
          <w:tcPr>
            <w:tcW w:w="1772" w:type="dxa"/>
            <w:shd w:val="clear" w:color="auto" w:fill="auto"/>
          </w:tcPr>
          <w:p w:rsidR="00623521" w:rsidRPr="00623521" w:rsidRDefault="00623521" w:rsidP="00A65F0B">
            <w:pPr>
              <w:rPr>
                <w:i/>
                <w:iCs/>
                <w:sz w:val="24"/>
                <w:szCs w:val="24"/>
              </w:rPr>
            </w:pPr>
            <w:r w:rsidRPr="00623521">
              <w:rPr>
                <w:i/>
                <w:iCs/>
                <w:sz w:val="24"/>
                <w:szCs w:val="24"/>
              </w:rPr>
              <w:t>Ikke almindelig</w:t>
            </w:r>
          </w:p>
        </w:tc>
        <w:tc>
          <w:tcPr>
            <w:tcW w:w="4114" w:type="dxa"/>
            <w:shd w:val="clear" w:color="auto" w:fill="auto"/>
          </w:tcPr>
          <w:p w:rsidR="00623521" w:rsidRPr="00623521" w:rsidRDefault="00623521" w:rsidP="00A65F0B">
            <w:pPr>
              <w:ind w:left="44"/>
              <w:rPr>
                <w:sz w:val="24"/>
                <w:szCs w:val="24"/>
              </w:rPr>
            </w:pPr>
            <w:proofErr w:type="spellStart"/>
            <w:r w:rsidRPr="00623521">
              <w:rPr>
                <w:sz w:val="24"/>
                <w:szCs w:val="24"/>
              </w:rPr>
              <w:t>hypæstesi</w:t>
            </w:r>
            <w:proofErr w:type="spellEnd"/>
          </w:p>
        </w:tc>
      </w:tr>
      <w:tr w:rsidR="00623521" w:rsidRPr="00623521" w:rsidTr="00623521">
        <w:tc>
          <w:tcPr>
            <w:tcW w:w="3175" w:type="dxa"/>
            <w:shd w:val="clear" w:color="auto" w:fill="auto"/>
          </w:tcPr>
          <w:p w:rsidR="00623521" w:rsidRPr="00623521" w:rsidRDefault="00623521" w:rsidP="00A65F0B">
            <w:pPr>
              <w:ind w:left="33"/>
              <w:rPr>
                <w:b/>
                <w:bCs/>
                <w:sz w:val="24"/>
                <w:szCs w:val="24"/>
              </w:rPr>
            </w:pPr>
            <w:r w:rsidRPr="00623521">
              <w:rPr>
                <w:b/>
                <w:bCs/>
                <w:sz w:val="24"/>
                <w:szCs w:val="24"/>
              </w:rPr>
              <w:t>Øjne</w:t>
            </w:r>
          </w:p>
        </w:tc>
        <w:tc>
          <w:tcPr>
            <w:tcW w:w="1772" w:type="dxa"/>
            <w:shd w:val="clear" w:color="auto" w:fill="auto"/>
          </w:tcPr>
          <w:p w:rsidR="00623521" w:rsidRPr="00623521" w:rsidRDefault="00623521" w:rsidP="00A65F0B">
            <w:pPr>
              <w:rPr>
                <w:i/>
                <w:iCs/>
                <w:sz w:val="24"/>
                <w:szCs w:val="24"/>
              </w:rPr>
            </w:pPr>
            <w:r w:rsidRPr="00623521">
              <w:rPr>
                <w:i/>
                <w:iCs/>
                <w:sz w:val="24"/>
                <w:szCs w:val="24"/>
              </w:rPr>
              <w:t>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Nedsat syn</w:t>
            </w:r>
          </w:p>
        </w:tc>
      </w:tr>
      <w:tr w:rsidR="00623521" w:rsidRPr="00623521" w:rsidTr="00623521">
        <w:tc>
          <w:tcPr>
            <w:tcW w:w="3175" w:type="dxa"/>
            <w:vMerge w:val="restart"/>
            <w:shd w:val="clear" w:color="auto" w:fill="auto"/>
          </w:tcPr>
          <w:p w:rsidR="00623521" w:rsidRPr="00623521" w:rsidRDefault="00623521" w:rsidP="00A65F0B">
            <w:pPr>
              <w:ind w:left="33"/>
              <w:rPr>
                <w:b/>
                <w:bCs/>
                <w:sz w:val="24"/>
                <w:szCs w:val="24"/>
              </w:rPr>
            </w:pPr>
            <w:r w:rsidRPr="00623521">
              <w:rPr>
                <w:b/>
                <w:bCs/>
                <w:sz w:val="24"/>
                <w:szCs w:val="24"/>
              </w:rPr>
              <w:t>Øre og labyrint</w:t>
            </w:r>
          </w:p>
        </w:tc>
        <w:tc>
          <w:tcPr>
            <w:tcW w:w="1772" w:type="dxa"/>
            <w:shd w:val="clear" w:color="auto" w:fill="auto"/>
          </w:tcPr>
          <w:p w:rsidR="00623521" w:rsidRPr="00623521" w:rsidRDefault="00623521" w:rsidP="00A65F0B">
            <w:pPr>
              <w:rPr>
                <w:i/>
                <w:iCs/>
                <w:sz w:val="24"/>
                <w:szCs w:val="24"/>
              </w:rPr>
            </w:pPr>
            <w:r w:rsidRPr="00623521">
              <w:rPr>
                <w:i/>
                <w:iCs/>
                <w:sz w:val="24"/>
                <w:szCs w:val="24"/>
              </w:rPr>
              <w:t>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Døvhed</w:t>
            </w:r>
          </w:p>
        </w:tc>
      </w:tr>
      <w:tr w:rsidR="00623521" w:rsidRPr="00623521" w:rsidTr="00623521">
        <w:tc>
          <w:tcPr>
            <w:tcW w:w="3175" w:type="dxa"/>
            <w:vMerge/>
            <w:shd w:val="clear" w:color="auto" w:fill="auto"/>
          </w:tcPr>
          <w:p w:rsidR="00623521" w:rsidRPr="00623521" w:rsidRDefault="00623521" w:rsidP="00A65F0B">
            <w:pPr>
              <w:ind w:left="33"/>
              <w:rPr>
                <w:sz w:val="24"/>
                <w:szCs w:val="24"/>
              </w:rPr>
            </w:pPr>
          </w:p>
        </w:tc>
        <w:tc>
          <w:tcPr>
            <w:tcW w:w="1772" w:type="dxa"/>
            <w:shd w:val="clear" w:color="auto" w:fill="auto"/>
          </w:tcPr>
          <w:p w:rsidR="00623521" w:rsidRPr="00623521" w:rsidRDefault="00623521" w:rsidP="00A65F0B">
            <w:pPr>
              <w:rPr>
                <w:i/>
                <w:iCs/>
                <w:sz w:val="24"/>
                <w:szCs w:val="24"/>
              </w:rPr>
            </w:pPr>
            <w:r w:rsidRPr="00623521">
              <w:rPr>
                <w:i/>
                <w:iCs/>
                <w:sz w:val="24"/>
                <w:szCs w:val="24"/>
              </w:rPr>
              <w:t>Ikke 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Nedsat hørelse, tinnitus</w:t>
            </w:r>
          </w:p>
        </w:tc>
      </w:tr>
      <w:tr w:rsidR="00623521" w:rsidRPr="00623521" w:rsidTr="00623521">
        <w:tc>
          <w:tcPr>
            <w:tcW w:w="3175" w:type="dxa"/>
            <w:shd w:val="clear" w:color="auto" w:fill="auto"/>
          </w:tcPr>
          <w:p w:rsidR="00623521" w:rsidRPr="00623521" w:rsidRDefault="00623521" w:rsidP="00A65F0B">
            <w:pPr>
              <w:ind w:left="33"/>
              <w:rPr>
                <w:b/>
                <w:bCs/>
                <w:sz w:val="24"/>
                <w:szCs w:val="24"/>
              </w:rPr>
            </w:pPr>
            <w:r w:rsidRPr="00623521">
              <w:rPr>
                <w:b/>
                <w:bCs/>
                <w:sz w:val="24"/>
                <w:szCs w:val="24"/>
              </w:rPr>
              <w:t>Hjerte</w:t>
            </w:r>
          </w:p>
        </w:tc>
        <w:tc>
          <w:tcPr>
            <w:tcW w:w="1772" w:type="dxa"/>
            <w:shd w:val="clear" w:color="auto" w:fill="auto"/>
          </w:tcPr>
          <w:p w:rsidR="00623521" w:rsidRPr="00623521" w:rsidRDefault="00623521" w:rsidP="00A65F0B">
            <w:pPr>
              <w:rPr>
                <w:i/>
                <w:iCs/>
                <w:sz w:val="24"/>
                <w:szCs w:val="24"/>
              </w:rPr>
            </w:pPr>
            <w:r w:rsidRPr="00623521">
              <w:rPr>
                <w:i/>
                <w:iCs/>
                <w:sz w:val="24"/>
                <w:szCs w:val="24"/>
              </w:rPr>
              <w:t>Ikke almindelig</w:t>
            </w:r>
          </w:p>
        </w:tc>
        <w:tc>
          <w:tcPr>
            <w:tcW w:w="4114" w:type="dxa"/>
            <w:shd w:val="clear" w:color="auto" w:fill="auto"/>
          </w:tcPr>
          <w:p w:rsidR="00623521" w:rsidRPr="00623521" w:rsidRDefault="00623521" w:rsidP="00A65F0B">
            <w:pPr>
              <w:ind w:left="44"/>
              <w:rPr>
                <w:sz w:val="24"/>
                <w:szCs w:val="24"/>
              </w:rPr>
            </w:pPr>
            <w:proofErr w:type="spellStart"/>
            <w:r w:rsidRPr="00623521">
              <w:rPr>
                <w:sz w:val="24"/>
                <w:szCs w:val="24"/>
              </w:rPr>
              <w:t>Palpitationer</w:t>
            </w:r>
            <w:proofErr w:type="spellEnd"/>
          </w:p>
        </w:tc>
      </w:tr>
      <w:tr w:rsidR="00623521" w:rsidRPr="00623521" w:rsidTr="00623521">
        <w:tc>
          <w:tcPr>
            <w:tcW w:w="3175" w:type="dxa"/>
            <w:shd w:val="clear" w:color="auto" w:fill="auto"/>
          </w:tcPr>
          <w:p w:rsidR="00623521" w:rsidRPr="00623521" w:rsidRDefault="00623521" w:rsidP="00A65F0B">
            <w:pPr>
              <w:ind w:left="33"/>
              <w:rPr>
                <w:sz w:val="24"/>
                <w:szCs w:val="24"/>
              </w:rPr>
            </w:pPr>
            <w:r w:rsidRPr="00623521">
              <w:rPr>
                <w:b/>
                <w:sz w:val="24"/>
                <w:szCs w:val="24"/>
              </w:rPr>
              <w:t>Mave-tarm-kanalen</w:t>
            </w:r>
          </w:p>
        </w:tc>
        <w:tc>
          <w:tcPr>
            <w:tcW w:w="1772" w:type="dxa"/>
            <w:shd w:val="clear" w:color="auto" w:fill="auto"/>
          </w:tcPr>
          <w:p w:rsidR="00623521" w:rsidRPr="00623521" w:rsidRDefault="00623521" w:rsidP="00A65F0B">
            <w:pPr>
              <w:rPr>
                <w:i/>
                <w:iCs/>
                <w:sz w:val="24"/>
                <w:szCs w:val="24"/>
              </w:rPr>
            </w:pPr>
            <w:r w:rsidRPr="00623521">
              <w:rPr>
                <w:i/>
                <w:iCs/>
                <w:sz w:val="24"/>
                <w:szCs w:val="24"/>
              </w:rPr>
              <w:t>Meget 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 xml:space="preserve">Diarré, </w:t>
            </w:r>
            <w:proofErr w:type="spellStart"/>
            <w:r w:rsidRPr="00623521">
              <w:rPr>
                <w:sz w:val="24"/>
                <w:szCs w:val="24"/>
              </w:rPr>
              <w:t>abdominale</w:t>
            </w:r>
            <w:proofErr w:type="spellEnd"/>
            <w:r w:rsidRPr="00623521">
              <w:rPr>
                <w:sz w:val="24"/>
                <w:szCs w:val="24"/>
              </w:rPr>
              <w:t xml:space="preserve"> smerter, kvalme, </w:t>
            </w:r>
            <w:proofErr w:type="spellStart"/>
            <w:r w:rsidRPr="00623521">
              <w:rPr>
                <w:sz w:val="24"/>
                <w:szCs w:val="24"/>
              </w:rPr>
              <w:t>flatulens</w:t>
            </w:r>
            <w:proofErr w:type="spellEnd"/>
            <w:r w:rsidRPr="00623521">
              <w:rPr>
                <w:sz w:val="24"/>
                <w:szCs w:val="24"/>
              </w:rPr>
              <w:t xml:space="preserve">, </w:t>
            </w:r>
            <w:proofErr w:type="spellStart"/>
            <w:r w:rsidRPr="00623521">
              <w:rPr>
                <w:sz w:val="24"/>
                <w:szCs w:val="24"/>
              </w:rPr>
              <w:t>abdominal</w:t>
            </w:r>
            <w:proofErr w:type="spellEnd"/>
            <w:r w:rsidRPr="00623521">
              <w:rPr>
                <w:sz w:val="24"/>
                <w:szCs w:val="24"/>
              </w:rPr>
              <w:t xml:space="preserve"> </w:t>
            </w:r>
            <w:proofErr w:type="spellStart"/>
            <w:r w:rsidRPr="00623521">
              <w:rPr>
                <w:sz w:val="24"/>
                <w:szCs w:val="24"/>
              </w:rPr>
              <w:t>ubehagt</w:t>
            </w:r>
            <w:proofErr w:type="spellEnd"/>
            <w:r w:rsidRPr="00623521">
              <w:rPr>
                <w:sz w:val="24"/>
                <w:szCs w:val="24"/>
              </w:rPr>
              <w:t>, løs afføring</w:t>
            </w:r>
          </w:p>
        </w:tc>
      </w:tr>
      <w:tr w:rsidR="00623521" w:rsidRPr="00623521" w:rsidTr="00623521">
        <w:tc>
          <w:tcPr>
            <w:tcW w:w="3175" w:type="dxa"/>
            <w:shd w:val="clear" w:color="auto" w:fill="auto"/>
          </w:tcPr>
          <w:p w:rsidR="00623521" w:rsidRPr="00623521" w:rsidRDefault="00623521" w:rsidP="00A65F0B">
            <w:pPr>
              <w:ind w:left="33"/>
              <w:rPr>
                <w:sz w:val="24"/>
                <w:szCs w:val="24"/>
              </w:rPr>
            </w:pPr>
            <w:r w:rsidRPr="00623521">
              <w:rPr>
                <w:b/>
                <w:sz w:val="24"/>
                <w:szCs w:val="24"/>
              </w:rPr>
              <w:t>Lever og galdeveje</w:t>
            </w:r>
          </w:p>
        </w:tc>
        <w:tc>
          <w:tcPr>
            <w:tcW w:w="1772" w:type="dxa"/>
            <w:shd w:val="clear" w:color="auto" w:fill="auto"/>
          </w:tcPr>
          <w:p w:rsidR="00623521" w:rsidRPr="00623521" w:rsidRDefault="00623521" w:rsidP="00A65F0B">
            <w:pPr>
              <w:rPr>
                <w:i/>
                <w:iCs/>
                <w:sz w:val="24"/>
                <w:szCs w:val="24"/>
              </w:rPr>
            </w:pPr>
            <w:r w:rsidRPr="00623521">
              <w:rPr>
                <w:i/>
                <w:iCs/>
                <w:sz w:val="24"/>
                <w:szCs w:val="24"/>
              </w:rPr>
              <w:t>Ikke 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Hepatitis</w:t>
            </w:r>
          </w:p>
        </w:tc>
      </w:tr>
      <w:tr w:rsidR="00623521" w:rsidRPr="00623521" w:rsidTr="00623521">
        <w:tc>
          <w:tcPr>
            <w:tcW w:w="3175" w:type="dxa"/>
            <w:vMerge w:val="restart"/>
            <w:shd w:val="clear" w:color="auto" w:fill="auto"/>
          </w:tcPr>
          <w:p w:rsidR="00623521" w:rsidRPr="00623521" w:rsidRDefault="00623521" w:rsidP="00A65F0B">
            <w:pPr>
              <w:ind w:left="33"/>
              <w:rPr>
                <w:sz w:val="24"/>
                <w:szCs w:val="24"/>
                <w:lang w:val="en-US"/>
              </w:rPr>
            </w:pPr>
            <w:r w:rsidRPr="00623521">
              <w:rPr>
                <w:b/>
                <w:sz w:val="24"/>
                <w:szCs w:val="24"/>
              </w:rPr>
              <w:t>Hud og subkutane væv</w:t>
            </w:r>
          </w:p>
        </w:tc>
        <w:tc>
          <w:tcPr>
            <w:tcW w:w="1772" w:type="dxa"/>
            <w:shd w:val="clear" w:color="auto" w:fill="auto"/>
          </w:tcPr>
          <w:p w:rsidR="00623521" w:rsidRPr="00623521" w:rsidRDefault="00623521" w:rsidP="00A65F0B">
            <w:pPr>
              <w:rPr>
                <w:i/>
                <w:iCs/>
                <w:sz w:val="24"/>
                <w:szCs w:val="24"/>
              </w:rPr>
            </w:pPr>
            <w:r w:rsidRPr="00623521">
              <w:rPr>
                <w:i/>
                <w:iCs/>
                <w:sz w:val="24"/>
                <w:szCs w:val="24"/>
              </w:rPr>
              <w:t>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 xml:space="preserve">Udslæt, kløe </w:t>
            </w:r>
          </w:p>
        </w:tc>
      </w:tr>
      <w:tr w:rsidR="00623521" w:rsidRPr="00623521" w:rsidTr="00623521">
        <w:tc>
          <w:tcPr>
            <w:tcW w:w="3175" w:type="dxa"/>
            <w:vMerge/>
            <w:shd w:val="clear" w:color="auto" w:fill="auto"/>
          </w:tcPr>
          <w:p w:rsidR="00623521" w:rsidRPr="00623521" w:rsidRDefault="00623521" w:rsidP="00A65F0B">
            <w:pPr>
              <w:ind w:left="33"/>
              <w:rPr>
                <w:sz w:val="24"/>
                <w:szCs w:val="24"/>
              </w:rPr>
            </w:pPr>
          </w:p>
        </w:tc>
        <w:tc>
          <w:tcPr>
            <w:tcW w:w="1772" w:type="dxa"/>
            <w:shd w:val="clear" w:color="auto" w:fill="auto"/>
          </w:tcPr>
          <w:p w:rsidR="00623521" w:rsidRPr="00623521" w:rsidRDefault="00623521" w:rsidP="00A65F0B">
            <w:pPr>
              <w:rPr>
                <w:sz w:val="24"/>
                <w:szCs w:val="24"/>
              </w:rPr>
            </w:pPr>
            <w:r w:rsidRPr="00623521">
              <w:rPr>
                <w:i/>
                <w:iCs/>
                <w:sz w:val="24"/>
                <w:szCs w:val="24"/>
              </w:rPr>
              <w:t>Ikke 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Stevens-Johnsons syndrom, fotosensitivitet</w:t>
            </w:r>
          </w:p>
        </w:tc>
      </w:tr>
      <w:tr w:rsidR="00623521" w:rsidRPr="00623521" w:rsidTr="00623521">
        <w:tc>
          <w:tcPr>
            <w:tcW w:w="3175" w:type="dxa"/>
            <w:shd w:val="clear" w:color="auto" w:fill="auto"/>
          </w:tcPr>
          <w:p w:rsidR="00623521" w:rsidRPr="00623521" w:rsidRDefault="00623521" w:rsidP="00A65F0B">
            <w:pPr>
              <w:ind w:left="33"/>
              <w:rPr>
                <w:sz w:val="24"/>
                <w:szCs w:val="24"/>
              </w:rPr>
            </w:pPr>
            <w:r w:rsidRPr="00623521">
              <w:rPr>
                <w:b/>
                <w:sz w:val="24"/>
                <w:szCs w:val="24"/>
              </w:rPr>
              <w:lastRenderedPageBreak/>
              <w:t>Knogler, led, muskler og bindevæv</w:t>
            </w:r>
          </w:p>
        </w:tc>
        <w:tc>
          <w:tcPr>
            <w:tcW w:w="1772" w:type="dxa"/>
            <w:shd w:val="clear" w:color="auto" w:fill="auto"/>
          </w:tcPr>
          <w:p w:rsidR="00623521" w:rsidRPr="00623521" w:rsidRDefault="00623521" w:rsidP="00A65F0B">
            <w:pPr>
              <w:rPr>
                <w:i/>
                <w:iCs/>
                <w:sz w:val="24"/>
                <w:szCs w:val="24"/>
              </w:rPr>
            </w:pPr>
            <w:r w:rsidRPr="00623521">
              <w:rPr>
                <w:i/>
                <w:iCs/>
                <w:sz w:val="24"/>
                <w:szCs w:val="24"/>
              </w:rPr>
              <w:t>Almindelig</w:t>
            </w:r>
          </w:p>
        </w:tc>
        <w:tc>
          <w:tcPr>
            <w:tcW w:w="4114" w:type="dxa"/>
            <w:shd w:val="clear" w:color="auto" w:fill="auto"/>
          </w:tcPr>
          <w:p w:rsidR="00623521" w:rsidRPr="00623521" w:rsidRDefault="00623521" w:rsidP="00A65F0B">
            <w:pPr>
              <w:ind w:left="44"/>
              <w:rPr>
                <w:sz w:val="24"/>
                <w:szCs w:val="24"/>
              </w:rPr>
            </w:pPr>
            <w:proofErr w:type="spellStart"/>
            <w:r w:rsidRPr="00623521">
              <w:rPr>
                <w:sz w:val="24"/>
                <w:szCs w:val="24"/>
              </w:rPr>
              <w:t>Artralgi</w:t>
            </w:r>
            <w:proofErr w:type="spellEnd"/>
          </w:p>
        </w:tc>
      </w:tr>
      <w:tr w:rsidR="00623521" w:rsidRPr="00623521" w:rsidTr="00623521">
        <w:tc>
          <w:tcPr>
            <w:tcW w:w="3175" w:type="dxa"/>
            <w:vMerge w:val="restart"/>
            <w:shd w:val="clear" w:color="auto" w:fill="auto"/>
          </w:tcPr>
          <w:p w:rsidR="00623521" w:rsidRPr="00623521" w:rsidRDefault="00623521" w:rsidP="00A65F0B">
            <w:pPr>
              <w:ind w:left="33"/>
              <w:rPr>
                <w:sz w:val="24"/>
                <w:szCs w:val="24"/>
              </w:rPr>
            </w:pPr>
            <w:r w:rsidRPr="00623521">
              <w:rPr>
                <w:b/>
                <w:sz w:val="24"/>
                <w:szCs w:val="24"/>
              </w:rPr>
              <w:t>Almene symptomer og reaktioner på administrationsstedet</w:t>
            </w:r>
          </w:p>
        </w:tc>
        <w:tc>
          <w:tcPr>
            <w:tcW w:w="1772" w:type="dxa"/>
            <w:shd w:val="clear" w:color="auto" w:fill="auto"/>
          </w:tcPr>
          <w:p w:rsidR="00623521" w:rsidRPr="00623521" w:rsidRDefault="00623521" w:rsidP="00A65F0B">
            <w:pPr>
              <w:rPr>
                <w:i/>
                <w:iCs/>
                <w:sz w:val="24"/>
                <w:szCs w:val="24"/>
              </w:rPr>
            </w:pPr>
            <w:r w:rsidRPr="00623521">
              <w:rPr>
                <w:i/>
                <w:iCs/>
                <w:sz w:val="24"/>
                <w:szCs w:val="24"/>
              </w:rPr>
              <w:t>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Træthed</w:t>
            </w:r>
          </w:p>
        </w:tc>
      </w:tr>
      <w:tr w:rsidR="00623521" w:rsidRPr="00623521" w:rsidTr="00623521">
        <w:tc>
          <w:tcPr>
            <w:tcW w:w="3175" w:type="dxa"/>
            <w:vMerge/>
            <w:shd w:val="clear" w:color="auto" w:fill="auto"/>
          </w:tcPr>
          <w:p w:rsidR="00623521" w:rsidRPr="00623521" w:rsidRDefault="00623521" w:rsidP="00A65F0B">
            <w:pPr>
              <w:ind w:left="33"/>
              <w:rPr>
                <w:sz w:val="24"/>
                <w:szCs w:val="24"/>
              </w:rPr>
            </w:pPr>
          </w:p>
        </w:tc>
        <w:tc>
          <w:tcPr>
            <w:tcW w:w="1772" w:type="dxa"/>
            <w:shd w:val="clear" w:color="auto" w:fill="auto"/>
          </w:tcPr>
          <w:p w:rsidR="00623521" w:rsidRPr="00623521" w:rsidRDefault="00623521" w:rsidP="00A65F0B">
            <w:pPr>
              <w:rPr>
                <w:i/>
                <w:iCs/>
                <w:sz w:val="24"/>
                <w:szCs w:val="24"/>
              </w:rPr>
            </w:pPr>
            <w:r w:rsidRPr="00623521">
              <w:rPr>
                <w:i/>
                <w:iCs/>
                <w:sz w:val="24"/>
                <w:szCs w:val="24"/>
              </w:rPr>
              <w:t>Ikke almindelig</w:t>
            </w:r>
          </w:p>
        </w:tc>
        <w:tc>
          <w:tcPr>
            <w:tcW w:w="4114" w:type="dxa"/>
            <w:shd w:val="clear" w:color="auto" w:fill="auto"/>
          </w:tcPr>
          <w:p w:rsidR="00623521" w:rsidRPr="00623521" w:rsidRDefault="00623521" w:rsidP="00A65F0B">
            <w:pPr>
              <w:ind w:left="44"/>
              <w:rPr>
                <w:sz w:val="24"/>
                <w:szCs w:val="24"/>
              </w:rPr>
            </w:pPr>
            <w:r w:rsidRPr="00623521">
              <w:rPr>
                <w:sz w:val="24"/>
                <w:szCs w:val="24"/>
              </w:rPr>
              <w:t>Asteni, utilpashed</w:t>
            </w:r>
          </w:p>
        </w:tc>
      </w:tr>
    </w:tbl>
    <w:p w:rsidR="00623521" w:rsidRPr="00623521" w:rsidRDefault="00623521" w:rsidP="00BE5253">
      <w:pPr>
        <w:tabs>
          <w:tab w:val="left" w:pos="840"/>
        </w:tabs>
        <w:rPr>
          <w:sz w:val="24"/>
          <w:szCs w:val="24"/>
        </w:rPr>
      </w:pPr>
    </w:p>
    <w:p w:rsidR="00623521" w:rsidRPr="00623521" w:rsidRDefault="00623521" w:rsidP="00623521">
      <w:pPr>
        <w:tabs>
          <w:tab w:val="left" w:pos="851"/>
        </w:tabs>
        <w:ind w:left="851"/>
        <w:rPr>
          <w:sz w:val="24"/>
          <w:szCs w:val="24"/>
          <w:u w:val="single"/>
        </w:rPr>
      </w:pPr>
      <w:r w:rsidRPr="00623521">
        <w:rPr>
          <w:sz w:val="24"/>
          <w:szCs w:val="24"/>
          <w:u w:val="single"/>
        </w:rPr>
        <w:t>Indberetning af formodede bivirkninger</w:t>
      </w:r>
    </w:p>
    <w:p w:rsidR="00623521" w:rsidRPr="00623521" w:rsidRDefault="00623521" w:rsidP="00623521">
      <w:pPr>
        <w:tabs>
          <w:tab w:val="left" w:pos="851"/>
        </w:tabs>
        <w:ind w:left="851"/>
        <w:rPr>
          <w:sz w:val="24"/>
          <w:szCs w:val="24"/>
        </w:rPr>
      </w:pPr>
      <w:r w:rsidRPr="00623521">
        <w:rPr>
          <w:sz w:val="24"/>
          <w:szCs w:val="24"/>
        </w:rPr>
        <w:t>Når lægemidlet er godkendt, er indberetning af formodede bivirkninger vigtig. Det muliggør løbende overvågning af benefit/</w:t>
      </w:r>
      <w:proofErr w:type="spellStart"/>
      <w:r w:rsidRPr="00623521">
        <w:rPr>
          <w:sz w:val="24"/>
          <w:szCs w:val="24"/>
        </w:rPr>
        <w:t>risk</w:t>
      </w:r>
      <w:proofErr w:type="spellEnd"/>
      <w:r w:rsidRPr="00623521">
        <w:rPr>
          <w:sz w:val="24"/>
          <w:szCs w:val="24"/>
        </w:rPr>
        <w:t>-forholdet for lægemidlet. Sundhedspersoner anmodes om at indberette alle formodede bivirkninger via:</w:t>
      </w:r>
    </w:p>
    <w:p w:rsidR="00623521" w:rsidRPr="00623521" w:rsidRDefault="00623521" w:rsidP="00623521">
      <w:pPr>
        <w:tabs>
          <w:tab w:val="left" w:pos="851"/>
        </w:tabs>
        <w:ind w:left="851"/>
        <w:rPr>
          <w:sz w:val="24"/>
          <w:szCs w:val="24"/>
        </w:rPr>
      </w:pPr>
    </w:p>
    <w:p w:rsidR="00623521" w:rsidRPr="00623521" w:rsidRDefault="00623521" w:rsidP="00623521">
      <w:pPr>
        <w:tabs>
          <w:tab w:val="left" w:pos="851"/>
        </w:tabs>
        <w:ind w:left="851"/>
        <w:rPr>
          <w:sz w:val="24"/>
          <w:szCs w:val="24"/>
        </w:rPr>
      </w:pPr>
      <w:r w:rsidRPr="00623521">
        <w:rPr>
          <w:sz w:val="24"/>
          <w:szCs w:val="24"/>
        </w:rPr>
        <w:t>Lægemiddelstyrelsen</w:t>
      </w:r>
    </w:p>
    <w:p w:rsidR="00623521" w:rsidRPr="00623521" w:rsidRDefault="00623521" w:rsidP="00623521">
      <w:pPr>
        <w:tabs>
          <w:tab w:val="left" w:pos="851"/>
        </w:tabs>
        <w:ind w:left="851"/>
        <w:rPr>
          <w:sz w:val="24"/>
          <w:szCs w:val="24"/>
        </w:rPr>
      </w:pPr>
      <w:r w:rsidRPr="00623521">
        <w:rPr>
          <w:sz w:val="24"/>
          <w:szCs w:val="24"/>
        </w:rPr>
        <w:t>Axel Heides Gade 1</w:t>
      </w:r>
    </w:p>
    <w:p w:rsidR="00623521" w:rsidRPr="00623521" w:rsidRDefault="00623521" w:rsidP="00623521">
      <w:pPr>
        <w:tabs>
          <w:tab w:val="left" w:pos="851"/>
        </w:tabs>
        <w:ind w:left="851"/>
        <w:rPr>
          <w:sz w:val="24"/>
          <w:szCs w:val="24"/>
        </w:rPr>
      </w:pPr>
      <w:r w:rsidRPr="00623521">
        <w:rPr>
          <w:sz w:val="24"/>
          <w:szCs w:val="24"/>
        </w:rPr>
        <w:t>DK-2300 København S</w:t>
      </w:r>
    </w:p>
    <w:p w:rsidR="00623521" w:rsidRPr="00623521" w:rsidRDefault="00623521" w:rsidP="00623521">
      <w:pPr>
        <w:tabs>
          <w:tab w:val="left" w:pos="851"/>
        </w:tabs>
        <w:ind w:left="851"/>
        <w:rPr>
          <w:sz w:val="24"/>
          <w:szCs w:val="24"/>
        </w:rPr>
      </w:pPr>
      <w:r w:rsidRPr="00623521">
        <w:rPr>
          <w:sz w:val="24"/>
          <w:szCs w:val="24"/>
        </w:rPr>
        <w:t xml:space="preserve">Websted: </w:t>
      </w:r>
      <w:r w:rsidRPr="005B7AC3">
        <w:rPr>
          <w:sz w:val="24"/>
          <w:szCs w:val="24"/>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D51B2B" w:rsidRPr="00D51B2B" w:rsidRDefault="00D51B2B" w:rsidP="00D51B2B">
      <w:pPr>
        <w:tabs>
          <w:tab w:val="left" w:pos="851"/>
        </w:tabs>
        <w:ind w:left="851"/>
        <w:rPr>
          <w:sz w:val="24"/>
          <w:szCs w:val="24"/>
        </w:rPr>
      </w:pPr>
      <w:r w:rsidRPr="00D51B2B">
        <w:rPr>
          <w:sz w:val="24"/>
          <w:szCs w:val="24"/>
        </w:rPr>
        <w:t xml:space="preserve">De bivirkninger, der er set ved højere dosis end anbefalet, er de samme som dem, der er set ved normal dosis. I tilfælde af overdosering kan aktivt kul, generel symptombehandling og understøttende behandling anvendes efter behov.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D51B2B"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81843" w:rsidRPr="00C675F9" w:rsidRDefault="009260DE" w:rsidP="00981843">
      <w:pPr>
        <w:tabs>
          <w:tab w:val="left" w:pos="851"/>
        </w:tabs>
        <w:ind w:left="851"/>
        <w:rPr>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r w:rsidR="00981843">
        <w:rPr>
          <w:b/>
          <w:sz w:val="24"/>
          <w:szCs w:val="24"/>
        </w:rPr>
        <w:br/>
      </w:r>
      <w:bookmarkStart w:id="3" w:name="_Hlk121753973"/>
      <w:bookmarkStart w:id="4" w:name="_Hlk121742993"/>
      <w:proofErr w:type="spellStart"/>
      <w:r w:rsidR="00981843" w:rsidRPr="00C922B2">
        <w:rPr>
          <w:sz w:val="24"/>
          <w:szCs w:val="24"/>
        </w:rPr>
        <w:t>Farmakoterapeutisk</w:t>
      </w:r>
      <w:proofErr w:type="spellEnd"/>
      <w:r w:rsidR="00981843" w:rsidRPr="00C922B2">
        <w:rPr>
          <w:sz w:val="24"/>
          <w:szCs w:val="24"/>
        </w:rPr>
        <w:t xml:space="preserve"> klassifikation:</w:t>
      </w:r>
      <w:bookmarkEnd w:id="3"/>
      <w:bookmarkEnd w:id="4"/>
      <w:r w:rsidR="00981843">
        <w:rPr>
          <w:sz w:val="24"/>
          <w:szCs w:val="24"/>
        </w:rPr>
        <w:t xml:space="preserve"> Makrolider. </w:t>
      </w:r>
      <w:r w:rsidR="00981843" w:rsidRPr="00C675F9">
        <w:rPr>
          <w:sz w:val="24"/>
          <w:szCs w:val="24"/>
        </w:rPr>
        <w:t>ATC-kode: J 01 FA 10.</w:t>
      </w:r>
      <w:r w:rsidR="00981843">
        <w:rPr>
          <w:sz w:val="24"/>
          <w:szCs w:val="24"/>
        </w:rPr>
        <w:t xml:space="preserve"> </w:t>
      </w:r>
    </w:p>
    <w:p w:rsidR="00981843" w:rsidRPr="00C84483" w:rsidRDefault="00981843" w:rsidP="00981843">
      <w:pPr>
        <w:tabs>
          <w:tab w:val="num" w:pos="851"/>
        </w:tabs>
        <w:ind w:left="851" w:hanging="851"/>
        <w:rPr>
          <w:b/>
          <w:sz w:val="24"/>
          <w:szCs w:val="24"/>
        </w:rPr>
      </w:pPr>
    </w:p>
    <w:p w:rsidR="00DB70D5" w:rsidRPr="00DB70D5" w:rsidRDefault="00DB70D5" w:rsidP="00DB70D5">
      <w:pPr>
        <w:tabs>
          <w:tab w:val="left" w:pos="851"/>
        </w:tabs>
        <w:ind w:left="851"/>
        <w:rPr>
          <w:sz w:val="24"/>
          <w:szCs w:val="24"/>
        </w:rPr>
      </w:pPr>
      <w:proofErr w:type="spellStart"/>
      <w:r w:rsidRPr="00DB70D5">
        <w:rPr>
          <w:sz w:val="24"/>
          <w:szCs w:val="24"/>
        </w:rPr>
        <w:t>Azithromycin</w:t>
      </w:r>
      <w:proofErr w:type="spellEnd"/>
      <w:r w:rsidRPr="00DB70D5">
        <w:rPr>
          <w:sz w:val="24"/>
          <w:szCs w:val="24"/>
        </w:rPr>
        <w:t xml:space="preserve"> tilhører den første underklasse af </w:t>
      </w:r>
      <w:proofErr w:type="spellStart"/>
      <w:r w:rsidRPr="00DB70D5">
        <w:rPr>
          <w:sz w:val="24"/>
          <w:szCs w:val="24"/>
        </w:rPr>
        <w:t>makrolidantibiotika</w:t>
      </w:r>
      <w:proofErr w:type="spellEnd"/>
      <w:r w:rsidRPr="00DB70D5">
        <w:rPr>
          <w:sz w:val="24"/>
          <w:szCs w:val="24"/>
        </w:rPr>
        <w:t xml:space="preserve">, der kaldes </w:t>
      </w:r>
      <w:proofErr w:type="spellStart"/>
      <w:r w:rsidRPr="00DB70D5">
        <w:rPr>
          <w:sz w:val="24"/>
          <w:szCs w:val="24"/>
        </w:rPr>
        <w:t>azalider</w:t>
      </w:r>
      <w:proofErr w:type="spellEnd"/>
      <w:r w:rsidRPr="00DB70D5">
        <w:rPr>
          <w:sz w:val="24"/>
          <w:szCs w:val="24"/>
        </w:rPr>
        <w:t xml:space="preserve">, og som er kemisk forskellig fra </w:t>
      </w:r>
      <w:proofErr w:type="spellStart"/>
      <w:r w:rsidRPr="00DB70D5">
        <w:rPr>
          <w:sz w:val="24"/>
          <w:szCs w:val="24"/>
        </w:rPr>
        <w:t>erythromycin</w:t>
      </w:r>
      <w:proofErr w:type="spellEnd"/>
      <w:r w:rsidRPr="00DB70D5">
        <w:rPr>
          <w:sz w:val="24"/>
          <w:szCs w:val="24"/>
        </w:rPr>
        <w:t xml:space="preserve">. Det er kemisk udviklet ved at indsætte et nitrogenatom i </w:t>
      </w:r>
      <w:proofErr w:type="spellStart"/>
      <w:r w:rsidRPr="00DB70D5">
        <w:rPr>
          <w:sz w:val="24"/>
          <w:szCs w:val="24"/>
        </w:rPr>
        <w:t>erythromycin</w:t>
      </w:r>
      <w:proofErr w:type="spellEnd"/>
      <w:r w:rsidRPr="00DB70D5">
        <w:rPr>
          <w:sz w:val="24"/>
          <w:szCs w:val="24"/>
        </w:rPr>
        <w:t xml:space="preserve"> A's </w:t>
      </w:r>
      <w:proofErr w:type="spellStart"/>
      <w:r w:rsidRPr="00DB70D5">
        <w:rPr>
          <w:sz w:val="24"/>
          <w:szCs w:val="24"/>
        </w:rPr>
        <w:t>lactonring</w:t>
      </w:r>
      <w:proofErr w:type="spellEnd"/>
      <w:r w:rsidRPr="00DB70D5">
        <w:rPr>
          <w:sz w:val="24"/>
          <w:szCs w:val="24"/>
        </w:rPr>
        <w:t xml:space="preserve">. Det kemiske navn for </w:t>
      </w:r>
      <w:proofErr w:type="spellStart"/>
      <w:r w:rsidRPr="00DB70D5">
        <w:rPr>
          <w:sz w:val="24"/>
          <w:szCs w:val="24"/>
        </w:rPr>
        <w:t>azithromycin</w:t>
      </w:r>
      <w:proofErr w:type="spellEnd"/>
      <w:r w:rsidRPr="00DB70D5">
        <w:rPr>
          <w:sz w:val="24"/>
          <w:szCs w:val="24"/>
        </w:rPr>
        <w:t xml:space="preserve"> er 9-deoxy-9a-aza-9a-methyl-9a-homoerythromycin A. Molekylvægten er 749,0 g/mol.</w:t>
      </w:r>
    </w:p>
    <w:p w:rsidR="00DB70D5" w:rsidRPr="00DB70D5" w:rsidRDefault="00DB70D5" w:rsidP="00DB70D5">
      <w:pPr>
        <w:tabs>
          <w:tab w:val="left" w:pos="851"/>
        </w:tabs>
        <w:ind w:left="851"/>
        <w:rPr>
          <w:sz w:val="24"/>
          <w:szCs w:val="24"/>
        </w:rPr>
      </w:pPr>
      <w:r w:rsidRPr="00DB70D5">
        <w:rPr>
          <w:sz w:val="24"/>
          <w:szCs w:val="24"/>
        </w:rPr>
        <w:tab/>
      </w:r>
    </w:p>
    <w:p w:rsidR="00DB70D5" w:rsidRPr="00DB70D5" w:rsidRDefault="00DB70D5" w:rsidP="00DB70D5">
      <w:pPr>
        <w:tabs>
          <w:tab w:val="left" w:pos="851"/>
        </w:tabs>
        <w:ind w:left="851"/>
        <w:rPr>
          <w:sz w:val="24"/>
          <w:szCs w:val="24"/>
          <w:u w:val="single"/>
        </w:rPr>
      </w:pPr>
      <w:r w:rsidRPr="00DB70D5">
        <w:rPr>
          <w:sz w:val="24"/>
          <w:szCs w:val="24"/>
          <w:u w:val="single"/>
        </w:rPr>
        <w:t>Virkningsmekanisme</w:t>
      </w:r>
    </w:p>
    <w:p w:rsidR="00DB70D5" w:rsidRPr="00DB70D5" w:rsidRDefault="00DB70D5" w:rsidP="00DB70D5">
      <w:pPr>
        <w:tabs>
          <w:tab w:val="left" w:pos="851"/>
        </w:tabs>
        <w:ind w:left="851"/>
        <w:rPr>
          <w:sz w:val="24"/>
          <w:szCs w:val="24"/>
        </w:rPr>
      </w:pPr>
      <w:proofErr w:type="spellStart"/>
      <w:r w:rsidRPr="00DB70D5">
        <w:rPr>
          <w:sz w:val="24"/>
          <w:szCs w:val="24"/>
        </w:rPr>
        <w:t>Azithromycin</w:t>
      </w:r>
      <w:proofErr w:type="spellEnd"/>
      <w:r w:rsidRPr="00DB70D5">
        <w:rPr>
          <w:sz w:val="24"/>
          <w:szCs w:val="24"/>
        </w:rPr>
        <w:t xml:space="preserve"> binder til 23S </w:t>
      </w:r>
      <w:proofErr w:type="spellStart"/>
      <w:r w:rsidRPr="00DB70D5">
        <w:rPr>
          <w:sz w:val="24"/>
          <w:szCs w:val="24"/>
        </w:rPr>
        <w:t>rRNA</w:t>
      </w:r>
      <w:proofErr w:type="spellEnd"/>
      <w:r w:rsidRPr="00DB70D5">
        <w:rPr>
          <w:sz w:val="24"/>
          <w:szCs w:val="24"/>
        </w:rPr>
        <w:t xml:space="preserve"> på den ribosomale 50S sub-unit. Dette blokerer proteinsyntesen ved at hæmme </w:t>
      </w:r>
      <w:proofErr w:type="spellStart"/>
      <w:r w:rsidRPr="00DB70D5">
        <w:rPr>
          <w:sz w:val="24"/>
          <w:szCs w:val="24"/>
        </w:rPr>
        <w:t>transpeptidation</w:t>
      </w:r>
      <w:proofErr w:type="spellEnd"/>
      <w:r w:rsidRPr="00DB70D5">
        <w:rPr>
          <w:sz w:val="24"/>
          <w:szCs w:val="24"/>
        </w:rPr>
        <w:t>-/translokationstrinet i proteinsyntesen og ved at hæmme strukturen af 50S underenheden.</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bCs/>
          <w:sz w:val="24"/>
          <w:szCs w:val="24"/>
          <w:u w:val="single"/>
        </w:rPr>
      </w:pPr>
      <w:r w:rsidRPr="00DB70D5">
        <w:rPr>
          <w:bCs/>
          <w:sz w:val="24"/>
          <w:szCs w:val="24"/>
          <w:u w:val="single"/>
        </w:rPr>
        <w:t>Kardial elektrofysiologi</w:t>
      </w:r>
    </w:p>
    <w:p w:rsidR="00DB70D5" w:rsidRPr="00DB70D5" w:rsidRDefault="00DB70D5" w:rsidP="00DB70D5">
      <w:pPr>
        <w:tabs>
          <w:tab w:val="left" w:pos="851"/>
        </w:tabs>
        <w:ind w:left="851"/>
        <w:rPr>
          <w:sz w:val="24"/>
          <w:szCs w:val="24"/>
        </w:rPr>
      </w:pPr>
      <w:r w:rsidRPr="00DB70D5">
        <w:rPr>
          <w:sz w:val="24"/>
          <w:szCs w:val="24"/>
        </w:rPr>
        <w:t xml:space="preserve">Forlængelse af </w:t>
      </w:r>
      <w:proofErr w:type="spellStart"/>
      <w:r w:rsidRPr="00DB70D5">
        <w:rPr>
          <w:sz w:val="24"/>
          <w:szCs w:val="24"/>
        </w:rPr>
        <w:t>QT</w:t>
      </w:r>
      <w:r w:rsidRPr="00DB70D5">
        <w:rPr>
          <w:sz w:val="24"/>
          <w:szCs w:val="24"/>
          <w:vertAlign w:val="subscript"/>
        </w:rPr>
        <w:t>c</w:t>
      </w:r>
      <w:proofErr w:type="spellEnd"/>
      <w:r w:rsidRPr="00DB70D5">
        <w:rPr>
          <w:sz w:val="24"/>
          <w:szCs w:val="24"/>
        </w:rPr>
        <w:t xml:space="preserve">-intervallet blev undersøgt i et randomiseret, placebokontrolleret parallelgruppestudie med 116 raske frivillige forsøgspersoner, der fik enten 1000 mg </w:t>
      </w:r>
      <w:proofErr w:type="spellStart"/>
      <w:proofErr w:type="gramStart"/>
      <w:r w:rsidRPr="00DB70D5">
        <w:rPr>
          <w:sz w:val="24"/>
          <w:szCs w:val="24"/>
        </w:rPr>
        <w:t>chloroquin</w:t>
      </w:r>
      <w:proofErr w:type="spellEnd"/>
      <w:r w:rsidRPr="00DB70D5">
        <w:rPr>
          <w:sz w:val="24"/>
          <w:szCs w:val="24"/>
        </w:rPr>
        <w:t xml:space="preserve">  alene</w:t>
      </w:r>
      <w:proofErr w:type="gramEnd"/>
      <w:r w:rsidRPr="00DB70D5">
        <w:rPr>
          <w:sz w:val="24"/>
          <w:szCs w:val="24"/>
        </w:rPr>
        <w:t xml:space="preserve"> eller kombineret med </w:t>
      </w:r>
      <w:proofErr w:type="spellStart"/>
      <w:r w:rsidRPr="00DB70D5">
        <w:rPr>
          <w:sz w:val="24"/>
          <w:szCs w:val="24"/>
        </w:rPr>
        <w:t>azithromycin</w:t>
      </w:r>
      <w:proofErr w:type="spellEnd"/>
      <w:r w:rsidRPr="00DB70D5">
        <w:rPr>
          <w:sz w:val="24"/>
          <w:szCs w:val="24"/>
        </w:rPr>
        <w:t xml:space="preserve">. Samtidig behandling med </w:t>
      </w:r>
      <w:proofErr w:type="spellStart"/>
      <w:r w:rsidRPr="00DB70D5">
        <w:rPr>
          <w:sz w:val="24"/>
          <w:szCs w:val="24"/>
        </w:rPr>
        <w:t>azithromycin</w:t>
      </w:r>
      <w:proofErr w:type="spellEnd"/>
      <w:r w:rsidRPr="00DB70D5">
        <w:rPr>
          <w:sz w:val="24"/>
          <w:szCs w:val="24"/>
        </w:rPr>
        <w:t xml:space="preserve"> forlængede </w:t>
      </w:r>
      <w:proofErr w:type="spellStart"/>
      <w:r w:rsidRPr="00DB70D5">
        <w:rPr>
          <w:sz w:val="24"/>
          <w:szCs w:val="24"/>
        </w:rPr>
        <w:t>QT</w:t>
      </w:r>
      <w:r w:rsidRPr="00DB70D5">
        <w:rPr>
          <w:sz w:val="24"/>
          <w:szCs w:val="24"/>
          <w:vertAlign w:val="subscript"/>
        </w:rPr>
        <w:t>c</w:t>
      </w:r>
      <w:proofErr w:type="spellEnd"/>
      <w:r w:rsidRPr="00DB70D5">
        <w:rPr>
          <w:sz w:val="24"/>
          <w:szCs w:val="24"/>
        </w:rPr>
        <w:t xml:space="preserve">-intervallet og forlængelsen var dosis- og koncentrations-afhængig. De maksimale gennemsnitlige forlængelser af </w:t>
      </w:r>
      <w:proofErr w:type="spellStart"/>
      <w:r w:rsidRPr="00DB70D5">
        <w:rPr>
          <w:sz w:val="24"/>
          <w:szCs w:val="24"/>
        </w:rPr>
        <w:t>QT</w:t>
      </w:r>
      <w:r w:rsidRPr="00DB70D5">
        <w:rPr>
          <w:sz w:val="24"/>
          <w:szCs w:val="24"/>
          <w:vertAlign w:val="subscript"/>
        </w:rPr>
        <w:t>c</w:t>
      </w:r>
      <w:proofErr w:type="spellEnd"/>
      <w:r w:rsidRPr="00DB70D5">
        <w:rPr>
          <w:sz w:val="24"/>
          <w:szCs w:val="24"/>
        </w:rPr>
        <w:t xml:space="preserve"> (95 % øvre </w:t>
      </w:r>
      <w:proofErr w:type="spellStart"/>
      <w:r w:rsidRPr="00DB70D5">
        <w:rPr>
          <w:sz w:val="24"/>
          <w:szCs w:val="24"/>
        </w:rPr>
        <w:t>konfidensgrænse</w:t>
      </w:r>
      <w:proofErr w:type="spellEnd"/>
      <w:r w:rsidRPr="00DB70D5">
        <w:rPr>
          <w:sz w:val="24"/>
          <w:szCs w:val="24"/>
        </w:rPr>
        <w:t xml:space="preserve">) sammenlignet med </w:t>
      </w:r>
      <w:proofErr w:type="spellStart"/>
      <w:r w:rsidRPr="00DB70D5">
        <w:rPr>
          <w:sz w:val="24"/>
          <w:szCs w:val="24"/>
        </w:rPr>
        <w:t>chloroquin</w:t>
      </w:r>
      <w:proofErr w:type="spellEnd"/>
      <w:r w:rsidRPr="00DB70D5">
        <w:rPr>
          <w:sz w:val="24"/>
          <w:szCs w:val="24"/>
        </w:rPr>
        <w:t xml:space="preserve"> alene var 5 (10) ms, 7 (12) ms og 9 (14) ms, når der samtidig blev givet hhv. 500 mg, 1.000 mg og 1.500 mg </w:t>
      </w:r>
      <w:proofErr w:type="spellStart"/>
      <w:r w:rsidRPr="00DB70D5">
        <w:rPr>
          <w:sz w:val="24"/>
          <w:szCs w:val="24"/>
        </w:rPr>
        <w:t>azithromycin</w:t>
      </w:r>
      <w:proofErr w:type="spellEnd"/>
      <w:r w:rsidRPr="00DB70D5">
        <w:rPr>
          <w:sz w:val="24"/>
          <w:szCs w:val="24"/>
        </w:rPr>
        <w:t xml:space="preserve"> en gang </w:t>
      </w:r>
      <w:r w:rsidR="003B0298">
        <w:rPr>
          <w:sz w:val="24"/>
          <w:szCs w:val="24"/>
        </w:rPr>
        <w:t>daglig</w:t>
      </w:r>
      <w:r w:rsidRPr="00DB70D5">
        <w:rPr>
          <w:sz w:val="24"/>
          <w:szCs w:val="24"/>
        </w:rPr>
        <w:t>.</w:t>
      </w:r>
    </w:p>
    <w:p w:rsidR="00DB70D5" w:rsidRPr="00DB70D5" w:rsidRDefault="00DB70D5" w:rsidP="00DB70D5">
      <w:pPr>
        <w:tabs>
          <w:tab w:val="left" w:pos="851"/>
        </w:tabs>
        <w:ind w:left="851"/>
        <w:rPr>
          <w:sz w:val="24"/>
          <w:szCs w:val="24"/>
        </w:rPr>
      </w:pPr>
    </w:p>
    <w:p w:rsidR="00BE5253" w:rsidRDefault="00BE5253" w:rsidP="00DB70D5">
      <w:pPr>
        <w:tabs>
          <w:tab w:val="left" w:pos="851"/>
        </w:tabs>
        <w:ind w:left="851"/>
        <w:rPr>
          <w:bCs/>
          <w:sz w:val="24"/>
          <w:szCs w:val="24"/>
          <w:u w:val="single"/>
        </w:rPr>
      </w:pPr>
    </w:p>
    <w:p w:rsidR="00BE5253" w:rsidRDefault="00BE5253" w:rsidP="00DB70D5">
      <w:pPr>
        <w:tabs>
          <w:tab w:val="left" w:pos="851"/>
        </w:tabs>
        <w:ind w:left="851"/>
        <w:rPr>
          <w:bCs/>
          <w:sz w:val="24"/>
          <w:szCs w:val="24"/>
          <w:u w:val="single"/>
        </w:rPr>
      </w:pPr>
    </w:p>
    <w:p w:rsidR="00DB70D5" w:rsidRPr="00DB70D5" w:rsidRDefault="00DB70D5" w:rsidP="00DB70D5">
      <w:pPr>
        <w:tabs>
          <w:tab w:val="left" w:pos="851"/>
        </w:tabs>
        <w:ind w:left="851"/>
        <w:rPr>
          <w:bCs/>
          <w:sz w:val="24"/>
          <w:szCs w:val="24"/>
          <w:u w:val="single"/>
        </w:rPr>
      </w:pPr>
      <w:r w:rsidRPr="00DB70D5">
        <w:rPr>
          <w:bCs/>
          <w:sz w:val="24"/>
          <w:szCs w:val="24"/>
          <w:u w:val="single"/>
        </w:rPr>
        <w:lastRenderedPageBreak/>
        <w:t>Resistensmekanisme</w:t>
      </w:r>
    </w:p>
    <w:p w:rsidR="00DB70D5" w:rsidRPr="00DB70D5" w:rsidRDefault="00DB70D5" w:rsidP="00DB70D5">
      <w:pPr>
        <w:tabs>
          <w:tab w:val="left" w:pos="851"/>
        </w:tabs>
        <w:ind w:left="851"/>
        <w:rPr>
          <w:sz w:val="24"/>
          <w:szCs w:val="24"/>
        </w:rPr>
      </w:pPr>
      <w:r w:rsidRPr="00DB70D5">
        <w:rPr>
          <w:sz w:val="24"/>
          <w:szCs w:val="24"/>
        </w:rPr>
        <w:t xml:space="preserve">De to dominerende resistensfaktorer for makrolider, herunder </w:t>
      </w:r>
      <w:proofErr w:type="spellStart"/>
      <w:r w:rsidRPr="00DB70D5">
        <w:rPr>
          <w:sz w:val="24"/>
          <w:szCs w:val="24"/>
        </w:rPr>
        <w:t>azithromycin</w:t>
      </w:r>
      <w:proofErr w:type="spellEnd"/>
      <w:r w:rsidRPr="00DB70D5">
        <w:rPr>
          <w:sz w:val="24"/>
          <w:szCs w:val="24"/>
        </w:rPr>
        <w:t xml:space="preserve">, er modifikation af </w:t>
      </w:r>
      <w:proofErr w:type="spellStart"/>
      <w:r w:rsidRPr="00DB70D5">
        <w:rPr>
          <w:sz w:val="24"/>
          <w:szCs w:val="24"/>
        </w:rPr>
        <w:t>target-strukturene</w:t>
      </w:r>
      <w:proofErr w:type="spellEnd"/>
      <w:r w:rsidRPr="00DB70D5">
        <w:rPr>
          <w:sz w:val="24"/>
          <w:szCs w:val="24"/>
        </w:rPr>
        <w:t xml:space="preserve"> (normalt ved </w:t>
      </w:r>
      <w:proofErr w:type="spellStart"/>
      <w:r w:rsidRPr="00DB70D5">
        <w:rPr>
          <w:sz w:val="24"/>
          <w:szCs w:val="24"/>
        </w:rPr>
        <w:t>metylering</w:t>
      </w:r>
      <w:proofErr w:type="spellEnd"/>
      <w:r w:rsidRPr="00DB70D5">
        <w:rPr>
          <w:sz w:val="24"/>
          <w:szCs w:val="24"/>
        </w:rPr>
        <w:t xml:space="preserve"> af 23S </w:t>
      </w:r>
      <w:proofErr w:type="spellStart"/>
      <w:r w:rsidRPr="00DB70D5">
        <w:rPr>
          <w:sz w:val="24"/>
          <w:szCs w:val="24"/>
        </w:rPr>
        <w:t>rRNA</w:t>
      </w:r>
      <w:proofErr w:type="spellEnd"/>
      <w:r w:rsidRPr="00DB70D5">
        <w:rPr>
          <w:sz w:val="24"/>
          <w:szCs w:val="24"/>
        </w:rPr>
        <w:t xml:space="preserve">) og aktiv </w:t>
      </w:r>
      <w:proofErr w:type="spellStart"/>
      <w:r w:rsidRPr="00DB70D5">
        <w:rPr>
          <w:sz w:val="24"/>
          <w:szCs w:val="24"/>
        </w:rPr>
        <w:t>effluks</w:t>
      </w:r>
      <w:proofErr w:type="spellEnd"/>
      <w:r w:rsidRPr="00DB70D5">
        <w:rPr>
          <w:sz w:val="24"/>
          <w:szCs w:val="24"/>
        </w:rPr>
        <w:t>. Forekomsten af disse resistensmekanismer varierer mellem arter, og resistensforekomst inden for arterne kan afhænge af geografisk lokation.</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sz w:val="24"/>
          <w:szCs w:val="24"/>
        </w:rPr>
      </w:pPr>
      <w:r w:rsidRPr="00DB70D5">
        <w:rPr>
          <w:sz w:val="24"/>
          <w:szCs w:val="24"/>
        </w:rPr>
        <w:t>Den største ribosomale modifikation førende til svagere binding af makrolider er post-</w:t>
      </w:r>
      <w:proofErr w:type="spellStart"/>
      <w:r w:rsidRPr="00DB70D5">
        <w:rPr>
          <w:sz w:val="24"/>
          <w:szCs w:val="24"/>
        </w:rPr>
        <w:t>transkriptional</w:t>
      </w:r>
      <w:proofErr w:type="spellEnd"/>
      <w:r w:rsidRPr="00DB70D5">
        <w:rPr>
          <w:sz w:val="24"/>
          <w:szCs w:val="24"/>
        </w:rPr>
        <w:t xml:space="preserve"> (N</w:t>
      </w:r>
      <w:proofErr w:type="gramStart"/>
      <w:r w:rsidRPr="00DB70D5">
        <w:rPr>
          <w:sz w:val="24"/>
          <w:szCs w:val="24"/>
          <w:vertAlign w:val="subscript"/>
        </w:rPr>
        <w:t>6</w:t>
      </w:r>
      <w:r w:rsidRPr="00DB70D5">
        <w:rPr>
          <w:sz w:val="24"/>
          <w:szCs w:val="24"/>
        </w:rPr>
        <w:t>)-</w:t>
      </w:r>
      <w:proofErr w:type="spellStart"/>
      <w:proofErr w:type="gramEnd"/>
      <w:r w:rsidRPr="00DB70D5">
        <w:rPr>
          <w:sz w:val="24"/>
          <w:szCs w:val="24"/>
        </w:rPr>
        <w:t>dimetylering</w:t>
      </w:r>
      <w:proofErr w:type="spellEnd"/>
      <w:r w:rsidRPr="00DB70D5">
        <w:rPr>
          <w:sz w:val="24"/>
          <w:szCs w:val="24"/>
        </w:rPr>
        <w:t xml:space="preserve"> af adenin i </w:t>
      </w:r>
      <w:proofErr w:type="spellStart"/>
      <w:r w:rsidRPr="00DB70D5">
        <w:rPr>
          <w:sz w:val="24"/>
          <w:szCs w:val="24"/>
        </w:rPr>
        <w:t>nuklotid</w:t>
      </w:r>
      <w:proofErr w:type="spellEnd"/>
      <w:r w:rsidRPr="00DB70D5">
        <w:rPr>
          <w:sz w:val="24"/>
          <w:szCs w:val="24"/>
        </w:rPr>
        <w:t xml:space="preserve"> A2058 (</w:t>
      </w:r>
      <w:r w:rsidRPr="00DB70D5">
        <w:rPr>
          <w:i/>
          <w:iCs/>
          <w:sz w:val="24"/>
          <w:szCs w:val="24"/>
        </w:rPr>
        <w:t xml:space="preserve">Escherichia coli </w:t>
      </w:r>
      <w:r w:rsidRPr="00DB70D5">
        <w:rPr>
          <w:sz w:val="24"/>
          <w:szCs w:val="24"/>
        </w:rPr>
        <w:t xml:space="preserve">nummerering) i 23S </w:t>
      </w:r>
      <w:proofErr w:type="spellStart"/>
      <w:r w:rsidRPr="00DB70D5">
        <w:rPr>
          <w:sz w:val="24"/>
          <w:szCs w:val="24"/>
        </w:rPr>
        <w:t>rRNA</w:t>
      </w:r>
      <w:proofErr w:type="spellEnd"/>
      <w:r w:rsidRPr="00DB70D5">
        <w:rPr>
          <w:sz w:val="24"/>
          <w:szCs w:val="24"/>
        </w:rPr>
        <w:t xml:space="preserve"> metylase som koder for </w:t>
      </w:r>
      <w:r w:rsidRPr="00DB70D5">
        <w:rPr>
          <w:i/>
          <w:iCs/>
          <w:sz w:val="24"/>
          <w:szCs w:val="24"/>
        </w:rPr>
        <w:t>erm</w:t>
      </w:r>
      <w:r w:rsidRPr="00DB70D5">
        <w:rPr>
          <w:sz w:val="24"/>
          <w:szCs w:val="24"/>
        </w:rPr>
        <w:t xml:space="preserve"> genet (</w:t>
      </w:r>
      <w:proofErr w:type="spellStart"/>
      <w:r w:rsidRPr="00DB70D5">
        <w:rPr>
          <w:sz w:val="24"/>
          <w:szCs w:val="24"/>
        </w:rPr>
        <w:t>erytromycin</w:t>
      </w:r>
      <w:proofErr w:type="spellEnd"/>
      <w:r w:rsidRPr="00DB70D5">
        <w:rPr>
          <w:sz w:val="24"/>
          <w:szCs w:val="24"/>
        </w:rPr>
        <w:t>-ribosom-metylase gener). Ribosomale modifikationer bestemmer ofte tilstedeværelsen af krydsresistens (MLS</w:t>
      </w:r>
      <w:r w:rsidRPr="00DB70D5">
        <w:rPr>
          <w:sz w:val="24"/>
          <w:szCs w:val="24"/>
          <w:vertAlign w:val="subscript"/>
        </w:rPr>
        <w:t>B</w:t>
      </w:r>
      <w:r w:rsidRPr="00DB70D5">
        <w:rPr>
          <w:sz w:val="24"/>
          <w:szCs w:val="24"/>
        </w:rPr>
        <w:t xml:space="preserve"> </w:t>
      </w:r>
      <w:proofErr w:type="spellStart"/>
      <w:r w:rsidRPr="00DB70D5">
        <w:rPr>
          <w:sz w:val="24"/>
          <w:szCs w:val="24"/>
        </w:rPr>
        <w:t>phenotype</w:t>
      </w:r>
      <w:proofErr w:type="spellEnd"/>
      <w:r w:rsidRPr="00DB70D5">
        <w:rPr>
          <w:sz w:val="24"/>
          <w:szCs w:val="24"/>
        </w:rPr>
        <w:t xml:space="preserve">) mod andre antibiotikaklasser, hvis ribosombinding overlapper bindingsstedet for makrolider: lincosamider (inklusive </w:t>
      </w:r>
      <w:proofErr w:type="spellStart"/>
      <w:r w:rsidRPr="00DB70D5">
        <w:rPr>
          <w:sz w:val="24"/>
          <w:szCs w:val="24"/>
        </w:rPr>
        <w:t>clindamycin</w:t>
      </w:r>
      <w:proofErr w:type="spellEnd"/>
      <w:r w:rsidRPr="00DB70D5">
        <w:rPr>
          <w:sz w:val="24"/>
          <w:szCs w:val="24"/>
        </w:rPr>
        <w:t>) og B-</w:t>
      </w:r>
      <w:proofErr w:type="spellStart"/>
      <w:r w:rsidRPr="00DB70D5">
        <w:rPr>
          <w:sz w:val="24"/>
          <w:szCs w:val="24"/>
        </w:rPr>
        <w:t>streptograminer</w:t>
      </w:r>
      <w:proofErr w:type="spellEnd"/>
      <w:r w:rsidRPr="00DB70D5">
        <w:rPr>
          <w:sz w:val="24"/>
          <w:szCs w:val="24"/>
        </w:rPr>
        <w:t xml:space="preserve"> (inklusive fx </w:t>
      </w:r>
      <w:proofErr w:type="spellStart"/>
      <w:r w:rsidRPr="00DB70D5">
        <w:rPr>
          <w:sz w:val="24"/>
          <w:szCs w:val="24"/>
        </w:rPr>
        <w:t>quinpristin</w:t>
      </w:r>
      <w:proofErr w:type="spellEnd"/>
      <w:r w:rsidRPr="00DB70D5">
        <w:rPr>
          <w:sz w:val="24"/>
          <w:szCs w:val="24"/>
        </w:rPr>
        <w:t xml:space="preserve">-komponenter af </w:t>
      </w:r>
      <w:proofErr w:type="spellStart"/>
      <w:r w:rsidRPr="00DB70D5">
        <w:rPr>
          <w:sz w:val="24"/>
          <w:szCs w:val="24"/>
        </w:rPr>
        <w:t>quinopristin</w:t>
      </w:r>
      <w:proofErr w:type="spellEnd"/>
      <w:r w:rsidRPr="00DB70D5">
        <w:rPr>
          <w:sz w:val="24"/>
          <w:szCs w:val="24"/>
        </w:rPr>
        <w:t>/</w:t>
      </w:r>
      <w:proofErr w:type="spellStart"/>
      <w:r w:rsidRPr="00DB70D5">
        <w:rPr>
          <w:sz w:val="24"/>
          <w:szCs w:val="24"/>
        </w:rPr>
        <w:t>dalfopristin</w:t>
      </w:r>
      <w:proofErr w:type="spellEnd"/>
      <w:r w:rsidRPr="00DB70D5">
        <w:rPr>
          <w:sz w:val="24"/>
          <w:szCs w:val="24"/>
        </w:rPr>
        <w:t xml:space="preserve">). Der forekommer forskellige </w:t>
      </w:r>
      <w:r w:rsidRPr="00DB70D5">
        <w:rPr>
          <w:i/>
          <w:iCs/>
          <w:sz w:val="24"/>
          <w:szCs w:val="24"/>
        </w:rPr>
        <w:t>erm</w:t>
      </w:r>
      <w:r w:rsidRPr="00DB70D5">
        <w:rPr>
          <w:sz w:val="24"/>
          <w:szCs w:val="24"/>
        </w:rPr>
        <w:t xml:space="preserve"> gener i forskellige </w:t>
      </w:r>
      <w:proofErr w:type="spellStart"/>
      <w:r w:rsidRPr="00DB70D5">
        <w:rPr>
          <w:sz w:val="24"/>
          <w:szCs w:val="24"/>
        </w:rPr>
        <w:t>bakterierarter</w:t>
      </w:r>
      <w:proofErr w:type="spellEnd"/>
      <w:r w:rsidRPr="00DB70D5">
        <w:rPr>
          <w:sz w:val="24"/>
          <w:szCs w:val="24"/>
        </w:rPr>
        <w:t xml:space="preserve">, især ved streptokokker og stafylokokker. Sensitiviteten over for makrolider kan også påvirkes af mindre hyppige mutationer i nukleotiderne A2058 og A2059, og i visse andre positioner i 23S </w:t>
      </w:r>
      <w:proofErr w:type="spellStart"/>
      <w:r w:rsidRPr="00DB70D5">
        <w:rPr>
          <w:sz w:val="24"/>
          <w:szCs w:val="24"/>
        </w:rPr>
        <w:t>rRNA</w:t>
      </w:r>
      <w:proofErr w:type="spellEnd"/>
      <w:r w:rsidRPr="00DB70D5">
        <w:rPr>
          <w:sz w:val="24"/>
          <w:szCs w:val="24"/>
        </w:rPr>
        <w:t xml:space="preserve">, eller i store sub-units i </w:t>
      </w:r>
      <w:proofErr w:type="spellStart"/>
      <w:r w:rsidRPr="00DB70D5">
        <w:rPr>
          <w:sz w:val="24"/>
          <w:szCs w:val="24"/>
        </w:rPr>
        <w:t>ribosomalproteinet</w:t>
      </w:r>
      <w:proofErr w:type="spellEnd"/>
      <w:r w:rsidRPr="00DB70D5">
        <w:rPr>
          <w:sz w:val="24"/>
          <w:szCs w:val="24"/>
        </w:rPr>
        <w:t xml:space="preserve"> L4 og L22.</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sz w:val="24"/>
          <w:szCs w:val="24"/>
        </w:rPr>
      </w:pPr>
      <w:r w:rsidRPr="00DB70D5">
        <w:rPr>
          <w:sz w:val="24"/>
          <w:szCs w:val="24"/>
        </w:rPr>
        <w:t xml:space="preserve">Der er to dominerende resistensfaktorer i </w:t>
      </w:r>
      <w:proofErr w:type="spellStart"/>
      <w:r w:rsidRPr="00DB70D5">
        <w:rPr>
          <w:sz w:val="24"/>
          <w:szCs w:val="24"/>
        </w:rPr>
        <w:t>isolater</w:t>
      </w:r>
      <w:proofErr w:type="spellEnd"/>
      <w:r w:rsidRPr="00DB70D5">
        <w:rPr>
          <w:sz w:val="24"/>
          <w:szCs w:val="24"/>
        </w:rPr>
        <w:t xml:space="preserve"> af </w:t>
      </w:r>
      <w:proofErr w:type="spellStart"/>
      <w:r w:rsidRPr="00DB70D5">
        <w:rPr>
          <w:i/>
          <w:sz w:val="24"/>
          <w:szCs w:val="24"/>
        </w:rPr>
        <w:t>Streptococcus</w:t>
      </w:r>
      <w:proofErr w:type="spellEnd"/>
      <w:r w:rsidRPr="00DB70D5">
        <w:rPr>
          <w:i/>
          <w:sz w:val="24"/>
          <w:szCs w:val="24"/>
        </w:rPr>
        <w:t xml:space="preserve"> </w:t>
      </w:r>
      <w:proofErr w:type="spellStart"/>
      <w:r w:rsidRPr="00DB70D5">
        <w:rPr>
          <w:i/>
          <w:sz w:val="24"/>
          <w:szCs w:val="24"/>
        </w:rPr>
        <w:t>pneumoniae</w:t>
      </w:r>
      <w:proofErr w:type="spellEnd"/>
      <w:r w:rsidRPr="00DB70D5">
        <w:rPr>
          <w:sz w:val="24"/>
          <w:szCs w:val="24"/>
        </w:rPr>
        <w:t xml:space="preserve"> og </w:t>
      </w:r>
      <w:proofErr w:type="spellStart"/>
      <w:r w:rsidRPr="00DB70D5">
        <w:rPr>
          <w:i/>
          <w:sz w:val="24"/>
          <w:szCs w:val="24"/>
        </w:rPr>
        <w:t>Streptococcus</w:t>
      </w:r>
      <w:proofErr w:type="spellEnd"/>
      <w:r w:rsidRPr="00DB70D5">
        <w:rPr>
          <w:i/>
          <w:sz w:val="24"/>
          <w:szCs w:val="24"/>
        </w:rPr>
        <w:t xml:space="preserve"> </w:t>
      </w:r>
      <w:proofErr w:type="spellStart"/>
      <w:r w:rsidRPr="00DB70D5">
        <w:rPr>
          <w:i/>
          <w:sz w:val="24"/>
          <w:szCs w:val="24"/>
        </w:rPr>
        <w:t>pyogenes</w:t>
      </w:r>
      <w:proofErr w:type="spellEnd"/>
      <w:r w:rsidRPr="00DB70D5">
        <w:rPr>
          <w:i/>
          <w:sz w:val="24"/>
          <w:szCs w:val="24"/>
        </w:rPr>
        <w:t xml:space="preserve">: </w:t>
      </w:r>
      <w:proofErr w:type="spellStart"/>
      <w:r w:rsidRPr="00DB70D5">
        <w:rPr>
          <w:i/>
          <w:sz w:val="24"/>
          <w:szCs w:val="24"/>
        </w:rPr>
        <w:t>mef</w:t>
      </w:r>
      <w:proofErr w:type="spellEnd"/>
      <w:r w:rsidRPr="00DB70D5">
        <w:rPr>
          <w:i/>
          <w:sz w:val="24"/>
          <w:szCs w:val="24"/>
        </w:rPr>
        <w:t xml:space="preserve"> </w:t>
      </w:r>
      <w:r w:rsidRPr="00DB70D5">
        <w:rPr>
          <w:iCs/>
          <w:sz w:val="24"/>
          <w:szCs w:val="24"/>
        </w:rPr>
        <w:t>og</w:t>
      </w:r>
      <w:r w:rsidRPr="00DB70D5">
        <w:rPr>
          <w:i/>
          <w:sz w:val="24"/>
          <w:szCs w:val="24"/>
        </w:rPr>
        <w:t xml:space="preserve"> erm</w:t>
      </w:r>
      <w:r w:rsidRPr="00DB70D5">
        <w:rPr>
          <w:sz w:val="24"/>
          <w:szCs w:val="24"/>
        </w:rPr>
        <w:t xml:space="preserve">. </w:t>
      </w:r>
      <w:proofErr w:type="spellStart"/>
      <w:r w:rsidRPr="00DB70D5">
        <w:rPr>
          <w:i/>
          <w:sz w:val="24"/>
          <w:szCs w:val="24"/>
        </w:rPr>
        <w:t>Mef</w:t>
      </w:r>
      <w:proofErr w:type="spellEnd"/>
      <w:r w:rsidRPr="00DB70D5">
        <w:rPr>
          <w:i/>
          <w:sz w:val="24"/>
          <w:szCs w:val="24"/>
        </w:rPr>
        <w:t xml:space="preserve"> genet</w:t>
      </w:r>
      <w:r w:rsidRPr="00DB70D5">
        <w:rPr>
          <w:sz w:val="24"/>
          <w:szCs w:val="24"/>
        </w:rPr>
        <w:t xml:space="preserve"> indkoder en udstrømningspumpe, som kun formidler resistens til 14- og 15-leddet makrolider. </w:t>
      </w:r>
      <w:proofErr w:type="spellStart"/>
      <w:r w:rsidRPr="00DB70D5">
        <w:rPr>
          <w:i/>
          <w:iCs/>
          <w:sz w:val="24"/>
          <w:szCs w:val="24"/>
        </w:rPr>
        <w:t>Mef</w:t>
      </w:r>
      <w:proofErr w:type="spellEnd"/>
      <w:r w:rsidRPr="00DB70D5">
        <w:rPr>
          <w:sz w:val="24"/>
          <w:szCs w:val="24"/>
        </w:rPr>
        <w:t xml:space="preserve"> er også beskrevet i en række af andre arter. </w:t>
      </w:r>
      <w:r w:rsidRPr="00DB70D5">
        <w:rPr>
          <w:i/>
          <w:sz w:val="24"/>
          <w:szCs w:val="24"/>
        </w:rPr>
        <w:t>Erm</w:t>
      </w:r>
      <w:r w:rsidRPr="00DB70D5">
        <w:rPr>
          <w:sz w:val="24"/>
          <w:szCs w:val="24"/>
        </w:rPr>
        <w:t xml:space="preserve"> gener indkoder en 23S-rRNA </w:t>
      </w:r>
      <w:proofErr w:type="spellStart"/>
      <w:r w:rsidRPr="00DB70D5">
        <w:rPr>
          <w:sz w:val="24"/>
          <w:szCs w:val="24"/>
        </w:rPr>
        <w:t>methyltransferase</w:t>
      </w:r>
      <w:proofErr w:type="spellEnd"/>
      <w:r w:rsidRPr="00DB70D5">
        <w:rPr>
          <w:sz w:val="24"/>
          <w:szCs w:val="24"/>
        </w:rPr>
        <w:t xml:space="preserve">, som tilføjer </w:t>
      </w:r>
      <w:proofErr w:type="spellStart"/>
      <w:r w:rsidRPr="00DB70D5">
        <w:rPr>
          <w:sz w:val="24"/>
          <w:szCs w:val="24"/>
        </w:rPr>
        <w:t>methylgrupper</w:t>
      </w:r>
      <w:proofErr w:type="spellEnd"/>
      <w:r w:rsidRPr="00DB70D5">
        <w:rPr>
          <w:sz w:val="24"/>
          <w:szCs w:val="24"/>
        </w:rPr>
        <w:t xml:space="preserve"> til adenin 2058 af 23S </w:t>
      </w:r>
      <w:proofErr w:type="spellStart"/>
      <w:r w:rsidRPr="00DB70D5">
        <w:rPr>
          <w:sz w:val="24"/>
          <w:szCs w:val="24"/>
        </w:rPr>
        <w:t>rRNA</w:t>
      </w:r>
      <w:proofErr w:type="spellEnd"/>
      <w:r w:rsidRPr="00DB70D5">
        <w:rPr>
          <w:sz w:val="24"/>
          <w:szCs w:val="24"/>
        </w:rPr>
        <w:t xml:space="preserve"> (</w:t>
      </w:r>
      <w:r w:rsidRPr="00DB70D5">
        <w:rPr>
          <w:i/>
          <w:sz w:val="24"/>
          <w:szCs w:val="24"/>
        </w:rPr>
        <w:t>E. coli</w:t>
      </w:r>
      <w:r w:rsidRPr="00DB70D5">
        <w:rPr>
          <w:sz w:val="24"/>
          <w:szCs w:val="24"/>
        </w:rPr>
        <w:t xml:space="preserve"> </w:t>
      </w:r>
      <w:proofErr w:type="spellStart"/>
      <w:r w:rsidRPr="00DB70D5">
        <w:rPr>
          <w:sz w:val="24"/>
          <w:szCs w:val="24"/>
        </w:rPr>
        <w:t>rRNA</w:t>
      </w:r>
      <w:proofErr w:type="spellEnd"/>
      <w:r w:rsidRPr="00DB70D5">
        <w:rPr>
          <w:sz w:val="24"/>
          <w:szCs w:val="24"/>
        </w:rPr>
        <w:t xml:space="preserve"> nummereringssystemet). </w:t>
      </w:r>
      <w:r w:rsidRPr="00DB70D5">
        <w:rPr>
          <w:sz w:val="24"/>
          <w:szCs w:val="24"/>
        </w:rPr>
        <w:br/>
      </w:r>
    </w:p>
    <w:p w:rsidR="00DB70D5" w:rsidRPr="00DB70D5" w:rsidRDefault="00DB70D5" w:rsidP="00DB70D5">
      <w:pPr>
        <w:tabs>
          <w:tab w:val="left" w:pos="851"/>
        </w:tabs>
        <w:ind w:left="851"/>
        <w:rPr>
          <w:sz w:val="24"/>
          <w:szCs w:val="24"/>
        </w:rPr>
      </w:pPr>
      <w:proofErr w:type="spellStart"/>
      <w:r w:rsidRPr="00DB70D5">
        <w:rPr>
          <w:sz w:val="24"/>
          <w:szCs w:val="24"/>
        </w:rPr>
        <w:t>Efflukspumper</w:t>
      </w:r>
      <w:proofErr w:type="spellEnd"/>
      <w:r w:rsidRPr="00DB70D5">
        <w:rPr>
          <w:sz w:val="24"/>
          <w:szCs w:val="24"/>
        </w:rPr>
        <w:t xml:space="preserve"> er fundet i et antal af arter, inklusive </w:t>
      </w:r>
      <w:proofErr w:type="spellStart"/>
      <w:r w:rsidRPr="00DB70D5">
        <w:rPr>
          <w:sz w:val="24"/>
          <w:szCs w:val="24"/>
        </w:rPr>
        <w:t>gram-</w:t>
      </w:r>
      <w:proofErr w:type="gramStart"/>
      <w:r w:rsidRPr="00DB70D5">
        <w:rPr>
          <w:sz w:val="24"/>
          <w:szCs w:val="24"/>
        </w:rPr>
        <w:t>negativ</w:t>
      </w:r>
      <w:proofErr w:type="spellEnd"/>
      <w:proofErr w:type="gramEnd"/>
      <w:r w:rsidRPr="00DB70D5">
        <w:rPr>
          <w:sz w:val="24"/>
          <w:szCs w:val="24"/>
        </w:rPr>
        <w:t xml:space="preserve"> arter som </w:t>
      </w:r>
      <w:proofErr w:type="spellStart"/>
      <w:r w:rsidRPr="00DB70D5">
        <w:rPr>
          <w:i/>
          <w:iCs/>
          <w:sz w:val="24"/>
          <w:szCs w:val="24"/>
        </w:rPr>
        <w:t>Heamophilus</w:t>
      </w:r>
      <w:proofErr w:type="spellEnd"/>
      <w:r w:rsidRPr="00DB70D5">
        <w:rPr>
          <w:i/>
          <w:iCs/>
          <w:sz w:val="24"/>
          <w:szCs w:val="24"/>
        </w:rPr>
        <w:t xml:space="preserve"> </w:t>
      </w:r>
      <w:proofErr w:type="spellStart"/>
      <w:r w:rsidRPr="00DB70D5">
        <w:rPr>
          <w:i/>
          <w:iCs/>
          <w:sz w:val="24"/>
          <w:szCs w:val="24"/>
        </w:rPr>
        <w:t>influenzae</w:t>
      </w:r>
      <w:proofErr w:type="spellEnd"/>
      <w:r w:rsidRPr="00DB70D5">
        <w:rPr>
          <w:sz w:val="24"/>
          <w:szCs w:val="24"/>
        </w:rPr>
        <w:t xml:space="preserve"> (hvor de kan forårsage høje MIC-værdier) og i stafylokokker. I streptokokker og </w:t>
      </w:r>
      <w:proofErr w:type="spellStart"/>
      <w:r w:rsidRPr="00DB70D5">
        <w:rPr>
          <w:sz w:val="24"/>
          <w:szCs w:val="24"/>
        </w:rPr>
        <w:t>enterokokker</w:t>
      </w:r>
      <w:proofErr w:type="spellEnd"/>
      <w:r w:rsidRPr="00DB70D5">
        <w:rPr>
          <w:sz w:val="24"/>
          <w:szCs w:val="24"/>
        </w:rPr>
        <w:t xml:space="preserve"> kodes en </w:t>
      </w:r>
      <w:proofErr w:type="spellStart"/>
      <w:r w:rsidRPr="00DB70D5">
        <w:rPr>
          <w:sz w:val="24"/>
          <w:szCs w:val="24"/>
        </w:rPr>
        <w:t>efflukspumpe</w:t>
      </w:r>
      <w:proofErr w:type="spellEnd"/>
      <w:r w:rsidRPr="00DB70D5">
        <w:rPr>
          <w:sz w:val="24"/>
          <w:szCs w:val="24"/>
        </w:rPr>
        <w:t xml:space="preserve">, som koder 14- og 15-leddet makrolider (som inkluderer henholdsvis </w:t>
      </w:r>
      <w:proofErr w:type="spellStart"/>
      <w:r w:rsidRPr="00DB70D5">
        <w:rPr>
          <w:sz w:val="24"/>
          <w:szCs w:val="24"/>
        </w:rPr>
        <w:t>erythromycin</w:t>
      </w:r>
      <w:proofErr w:type="spellEnd"/>
      <w:r w:rsidRPr="00DB70D5">
        <w:rPr>
          <w:sz w:val="24"/>
          <w:szCs w:val="24"/>
        </w:rPr>
        <w:t xml:space="preserve"> og </w:t>
      </w:r>
      <w:proofErr w:type="spellStart"/>
      <w:r w:rsidRPr="00DB70D5">
        <w:rPr>
          <w:sz w:val="24"/>
          <w:szCs w:val="24"/>
        </w:rPr>
        <w:t>azithromycin</w:t>
      </w:r>
      <w:proofErr w:type="spellEnd"/>
      <w:r w:rsidRPr="00DB70D5">
        <w:rPr>
          <w:sz w:val="24"/>
          <w:szCs w:val="24"/>
        </w:rPr>
        <w:t xml:space="preserve">) af </w:t>
      </w:r>
      <w:proofErr w:type="spellStart"/>
      <w:r w:rsidRPr="00DB70D5">
        <w:rPr>
          <w:i/>
          <w:iCs/>
          <w:sz w:val="24"/>
          <w:szCs w:val="24"/>
        </w:rPr>
        <w:t>mef</w:t>
      </w:r>
      <w:proofErr w:type="spellEnd"/>
      <w:r w:rsidRPr="00DB70D5">
        <w:rPr>
          <w:sz w:val="24"/>
          <w:szCs w:val="24"/>
        </w:rPr>
        <w:t>(A) gener.</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sz w:val="24"/>
          <w:szCs w:val="24"/>
          <w:u w:val="single"/>
        </w:rPr>
      </w:pPr>
      <w:r w:rsidRPr="00DB70D5">
        <w:rPr>
          <w:sz w:val="24"/>
          <w:szCs w:val="24"/>
          <w:u w:val="single"/>
        </w:rPr>
        <w:t xml:space="preserve">Metode til bestemmelse af bakteriel følsomhed overfor </w:t>
      </w:r>
      <w:proofErr w:type="spellStart"/>
      <w:r w:rsidRPr="00DB70D5">
        <w:rPr>
          <w:sz w:val="24"/>
          <w:szCs w:val="24"/>
          <w:u w:val="single"/>
        </w:rPr>
        <w:t>azithromycin</w:t>
      </w:r>
      <w:proofErr w:type="spellEnd"/>
      <w:r w:rsidRPr="00DB70D5">
        <w:rPr>
          <w:sz w:val="24"/>
          <w:szCs w:val="24"/>
          <w:u w:val="single"/>
        </w:rPr>
        <w:t xml:space="preserve"> </w:t>
      </w:r>
      <w:r w:rsidRPr="00DB70D5">
        <w:rPr>
          <w:i/>
          <w:iCs/>
          <w:sz w:val="24"/>
          <w:szCs w:val="24"/>
          <w:u w:val="single"/>
        </w:rPr>
        <w:t xml:space="preserve">in </w:t>
      </w:r>
      <w:proofErr w:type="spellStart"/>
      <w:r w:rsidRPr="00DB70D5">
        <w:rPr>
          <w:i/>
          <w:iCs/>
          <w:sz w:val="24"/>
          <w:szCs w:val="24"/>
          <w:u w:val="single"/>
        </w:rPr>
        <w:t>vitro</w:t>
      </w:r>
      <w:proofErr w:type="spellEnd"/>
    </w:p>
    <w:p w:rsidR="00DB70D5" w:rsidRPr="00DB70D5" w:rsidRDefault="00DB70D5" w:rsidP="00DB70D5">
      <w:pPr>
        <w:tabs>
          <w:tab w:val="left" w:pos="851"/>
        </w:tabs>
        <w:ind w:left="851"/>
        <w:rPr>
          <w:sz w:val="24"/>
          <w:szCs w:val="24"/>
        </w:rPr>
      </w:pPr>
      <w:r w:rsidRPr="00DB70D5">
        <w:rPr>
          <w:sz w:val="24"/>
          <w:szCs w:val="24"/>
        </w:rPr>
        <w:t xml:space="preserve">Sensitivitetstest skal foretages ved brug af standard laboratoriemetoder, såsom dem, der er beskrevet i CLSI, </w:t>
      </w:r>
      <w:proofErr w:type="spellStart"/>
      <w:r w:rsidRPr="00DB70D5">
        <w:rPr>
          <w:i/>
          <w:iCs/>
          <w:sz w:val="24"/>
          <w:szCs w:val="24"/>
        </w:rPr>
        <w:t>Clinical</w:t>
      </w:r>
      <w:proofErr w:type="spellEnd"/>
      <w:r w:rsidRPr="00DB70D5">
        <w:rPr>
          <w:i/>
          <w:iCs/>
          <w:sz w:val="24"/>
          <w:szCs w:val="24"/>
        </w:rPr>
        <w:t xml:space="preserve"> and Laboratory Standards Institute</w:t>
      </w:r>
      <w:r w:rsidRPr="00DB70D5">
        <w:rPr>
          <w:sz w:val="24"/>
          <w:szCs w:val="24"/>
        </w:rPr>
        <w:t xml:space="preserve">. Disse inkluderer </w:t>
      </w:r>
      <w:proofErr w:type="spellStart"/>
      <w:r w:rsidRPr="00DB70D5">
        <w:rPr>
          <w:sz w:val="24"/>
          <w:szCs w:val="24"/>
        </w:rPr>
        <w:t>fortyndelsesmetoder</w:t>
      </w:r>
      <w:proofErr w:type="spellEnd"/>
      <w:r w:rsidRPr="00DB70D5">
        <w:rPr>
          <w:sz w:val="24"/>
          <w:szCs w:val="24"/>
        </w:rPr>
        <w:t xml:space="preserve"> (MIC-bestemmelse) og disk-diffusionsmetode. Både CLSI og EUCAST (European </w:t>
      </w:r>
      <w:proofErr w:type="spellStart"/>
      <w:r w:rsidRPr="00DB70D5">
        <w:rPr>
          <w:sz w:val="24"/>
          <w:szCs w:val="24"/>
        </w:rPr>
        <w:t>Committee</w:t>
      </w:r>
      <w:proofErr w:type="spellEnd"/>
      <w:r w:rsidRPr="00DB70D5">
        <w:rPr>
          <w:sz w:val="24"/>
          <w:szCs w:val="24"/>
        </w:rPr>
        <w:t xml:space="preserve"> on </w:t>
      </w:r>
      <w:proofErr w:type="spellStart"/>
      <w:r w:rsidRPr="00DB70D5">
        <w:rPr>
          <w:sz w:val="24"/>
          <w:szCs w:val="24"/>
        </w:rPr>
        <w:t>Antimicrobial</w:t>
      </w:r>
      <w:proofErr w:type="spellEnd"/>
      <w:r w:rsidRPr="00DB70D5">
        <w:rPr>
          <w:sz w:val="24"/>
          <w:szCs w:val="24"/>
        </w:rPr>
        <w:t xml:space="preserve"> </w:t>
      </w:r>
      <w:proofErr w:type="spellStart"/>
      <w:r w:rsidRPr="00DB70D5">
        <w:rPr>
          <w:sz w:val="24"/>
          <w:szCs w:val="24"/>
        </w:rPr>
        <w:t>Susceptibility</w:t>
      </w:r>
      <w:proofErr w:type="spellEnd"/>
      <w:r w:rsidRPr="00DB70D5">
        <w:rPr>
          <w:sz w:val="24"/>
          <w:szCs w:val="24"/>
        </w:rPr>
        <w:t xml:space="preserve"> </w:t>
      </w:r>
      <w:proofErr w:type="spellStart"/>
      <w:r w:rsidRPr="00DB70D5">
        <w:rPr>
          <w:sz w:val="24"/>
          <w:szCs w:val="24"/>
        </w:rPr>
        <w:t>Testing</w:t>
      </w:r>
      <w:proofErr w:type="spellEnd"/>
      <w:r w:rsidRPr="00DB70D5">
        <w:rPr>
          <w:sz w:val="24"/>
          <w:szCs w:val="24"/>
        </w:rPr>
        <w:t xml:space="preserve">) angiver evalueringskriterier for disse metoder. </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sz w:val="24"/>
          <w:szCs w:val="24"/>
        </w:rPr>
      </w:pPr>
      <w:r w:rsidRPr="00DB70D5">
        <w:rPr>
          <w:sz w:val="24"/>
          <w:szCs w:val="24"/>
        </w:rPr>
        <w:t xml:space="preserve">Baseret på et antal studier anbefales det at </w:t>
      </w:r>
      <w:proofErr w:type="spellStart"/>
      <w:r w:rsidRPr="00DB70D5">
        <w:rPr>
          <w:sz w:val="24"/>
          <w:szCs w:val="24"/>
        </w:rPr>
        <w:t>azithromycin</w:t>
      </w:r>
      <w:proofErr w:type="spellEnd"/>
      <w:r w:rsidRPr="00DB70D5">
        <w:rPr>
          <w:sz w:val="24"/>
          <w:szCs w:val="24"/>
        </w:rPr>
        <w:t xml:space="preserve">-aktiviteten testes </w:t>
      </w:r>
      <w:r w:rsidRPr="00DB70D5">
        <w:rPr>
          <w:i/>
          <w:iCs/>
          <w:sz w:val="24"/>
          <w:szCs w:val="24"/>
        </w:rPr>
        <w:t xml:space="preserve">in </w:t>
      </w:r>
      <w:proofErr w:type="spellStart"/>
      <w:r w:rsidRPr="00DB70D5">
        <w:rPr>
          <w:i/>
          <w:iCs/>
          <w:sz w:val="24"/>
          <w:szCs w:val="24"/>
        </w:rPr>
        <w:t>vitro</w:t>
      </w:r>
      <w:proofErr w:type="spellEnd"/>
      <w:r w:rsidRPr="00DB70D5">
        <w:rPr>
          <w:sz w:val="24"/>
          <w:szCs w:val="24"/>
        </w:rPr>
        <w:t xml:space="preserve"> ved rumtemperatur for at sikre fysiologisk pH i vækstkultur-mediet. Øget carbondioxid tryk, som ofte anvendes for streptokokker og anaerobe bakterier, og til tider også til andre arter, fører til et fald i pH i vækstkultur-mediet. Dette har en større negativ effekt på styrken for </w:t>
      </w:r>
      <w:proofErr w:type="spellStart"/>
      <w:r w:rsidRPr="00DB70D5">
        <w:rPr>
          <w:sz w:val="24"/>
          <w:szCs w:val="24"/>
        </w:rPr>
        <w:t>azithromycin</w:t>
      </w:r>
      <w:proofErr w:type="spellEnd"/>
      <w:r w:rsidRPr="00DB70D5">
        <w:rPr>
          <w:sz w:val="24"/>
          <w:szCs w:val="24"/>
        </w:rPr>
        <w:t xml:space="preserve"> end på andre makrolider.</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sz w:val="24"/>
          <w:szCs w:val="24"/>
        </w:rPr>
      </w:pPr>
      <w:r w:rsidRPr="00DB70D5">
        <w:rPr>
          <w:sz w:val="24"/>
          <w:szCs w:val="24"/>
        </w:rPr>
        <w:t xml:space="preserve">EUCAST har identificeret </w:t>
      </w:r>
      <w:proofErr w:type="spellStart"/>
      <w:r w:rsidRPr="00DB70D5">
        <w:rPr>
          <w:sz w:val="24"/>
          <w:szCs w:val="24"/>
        </w:rPr>
        <w:t>breakpoints</w:t>
      </w:r>
      <w:proofErr w:type="spellEnd"/>
      <w:r w:rsidRPr="00DB70D5">
        <w:rPr>
          <w:sz w:val="24"/>
          <w:szCs w:val="24"/>
        </w:rPr>
        <w:t xml:space="preserve"> for </w:t>
      </w:r>
      <w:proofErr w:type="spellStart"/>
      <w:r w:rsidRPr="00DB70D5">
        <w:rPr>
          <w:sz w:val="24"/>
          <w:szCs w:val="24"/>
        </w:rPr>
        <w:t>azithromycin</w:t>
      </w:r>
      <w:proofErr w:type="spellEnd"/>
      <w:r w:rsidRPr="00DB70D5">
        <w:rPr>
          <w:sz w:val="24"/>
          <w:szCs w:val="24"/>
        </w:rPr>
        <w:t>-sensitivitet baseret på MIC-bestemmelser. Sensitivitetskriterier i henhold til EUCAST er opstillet i nedenstående tabel.</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i/>
          <w:iCs/>
          <w:sz w:val="24"/>
          <w:szCs w:val="24"/>
        </w:rPr>
      </w:pPr>
      <w:r w:rsidRPr="00DB70D5">
        <w:rPr>
          <w:i/>
          <w:iCs/>
          <w:sz w:val="24"/>
          <w:szCs w:val="24"/>
        </w:rPr>
        <w:t xml:space="preserve">MIC </w:t>
      </w:r>
      <w:proofErr w:type="spellStart"/>
      <w:r w:rsidRPr="00DB70D5">
        <w:rPr>
          <w:i/>
          <w:iCs/>
          <w:sz w:val="24"/>
          <w:szCs w:val="24"/>
        </w:rPr>
        <w:t>breakpoints</w:t>
      </w:r>
      <w:proofErr w:type="spellEnd"/>
      <w:r w:rsidRPr="00DB70D5">
        <w:rPr>
          <w:i/>
          <w:iCs/>
          <w:sz w:val="24"/>
          <w:szCs w:val="24"/>
        </w:rPr>
        <w:t xml:space="preserve"> i henhold til EUCAST MIC (11.4.2022) – minimum hæmmende koncentration af </w:t>
      </w:r>
      <w:proofErr w:type="spellStart"/>
      <w:r w:rsidRPr="00DB70D5">
        <w:rPr>
          <w:i/>
          <w:iCs/>
          <w:sz w:val="24"/>
          <w:szCs w:val="24"/>
        </w:rPr>
        <w:t>azithromycin</w:t>
      </w:r>
      <w:proofErr w:type="spellEnd"/>
      <w:r w:rsidRPr="00DB70D5">
        <w:rPr>
          <w:i/>
          <w:iCs/>
          <w:sz w:val="24"/>
          <w:szCs w:val="24"/>
        </w:rPr>
        <w:t xml:space="preserve"> (MIC)</w:t>
      </w:r>
    </w:p>
    <w:p w:rsidR="00DB70D5" w:rsidRPr="00DB70D5" w:rsidRDefault="00DB70D5" w:rsidP="00DB70D5">
      <w:pPr>
        <w:tabs>
          <w:tab w:val="left" w:pos="851"/>
        </w:tabs>
        <w:ind w:left="851"/>
        <w:rPr>
          <w:i/>
          <w:iCs/>
          <w:sz w:val="24"/>
          <w:szCs w:val="24"/>
        </w:rPr>
      </w:pPr>
    </w:p>
    <w:tbl>
      <w:tblPr>
        <w:tblStyle w:val="Tabel-Gitter"/>
        <w:tblW w:w="9072" w:type="dxa"/>
        <w:tblInd w:w="704" w:type="dxa"/>
        <w:tblLook w:val="04A0" w:firstRow="1" w:lastRow="0" w:firstColumn="1" w:lastColumn="0" w:noHBand="0" w:noVBand="1"/>
      </w:tblPr>
      <w:tblGrid>
        <w:gridCol w:w="2977"/>
        <w:gridCol w:w="2359"/>
        <w:gridCol w:w="3736"/>
      </w:tblGrid>
      <w:tr w:rsidR="00DB70D5" w:rsidRPr="00DB70D5" w:rsidTr="00E460D2">
        <w:tc>
          <w:tcPr>
            <w:tcW w:w="2977" w:type="dxa"/>
          </w:tcPr>
          <w:p w:rsidR="00DB70D5" w:rsidRPr="00DB70D5" w:rsidRDefault="00DB70D5" w:rsidP="00DB70D5">
            <w:pPr>
              <w:ind w:left="31"/>
              <w:rPr>
                <w:b/>
                <w:bCs/>
                <w:sz w:val="24"/>
                <w:szCs w:val="24"/>
              </w:rPr>
            </w:pPr>
            <w:proofErr w:type="spellStart"/>
            <w:r w:rsidRPr="00DB70D5">
              <w:rPr>
                <w:b/>
                <w:bCs/>
                <w:sz w:val="24"/>
                <w:szCs w:val="24"/>
              </w:rPr>
              <w:t>Patogen</w:t>
            </w:r>
            <w:r w:rsidR="00386152">
              <w:rPr>
                <w:b/>
                <w:bCs/>
                <w:sz w:val="24"/>
                <w:szCs w:val="24"/>
              </w:rPr>
              <w:t>er</w:t>
            </w:r>
            <w:proofErr w:type="spellEnd"/>
          </w:p>
        </w:tc>
        <w:tc>
          <w:tcPr>
            <w:tcW w:w="2359" w:type="dxa"/>
          </w:tcPr>
          <w:p w:rsidR="00DB70D5" w:rsidRPr="00DB70D5" w:rsidRDefault="00386152" w:rsidP="00DB70D5">
            <w:pPr>
              <w:ind w:left="38"/>
              <w:rPr>
                <w:b/>
                <w:bCs/>
                <w:sz w:val="24"/>
                <w:szCs w:val="24"/>
              </w:rPr>
            </w:pPr>
            <w:proofErr w:type="spellStart"/>
            <w:r>
              <w:rPr>
                <w:b/>
                <w:bCs/>
                <w:sz w:val="24"/>
                <w:szCs w:val="24"/>
              </w:rPr>
              <w:t>Følsom</w:t>
            </w:r>
            <w:proofErr w:type="spellEnd"/>
          </w:p>
        </w:tc>
        <w:tc>
          <w:tcPr>
            <w:tcW w:w="3736" w:type="dxa"/>
          </w:tcPr>
          <w:p w:rsidR="00DB70D5" w:rsidRPr="00DB70D5" w:rsidRDefault="00DB70D5" w:rsidP="00DB70D5">
            <w:pPr>
              <w:ind w:left="87"/>
              <w:rPr>
                <w:b/>
                <w:bCs/>
                <w:sz w:val="24"/>
                <w:szCs w:val="24"/>
              </w:rPr>
            </w:pPr>
            <w:proofErr w:type="spellStart"/>
            <w:r w:rsidRPr="00DB70D5">
              <w:rPr>
                <w:b/>
                <w:bCs/>
                <w:sz w:val="24"/>
                <w:szCs w:val="24"/>
              </w:rPr>
              <w:t>Resist</w:t>
            </w:r>
            <w:r w:rsidR="00386152">
              <w:rPr>
                <w:b/>
                <w:bCs/>
                <w:sz w:val="24"/>
                <w:szCs w:val="24"/>
              </w:rPr>
              <w:t>ent</w:t>
            </w:r>
            <w:proofErr w:type="spellEnd"/>
          </w:p>
        </w:tc>
      </w:tr>
      <w:tr w:rsidR="00DB70D5" w:rsidRPr="00DB70D5" w:rsidTr="00E460D2">
        <w:tc>
          <w:tcPr>
            <w:tcW w:w="2977" w:type="dxa"/>
          </w:tcPr>
          <w:p w:rsidR="00DB70D5" w:rsidRPr="00DB70D5" w:rsidRDefault="00DB70D5" w:rsidP="00DB70D5">
            <w:pPr>
              <w:ind w:left="31"/>
              <w:rPr>
                <w:i/>
                <w:sz w:val="24"/>
                <w:szCs w:val="24"/>
              </w:rPr>
            </w:pPr>
            <w:r w:rsidRPr="00DB70D5">
              <w:rPr>
                <w:i/>
                <w:iCs/>
                <w:sz w:val="24"/>
                <w:szCs w:val="24"/>
              </w:rPr>
              <w:t>Campylobacter coli</w:t>
            </w:r>
          </w:p>
        </w:tc>
        <w:tc>
          <w:tcPr>
            <w:tcW w:w="2359" w:type="dxa"/>
          </w:tcPr>
          <w:p w:rsidR="00DB70D5" w:rsidRPr="00DB70D5" w:rsidRDefault="00DB70D5" w:rsidP="00DB70D5">
            <w:pPr>
              <w:ind w:left="38"/>
              <w:rPr>
                <w:sz w:val="24"/>
                <w:szCs w:val="24"/>
              </w:rPr>
            </w:pPr>
            <w:r w:rsidRPr="00DB70D5">
              <w:rPr>
                <w:sz w:val="24"/>
                <w:szCs w:val="24"/>
              </w:rPr>
              <w:t>≤ 0,125 mg/l</w:t>
            </w:r>
          </w:p>
        </w:tc>
        <w:tc>
          <w:tcPr>
            <w:tcW w:w="3736" w:type="dxa"/>
          </w:tcPr>
          <w:p w:rsidR="00DB70D5" w:rsidRPr="00DB70D5" w:rsidRDefault="00DB70D5" w:rsidP="00DB70D5">
            <w:pPr>
              <w:ind w:left="87"/>
              <w:rPr>
                <w:sz w:val="24"/>
                <w:szCs w:val="24"/>
              </w:rPr>
            </w:pPr>
            <w:r w:rsidRPr="00DB70D5">
              <w:rPr>
                <w:sz w:val="24"/>
                <w:szCs w:val="24"/>
              </w:rPr>
              <w:t>&gt; 0,5 mg/l</w:t>
            </w:r>
          </w:p>
        </w:tc>
      </w:tr>
      <w:tr w:rsidR="00DB70D5" w:rsidRPr="00DB70D5" w:rsidTr="00E460D2">
        <w:tc>
          <w:tcPr>
            <w:tcW w:w="2977" w:type="dxa"/>
          </w:tcPr>
          <w:p w:rsidR="00DB70D5" w:rsidRPr="00DB70D5" w:rsidRDefault="00DB70D5" w:rsidP="00DB70D5">
            <w:pPr>
              <w:ind w:left="31"/>
              <w:rPr>
                <w:i/>
                <w:iCs/>
                <w:sz w:val="24"/>
                <w:szCs w:val="24"/>
              </w:rPr>
            </w:pPr>
            <w:r w:rsidRPr="00DB70D5">
              <w:rPr>
                <w:i/>
                <w:iCs/>
                <w:sz w:val="24"/>
                <w:szCs w:val="24"/>
              </w:rPr>
              <w:t xml:space="preserve">Campylobacter </w:t>
            </w:r>
            <w:proofErr w:type="spellStart"/>
            <w:r w:rsidRPr="00DB70D5">
              <w:rPr>
                <w:i/>
                <w:iCs/>
                <w:sz w:val="24"/>
                <w:szCs w:val="24"/>
              </w:rPr>
              <w:t>jejuni</w:t>
            </w:r>
            <w:proofErr w:type="spellEnd"/>
          </w:p>
        </w:tc>
        <w:tc>
          <w:tcPr>
            <w:tcW w:w="2359" w:type="dxa"/>
          </w:tcPr>
          <w:p w:rsidR="00DB70D5" w:rsidRPr="00DB70D5" w:rsidRDefault="00DB70D5" w:rsidP="00DB70D5">
            <w:pPr>
              <w:ind w:left="38"/>
              <w:rPr>
                <w:sz w:val="24"/>
                <w:szCs w:val="24"/>
              </w:rPr>
            </w:pPr>
            <w:r w:rsidRPr="00DB70D5">
              <w:rPr>
                <w:sz w:val="24"/>
                <w:szCs w:val="24"/>
              </w:rPr>
              <w:t>≤ 0,125 mg/l</w:t>
            </w:r>
          </w:p>
        </w:tc>
        <w:tc>
          <w:tcPr>
            <w:tcW w:w="3736" w:type="dxa"/>
          </w:tcPr>
          <w:p w:rsidR="00DB70D5" w:rsidRPr="00DB70D5" w:rsidRDefault="00DB70D5" w:rsidP="00DB70D5">
            <w:pPr>
              <w:ind w:left="87"/>
              <w:rPr>
                <w:sz w:val="24"/>
                <w:szCs w:val="24"/>
              </w:rPr>
            </w:pPr>
            <w:r w:rsidRPr="00DB70D5">
              <w:rPr>
                <w:sz w:val="24"/>
                <w:szCs w:val="24"/>
              </w:rPr>
              <w:t>&gt; 0,25 mg/l</w:t>
            </w:r>
          </w:p>
        </w:tc>
      </w:tr>
      <w:tr w:rsidR="00DB70D5" w:rsidRPr="00DB70D5" w:rsidTr="00E460D2">
        <w:tc>
          <w:tcPr>
            <w:tcW w:w="2977" w:type="dxa"/>
          </w:tcPr>
          <w:p w:rsidR="00DB70D5" w:rsidRPr="00DB70D5" w:rsidRDefault="00DB70D5" w:rsidP="00DB70D5">
            <w:pPr>
              <w:ind w:left="31"/>
              <w:rPr>
                <w:i/>
                <w:sz w:val="24"/>
                <w:szCs w:val="24"/>
              </w:rPr>
            </w:pPr>
            <w:r w:rsidRPr="00DB70D5">
              <w:rPr>
                <w:i/>
                <w:iCs/>
                <w:sz w:val="24"/>
                <w:szCs w:val="24"/>
              </w:rPr>
              <w:lastRenderedPageBreak/>
              <w:t>Escherichia coli</w:t>
            </w:r>
          </w:p>
        </w:tc>
        <w:tc>
          <w:tcPr>
            <w:tcW w:w="2359" w:type="dxa"/>
          </w:tcPr>
          <w:p w:rsidR="00DB70D5" w:rsidRPr="00DB70D5" w:rsidRDefault="00DB70D5" w:rsidP="00DB70D5">
            <w:pPr>
              <w:ind w:left="38"/>
              <w:rPr>
                <w:sz w:val="24"/>
                <w:szCs w:val="24"/>
              </w:rPr>
            </w:pPr>
            <w:r w:rsidRPr="00DB70D5">
              <w:rPr>
                <w:sz w:val="24"/>
                <w:szCs w:val="24"/>
              </w:rPr>
              <w:t>≤ 4 mg/l</w:t>
            </w:r>
          </w:p>
        </w:tc>
        <w:tc>
          <w:tcPr>
            <w:tcW w:w="3736" w:type="dxa"/>
          </w:tcPr>
          <w:p w:rsidR="00DB70D5" w:rsidRPr="00DB70D5" w:rsidRDefault="00DB70D5" w:rsidP="00DB70D5">
            <w:pPr>
              <w:ind w:left="87"/>
              <w:rPr>
                <w:sz w:val="24"/>
                <w:szCs w:val="24"/>
              </w:rPr>
            </w:pPr>
            <w:r w:rsidRPr="00DB70D5">
              <w:rPr>
                <w:sz w:val="24"/>
                <w:szCs w:val="24"/>
              </w:rPr>
              <w:t>&gt; 16 mg/l</w:t>
            </w:r>
          </w:p>
        </w:tc>
      </w:tr>
      <w:tr w:rsidR="00DB70D5" w:rsidRPr="00DB70D5" w:rsidTr="00E460D2">
        <w:tc>
          <w:tcPr>
            <w:tcW w:w="2977" w:type="dxa"/>
          </w:tcPr>
          <w:p w:rsidR="00DB70D5" w:rsidRPr="00DB70D5" w:rsidRDefault="00DB70D5" w:rsidP="00DB70D5">
            <w:pPr>
              <w:ind w:left="31"/>
              <w:rPr>
                <w:i/>
                <w:iCs/>
                <w:sz w:val="24"/>
                <w:szCs w:val="24"/>
              </w:rPr>
            </w:pPr>
            <w:r w:rsidRPr="00DB70D5">
              <w:rPr>
                <w:i/>
                <w:iCs/>
                <w:sz w:val="24"/>
                <w:szCs w:val="24"/>
              </w:rPr>
              <w:t>Haemophilus influenzae</w:t>
            </w:r>
          </w:p>
        </w:tc>
        <w:tc>
          <w:tcPr>
            <w:tcW w:w="2359" w:type="dxa"/>
          </w:tcPr>
          <w:p w:rsidR="00DB70D5" w:rsidRPr="00DB70D5" w:rsidRDefault="00DB70D5" w:rsidP="00DB70D5">
            <w:pPr>
              <w:ind w:left="38"/>
              <w:rPr>
                <w:sz w:val="24"/>
                <w:szCs w:val="24"/>
              </w:rPr>
            </w:pPr>
            <w:r w:rsidRPr="00DB70D5">
              <w:rPr>
                <w:sz w:val="24"/>
                <w:szCs w:val="24"/>
              </w:rPr>
              <w:t>≤ 1 mg/l</w:t>
            </w:r>
          </w:p>
        </w:tc>
        <w:tc>
          <w:tcPr>
            <w:tcW w:w="3736" w:type="dxa"/>
          </w:tcPr>
          <w:p w:rsidR="00DB70D5" w:rsidRPr="00DB70D5" w:rsidRDefault="00DB70D5" w:rsidP="00DB70D5">
            <w:pPr>
              <w:ind w:left="87"/>
              <w:rPr>
                <w:sz w:val="24"/>
                <w:szCs w:val="24"/>
              </w:rPr>
            </w:pPr>
            <w:r w:rsidRPr="00DB70D5">
              <w:rPr>
                <w:sz w:val="24"/>
                <w:szCs w:val="24"/>
              </w:rPr>
              <w:t>&gt; 8 mg/l</w:t>
            </w:r>
          </w:p>
        </w:tc>
      </w:tr>
      <w:tr w:rsidR="00DB70D5" w:rsidRPr="00DB70D5" w:rsidTr="00E460D2">
        <w:tc>
          <w:tcPr>
            <w:tcW w:w="2977" w:type="dxa"/>
          </w:tcPr>
          <w:p w:rsidR="00DB70D5" w:rsidRPr="00DB70D5" w:rsidRDefault="00DB70D5" w:rsidP="00DB70D5">
            <w:pPr>
              <w:ind w:left="31"/>
              <w:rPr>
                <w:i/>
                <w:iCs/>
                <w:sz w:val="24"/>
                <w:szCs w:val="24"/>
              </w:rPr>
            </w:pPr>
            <w:r w:rsidRPr="00DB70D5">
              <w:rPr>
                <w:i/>
                <w:iCs/>
                <w:sz w:val="24"/>
                <w:szCs w:val="24"/>
              </w:rPr>
              <w:t>Neisseria gonorrhoeae</w:t>
            </w:r>
          </w:p>
        </w:tc>
        <w:tc>
          <w:tcPr>
            <w:tcW w:w="2359" w:type="dxa"/>
          </w:tcPr>
          <w:p w:rsidR="00DB70D5" w:rsidRPr="00DB70D5" w:rsidRDefault="00DB70D5" w:rsidP="00DB70D5">
            <w:pPr>
              <w:ind w:left="38"/>
              <w:rPr>
                <w:sz w:val="24"/>
                <w:szCs w:val="24"/>
              </w:rPr>
            </w:pPr>
            <w:r w:rsidRPr="00DB70D5">
              <w:rPr>
                <w:sz w:val="24"/>
                <w:szCs w:val="24"/>
              </w:rPr>
              <w:t>≤ 0,25 mg/l</w:t>
            </w:r>
          </w:p>
        </w:tc>
        <w:tc>
          <w:tcPr>
            <w:tcW w:w="3736" w:type="dxa"/>
          </w:tcPr>
          <w:p w:rsidR="00DB70D5" w:rsidRPr="00DB70D5" w:rsidRDefault="00DB70D5" w:rsidP="00DB70D5">
            <w:pPr>
              <w:ind w:left="87"/>
              <w:rPr>
                <w:sz w:val="24"/>
                <w:szCs w:val="24"/>
              </w:rPr>
            </w:pPr>
            <w:r w:rsidRPr="00DB70D5">
              <w:rPr>
                <w:sz w:val="24"/>
                <w:szCs w:val="24"/>
              </w:rPr>
              <w:t>&gt; 2 mg/l</w:t>
            </w:r>
          </w:p>
        </w:tc>
      </w:tr>
      <w:tr w:rsidR="00DB70D5" w:rsidRPr="00DB70D5" w:rsidTr="00E460D2">
        <w:tc>
          <w:tcPr>
            <w:tcW w:w="2977" w:type="dxa"/>
          </w:tcPr>
          <w:p w:rsidR="00DB70D5" w:rsidRPr="00DB70D5" w:rsidRDefault="00DB70D5" w:rsidP="00DB70D5">
            <w:pPr>
              <w:ind w:left="31"/>
              <w:rPr>
                <w:i/>
                <w:iCs/>
                <w:sz w:val="24"/>
                <w:szCs w:val="24"/>
              </w:rPr>
            </w:pPr>
            <w:r w:rsidRPr="00DB70D5">
              <w:rPr>
                <w:i/>
                <w:iCs/>
                <w:sz w:val="24"/>
                <w:szCs w:val="24"/>
              </w:rPr>
              <w:t>Salmonella enterica</w:t>
            </w:r>
          </w:p>
        </w:tc>
        <w:tc>
          <w:tcPr>
            <w:tcW w:w="2359" w:type="dxa"/>
          </w:tcPr>
          <w:p w:rsidR="00DB70D5" w:rsidRPr="00DB70D5" w:rsidRDefault="00DB70D5" w:rsidP="00DB70D5">
            <w:pPr>
              <w:ind w:left="38"/>
              <w:rPr>
                <w:sz w:val="24"/>
                <w:szCs w:val="24"/>
              </w:rPr>
            </w:pPr>
            <w:r w:rsidRPr="00DB70D5">
              <w:rPr>
                <w:sz w:val="24"/>
                <w:szCs w:val="24"/>
              </w:rPr>
              <w:t>≤ 4 mg/l</w:t>
            </w:r>
          </w:p>
        </w:tc>
        <w:tc>
          <w:tcPr>
            <w:tcW w:w="3736" w:type="dxa"/>
          </w:tcPr>
          <w:p w:rsidR="00DB70D5" w:rsidRPr="00DB70D5" w:rsidRDefault="00DB70D5" w:rsidP="00DB70D5">
            <w:pPr>
              <w:ind w:left="87"/>
              <w:rPr>
                <w:sz w:val="24"/>
                <w:szCs w:val="24"/>
              </w:rPr>
            </w:pPr>
            <w:r w:rsidRPr="00DB70D5">
              <w:rPr>
                <w:sz w:val="24"/>
                <w:szCs w:val="24"/>
              </w:rPr>
              <w:t xml:space="preserve">&gt; 16 mg/l </w:t>
            </w:r>
          </w:p>
        </w:tc>
      </w:tr>
      <w:tr w:rsidR="00DB70D5" w:rsidRPr="00DB70D5" w:rsidTr="00E460D2">
        <w:tc>
          <w:tcPr>
            <w:tcW w:w="2977" w:type="dxa"/>
          </w:tcPr>
          <w:p w:rsidR="00DB70D5" w:rsidRPr="00DB70D5" w:rsidRDefault="00DB70D5" w:rsidP="00DB70D5">
            <w:pPr>
              <w:ind w:left="31"/>
              <w:rPr>
                <w:i/>
                <w:iCs/>
                <w:sz w:val="24"/>
                <w:szCs w:val="24"/>
              </w:rPr>
            </w:pPr>
            <w:r w:rsidRPr="00DB70D5">
              <w:rPr>
                <w:i/>
                <w:iCs/>
                <w:sz w:val="24"/>
                <w:szCs w:val="24"/>
              </w:rPr>
              <w:t>Salmonella Typhi</w:t>
            </w:r>
          </w:p>
        </w:tc>
        <w:tc>
          <w:tcPr>
            <w:tcW w:w="2359" w:type="dxa"/>
          </w:tcPr>
          <w:p w:rsidR="00DB70D5" w:rsidRPr="00DB70D5" w:rsidRDefault="00DB70D5" w:rsidP="00DB70D5">
            <w:pPr>
              <w:ind w:left="38"/>
              <w:rPr>
                <w:sz w:val="24"/>
                <w:szCs w:val="24"/>
              </w:rPr>
            </w:pPr>
            <w:r w:rsidRPr="00DB70D5">
              <w:rPr>
                <w:sz w:val="24"/>
                <w:szCs w:val="24"/>
              </w:rPr>
              <w:t>≤ 4 mg/l</w:t>
            </w:r>
          </w:p>
        </w:tc>
        <w:tc>
          <w:tcPr>
            <w:tcW w:w="3736" w:type="dxa"/>
          </w:tcPr>
          <w:p w:rsidR="00DB70D5" w:rsidRPr="00DB70D5" w:rsidRDefault="00DB70D5" w:rsidP="00DB70D5">
            <w:pPr>
              <w:ind w:left="87"/>
              <w:rPr>
                <w:sz w:val="24"/>
                <w:szCs w:val="24"/>
              </w:rPr>
            </w:pPr>
            <w:r w:rsidRPr="00DB70D5">
              <w:rPr>
                <w:sz w:val="24"/>
                <w:szCs w:val="24"/>
              </w:rPr>
              <w:t>&gt; 64 mg/l</w:t>
            </w:r>
          </w:p>
        </w:tc>
      </w:tr>
      <w:tr w:rsidR="00DB70D5" w:rsidRPr="00DB70D5" w:rsidTr="00E460D2">
        <w:tc>
          <w:tcPr>
            <w:tcW w:w="2977" w:type="dxa"/>
          </w:tcPr>
          <w:p w:rsidR="00DB70D5" w:rsidRPr="00DB70D5" w:rsidRDefault="00DB70D5" w:rsidP="00DB70D5">
            <w:pPr>
              <w:ind w:left="31"/>
              <w:rPr>
                <w:sz w:val="24"/>
                <w:szCs w:val="24"/>
              </w:rPr>
            </w:pPr>
            <w:r w:rsidRPr="00DB70D5">
              <w:rPr>
                <w:i/>
                <w:iCs/>
                <w:sz w:val="24"/>
                <w:szCs w:val="24"/>
              </w:rPr>
              <w:t>Staphylococcus</w:t>
            </w:r>
            <w:r w:rsidRPr="00DB70D5">
              <w:rPr>
                <w:sz w:val="24"/>
                <w:szCs w:val="24"/>
              </w:rPr>
              <w:t xml:space="preserve"> </w:t>
            </w:r>
            <w:r w:rsidRPr="00DB70D5">
              <w:rPr>
                <w:i/>
                <w:iCs/>
                <w:sz w:val="24"/>
                <w:szCs w:val="24"/>
              </w:rPr>
              <w:t>aureus</w:t>
            </w:r>
          </w:p>
        </w:tc>
        <w:tc>
          <w:tcPr>
            <w:tcW w:w="2359" w:type="dxa"/>
          </w:tcPr>
          <w:p w:rsidR="00DB70D5" w:rsidRPr="00DB70D5" w:rsidRDefault="00DB70D5" w:rsidP="00DB70D5">
            <w:pPr>
              <w:ind w:left="38"/>
              <w:rPr>
                <w:sz w:val="24"/>
                <w:szCs w:val="24"/>
              </w:rPr>
            </w:pPr>
            <w:r w:rsidRPr="00DB70D5">
              <w:rPr>
                <w:sz w:val="24"/>
                <w:szCs w:val="24"/>
              </w:rPr>
              <w:t>≤ 1 mg/l</w:t>
            </w:r>
          </w:p>
        </w:tc>
        <w:tc>
          <w:tcPr>
            <w:tcW w:w="3736" w:type="dxa"/>
          </w:tcPr>
          <w:p w:rsidR="00DB70D5" w:rsidRPr="00DB70D5" w:rsidRDefault="00DB70D5" w:rsidP="00DB70D5">
            <w:pPr>
              <w:ind w:left="87"/>
              <w:rPr>
                <w:sz w:val="24"/>
                <w:szCs w:val="24"/>
              </w:rPr>
            </w:pPr>
            <w:r w:rsidRPr="00DB70D5">
              <w:rPr>
                <w:sz w:val="24"/>
                <w:szCs w:val="24"/>
              </w:rPr>
              <w:t>&gt; 4 mg/l</w:t>
            </w:r>
          </w:p>
        </w:tc>
      </w:tr>
      <w:tr w:rsidR="00DB70D5" w:rsidRPr="00DB70D5" w:rsidTr="00E460D2">
        <w:tc>
          <w:tcPr>
            <w:tcW w:w="2977" w:type="dxa"/>
          </w:tcPr>
          <w:p w:rsidR="00DB70D5" w:rsidRPr="00DB70D5" w:rsidRDefault="00DB70D5" w:rsidP="00DB70D5">
            <w:pPr>
              <w:ind w:left="31"/>
              <w:rPr>
                <w:i/>
                <w:iCs/>
                <w:sz w:val="24"/>
                <w:szCs w:val="24"/>
              </w:rPr>
            </w:pPr>
            <w:r w:rsidRPr="00DB70D5">
              <w:rPr>
                <w:i/>
                <w:iCs/>
                <w:sz w:val="24"/>
                <w:szCs w:val="24"/>
              </w:rPr>
              <w:t>Streptococcus pneumoniae</w:t>
            </w:r>
          </w:p>
        </w:tc>
        <w:tc>
          <w:tcPr>
            <w:tcW w:w="2359" w:type="dxa"/>
          </w:tcPr>
          <w:p w:rsidR="00DB70D5" w:rsidRPr="00DB70D5" w:rsidRDefault="00DB70D5" w:rsidP="00DB70D5">
            <w:pPr>
              <w:ind w:left="38"/>
              <w:rPr>
                <w:sz w:val="24"/>
                <w:szCs w:val="24"/>
              </w:rPr>
            </w:pPr>
            <w:r w:rsidRPr="00DB70D5">
              <w:rPr>
                <w:sz w:val="24"/>
                <w:szCs w:val="24"/>
              </w:rPr>
              <w:t>≤ 0,03 mg/l</w:t>
            </w:r>
          </w:p>
        </w:tc>
        <w:tc>
          <w:tcPr>
            <w:tcW w:w="3736" w:type="dxa"/>
          </w:tcPr>
          <w:p w:rsidR="00DB70D5" w:rsidRPr="00DB70D5" w:rsidRDefault="00DB70D5" w:rsidP="00DB70D5">
            <w:pPr>
              <w:ind w:left="87"/>
              <w:rPr>
                <w:sz w:val="24"/>
                <w:szCs w:val="24"/>
              </w:rPr>
            </w:pPr>
            <w:r w:rsidRPr="00DB70D5">
              <w:rPr>
                <w:sz w:val="24"/>
                <w:szCs w:val="24"/>
              </w:rPr>
              <w:t>&gt; 0,25 mg/l</w:t>
            </w:r>
          </w:p>
        </w:tc>
      </w:tr>
      <w:tr w:rsidR="00DB70D5" w:rsidRPr="00DB70D5" w:rsidTr="00E460D2">
        <w:tc>
          <w:tcPr>
            <w:tcW w:w="2977" w:type="dxa"/>
          </w:tcPr>
          <w:p w:rsidR="00DB70D5" w:rsidRPr="00DB70D5" w:rsidRDefault="00DB70D5" w:rsidP="00DB70D5">
            <w:pPr>
              <w:ind w:left="31"/>
              <w:rPr>
                <w:i/>
                <w:iCs/>
                <w:sz w:val="24"/>
                <w:szCs w:val="24"/>
              </w:rPr>
            </w:pPr>
            <w:r w:rsidRPr="00DB70D5">
              <w:rPr>
                <w:i/>
                <w:iCs/>
                <w:sz w:val="24"/>
                <w:szCs w:val="24"/>
              </w:rPr>
              <w:t>Streptococcus pyogenes</w:t>
            </w:r>
          </w:p>
        </w:tc>
        <w:tc>
          <w:tcPr>
            <w:tcW w:w="2359" w:type="dxa"/>
          </w:tcPr>
          <w:p w:rsidR="00DB70D5" w:rsidRPr="00DB70D5" w:rsidRDefault="00DB70D5" w:rsidP="00DB70D5">
            <w:pPr>
              <w:ind w:left="38"/>
              <w:rPr>
                <w:sz w:val="24"/>
                <w:szCs w:val="24"/>
              </w:rPr>
            </w:pPr>
            <w:r w:rsidRPr="00DB70D5">
              <w:rPr>
                <w:sz w:val="24"/>
                <w:szCs w:val="24"/>
              </w:rPr>
              <w:t>≤ 0,03 mg/l</w:t>
            </w:r>
          </w:p>
        </w:tc>
        <w:tc>
          <w:tcPr>
            <w:tcW w:w="3736" w:type="dxa"/>
          </w:tcPr>
          <w:p w:rsidR="00DB70D5" w:rsidRPr="00DB70D5" w:rsidRDefault="00DB70D5" w:rsidP="00DB70D5">
            <w:pPr>
              <w:ind w:left="87"/>
              <w:rPr>
                <w:sz w:val="24"/>
                <w:szCs w:val="24"/>
              </w:rPr>
            </w:pPr>
            <w:r w:rsidRPr="00DB70D5">
              <w:rPr>
                <w:sz w:val="24"/>
                <w:szCs w:val="24"/>
              </w:rPr>
              <w:t>&gt; 1 mg/l</w:t>
            </w:r>
          </w:p>
        </w:tc>
      </w:tr>
    </w:tbl>
    <w:p w:rsidR="00DB70D5" w:rsidRPr="00DB70D5" w:rsidRDefault="00DB70D5" w:rsidP="00DB70D5">
      <w:pPr>
        <w:tabs>
          <w:tab w:val="left" w:pos="851"/>
        </w:tabs>
        <w:ind w:left="851"/>
        <w:rPr>
          <w:sz w:val="24"/>
          <w:szCs w:val="24"/>
        </w:rPr>
      </w:pPr>
      <w:r w:rsidRPr="00DB70D5">
        <w:rPr>
          <w:sz w:val="24"/>
          <w:szCs w:val="24"/>
        </w:rPr>
        <w:t>Kilde: EUCAST hjemmeside.</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bCs/>
          <w:i/>
          <w:iCs/>
          <w:sz w:val="24"/>
          <w:szCs w:val="24"/>
          <w:u w:val="single"/>
        </w:rPr>
      </w:pPr>
      <w:r w:rsidRPr="00DB70D5">
        <w:rPr>
          <w:bCs/>
          <w:sz w:val="24"/>
          <w:szCs w:val="24"/>
          <w:u w:val="single"/>
        </w:rPr>
        <w:t xml:space="preserve">Følgende bakterier er sensitive overfor </w:t>
      </w:r>
      <w:proofErr w:type="spellStart"/>
      <w:r w:rsidRPr="00DB70D5">
        <w:rPr>
          <w:bCs/>
          <w:sz w:val="24"/>
          <w:szCs w:val="24"/>
          <w:u w:val="single"/>
        </w:rPr>
        <w:t>azithromycin</w:t>
      </w:r>
      <w:proofErr w:type="spellEnd"/>
      <w:r w:rsidRPr="00DB70D5">
        <w:rPr>
          <w:bCs/>
          <w:sz w:val="24"/>
          <w:szCs w:val="24"/>
          <w:u w:val="single"/>
        </w:rPr>
        <w:t xml:space="preserve"> </w:t>
      </w:r>
      <w:r w:rsidRPr="00DB70D5">
        <w:rPr>
          <w:bCs/>
          <w:i/>
          <w:iCs/>
          <w:sz w:val="24"/>
          <w:szCs w:val="24"/>
          <w:u w:val="single"/>
        </w:rPr>
        <w:t xml:space="preserve">in </w:t>
      </w:r>
      <w:proofErr w:type="spellStart"/>
      <w:r w:rsidRPr="00DB70D5">
        <w:rPr>
          <w:bCs/>
          <w:i/>
          <w:iCs/>
          <w:sz w:val="24"/>
          <w:szCs w:val="24"/>
          <w:u w:val="single"/>
        </w:rPr>
        <w:t>vitro</w:t>
      </w:r>
      <w:proofErr w:type="spellEnd"/>
    </w:p>
    <w:p w:rsidR="00DB70D5" w:rsidRPr="00DB70D5" w:rsidRDefault="00DB70D5" w:rsidP="00DB70D5">
      <w:pPr>
        <w:tabs>
          <w:tab w:val="left" w:pos="851"/>
        </w:tabs>
        <w:ind w:left="851"/>
        <w:rPr>
          <w:bCs/>
          <w:sz w:val="24"/>
          <w:szCs w:val="24"/>
        </w:rPr>
      </w:pPr>
      <w:proofErr w:type="spellStart"/>
      <w:r w:rsidRPr="00DB70D5">
        <w:rPr>
          <w:bCs/>
          <w:sz w:val="24"/>
          <w:szCs w:val="24"/>
        </w:rPr>
        <w:t>Gram-positiv</w:t>
      </w:r>
      <w:proofErr w:type="spellEnd"/>
      <w:r w:rsidRPr="00DB70D5">
        <w:rPr>
          <w:bCs/>
          <w:sz w:val="24"/>
          <w:szCs w:val="24"/>
        </w:rPr>
        <w:t xml:space="preserve"> aerobe bakterier: </w:t>
      </w:r>
      <w:proofErr w:type="spellStart"/>
      <w:r w:rsidRPr="00DB70D5">
        <w:rPr>
          <w:bCs/>
          <w:i/>
          <w:iCs/>
          <w:sz w:val="24"/>
          <w:szCs w:val="24"/>
        </w:rPr>
        <w:t>Staphylococcus</w:t>
      </w:r>
      <w:proofErr w:type="spellEnd"/>
      <w:r w:rsidRPr="00DB70D5">
        <w:rPr>
          <w:bCs/>
          <w:i/>
          <w:iCs/>
          <w:sz w:val="24"/>
          <w:szCs w:val="24"/>
        </w:rPr>
        <w:t xml:space="preserve"> aureus, </w:t>
      </w:r>
      <w:proofErr w:type="spellStart"/>
      <w:r w:rsidRPr="00DB70D5">
        <w:rPr>
          <w:bCs/>
          <w:i/>
          <w:iCs/>
          <w:sz w:val="24"/>
          <w:szCs w:val="24"/>
        </w:rPr>
        <w:t>Streptococcus</w:t>
      </w:r>
      <w:proofErr w:type="spellEnd"/>
      <w:r w:rsidRPr="00DB70D5">
        <w:rPr>
          <w:bCs/>
          <w:i/>
          <w:iCs/>
          <w:sz w:val="24"/>
          <w:szCs w:val="24"/>
        </w:rPr>
        <w:t xml:space="preserve"> </w:t>
      </w:r>
      <w:proofErr w:type="spellStart"/>
      <w:r w:rsidRPr="00DB70D5">
        <w:rPr>
          <w:bCs/>
          <w:i/>
          <w:iCs/>
          <w:sz w:val="24"/>
          <w:szCs w:val="24"/>
        </w:rPr>
        <w:t>pyogenes</w:t>
      </w:r>
      <w:proofErr w:type="spellEnd"/>
      <w:r w:rsidRPr="00DB70D5">
        <w:rPr>
          <w:bCs/>
          <w:sz w:val="24"/>
          <w:szCs w:val="24"/>
        </w:rPr>
        <w:t xml:space="preserve"> (beta-</w:t>
      </w:r>
      <w:proofErr w:type="spellStart"/>
      <w:r w:rsidRPr="00DB70D5">
        <w:rPr>
          <w:bCs/>
          <w:sz w:val="24"/>
          <w:szCs w:val="24"/>
        </w:rPr>
        <w:t>hæmolytisk</w:t>
      </w:r>
      <w:proofErr w:type="spellEnd"/>
      <w:r w:rsidRPr="00DB70D5">
        <w:rPr>
          <w:bCs/>
          <w:sz w:val="24"/>
          <w:szCs w:val="24"/>
        </w:rPr>
        <w:t xml:space="preserve"> </w:t>
      </w:r>
      <w:proofErr w:type="spellStart"/>
      <w:r w:rsidRPr="00DB70D5">
        <w:rPr>
          <w:bCs/>
          <w:sz w:val="24"/>
          <w:szCs w:val="24"/>
        </w:rPr>
        <w:t>streptococci</w:t>
      </w:r>
      <w:proofErr w:type="spellEnd"/>
      <w:r w:rsidRPr="00DB70D5">
        <w:rPr>
          <w:bCs/>
          <w:sz w:val="24"/>
          <w:szCs w:val="24"/>
        </w:rPr>
        <w:t xml:space="preserve"> </w:t>
      </w:r>
      <w:proofErr w:type="spellStart"/>
      <w:r w:rsidRPr="00DB70D5">
        <w:rPr>
          <w:bCs/>
          <w:sz w:val="24"/>
          <w:szCs w:val="24"/>
        </w:rPr>
        <w:t>group</w:t>
      </w:r>
      <w:proofErr w:type="spellEnd"/>
      <w:r w:rsidRPr="00DB70D5">
        <w:rPr>
          <w:bCs/>
          <w:sz w:val="24"/>
          <w:szCs w:val="24"/>
        </w:rPr>
        <w:t xml:space="preserve"> A), </w:t>
      </w:r>
      <w:proofErr w:type="spellStart"/>
      <w:r w:rsidRPr="00DB70D5">
        <w:rPr>
          <w:bCs/>
          <w:i/>
          <w:iCs/>
          <w:sz w:val="24"/>
          <w:szCs w:val="24"/>
        </w:rPr>
        <w:t>Streptococcus</w:t>
      </w:r>
      <w:proofErr w:type="spellEnd"/>
      <w:r w:rsidRPr="00DB70D5">
        <w:rPr>
          <w:bCs/>
          <w:i/>
          <w:iCs/>
          <w:sz w:val="24"/>
          <w:szCs w:val="24"/>
        </w:rPr>
        <w:t xml:space="preserve"> </w:t>
      </w:r>
      <w:proofErr w:type="spellStart"/>
      <w:r w:rsidRPr="00DB70D5">
        <w:rPr>
          <w:bCs/>
          <w:i/>
          <w:iCs/>
          <w:sz w:val="24"/>
          <w:szCs w:val="24"/>
        </w:rPr>
        <w:t>pneumoniae</w:t>
      </w:r>
      <w:proofErr w:type="spellEnd"/>
      <w:r w:rsidRPr="00DB70D5">
        <w:rPr>
          <w:bCs/>
          <w:sz w:val="24"/>
          <w:szCs w:val="24"/>
        </w:rPr>
        <w:t xml:space="preserve">, </w:t>
      </w:r>
      <w:proofErr w:type="spellStart"/>
      <w:r w:rsidRPr="00DB70D5">
        <w:rPr>
          <w:bCs/>
          <w:sz w:val="24"/>
          <w:szCs w:val="24"/>
        </w:rPr>
        <w:t>alpha-hæmolytisk</w:t>
      </w:r>
      <w:proofErr w:type="spellEnd"/>
      <w:r w:rsidRPr="00DB70D5">
        <w:rPr>
          <w:bCs/>
          <w:sz w:val="24"/>
          <w:szCs w:val="24"/>
        </w:rPr>
        <w:t xml:space="preserve"> streptokokker (viridans gruppe), andre streptokokker og </w:t>
      </w:r>
      <w:proofErr w:type="spellStart"/>
      <w:r w:rsidRPr="00DB70D5">
        <w:rPr>
          <w:bCs/>
          <w:i/>
          <w:iCs/>
          <w:sz w:val="24"/>
          <w:szCs w:val="24"/>
        </w:rPr>
        <w:t>Corynebacterium</w:t>
      </w:r>
      <w:proofErr w:type="spellEnd"/>
      <w:r w:rsidRPr="00DB70D5">
        <w:rPr>
          <w:bCs/>
          <w:i/>
          <w:iCs/>
          <w:sz w:val="24"/>
          <w:szCs w:val="24"/>
        </w:rPr>
        <w:t xml:space="preserve"> </w:t>
      </w:r>
      <w:proofErr w:type="spellStart"/>
      <w:r w:rsidRPr="00DB70D5">
        <w:rPr>
          <w:bCs/>
          <w:i/>
          <w:iCs/>
          <w:sz w:val="24"/>
          <w:szCs w:val="24"/>
        </w:rPr>
        <w:t>diphtheriae</w:t>
      </w:r>
      <w:proofErr w:type="spellEnd"/>
      <w:r w:rsidRPr="00DB70D5">
        <w:rPr>
          <w:bCs/>
          <w:sz w:val="24"/>
          <w:szCs w:val="24"/>
        </w:rPr>
        <w:t>.</w:t>
      </w:r>
    </w:p>
    <w:p w:rsidR="00DB70D5" w:rsidRPr="00DB70D5" w:rsidRDefault="00DB70D5" w:rsidP="00DB70D5">
      <w:pPr>
        <w:tabs>
          <w:tab w:val="left" w:pos="851"/>
        </w:tabs>
        <w:ind w:left="851"/>
        <w:rPr>
          <w:bCs/>
          <w:sz w:val="24"/>
          <w:szCs w:val="24"/>
        </w:rPr>
      </w:pPr>
    </w:p>
    <w:p w:rsidR="00A50818" w:rsidRDefault="00DB70D5" w:rsidP="00DB70D5">
      <w:pPr>
        <w:tabs>
          <w:tab w:val="left" w:pos="851"/>
        </w:tabs>
        <w:ind w:left="851"/>
        <w:rPr>
          <w:bCs/>
          <w:sz w:val="24"/>
          <w:szCs w:val="24"/>
        </w:rPr>
      </w:pPr>
      <w:proofErr w:type="spellStart"/>
      <w:r w:rsidRPr="00DB70D5">
        <w:rPr>
          <w:bCs/>
          <w:sz w:val="24"/>
          <w:szCs w:val="24"/>
        </w:rPr>
        <w:t>Gram-negativ</w:t>
      </w:r>
      <w:proofErr w:type="spellEnd"/>
      <w:r w:rsidRPr="00DB70D5">
        <w:rPr>
          <w:bCs/>
          <w:sz w:val="24"/>
          <w:szCs w:val="24"/>
        </w:rPr>
        <w:t xml:space="preserve"> aerobe bakterier</w:t>
      </w:r>
    </w:p>
    <w:p w:rsidR="00DB70D5" w:rsidRPr="00DB70D5" w:rsidRDefault="00DB70D5" w:rsidP="00DB70D5">
      <w:pPr>
        <w:tabs>
          <w:tab w:val="left" w:pos="851"/>
        </w:tabs>
        <w:ind w:left="851"/>
        <w:rPr>
          <w:bCs/>
          <w:sz w:val="24"/>
          <w:szCs w:val="24"/>
        </w:rPr>
      </w:pPr>
      <w:proofErr w:type="spellStart"/>
      <w:r w:rsidRPr="00DB70D5">
        <w:rPr>
          <w:bCs/>
          <w:i/>
          <w:iCs/>
          <w:sz w:val="24"/>
          <w:szCs w:val="24"/>
        </w:rPr>
        <w:t>Haemophilus</w:t>
      </w:r>
      <w:proofErr w:type="spellEnd"/>
      <w:r w:rsidRPr="00DB70D5">
        <w:rPr>
          <w:bCs/>
          <w:i/>
          <w:iCs/>
          <w:sz w:val="24"/>
          <w:szCs w:val="24"/>
        </w:rPr>
        <w:t xml:space="preserve"> </w:t>
      </w:r>
      <w:proofErr w:type="spellStart"/>
      <w:r w:rsidRPr="00DB70D5">
        <w:rPr>
          <w:bCs/>
          <w:i/>
          <w:iCs/>
          <w:sz w:val="24"/>
          <w:szCs w:val="24"/>
        </w:rPr>
        <w:t>influenzae</w:t>
      </w:r>
      <w:proofErr w:type="spellEnd"/>
      <w:r w:rsidRPr="00DB70D5">
        <w:rPr>
          <w:bCs/>
          <w:sz w:val="24"/>
          <w:szCs w:val="24"/>
        </w:rPr>
        <w:t xml:space="preserve">, </w:t>
      </w:r>
      <w:proofErr w:type="spellStart"/>
      <w:r w:rsidRPr="00DB70D5">
        <w:rPr>
          <w:bCs/>
          <w:i/>
          <w:iCs/>
          <w:sz w:val="24"/>
          <w:szCs w:val="24"/>
        </w:rPr>
        <w:t>Haemophilus</w:t>
      </w:r>
      <w:proofErr w:type="spellEnd"/>
      <w:r w:rsidRPr="00DB70D5">
        <w:rPr>
          <w:bCs/>
          <w:i/>
          <w:iCs/>
          <w:sz w:val="24"/>
          <w:szCs w:val="24"/>
        </w:rPr>
        <w:t xml:space="preserve"> </w:t>
      </w:r>
      <w:proofErr w:type="spellStart"/>
      <w:r w:rsidRPr="00DB70D5">
        <w:rPr>
          <w:bCs/>
          <w:i/>
          <w:iCs/>
          <w:sz w:val="24"/>
          <w:szCs w:val="24"/>
        </w:rPr>
        <w:t>para-influenzae</w:t>
      </w:r>
      <w:proofErr w:type="spellEnd"/>
      <w:r w:rsidRPr="00DB70D5">
        <w:rPr>
          <w:bCs/>
          <w:sz w:val="24"/>
          <w:szCs w:val="24"/>
        </w:rPr>
        <w:t xml:space="preserve">, </w:t>
      </w:r>
      <w:proofErr w:type="spellStart"/>
      <w:r w:rsidRPr="00DB70D5">
        <w:rPr>
          <w:bCs/>
          <w:i/>
          <w:iCs/>
          <w:sz w:val="24"/>
          <w:szCs w:val="24"/>
        </w:rPr>
        <w:t>Moraxella</w:t>
      </w:r>
      <w:proofErr w:type="spellEnd"/>
      <w:r w:rsidRPr="00DB70D5">
        <w:rPr>
          <w:bCs/>
          <w:i/>
          <w:iCs/>
          <w:sz w:val="24"/>
          <w:szCs w:val="24"/>
        </w:rPr>
        <w:t xml:space="preserve"> </w:t>
      </w:r>
      <w:proofErr w:type="spellStart"/>
      <w:r w:rsidRPr="00DB70D5">
        <w:rPr>
          <w:bCs/>
          <w:i/>
          <w:iCs/>
          <w:sz w:val="24"/>
          <w:szCs w:val="24"/>
        </w:rPr>
        <w:t>catarrhalis</w:t>
      </w:r>
      <w:proofErr w:type="spellEnd"/>
      <w:r w:rsidRPr="00DB70D5">
        <w:rPr>
          <w:bCs/>
          <w:sz w:val="24"/>
          <w:szCs w:val="24"/>
        </w:rPr>
        <w:t xml:space="preserve">, </w:t>
      </w:r>
      <w:proofErr w:type="spellStart"/>
      <w:r w:rsidRPr="00DB70D5">
        <w:rPr>
          <w:bCs/>
          <w:i/>
          <w:iCs/>
          <w:sz w:val="24"/>
          <w:szCs w:val="24"/>
        </w:rPr>
        <w:t>Acinetobacter</w:t>
      </w:r>
      <w:proofErr w:type="spellEnd"/>
      <w:r w:rsidRPr="00DB70D5">
        <w:rPr>
          <w:bCs/>
          <w:sz w:val="24"/>
          <w:szCs w:val="24"/>
        </w:rPr>
        <w:t xml:space="preserve"> arter, </w:t>
      </w:r>
      <w:proofErr w:type="spellStart"/>
      <w:r w:rsidRPr="00DB70D5">
        <w:rPr>
          <w:bCs/>
          <w:i/>
          <w:iCs/>
          <w:sz w:val="24"/>
          <w:szCs w:val="24"/>
        </w:rPr>
        <w:t>Yersinia</w:t>
      </w:r>
      <w:proofErr w:type="spellEnd"/>
      <w:r w:rsidRPr="00DB70D5">
        <w:rPr>
          <w:bCs/>
          <w:sz w:val="24"/>
          <w:szCs w:val="24"/>
        </w:rPr>
        <w:t xml:space="preserve"> arter, </w:t>
      </w:r>
      <w:r w:rsidRPr="00DB70D5">
        <w:rPr>
          <w:bCs/>
          <w:i/>
          <w:iCs/>
          <w:sz w:val="24"/>
          <w:szCs w:val="24"/>
        </w:rPr>
        <w:t xml:space="preserve">Legionella </w:t>
      </w:r>
      <w:proofErr w:type="spellStart"/>
      <w:r w:rsidRPr="00DB70D5">
        <w:rPr>
          <w:bCs/>
          <w:i/>
          <w:iCs/>
          <w:sz w:val="24"/>
          <w:szCs w:val="24"/>
        </w:rPr>
        <w:t>pneumophila</w:t>
      </w:r>
      <w:proofErr w:type="spellEnd"/>
      <w:r w:rsidRPr="00DB70D5">
        <w:rPr>
          <w:bCs/>
          <w:sz w:val="24"/>
          <w:szCs w:val="24"/>
        </w:rPr>
        <w:t xml:space="preserve">, </w:t>
      </w:r>
      <w:proofErr w:type="spellStart"/>
      <w:r w:rsidRPr="00DB70D5">
        <w:rPr>
          <w:bCs/>
          <w:i/>
          <w:iCs/>
          <w:sz w:val="24"/>
          <w:szCs w:val="24"/>
        </w:rPr>
        <w:t>Bordetella</w:t>
      </w:r>
      <w:proofErr w:type="spellEnd"/>
      <w:r w:rsidRPr="00DB70D5">
        <w:rPr>
          <w:bCs/>
          <w:i/>
          <w:iCs/>
          <w:sz w:val="24"/>
          <w:szCs w:val="24"/>
        </w:rPr>
        <w:t xml:space="preserve"> </w:t>
      </w:r>
      <w:proofErr w:type="spellStart"/>
      <w:r w:rsidRPr="00DB70D5">
        <w:rPr>
          <w:bCs/>
          <w:i/>
          <w:iCs/>
          <w:sz w:val="24"/>
          <w:szCs w:val="24"/>
        </w:rPr>
        <w:t>pertussis</w:t>
      </w:r>
      <w:proofErr w:type="spellEnd"/>
      <w:r w:rsidRPr="00DB70D5">
        <w:rPr>
          <w:bCs/>
          <w:sz w:val="24"/>
          <w:szCs w:val="24"/>
        </w:rPr>
        <w:t xml:space="preserve">, </w:t>
      </w:r>
      <w:proofErr w:type="spellStart"/>
      <w:r w:rsidRPr="00DB70D5">
        <w:rPr>
          <w:bCs/>
          <w:i/>
          <w:iCs/>
          <w:sz w:val="24"/>
          <w:szCs w:val="24"/>
        </w:rPr>
        <w:t>Bordetella</w:t>
      </w:r>
      <w:proofErr w:type="spellEnd"/>
      <w:r w:rsidRPr="00DB70D5">
        <w:rPr>
          <w:bCs/>
          <w:i/>
          <w:iCs/>
          <w:sz w:val="24"/>
          <w:szCs w:val="24"/>
        </w:rPr>
        <w:t xml:space="preserve"> </w:t>
      </w:r>
      <w:proofErr w:type="spellStart"/>
      <w:r w:rsidRPr="00DB70D5">
        <w:rPr>
          <w:bCs/>
          <w:i/>
          <w:iCs/>
          <w:sz w:val="24"/>
          <w:szCs w:val="24"/>
        </w:rPr>
        <w:t>parapertussis</w:t>
      </w:r>
      <w:proofErr w:type="spellEnd"/>
      <w:r w:rsidRPr="00DB70D5">
        <w:rPr>
          <w:bCs/>
          <w:sz w:val="24"/>
          <w:szCs w:val="24"/>
        </w:rPr>
        <w:t xml:space="preserve">, </w:t>
      </w:r>
      <w:proofErr w:type="spellStart"/>
      <w:r w:rsidRPr="00DB70D5">
        <w:rPr>
          <w:bCs/>
          <w:i/>
          <w:iCs/>
          <w:sz w:val="24"/>
          <w:szCs w:val="24"/>
        </w:rPr>
        <w:t>Shigella</w:t>
      </w:r>
      <w:proofErr w:type="spellEnd"/>
      <w:r w:rsidRPr="00DB70D5">
        <w:rPr>
          <w:bCs/>
          <w:sz w:val="24"/>
          <w:szCs w:val="24"/>
        </w:rPr>
        <w:t xml:space="preserve"> arter, </w:t>
      </w:r>
      <w:proofErr w:type="spellStart"/>
      <w:r w:rsidRPr="00DB70D5">
        <w:rPr>
          <w:bCs/>
          <w:i/>
          <w:iCs/>
          <w:sz w:val="24"/>
          <w:szCs w:val="24"/>
        </w:rPr>
        <w:t>Pasteurella</w:t>
      </w:r>
      <w:proofErr w:type="spellEnd"/>
      <w:r w:rsidRPr="00DB70D5">
        <w:rPr>
          <w:bCs/>
          <w:sz w:val="24"/>
          <w:szCs w:val="24"/>
        </w:rPr>
        <w:t xml:space="preserve"> arter og </w:t>
      </w:r>
      <w:proofErr w:type="spellStart"/>
      <w:r w:rsidRPr="00DB70D5">
        <w:rPr>
          <w:bCs/>
          <w:i/>
          <w:iCs/>
          <w:sz w:val="24"/>
          <w:szCs w:val="24"/>
        </w:rPr>
        <w:t>Pibraholiosis</w:t>
      </w:r>
      <w:proofErr w:type="spellEnd"/>
      <w:r w:rsidRPr="00DB70D5">
        <w:rPr>
          <w:bCs/>
          <w:sz w:val="24"/>
          <w:szCs w:val="24"/>
        </w:rPr>
        <w:t xml:space="preserve"> arter, </w:t>
      </w:r>
      <w:proofErr w:type="spellStart"/>
      <w:r w:rsidRPr="00DB70D5">
        <w:rPr>
          <w:bCs/>
          <w:i/>
          <w:iCs/>
          <w:sz w:val="24"/>
          <w:szCs w:val="24"/>
        </w:rPr>
        <w:t>Vibrio</w:t>
      </w:r>
      <w:proofErr w:type="spellEnd"/>
      <w:r w:rsidRPr="00DB70D5">
        <w:rPr>
          <w:bCs/>
          <w:i/>
          <w:iCs/>
          <w:sz w:val="24"/>
          <w:szCs w:val="24"/>
        </w:rPr>
        <w:t xml:space="preserve"> </w:t>
      </w:r>
      <w:proofErr w:type="spellStart"/>
      <w:r w:rsidRPr="00DB70D5">
        <w:rPr>
          <w:bCs/>
          <w:i/>
          <w:iCs/>
          <w:sz w:val="24"/>
          <w:szCs w:val="24"/>
        </w:rPr>
        <w:t>cholerae</w:t>
      </w:r>
      <w:proofErr w:type="spellEnd"/>
      <w:r w:rsidRPr="00DB70D5">
        <w:rPr>
          <w:bCs/>
          <w:sz w:val="24"/>
          <w:szCs w:val="24"/>
        </w:rPr>
        <w:t xml:space="preserve"> og </w:t>
      </w:r>
      <w:proofErr w:type="spellStart"/>
      <w:r w:rsidRPr="00DB70D5">
        <w:rPr>
          <w:bCs/>
          <w:i/>
          <w:iCs/>
          <w:sz w:val="24"/>
          <w:szCs w:val="24"/>
        </w:rPr>
        <w:t>parahaemolyticus</w:t>
      </w:r>
      <w:proofErr w:type="spellEnd"/>
      <w:r w:rsidRPr="00DB70D5">
        <w:rPr>
          <w:bCs/>
          <w:sz w:val="24"/>
          <w:szCs w:val="24"/>
        </w:rPr>
        <w:t xml:space="preserve">, </w:t>
      </w:r>
      <w:proofErr w:type="spellStart"/>
      <w:r w:rsidRPr="00DB70D5">
        <w:rPr>
          <w:bCs/>
          <w:i/>
          <w:iCs/>
          <w:sz w:val="24"/>
          <w:szCs w:val="24"/>
        </w:rPr>
        <w:t>Plesiomonas</w:t>
      </w:r>
      <w:proofErr w:type="spellEnd"/>
      <w:r w:rsidRPr="00DB70D5">
        <w:rPr>
          <w:bCs/>
          <w:i/>
          <w:iCs/>
          <w:sz w:val="24"/>
          <w:szCs w:val="24"/>
        </w:rPr>
        <w:t xml:space="preserve"> </w:t>
      </w:r>
      <w:proofErr w:type="spellStart"/>
      <w:r w:rsidRPr="00DB70D5">
        <w:rPr>
          <w:bCs/>
          <w:i/>
          <w:iCs/>
          <w:sz w:val="24"/>
          <w:szCs w:val="24"/>
        </w:rPr>
        <w:t>shigelloides</w:t>
      </w:r>
      <w:proofErr w:type="spellEnd"/>
      <w:r w:rsidRPr="00DB70D5">
        <w:rPr>
          <w:bCs/>
          <w:sz w:val="24"/>
          <w:szCs w:val="24"/>
        </w:rPr>
        <w:t>.</w:t>
      </w:r>
    </w:p>
    <w:p w:rsidR="00DB70D5" w:rsidRPr="00DB70D5" w:rsidRDefault="00DB70D5" w:rsidP="00DB70D5">
      <w:pPr>
        <w:tabs>
          <w:tab w:val="left" w:pos="851"/>
        </w:tabs>
        <w:ind w:left="851"/>
        <w:rPr>
          <w:bCs/>
          <w:sz w:val="24"/>
          <w:szCs w:val="24"/>
        </w:rPr>
      </w:pPr>
    </w:p>
    <w:p w:rsidR="00A50818" w:rsidRDefault="00DB70D5" w:rsidP="00DB70D5">
      <w:pPr>
        <w:tabs>
          <w:tab w:val="left" w:pos="851"/>
        </w:tabs>
        <w:ind w:left="851"/>
        <w:rPr>
          <w:bCs/>
          <w:sz w:val="24"/>
          <w:szCs w:val="24"/>
        </w:rPr>
      </w:pPr>
      <w:r w:rsidRPr="00DB70D5">
        <w:rPr>
          <w:bCs/>
          <w:sz w:val="24"/>
          <w:szCs w:val="24"/>
        </w:rPr>
        <w:t>Anaerobe bakterier</w:t>
      </w:r>
    </w:p>
    <w:p w:rsidR="00DB70D5" w:rsidRPr="00DB70D5" w:rsidRDefault="00DB70D5" w:rsidP="00DB70D5">
      <w:pPr>
        <w:tabs>
          <w:tab w:val="left" w:pos="851"/>
        </w:tabs>
        <w:ind w:left="851"/>
        <w:rPr>
          <w:bCs/>
          <w:sz w:val="24"/>
          <w:szCs w:val="24"/>
        </w:rPr>
      </w:pPr>
      <w:proofErr w:type="spellStart"/>
      <w:r w:rsidRPr="00DB70D5">
        <w:rPr>
          <w:bCs/>
          <w:i/>
          <w:iCs/>
          <w:sz w:val="24"/>
          <w:szCs w:val="24"/>
        </w:rPr>
        <w:t>Bacteroides</w:t>
      </w:r>
      <w:proofErr w:type="spellEnd"/>
      <w:r w:rsidRPr="00DB70D5">
        <w:rPr>
          <w:bCs/>
          <w:i/>
          <w:iCs/>
          <w:sz w:val="24"/>
          <w:szCs w:val="24"/>
        </w:rPr>
        <w:t xml:space="preserve"> </w:t>
      </w:r>
      <w:proofErr w:type="spellStart"/>
      <w:r w:rsidRPr="00DB70D5">
        <w:rPr>
          <w:bCs/>
          <w:i/>
          <w:iCs/>
          <w:sz w:val="24"/>
          <w:szCs w:val="24"/>
        </w:rPr>
        <w:t>fragilis</w:t>
      </w:r>
      <w:proofErr w:type="spellEnd"/>
      <w:r w:rsidRPr="00DB70D5">
        <w:rPr>
          <w:bCs/>
          <w:sz w:val="24"/>
          <w:szCs w:val="24"/>
        </w:rPr>
        <w:t xml:space="preserve"> og </w:t>
      </w:r>
      <w:proofErr w:type="spellStart"/>
      <w:r w:rsidRPr="00DB70D5">
        <w:rPr>
          <w:bCs/>
          <w:i/>
          <w:iCs/>
          <w:sz w:val="24"/>
          <w:szCs w:val="24"/>
        </w:rPr>
        <w:t>Bacteroid</w:t>
      </w:r>
      <w:proofErr w:type="spellEnd"/>
      <w:r w:rsidRPr="00DB70D5">
        <w:rPr>
          <w:bCs/>
          <w:sz w:val="24"/>
          <w:szCs w:val="24"/>
        </w:rPr>
        <w:t xml:space="preserve"> arter, </w:t>
      </w:r>
      <w:proofErr w:type="spellStart"/>
      <w:r w:rsidRPr="00DB70D5">
        <w:rPr>
          <w:bCs/>
          <w:i/>
          <w:iCs/>
          <w:sz w:val="24"/>
          <w:szCs w:val="24"/>
        </w:rPr>
        <w:t>Clostridium</w:t>
      </w:r>
      <w:proofErr w:type="spellEnd"/>
      <w:r w:rsidRPr="00DB70D5">
        <w:rPr>
          <w:bCs/>
          <w:i/>
          <w:iCs/>
          <w:sz w:val="24"/>
          <w:szCs w:val="24"/>
        </w:rPr>
        <w:t xml:space="preserve"> </w:t>
      </w:r>
      <w:proofErr w:type="spellStart"/>
      <w:r w:rsidRPr="00DB70D5">
        <w:rPr>
          <w:bCs/>
          <w:i/>
          <w:iCs/>
          <w:sz w:val="24"/>
          <w:szCs w:val="24"/>
        </w:rPr>
        <w:t>perfringens</w:t>
      </w:r>
      <w:proofErr w:type="spellEnd"/>
      <w:r w:rsidRPr="00DB70D5">
        <w:rPr>
          <w:bCs/>
          <w:sz w:val="24"/>
          <w:szCs w:val="24"/>
        </w:rPr>
        <w:t>,</w:t>
      </w:r>
    </w:p>
    <w:p w:rsidR="00DB70D5" w:rsidRPr="00DB70D5" w:rsidRDefault="00DB70D5" w:rsidP="00DB70D5">
      <w:pPr>
        <w:tabs>
          <w:tab w:val="left" w:pos="851"/>
        </w:tabs>
        <w:ind w:left="851"/>
        <w:rPr>
          <w:bCs/>
          <w:sz w:val="24"/>
          <w:szCs w:val="24"/>
        </w:rPr>
      </w:pPr>
      <w:proofErr w:type="spellStart"/>
      <w:r w:rsidRPr="00DB70D5">
        <w:rPr>
          <w:bCs/>
          <w:i/>
          <w:iCs/>
          <w:sz w:val="24"/>
          <w:szCs w:val="24"/>
        </w:rPr>
        <w:t>Pepto-streptokokk</w:t>
      </w:r>
      <w:proofErr w:type="spellEnd"/>
      <w:r w:rsidRPr="00DB70D5">
        <w:rPr>
          <w:bCs/>
          <w:sz w:val="24"/>
          <w:szCs w:val="24"/>
        </w:rPr>
        <w:t xml:space="preserve"> arter, </w:t>
      </w:r>
      <w:proofErr w:type="spellStart"/>
      <w:r w:rsidRPr="00DB70D5">
        <w:rPr>
          <w:bCs/>
          <w:i/>
          <w:iCs/>
          <w:sz w:val="24"/>
          <w:szCs w:val="24"/>
        </w:rPr>
        <w:t>Fusobacterium</w:t>
      </w:r>
      <w:proofErr w:type="spellEnd"/>
      <w:r w:rsidRPr="00DB70D5">
        <w:rPr>
          <w:bCs/>
          <w:i/>
          <w:iCs/>
          <w:sz w:val="24"/>
          <w:szCs w:val="24"/>
        </w:rPr>
        <w:t xml:space="preserve"> </w:t>
      </w:r>
      <w:proofErr w:type="spellStart"/>
      <w:r w:rsidRPr="00DB70D5">
        <w:rPr>
          <w:bCs/>
          <w:i/>
          <w:iCs/>
          <w:sz w:val="24"/>
          <w:szCs w:val="24"/>
        </w:rPr>
        <w:t>necrophorum</w:t>
      </w:r>
      <w:proofErr w:type="spellEnd"/>
      <w:r w:rsidRPr="00DB70D5">
        <w:rPr>
          <w:bCs/>
          <w:sz w:val="24"/>
          <w:szCs w:val="24"/>
        </w:rPr>
        <w:t xml:space="preserve"> og </w:t>
      </w:r>
      <w:proofErr w:type="spellStart"/>
      <w:r w:rsidRPr="00DB70D5">
        <w:rPr>
          <w:bCs/>
          <w:i/>
          <w:iCs/>
          <w:sz w:val="24"/>
          <w:szCs w:val="24"/>
        </w:rPr>
        <w:t>Propionibacterium</w:t>
      </w:r>
      <w:proofErr w:type="spellEnd"/>
      <w:r w:rsidRPr="00DB70D5">
        <w:rPr>
          <w:bCs/>
          <w:i/>
          <w:iCs/>
          <w:sz w:val="24"/>
          <w:szCs w:val="24"/>
        </w:rPr>
        <w:t xml:space="preserve"> </w:t>
      </w:r>
      <w:proofErr w:type="spellStart"/>
      <w:r w:rsidRPr="00DB70D5">
        <w:rPr>
          <w:bCs/>
          <w:i/>
          <w:iCs/>
          <w:sz w:val="24"/>
          <w:szCs w:val="24"/>
        </w:rPr>
        <w:t>acnes</w:t>
      </w:r>
      <w:proofErr w:type="spellEnd"/>
      <w:r w:rsidRPr="00DB70D5">
        <w:rPr>
          <w:bCs/>
          <w:sz w:val="24"/>
          <w:szCs w:val="24"/>
        </w:rPr>
        <w:t xml:space="preserve"> og </w:t>
      </w:r>
      <w:proofErr w:type="spellStart"/>
      <w:r w:rsidRPr="00DB70D5">
        <w:rPr>
          <w:bCs/>
          <w:i/>
          <w:iCs/>
          <w:sz w:val="24"/>
          <w:szCs w:val="24"/>
        </w:rPr>
        <w:t>Peptokok</w:t>
      </w:r>
      <w:proofErr w:type="spellEnd"/>
      <w:r w:rsidRPr="00DB70D5">
        <w:rPr>
          <w:bCs/>
          <w:i/>
          <w:iCs/>
          <w:sz w:val="24"/>
          <w:szCs w:val="24"/>
        </w:rPr>
        <w:t xml:space="preserve"> </w:t>
      </w:r>
      <w:r w:rsidRPr="00DB70D5">
        <w:rPr>
          <w:bCs/>
          <w:sz w:val="24"/>
          <w:szCs w:val="24"/>
        </w:rPr>
        <w:t>arter.</w:t>
      </w:r>
    </w:p>
    <w:p w:rsidR="00DB70D5" w:rsidRPr="00DB70D5" w:rsidRDefault="00DB70D5" w:rsidP="00DB70D5">
      <w:pPr>
        <w:tabs>
          <w:tab w:val="left" w:pos="851"/>
        </w:tabs>
        <w:ind w:left="851"/>
        <w:rPr>
          <w:bCs/>
          <w:sz w:val="24"/>
          <w:szCs w:val="24"/>
        </w:rPr>
      </w:pPr>
    </w:p>
    <w:p w:rsidR="00A50818" w:rsidRDefault="00DB70D5" w:rsidP="00DB70D5">
      <w:pPr>
        <w:tabs>
          <w:tab w:val="left" w:pos="851"/>
        </w:tabs>
        <w:ind w:left="851"/>
        <w:rPr>
          <w:bCs/>
          <w:sz w:val="24"/>
          <w:szCs w:val="24"/>
        </w:rPr>
      </w:pPr>
      <w:proofErr w:type="spellStart"/>
      <w:r w:rsidRPr="00DB70D5">
        <w:rPr>
          <w:bCs/>
          <w:sz w:val="24"/>
          <w:szCs w:val="24"/>
        </w:rPr>
        <w:t>Patogener</w:t>
      </w:r>
      <w:proofErr w:type="spellEnd"/>
      <w:r w:rsidRPr="00DB70D5">
        <w:rPr>
          <w:bCs/>
          <w:sz w:val="24"/>
          <w:szCs w:val="24"/>
        </w:rPr>
        <w:t xml:space="preserve"> ved seksuelt overførte sygdomme</w:t>
      </w:r>
    </w:p>
    <w:p w:rsidR="00DB70D5" w:rsidRPr="00DB70D5" w:rsidRDefault="00DB70D5" w:rsidP="00DB70D5">
      <w:pPr>
        <w:tabs>
          <w:tab w:val="left" w:pos="851"/>
        </w:tabs>
        <w:ind w:left="851"/>
        <w:rPr>
          <w:bCs/>
          <w:sz w:val="24"/>
          <w:szCs w:val="24"/>
        </w:rPr>
      </w:pPr>
      <w:proofErr w:type="spellStart"/>
      <w:r w:rsidRPr="00DB70D5">
        <w:rPr>
          <w:i/>
          <w:iCs/>
          <w:sz w:val="24"/>
          <w:szCs w:val="24"/>
        </w:rPr>
        <w:t>Chlamydia</w:t>
      </w:r>
      <w:proofErr w:type="spellEnd"/>
      <w:r w:rsidRPr="00DB70D5">
        <w:rPr>
          <w:i/>
          <w:iCs/>
          <w:sz w:val="24"/>
          <w:szCs w:val="24"/>
        </w:rPr>
        <w:t xml:space="preserve"> </w:t>
      </w:r>
      <w:proofErr w:type="spellStart"/>
      <w:r w:rsidRPr="00DB70D5">
        <w:rPr>
          <w:i/>
          <w:iCs/>
          <w:sz w:val="24"/>
          <w:szCs w:val="24"/>
        </w:rPr>
        <w:t>trachomatis</w:t>
      </w:r>
      <w:proofErr w:type="spellEnd"/>
      <w:r w:rsidRPr="00DB70D5">
        <w:rPr>
          <w:sz w:val="24"/>
          <w:szCs w:val="24"/>
        </w:rPr>
        <w:t xml:space="preserve">, </w:t>
      </w:r>
      <w:proofErr w:type="spellStart"/>
      <w:r w:rsidRPr="00DB70D5">
        <w:rPr>
          <w:i/>
          <w:iCs/>
          <w:sz w:val="24"/>
          <w:szCs w:val="24"/>
        </w:rPr>
        <w:t>Treponema</w:t>
      </w:r>
      <w:proofErr w:type="spellEnd"/>
      <w:r w:rsidRPr="00DB70D5">
        <w:rPr>
          <w:i/>
          <w:iCs/>
          <w:sz w:val="24"/>
          <w:szCs w:val="24"/>
        </w:rPr>
        <w:t xml:space="preserve"> </w:t>
      </w:r>
      <w:proofErr w:type="spellStart"/>
      <w:r w:rsidRPr="00DB70D5">
        <w:rPr>
          <w:i/>
          <w:iCs/>
          <w:sz w:val="24"/>
          <w:szCs w:val="24"/>
        </w:rPr>
        <w:t>pallidum</w:t>
      </w:r>
      <w:proofErr w:type="spellEnd"/>
      <w:r w:rsidRPr="00DB70D5">
        <w:rPr>
          <w:sz w:val="24"/>
          <w:szCs w:val="24"/>
        </w:rPr>
        <w:t xml:space="preserve">, </w:t>
      </w:r>
      <w:proofErr w:type="spellStart"/>
      <w:r w:rsidRPr="00DB70D5">
        <w:rPr>
          <w:i/>
          <w:iCs/>
          <w:sz w:val="24"/>
          <w:szCs w:val="24"/>
        </w:rPr>
        <w:t>Haemophilus</w:t>
      </w:r>
      <w:proofErr w:type="spellEnd"/>
      <w:r w:rsidRPr="00DB70D5">
        <w:rPr>
          <w:i/>
          <w:iCs/>
          <w:sz w:val="24"/>
          <w:szCs w:val="24"/>
        </w:rPr>
        <w:t xml:space="preserve"> </w:t>
      </w:r>
      <w:proofErr w:type="spellStart"/>
      <w:r w:rsidRPr="00DB70D5">
        <w:rPr>
          <w:i/>
          <w:iCs/>
          <w:sz w:val="24"/>
          <w:szCs w:val="24"/>
        </w:rPr>
        <w:t>ducreyi</w:t>
      </w:r>
      <w:proofErr w:type="spellEnd"/>
      <w:r w:rsidRPr="00DB70D5">
        <w:rPr>
          <w:sz w:val="24"/>
          <w:szCs w:val="24"/>
        </w:rPr>
        <w:t xml:space="preserve"> og </w:t>
      </w:r>
      <w:proofErr w:type="spellStart"/>
      <w:r w:rsidRPr="00DB70D5">
        <w:rPr>
          <w:i/>
          <w:iCs/>
          <w:sz w:val="24"/>
          <w:szCs w:val="24"/>
        </w:rPr>
        <w:t>Neisseria</w:t>
      </w:r>
      <w:proofErr w:type="spellEnd"/>
      <w:r w:rsidRPr="00DB70D5">
        <w:rPr>
          <w:i/>
          <w:iCs/>
          <w:sz w:val="24"/>
          <w:szCs w:val="24"/>
        </w:rPr>
        <w:t xml:space="preserve"> </w:t>
      </w:r>
      <w:proofErr w:type="spellStart"/>
      <w:r w:rsidRPr="00DB70D5">
        <w:rPr>
          <w:i/>
          <w:iCs/>
          <w:sz w:val="24"/>
          <w:szCs w:val="24"/>
        </w:rPr>
        <w:t>gonorrhoeae</w:t>
      </w:r>
      <w:proofErr w:type="spellEnd"/>
      <w:r w:rsidRPr="00DB70D5">
        <w:rPr>
          <w:sz w:val="24"/>
          <w:szCs w:val="24"/>
        </w:rPr>
        <w:t>.</w:t>
      </w:r>
    </w:p>
    <w:p w:rsidR="00DB70D5" w:rsidRPr="00DB70D5" w:rsidRDefault="00DB70D5" w:rsidP="00DB70D5">
      <w:pPr>
        <w:tabs>
          <w:tab w:val="left" w:pos="851"/>
        </w:tabs>
        <w:ind w:left="851"/>
        <w:rPr>
          <w:bCs/>
          <w:sz w:val="24"/>
          <w:szCs w:val="24"/>
        </w:rPr>
      </w:pPr>
    </w:p>
    <w:p w:rsidR="00A50818" w:rsidRDefault="00DB70D5" w:rsidP="00DB70D5">
      <w:pPr>
        <w:tabs>
          <w:tab w:val="left" w:pos="851"/>
        </w:tabs>
        <w:ind w:left="851"/>
        <w:rPr>
          <w:bCs/>
          <w:sz w:val="24"/>
          <w:szCs w:val="24"/>
        </w:rPr>
      </w:pPr>
      <w:r w:rsidRPr="00DB70D5">
        <w:rPr>
          <w:bCs/>
          <w:sz w:val="24"/>
          <w:szCs w:val="24"/>
        </w:rPr>
        <w:t>Andre organismer</w:t>
      </w:r>
    </w:p>
    <w:p w:rsidR="00DB70D5" w:rsidRPr="00DB70D5" w:rsidRDefault="00DB70D5" w:rsidP="00DB70D5">
      <w:pPr>
        <w:tabs>
          <w:tab w:val="left" w:pos="851"/>
        </w:tabs>
        <w:ind w:left="851"/>
        <w:rPr>
          <w:bCs/>
          <w:sz w:val="24"/>
          <w:szCs w:val="24"/>
        </w:rPr>
      </w:pPr>
      <w:proofErr w:type="spellStart"/>
      <w:r w:rsidRPr="00DB70D5">
        <w:rPr>
          <w:i/>
          <w:iCs/>
          <w:sz w:val="24"/>
          <w:szCs w:val="24"/>
        </w:rPr>
        <w:t>Borrelia</w:t>
      </w:r>
      <w:proofErr w:type="spellEnd"/>
      <w:r w:rsidRPr="00DB70D5">
        <w:rPr>
          <w:i/>
          <w:iCs/>
          <w:sz w:val="24"/>
          <w:szCs w:val="24"/>
        </w:rPr>
        <w:t xml:space="preserve"> </w:t>
      </w:r>
      <w:proofErr w:type="spellStart"/>
      <w:r w:rsidRPr="00DB70D5">
        <w:rPr>
          <w:i/>
          <w:iCs/>
          <w:sz w:val="24"/>
          <w:szCs w:val="24"/>
        </w:rPr>
        <w:t>burgdorferi</w:t>
      </w:r>
      <w:proofErr w:type="spellEnd"/>
      <w:r w:rsidRPr="00DB70D5">
        <w:rPr>
          <w:sz w:val="24"/>
          <w:szCs w:val="24"/>
        </w:rPr>
        <w:t xml:space="preserve"> (</w:t>
      </w:r>
      <w:proofErr w:type="spellStart"/>
      <w:r w:rsidRPr="00DB70D5">
        <w:rPr>
          <w:sz w:val="24"/>
          <w:szCs w:val="24"/>
        </w:rPr>
        <w:t>patogener</w:t>
      </w:r>
      <w:proofErr w:type="spellEnd"/>
      <w:r w:rsidRPr="00DB70D5">
        <w:rPr>
          <w:sz w:val="24"/>
          <w:szCs w:val="24"/>
        </w:rPr>
        <w:t xml:space="preserve"> fra Lyme </w:t>
      </w:r>
      <w:proofErr w:type="spellStart"/>
      <w:r w:rsidRPr="00DB70D5">
        <w:rPr>
          <w:sz w:val="24"/>
          <w:szCs w:val="24"/>
        </w:rPr>
        <w:t>borreliosis</w:t>
      </w:r>
      <w:proofErr w:type="spellEnd"/>
      <w:r w:rsidRPr="00DB70D5">
        <w:rPr>
          <w:sz w:val="24"/>
          <w:szCs w:val="24"/>
        </w:rPr>
        <w:t xml:space="preserve">), </w:t>
      </w:r>
      <w:proofErr w:type="spellStart"/>
      <w:r w:rsidRPr="00DB70D5">
        <w:rPr>
          <w:i/>
          <w:iCs/>
          <w:sz w:val="24"/>
          <w:szCs w:val="24"/>
        </w:rPr>
        <w:t>Chlamydia</w:t>
      </w:r>
      <w:proofErr w:type="spellEnd"/>
      <w:r w:rsidRPr="00DB70D5">
        <w:rPr>
          <w:i/>
          <w:iCs/>
          <w:sz w:val="24"/>
          <w:szCs w:val="24"/>
        </w:rPr>
        <w:t xml:space="preserve"> </w:t>
      </w:r>
      <w:proofErr w:type="spellStart"/>
      <w:r w:rsidRPr="00DB70D5">
        <w:rPr>
          <w:i/>
          <w:iCs/>
          <w:sz w:val="24"/>
          <w:szCs w:val="24"/>
        </w:rPr>
        <w:t>pneumoniae</w:t>
      </w:r>
      <w:proofErr w:type="spellEnd"/>
      <w:r w:rsidRPr="00DB70D5">
        <w:rPr>
          <w:sz w:val="24"/>
          <w:szCs w:val="24"/>
        </w:rPr>
        <w:t xml:space="preserve">, </w:t>
      </w:r>
      <w:proofErr w:type="spellStart"/>
      <w:r w:rsidRPr="00DB70D5">
        <w:rPr>
          <w:i/>
          <w:iCs/>
          <w:sz w:val="24"/>
          <w:szCs w:val="24"/>
        </w:rPr>
        <w:t>Toxoplasma</w:t>
      </w:r>
      <w:proofErr w:type="spellEnd"/>
      <w:r w:rsidRPr="00DB70D5">
        <w:rPr>
          <w:i/>
          <w:iCs/>
          <w:sz w:val="24"/>
          <w:szCs w:val="24"/>
        </w:rPr>
        <w:t xml:space="preserve"> </w:t>
      </w:r>
      <w:proofErr w:type="spellStart"/>
      <w:r w:rsidRPr="00DB70D5">
        <w:rPr>
          <w:i/>
          <w:iCs/>
          <w:sz w:val="24"/>
          <w:szCs w:val="24"/>
        </w:rPr>
        <w:t>gondii</w:t>
      </w:r>
      <w:proofErr w:type="spellEnd"/>
      <w:r w:rsidRPr="00DB70D5">
        <w:rPr>
          <w:sz w:val="24"/>
          <w:szCs w:val="24"/>
        </w:rPr>
        <w:t xml:space="preserve">, </w:t>
      </w:r>
      <w:proofErr w:type="spellStart"/>
      <w:r w:rsidRPr="00DB70D5">
        <w:rPr>
          <w:i/>
          <w:iCs/>
          <w:sz w:val="24"/>
          <w:szCs w:val="24"/>
        </w:rPr>
        <w:t>Mycoplasma</w:t>
      </w:r>
      <w:proofErr w:type="spellEnd"/>
      <w:r w:rsidRPr="00DB70D5">
        <w:rPr>
          <w:i/>
          <w:iCs/>
          <w:sz w:val="24"/>
          <w:szCs w:val="24"/>
        </w:rPr>
        <w:t xml:space="preserve"> </w:t>
      </w:r>
      <w:proofErr w:type="spellStart"/>
      <w:r w:rsidRPr="00DB70D5">
        <w:rPr>
          <w:i/>
          <w:iCs/>
          <w:sz w:val="24"/>
          <w:szCs w:val="24"/>
        </w:rPr>
        <w:t>pneumoniae</w:t>
      </w:r>
      <w:proofErr w:type="spellEnd"/>
      <w:r w:rsidRPr="00DB70D5">
        <w:rPr>
          <w:sz w:val="24"/>
          <w:szCs w:val="24"/>
        </w:rPr>
        <w:t xml:space="preserve">, </w:t>
      </w:r>
      <w:proofErr w:type="spellStart"/>
      <w:r w:rsidRPr="00DB70D5">
        <w:rPr>
          <w:i/>
          <w:iCs/>
          <w:sz w:val="24"/>
          <w:szCs w:val="24"/>
        </w:rPr>
        <w:t>Mycoplasma</w:t>
      </w:r>
      <w:proofErr w:type="spellEnd"/>
      <w:r w:rsidRPr="00DB70D5">
        <w:rPr>
          <w:i/>
          <w:iCs/>
          <w:sz w:val="24"/>
          <w:szCs w:val="24"/>
        </w:rPr>
        <w:t xml:space="preserve"> </w:t>
      </w:r>
      <w:proofErr w:type="spellStart"/>
      <w:r w:rsidRPr="00DB70D5">
        <w:rPr>
          <w:i/>
          <w:iCs/>
          <w:sz w:val="24"/>
          <w:szCs w:val="24"/>
        </w:rPr>
        <w:t>hominis</w:t>
      </w:r>
      <w:proofErr w:type="spellEnd"/>
      <w:r w:rsidRPr="00DB70D5">
        <w:rPr>
          <w:sz w:val="24"/>
          <w:szCs w:val="24"/>
        </w:rPr>
        <w:t xml:space="preserve">, </w:t>
      </w:r>
      <w:proofErr w:type="spellStart"/>
      <w:r w:rsidRPr="00DB70D5">
        <w:rPr>
          <w:i/>
          <w:iCs/>
          <w:sz w:val="24"/>
          <w:szCs w:val="24"/>
        </w:rPr>
        <w:t>Ureaplasma</w:t>
      </w:r>
      <w:proofErr w:type="spellEnd"/>
      <w:r w:rsidRPr="00DB70D5">
        <w:rPr>
          <w:i/>
          <w:iCs/>
          <w:sz w:val="24"/>
          <w:szCs w:val="24"/>
        </w:rPr>
        <w:t xml:space="preserve"> </w:t>
      </w:r>
      <w:proofErr w:type="spellStart"/>
      <w:r w:rsidRPr="00DB70D5">
        <w:rPr>
          <w:i/>
          <w:iCs/>
          <w:sz w:val="24"/>
          <w:szCs w:val="24"/>
        </w:rPr>
        <w:t>urealyticum</w:t>
      </w:r>
      <w:proofErr w:type="spellEnd"/>
      <w:r w:rsidRPr="00DB70D5">
        <w:rPr>
          <w:sz w:val="24"/>
          <w:szCs w:val="24"/>
        </w:rPr>
        <w:t xml:space="preserve">, </w:t>
      </w:r>
      <w:proofErr w:type="spellStart"/>
      <w:r w:rsidRPr="00DB70D5">
        <w:rPr>
          <w:i/>
          <w:iCs/>
          <w:sz w:val="24"/>
          <w:szCs w:val="24"/>
        </w:rPr>
        <w:t>Mycobacterium</w:t>
      </w:r>
      <w:proofErr w:type="spellEnd"/>
      <w:r w:rsidRPr="00DB70D5">
        <w:rPr>
          <w:i/>
          <w:iCs/>
          <w:sz w:val="24"/>
          <w:szCs w:val="24"/>
        </w:rPr>
        <w:t xml:space="preserve"> </w:t>
      </w:r>
      <w:proofErr w:type="spellStart"/>
      <w:r w:rsidRPr="00DB70D5">
        <w:rPr>
          <w:i/>
          <w:iCs/>
          <w:sz w:val="24"/>
          <w:szCs w:val="24"/>
        </w:rPr>
        <w:t>avium</w:t>
      </w:r>
      <w:proofErr w:type="spellEnd"/>
      <w:r w:rsidRPr="00DB70D5">
        <w:rPr>
          <w:i/>
          <w:iCs/>
          <w:sz w:val="24"/>
          <w:szCs w:val="24"/>
        </w:rPr>
        <w:t xml:space="preserve"> </w:t>
      </w:r>
      <w:proofErr w:type="spellStart"/>
      <w:r w:rsidRPr="00DB70D5">
        <w:rPr>
          <w:i/>
          <w:iCs/>
          <w:sz w:val="24"/>
          <w:szCs w:val="24"/>
        </w:rPr>
        <w:t>intracellulare</w:t>
      </w:r>
      <w:proofErr w:type="spellEnd"/>
      <w:r w:rsidRPr="00DB70D5">
        <w:rPr>
          <w:sz w:val="24"/>
          <w:szCs w:val="24"/>
        </w:rPr>
        <w:t xml:space="preserve">, </w:t>
      </w:r>
      <w:proofErr w:type="spellStart"/>
      <w:r w:rsidRPr="00DB70D5">
        <w:rPr>
          <w:i/>
          <w:iCs/>
          <w:sz w:val="24"/>
          <w:szCs w:val="24"/>
        </w:rPr>
        <w:t>Pneumocystis</w:t>
      </w:r>
      <w:proofErr w:type="spellEnd"/>
      <w:r w:rsidRPr="00DB70D5">
        <w:rPr>
          <w:i/>
          <w:iCs/>
          <w:sz w:val="24"/>
          <w:szCs w:val="24"/>
        </w:rPr>
        <w:t xml:space="preserve"> </w:t>
      </w:r>
      <w:proofErr w:type="spellStart"/>
      <w:r w:rsidRPr="00DB70D5">
        <w:rPr>
          <w:i/>
          <w:iCs/>
          <w:sz w:val="24"/>
          <w:szCs w:val="24"/>
        </w:rPr>
        <w:t>carinii</w:t>
      </w:r>
      <w:proofErr w:type="spellEnd"/>
      <w:r w:rsidRPr="00DB70D5">
        <w:rPr>
          <w:sz w:val="24"/>
          <w:szCs w:val="24"/>
        </w:rPr>
        <w:t xml:space="preserve">, </w:t>
      </w:r>
      <w:r w:rsidRPr="00DB70D5">
        <w:rPr>
          <w:i/>
          <w:iCs/>
          <w:sz w:val="24"/>
          <w:szCs w:val="24"/>
        </w:rPr>
        <w:t>Campylobacter</w:t>
      </w:r>
      <w:r w:rsidRPr="00DB70D5">
        <w:rPr>
          <w:sz w:val="24"/>
          <w:szCs w:val="24"/>
        </w:rPr>
        <w:t xml:space="preserve"> arter og </w:t>
      </w:r>
      <w:r w:rsidRPr="00DB70D5">
        <w:rPr>
          <w:i/>
          <w:iCs/>
          <w:sz w:val="24"/>
          <w:szCs w:val="24"/>
        </w:rPr>
        <w:t xml:space="preserve">Listeria </w:t>
      </w:r>
      <w:proofErr w:type="spellStart"/>
      <w:r w:rsidRPr="00DB70D5">
        <w:rPr>
          <w:i/>
          <w:iCs/>
          <w:sz w:val="24"/>
          <w:szCs w:val="24"/>
        </w:rPr>
        <w:t>monocytogenes</w:t>
      </w:r>
      <w:proofErr w:type="spellEnd"/>
      <w:r w:rsidRPr="00DB70D5">
        <w:rPr>
          <w:sz w:val="24"/>
          <w:szCs w:val="24"/>
        </w:rPr>
        <w:t>.</w:t>
      </w:r>
    </w:p>
    <w:p w:rsidR="00DB70D5" w:rsidRPr="00DB70D5" w:rsidRDefault="00DB70D5" w:rsidP="00DB70D5">
      <w:pPr>
        <w:tabs>
          <w:tab w:val="left" w:pos="851"/>
        </w:tabs>
        <w:ind w:left="851"/>
        <w:rPr>
          <w:b/>
          <w:sz w:val="24"/>
          <w:szCs w:val="24"/>
        </w:rPr>
      </w:pPr>
    </w:p>
    <w:p w:rsidR="00DB70D5" w:rsidRPr="00DB70D5" w:rsidRDefault="00DB70D5" w:rsidP="00DB70D5">
      <w:pPr>
        <w:tabs>
          <w:tab w:val="left" w:pos="851"/>
        </w:tabs>
        <w:ind w:left="851"/>
        <w:rPr>
          <w:sz w:val="24"/>
          <w:szCs w:val="24"/>
        </w:rPr>
      </w:pPr>
      <w:proofErr w:type="spellStart"/>
      <w:r w:rsidRPr="00DB70D5">
        <w:rPr>
          <w:bCs/>
          <w:sz w:val="24"/>
          <w:szCs w:val="24"/>
        </w:rPr>
        <w:t>Azithromycin</w:t>
      </w:r>
      <w:proofErr w:type="spellEnd"/>
      <w:r w:rsidRPr="00DB70D5">
        <w:rPr>
          <w:bCs/>
          <w:sz w:val="24"/>
          <w:szCs w:val="24"/>
        </w:rPr>
        <w:t xml:space="preserve"> har flere forskellige virkninger mod </w:t>
      </w:r>
      <w:r w:rsidRPr="00DB70D5">
        <w:rPr>
          <w:i/>
          <w:iCs/>
          <w:sz w:val="24"/>
          <w:szCs w:val="24"/>
        </w:rPr>
        <w:t>Escherichia coli</w:t>
      </w:r>
      <w:r w:rsidRPr="00DB70D5">
        <w:rPr>
          <w:sz w:val="24"/>
          <w:szCs w:val="24"/>
        </w:rPr>
        <w:t xml:space="preserve">, </w:t>
      </w:r>
      <w:proofErr w:type="spellStart"/>
      <w:r w:rsidRPr="00DB70D5">
        <w:rPr>
          <w:i/>
          <w:iCs/>
          <w:sz w:val="24"/>
          <w:szCs w:val="24"/>
        </w:rPr>
        <w:t>Salmonellae</w:t>
      </w:r>
      <w:proofErr w:type="spellEnd"/>
      <w:r w:rsidRPr="00DB70D5">
        <w:rPr>
          <w:sz w:val="24"/>
          <w:szCs w:val="24"/>
        </w:rPr>
        <w:t xml:space="preserve">, </w:t>
      </w:r>
      <w:proofErr w:type="spellStart"/>
      <w:r w:rsidRPr="00DB70D5">
        <w:rPr>
          <w:i/>
          <w:iCs/>
          <w:sz w:val="24"/>
          <w:szCs w:val="24"/>
        </w:rPr>
        <w:t>Enterobacter</w:t>
      </w:r>
      <w:proofErr w:type="spellEnd"/>
      <w:r w:rsidRPr="00DB70D5">
        <w:rPr>
          <w:sz w:val="24"/>
          <w:szCs w:val="24"/>
        </w:rPr>
        <w:t xml:space="preserve"> arter og </w:t>
      </w:r>
      <w:proofErr w:type="spellStart"/>
      <w:r w:rsidRPr="00DB70D5">
        <w:rPr>
          <w:i/>
          <w:iCs/>
          <w:sz w:val="24"/>
          <w:szCs w:val="24"/>
        </w:rPr>
        <w:t>Aeromonas</w:t>
      </w:r>
      <w:proofErr w:type="spellEnd"/>
      <w:r w:rsidRPr="00DB70D5">
        <w:rPr>
          <w:i/>
          <w:iCs/>
          <w:sz w:val="24"/>
          <w:szCs w:val="24"/>
        </w:rPr>
        <w:t xml:space="preserve"> </w:t>
      </w:r>
      <w:proofErr w:type="spellStart"/>
      <w:r w:rsidRPr="00DB70D5">
        <w:rPr>
          <w:i/>
          <w:iCs/>
          <w:sz w:val="24"/>
          <w:szCs w:val="24"/>
        </w:rPr>
        <w:t>hydrophila</w:t>
      </w:r>
      <w:proofErr w:type="spellEnd"/>
      <w:r w:rsidRPr="00DB70D5">
        <w:rPr>
          <w:i/>
          <w:iCs/>
          <w:sz w:val="24"/>
          <w:szCs w:val="24"/>
        </w:rPr>
        <w:t xml:space="preserve"> </w:t>
      </w:r>
      <w:r w:rsidRPr="00DB70D5">
        <w:rPr>
          <w:sz w:val="24"/>
          <w:szCs w:val="24"/>
        </w:rPr>
        <w:t xml:space="preserve">og </w:t>
      </w:r>
      <w:proofErr w:type="spellStart"/>
      <w:r w:rsidRPr="00DB70D5">
        <w:rPr>
          <w:i/>
          <w:iCs/>
          <w:sz w:val="24"/>
          <w:szCs w:val="24"/>
        </w:rPr>
        <w:t>Klebsiella</w:t>
      </w:r>
      <w:proofErr w:type="spellEnd"/>
      <w:r w:rsidRPr="00DB70D5">
        <w:rPr>
          <w:i/>
          <w:iCs/>
          <w:sz w:val="24"/>
          <w:szCs w:val="24"/>
        </w:rPr>
        <w:t xml:space="preserve"> </w:t>
      </w:r>
      <w:r w:rsidRPr="00DB70D5">
        <w:rPr>
          <w:sz w:val="24"/>
          <w:szCs w:val="24"/>
        </w:rPr>
        <w:t>arter. Derfor bør der foretages sensitivitetstests.</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sz w:val="24"/>
          <w:szCs w:val="24"/>
          <w:u w:val="single"/>
        </w:rPr>
      </w:pPr>
      <w:r w:rsidRPr="00DB70D5">
        <w:rPr>
          <w:sz w:val="24"/>
          <w:szCs w:val="24"/>
          <w:u w:val="single"/>
        </w:rPr>
        <w:t xml:space="preserve">Følgende bakterier er resistente over for </w:t>
      </w:r>
      <w:proofErr w:type="spellStart"/>
      <w:r w:rsidRPr="00DB70D5">
        <w:rPr>
          <w:sz w:val="24"/>
          <w:szCs w:val="24"/>
          <w:u w:val="single"/>
        </w:rPr>
        <w:t>azithromycin</w:t>
      </w:r>
      <w:proofErr w:type="spellEnd"/>
      <w:r w:rsidRPr="00DB70D5">
        <w:rPr>
          <w:sz w:val="24"/>
          <w:szCs w:val="24"/>
          <w:u w:val="single"/>
        </w:rPr>
        <w:t xml:space="preserve"> </w:t>
      </w:r>
      <w:r w:rsidRPr="00DB70D5">
        <w:rPr>
          <w:i/>
          <w:iCs/>
          <w:sz w:val="24"/>
          <w:szCs w:val="24"/>
          <w:u w:val="single"/>
        </w:rPr>
        <w:t xml:space="preserve">in </w:t>
      </w:r>
      <w:proofErr w:type="spellStart"/>
      <w:r w:rsidRPr="00DB70D5">
        <w:rPr>
          <w:i/>
          <w:iCs/>
          <w:sz w:val="24"/>
          <w:szCs w:val="24"/>
          <w:u w:val="single"/>
        </w:rPr>
        <w:t>vitro</w:t>
      </w:r>
      <w:proofErr w:type="spellEnd"/>
    </w:p>
    <w:p w:rsidR="00A50818" w:rsidRDefault="00A50818" w:rsidP="00DB70D5">
      <w:pPr>
        <w:tabs>
          <w:tab w:val="left" w:pos="851"/>
        </w:tabs>
        <w:ind w:left="851"/>
        <w:rPr>
          <w:sz w:val="24"/>
          <w:szCs w:val="24"/>
        </w:rPr>
      </w:pPr>
    </w:p>
    <w:p w:rsidR="00A50818" w:rsidRDefault="00DB70D5" w:rsidP="00DB70D5">
      <w:pPr>
        <w:tabs>
          <w:tab w:val="left" w:pos="851"/>
        </w:tabs>
        <w:ind w:left="851"/>
        <w:rPr>
          <w:sz w:val="24"/>
          <w:szCs w:val="24"/>
        </w:rPr>
      </w:pPr>
      <w:proofErr w:type="spellStart"/>
      <w:r w:rsidRPr="00DB70D5">
        <w:rPr>
          <w:sz w:val="24"/>
          <w:szCs w:val="24"/>
        </w:rPr>
        <w:t>Gram-positive</w:t>
      </w:r>
      <w:proofErr w:type="spellEnd"/>
      <w:r w:rsidRPr="00DB70D5">
        <w:rPr>
          <w:sz w:val="24"/>
          <w:szCs w:val="24"/>
        </w:rPr>
        <w:t xml:space="preserve"> aerobe bakterier</w:t>
      </w:r>
    </w:p>
    <w:p w:rsidR="00DB70D5" w:rsidRPr="00DB70D5" w:rsidRDefault="00DB70D5" w:rsidP="00DB70D5">
      <w:pPr>
        <w:tabs>
          <w:tab w:val="left" w:pos="851"/>
        </w:tabs>
        <w:ind w:left="851"/>
        <w:rPr>
          <w:sz w:val="24"/>
          <w:szCs w:val="24"/>
        </w:rPr>
      </w:pPr>
      <w:proofErr w:type="spellStart"/>
      <w:r w:rsidRPr="00DB70D5">
        <w:rPr>
          <w:i/>
          <w:iCs/>
          <w:sz w:val="24"/>
          <w:szCs w:val="24"/>
        </w:rPr>
        <w:t>Streptococcus</w:t>
      </w:r>
      <w:proofErr w:type="spellEnd"/>
      <w:r w:rsidRPr="00DB70D5">
        <w:rPr>
          <w:i/>
          <w:iCs/>
          <w:sz w:val="24"/>
          <w:szCs w:val="24"/>
        </w:rPr>
        <w:t xml:space="preserve"> </w:t>
      </w:r>
      <w:proofErr w:type="spellStart"/>
      <w:r w:rsidRPr="00DB70D5">
        <w:rPr>
          <w:i/>
          <w:iCs/>
          <w:sz w:val="24"/>
          <w:szCs w:val="24"/>
        </w:rPr>
        <w:t>faecalis</w:t>
      </w:r>
      <w:proofErr w:type="spellEnd"/>
      <w:r w:rsidRPr="00DB70D5">
        <w:rPr>
          <w:sz w:val="24"/>
          <w:szCs w:val="24"/>
        </w:rPr>
        <w:t xml:space="preserve"> (</w:t>
      </w:r>
      <w:proofErr w:type="spellStart"/>
      <w:r w:rsidRPr="00DB70D5">
        <w:rPr>
          <w:sz w:val="24"/>
          <w:szCs w:val="24"/>
        </w:rPr>
        <w:t>enterokokker</w:t>
      </w:r>
      <w:proofErr w:type="spellEnd"/>
      <w:r w:rsidRPr="00DB70D5">
        <w:rPr>
          <w:sz w:val="24"/>
          <w:szCs w:val="24"/>
        </w:rPr>
        <w:t xml:space="preserve">) og andre </w:t>
      </w:r>
      <w:proofErr w:type="spellStart"/>
      <w:r w:rsidRPr="00DB70D5">
        <w:rPr>
          <w:sz w:val="24"/>
          <w:szCs w:val="24"/>
        </w:rPr>
        <w:t>erythromycin</w:t>
      </w:r>
      <w:proofErr w:type="spellEnd"/>
      <w:r w:rsidRPr="00DB70D5">
        <w:rPr>
          <w:sz w:val="24"/>
          <w:szCs w:val="24"/>
        </w:rPr>
        <w:t xml:space="preserve">-resistente strenge, samt strenge for </w:t>
      </w:r>
      <w:proofErr w:type="spellStart"/>
      <w:r w:rsidRPr="00DB70D5">
        <w:rPr>
          <w:sz w:val="24"/>
          <w:szCs w:val="24"/>
        </w:rPr>
        <w:t>methicillin</w:t>
      </w:r>
      <w:proofErr w:type="spellEnd"/>
      <w:r w:rsidRPr="00DB70D5">
        <w:rPr>
          <w:sz w:val="24"/>
          <w:szCs w:val="24"/>
        </w:rPr>
        <w:t xml:space="preserve">-resistente stafylokokker. </w:t>
      </w:r>
    </w:p>
    <w:p w:rsidR="00DB70D5" w:rsidRPr="00DB70D5" w:rsidRDefault="00DB70D5" w:rsidP="00DB70D5">
      <w:pPr>
        <w:tabs>
          <w:tab w:val="left" w:pos="851"/>
        </w:tabs>
        <w:ind w:left="851"/>
        <w:rPr>
          <w:bCs/>
          <w:sz w:val="24"/>
          <w:szCs w:val="24"/>
          <w:u w:val="single"/>
        </w:rPr>
      </w:pPr>
    </w:p>
    <w:p w:rsidR="00A50818" w:rsidRDefault="00DB70D5" w:rsidP="00DB70D5">
      <w:pPr>
        <w:tabs>
          <w:tab w:val="left" w:pos="851"/>
        </w:tabs>
        <w:ind w:left="851"/>
        <w:rPr>
          <w:bCs/>
          <w:sz w:val="24"/>
          <w:szCs w:val="24"/>
        </w:rPr>
      </w:pPr>
      <w:proofErr w:type="spellStart"/>
      <w:r w:rsidRPr="00DB70D5">
        <w:rPr>
          <w:bCs/>
          <w:sz w:val="24"/>
          <w:szCs w:val="24"/>
        </w:rPr>
        <w:t>Gram-negative</w:t>
      </w:r>
      <w:proofErr w:type="spellEnd"/>
      <w:r w:rsidRPr="00DB70D5">
        <w:rPr>
          <w:bCs/>
          <w:sz w:val="24"/>
          <w:szCs w:val="24"/>
        </w:rPr>
        <w:t xml:space="preserve"> aerobe bakterier</w:t>
      </w:r>
    </w:p>
    <w:p w:rsidR="00DB70D5" w:rsidRPr="00DB70D5" w:rsidRDefault="00DB70D5" w:rsidP="00DB70D5">
      <w:pPr>
        <w:tabs>
          <w:tab w:val="left" w:pos="851"/>
        </w:tabs>
        <w:ind w:left="851"/>
        <w:rPr>
          <w:bCs/>
          <w:sz w:val="24"/>
          <w:szCs w:val="24"/>
        </w:rPr>
      </w:pPr>
      <w:r w:rsidRPr="00DB70D5">
        <w:rPr>
          <w:bCs/>
          <w:i/>
          <w:iCs/>
          <w:sz w:val="24"/>
          <w:szCs w:val="24"/>
        </w:rPr>
        <w:t xml:space="preserve">Proteus </w:t>
      </w:r>
      <w:r w:rsidRPr="00DB70D5">
        <w:rPr>
          <w:bCs/>
          <w:sz w:val="24"/>
          <w:szCs w:val="24"/>
        </w:rPr>
        <w:t xml:space="preserve">arter, </w:t>
      </w:r>
      <w:proofErr w:type="spellStart"/>
      <w:r w:rsidRPr="00DB70D5">
        <w:rPr>
          <w:bCs/>
          <w:i/>
          <w:iCs/>
          <w:sz w:val="24"/>
          <w:szCs w:val="24"/>
        </w:rPr>
        <w:t>Serratia</w:t>
      </w:r>
      <w:proofErr w:type="spellEnd"/>
      <w:r w:rsidRPr="00DB70D5">
        <w:rPr>
          <w:bCs/>
          <w:i/>
          <w:iCs/>
          <w:sz w:val="24"/>
          <w:szCs w:val="24"/>
        </w:rPr>
        <w:t xml:space="preserve"> </w:t>
      </w:r>
      <w:r w:rsidRPr="00DB70D5">
        <w:rPr>
          <w:bCs/>
          <w:sz w:val="24"/>
          <w:szCs w:val="24"/>
        </w:rPr>
        <w:t xml:space="preserve">arter, </w:t>
      </w:r>
      <w:proofErr w:type="spellStart"/>
      <w:r w:rsidRPr="00DB70D5">
        <w:rPr>
          <w:bCs/>
          <w:i/>
          <w:iCs/>
          <w:sz w:val="24"/>
          <w:szCs w:val="24"/>
        </w:rPr>
        <w:t>Morganella</w:t>
      </w:r>
      <w:proofErr w:type="spellEnd"/>
      <w:r w:rsidRPr="00DB70D5">
        <w:rPr>
          <w:bCs/>
          <w:i/>
          <w:iCs/>
          <w:sz w:val="24"/>
          <w:szCs w:val="24"/>
        </w:rPr>
        <w:t xml:space="preserve"> </w:t>
      </w:r>
      <w:r w:rsidRPr="00DB70D5">
        <w:rPr>
          <w:bCs/>
          <w:sz w:val="24"/>
          <w:szCs w:val="24"/>
        </w:rPr>
        <w:t xml:space="preserve">arter og </w:t>
      </w:r>
      <w:proofErr w:type="spellStart"/>
      <w:r w:rsidRPr="00DB70D5">
        <w:rPr>
          <w:bCs/>
          <w:i/>
          <w:iCs/>
          <w:sz w:val="24"/>
          <w:szCs w:val="24"/>
        </w:rPr>
        <w:t>Pseudomonas</w:t>
      </w:r>
      <w:proofErr w:type="spellEnd"/>
      <w:r w:rsidRPr="00DB70D5">
        <w:rPr>
          <w:bCs/>
          <w:i/>
          <w:iCs/>
          <w:sz w:val="24"/>
          <w:szCs w:val="24"/>
        </w:rPr>
        <w:t xml:space="preserve"> </w:t>
      </w:r>
      <w:proofErr w:type="spellStart"/>
      <w:r w:rsidRPr="00DB70D5">
        <w:rPr>
          <w:bCs/>
          <w:i/>
          <w:iCs/>
          <w:sz w:val="24"/>
          <w:szCs w:val="24"/>
        </w:rPr>
        <w:t>aeruginosa</w:t>
      </w:r>
      <w:proofErr w:type="spellEnd"/>
      <w:r w:rsidRPr="00DB70D5">
        <w:rPr>
          <w:bCs/>
          <w:i/>
          <w:iCs/>
          <w:sz w:val="24"/>
          <w:szCs w:val="24"/>
        </w:rPr>
        <w:t xml:space="preserve">. </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iCs/>
          <w:sz w:val="24"/>
          <w:szCs w:val="24"/>
          <w:u w:val="single"/>
        </w:rPr>
      </w:pPr>
      <w:r w:rsidRPr="00DB70D5">
        <w:rPr>
          <w:iCs/>
          <w:sz w:val="24"/>
          <w:szCs w:val="24"/>
          <w:u w:val="single"/>
        </w:rPr>
        <w:t>Kliniske farmakologiske data</w:t>
      </w:r>
    </w:p>
    <w:p w:rsidR="00DB70D5" w:rsidRPr="00DB70D5" w:rsidRDefault="00DB70D5" w:rsidP="00DB70D5">
      <w:pPr>
        <w:tabs>
          <w:tab w:val="left" w:pos="851"/>
        </w:tabs>
        <w:ind w:left="851"/>
        <w:rPr>
          <w:i/>
          <w:sz w:val="24"/>
          <w:szCs w:val="24"/>
        </w:rPr>
      </w:pPr>
    </w:p>
    <w:p w:rsidR="00DB70D5" w:rsidRPr="00DB70D5" w:rsidRDefault="00DB70D5" w:rsidP="00DB70D5">
      <w:pPr>
        <w:tabs>
          <w:tab w:val="left" w:pos="851"/>
        </w:tabs>
        <w:ind w:left="851"/>
        <w:rPr>
          <w:i/>
          <w:sz w:val="24"/>
          <w:szCs w:val="24"/>
        </w:rPr>
      </w:pPr>
      <w:r w:rsidRPr="00DB70D5">
        <w:rPr>
          <w:i/>
          <w:sz w:val="24"/>
          <w:szCs w:val="24"/>
        </w:rPr>
        <w:lastRenderedPageBreak/>
        <w:t>Behandling af lungebetændelse</w:t>
      </w:r>
    </w:p>
    <w:p w:rsidR="00DB70D5" w:rsidRPr="00DB70D5" w:rsidRDefault="00DB70D5" w:rsidP="00DB70D5">
      <w:pPr>
        <w:tabs>
          <w:tab w:val="left" w:pos="851"/>
        </w:tabs>
        <w:ind w:left="851"/>
        <w:rPr>
          <w:sz w:val="24"/>
          <w:szCs w:val="24"/>
        </w:rPr>
      </w:pPr>
      <w:r w:rsidRPr="00DB70D5">
        <w:rPr>
          <w:sz w:val="24"/>
          <w:szCs w:val="24"/>
        </w:rPr>
        <w:t xml:space="preserve">I et åbent, non-komparativ studie fik patienterne </w:t>
      </w:r>
      <w:proofErr w:type="spellStart"/>
      <w:r w:rsidRPr="00DB70D5">
        <w:rPr>
          <w:sz w:val="24"/>
          <w:szCs w:val="24"/>
        </w:rPr>
        <w:t>azithromycin</w:t>
      </w:r>
      <w:proofErr w:type="spellEnd"/>
      <w:r w:rsidRPr="00DB70D5">
        <w:rPr>
          <w:sz w:val="24"/>
          <w:szCs w:val="24"/>
        </w:rPr>
        <w:t xml:space="preserve"> som intravenøs infusion i 2-5 dage efterfulgt af oralt </w:t>
      </w:r>
      <w:proofErr w:type="spellStart"/>
      <w:r w:rsidRPr="00DB70D5">
        <w:rPr>
          <w:sz w:val="24"/>
          <w:szCs w:val="24"/>
        </w:rPr>
        <w:t>azithromycin</w:t>
      </w:r>
      <w:proofErr w:type="spellEnd"/>
      <w:r w:rsidRPr="00DB70D5">
        <w:rPr>
          <w:sz w:val="24"/>
          <w:szCs w:val="24"/>
        </w:rPr>
        <w:t xml:space="preserve"> for at fuldende en behandling på 7-10 dage. Den kliniske succesrate (helbredelse samt forbedring) blandt </w:t>
      </w:r>
      <w:proofErr w:type="spellStart"/>
      <w:r w:rsidRPr="00DB70D5">
        <w:rPr>
          <w:sz w:val="24"/>
          <w:szCs w:val="24"/>
        </w:rPr>
        <w:t>evaluerbare</w:t>
      </w:r>
      <w:proofErr w:type="spellEnd"/>
      <w:r w:rsidRPr="00DB70D5">
        <w:rPr>
          <w:sz w:val="24"/>
          <w:szCs w:val="24"/>
        </w:rPr>
        <w:t xml:space="preserve"> patienter var 88 % (74/84) 10-14 dage efter behandling samt 86 % (73/85) efter 4-6 uger.</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sz w:val="24"/>
          <w:szCs w:val="24"/>
        </w:rPr>
      </w:pPr>
      <w:r w:rsidRPr="00DB70D5">
        <w:rPr>
          <w:sz w:val="24"/>
          <w:szCs w:val="24"/>
        </w:rPr>
        <w:t xml:space="preserve">I et åbent, randomiseret komparativt studie med </w:t>
      </w:r>
      <w:proofErr w:type="spellStart"/>
      <w:r w:rsidRPr="00DB70D5">
        <w:rPr>
          <w:sz w:val="24"/>
          <w:szCs w:val="24"/>
        </w:rPr>
        <w:t>azithromycin</w:t>
      </w:r>
      <w:proofErr w:type="spellEnd"/>
      <w:r w:rsidRPr="00DB70D5">
        <w:rPr>
          <w:sz w:val="24"/>
          <w:szCs w:val="24"/>
        </w:rPr>
        <w:t xml:space="preserve"> (intravenøs efterfulgt af oral behandling) versus </w:t>
      </w:r>
      <w:proofErr w:type="spellStart"/>
      <w:r w:rsidRPr="00DB70D5">
        <w:rPr>
          <w:sz w:val="24"/>
          <w:szCs w:val="24"/>
        </w:rPr>
        <w:t>cefuroxim</w:t>
      </w:r>
      <w:proofErr w:type="spellEnd"/>
      <w:r w:rsidRPr="00DB70D5">
        <w:rPr>
          <w:sz w:val="24"/>
          <w:szCs w:val="24"/>
        </w:rPr>
        <w:t xml:space="preserve"> (</w:t>
      </w:r>
      <w:proofErr w:type="spellStart"/>
      <w:r w:rsidRPr="00DB70D5">
        <w:rPr>
          <w:sz w:val="24"/>
          <w:szCs w:val="24"/>
        </w:rPr>
        <w:t>introvenøs</w:t>
      </w:r>
      <w:proofErr w:type="spellEnd"/>
      <w:r w:rsidRPr="00DB70D5">
        <w:rPr>
          <w:sz w:val="24"/>
          <w:szCs w:val="24"/>
        </w:rPr>
        <w:t xml:space="preserve"> efterfulgt af oral behandling med </w:t>
      </w:r>
      <w:proofErr w:type="spellStart"/>
      <w:r w:rsidRPr="00DB70D5">
        <w:rPr>
          <w:sz w:val="24"/>
          <w:szCs w:val="24"/>
        </w:rPr>
        <w:t>erythromycin</w:t>
      </w:r>
      <w:proofErr w:type="spellEnd"/>
      <w:r w:rsidRPr="00DB70D5">
        <w:rPr>
          <w:sz w:val="24"/>
          <w:szCs w:val="24"/>
        </w:rPr>
        <w:t xml:space="preserve"> som kræves) sås ingen statistiske signifikant forskelle mellem disse behandlinger.</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sz w:val="24"/>
          <w:szCs w:val="24"/>
        </w:rPr>
      </w:pPr>
      <w:r w:rsidRPr="00DB70D5">
        <w:rPr>
          <w:sz w:val="24"/>
          <w:szCs w:val="24"/>
        </w:rPr>
        <w:t xml:space="preserve">Disse to studier viste en samlet helbredelsesrate hos patienter, der var serologisk positive over for </w:t>
      </w:r>
      <w:r w:rsidRPr="00DB70D5">
        <w:rPr>
          <w:i/>
          <w:sz w:val="24"/>
          <w:szCs w:val="24"/>
        </w:rPr>
        <w:t xml:space="preserve">Legionella </w:t>
      </w:r>
      <w:proofErr w:type="spellStart"/>
      <w:r w:rsidRPr="00DB70D5">
        <w:rPr>
          <w:i/>
          <w:sz w:val="24"/>
          <w:szCs w:val="24"/>
        </w:rPr>
        <w:t>pneumophilla</w:t>
      </w:r>
      <w:proofErr w:type="spellEnd"/>
      <w:r w:rsidRPr="00DB70D5">
        <w:rPr>
          <w:sz w:val="24"/>
          <w:szCs w:val="24"/>
        </w:rPr>
        <w:t xml:space="preserve"> på 84 % (16/19). Derudover i et åbent, non-komparativt studie blev patienter, der var diagnosticeret positive over for </w:t>
      </w:r>
      <w:r w:rsidRPr="00DB70D5">
        <w:rPr>
          <w:i/>
          <w:sz w:val="24"/>
          <w:szCs w:val="24"/>
        </w:rPr>
        <w:t xml:space="preserve">Legionella </w:t>
      </w:r>
      <w:proofErr w:type="spellStart"/>
      <w:r w:rsidRPr="00DB70D5">
        <w:rPr>
          <w:i/>
          <w:sz w:val="24"/>
          <w:szCs w:val="24"/>
        </w:rPr>
        <w:t>pneumophilla</w:t>
      </w:r>
      <w:proofErr w:type="spellEnd"/>
      <w:r w:rsidRPr="00DB70D5">
        <w:rPr>
          <w:sz w:val="24"/>
          <w:szCs w:val="24"/>
        </w:rPr>
        <w:t xml:space="preserve"> (</w:t>
      </w:r>
      <w:proofErr w:type="spellStart"/>
      <w:r w:rsidRPr="00DB70D5">
        <w:rPr>
          <w:sz w:val="24"/>
          <w:szCs w:val="24"/>
        </w:rPr>
        <w:t>serogruppe</w:t>
      </w:r>
      <w:proofErr w:type="spellEnd"/>
      <w:r w:rsidRPr="00DB70D5">
        <w:rPr>
          <w:sz w:val="24"/>
          <w:szCs w:val="24"/>
        </w:rPr>
        <w:t xml:space="preserve"> I) ved at anvende en specifik urinantigentest, behandlet med </w:t>
      </w:r>
      <w:proofErr w:type="spellStart"/>
      <w:r w:rsidRPr="00DB70D5">
        <w:rPr>
          <w:sz w:val="24"/>
          <w:szCs w:val="24"/>
        </w:rPr>
        <w:t>azithromycin</w:t>
      </w:r>
      <w:proofErr w:type="spellEnd"/>
      <w:r w:rsidRPr="00DB70D5">
        <w:rPr>
          <w:sz w:val="24"/>
          <w:szCs w:val="24"/>
        </w:rPr>
        <w:t xml:space="preserve"> intravenøst efterfulgt af oral behandling. Efter 10-14 dage blev 16 ud af 17 </w:t>
      </w:r>
      <w:proofErr w:type="spellStart"/>
      <w:r w:rsidRPr="00DB70D5">
        <w:rPr>
          <w:sz w:val="24"/>
          <w:szCs w:val="24"/>
        </w:rPr>
        <w:t>evaluerbare</w:t>
      </w:r>
      <w:proofErr w:type="spellEnd"/>
      <w:r w:rsidRPr="00DB70D5">
        <w:rPr>
          <w:sz w:val="24"/>
          <w:szCs w:val="24"/>
        </w:rPr>
        <w:t xml:space="preserve"> patienter klinisk helbredt, og efter 4-6 uger var 20 ud af 20 </w:t>
      </w:r>
      <w:proofErr w:type="spellStart"/>
      <w:r w:rsidRPr="00DB70D5">
        <w:rPr>
          <w:sz w:val="24"/>
          <w:szCs w:val="24"/>
        </w:rPr>
        <w:t>evaluerbare</w:t>
      </w:r>
      <w:proofErr w:type="spellEnd"/>
      <w:r w:rsidRPr="00DB70D5">
        <w:rPr>
          <w:sz w:val="24"/>
          <w:szCs w:val="24"/>
        </w:rPr>
        <w:t xml:space="preserve"> patienter klinisk helbredt.</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i/>
          <w:sz w:val="24"/>
          <w:szCs w:val="24"/>
        </w:rPr>
      </w:pPr>
      <w:r w:rsidRPr="00DB70D5">
        <w:rPr>
          <w:i/>
          <w:sz w:val="24"/>
          <w:szCs w:val="24"/>
        </w:rPr>
        <w:t>Behandling af underlivsinfektioner</w:t>
      </w:r>
    </w:p>
    <w:p w:rsidR="00DB70D5" w:rsidRPr="00DB70D5" w:rsidRDefault="00DB70D5" w:rsidP="00DB70D5">
      <w:pPr>
        <w:tabs>
          <w:tab w:val="left" w:pos="851"/>
        </w:tabs>
        <w:ind w:left="851"/>
        <w:rPr>
          <w:sz w:val="24"/>
          <w:szCs w:val="24"/>
        </w:rPr>
      </w:pPr>
      <w:r w:rsidRPr="00DB70D5">
        <w:rPr>
          <w:sz w:val="24"/>
          <w:szCs w:val="24"/>
        </w:rPr>
        <w:t xml:space="preserve">Resultaterne af et åbent studie viste, at tre </w:t>
      </w:r>
      <w:proofErr w:type="spellStart"/>
      <w:r w:rsidRPr="00DB70D5">
        <w:rPr>
          <w:sz w:val="24"/>
          <w:szCs w:val="24"/>
        </w:rPr>
        <w:t>behandlingseregimer</w:t>
      </w:r>
      <w:proofErr w:type="spellEnd"/>
      <w:r w:rsidRPr="00DB70D5">
        <w:rPr>
          <w:sz w:val="24"/>
          <w:szCs w:val="24"/>
        </w:rPr>
        <w:t xml:space="preserve"> (</w:t>
      </w:r>
      <w:proofErr w:type="spellStart"/>
      <w:r w:rsidRPr="00DB70D5">
        <w:rPr>
          <w:sz w:val="24"/>
          <w:szCs w:val="24"/>
        </w:rPr>
        <w:t>azithromycin</w:t>
      </w:r>
      <w:proofErr w:type="spellEnd"/>
      <w:r w:rsidRPr="00DB70D5">
        <w:rPr>
          <w:sz w:val="24"/>
          <w:szCs w:val="24"/>
        </w:rPr>
        <w:t xml:space="preserve"> versus </w:t>
      </w:r>
      <w:proofErr w:type="spellStart"/>
      <w:r w:rsidRPr="00DB70D5">
        <w:rPr>
          <w:sz w:val="24"/>
          <w:szCs w:val="24"/>
        </w:rPr>
        <w:t>azithromycin</w:t>
      </w:r>
      <w:proofErr w:type="spellEnd"/>
      <w:r w:rsidRPr="00DB70D5">
        <w:rPr>
          <w:sz w:val="24"/>
          <w:szCs w:val="24"/>
        </w:rPr>
        <w:t>/</w:t>
      </w:r>
      <w:proofErr w:type="spellStart"/>
      <w:r w:rsidRPr="00DB70D5">
        <w:rPr>
          <w:sz w:val="24"/>
          <w:szCs w:val="24"/>
        </w:rPr>
        <w:t>metronidazol</w:t>
      </w:r>
      <w:proofErr w:type="spellEnd"/>
      <w:r w:rsidRPr="00DB70D5">
        <w:rPr>
          <w:sz w:val="24"/>
          <w:szCs w:val="24"/>
        </w:rPr>
        <w:t xml:space="preserve"> versus </w:t>
      </w:r>
      <w:proofErr w:type="spellStart"/>
      <w:r w:rsidRPr="00DB70D5">
        <w:rPr>
          <w:sz w:val="24"/>
          <w:szCs w:val="24"/>
        </w:rPr>
        <w:t>doxycyclin</w:t>
      </w:r>
      <w:proofErr w:type="spellEnd"/>
      <w:r w:rsidRPr="00DB70D5">
        <w:rPr>
          <w:sz w:val="24"/>
          <w:szCs w:val="24"/>
        </w:rPr>
        <w:t xml:space="preserve">, </w:t>
      </w:r>
      <w:proofErr w:type="spellStart"/>
      <w:r w:rsidRPr="00DB70D5">
        <w:rPr>
          <w:sz w:val="24"/>
          <w:szCs w:val="24"/>
        </w:rPr>
        <w:t>metronidazol</w:t>
      </w:r>
      <w:proofErr w:type="spellEnd"/>
      <w:r w:rsidRPr="00DB70D5">
        <w:rPr>
          <w:sz w:val="24"/>
          <w:szCs w:val="24"/>
        </w:rPr>
        <w:t xml:space="preserve">, </w:t>
      </w:r>
      <w:proofErr w:type="spellStart"/>
      <w:r w:rsidRPr="00DB70D5">
        <w:rPr>
          <w:sz w:val="24"/>
          <w:szCs w:val="24"/>
        </w:rPr>
        <w:t>cefoxitin</w:t>
      </w:r>
      <w:proofErr w:type="spellEnd"/>
      <w:r w:rsidRPr="00DB70D5">
        <w:rPr>
          <w:sz w:val="24"/>
          <w:szCs w:val="24"/>
        </w:rPr>
        <w:t xml:space="preserve"> og </w:t>
      </w:r>
      <w:proofErr w:type="spellStart"/>
      <w:r w:rsidRPr="00DB70D5">
        <w:rPr>
          <w:sz w:val="24"/>
          <w:szCs w:val="24"/>
        </w:rPr>
        <w:t>probenecid</w:t>
      </w:r>
      <w:proofErr w:type="spellEnd"/>
      <w:r w:rsidRPr="00DB70D5">
        <w:rPr>
          <w:sz w:val="24"/>
          <w:szCs w:val="24"/>
        </w:rPr>
        <w:t>) var sammenlignelige med hensyn til virkning og sikkerhed hos personer med akut underlivs</w:t>
      </w:r>
      <w:r w:rsidRPr="00DB70D5">
        <w:rPr>
          <w:sz w:val="24"/>
          <w:szCs w:val="24"/>
        </w:rPr>
        <w:softHyphen/>
        <w:t xml:space="preserve">infektion. I et andet åbent, komparativ studie hos patienter med akut underlivsinfektion blev patienter behandlet med </w:t>
      </w:r>
      <w:proofErr w:type="spellStart"/>
      <w:r w:rsidRPr="00DB70D5">
        <w:rPr>
          <w:sz w:val="24"/>
          <w:szCs w:val="24"/>
        </w:rPr>
        <w:t>azithromycin</w:t>
      </w:r>
      <w:proofErr w:type="spellEnd"/>
      <w:r w:rsidRPr="00DB70D5">
        <w:rPr>
          <w:sz w:val="24"/>
          <w:szCs w:val="24"/>
        </w:rPr>
        <w:t xml:space="preserve"> </w:t>
      </w:r>
      <w:proofErr w:type="spellStart"/>
      <w:r w:rsidRPr="00DB70D5">
        <w:rPr>
          <w:sz w:val="24"/>
          <w:szCs w:val="24"/>
        </w:rPr>
        <w:t>i.v</w:t>
      </w:r>
      <w:proofErr w:type="spellEnd"/>
      <w:r w:rsidRPr="00DB70D5">
        <w:rPr>
          <w:sz w:val="24"/>
          <w:szCs w:val="24"/>
        </w:rPr>
        <w:t xml:space="preserve">./oral versus </w:t>
      </w:r>
      <w:proofErr w:type="spellStart"/>
      <w:r w:rsidRPr="00DB70D5">
        <w:rPr>
          <w:sz w:val="24"/>
          <w:szCs w:val="24"/>
        </w:rPr>
        <w:t>azithromycin</w:t>
      </w:r>
      <w:proofErr w:type="spellEnd"/>
      <w:r w:rsidRPr="00DB70D5">
        <w:rPr>
          <w:sz w:val="24"/>
          <w:szCs w:val="24"/>
        </w:rPr>
        <w:t xml:space="preserve"> </w:t>
      </w:r>
      <w:proofErr w:type="spellStart"/>
      <w:r w:rsidRPr="00DB70D5">
        <w:rPr>
          <w:sz w:val="24"/>
          <w:szCs w:val="24"/>
        </w:rPr>
        <w:t>i.v</w:t>
      </w:r>
      <w:proofErr w:type="spellEnd"/>
      <w:r w:rsidRPr="00DB70D5">
        <w:rPr>
          <w:sz w:val="24"/>
          <w:szCs w:val="24"/>
        </w:rPr>
        <w:t xml:space="preserve">. samt </w:t>
      </w:r>
      <w:proofErr w:type="spellStart"/>
      <w:r w:rsidRPr="00DB70D5">
        <w:rPr>
          <w:sz w:val="24"/>
          <w:szCs w:val="24"/>
        </w:rPr>
        <w:t>metronidazol</w:t>
      </w:r>
      <w:proofErr w:type="spellEnd"/>
      <w:r w:rsidRPr="00DB70D5">
        <w:rPr>
          <w:sz w:val="24"/>
          <w:szCs w:val="24"/>
        </w:rPr>
        <w:t xml:space="preserve"> </w:t>
      </w:r>
      <w:proofErr w:type="spellStart"/>
      <w:r w:rsidRPr="00DB70D5">
        <w:rPr>
          <w:sz w:val="24"/>
          <w:szCs w:val="24"/>
        </w:rPr>
        <w:t>i.v</w:t>
      </w:r>
      <w:proofErr w:type="spellEnd"/>
      <w:r w:rsidRPr="00DB70D5">
        <w:rPr>
          <w:sz w:val="24"/>
          <w:szCs w:val="24"/>
        </w:rPr>
        <w:t xml:space="preserve">./oral versus oral </w:t>
      </w:r>
      <w:proofErr w:type="spellStart"/>
      <w:r w:rsidRPr="00DB70D5">
        <w:rPr>
          <w:sz w:val="24"/>
          <w:szCs w:val="24"/>
        </w:rPr>
        <w:t>doxycyclin</w:t>
      </w:r>
      <w:proofErr w:type="spellEnd"/>
      <w:r w:rsidRPr="00DB70D5">
        <w:rPr>
          <w:sz w:val="24"/>
          <w:szCs w:val="24"/>
        </w:rPr>
        <w:t xml:space="preserve"> samt </w:t>
      </w:r>
      <w:proofErr w:type="spellStart"/>
      <w:r w:rsidRPr="00DB70D5">
        <w:rPr>
          <w:sz w:val="24"/>
          <w:szCs w:val="24"/>
        </w:rPr>
        <w:t>coamoxiclav</w:t>
      </w:r>
      <w:proofErr w:type="spellEnd"/>
      <w:r w:rsidRPr="00DB70D5">
        <w:rPr>
          <w:sz w:val="24"/>
          <w:szCs w:val="24"/>
        </w:rPr>
        <w:t xml:space="preserve"> </w:t>
      </w:r>
      <w:proofErr w:type="spellStart"/>
      <w:r w:rsidRPr="00DB70D5">
        <w:rPr>
          <w:sz w:val="24"/>
          <w:szCs w:val="24"/>
        </w:rPr>
        <w:t>i.v</w:t>
      </w:r>
      <w:proofErr w:type="spellEnd"/>
      <w:r w:rsidRPr="00DB70D5">
        <w:rPr>
          <w:sz w:val="24"/>
          <w:szCs w:val="24"/>
        </w:rPr>
        <w:t xml:space="preserve">./oral. Disse behandlingsregimer var også sammenlignelige med hensyn til virkning og sikkerhed. Data fra disse studier viste en samlet klinisk succesrate (helbredt samt forbedret) på </w:t>
      </w:r>
      <w:r w:rsidRPr="00DB70D5">
        <w:rPr>
          <w:sz w:val="24"/>
          <w:szCs w:val="24"/>
        </w:rPr>
        <w:sym w:font="Symbol" w:char="F0B3"/>
      </w:r>
      <w:r w:rsidRPr="00DB70D5">
        <w:rPr>
          <w:sz w:val="24"/>
          <w:szCs w:val="24"/>
        </w:rPr>
        <w:t xml:space="preserve"> 97 % i alle behandlingsgrupper ved slutningen af behandlingen og med </w:t>
      </w:r>
      <w:r w:rsidRPr="00DB70D5">
        <w:rPr>
          <w:sz w:val="24"/>
          <w:szCs w:val="24"/>
        </w:rPr>
        <w:sym w:font="Symbol" w:char="F0B3"/>
      </w:r>
      <w:r w:rsidRPr="00DB70D5">
        <w:rPr>
          <w:sz w:val="24"/>
          <w:szCs w:val="24"/>
        </w:rPr>
        <w:t xml:space="preserve"> 96 % af </w:t>
      </w:r>
      <w:proofErr w:type="spellStart"/>
      <w:r w:rsidRPr="00DB70D5">
        <w:rPr>
          <w:sz w:val="24"/>
          <w:szCs w:val="24"/>
        </w:rPr>
        <w:t>patogenerne</w:t>
      </w:r>
      <w:proofErr w:type="spellEnd"/>
      <w:r w:rsidRPr="00DB70D5">
        <w:rPr>
          <w:sz w:val="24"/>
          <w:szCs w:val="24"/>
        </w:rPr>
        <w:t xml:space="preserve"> udryddet. Ved </w:t>
      </w:r>
      <w:proofErr w:type="spellStart"/>
      <w:r w:rsidRPr="00DB70D5">
        <w:rPr>
          <w:sz w:val="24"/>
          <w:szCs w:val="24"/>
        </w:rPr>
        <w:t>follow-up</w:t>
      </w:r>
      <w:proofErr w:type="spellEnd"/>
      <w:r w:rsidRPr="00DB70D5">
        <w:rPr>
          <w:sz w:val="24"/>
          <w:szCs w:val="24"/>
        </w:rPr>
        <w:t xml:space="preserve"> var </w:t>
      </w:r>
      <w:r w:rsidRPr="00DB70D5">
        <w:rPr>
          <w:sz w:val="24"/>
          <w:szCs w:val="24"/>
        </w:rPr>
        <w:sym w:font="Symbol" w:char="F0B3"/>
      </w:r>
      <w:r w:rsidRPr="00DB70D5">
        <w:rPr>
          <w:sz w:val="24"/>
          <w:szCs w:val="24"/>
        </w:rPr>
        <w:t xml:space="preserve"> 90 % af </w:t>
      </w:r>
      <w:proofErr w:type="spellStart"/>
      <w:r w:rsidRPr="00DB70D5">
        <w:rPr>
          <w:sz w:val="24"/>
          <w:szCs w:val="24"/>
        </w:rPr>
        <w:t>patogenerne</w:t>
      </w:r>
      <w:proofErr w:type="spellEnd"/>
      <w:r w:rsidRPr="00DB70D5">
        <w:rPr>
          <w:sz w:val="24"/>
          <w:szCs w:val="24"/>
        </w:rPr>
        <w:t xml:space="preserve"> udryddet.</w:t>
      </w:r>
    </w:p>
    <w:p w:rsidR="00DB70D5" w:rsidRPr="00DB70D5" w:rsidRDefault="00DB70D5" w:rsidP="00DB70D5">
      <w:pPr>
        <w:tabs>
          <w:tab w:val="left" w:pos="851"/>
        </w:tabs>
        <w:ind w:left="851"/>
        <w:rPr>
          <w:sz w:val="24"/>
          <w:szCs w:val="24"/>
        </w:rPr>
      </w:pPr>
    </w:p>
    <w:p w:rsidR="00DB70D5" w:rsidRPr="00DB70D5" w:rsidRDefault="00DB70D5" w:rsidP="00DB70D5">
      <w:pPr>
        <w:tabs>
          <w:tab w:val="left" w:pos="851"/>
        </w:tabs>
        <w:ind w:left="851"/>
        <w:rPr>
          <w:sz w:val="24"/>
          <w:szCs w:val="24"/>
          <w:u w:val="single"/>
        </w:rPr>
      </w:pPr>
      <w:r w:rsidRPr="00DB70D5">
        <w:rPr>
          <w:sz w:val="24"/>
          <w:szCs w:val="24"/>
          <w:u w:val="single"/>
        </w:rPr>
        <w:t>Pædiatrisk population</w:t>
      </w:r>
    </w:p>
    <w:p w:rsidR="00DB70D5" w:rsidRPr="00DB70D5" w:rsidRDefault="00DB70D5" w:rsidP="00DB70D5">
      <w:pPr>
        <w:tabs>
          <w:tab w:val="left" w:pos="851"/>
        </w:tabs>
        <w:ind w:left="851"/>
        <w:rPr>
          <w:sz w:val="24"/>
          <w:szCs w:val="24"/>
        </w:rPr>
      </w:pPr>
      <w:r w:rsidRPr="00DB70D5">
        <w:rPr>
          <w:sz w:val="24"/>
          <w:szCs w:val="24"/>
        </w:rPr>
        <w:t xml:space="preserve">Efter en gennemgang af kliniske studier med børn, kan </w:t>
      </w:r>
      <w:proofErr w:type="spellStart"/>
      <w:r w:rsidRPr="00DB70D5">
        <w:rPr>
          <w:sz w:val="24"/>
          <w:szCs w:val="24"/>
        </w:rPr>
        <w:t>azithromycin</w:t>
      </w:r>
      <w:proofErr w:type="spellEnd"/>
      <w:r w:rsidRPr="00DB70D5">
        <w:rPr>
          <w:sz w:val="24"/>
          <w:szCs w:val="24"/>
        </w:rPr>
        <w:t xml:space="preserve"> ikke anbefales til behandling af malaria, hverken som monoterapi eller i kombination med </w:t>
      </w:r>
      <w:proofErr w:type="spellStart"/>
      <w:r w:rsidRPr="00DB70D5">
        <w:rPr>
          <w:sz w:val="24"/>
          <w:szCs w:val="24"/>
        </w:rPr>
        <w:t>chloroquin</w:t>
      </w:r>
      <w:proofErr w:type="spellEnd"/>
      <w:r w:rsidRPr="00DB70D5">
        <w:rPr>
          <w:sz w:val="24"/>
          <w:szCs w:val="24"/>
        </w:rPr>
        <w:t xml:space="preserve"> eller </w:t>
      </w:r>
      <w:proofErr w:type="spellStart"/>
      <w:r w:rsidRPr="00DB70D5">
        <w:rPr>
          <w:sz w:val="24"/>
          <w:szCs w:val="24"/>
        </w:rPr>
        <w:t>artemisininer</w:t>
      </w:r>
      <w:proofErr w:type="spellEnd"/>
      <w:r w:rsidRPr="00DB70D5">
        <w:rPr>
          <w:sz w:val="24"/>
          <w:szCs w:val="24"/>
        </w:rPr>
        <w:t>, da der ikke kunne påvises non-inferioritet sammenlignet med midler mod malaria, der anbefales til behandling af ukompliceret malaria.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50818" w:rsidRDefault="00A50818" w:rsidP="00A50818">
      <w:pPr>
        <w:tabs>
          <w:tab w:val="left" w:pos="851"/>
        </w:tabs>
        <w:ind w:left="851"/>
        <w:rPr>
          <w:b/>
          <w:sz w:val="24"/>
          <w:szCs w:val="24"/>
        </w:rPr>
      </w:pPr>
    </w:p>
    <w:p w:rsidR="00A50818" w:rsidRPr="00A50818" w:rsidRDefault="00A50818" w:rsidP="00A50818">
      <w:pPr>
        <w:tabs>
          <w:tab w:val="left" w:pos="851"/>
        </w:tabs>
        <w:ind w:left="851"/>
        <w:rPr>
          <w:iCs/>
          <w:sz w:val="24"/>
          <w:szCs w:val="24"/>
          <w:u w:val="single"/>
        </w:rPr>
      </w:pPr>
      <w:r w:rsidRPr="00A50818">
        <w:rPr>
          <w:iCs/>
          <w:sz w:val="24"/>
          <w:szCs w:val="24"/>
          <w:u w:val="single"/>
        </w:rPr>
        <w:t>Absorption</w:t>
      </w:r>
    </w:p>
    <w:p w:rsidR="00A50818" w:rsidRPr="00A50818" w:rsidRDefault="00A50818" w:rsidP="00A50818">
      <w:pPr>
        <w:tabs>
          <w:tab w:val="left" w:pos="851"/>
        </w:tabs>
        <w:ind w:left="851"/>
        <w:rPr>
          <w:sz w:val="24"/>
          <w:szCs w:val="24"/>
        </w:rPr>
      </w:pPr>
      <w:proofErr w:type="spellStart"/>
      <w:r w:rsidRPr="00A50818">
        <w:rPr>
          <w:sz w:val="24"/>
          <w:szCs w:val="24"/>
        </w:rPr>
        <w:t>Azithromycin</w:t>
      </w:r>
      <w:proofErr w:type="spellEnd"/>
      <w:r w:rsidRPr="00A50818">
        <w:rPr>
          <w:sz w:val="24"/>
          <w:szCs w:val="24"/>
        </w:rPr>
        <w:t xml:space="preserve"> er bredt distribueret i kroppen og biotilgængeligheden er ca. 37 % hos mennesker. Peak plasmaniveauer nås efter 2-3 timer. </w:t>
      </w:r>
    </w:p>
    <w:p w:rsidR="00A50818" w:rsidRPr="00A50818" w:rsidRDefault="00A50818" w:rsidP="00A50818">
      <w:pPr>
        <w:tabs>
          <w:tab w:val="left" w:pos="851"/>
        </w:tabs>
        <w:ind w:left="851"/>
        <w:rPr>
          <w:i/>
          <w:sz w:val="24"/>
          <w:szCs w:val="24"/>
        </w:rPr>
      </w:pPr>
      <w:r w:rsidRPr="00A50818">
        <w:rPr>
          <w:i/>
          <w:sz w:val="24"/>
          <w:szCs w:val="24"/>
        </w:rPr>
        <w:tab/>
      </w:r>
    </w:p>
    <w:p w:rsidR="00A50818" w:rsidRPr="00A50818" w:rsidRDefault="00A50818" w:rsidP="00A50818">
      <w:pPr>
        <w:tabs>
          <w:tab w:val="left" w:pos="851"/>
        </w:tabs>
        <w:ind w:left="851"/>
        <w:rPr>
          <w:iCs/>
          <w:sz w:val="24"/>
          <w:szCs w:val="24"/>
          <w:u w:val="single"/>
        </w:rPr>
      </w:pPr>
      <w:r w:rsidRPr="00A50818">
        <w:rPr>
          <w:iCs/>
          <w:sz w:val="24"/>
          <w:szCs w:val="24"/>
          <w:u w:val="single"/>
        </w:rPr>
        <w:t>Distribution</w:t>
      </w:r>
    </w:p>
    <w:p w:rsidR="00A50818" w:rsidRPr="00A50818" w:rsidRDefault="00A50818" w:rsidP="00A50818">
      <w:pPr>
        <w:tabs>
          <w:tab w:val="left" w:pos="851"/>
        </w:tabs>
        <w:ind w:left="851"/>
        <w:rPr>
          <w:sz w:val="24"/>
          <w:szCs w:val="24"/>
        </w:rPr>
      </w:pPr>
      <w:r w:rsidRPr="00A50818">
        <w:rPr>
          <w:sz w:val="24"/>
          <w:szCs w:val="24"/>
        </w:rPr>
        <w:t xml:space="preserve">Der er målt høje koncentrationer af </w:t>
      </w:r>
      <w:proofErr w:type="spellStart"/>
      <w:r w:rsidRPr="00A50818">
        <w:rPr>
          <w:sz w:val="24"/>
          <w:szCs w:val="24"/>
        </w:rPr>
        <w:t>azithromycin</w:t>
      </w:r>
      <w:proofErr w:type="spellEnd"/>
      <w:r w:rsidRPr="00A50818">
        <w:rPr>
          <w:sz w:val="24"/>
          <w:szCs w:val="24"/>
        </w:rPr>
        <w:t xml:space="preserve"> i fagocyter i dyr. I </w:t>
      </w:r>
      <w:proofErr w:type="spellStart"/>
      <w:r w:rsidRPr="00A50818">
        <w:rPr>
          <w:sz w:val="24"/>
          <w:szCs w:val="24"/>
        </w:rPr>
        <w:t>eksperimentielle</w:t>
      </w:r>
      <w:proofErr w:type="spellEnd"/>
      <w:r w:rsidRPr="00A50818">
        <w:rPr>
          <w:sz w:val="24"/>
          <w:szCs w:val="24"/>
        </w:rPr>
        <w:t xml:space="preserve"> modeller er højere koncentrationer af </w:t>
      </w:r>
      <w:proofErr w:type="spellStart"/>
      <w:r w:rsidRPr="00A50818">
        <w:rPr>
          <w:sz w:val="24"/>
          <w:szCs w:val="24"/>
        </w:rPr>
        <w:t>azithromycin</w:t>
      </w:r>
      <w:proofErr w:type="spellEnd"/>
      <w:r w:rsidRPr="00A50818">
        <w:rPr>
          <w:sz w:val="24"/>
          <w:szCs w:val="24"/>
        </w:rPr>
        <w:t xml:space="preserve"> frigivet via aktive fagocytter end i ikke-stimuleret fagocytter. I dyrmodeller fører dette til distribution af højere koncentrationer af </w:t>
      </w:r>
      <w:proofErr w:type="spellStart"/>
      <w:r w:rsidRPr="00A50818">
        <w:rPr>
          <w:sz w:val="24"/>
          <w:szCs w:val="24"/>
        </w:rPr>
        <w:t>azithromycin</w:t>
      </w:r>
      <w:proofErr w:type="spellEnd"/>
      <w:r w:rsidRPr="00A50818">
        <w:rPr>
          <w:sz w:val="24"/>
          <w:szCs w:val="24"/>
        </w:rPr>
        <w:t xml:space="preserve"> på stedet for infektion.</w:t>
      </w:r>
    </w:p>
    <w:p w:rsidR="00A50818" w:rsidRPr="00A50818" w:rsidRDefault="00A50818" w:rsidP="00A50818">
      <w:pPr>
        <w:tabs>
          <w:tab w:val="left" w:pos="851"/>
        </w:tabs>
        <w:ind w:left="851"/>
        <w:rPr>
          <w:sz w:val="24"/>
          <w:szCs w:val="24"/>
        </w:rPr>
      </w:pPr>
    </w:p>
    <w:p w:rsidR="00A50818" w:rsidRPr="00A50818" w:rsidRDefault="00A50818" w:rsidP="00A50818">
      <w:pPr>
        <w:tabs>
          <w:tab w:val="left" w:pos="851"/>
        </w:tabs>
        <w:ind w:left="851"/>
        <w:rPr>
          <w:sz w:val="24"/>
          <w:szCs w:val="24"/>
        </w:rPr>
      </w:pPr>
      <w:proofErr w:type="spellStart"/>
      <w:r w:rsidRPr="00A50818">
        <w:rPr>
          <w:sz w:val="24"/>
          <w:szCs w:val="24"/>
        </w:rPr>
        <w:t>Farmakokinetiske</w:t>
      </w:r>
      <w:proofErr w:type="spellEnd"/>
      <w:r w:rsidRPr="00A50818">
        <w:rPr>
          <w:sz w:val="24"/>
          <w:szCs w:val="24"/>
        </w:rPr>
        <w:t xml:space="preserve"> studier hos mennesker har vist, at </w:t>
      </w:r>
      <w:proofErr w:type="spellStart"/>
      <w:r w:rsidRPr="00A50818">
        <w:rPr>
          <w:sz w:val="24"/>
          <w:szCs w:val="24"/>
        </w:rPr>
        <w:t>azithromycin</w:t>
      </w:r>
      <w:proofErr w:type="spellEnd"/>
      <w:r w:rsidRPr="00A50818">
        <w:rPr>
          <w:sz w:val="24"/>
          <w:szCs w:val="24"/>
        </w:rPr>
        <w:t xml:space="preserve">-koncentrationen målt i væv er væsentligt højere (op til 50 gange højere end peak </w:t>
      </w:r>
      <w:proofErr w:type="gramStart"/>
      <w:r w:rsidRPr="00A50818">
        <w:rPr>
          <w:sz w:val="24"/>
          <w:szCs w:val="24"/>
        </w:rPr>
        <w:t>plasma koncentrationen</w:t>
      </w:r>
      <w:proofErr w:type="gramEnd"/>
      <w:r w:rsidRPr="00A50818">
        <w:rPr>
          <w:sz w:val="24"/>
          <w:szCs w:val="24"/>
        </w:rPr>
        <w:t xml:space="preserve">). Dette indikerer, at </w:t>
      </w:r>
      <w:proofErr w:type="spellStart"/>
      <w:r w:rsidRPr="00A50818">
        <w:rPr>
          <w:sz w:val="24"/>
          <w:szCs w:val="24"/>
        </w:rPr>
        <w:t>azithromycin</w:t>
      </w:r>
      <w:proofErr w:type="spellEnd"/>
      <w:r w:rsidRPr="00A50818">
        <w:rPr>
          <w:sz w:val="24"/>
          <w:szCs w:val="24"/>
        </w:rPr>
        <w:t xml:space="preserve"> binder stærkt til væv. Koncentrationen i tiltænkt væv (såsom </w:t>
      </w:r>
      <w:r w:rsidRPr="00A50818">
        <w:rPr>
          <w:sz w:val="24"/>
          <w:szCs w:val="24"/>
        </w:rPr>
        <w:lastRenderedPageBreak/>
        <w:t>lunger, mandler og prostata) overskrider MIC</w:t>
      </w:r>
      <w:r w:rsidRPr="00A50818">
        <w:rPr>
          <w:sz w:val="24"/>
          <w:szCs w:val="24"/>
          <w:vertAlign w:val="subscript"/>
        </w:rPr>
        <w:t>90</w:t>
      </w:r>
      <w:r w:rsidRPr="00A50818">
        <w:rPr>
          <w:sz w:val="24"/>
          <w:szCs w:val="24"/>
        </w:rPr>
        <w:t xml:space="preserve"> for sandsynlige </w:t>
      </w:r>
      <w:proofErr w:type="spellStart"/>
      <w:r w:rsidRPr="00A50818">
        <w:rPr>
          <w:sz w:val="24"/>
          <w:szCs w:val="24"/>
        </w:rPr>
        <w:t>patogener</w:t>
      </w:r>
      <w:proofErr w:type="spellEnd"/>
      <w:r w:rsidRPr="00A50818">
        <w:rPr>
          <w:sz w:val="24"/>
          <w:szCs w:val="24"/>
        </w:rPr>
        <w:t xml:space="preserve"> efter en enkelt dosis på 500 mg.</w:t>
      </w:r>
    </w:p>
    <w:p w:rsidR="00A50818" w:rsidRPr="00A50818" w:rsidRDefault="00A50818" w:rsidP="00A50818">
      <w:pPr>
        <w:tabs>
          <w:tab w:val="left" w:pos="851"/>
        </w:tabs>
        <w:ind w:left="851"/>
        <w:rPr>
          <w:sz w:val="24"/>
          <w:szCs w:val="24"/>
        </w:rPr>
      </w:pPr>
    </w:p>
    <w:p w:rsidR="00A50818" w:rsidRPr="00A50818" w:rsidRDefault="00A50818" w:rsidP="00A50818">
      <w:pPr>
        <w:tabs>
          <w:tab w:val="left" w:pos="851"/>
        </w:tabs>
        <w:ind w:left="851"/>
        <w:rPr>
          <w:i/>
          <w:iCs/>
          <w:sz w:val="24"/>
          <w:szCs w:val="24"/>
        </w:rPr>
      </w:pPr>
      <w:r w:rsidRPr="00A50818">
        <w:rPr>
          <w:i/>
          <w:iCs/>
          <w:sz w:val="24"/>
          <w:szCs w:val="24"/>
        </w:rPr>
        <w:t>Infusionsbehandling</w:t>
      </w:r>
    </w:p>
    <w:p w:rsidR="00A50818" w:rsidRPr="00A50818" w:rsidRDefault="00A50818" w:rsidP="00A50818">
      <w:pPr>
        <w:tabs>
          <w:tab w:val="left" w:pos="851"/>
        </w:tabs>
        <w:ind w:left="851"/>
        <w:rPr>
          <w:sz w:val="24"/>
          <w:szCs w:val="24"/>
        </w:rPr>
      </w:pPr>
      <w:r w:rsidRPr="00A50818">
        <w:rPr>
          <w:sz w:val="24"/>
          <w:szCs w:val="24"/>
        </w:rPr>
        <w:t xml:space="preserve">Indlagte patienter med lungebetændelse fik 500 mg </w:t>
      </w:r>
      <w:proofErr w:type="spellStart"/>
      <w:r w:rsidRPr="00A50818">
        <w:rPr>
          <w:sz w:val="24"/>
          <w:szCs w:val="24"/>
        </w:rPr>
        <w:t>azithromycin</w:t>
      </w:r>
      <w:proofErr w:type="spellEnd"/>
      <w:r w:rsidRPr="00A50818">
        <w:rPr>
          <w:sz w:val="24"/>
          <w:szCs w:val="24"/>
        </w:rPr>
        <w:t xml:space="preserve"> (2 mg/ml) som intravenøs infusion over 1 time en gang </w:t>
      </w:r>
      <w:r w:rsidR="003B0298">
        <w:rPr>
          <w:sz w:val="24"/>
          <w:szCs w:val="24"/>
        </w:rPr>
        <w:t>daglig</w:t>
      </w:r>
      <w:r w:rsidRPr="00A50818">
        <w:rPr>
          <w:sz w:val="24"/>
          <w:szCs w:val="24"/>
        </w:rPr>
        <w:t xml:space="preserve"> i 2 til 5 dage. Gennemsnitlig </w:t>
      </w:r>
      <w:proofErr w:type="spellStart"/>
      <w:r w:rsidRPr="00A50818">
        <w:rPr>
          <w:sz w:val="24"/>
          <w:szCs w:val="24"/>
        </w:rPr>
        <w:t>C</w:t>
      </w:r>
      <w:r w:rsidRPr="00A50818">
        <w:rPr>
          <w:sz w:val="24"/>
          <w:szCs w:val="24"/>
          <w:vertAlign w:val="subscript"/>
        </w:rPr>
        <w:t>max</w:t>
      </w:r>
      <w:proofErr w:type="spellEnd"/>
      <w:r w:rsidRPr="00A50818">
        <w:rPr>
          <w:sz w:val="24"/>
          <w:szCs w:val="24"/>
        </w:rPr>
        <w:t xml:space="preserve"> ±SD var 3,63 ± 1,6 µg/ml, den laveste værdi over 24 timer var 0,20 ± 0,15 µg/ml og AUC</w:t>
      </w:r>
      <w:r w:rsidRPr="00A50818">
        <w:rPr>
          <w:sz w:val="24"/>
          <w:szCs w:val="24"/>
          <w:vertAlign w:val="subscript"/>
        </w:rPr>
        <w:t>24</w:t>
      </w:r>
      <w:r w:rsidRPr="00A50818">
        <w:rPr>
          <w:sz w:val="24"/>
          <w:szCs w:val="24"/>
        </w:rPr>
        <w:t xml:space="preserve"> var 9,60 ± 4,80 µ</w:t>
      </w:r>
      <w:proofErr w:type="spellStart"/>
      <w:r w:rsidRPr="00A50818">
        <w:rPr>
          <w:sz w:val="24"/>
          <w:szCs w:val="24"/>
        </w:rPr>
        <w:t>g·t</w:t>
      </w:r>
      <w:proofErr w:type="spellEnd"/>
      <w:r w:rsidRPr="00A50818">
        <w:rPr>
          <w:sz w:val="24"/>
          <w:szCs w:val="24"/>
        </w:rPr>
        <w:t xml:space="preserve">/ml. </w:t>
      </w:r>
    </w:p>
    <w:p w:rsidR="00A50818" w:rsidRPr="00A50818" w:rsidRDefault="00A50818" w:rsidP="00A50818">
      <w:pPr>
        <w:tabs>
          <w:tab w:val="left" w:pos="851"/>
        </w:tabs>
        <w:ind w:left="851"/>
        <w:rPr>
          <w:sz w:val="24"/>
          <w:szCs w:val="24"/>
        </w:rPr>
      </w:pPr>
    </w:p>
    <w:p w:rsidR="00A50818" w:rsidRPr="00A50818" w:rsidRDefault="00A50818" w:rsidP="00A50818">
      <w:pPr>
        <w:tabs>
          <w:tab w:val="left" w:pos="851"/>
        </w:tabs>
        <w:ind w:left="851"/>
        <w:rPr>
          <w:sz w:val="24"/>
          <w:szCs w:val="24"/>
        </w:rPr>
      </w:pPr>
      <w:r w:rsidRPr="00A50818">
        <w:rPr>
          <w:sz w:val="24"/>
          <w:szCs w:val="24"/>
        </w:rPr>
        <w:t xml:space="preserve">Raske frivillige fik 500 mg </w:t>
      </w:r>
      <w:proofErr w:type="spellStart"/>
      <w:r w:rsidRPr="00A50818">
        <w:rPr>
          <w:sz w:val="24"/>
          <w:szCs w:val="24"/>
        </w:rPr>
        <w:t>azithromycin</w:t>
      </w:r>
      <w:proofErr w:type="spellEnd"/>
      <w:r w:rsidRPr="00A50818">
        <w:rPr>
          <w:sz w:val="24"/>
          <w:szCs w:val="24"/>
        </w:rPr>
        <w:t xml:space="preserve"> (1 mg/ml) som intravenøs injektion over 3 timer. Gennemsnitlig </w:t>
      </w:r>
      <w:proofErr w:type="spellStart"/>
      <w:r w:rsidRPr="00A50818">
        <w:rPr>
          <w:sz w:val="24"/>
          <w:szCs w:val="24"/>
        </w:rPr>
        <w:t>C</w:t>
      </w:r>
      <w:r w:rsidRPr="00A50818">
        <w:rPr>
          <w:sz w:val="24"/>
          <w:szCs w:val="24"/>
          <w:vertAlign w:val="subscript"/>
        </w:rPr>
        <w:t>max</w:t>
      </w:r>
      <w:proofErr w:type="spellEnd"/>
      <w:r w:rsidRPr="00A50818">
        <w:rPr>
          <w:sz w:val="24"/>
          <w:szCs w:val="24"/>
        </w:rPr>
        <w:t xml:space="preserve"> var 1,14 ± 0,14 µg/ml, den laveste værdi over 24 timer var 0,18 ± 0,02 µg/ml og AUC</w:t>
      </w:r>
      <w:r w:rsidRPr="00A50818">
        <w:rPr>
          <w:sz w:val="24"/>
          <w:szCs w:val="24"/>
          <w:vertAlign w:val="subscript"/>
        </w:rPr>
        <w:t>24</w:t>
      </w:r>
      <w:r w:rsidRPr="00A50818">
        <w:rPr>
          <w:sz w:val="24"/>
          <w:szCs w:val="24"/>
        </w:rPr>
        <w:t xml:space="preserve"> var 8,03 ± 0,86 µg t/ml.</w:t>
      </w:r>
    </w:p>
    <w:p w:rsidR="00A50818" w:rsidRPr="00A50818" w:rsidRDefault="00A50818" w:rsidP="00A50818">
      <w:pPr>
        <w:tabs>
          <w:tab w:val="left" w:pos="851"/>
        </w:tabs>
        <w:ind w:left="851"/>
        <w:rPr>
          <w:sz w:val="24"/>
          <w:szCs w:val="24"/>
        </w:rPr>
      </w:pPr>
    </w:p>
    <w:p w:rsidR="00A50818" w:rsidRPr="00A50818" w:rsidRDefault="00A50818" w:rsidP="00A50818">
      <w:pPr>
        <w:tabs>
          <w:tab w:val="left" w:pos="851"/>
        </w:tabs>
        <w:ind w:left="851"/>
        <w:rPr>
          <w:i/>
          <w:iCs/>
          <w:sz w:val="24"/>
          <w:szCs w:val="24"/>
        </w:rPr>
      </w:pPr>
      <w:r w:rsidRPr="00A50818">
        <w:rPr>
          <w:i/>
          <w:iCs/>
          <w:sz w:val="24"/>
          <w:szCs w:val="24"/>
        </w:rPr>
        <w:t>Oral administration</w:t>
      </w:r>
    </w:p>
    <w:p w:rsidR="00A50818" w:rsidRPr="00A50818" w:rsidRDefault="00A50818" w:rsidP="00A50818">
      <w:pPr>
        <w:tabs>
          <w:tab w:val="left" w:pos="851"/>
        </w:tabs>
        <w:ind w:left="851"/>
        <w:rPr>
          <w:sz w:val="24"/>
          <w:szCs w:val="24"/>
        </w:rPr>
      </w:pPr>
      <w:r w:rsidRPr="00A50818">
        <w:rPr>
          <w:sz w:val="24"/>
          <w:szCs w:val="24"/>
        </w:rPr>
        <w:t xml:space="preserve">Efter daglig administration af 600 mg </w:t>
      </w:r>
      <w:proofErr w:type="spellStart"/>
      <w:r w:rsidRPr="00A50818">
        <w:rPr>
          <w:sz w:val="24"/>
          <w:szCs w:val="24"/>
        </w:rPr>
        <w:t>azithromycin</w:t>
      </w:r>
      <w:proofErr w:type="spellEnd"/>
      <w:r w:rsidRPr="00A50818">
        <w:rPr>
          <w:sz w:val="24"/>
          <w:szCs w:val="24"/>
        </w:rPr>
        <w:t xml:space="preserve"> blev gennemsnits </w:t>
      </w:r>
      <w:proofErr w:type="gramStart"/>
      <w:r w:rsidRPr="00A50818">
        <w:rPr>
          <w:sz w:val="24"/>
          <w:szCs w:val="24"/>
        </w:rPr>
        <w:t>maksimum plasmakoncentrationen</w:t>
      </w:r>
      <w:proofErr w:type="gramEnd"/>
      <w:r w:rsidRPr="00A50818">
        <w:rPr>
          <w:sz w:val="24"/>
          <w:szCs w:val="24"/>
        </w:rPr>
        <w:t xml:space="preserve"> (</w:t>
      </w:r>
      <w:proofErr w:type="spellStart"/>
      <w:r w:rsidRPr="00A50818">
        <w:rPr>
          <w:sz w:val="24"/>
          <w:szCs w:val="24"/>
        </w:rPr>
        <w:t>C</w:t>
      </w:r>
      <w:r w:rsidRPr="00A50818">
        <w:rPr>
          <w:sz w:val="24"/>
          <w:szCs w:val="24"/>
          <w:vertAlign w:val="subscript"/>
        </w:rPr>
        <w:t>max</w:t>
      </w:r>
      <w:proofErr w:type="spellEnd"/>
      <w:r w:rsidRPr="00A50818">
        <w:rPr>
          <w:sz w:val="24"/>
          <w:szCs w:val="24"/>
        </w:rPr>
        <w:t xml:space="preserve">) 0,33 µg/ml på dag 1 og 0,55 µg/ml på dag 22. Den gennemsnitlige </w:t>
      </w:r>
      <w:proofErr w:type="gramStart"/>
      <w:r w:rsidRPr="00A50818">
        <w:rPr>
          <w:sz w:val="24"/>
          <w:szCs w:val="24"/>
        </w:rPr>
        <w:t>maksimum koncentration</w:t>
      </w:r>
      <w:proofErr w:type="gramEnd"/>
      <w:r w:rsidRPr="00A50818">
        <w:rPr>
          <w:sz w:val="24"/>
          <w:szCs w:val="24"/>
        </w:rPr>
        <w:t xml:space="preserve"> målt i leukocytter (det primære sted for dissemineret MAC-infektion) var 252 µg/ml (± 49 %). Værdien forbliver over 146 µg/ml (± 33 %) over 24 timer ved </w:t>
      </w:r>
      <w:proofErr w:type="spellStart"/>
      <w:r w:rsidRPr="00A50818">
        <w:rPr>
          <w:sz w:val="24"/>
          <w:szCs w:val="24"/>
        </w:rPr>
        <w:t>steady</w:t>
      </w:r>
      <w:proofErr w:type="spellEnd"/>
      <w:r w:rsidRPr="00A50818">
        <w:rPr>
          <w:sz w:val="24"/>
          <w:szCs w:val="24"/>
        </w:rPr>
        <w:t xml:space="preserve"> </w:t>
      </w:r>
      <w:proofErr w:type="spellStart"/>
      <w:r w:rsidRPr="00A50818">
        <w:rPr>
          <w:sz w:val="24"/>
          <w:szCs w:val="24"/>
        </w:rPr>
        <w:t>state</w:t>
      </w:r>
      <w:proofErr w:type="spellEnd"/>
      <w:r w:rsidRPr="00A50818">
        <w:rPr>
          <w:sz w:val="24"/>
          <w:szCs w:val="24"/>
        </w:rPr>
        <w:t>.</w:t>
      </w:r>
      <w:r w:rsidRPr="00A50818">
        <w:rPr>
          <w:sz w:val="24"/>
          <w:szCs w:val="24"/>
        </w:rPr>
        <w:tab/>
      </w:r>
    </w:p>
    <w:p w:rsidR="00A50818" w:rsidRPr="00A50818" w:rsidRDefault="00A50818" w:rsidP="00A50818">
      <w:pPr>
        <w:tabs>
          <w:tab w:val="left" w:pos="851"/>
        </w:tabs>
        <w:ind w:left="851"/>
        <w:rPr>
          <w:sz w:val="24"/>
          <w:szCs w:val="24"/>
        </w:rPr>
      </w:pPr>
    </w:p>
    <w:p w:rsidR="00A50818" w:rsidRPr="00A50818" w:rsidRDefault="00A50818" w:rsidP="00A50818">
      <w:pPr>
        <w:tabs>
          <w:tab w:val="left" w:pos="851"/>
        </w:tabs>
        <w:ind w:left="851"/>
        <w:rPr>
          <w:iCs/>
          <w:sz w:val="24"/>
          <w:szCs w:val="24"/>
          <w:u w:val="single"/>
        </w:rPr>
      </w:pPr>
      <w:r w:rsidRPr="00A50818">
        <w:rPr>
          <w:iCs/>
          <w:sz w:val="24"/>
          <w:szCs w:val="24"/>
          <w:u w:val="single"/>
        </w:rPr>
        <w:t>Elimination</w:t>
      </w:r>
    </w:p>
    <w:p w:rsidR="00A50818" w:rsidRPr="00A50818" w:rsidRDefault="00A50818" w:rsidP="00A50818">
      <w:pPr>
        <w:tabs>
          <w:tab w:val="left" w:pos="851"/>
        </w:tabs>
        <w:ind w:left="851"/>
        <w:rPr>
          <w:sz w:val="24"/>
          <w:szCs w:val="24"/>
        </w:rPr>
      </w:pPr>
      <w:r w:rsidRPr="00A50818">
        <w:rPr>
          <w:sz w:val="24"/>
          <w:szCs w:val="24"/>
        </w:rPr>
        <w:t>Den terminale plasmaudskillelseshalveringstid reflekterer nøje vævstømningshal</w:t>
      </w:r>
      <w:r w:rsidRPr="00A50818">
        <w:rPr>
          <w:sz w:val="24"/>
          <w:szCs w:val="24"/>
        </w:rPr>
        <w:softHyphen/>
        <w:t xml:space="preserve">veringstiden på 2-4 dage. Ca. 12 % af den intravenøst administrerede dosis af </w:t>
      </w:r>
      <w:proofErr w:type="spellStart"/>
      <w:r w:rsidRPr="00A50818">
        <w:rPr>
          <w:sz w:val="24"/>
          <w:szCs w:val="24"/>
        </w:rPr>
        <w:t>azithromycin</w:t>
      </w:r>
      <w:proofErr w:type="spellEnd"/>
      <w:r w:rsidRPr="00A50818">
        <w:rPr>
          <w:sz w:val="24"/>
          <w:szCs w:val="24"/>
        </w:rPr>
        <w:t xml:space="preserve"> er udskilt uændret via urinen inden for 3 dage, og størstedelen under de første 24 timer. Galdevejen er den største udskillelsesvej for uændret </w:t>
      </w:r>
      <w:proofErr w:type="spellStart"/>
      <w:r w:rsidRPr="00A50818">
        <w:rPr>
          <w:sz w:val="24"/>
          <w:szCs w:val="24"/>
        </w:rPr>
        <w:t>azithromycin</w:t>
      </w:r>
      <w:proofErr w:type="spellEnd"/>
      <w:r w:rsidRPr="00A50818">
        <w:rPr>
          <w:sz w:val="24"/>
          <w:szCs w:val="24"/>
        </w:rPr>
        <w:t xml:space="preserve"> efter oral administration. Meget høje koncentrationer af uændret </w:t>
      </w:r>
      <w:proofErr w:type="spellStart"/>
      <w:r w:rsidRPr="00A50818">
        <w:rPr>
          <w:sz w:val="24"/>
          <w:szCs w:val="24"/>
        </w:rPr>
        <w:t>azithromycin</w:t>
      </w:r>
      <w:proofErr w:type="spellEnd"/>
      <w:r w:rsidRPr="00A50818">
        <w:rPr>
          <w:sz w:val="24"/>
          <w:szCs w:val="24"/>
        </w:rPr>
        <w:t xml:space="preserve"> er fundet i galde sammen med N- og O-</w:t>
      </w:r>
      <w:proofErr w:type="spellStart"/>
      <w:r w:rsidRPr="00A50818">
        <w:rPr>
          <w:sz w:val="24"/>
          <w:szCs w:val="24"/>
        </w:rPr>
        <w:t>demetyleringer</w:t>
      </w:r>
      <w:proofErr w:type="spellEnd"/>
      <w:r w:rsidRPr="00A50818">
        <w:rPr>
          <w:sz w:val="24"/>
          <w:szCs w:val="24"/>
        </w:rPr>
        <w:t xml:space="preserve">, </w:t>
      </w:r>
      <w:proofErr w:type="spellStart"/>
      <w:r w:rsidRPr="00A50818">
        <w:rPr>
          <w:sz w:val="24"/>
          <w:szCs w:val="24"/>
        </w:rPr>
        <w:t>hydroxylering</w:t>
      </w:r>
      <w:proofErr w:type="spellEnd"/>
      <w:r w:rsidRPr="00A50818">
        <w:rPr>
          <w:sz w:val="24"/>
          <w:szCs w:val="24"/>
        </w:rPr>
        <w:t xml:space="preserve"> af </w:t>
      </w:r>
      <w:proofErr w:type="spellStart"/>
      <w:r w:rsidRPr="00A50818">
        <w:rPr>
          <w:sz w:val="24"/>
          <w:szCs w:val="24"/>
        </w:rPr>
        <w:t>desosamin</w:t>
      </w:r>
      <w:proofErr w:type="spellEnd"/>
      <w:r w:rsidRPr="00A50818">
        <w:rPr>
          <w:sz w:val="24"/>
          <w:szCs w:val="24"/>
        </w:rPr>
        <w:t xml:space="preserve"> og </w:t>
      </w:r>
      <w:proofErr w:type="spellStart"/>
      <w:r w:rsidRPr="00A50818">
        <w:rPr>
          <w:sz w:val="24"/>
          <w:szCs w:val="24"/>
        </w:rPr>
        <w:t>aglyconringe</w:t>
      </w:r>
      <w:proofErr w:type="spellEnd"/>
      <w:r w:rsidRPr="00A50818">
        <w:rPr>
          <w:sz w:val="24"/>
          <w:szCs w:val="24"/>
        </w:rPr>
        <w:t xml:space="preserve"> og kløvninger af </w:t>
      </w:r>
      <w:proofErr w:type="spellStart"/>
      <w:r w:rsidRPr="00A50818">
        <w:rPr>
          <w:sz w:val="24"/>
          <w:szCs w:val="24"/>
        </w:rPr>
        <w:t>cladinose</w:t>
      </w:r>
      <w:proofErr w:type="spellEnd"/>
      <w:r w:rsidRPr="00A50818">
        <w:rPr>
          <w:sz w:val="24"/>
          <w:szCs w:val="24"/>
        </w:rPr>
        <w:t xml:space="preserve"> </w:t>
      </w:r>
      <w:proofErr w:type="spellStart"/>
      <w:r w:rsidRPr="00A50818">
        <w:rPr>
          <w:sz w:val="24"/>
          <w:szCs w:val="24"/>
        </w:rPr>
        <w:t>konjuktioner</w:t>
      </w:r>
      <w:proofErr w:type="spellEnd"/>
      <w:r w:rsidRPr="00A50818">
        <w:rPr>
          <w:sz w:val="24"/>
          <w:szCs w:val="24"/>
        </w:rPr>
        <w:t xml:space="preserve">. Sammenligning af resultater fra HPLC og mikrobiologisk analyse foretaget i væv viser, at metabolitterne ikke bidrager til </w:t>
      </w:r>
      <w:proofErr w:type="spellStart"/>
      <w:r w:rsidRPr="00A50818">
        <w:rPr>
          <w:sz w:val="24"/>
          <w:szCs w:val="24"/>
        </w:rPr>
        <w:t>azithromycins</w:t>
      </w:r>
      <w:proofErr w:type="spellEnd"/>
      <w:r w:rsidRPr="00A50818">
        <w:rPr>
          <w:sz w:val="24"/>
          <w:szCs w:val="24"/>
        </w:rPr>
        <w:t xml:space="preserve"> mikrobiologiske virkning.</w:t>
      </w:r>
    </w:p>
    <w:p w:rsidR="00A50818" w:rsidRPr="00A50818" w:rsidRDefault="00A50818" w:rsidP="00A50818">
      <w:pPr>
        <w:tabs>
          <w:tab w:val="left" w:pos="851"/>
        </w:tabs>
        <w:ind w:left="851"/>
        <w:rPr>
          <w:sz w:val="24"/>
          <w:szCs w:val="24"/>
        </w:rPr>
      </w:pPr>
      <w:r w:rsidRPr="00A50818">
        <w:rPr>
          <w:sz w:val="24"/>
          <w:szCs w:val="24"/>
        </w:rPr>
        <w:tab/>
      </w:r>
    </w:p>
    <w:p w:rsidR="00A50818" w:rsidRPr="00A50818" w:rsidRDefault="00A50818" w:rsidP="00A50818">
      <w:pPr>
        <w:tabs>
          <w:tab w:val="left" w:pos="851"/>
        </w:tabs>
        <w:ind w:left="851"/>
        <w:rPr>
          <w:bCs/>
          <w:sz w:val="24"/>
          <w:szCs w:val="24"/>
          <w:u w:val="single"/>
        </w:rPr>
      </w:pPr>
      <w:r w:rsidRPr="00A50818">
        <w:rPr>
          <w:bCs/>
          <w:sz w:val="24"/>
          <w:szCs w:val="24"/>
          <w:u w:val="single"/>
        </w:rPr>
        <w:t>Farmakokinetik i specielle grupper</w:t>
      </w:r>
    </w:p>
    <w:p w:rsidR="00A50818" w:rsidRPr="00A50818" w:rsidRDefault="00A50818" w:rsidP="00A50818">
      <w:pPr>
        <w:tabs>
          <w:tab w:val="left" w:pos="851"/>
        </w:tabs>
        <w:ind w:left="851"/>
        <w:rPr>
          <w:bCs/>
          <w:i/>
          <w:iCs/>
          <w:sz w:val="24"/>
          <w:szCs w:val="24"/>
        </w:rPr>
      </w:pPr>
    </w:p>
    <w:p w:rsidR="00A50818" w:rsidRPr="00A50818" w:rsidRDefault="00A50818" w:rsidP="00A50818">
      <w:pPr>
        <w:tabs>
          <w:tab w:val="left" w:pos="851"/>
        </w:tabs>
        <w:ind w:left="851"/>
        <w:rPr>
          <w:bCs/>
          <w:i/>
          <w:iCs/>
          <w:sz w:val="24"/>
          <w:szCs w:val="24"/>
        </w:rPr>
      </w:pPr>
      <w:r w:rsidRPr="00A50818">
        <w:rPr>
          <w:bCs/>
          <w:i/>
          <w:iCs/>
          <w:sz w:val="24"/>
          <w:szCs w:val="24"/>
        </w:rPr>
        <w:t>Ældre</w:t>
      </w:r>
    </w:p>
    <w:p w:rsidR="00A50818" w:rsidRPr="00A50818" w:rsidRDefault="00A50818" w:rsidP="00A50818">
      <w:pPr>
        <w:tabs>
          <w:tab w:val="left" w:pos="851"/>
        </w:tabs>
        <w:ind w:left="851"/>
        <w:rPr>
          <w:bCs/>
          <w:sz w:val="24"/>
          <w:szCs w:val="24"/>
        </w:rPr>
      </w:pPr>
      <w:r w:rsidRPr="00A50818">
        <w:rPr>
          <w:bCs/>
          <w:sz w:val="24"/>
          <w:szCs w:val="24"/>
        </w:rPr>
        <w:t>Efter 5-dages behandling ses en anelse højere AUC-værdier hos ældre frivillige (&gt; 65 år) end hos unge frivillige (&lt; 40 år), men disse har ikke signifikant klinisk betydning. Derfor er dosisjustering ikke nødvendig.</w:t>
      </w:r>
    </w:p>
    <w:p w:rsidR="00A50818" w:rsidRPr="00A50818" w:rsidRDefault="00A50818" w:rsidP="00A50818">
      <w:pPr>
        <w:tabs>
          <w:tab w:val="left" w:pos="851"/>
        </w:tabs>
        <w:ind w:left="851"/>
        <w:rPr>
          <w:bCs/>
          <w:i/>
          <w:iCs/>
          <w:sz w:val="24"/>
          <w:szCs w:val="24"/>
        </w:rPr>
      </w:pPr>
    </w:p>
    <w:p w:rsidR="00BE5253" w:rsidRPr="00A50818" w:rsidRDefault="00BE5253" w:rsidP="00BE5253">
      <w:pPr>
        <w:tabs>
          <w:tab w:val="left" w:pos="851"/>
        </w:tabs>
        <w:ind w:left="851"/>
        <w:rPr>
          <w:bCs/>
          <w:i/>
          <w:iCs/>
          <w:sz w:val="24"/>
          <w:szCs w:val="24"/>
        </w:rPr>
      </w:pPr>
      <w:r w:rsidRPr="00A50818">
        <w:rPr>
          <w:bCs/>
          <w:i/>
          <w:iCs/>
          <w:sz w:val="24"/>
          <w:szCs w:val="24"/>
        </w:rPr>
        <w:t>Nedsat nyrefunktion</w:t>
      </w:r>
    </w:p>
    <w:p w:rsidR="00BE5253" w:rsidRPr="00A50818" w:rsidRDefault="00BE5253" w:rsidP="00BE5253">
      <w:pPr>
        <w:tabs>
          <w:tab w:val="left" w:pos="851"/>
        </w:tabs>
        <w:ind w:left="851"/>
        <w:rPr>
          <w:bCs/>
          <w:sz w:val="24"/>
          <w:szCs w:val="24"/>
        </w:rPr>
      </w:pPr>
      <w:r w:rsidRPr="00A50818">
        <w:rPr>
          <w:bCs/>
          <w:sz w:val="24"/>
          <w:szCs w:val="24"/>
        </w:rPr>
        <w:t xml:space="preserve">Efter en enkeltdosis på 1 g </w:t>
      </w:r>
      <w:proofErr w:type="spellStart"/>
      <w:r w:rsidRPr="00A50818">
        <w:rPr>
          <w:bCs/>
          <w:sz w:val="24"/>
          <w:szCs w:val="24"/>
        </w:rPr>
        <w:t>azithromycin</w:t>
      </w:r>
      <w:proofErr w:type="spellEnd"/>
      <w:r w:rsidRPr="00A50818">
        <w:rPr>
          <w:bCs/>
          <w:sz w:val="24"/>
          <w:szCs w:val="24"/>
        </w:rPr>
        <w:t xml:space="preserve"> steg gennemsnitlig </w:t>
      </w:r>
      <w:proofErr w:type="spellStart"/>
      <w:r w:rsidRPr="00A50818">
        <w:rPr>
          <w:bCs/>
          <w:sz w:val="24"/>
          <w:szCs w:val="24"/>
        </w:rPr>
        <w:t>C</w:t>
      </w:r>
      <w:r w:rsidRPr="00A50818">
        <w:rPr>
          <w:bCs/>
          <w:sz w:val="24"/>
          <w:szCs w:val="24"/>
          <w:vertAlign w:val="subscript"/>
        </w:rPr>
        <w:t>max</w:t>
      </w:r>
      <w:proofErr w:type="spellEnd"/>
      <w:r w:rsidRPr="00A50818">
        <w:rPr>
          <w:bCs/>
          <w:sz w:val="24"/>
          <w:szCs w:val="24"/>
        </w:rPr>
        <w:t xml:space="preserve"> og AUC</w:t>
      </w:r>
      <w:r w:rsidRPr="00A50818">
        <w:rPr>
          <w:bCs/>
          <w:sz w:val="24"/>
          <w:szCs w:val="24"/>
          <w:vertAlign w:val="subscript"/>
        </w:rPr>
        <w:t>0-120</w:t>
      </w:r>
      <w:r w:rsidRPr="00A50818">
        <w:rPr>
          <w:bCs/>
          <w:sz w:val="24"/>
          <w:szCs w:val="24"/>
        </w:rPr>
        <w:t xml:space="preserve"> med henholdsvis 5,1 % og 4,2 % hos personer med </w:t>
      </w:r>
      <w:r>
        <w:rPr>
          <w:bCs/>
          <w:sz w:val="24"/>
          <w:szCs w:val="24"/>
        </w:rPr>
        <w:t>GFR</w:t>
      </w:r>
      <w:r w:rsidRPr="00A50818">
        <w:rPr>
          <w:bCs/>
          <w:sz w:val="24"/>
          <w:szCs w:val="24"/>
        </w:rPr>
        <w:t xml:space="preserve"> 10–80 ml/min sammenlignet med </w:t>
      </w:r>
      <w:r>
        <w:rPr>
          <w:bCs/>
          <w:sz w:val="24"/>
          <w:szCs w:val="24"/>
        </w:rPr>
        <w:t>GFR</w:t>
      </w:r>
      <w:r w:rsidRPr="00A50818">
        <w:rPr>
          <w:bCs/>
          <w:sz w:val="24"/>
          <w:szCs w:val="24"/>
        </w:rPr>
        <w:t xml:space="preserve"> &gt; 80 ml/min. Hos personer med</w:t>
      </w:r>
      <w:r>
        <w:rPr>
          <w:bCs/>
          <w:sz w:val="24"/>
          <w:szCs w:val="24"/>
        </w:rPr>
        <w:t xml:space="preserve"> GFR </w:t>
      </w:r>
      <w:r w:rsidRPr="0090333E">
        <w:rPr>
          <w:bCs/>
          <w:szCs w:val="22"/>
        </w:rPr>
        <w:t>&lt; 10 ml/min</w:t>
      </w:r>
      <w:r w:rsidRPr="00A50818">
        <w:rPr>
          <w:bCs/>
          <w:sz w:val="24"/>
          <w:szCs w:val="24"/>
        </w:rPr>
        <w:t xml:space="preserve"> steg </w:t>
      </w:r>
      <w:proofErr w:type="spellStart"/>
      <w:r w:rsidRPr="00A50818">
        <w:rPr>
          <w:bCs/>
          <w:sz w:val="24"/>
          <w:szCs w:val="24"/>
        </w:rPr>
        <w:t>C</w:t>
      </w:r>
      <w:r w:rsidRPr="00A50818">
        <w:rPr>
          <w:bCs/>
          <w:sz w:val="24"/>
          <w:szCs w:val="24"/>
          <w:vertAlign w:val="subscript"/>
        </w:rPr>
        <w:t>max</w:t>
      </w:r>
      <w:proofErr w:type="spellEnd"/>
      <w:r w:rsidRPr="00A50818">
        <w:rPr>
          <w:bCs/>
          <w:sz w:val="24"/>
          <w:szCs w:val="24"/>
        </w:rPr>
        <w:t xml:space="preserve"> og AUC</w:t>
      </w:r>
      <w:r w:rsidRPr="00A50818">
        <w:rPr>
          <w:bCs/>
          <w:sz w:val="24"/>
          <w:szCs w:val="24"/>
          <w:vertAlign w:val="subscript"/>
        </w:rPr>
        <w:t xml:space="preserve">0-120 </w:t>
      </w:r>
      <w:r w:rsidRPr="00A50818">
        <w:rPr>
          <w:bCs/>
          <w:sz w:val="24"/>
          <w:szCs w:val="24"/>
        </w:rPr>
        <w:t xml:space="preserve">med henholdsvis 61 % og 35 % sammenlignet med </w:t>
      </w:r>
      <w:r>
        <w:rPr>
          <w:bCs/>
          <w:sz w:val="24"/>
          <w:szCs w:val="24"/>
        </w:rPr>
        <w:t>personer med GFR</w:t>
      </w:r>
      <w:r w:rsidRPr="00A54DAE">
        <w:rPr>
          <w:bCs/>
          <w:sz w:val="24"/>
          <w:szCs w:val="24"/>
        </w:rPr>
        <w:t xml:space="preserve"> &gt; 80 ml/min</w:t>
      </w:r>
      <w:r w:rsidRPr="00A50818">
        <w:rPr>
          <w:bCs/>
          <w:sz w:val="24"/>
          <w:szCs w:val="24"/>
        </w:rPr>
        <w:t xml:space="preserve">. </w:t>
      </w:r>
    </w:p>
    <w:p w:rsidR="00BE5253" w:rsidRPr="00A50818" w:rsidRDefault="00BE5253" w:rsidP="00BE5253">
      <w:pPr>
        <w:tabs>
          <w:tab w:val="left" w:pos="851"/>
        </w:tabs>
        <w:ind w:left="851"/>
        <w:rPr>
          <w:bCs/>
          <w:sz w:val="24"/>
          <w:szCs w:val="24"/>
        </w:rPr>
      </w:pPr>
    </w:p>
    <w:p w:rsidR="00BE5253" w:rsidRPr="00A50818" w:rsidRDefault="00BE5253" w:rsidP="00BE5253">
      <w:pPr>
        <w:tabs>
          <w:tab w:val="left" w:pos="851"/>
        </w:tabs>
        <w:ind w:left="851"/>
        <w:rPr>
          <w:bCs/>
          <w:sz w:val="24"/>
          <w:szCs w:val="24"/>
        </w:rPr>
      </w:pPr>
      <w:r w:rsidRPr="00A50818">
        <w:rPr>
          <w:bCs/>
          <w:sz w:val="24"/>
          <w:szCs w:val="24"/>
        </w:rPr>
        <w:t xml:space="preserve">Efter en enkeltdosis på 1 g </w:t>
      </w:r>
      <w:proofErr w:type="spellStart"/>
      <w:r w:rsidRPr="00A50818">
        <w:rPr>
          <w:bCs/>
          <w:sz w:val="24"/>
          <w:szCs w:val="24"/>
        </w:rPr>
        <w:t>azithromycin</w:t>
      </w:r>
      <w:proofErr w:type="spellEnd"/>
      <w:r w:rsidRPr="00A50818">
        <w:rPr>
          <w:bCs/>
          <w:sz w:val="24"/>
          <w:szCs w:val="24"/>
        </w:rPr>
        <w:t xml:space="preserve"> blev der ikke observeret nogen virkning hos patienter med </w:t>
      </w:r>
      <w:r>
        <w:rPr>
          <w:bCs/>
          <w:sz w:val="24"/>
          <w:szCs w:val="24"/>
        </w:rPr>
        <w:t>GFR</w:t>
      </w:r>
      <w:r w:rsidRPr="00A50818">
        <w:rPr>
          <w:bCs/>
          <w:sz w:val="24"/>
          <w:szCs w:val="24"/>
        </w:rPr>
        <w:t xml:space="preserve"> 10-80 ml/min. Der blev observeret statistisk signifikant forskel mellem patienter med </w:t>
      </w:r>
      <w:r>
        <w:rPr>
          <w:bCs/>
          <w:sz w:val="24"/>
          <w:szCs w:val="24"/>
        </w:rPr>
        <w:t>GFR</w:t>
      </w:r>
      <w:r w:rsidRPr="00A50818">
        <w:rPr>
          <w:bCs/>
          <w:sz w:val="24"/>
          <w:szCs w:val="24"/>
        </w:rPr>
        <w:t xml:space="preserve"> &lt; 10 ml/min og patienter med </w:t>
      </w:r>
      <w:r>
        <w:rPr>
          <w:bCs/>
          <w:sz w:val="24"/>
          <w:szCs w:val="24"/>
        </w:rPr>
        <w:t xml:space="preserve">GFR </w:t>
      </w:r>
      <w:r w:rsidRPr="009A4CD6">
        <w:rPr>
          <w:bCs/>
          <w:sz w:val="24"/>
          <w:szCs w:val="24"/>
        </w:rPr>
        <w:t>&gt; 80 ml/min</w:t>
      </w:r>
      <w:r w:rsidRPr="00A50818">
        <w:rPr>
          <w:bCs/>
          <w:sz w:val="24"/>
          <w:szCs w:val="24"/>
        </w:rPr>
        <w:t>: AUC</w:t>
      </w:r>
      <w:r w:rsidRPr="00A50818">
        <w:rPr>
          <w:bCs/>
          <w:sz w:val="24"/>
          <w:szCs w:val="24"/>
          <w:vertAlign w:val="subscript"/>
        </w:rPr>
        <w:t>0-120</w:t>
      </w:r>
      <w:r w:rsidRPr="00A50818">
        <w:rPr>
          <w:bCs/>
          <w:sz w:val="24"/>
          <w:szCs w:val="24"/>
        </w:rPr>
        <w:t xml:space="preserve"> (8,8 </w:t>
      </w:r>
      <w:r w:rsidRPr="00A50818">
        <w:rPr>
          <w:sz w:val="24"/>
          <w:szCs w:val="24"/>
        </w:rPr>
        <w:t>µ</w:t>
      </w:r>
      <w:proofErr w:type="spellStart"/>
      <w:r w:rsidRPr="00A50818">
        <w:rPr>
          <w:sz w:val="24"/>
          <w:szCs w:val="24"/>
        </w:rPr>
        <w:t>g·t</w:t>
      </w:r>
      <w:proofErr w:type="spellEnd"/>
      <w:r w:rsidRPr="00A50818">
        <w:rPr>
          <w:sz w:val="24"/>
          <w:szCs w:val="24"/>
        </w:rPr>
        <w:t>/ml vs. 11,7 µ</w:t>
      </w:r>
      <w:proofErr w:type="spellStart"/>
      <w:r w:rsidRPr="00A50818">
        <w:rPr>
          <w:sz w:val="24"/>
          <w:szCs w:val="24"/>
        </w:rPr>
        <w:t>g·t</w:t>
      </w:r>
      <w:proofErr w:type="spellEnd"/>
      <w:r w:rsidRPr="00A50818">
        <w:rPr>
          <w:sz w:val="24"/>
          <w:szCs w:val="24"/>
        </w:rPr>
        <w:t xml:space="preserve">/ml), </w:t>
      </w:r>
      <w:proofErr w:type="spellStart"/>
      <w:r w:rsidRPr="00A50818">
        <w:rPr>
          <w:bCs/>
          <w:sz w:val="24"/>
          <w:szCs w:val="24"/>
        </w:rPr>
        <w:t>C</w:t>
      </w:r>
      <w:r w:rsidRPr="00A50818">
        <w:rPr>
          <w:bCs/>
          <w:sz w:val="24"/>
          <w:szCs w:val="24"/>
          <w:vertAlign w:val="subscript"/>
        </w:rPr>
        <w:t>max</w:t>
      </w:r>
      <w:proofErr w:type="spellEnd"/>
      <w:r w:rsidRPr="00A50818">
        <w:rPr>
          <w:bCs/>
          <w:sz w:val="24"/>
          <w:szCs w:val="24"/>
        </w:rPr>
        <w:t xml:space="preserve"> (1,0 </w:t>
      </w:r>
      <w:r w:rsidRPr="00A50818">
        <w:rPr>
          <w:sz w:val="24"/>
          <w:szCs w:val="24"/>
        </w:rPr>
        <w:t>µ</w:t>
      </w:r>
      <w:proofErr w:type="spellStart"/>
      <w:r w:rsidRPr="00A50818">
        <w:rPr>
          <w:sz w:val="24"/>
          <w:szCs w:val="24"/>
        </w:rPr>
        <w:t>g·t</w:t>
      </w:r>
      <w:proofErr w:type="spellEnd"/>
      <w:r w:rsidRPr="00A50818">
        <w:rPr>
          <w:sz w:val="24"/>
          <w:szCs w:val="24"/>
        </w:rPr>
        <w:t>/ml vs. 1,6 µ</w:t>
      </w:r>
      <w:proofErr w:type="spellStart"/>
      <w:r w:rsidRPr="00A50818">
        <w:rPr>
          <w:sz w:val="24"/>
          <w:szCs w:val="24"/>
        </w:rPr>
        <w:t>g·t</w:t>
      </w:r>
      <w:proofErr w:type="spellEnd"/>
      <w:r w:rsidRPr="00A50818">
        <w:rPr>
          <w:sz w:val="24"/>
          <w:szCs w:val="24"/>
        </w:rPr>
        <w:t xml:space="preserve">/ml) og </w:t>
      </w:r>
      <w:proofErr w:type="spellStart"/>
      <w:r w:rsidRPr="00A50818">
        <w:rPr>
          <w:sz w:val="24"/>
          <w:szCs w:val="24"/>
        </w:rPr>
        <w:t>CL</w:t>
      </w:r>
      <w:r w:rsidRPr="00A50818">
        <w:rPr>
          <w:sz w:val="24"/>
          <w:szCs w:val="24"/>
          <w:vertAlign w:val="subscript"/>
        </w:rPr>
        <w:t>r</w:t>
      </w:r>
      <w:proofErr w:type="spellEnd"/>
      <w:r w:rsidRPr="00A50818">
        <w:rPr>
          <w:sz w:val="24"/>
          <w:szCs w:val="24"/>
        </w:rPr>
        <w:t xml:space="preserve"> (2,3 ml/min/kg vs. 0,2 ml/min/kg).</w:t>
      </w:r>
    </w:p>
    <w:p w:rsidR="00BE5253" w:rsidRPr="00A50818" w:rsidRDefault="00BE5253" w:rsidP="00BE5253">
      <w:pPr>
        <w:tabs>
          <w:tab w:val="left" w:pos="851"/>
        </w:tabs>
        <w:ind w:left="851"/>
        <w:rPr>
          <w:bCs/>
          <w:sz w:val="24"/>
          <w:szCs w:val="24"/>
        </w:rPr>
      </w:pPr>
    </w:p>
    <w:p w:rsidR="00BE5253" w:rsidRDefault="00BE5253" w:rsidP="00BE5253">
      <w:pPr>
        <w:tabs>
          <w:tab w:val="left" w:pos="851"/>
        </w:tabs>
        <w:ind w:left="851"/>
        <w:rPr>
          <w:bCs/>
          <w:i/>
          <w:iCs/>
          <w:sz w:val="24"/>
          <w:szCs w:val="24"/>
        </w:rPr>
      </w:pPr>
    </w:p>
    <w:p w:rsidR="00BE5253" w:rsidRPr="00A50818" w:rsidRDefault="00BE5253" w:rsidP="00BE5253">
      <w:pPr>
        <w:tabs>
          <w:tab w:val="left" w:pos="851"/>
        </w:tabs>
        <w:ind w:left="851"/>
        <w:rPr>
          <w:bCs/>
          <w:i/>
          <w:iCs/>
          <w:sz w:val="24"/>
          <w:szCs w:val="24"/>
        </w:rPr>
      </w:pPr>
      <w:r w:rsidRPr="00A50818">
        <w:rPr>
          <w:bCs/>
          <w:i/>
          <w:iCs/>
          <w:sz w:val="24"/>
          <w:szCs w:val="24"/>
        </w:rPr>
        <w:lastRenderedPageBreak/>
        <w:t>Nedsat leverfunktion</w:t>
      </w:r>
    </w:p>
    <w:p w:rsidR="00BE5253" w:rsidRPr="00A50818" w:rsidRDefault="00BE5253" w:rsidP="00BE5253">
      <w:pPr>
        <w:tabs>
          <w:tab w:val="left" w:pos="851"/>
        </w:tabs>
        <w:ind w:left="851"/>
        <w:rPr>
          <w:bCs/>
          <w:sz w:val="24"/>
          <w:szCs w:val="24"/>
        </w:rPr>
      </w:pPr>
      <w:r w:rsidRPr="00A50818">
        <w:rPr>
          <w:bCs/>
          <w:sz w:val="24"/>
          <w:szCs w:val="24"/>
        </w:rPr>
        <w:t xml:space="preserve">Hos patienter med mild (Klasse A) til moderat (Klasse B) nedsat leverfunktion er der ikke tegn på udpræget ændring i </w:t>
      </w:r>
      <w:proofErr w:type="spellStart"/>
      <w:r w:rsidRPr="00A50818">
        <w:rPr>
          <w:bCs/>
          <w:sz w:val="24"/>
          <w:szCs w:val="24"/>
        </w:rPr>
        <w:t>farmakokinetiske</w:t>
      </w:r>
      <w:proofErr w:type="spellEnd"/>
      <w:r w:rsidRPr="00A50818">
        <w:rPr>
          <w:bCs/>
          <w:sz w:val="24"/>
          <w:szCs w:val="24"/>
        </w:rPr>
        <w:t xml:space="preserve"> data for </w:t>
      </w:r>
      <w:proofErr w:type="spellStart"/>
      <w:r w:rsidRPr="00A50818">
        <w:rPr>
          <w:bCs/>
          <w:sz w:val="24"/>
          <w:szCs w:val="24"/>
        </w:rPr>
        <w:t>azithromycin</w:t>
      </w:r>
      <w:proofErr w:type="spellEnd"/>
      <w:r w:rsidRPr="00A50818">
        <w:rPr>
          <w:bCs/>
          <w:sz w:val="24"/>
          <w:szCs w:val="24"/>
        </w:rPr>
        <w:t xml:space="preserve"> i serum sammenlignet med dem med normal leverfunktion. Hos patienter med nedsat leverfunktion, synes </w:t>
      </w:r>
      <w:proofErr w:type="spellStart"/>
      <w:r w:rsidRPr="00A50818">
        <w:rPr>
          <w:bCs/>
          <w:sz w:val="24"/>
          <w:szCs w:val="24"/>
        </w:rPr>
        <w:t>urinclearance</w:t>
      </w:r>
      <w:proofErr w:type="spellEnd"/>
      <w:r w:rsidRPr="00A50818">
        <w:rPr>
          <w:bCs/>
          <w:sz w:val="24"/>
          <w:szCs w:val="24"/>
        </w:rPr>
        <w:t xml:space="preserve"> af </w:t>
      </w:r>
      <w:proofErr w:type="spellStart"/>
      <w:r w:rsidRPr="00A50818">
        <w:rPr>
          <w:bCs/>
          <w:sz w:val="24"/>
          <w:szCs w:val="24"/>
        </w:rPr>
        <w:t>azithromycin</w:t>
      </w:r>
      <w:proofErr w:type="spellEnd"/>
      <w:r w:rsidRPr="00A50818">
        <w:rPr>
          <w:bCs/>
          <w:sz w:val="24"/>
          <w:szCs w:val="24"/>
        </w:rPr>
        <w:t xml:space="preserve"> at stige, måske for at kompensere for reduceret </w:t>
      </w:r>
      <w:proofErr w:type="spellStart"/>
      <w:r w:rsidRPr="00A50818">
        <w:rPr>
          <w:bCs/>
          <w:sz w:val="24"/>
          <w:szCs w:val="24"/>
        </w:rPr>
        <w:t>hepatisk</w:t>
      </w:r>
      <w:proofErr w:type="spellEnd"/>
      <w:r w:rsidRPr="00A50818">
        <w:rPr>
          <w:bCs/>
          <w:sz w:val="24"/>
          <w:szCs w:val="24"/>
        </w:rPr>
        <w:t xml:space="preserve"> </w:t>
      </w:r>
      <w:proofErr w:type="spellStart"/>
      <w:r w:rsidRPr="00A50818">
        <w:rPr>
          <w:bCs/>
          <w:sz w:val="24"/>
          <w:szCs w:val="24"/>
        </w:rPr>
        <w:t>clearance</w:t>
      </w:r>
      <w:proofErr w:type="spellEnd"/>
      <w:r w:rsidRPr="00A50818">
        <w:rPr>
          <w:bCs/>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5" w:name="_Hlk121750318"/>
      <w:r w:rsidR="00981843">
        <w:rPr>
          <w:b/>
          <w:sz w:val="24"/>
          <w:szCs w:val="24"/>
        </w:rPr>
        <w:t>Non-kliniske sikkerhedsdata</w:t>
      </w:r>
      <w:bookmarkEnd w:id="5"/>
    </w:p>
    <w:p w:rsidR="006B0484" w:rsidRPr="006B0484" w:rsidRDefault="006B0484" w:rsidP="006B0484">
      <w:pPr>
        <w:tabs>
          <w:tab w:val="left" w:pos="851"/>
        </w:tabs>
        <w:ind w:left="851"/>
        <w:rPr>
          <w:sz w:val="24"/>
          <w:szCs w:val="24"/>
        </w:rPr>
      </w:pPr>
      <w:r w:rsidRPr="006B0484">
        <w:rPr>
          <w:sz w:val="24"/>
          <w:szCs w:val="24"/>
        </w:rPr>
        <w:t xml:space="preserve">I dyrestudier hvor der blev administreret doser 40 gange højere end de kliniske doser, forårsagede </w:t>
      </w:r>
      <w:proofErr w:type="spellStart"/>
      <w:r w:rsidRPr="006B0484">
        <w:rPr>
          <w:sz w:val="24"/>
          <w:szCs w:val="24"/>
        </w:rPr>
        <w:t>azithromycin</w:t>
      </w:r>
      <w:proofErr w:type="spellEnd"/>
      <w:r w:rsidRPr="006B0484">
        <w:rPr>
          <w:sz w:val="24"/>
          <w:szCs w:val="24"/>
        </w:rPr>
        <w:t xml:space="preserve"> reversibel fosfolipidose normalt uden mærkbare toksikologiske konsekvenser. </w:t>
      </w:r>
      <w:proofErr w:type="spellStart"/>
      <w:r w:rsidRPr="006B0484">
        <w:rPr>
          <w:sz w:val="24"/>
          <w:szCs w:val="24"/>
        </w:rPr>
        <w:t>Azithromycin</w:t>
      </w:r>
      <w:proofErr w:type="spellEnd"/>
      <w:r w:rsidRPr="006B0484">
        <w:rPr>
          <w:sz w:val="24"/>
          <w:szCs w:val="24"/>
        </w:rPr>
        <w:t xml:space="preserve"> har ikke forårsaget toksiske reaktioner hos patienter ved administration som anbefalet.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83F3A" w:rsidRPr="00083F3A" w:rsidRDefault="00083F3A" w:rsidP="00083F3A">
      <w:pPr>
        <w:tabs>
          <w:tab w:val="left" w:pos="851"/>
        </w:tabs>
        <w:ind w:left="851"/>
        <w:rPr>
          <w:sz w:val="24"/>
          <w:szCs w:val="24"/>
        </w:rPr>
      </w:pPr>
      <w:r w:rsidRPr="00083F3A">
        <w:rPr>
          <w:sz w:val="24"/>
          <w:szCs w:val="24"/>
        </w:rPr>
        <w:t>Citronsyre, vandfrit (E330)</w:t>
      </w:r>
    </w:p>
    <w:p w:rsidR="00083F3A" w:rsidRPr="00083F3A" w:rsidRDefault="00083F3A" w:rsidP="00083F3A">
      <w:pPr>
        <w:tabs>
          <w:tab w:val="left" w:pos="851"/>
        </w:tabs>
        <w:ind w:left="851"/>
        <w:rPr>
          <w:sz w:val="24"/>
          <w:szCs w:val="24"/>
        </w:rPr>
      </w:pPr>
      <w:r w:rsidRPr="00083F3A">
        <w:rPr>
          <w:sz w:val="24"/>
          <w:szCs w:val="24"/>
        </w:rPr>
        <w:t>Natriumhydroxid (til pH-justering)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656A4" w:rsidRPr="006656A4" w:rsidRDefault="006656A4" w:rsidP="006656A4">
      <w:pPr>
        <w:tabs>
          <w:tab w:val="left" w:pos="851"/>
        </w:tabs>
        <w:ind w:left="851"/>
        <w:rPr>
          <w:bCs/>
          <w:sz w:val="24"/>
          <w:szCs w:val="24"/>
        </w:rPr>
      </w:pPr>
      <w:r w:rsidRPr="006656A4">
        <w:rPr>
          <w:bCs/>
          <w:sz w:val="24"/>
          <w:szCs w:val="24"/>
        </w:rPr>
        <w:t xml:space="preserve">Dette lægemiddel må ikke fortyndes med andre lægemidler med undtagelse af dem, der er angivet i pkt. 6.6. </w:t>
      </w:r>
    </w:p>
    <w:p w:rsidR="006656A4" w:rsidRPr="006656A4" w:rsidRDefault="006656A4" w:rsidP="006656A4">
      <w:pPr>
        <w:tabs>
          <w:tab w:val="left" w:pos="851"/>
        </w:tabs>
        <w:ind w:left="851"/>
        <w:rPr>
          <w:bCs/>
          <w:sz w:val="24"/>
          <w:szCs w:val="24"/>
        </w:rPr>
      </w:pPr>
    </w:p>
    <w:p w:rsidR="006656A4" w:rsidRPr="006656A4" w:rsidRDefault="006656A4" w:rsidP="006656A4">
      <w:pPr>
        <w:tabs>
          <w:tab w:val="left" w:pos="851"/>
        </w:tabs>
        <w:ind w:left="851"/>
        <w:rPr>
          <w:bCs/>
          <w:sz w:val="24"/>
          <w:szCs w:val="24"/>
        </w:rPr>
      </w:pPr>
      <w:r w:rsidRPr="006656A4">
        <w:rPr>
          <w:bCs/>
          <w:sz w:val="24"/>
          <w:szCs w:val="24"/>
        </w:rPr>
        <w:t>Der må ikke indgives andre indholdsstoffer via infusion i den samme intravenøse dropslange.</w:t>
      </w:r>
      <w:r w:rsidRPr="006656A4">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BE5253" w:rsidRPr="006656A4" w:rsidRDefault="00BE5253" w:rsidP="00BE5253">
      <w:pPr>
        <w:tabs>
          <w:tab w:val="left" w:pos="851"/>
        </w:tabs>
        <w:ind w:left="851"/>
        <w:rPr>
          <w:bCs/>
          <w:sz w:val="24"/>
          <w:szCs w:val="24"/>
        </w:rPr>
      </w:pPr>
      <w:r w:rsidRPr="00BE5253">
        <w:rPr>
          <w:bCs/>
          <w:sz w:val="24"/>
          <w:szCs w:val="24"/>
        </w:rPr>
        <w:t>3 år.</w:t>
      </w:r>
    </w:p>
    <w:p w:rsidR="006656A4" w:rsidRPr="006656A4" w:rsidRDefault="006656A4" w:rsidP="006656A4">
      <w:pPr>
        <w:tabs>
          <w:tab w:val="left" w:pos="851"/>
        </w:tabs>
        <w:ind w:left="851"/>
        <w:rPr>
          <w:bCs/>
          <w:sz w:val="24"/>
          <w:szCs w:val="24"/>
        </w:rPr>
      </w:pPr>
    </w:p>
    <w:p w:rsidR="006656A4" w:rsidRPr="006656A4" w:rsidRDefault="006656A4" w:rsidP="006656A4">
      <w:pPr>
        <w:tabs>
          <w:tab w:val="left" w:pos="851"/>
        </w:tabs>
        <w:ind w:left="851"/>
        <w:rPr>
          <w:bCs/>
          <w:iCs/>
          <w:sz w:val="24"/>
          <w:szCs w:val="24"/>
          <w:u w:val="single"/>
        </w:rPr>
      </w:pPr>
      <w:r w:rsidRPr="006656A4">
        <w:rPr>
          <w:bCs/>
          <w:iCs/>
          <w:sz w:val="24"/>
          <w:szCs w:val="24"/>
          <w:u w:val="single"/>
        </w:rPr>
        <w:t xml:space="preserve">Koncentreret opløsning efter </w:t>
      </w:r>
      <w:proofErr w:type="spellStart"/>
      <w:r w:rsidRPr="006656A4">
        <w:rPr>
          <w:bCs/>
          <w:iCs/>
          <w:sz w:val="24"/>
          <w:szCs w:val="24"/>
          <w:u w:val="single"/>
        </w:rPr>
        <w:t>rekonstitution</w:t>
      </w:r>
      <w:proofErr w:type="spellEnd"/>
      <w:r w:rsidRPr="006656A4">
        <w:rPr>
          <w:bCs/>
          <w:iCs/>
          <w:sz w:val="24"/>
          <w:szCs w:val="24"/>
          <w:u w:val="single"/>
        </w:rPr>
        <w:t xml:space="preserve"> (i henhold til instruktion)</w:t>
      </w:r>
    </w:p>
    <w:p w:rsidR="006656A4" w:rsidRPr="006656A4" w:rsidRDefault="006656A4" w:rsidP="006656A4">
      <w:pPr>
        <w:tabs>
          <w:tab w:val="left" w:pos="851"/>
        </w:tabs>
        <w:ind w:left="851"/>
        <w:rPr>
          <w:sz w:val="24"/>
          <w:szCs w:val="24"/>
        </w:rPr>
      </w:pPr>
      <w:r w:rsidRPr="006656A4">
        <w:rPr>
          <w:bCs/>
          <w:sz w:val="24"/>
          <w:szCs w:val="24"/>
        </w:rPr>
        <w:t>Der er påvist kemisk og fysisk stabilitet ved anvendelse i 24 timer ved 25 </w:t>
      </w:r>
      <w:r w:rsidRPr="006656A4">
        <w:rPr>
          <w:sz w:val="24"/>
          <w:szCs w:val="24"/>
        </w:rPr>
        <w:t>°C og ved 2-8 °C.</w:t>
      </w:r>
    </w:p>
    <w:p w:rsidR="006656A4" w:rsidRPr="006656A4" w:rsidRDefault="006656A4" w:rsidP="006656A4">
      <w:pPr>
        <w:tabs>
          <w:tab w:val="left" w:pos="851"/>
        </w:tabs>
        <w:ind w:left="851"/>
        <w:rPr>
          <w:sz w:val="24"/>
          <w:szCs w:val="24"/>
        </w:rPr>
      </w:pPr>
    </w:p>
    <w:p w:rsidR="006656A4" w:rsidRPr="006656A4" w:rsidRDefault="006656A4" w:rsidP="006656A4">
      <w:pPr>
        <w:tabs>
          <w:tab w:val="left" w:pos="851"/>
        </w:tabs>
        <w:ind w:left="851"/>
        <w:rPr>
          <w:sz w:val="24"/>
          <w:szCs w:val="24"/>
        </w:rPr>
      </w:pPr>
      <w:r w:rsidRPr="006656A4">
        <w:rPr>
          <w:sz w:val="24"/>
          <w:szCs w:val="24"/>
        </w:rPr>
        <w:t xml:space="preserve">Fra et mikrobiologisk synspunkt bør produktet anvendes straks, medmindre metoden for </w:t>
      </w:r>
      <w:proofErr w:type="spellStart"/>
      <w:r w:rsidRPr="006656A4">
        <w:rPr>
          <w:sz w:val="24"/>
          <w:szCs w:val="24"/>
        </w:rPr>
        <w:t>rekonstituering</w:t>
      </w:r>
      <w:proofErr w:type="spellEnd"/>
      <w:r w:rsidRPr="006656A4">
        <w:rPr>
          <w:sz w:val="24"/>
          <w:szCs w:val="24"/>
        </w:rPr>
        <w:t xml:space="preserve"> forebygger risikoen for mikrobiologisk kontaminering. Hvis den ikke anvendes straks, er opbevaringstid og -forhold, brugerens ansvar.</w:t>
      </w:r>
    </w:p>
    <w:p w:rsidR="006656A4" w:rsidRPr="006656A4" w:rsidRDefault="006656A4" w:rsidP="006656A4">
      <w:pPr>
        <w:tabs>
          <w:tab w:val="left" w:pos="851"/>
        </w:tabs>
        <w:ind w:left="851"/>
        <w:rPr>
          <w:sz w:val="24"/>
          <w:szCs w:val="24"/>
        </w:rPr>
      </w:pPr>
    </w:p>
    <w:p w:rsidR="006656A4" w:rsidRPr="006656A4" w:rsidRDefault="006656A4" w:rsidP="006656A4">
      <w:pPr>
        <w:tabs>
          <w:tab w:val="left" w:pos="851"/>
        </w:tabs>
        <w:ind w:left="851"/>
        <w:rPr>
          <w:iCs/>
          <w:sz w:val="24"/>
          <w:szCs w:val="24"/>
          <w:u w:val="single"/>
        </w:rPr>
      </w:pPr>
      <w:r w:rsidRPr="006656A4">
        <w:rPr>
          <w:iCs/>
          <w:sz w:val="24"/>
          <w:szCs w:val="24"/>
          <w:u w:val="single"/>
        </w:rPr>
        <w:t>Fortyndet opløsning, fremstillet i henhold til instruktion</w:t>
      </w:r>
    </w:p>
    <w:p w:rsidR="006656A4" w:rsidRPr="006656A4" w:rsidRDefault="006656A4" w:rsidP="006656A4">
      <w:pPr>
        <w:tabs>
          <w:tab w:val="left" w:pos="851"/>
        </w:tabs>
        <w:ind w:left="851"/>
        <w:rPr>
          <w:bCs/>
          <w:sz w:val="24"/>
          <w:szCs w:val="24"/>
        </w:rPr>
      </w:pPr>
      <w:r w:rsidRPr="006656A4">
        <w:rPr>
          <w:bCs/>
          <w:sz w:val="24"/>
          <w:szCs w:val="24"/>
        </w:rPr>
        <w:t>Der er påvist kemisk og fysisk stabilitet ved anvendelse i 24 timer ved 25 °C og i 3 dage ved 2-8 °C.</w:t>
      </w:r>
    </w:p>
    <w:p w:rsidR="006656A4" w:rsidRPr="006656A4" w:rsidRDefault="006656A4" w:rsidP="006656A4">
      <w:pPr>
        <w:tabs>
          <w:tab w:val="left" w:pos="851"/>
        </w:tabs>
        <w:ind w:left="851"/>
        <w:rPr>
          <w:bCs/>
          <w:sz w:val="24"/>
          <w:szCs w:val="24"/>
        </w:rPr>
      </w:pPr>
    </w:p>
    <w:p w:rsidR="006656A4" w:rsidRPr="006656A4" w:rsidRDefault="006656A4" w:rsidP="006656A4">
      <w:pPr>
        <w:tabs>
          <w:tab w:val="left" w:pos="851"/>
        </w:tabs>
        <w:ind w:left="851"/>
        <w:rPr>
          <w:sz w:val="24"/>
          <w:szCs w:val="24"/>
        </w:rPr>
      </w:pPr>
      <w:r w:rsidRPr="006656A4">
        <w:rPr>
          <w:sz w:val="24"/>
          <w:szCs w:val="24"/>
        </w:rPr>
        <w:t>Fra et mikrobiologisk synspunkt skal fortyndede opløsninger bruges omgående. Hvis de ikke bruges omgående, er brugsopbevaringstiden og -betingelserne før brug af den fortyndede opløsning brugerens ansvar og vil normalt ikke overstige 24 timer ved 2-8 °C, medmindre fortyndingen er sket under kontrollerede og validerede aseptiske forhold.</w:t>
      </w:r>
    </w:p>
    <w:p w:rsidR="006656A4" w:rsidRPr="006656A4" w:rsidRDefault="006656A4" w:rsidP="006656A4">
      <w:pPr>
        <w:tabs>
          <w:tab w:val="left" w:pos="851"/>
        </w:tabs>
        <w:ind w:left="851"/>
        <w:rPr>
          <w:b/>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656A4" w:rsidRPr="006656A4" w:rsidRDefault="006656A4" w:rsidP="006656A4">
      <w:pPr>
        <w:tabs>
          <w:tab w:val="left" w:pos="851"/>
        </w:tabs>
        <w:ind w:left="851"/>
        <w:rPr>
          <w:sz w:val="24"/>
          <w:szCs w:val="24"/>
        </w:rPr>
      </w:pPr>
      <w:r w:rsidRPr="006656A4">
        <w:rPr>
          <w:sz w:val="24"/>
          <w:szCs w:val="24"/>
        </w:rPr>
        <w:t>Dette lægemiddel kræver ingen særlige opbevaringsbetingelser.</w:t>
      </w:r>
    </w:p>
    <w:p w:rsidR="006656A4" w:rsidRPr="006656A4" w:rsidRDefault="006656A4" w:rsidP="006656A4">
      <w:pPr>
        <w:tabs>
          <w:tab w:val="left" w:pos="851"/>
        </w:tabs>
        <w:ind w:left="851"/>
        <w:rPr>
          <w:sz w:val="24"/>
          <w:szCs w:val="24"/>
        </w:rPr>
      </w:pPr>
    </w:p>
    <w:p w:rsidR="009A086E" w:rsidRPr="00BE5253" w:rsidRDefault="006656A4" w:rsidP="00BE5253">
      <w:pPr>
        <w:tabs>
          <w:tab w:val="left" w:pos="851"/>
        </w:tabs>
        <w:ind w:left="851"/>
        <w:rPr>
          <w:b/>
          <w:sz w:val="24"/>
          <w:szCs w:val="24"/>
        </w:rPr>
      </w:pPr>
      <w:r w:rsidRPr="006656A4">
        <w:rPr>
          <w:sz w:val="24"/>
          <w:szCs w:val="24"/>
        </w:rPr>
        <w:t xml:space="preserve">For opbevaring efter </w:t>
      </w:r>
      <w:proofErr w:type="spellStart"/>
      <w:r w:rsidRPr="006656A4">
        <w:rPr>
          <w:sz w:val="24"/>
          <w:szCs w:val="24"/>
        </w:rPr>
        <w:t>rekonstituering</w:t>
      </w:r>
      <w:proofErr w:type="spellEnd"/>
      <w:r w:rsidRPr="006656A4">
        <w:rPr>
          <w:sz w:val="24"/>
          <w:szCs w:val="24"/>
        </w:rPr>
        <w:t xml:space="preserve"> og fortynding 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6" w:name="_Hlk121743052"/>
      <w:r w:rsidR="00981843" w:rsidRPr="00BA4587">
        <w:rPr>
          <w:b/>
          <w:sz w:val="24"/>
          <w:szCs w:val="24"/>
        </w:rPr>
        <w:t>Emballagetype og pakningsstørrelser</w:t>
      </w:r>
      <w:bookmarkEnd w:id="6"/>
    </w:p>
    <w:p w:rsidR="006656A4" w:rsidRPr="006656A4" w:rsidRDefault="006656A4" w:rsidP="006656A4">
      <w:pPr>
        <w:tabs>
          <w:tab w:val="left" w:pos="851"/>
        </w:tabs>
        <w:ind w:left="851"/>
        <w:rPr>
          <w:sz w:val="24"/>
          <w:szCs w:val="24"/>
        </w:rPr>
      </w:pPr>
      <w:r w:rsidRPr="006656A4">
        <w:rPr>
          <w:sz w:val="24"/>
          <w:szCs w:val="24"/>
        </w:rPr>
        <w:t xml:space="preserve">Hætteglas i klart glas forseglet med en grå </w:t>
      </w:r>
      <w:proofErr w:type="spellStart"/>
      <w:r w:rsidRPr="006656A4">
        <w:rPr>
          <w:sz w:val="24"/>
          <w:szCs w:val="24"/>
        </w:rPr>
        <w:t>bromobutyl</w:t>
      </w:r>
      <w:proofErr w:type="spellEnd"/>
      <w:r w:rsidRPr="006656A4">
        <w:rPr>
          <w:sz w:val="24"/>
          <w:szCs w:val="24"/>
        </w:rPr>
        <w:t xml:space="preserve"> gummipakning og en aluminiumshætte med en aftagelig forsegling i plast</w:t>
      </w:r>
      <w:r w:rsidR="009A086E">
        <w:rPr>
          <w:sz w:val="24"/>
          <w:szCs w:val="24"/>
        </w:rPr>
        <w:t>,</w:t>
      </w:r>
      <w:r w:rsidRPr="006656A4">
        <w:rPr>
          <w:sz w:val="24"/>
          <w:szCs w:val="24"/>
        </w:rPr>
        <w:t xml:space="preserve"> pakket i en papæske.</w:t>
      </w:r>
    </w:p>
    <w:p w:rsidR="006656A4" w:rsidRPr="006656A4" w:rsidRDefault="006656A4" w:rsidP="006656A4">
      <w:pPr>
        <w:tabs>
          <w:tab w:val="left" w:pos="851"/>
        </w:tabs>
        <w:ind w:left="851"/>
        <w:rPr>
          <w:sz w:val="24"/>
          <w:szCs w:val="24"/>
        </w:rPr>
      </w:pPr>
    </w:p>
    <w:p w:rsidR="006656A4" w:rsidRDefault="006656A4" w:rsidP="006656A4">
      <w:pPr>
        <w:tabs>
          <w:tab w:val="left" w:pos="851"/>
        </w:tabs>
        <w:ind w:left="851"/>
        <w:rPr>
          <w:sz w:val="24"/>
          <w:szCs w:val="24"/>
        </w:rPr>
      </w:pPr>
      <w:r w:rsidRPr="006656A4">
        <w:rPr>
          <w:sz w:val="24"/>
          <w:szCs w:val="24"/>
        </w:rPr>
        <w:t>Pakningsstørrelse</w:t>
      </w:r>
      <w:r w:rsidR="009A086E">
        <w:rPr>
          <w:sz w:val="24"/>
          <w:szCs w:val="24"/>
        </w:rPr>
        <w:t xml:space="preserve">r: </w:t>
      </w:r>
      <w:r w:rsidRPr="006656A4">
        <w:rPr>
          <w:sz w:val="24"/>
          <w:szCs w:val="24"/>
        </w:rPr>
        <w:t>1 hætteglas</w:t>
      </w:r>
      <w:r w:rsidR="009A086E">
        <w:rPr>
          <w:sz w:val="24"/>
          <w:szCs w:val="24"/>
        </w:rPr>
        <w:t>.</w:t>
      </w:r>
    </w:p>
    <w:p w:rsidR="009A086E" w:rsidRPr="006656A4" w:rsidRDefault="009A086E" w:rsidP="006656A4">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7" w:name="_Hlk121754038"/>
      <w:r w:rsidR="00981843" w:rsidRPr="00BA4587">
        <w:rPr>
          <w:b/>
          <w:noProof/>
          <w:sz w:val="24"/>
          <w:szCs w:val="24"/>
        </w:rPr>
        <w:t>Regler for bortskaffelse og anden håndtering</w:t>
      </w:r>
      <w:bookmarkEnd w:id="7"/>
    </w:p>
    <w:p w:rsidR="009A086E" w:rsidRPr="00B9599E" w:rsidRDefault="009A086E" w:rsidP="008E0A97">
      <w:pPr>
        <w:tabs>
          <w:tab w:val="left" w:pos="851"/>
        </w:tabs>
        <w:ind w:left="855"/>
        <w:rPr>
          <w:iCs/>
          <w:color w:val="000000"/>
          <w:spacing w:val="-3"/>
          <w:sz w:val="24"/>
          <w:szCs w:val="24"/>
        </w:rPr>
      </w:pPr>
      <w:proofErr w:type="spellStart"/>
      <w:r>
        <w:rPr>
          <w:iCs/>
          <w:color w:val="000000"/>
          <w:spacing w:val="-3"/>
          <w:sz w:val="24"/>
          <w:szCs w:val="24"/>
        </w:rPr>
        <w:t>Azithromycin</w:t>
      </w:r>
      <w:proofErr w:type="spellEnd"/>
      <w:r>
        <w:rPr>
          <w:iCs/>
          <w:color w:val="000000"/>
          <w:spacing w:val="-3"/>
          <w:sz w:val="24"/>
          <w:szCs w:val="24"/>
        </w:rPr>
        <w:t xml:space="preserve"> 500 mg pulver til koncentrat til infusionsvæske, opløsning fås i enkeltdosis hætteglas.</w:t>
      </w:r>
    </w:p>
    <w:p w:rsidR="009A086E" w:rsidRPr="00466CD3" w:rsidRDefault="009A086E" w:rsidP="008E0A97">
      <w:pPr>
        <w:tabs>
          <w:tab w:val="left" w:pos="851"/>
        </w:tabs>
        <w:ind w:left="851"/>
        <w:rPr>
          <w:color w:val="000000"/>
          <w:spacing w:val="-3"/>
          <w:sz w:val="24"/>
          <w:szCs w:val="24"/>
        </w:rPr>
      </w:pPr>
    </w:p>
    <w:p w:rsidR="009A086E" w:rsidRPr="00800958" w:rsidRDefault="009A086E" w:rsidP="008E0A97">
      <w:pPr>
        <w:tabs>
          <w:tab w:val="left" w:pos="851"/>
        </w:tabs>
        <w:ind w:left="851"/>
        <w:rPr>
          <w:color w:val="000000"/>
          <w:spacing w:val="-3"/>
          <w:sz w:val="24"/>
          <w:szCs w:val="24"/>
          <w:u w:val="single"/>
        </w:rPr>
      </w:pPr>
      <w:proofErr w:type="spellStart"/>
      <w:r w:rsidRPr="00800958">
        <w:rPr>
          <w:color w:val="000000"/>
          <w:spacing w:val="-3"/>
          <w:sz w:val="24"/>
          <w:szCs w:val="24"/>
          <w:u w:val="single"/>
        </w:rPr>
        <w:t>Rekonstitution</w:t>
      </w:r>
      <w:proofErr w:type="spellEnd"/>
    </w:p>
    <w:p w:rsidR="009A086E" w:rsidRDefault="009A086E" w:rsidP="008E0A97">
      <w:pPr>
        <w:pStyle w:val="Slutnotetekst"/>
        <w:widowControl/>
        <w:tabs>
          <w:tab w:val="clear" w:pos="567"/>
        </w:tabs>
        <w:spacing w:line="260" w:lineRule="exact"/>
        <w:ind w:left="851"/>
        <w:rPr>
          <w:color w:val="000000"/>
          <w:spacing w:val="-3"/>
          <w:sz w:val="24"/>
          <w:szCs w:val="24"/>
        </w:rPr>
      </w:pPr>
      <w:r w:rsidRPr="00B01365">
        <w:rPr>
          <w:color w:val="000000"/>
          <w:spacing w:val="-3"/>
          <w:sz w:val="24"/>
          <w:szCs w:val="24"/>
        </w:rPr>
        <w:t xml:space="preserve">Initialopløsningen af </w:t>
      </w:r>
      <w:proofErr w:type="spellStart"/>
      <w:r w:rsidRPr="00B01365">
        <w:rPr>
          <w:color w:val="000000"/>
          <w:spacing w:val="-3"/>
          <w:sz w:val="24"/>
          <w:szCs w:val="24"/>
        </w:rPr>
        <w:t>azithromycin</w:t>
      </w:r>
      <w:proofErr w:type="spellEnd"/>
      <w:r w:rsidRPr="00B01365">
        <w:rPr>
          <w:color w:val="000000"/>
          <w:spacing w:val="-3"/>
          <w:sz w:val="24"/>
          <w:szCs w:val="24"/>
        </w:rPr>
        <w:t xml:space="preserve"> fremstilles ved at tilsætte 4,8 ml sterilt vand</w:t>
      </w:r>
      <w:r>
        <w:rPr>
          <w:color w:val="000000"/>
          <w:spacing w:val="-3"/>
          <w:sz w:val="24"/>
          <w:szCs w:val="24"/>
        </w:rPr>
        <w:t xml:space="preserve"> til injektionsvæske til hætteglasset</w:t>
      </w:r>
      <w:r w:rsidRPr="00B01365">
        <w:rPr>
          <w:color w:val="000000"/>
          <w:spacing w:val="-3"/>
          <w:sz w:val="24"/>
          <w:szCs w:val="24"/>
        </w:rPr>
        <w:t>, og ryste</w:t>
      </w:r>
      <w:r>
        <w:rPr>
          <w:color w:val="000000"/>
          <w:spacing w:val="-3"/>
          <w:sz w:val="24"/>
          <w:szCs w:val="24"/>
        </w:rPr>
        <w:t xml:space="preserve"> hætteglasset</w:t>
      </w:r>
      <w:r w:rsidRPr="00B01365">
        <w:rPr>
          <w:color w:val="000000"/>
          <w:spacing w:val="-3"/>
          <w:sz w:val="24"/>
          <w:szCs w:val="24"/>
        </w:rPr>
        <w:t xml:space="preserve"> indtil hele lægemidlet er opløst. Det anbefales at</w:t>
      </w:r>
      <w:r>
        <w:rPr>
          <w:color w:val="000000"/>
          <w:spacing w:val="-3"/>
          <w:sz w:val="24"/>
          <w:szCs w:val="24"/>
        </w:rPr>
        <w:t xml:space="preserve"> der anvendes</w:t>
      </w:r>
      <w:r w:rsidRPr="00B01365">
        <w:rPr>
          <w:color w:val="000000"/>
          <w:spacing w:val="-3"/>
          <w:sz w:val="24"/>
          <w:szCs w:val="24"/>
        </w:rPr>
        <w:t xml:space="preserve"> en standard 5 ml sprøjte for at sikre, at den nøjagtige mængde på 4,8 ml af det sterile vand til injektionsvæsker </w:t>
      </w:r>
      <w:r>
        <w:rPr>
          <w:color w:val="000000"/>
          <w:spacing w:val="-3"/>
          <w:sz w:val="24"/>
          <w:szCs w:val="24"/>
        </w:rPr>
        <w:t>tilsættes</w:t>
      </w:r>
      <w:r w:rsidRPr="00B01365">
        <w:rPr>
          <w:color w:val="000000"/>
          <w:spacing w:val="-3"/>
          <w:sz w:val="24"/>
          <w:szCs w:val="24"/>
        </w:rPr>
        <w:t xml:space="preserve">. </w:t>
      </w:r>
    </w:p>
    <w:p w:rsidR="009A086E" w:rsidRDefault="009A086E" w:rsidP="008E0A97">
      <w:pPr>
        <w:pStyle w:val="Slutnotetekst"/>
        <w:widowControl/>
        <w:tabs>
          <w:tab w:val="clear" w:pos="567"/>
        </w:tabs>
        <w:spacing w:line="260" w:lineRule="exact"/>
        <w:ind w:left="851"/>
        <w:rPr>
          <w:color w:val="000000"/>
          <w:spacing w:val="-3"/>
          <w:sz w:val="24"/>
          <w:szCs w:val="24"/>
        </w:rPr>
      </w:pPr>
    </w:p>
    <w:p w:rsidR="009A086E" w:rsidRDefault="009A086E" w:rsidP="008E0A97">
      <w:pPr>
        <w:pStyle w:val="Slutnotetekst"/>
        <w:widowControl/>
        <w:tabs>
          <w:tab w:val="clear" w:pos="567"/>
        </w:tabs>
        <w:spacing w:line="260" w:lineRule="exact"/>
        <w:ind w:left="851"/>
        <w:rPr>
          <w:color w:val="000000"/>
          <w:spacing w:val="-3"/>
          <w:sz w:val="24"/>
          <w:szCs w:val="24"/>
        </w:rPr>
      </w:pPr>
      <w:r>
        <w:rPr>
          <w:color w:val="000000"/>
          <w:spacing w:val="-3"/>
          <w:sz w:val="24"/>
          <w:szCs w:val="24"/>
        </w:rPr>
        <w:t>1</w:t>
      </w:r>
      <w:r w:rsidRPr="00B01365">
        <w:rPr>
          <w:color w:val="000000"/>
          <w:spacing w:val="-3"/>
          <w:sz w:val="24"/>
          <w:szCs w:val="24"/>
        </w:rPr>
        <w:t xml:space="preserve"> ml af den </w:t>
      </w:r>
      <w:proofErr w:type="spellStart"/>
      <w:r w:rsidRPr="00B01365">
        <w:rPr>
          <w:color w:val="000000"/>
          <w:spacing w:val="-3"/>
          <w:sz w:val="24"/>
          <w:szCs w:val="24"/>
        </w:rPr>
        <w:t>rekonstituerede</w:t>
      </w:r>
      <w:proofErr w:type="spellEnd"/>
      <w:r w:rsidRPr="00B01365">
        <w:rPr>
          <w:color w:val="000000"/>
          <w:spacing w:val="-3"/>
          <w:sz w:val="24"/>
          <w:szCs w:val="24"/>
        </w:rPr>
        <w:t xml:space="preserve"> opløsning indeholder</w:t>
      </w:r>
      <w:r>
        <w:rPr>
          <w:color w:val="000000"/>
          <w:spacing w:val="-3"/>
          <w:sz w:val="24"/>
          <w:szCs w:val="24"/>
        </w:rPr>
        <w:t xml:space="preserve"> </w:t>
      </w:r>
      <w:proofErr w:type="spellStart"/>
      <w:r>
        <w:rPr>
          <w:color w:val="000000"/>
          <w:spacing w:val="-3"/>
          <w:sz w:val="24"/>
          <w:szCs w:val="24"/>
        </w:rPr>
        <w:t>azithromycindihydrat</w:t>
      </w:r>
      <w:proofErr w:type="spellEnd"/>
      <w:r>
        <w:rPr>
          <w:color w:val="000000"/>
          <w:spacing w:val="-3"/>
          <w:sz w:val="24"/>
          <w:szCs w:val="24"/>
        </w:rPr>
        <w:t xml:space="preserve"> svarende til</w:t>
      </w:r>
      <w:r w:rsidRPr="00B01365">
        <w:rPr>
          <w:color w:val="000000"/>
          <w:spacing w:val="-3"/>
          <w:sz w:val="24"/>
          <w:szCs w:val="24"/>
        </w:rPr>
        <w:t xml:space="preserve"> 100 mg </w:t>
      </w:r>
      <w:proofErr w:type="spellStart"/>
      <w:r w:rsidRPr="00B01365">
        <w:rPr>
          <w:color w:val="000000"/>
          <w:spacing w:val="-3"/>
          <w:sz w:val="24"/>
          <w:szCs w:val="24"/>
        </w:rPr>
        <w:t>azithromycin</w:t>
      </w:r>
      <w:proofErr w:type="spellEnd"/>
      <w:r>
        <w:rPr>
          <w:color w:val="000000"/>
          <w:spacing w:val="-3"/>
          <w:sz w:val="24"/>
          <w:szCs w:val="24"/>
        </w:rPr>
        <w:t xml:space="preserve"> (100 mg/ml)</w:t>
      </w:r>
      <w:r w:rsidRPr="00B01365">
        <w:rPr>
          <w:color w:val="000000"/>
          <w:spacing w:val="-3"/>
          <w:sz w:val="24"/>
          <w:szCs w:val="24"/>
        </w:rPr>
        <w:t xml:space="preserve">. </w:t>
      </w:r>
    </w:p>
    <w:p w:rsidR="009A086E" w:rsidRPr="00B01365" w:rsidRDefault="009A086E" w:rsidP="008E0A97">
      <w:pPr>
        <w:tabs>
          <w:tab w:val="left" w:pos="851"/>
        </w:tabs>
        <w:ind w:left="851"/>
        <w:rPr>
          <w:color w:val="000000"/>
          <w:spacing w:val="-3"/>
          <w:sz w:val="24"/>
          <w:szCs w:val="24"/>
        </w:rPr>
      </w:pPr>
    </w:p>
    <w:p w:rsidR="009A086E" w:rsidRPr="00B01365" w:rsidRDefault="009A086E" w:rsidP="008E0A97">
      <w:pPr>
        <w:tabs>
          <w:tab w:val="left" w:pos="851"/>
        </w:tabs>
        <w:ind w:left="851"/>
        <w:rPr>
          <w:color w:val="000000"/>
          <w:spacing w:val="-3"/>
          <w:sz w:val="24"/>
          <w:szCs w:val="24"/>
        </w:rPr>
      </w:pPr>
      <w:r w:rsidRPr="008C678E">
        <w:rPr>
          <w:color w:val="000000"/>
          <w:spacing w:val="-3"/>
          <w:sz w:val="24"/>
          <w:szCs w:val="24"/>
          <w:u w:val="single"/>
        </w:rPr>
        <w:t>Fortynding</w:t>
      </w:r>
    </w:p>
    <w:p w:rsidR="009A086E" w:rsidRPr="00B01365" w:rsidRDefault="009A086E" w:rsidP="008E0A97">
      <w:pPr>
        <w:tabs>
          <w:tab w:val="left" w:pos="851"/>
        </w:tabs>
        <w:ind w:left="851"/>
        <w:rPr>
          <w:color w:val="000000"/>
          <w:spacing w:val="-3"/>
          <w:sz w:val="24"/>
          <w:szCs w:val="24"/>
        </w:rPr>
      </w:pPr>
      <w:r>
        <w:rPr>
          <w:color w:val="000000"/>
          <w:spacing w:val="-3"/>
          <w:sz w:val="24"/>
          <w:szCs w:val="24"/>
        </w:rPr>
        <w:t xml:space="preserve">Tilføj 5 ml </w:t>
      </w:r>
      <w:proofErr w:type="spellStart"/>
      <w:r>
        <w:rPr>
          <w:color w:val="000000"/>
          <w:spacing w:val="-3"/>
          <w:sz w:val="24"/>
          <w:szCs w:val="24"/>
        </w:rPr>
        <w:t>azithromycinopløsning</w:t>
      </w:r>
      <w:proofErr w:type="spellEnd"/>
      <w:r>
        <w:rPr>
          <w:color w:val="000000"/>
          <w:spacing w:val="-3"/>
          <w:sz w:val="24"/>
          <w:szCs w:val="24"/>
        </w:rPr>
        <w:t xml:space="preserve"> (100 mg/ml) til en passende mængde kompatibel infusionsvæske for at fremstille den færdige </w:t>
      </w:r>
      <w:proofErr w:type="spellStart"/>
      <w:r>
        <w:rPr>
          <w:color w:val="000000"/>
          <w:spacing w:val="-3"/>
          <w:sz w:val="24"/>
          <w:szCs w:val="24"/>
        </w:rPr>
        <w:t>azithromycin</w:t>
      </w:r>
      <w:proofErr w:type="spellEnd"/>
      <w:r>
        <w:rPr>
          <w:color w:val="000000"/>
          <w:spacing w:val="-3"/>
          <w:sz w:val="24"/>
          <w:szCs w:val="24"/>
        </w:rPr>
        <w:t xml:space="preserve"> infusionsvæske, opløsning med en koncentration på enten 1,0 mg/ml eller 2,0 mg/ml.</w:t>
      </w:r>
    </w:p>
    <w:p w:rsidR="009A086E" w:rsidRDefault="009A086E" w:rsidP="00466CD3">
      <w:pPr>
        <w:tabs>
          <w:tab w:val="left" w:pos="851"/>
        </w:tabs>
        <w:ind w:left="851"/>
        <w:rPr>
          <w:color w:val="000000"/>
          <w:spacing w:val="-3"/>
          <w:sz w:val="24"/>
          <w:szCs w:val="24"/>
        </w:rPr>
      </w:pPr>
    </w:p>
    <w:tbl>
      <w:tblPr>
        <w:tblStyle w:val="Tabel-Gitter"/>
        <w:tblW w:w="0" w:type="auto"/>
        <w:tblInd w:w="988" w:type="dxa"/>
        <w:tblLook w:val="04A0" w:firstRow="1" w:lastRow="0" w:firstColumn="1" w:lastColumn="0" w:noHBand="0" w:noVBand="1"/>
      </w:tblPr>
      <w:tblGrid>
        <w:gridCol w:w="4394"/>
        <w:gridCol w:w="4246"/>
      </w:tblGrid>
      <w:tr w:rsidR="009A086E" w:rsidRPr="001F70C9" w:rsidTr="00E460D2">
        <w:tc>
          <w:tcPr>
            <w:tcW w:w="4394" w:type="dxa"/>
          </w:tcPr>
          <w:p w:rsidR="009A086E" w:rsidRPr="001F70C9" w:rsidRDefault="009A086E" w:rsidP="00E460D2">
            <w:pPr>
              <w:tabs>
                <w:tab w:val="left" w:pos="851"/>
              </w:tabs>
              <w:rPr>
                <w:b/>
                <w:bCs/>
                <w:color w:val="000000"/>
                <w:spacing w:val="-3"/>
                <w:sz w:val="24"/>
                <w:szCs w:val="24"/>
                <w:lang w:val="da-DK"/>
              </w:rPr>
            </w:pPr>
            <w:r w:rsidRPr="001F70C9">
              <w:rPr>
                <w:b/>
                <w:bCs/>
                <w:color w:val="000000"/>
                <w:spacing w:val="-3"/>
                <w:sz w:val="24"/>
                <w:szCs w:val="24"/>
                <w:lang w:val="da-DK"/>
              </w:rPr>
              <w:t>Endelig koncentration af infusionsvæske</w:t>
            </w:r>
          </w:p>
        </w:tc>
        <w:tc>
          <w:tcPr>
            <w:tcW w:w="4246" w:type="dxa"/>
          </w:tcPr>
          <w:p w:rsidR="009A086E" w:rsidRPr="001F70C9" w:rsidRDefault="009A086E" w:rsidP="00E460D2">
            <w:pPr>
              <w:tabs>
                <w:tab w:val="left" w:pos="851"/>
              </w:tabs>
              <w:rPr>
                <w:b/>
                <w:bCs/>
                <w:color w:val="000000"/>
                <w:spacing w:val="-3"/>
                <w:sz w:val="24"/>
                <w:szCs w:val="24"/>
                <w:lang w:val="da-DK"/>
              </w:rPr>
            </w:pPr>
            <w:r w:rsidRPr="001F70C9">
              <w:rPr>
                <w:b/>
                <w:bCs/>
                <w:color w:val="000000"/>
                <w:spacing w:val="-3"/>
                <w:sz w:val="24"/>
                <w:szCs w:val="24"/>
                <w:lang w:val="da-DK"/>
              </w:rPr>
              <w:t>Mængde infusionsvæske</w:t>
            </w:r>
          </w:p>
        </w:tc>
      </w:tr>
      <w:tr w:rsidR="009A086E" w:rsidTr="00E460D2">
        <w:tc>
          <w:tcPr>
            <w:tcW w:w="4394" w:type="dxa"/>
          </w:tcPr>
          <w:p w:rsidR="009A086E" w:rsidRPr="00FA1B04" w:rsidRDefault="009A086E" w:rsidP="00E460D2">
            <w:pPr>
              <w:tabs>
                <w:tab w:val="left" w:pos="851"/>
              </w:tabs>
              <w:rPr>
                <w:color w:val="000000"/>
                <w:spacing w:val="-3"/>
                <w:sz w:val="24"/>
                <w:szCs w:val="24"/>
                <w:lang w:val="da-DK"/>
              </w:rPr>
            </w:pPr>
            <w:r>
              <w:rPr>
                <w:color w:val="000000"/>
                <w:spacing w:val="-3"/>
                <w:sz w:val="24"/>
                <w:szCs w:val="24"/>
                <w:lang w:val="da-DK"/>
              </w:rPr>
              <w:t>1,0 mg/ml</w:t>
            </w:r>
          </w:p>
        </w:tc>
        <w:tc>
          <w:tcPr>
            <w:tcW w:w="4246" w:type="dxa"/>
          </w:tcPr>
          <w:p w:rsidR="009A086E" w:rsidRPr="00FA1B04" w:rsidRDefault="009A086E" w:rsidP="00E460D2">
            <w:pPr>
              <w:tabs>
                <w:tab w:val="left" w:pos="851"/>
              </w:tabs>
              <w:rPr>
                <w:color w:val="000000"/>
                <w:spacing w:val="-3"/>
                <w:sz w:val="24"/>
                <w:szCs w:val="24"/>
                <w:lang w:val="da-DK"/>
              </w:rPr>
            </w:pPr>
            <w:r>
              <w:rPr>
                <w:color w:val="000000"/>
                <w:spacing w:val="-3"/>
                <w:sz w:val="24"/>
                <w:szCs w:val="24"/>
                <w:lang w:val="da-DK"/>
              </w:rPr>
              <w:t>500 ml</w:t>
            </w:r>
          </w:p>
        </w:tc>
      </w:tr>
      <w:tr w:rsidR="009A086E" w:rsidTr="00E460D2">
        <w:tc>
          <w:tcPr>
            <w:tcW w:w="4394" w:type="dxa"/>
          </w:tcPr>
          <w:p w:rsidR="009A086E" w:rsidRPr="00FA1B04" w:rsidRDefault="009A086E" w:rsidP="00E460D2">
            <w:pPr>
              <w:tabs>
                <w:tab w:val="left" w:pos="851"/>
              </w:tabs>
              <w:rPr>
                <w:color w:val="000000"/>
                <w:spacing w:val="-3"/>
                <w:sz w:val="24"/>
                <w:szCs w:val="24"/>
                <w:lang w:val="da-DK"/>
              </w:rPr>
            </w:pPr>
            <w:r>
              <w:rPr>
                <w:color w:val="000000"/>
                <w:spacing w:val="-3"/>
                <w:sz w:val="24"/>
                <w:szCs w:val="24"/>
                <w:lang w:val="da-DK"/>
              </w:rPr>
              <w:t>2,0 mg/ml</w:t>
            </w:r>
          </w:p>
        </w:tc>
        <w:tc>
          <w:tcPr>
            <w:tcW w:w="4246" w:type="dxa"/>
          </w:tcPr>
          <w:p w:rsidR="009A086E" w:rsidRPr="00FA1B04" w:rsidRDefault="009A086E" w:rsidP="00E460D2">
            <w:pPr>
              <w:tabs>
                <w:tab w:val="left" w:pos="851"/>
              </w:tabs>
              <w:rPr>
                <w:color w:val="000000"/>
                <w:spacing w:val="-3"/>
                <w:sz w:val="24"/>
                <w:szCs w:val="24"/>
                <w:lang w:val="da-DK"/>
              </w:rPr>
            </w:pPr>
            <w:r>
              <w:rPr>
                <w:color w:val="000000"/>
                <w:spacing w:val="-3"/>
                <w:sz w:val="24"/>
                <w:szCs w:val="24"/>
                <w:lang w:val="da-DK"/>
              </w:rPr>
              <w:t>250 ml</w:t>
            </w:r>
          </w:p>
        </w:tc>
      </w:tr>
    </w:tbl>
    <w:p w:rsidR="009A086E" w:rsidRDefault="009A086E" w:rsidP="009A086E">
      <w:pPr>
        <w:tabs>
          <w:tab w:val="left" w:pos="851"/>
        </w:tabs>
        <w:ind w:left="2608" w:hanging="1757"/>
        <w:rPr>
          <w:color w:val="000000"/>
          <w:spacing w:val="-3"/>
          <w:sz w:val="24"/>
          <w:szCs w:val="24"/>
        </w:rPr>
      </w:pPr>
    </w:p>
    <w:p w:rsidR="009A086E" w:rsidRPr="00D2606A" w:rsidRDefault="009A086E" w:rsidP="008E0A97">
      <w:pPr>
        <w:tabs>
          <w:tab w:val="left" w:pos="851"/>
        </w:tabs>
        <w:suppressAutoHyphens/>
        <w:ind w:left="851"/>
        <w:rPr>
          <w:iCs/>
          <w:color w:val="000000"/>
          <w:sz w:val="24"/>
          <w:szCs w:val="24"/>
        </w:rPr>
      </w:pPr>
      <w:r>
        <w:rPr>
          <w:iCs/>
          <w:color w:val="000000"/>
          <w:sz w:val="24"/>
          <w:szCs w:val="24"/>
        </w:rPr>
        <w:t xml:space="preserve">Det </w:t>
      </w:r>
      <w:proofErr w:type="spellStart"/>
      <w:r>
        <w:rPr>
          <w:iCs/>
          <w:color w:val="000000"/>
          <w:sz w:val="24"/>
          <w:szCs w:val="24"/>
        </w:rPr>
        <w:t>rekonstituerede</w:t>
      </w:r>
      <w:proofErr w:type="spellEnd"/>
      <w:r>
        <w:rPr>
          <w:iCs/>
          <w:color w:val="000000"/>
          <w:sz w:val="24"/>
          <w:szCs w:val="24"/>
        </w:rPr>
        <w:t xml:space="preserve"> pulver til koncentrat til infusionsvæske, opløsning kan fortyndes med følgende infusionsvæsker:</w:t>
      </w:r>
    </w:p>
    <w:p w:rsidR="009A086E" w:rsidRPr="00CC15F0" w:rsidRDefault="009A086E" w:rsidP="008E0A97">
      <w:pPr>
        <w:pStyle w:val="Listeafsnit"/>
        <w:numPr>
          <w:ilvl w:val="0"/>
          <w:numId w:val="7"/>
        </w:numPr>
        <w:tabs>
          <w:tab w:val="left" w:pos="851"/>
          <w:tab w:val="left" w:pos="1134"/>
        </w:tabs>
        <w:suppressAutoHyphens/>
        <w:ind w:left="851" w:firstLine="0"/>
        <w:rPr>
          <w:color w:val="000000"/>
          <w:sz w:val="24"/>
          <w:szCs w:val="24"/>
        </w:rPr>
      </w:pPr>
      <w:r w:rsidRPr="00CC15F0">
        <w:rPr>
          <w:color w:val="000000"/>
          <w:sz w:val="24"/>
          <w:szCs w:val="24"/>
        </w:rPr>
        <w:t>0,9</w:t>
      </w:r>
      <w:r>
        <w:rPr>
          <w:color w:val="000000"/>
          <w:sz w:val="24"/>
          <w:szCs w:val="24"/>
        </w:rPr>
        <w:t> </w:t>
      </w:r>
      <w:r w:rsidRPr="00CC15F0">
        <w:rPr>
          <w:color w:val="000000"/>
          <w:sz w:val="24"/>
          <w:szCs w:val="24"/>
        </w:rPr>
        <w:t xml:space="preserve">% </w:t>
      </w:r>
      <w:proofErr w:type="spellStart"/>
      <w:r>
        <w:rPr>
          <w:color w:val="000000"/>
          <w:sz w:val="24"/>
          <w:szCs w:val="24"/>
        </w:rPr>
        <w:t>natriumchlorid</w:t>
      </w:r>
      <w:proofErr w:type="spellEnd"/>
      <w:r w:rsidRPr="00CC15F0">
        <w:rPr>
          <w:color w:val="000000"/>
          <w:sz w:val="24"/>
          <w:szCs w:val="24"/>
        </w:rPr>
        <w:t xml:space="preserve"> </w:t>
      </w:r>
    </w:p>
    <w:p w:rsidR="009A086E" w:rsidRPr="00CC15F0" w:rsidRDefault="009A086E" w:rsidP="008E0A97">
      <w:pPr>
        <w:pStyle w:val="Listeafsnit"/>
        <w:numPr>
          <w:ilvl w:val="0"/>
          <w:numId w:val="7"/>
        </w:numPr>
        <w:tabs>
          <w:tab w:val="left" w:pos="851"/>
          <w:tab w:val="left" w:pos="1134"/>
        </w:tabs>
        <w:suppressAutoHyphens/>
        <w:ind w:left="851" w:firstLine="0"/>
        <w:rPr>
          <w:color w:val="000000"/>
          <w:sz w:val="24"/>
          <w:szCs w:val="24"/>
        </w:rPr>
      </w:pPr>
      <w:r w:rsidRPr="00CC15F0">
        <w:rPr>
          <w:color w:val="000000"/>
          <w:sz w:val="24"/>
          <w:szCs w:val="24"/>
        </w:rPr>
        <w:t>0,45</w:t>
      </w:r>
      <w:r>
        <w:rPr>
          <w:color w:val="000000"/>
          <w:sz w:val="24"/>
          <w:szCs w:val="24"/>
        </w:rPr>
        <w:t> </w:t>
      </w:r>
      <w:r w:rsidRPr="00CC15F0">
        <w:rPr>
          <w:color w:val="000000"/>
          <w:sz w:val="24"/>
          <w:szCs w:val="24"/>
        </w:rPr>
        <w:t xml:space="preserve">% </w:t>
      </w:r>
      <w:proofErr w:type="spellStart"/>
      <w:r>
        <w:rPr>
          <w:color w:val="000000"/>
          <w:sz w:val="24"/>
          <w:szCs w:val="24"/>
        </w:rPr>
        <w:t>natriumchlorid</w:t>
      </w:r>
      <w:proofErr w:type="spellEnd"/>
      <w:r w:rsidRPr="00CC15F0">
        <w:rPr>
          <w:color w:val="000000"/>
          <w:sz w:val="24"/>
          <w:szCs w:val="24"/>
        </w:rPr>
        <w:t xml:space="preserve"> </w:t>
      </w:r>
    </w:p>
    <w:p w:rsidR="009A086E" w:rsidRPr="00CC15F0" w:rsidRDefault="009A086E" w:rsidP="008E0A97">
      <w:pPr>
        <w:pStyle w:val="Listeafsnit"/>
        <w:numPr>
          <w:ilvl w:val="0"/>
          <w:numId w:val="7"/>
        </w:numPr>
        <w:tabs>
          <w:tab w:val="left" w:pos="851"/>
          <w:tab w:val="left" w:pos="1134"/>
        </w:tabs>
        <w:suppressAutoHyphens/>
        <w:ind w:left="851" w:firstLine="0"/>
        <w:rPr>
          <w:color w:val="000000"/>
          <w:sz w:val="24"/>
          <w:szCs w:val="24"/>
        </w:rPr>
      </w:pPr>
      <w:r w:rsidRPr="00CC15F0">
        <w:rPr>
          <w:color w:val="000000"/>
          <w:sz w:val="24"/>
          <w:szCs w:val="24"/>
        </w:rPr>
        <w:t>5</w:t>
      </w:r>
      <w:r>
        <w:rPr>
          <w:color w:val="000000"/>
          <w:sz w:val="24"/>
          <w:szCs w:val="24"/>
        </w:rPr>
        <w:t> </w:t>
      </w:r>
      <w:r w:rsidRPr="00CC15F0">
        <w:rPr>
          <w:color w:val="000000"/>
          <w:sz w:val="24"/>
          <w:szCs w:val="24"/>
        </w:rPr>
        <w:t xml:space="preserve">% </w:t>
      </w:r>
      <w:proofErr w:type="spellStart"/>
      <w:r w:rsidRPr="00CC15F0">
        <w:rPr>
          <w:color w:val="000000"/>
          <w:sz w:val="24"/>
          <w:szCs w:val="24"/>
        </w:rPr>
        <w:t>glu</w:t>
      </w:r>
      <w:r>
        <w:rPr>
          <w:color w:val="000000"/>
          <w:sz w:val="24"/>
          <w:szCs w:val="24"/>
        </w:rPr>
        <w:t>c</w:t>
      </w:r>
      <w:r w:rsidRPr="00CC15F0">
        <w:rPr>
          <w:color w:val="000000"/>
          <w:sz w:val="24"/>
          <w:szCs w:val="24"/>
        </w:rPr>
        <w:t>ose</w:t>
      </w:r>
      <w:proofErr w:type="spellEnd"/>
      <w:r w:rsidRPr="00CC15F0">
        <w:rPr>
          <w:color w:val="000000"/>
          <w:sz w:val="24"/>
          <w:szCs w:val="24"/>
        </w:rPr>
        <w:t xml:space="preserve"> </w:t>
      </w:r>
    </w:p>
    <w:p w:rsidR="009A086E" w:rsidRPr="00CC15F0" w:rsidRDefault="009A086E" w:rsidP="008E0A97">
      <w:pPr>
        <w:pStyle w:val="Listeafsnit"/>
        <w:numPr>
          <w:ilvl w:val="0"/>
          <w:numId w:val="7"/>
        </w:numPr>
        <w:tabs>
          <w:tab w:val="left" w:pos="851"/>
          <w:tab w:val="left" w:pos="1134"/>
        </w:tabs>
        <w:suppressAutoHyphens/>
        <w:ind w:left="851" w:firstLine="0"/>
        <w:rPr>
          <w:color w:val="000000"/>
          <w:sz w:val="24"/>
          <w:szCs w:val="24"/>
        </w:rPr>
      </w:pPr>
      <w:r w:rsidRPr="00CC15F0">
        <w:rPr>
          <w:color w:val="000000"/>
          <w:sz w:val="24"/>
          <w:szCs w:val="24"/>
        </w:rPr>
        <w:t>Ringer-La</w:t>
      </w:r>
      <w:r>
        <w:rPr>
          <w:color w:val="000000"/>
          <w:sz w:val="24"/>
          <w:szCs w:val="24"/>
        </w:rPr>
        <w:t>k</w:t>
      </w:r>
      <w:r w:rsidRPr="00CC15F0">
        <w:rPr>
          <w:color w:val="000000"/>
          <w:sz w:val="24"/>
          <w:szCs w:val="24"/>
        </w:rPr>
        <w:t>tat</w:t>
      </w:r>
    </w:p>
    <w:p w:rsidR="009A086E" w:rsidRPr="00CC15F0" w:rsidRDefault="009A086E" w:rsidP="008E0A97">
      <w:pPr>
        <w:pStyle w:val="Listeafsnit"/>
        <w:numPr>
          <w:ilvl w:val="0"/>
          <w:numId w:val="7"/>
        </w:numPr>
        <w:tabs>
          <w:tab w:val="left" w:pos="851"/>
          <w:tab w:val="left" w:pos="1134"/>
        </w:tabs>
        <w:suppressAutoHyphens/>
        <w:ind w:left="851" w:firstLine="0"/>
        <w:rPr>
          <w:color w:val="000000"/>
          <w:sz w:val="24"/>
          <w:szCs w:val="24"/>
        </w:rPr>
      </w:pPr>
      <w:r w:rsidRPr="00CC15F0">
        <w:rPr>
          <w:color w:val="000000"/>
          <w:sz w:val="24"/>
          <w:szCs w:val="24"/>
        </w:rPr>
        <w:t>5</w:t>
      </w:r>
      <w:r>
        <w:rPr>
          <w:color w:val="000000"/>
          <w:sz w:val="24"/>
          <w:szCs w:val="24"/>
        </w:rPr>
        <w:t> </w:t>
      </w:r>
      <w:r w:rsidRPr="00CC15F0">
        <w:rPr>
          <w:color w:val="000000"/>
          <w:sz w:val="24"/>
          <w:szCs w:val="24"/>
        </w:rPr>
        <w:t xml:space="preserve">% </w:t>
      </w:r>
      <w:proofErr w:type="spellStart"/>
      <w:r w:rsidRPr="00CC15F0">
        <w:rPr>
          <w:color w:val="000000"/>
          <w:sz w:val="24"/>
          <w:szCs w:val="24"/>
        </w:rPr>
        <w:t>glu</w:t>
      </w:r>
      <w:r>
        <w:rPr>
          <w:color w:val="000000"/>
          <w:sz w:val="24"/>
          <w:szCs w:val="24"/>
        </w:rPr>
        <w:t>c</w:t>
      </w:r>
      <w:r w:rsidRPr="00CC15F0">
        <w:rPr>
          <w:color w:val="000000"/>
          <w:sz w:val="24"/>
          <w:szCs w:val="24"/>
        </w:rPr>
        <w:t>ose</w:t>
      </w:r>
      <w:proofErr w:type="spellEnd"/>
      <w:r w:rsidRPr="00CC15F0">
        <w:rPr>
          <w:color w:val="000000"/>
          <w:sz w:val="24"/>
          <w:szCs w:val="24"/>
        </w:rPr>
        <w:t xml:space="preserve"> og 0,45</w:t>
      </w:r>
      <w:r>
        <w:rPr>
          <w:color w:val="000000"/>
          <w:sz w:val="24"/>
          <w:szCs w:val="24"/>
        </w:rPr>
        <w:t> </w:t>
      </w:r>
      <w:r w:rsidRPr="00CC15F0">
        <w:rPr>
          <w:color w:val="000000"/>
          <w:sz w:val="24"/>
          <w:szCs w:val="24"/>
        </w:rPr>
        <w:t xml:space="preserve">% </w:t>
      </w:r>
      <w:proofErr w:type="spellStart"/>
      <w:r>
        <w:rPr>
          <w:color w:val="000000"/>
          <w:sz w:val="24"/>
          <w:szCs w:val="24"/>
        </w:rPr>
        <w:t>natriumchlorid</w:t>
      </w:r>
      <w:r w:rsidRPr="00CC15F0">
        <w:rPr>
          <w:color w:val="000000"/>
          <w:sz w:val="24"/>
          <w:szCs w:val="24"/>
        </w:rPr>
        <w:t>opløsning</w:t>
      </w:r>
      <w:proofErr w:type="spellEnd"/>
      <w:r w:rsidRPr="00CC15F0">
        <w:rPr>
          <w:color w:val="000000"/>
          <w:sz w:val="24"/>
          <w:szCs w:val="24"/>
        </w:rPr>
        <w:t xml:space="preserve"> med 20</w:t>
      </w:r>
      <w:r>
        <w:rPr>
          <w:color w:val="000000"/>
          <w:sz w:val="24"/>
          <w:szCs w:val="24"/>
        </w:rPr>
        <w:t> </w:t>
      </w:r>
      <w:proofErr w:type="spellStart"/>
      <w:r w:rsidRPr="00CC15F0">
        <w:rPr>
          <w:color w:val="000000"/>
          <w:sz w:val="24"/>
          <w:szCs w:val="24"/>
        </w:rPr>
        <w:t>m</w:t>
      </w:r>
      <w:r>
        <w:rPr>
          <w:color w:val="000000"/>
          <w:sz w:val="24"/>
          <w:szCs w:val="24"/>
        </w:rPr>
        <w:t>Eq</w:t>
      </w:r>
      <w:proofErr w:type="spellEnd"/>
      <w:r>
        <w:rPr>
          <w:color w:val="000000"/>
          <w:sz w:val="24"/>
          <w:szCs w:val="24"/>
        </w:rPr>
        <w:t xml:space="preserve"> </w:t>
      </w:r>
      <w:proofErr w:type="spellStart"/>
      <w:r>
        <w:rPr>
          <w:color w:val="000000"/>
          <w:sz w:val="24"/>
          <w:szCs w:val="24"/>
        </w:rPr>
        <w:t>KCl</w:t>
      </w:r>
      <w:proofErr w:type="spellEnd"/>
    </w:p>
    <w:p w:rsidR="009A086E" w:rsidRPr="00CC15F0" w:rsidRDefault="009A086E" w:rsidP="008E0A97">
      <w:pPr>
        <w:pStyle w:val="Listeafsnit"/>
        <w:numPr>
          <w:ilvl w:val="0"/>
          <w:numId w:val="7"/>
        </w:numPr>
        <w:tabs>
          <w:tab w:val="left" w:pos="851"/>
          <w:tab w:val="left" w:pos="1134"/>
        </w:tabs>
        <w:suppressAutoHyphens/>
        <w:ind w:left="851" w:firstLine="0"/>
        <w:rPr>
          <w:color w:val="000000"/>
          <w:sz w:val="24"/>
          <w:szCs w:val="24"/>
        </w:rPr>
      </w:pPr>
      <w:r w:rsidRPr="00CC15F0">
        <w:rPr>
          <w:color w:val="000000"/>
          <w:sz w:val="24"/>
          <w:szCs w:val="24"/>
        </w:rPr>
        <w:t>5</w:t>
      </w:r>
      <w:r>
        <w:rPr>
          <w:color w:val="000000"/>
          <w:sz w:val="24"/>
          <w:szCs w:val="24"/>
        </w:rPr>
        <w:t> </w:t>
      </w:r>
      <w:r w:rsidRPr="00CC15F0">
        <w:rPr>
          <w:color w:val="000000"/>
          <w:sz w:val="24"/>
          <w:szCs w:val="24"/>
        </w:rPr>
        <w:t xml:space="preserve">% </w:t>
      </w:r>
      <w:proofErr w:type="spellStart"/>
      <w:r w:rsidRPr="00CC15F0">
        <w:rPr>
          <w:color w:val="000000"/>
          <w:sz w:val="24"/>
          <w:szCs w:val="24"/>
        </w:rPr>
        <w:t>glu</w:t>
      </w:r>
      <w:r>
        <w:rPr>
          <w:color w:val="000000"/>
          <w:sz w:val="24"/>
          <w:szCs w:val="24"/>
        </w:rPr>
        <w:t>c</w:t>
      </w:r>
      <w:r w:rsidRPr="00CC15F0">
        <w:rPr>
          <w:color w:val="000000"/>
          <w:sz w:val="24"/>
          <w:szCs w:val="24"/>
        </w:rPr>
        <w:t>ose</w:t>
      </w:r>
      <w:proofErr w:type="spellEnd"/>
      <w:r w:rsidRPr="00CC15F0">
        <w:rPr>
          <w:color w:val="000000"/>
          <w:sz w:val="24"/>
          <w:szCs w:val="24"/>
        </w:rPr>
        <w:t xml:space="preserve"> og Ringer-La</w:t>
      </w:r>
      <w:r>
        <w:rPr>
          <w:color w:val="000000"/>
          <w:sz w:val="24"/>
          <w:szCs w:val="24"/>
        </w:rPr>
        <w:t>k</w:t>
      </w:r>
      <w:r w:rsidRPr="00CC15F0">
        <w:rPr>
          <w:color w:val="000000"/>
          <w:sz w:val="24"/>
          <w:szCs w:val="24"/>
        </w:rPr>
        <w:t>tat</w:t>
      </w:r>
    </w:p>
    <w:p w:rsidR="009A086E" w:rsidRPr="00CC15F0" w:rsidRDefault="009A086E" w:rsidP="008E0A97">
      <w:pPr>
        <w:pStyle w:val="Listeafsnit"/>
        <w:numPr>
          <w:ilvl w:val="0"/>
          <w:numId w:val="7"/>
        </w:numPr>
        <w:tabs>
          <w:tab w:val="left" w:pos="851"/>
          <w:tab w:val="left" w:pos="1134"/>
        </w:tabs>
        <w:suppressAutoHyphens/>
        <w:ind w:left="851" w:firstLine="0"/>
        <w:rPr>
          <w:color w:val="000000"/>
          <w:sz w:val="24"/>
          <w:szCs w:val="24"/>
        </w:rPr>
      </w:pPr>
      <w:r w:rsidRPr="00CC15F0">
        <w:rPr>
          <w:color w:val="000000"/>
          <w:sz w:val="24"/>
          <w:szCs w:val="24"/>
        </w:rPr>
        <w:t>5</w:t>
      </w:r>
      <w:r>
        <w:rPr>
          <w:color w:val="000000"/>
          <w:sz w:val="24"/>
          <w:szCs w:val="24"/>
        </w:rPr>
        <w:t> </w:t>
      </w:r>
      <w:r w:rsidRPr="00CC15F0">
        <w:rPr>
          <w:color w:val="000000"/>
          <w:sz w:val="24"/>
          <w:szCs w:val="24"/>
        </w:rPr>
        <w:t xml:space="preserve">% </w:t>
      </w:r>
      <w:proofErr w:type="spellStart"/>
      <w:r w:rsidRPr="00CC15F0">
        <w:rPr>
          <w:color w:val="000000"/>
          <w:sz w:val="24"/>
          <w:szCs w:val="24"/>
        </w:rPr>
        <w:t>glu</w:t>
      </w:r>
      <w:r>
        <w:rPr>
          <w:color w:val="000000"/>
          <w:sz w:val="24"/>
          <w:szCs w:val="24"/>
        </w:rPr>
        <w:t>c</w:t>
      </w:r>
      <w:r w:rsidRPr="00CC15F0">
        <w:rPr>
          <w:color w:val="000000"/>
          <w:sz w:val="24"/>
          <w:szCs w:val="24"/>
        </w:rPr>
        <w:t>ose</w:t>
      </w:r>
      <w:proofErr w:type="spellEnd"/>
      <w:r w:rsidRPr="00CC15F0">
        <w:rPr>
          <w:color w:val="000000"/>
          <w:sz w:val="24"/>
          <w:szCs w:val="24"/>
        </w:rPr>
        <w:t xml:space="preserve"> og 0,3</w:t>
      </w:r>
      <w:r>
        <w:rPr>
          <w:color w:val="000000"/>
          <w:sz w:val="24"/>
          <w:szCs w:val="24"/>
        </w:rPr>
        <w:t> </w:t>
      </w:r>
      <w:r w:rsidRPr="00CC15F0">
        <w:rPr>
          <w:color w:val="000000"/>
          <w:sz w:val="24"/>
          <w:szCs w:val="24"/>
        </w:rPr>
        <w:t xml:space="preserve">% </w:t>
      </w:r>
      <w:proofErr w:type="spellStart"/>
      <w:r>
        <w:rPr>
          <w:color w:val="000000"/>
          <w:sz w:val="24"/>
          <w:szCs w:val="24"/>
        </w:rPr>
        <w:t>natriumchlorid</w:t>
      </w:r>
      <w:proofErr w:type="spellEnd"/>
      <w:r w:rsidRPr="00CC15F0">
        <w:rPr>
          <w:color w:val="000000"/>
          <w:sz w:val="24"/>
          <w:szCs w:val="24"/>
        </w:rPr>
        <w:t xml:space="preserve"> infusionsvæske</w:t>
      </w:r>
    </w:p>
    <w:p w:rsidR="009A086E" w:rsidRPr="00CC15F0" w:rsidRDefault="009A086E" w:rsidP="008E0A97">
      <w:pPr>
        <w:pStyle w:val="Listeafsnit"/>
        <w:numPr>
          <w:ilvl w:val="0"/>
          <w:numId w:val="7"/>
        </w:numPr>
        <w:tabs>
          <w:tab w:val="left" w:pos="851"/>
          <w:tab w:val="left" w:pos="1134"/>
        </w:tabs>
        <w:suppressAutoHyphens/>
        <w:ind w:left="851" w:firstLine="0"/>
        <w:rPr>
          <w:color w:val="000000"/>
          <w:sz w:val="24"/>
          <w:szCs w:val="24"/>
        </w:rPr>
      </w:pPr>
      <w:r w:rsidRPr="00CC15F0">
        <w:rPr>
          <w:color w:val="000000"/>
          <w:sz w:val="24"/>
          <w:szCs w:val="24"/>
        </w:rPr>
        <w:t>5</w:t>
      </w:r>
      <w:r>
        <w:rPr>
          <w:color w:val="000000"/>
          <w:sz w:val="24"/>
          <w:szCs w:val="24"/>
        </w:rPr>
        <w:t> </w:t>
      </w:r>
      <w:r w:rsidRPr="00CC15F0">
        <w:rPr>
          <w:color w:val="000000"/>
          <w:sz w:val="24"/>
          <w:szCs w:val="24"/>
        </w:rPr>
        <w:t xml:space="preserve">% </w:t>
      </w:r>
      <w:proofErr w:type="spellStart"/>
      <w:r w:rsidRPr="00CC15F0">
        <w:rPr>
          <w:color w:val="000000"/>
          <w:sz w:val="24"/>
          <w:szCs w:val="24"/>
        </w:rPr>
        <w:t>glu</w:t>
      </w:r>
      <w:r>
        <w:rPr>
          <w:color w:val="000000"/>
          <w:sz w:val="24"/>
          <w:szCs w:val="24"/>
        </w:rPr>
        <w:t>c</w:t>
      </w:r>
      <w:r w:rsidRPr="00CC15F0">
        <w:rPr>
          <w:color w:val="000000"/>
          <w:sz w:val="24"/>
          <w:szCs w:val="24"/>
        </w:rPr>
        <w:t>ose</w:t>
      </w:r>
      <w:proofErr w:type="spellEnd"/>
      <w:r w:rsidRPr="00CC15F0">
        <w:rPr>
          <w:color w:val="000000"/>
          <w:sz w:val="24"/>
          <w:szCs w:val="24"/>
        </w:rPr>
        <w:t xml:space="preserve"> og 0,45</w:t>
      </w:r>
      <w:r>
        <w:rPr>
          <w:color w:val="000000"/>
          <w:sz w:val="24"/>
          <w:szCs w:val="24"/>
        </w:rPr>
        <w:t> </w:t>
      </w:r>
      <w:r w:rsidRPr="00CC15F0">
        <w:rPr>
          <w:color w:val="000000"/>
          <w:sz w:val="24"/>
          <w:szCs w:val="24"/>
        </w:rPr>
        <w:t xml:space="preserve">% </w:t>
      </w:r>
      <w:proofErr w:type="spellStart"/>
      <w:r>
        <w:rPr>
          <w:color w:val="000000"/>
          <w:sz w:val="24"/>
          <w:szCs w:val="24"/>
        </w:rPr>
        <w:t>natriumchlorid</w:t>
      </w:r>
      <w:proofErr w:type="spellEnd"/>
      <w:r w:rsidRPr="00CC15F0">
        <w:rPr>
          <w:color w:val="000000"/>
          <w:sz w:val="24"/>
          <w:szCs w:val="24"/>
        </w:rPr>
        <w:t xml:space="preserve"> infusionsvæske.</w:t>
      </w:r>
    </w:p>
    <w:p w:rsidR="009A086E" w:rsidRPr="00B01365" w:rsidRDefault="009A086E" w:rsidP="008E0A97">
      <w:pPr>
        <w:tabs>
          <w:tab w:val="left" w:pos="851"/>
        </w:tabs>
        <w:suppressAutoHyphens/>
        <w:ind w:left="851"/>
        <w:rPr>
          <w:color w:val="000000"/>
          <w:sz w:val="24"/>
          <w:szCs w:val="24"/>
        </w:rPr>
      </w:pPr>
    </w:p>
    <w:p w:rsidR="009A086E" w:rsidRDefault="009A086E" w:rsidP="008E0A97">
      <w:pPr>
        <w:pStyle w:val="Slutnotetekst"/>
        <w:widowControl/>
        <w:tabs>
          <w:tab w:val="clear" w:pos="567"/>
          <w:tab w:val="left" w:pos="851"/>
        </w:tabs>
        <w:spacing w:line="260" w:lineRule="exact"/>
        <w:ind w:left="851"/>
        <w:rPr>
          <w:color w:val="000000"/>
          <w:spacing w:val="-3"/>
          <w:sz w:val="24"/>
          <w:szCs w:val="24"/>
        </w:rPr>
      </w:pPr>
      <w:r w:rsidRPr="00B01365">
        <w:rPr>
          <w:color w:val="000000"/>
          <w:spacing w:val="-3"/>
          <w:sz w:val="24"/>
          <w:szCs w:val="24"/>
        </w:rPr>
        <w:t>Parenterale lægemidler bør inspiceres visuelt for partikler</w:t>
      </w:r>
      <w:r>
        <w:rPr>
          <w:color w:val="000000"/>
          <w:spacing w:val="-3"/>
          <w:sz w:val="24"/>
          <w:szCs w:val="24"/>
        </w:rPr>
        <w:t xml:space="preserve"> i suspension</w:t>
      </w:r>
      <w:r w:rsidRPr="00B01365">
        <w:rPr>
          <w:color w:val="000000"/>
          <w:spacing w:val="-3"/>
          <w:sz w:val="24"/>
          <w:szCs w:val="24"/>
        </w:rPr>
        <w:t xml:space="preserve"> inden brugen. Hvis der ses partikler i den </w:t>
      </w:r>
      <w:proofErr w:type="spellStart"/>
      <w:r w:rsidRPr="00B01365">
        <w:rPr>
          <w:color w:val="000000"/>
          <w:spacing w:val="-3"/>
          <w:sz w:val="24"/>
          <w:szCs w:val="24"/>
        </w:rPr>
        <w:t>rekonstituerede</w:t>
      </w:r>
      <w:proofErr w:type="spellEnd"/>
      <w:r w:rsidRPr="00B01365">
        <w:rPr>
          <w:color w:val="000000"/>
          <w:spacing w:val="-3"/>
          <w:sz w:val="24"/>
          <w:szCs w:val="24"/>
        </w:rPr>
        <w:t xml:space="preserve"> opløsning, skal opløsningen kasseres.</w:t>
      </w:r>
    </w:p>
    <w:p w:rsidR="009A086E" w:rsidRDefault="009A086E" w:rsidP="008E0A97">
      <w:pPr>
        <w:pStyle w:val="Slutnotetekst"/>
        <w:widowControl/>
        <w:tabs>
          <w:tab w:val="clear" w:pos="567"/>
          <w:tab w:val="left" w:pos="851"/>
        </w:tabs>
        <w:spacing w:line="260" w:lineRule="exact"/>
        <w:ind w:left="851"/>
        <w:rPr>
          <w:color w:val="000000"/>
          <w:spacing w:val="-3"/>
          <w:sz w:val="24"/>
          <w:szCs w:val="24"/>
        </w:rPr>
      </w:pPr>
    </w:p>
    <w:p w:rsidR="009A086E" w:rsidRDefault="009A086E" w:rsidP="008E0A97">
      <w:pPr>
        <w:pStyle w:val="Slutnotetekst"/>
        <w:widowControl/>
        <w:tabs>
          <w:tab w:val="clear" w:pos="567"/>
          <w:tab w:val="left" w:pos="851"/>
        </w:tabs>
        <w:spacing w:line="260" w:lineRule="exact"/>
        <w:ind w:left="851"/>
        <w:rPr>
          <w:color w:val="000000"/>
          <w:spacing w:val="-3"/>
          <w:sz w:val="24"/>
          <w:szCs w:val="24"/>
        </w:rPr>
      </w:pPr>
      <w:r>
        <w:rPr>
          <w:color w:val="000000"/>
          <w:spacing w:val="-3"/>
          <w:sz w:val="24"/>
          <w:szCs w:val="24"/>
        </w:rPr>
        <w:t xml:space="preserve">Varighed af infusion: </w:t>
      </w:r>
      <w:r w:rsidR="008E0A97">
        <w:rPr>
          <w:color w:val="000000"/>
          <w:spacing w:val="-3"/>
          <w:sz w:val="24"/>
          <w:szCs w:val="24"/>
        </w:rPr>
        <w:t>Se</w:t>
      </w:r>
      <w:r>
        <w:rPr>
          <w:color w:val="000000"/>
          <w:spacing w:val="-3"/>
          <w:sz w:val="24"/>
          <w:szCs w:val="24"/>
        </w:rPr>
        <w:t xml:space="preserve"> pkt. 4.2.</w:t>
      </w:r>
    </w:p>
    <w:p w:rsidR="009A086E" w:rsidRDefault="009A086E" w:rsidP="008E0A97">
      <w:pPr>
        <w:pStyle w:val="Slutnotetekst"/>
        <w:widowControl/>
        <w:tabs>
          <w:tab w:val="clear" w:pos="567"/>
          <w:tab w:val="left" w:pos="851"/>
        </w:tabs>
        <w:spacing w:line="260" w:lineRule="exact"/>
        <w:ind w:left="851"/>
        <w:rPr>
          <w:color w:val="000000"/>
          <w:spacing w:val="-3"/>
          <w:sz w:val="24"/>
          <w:szCs w:val="24"/>
        </w:rPr>
      </w:pPr>
    </w:p>
    <w:p w:rsidR="009A086E" w:rsidRPr="00B01365" w:rsidRDefault="009A086E" w:rsidP="008E0A97">
      <w:pPr>
        <w:pStyle w:val="Slutnotetekst"/>
        <w:widowControl/>
        <w:tabs>
          <w:tab w:val="clear" w:pos="567"/>
          <w:tab w:val="left" w:pos="851"/>
        </w:tabs>
        <w:spacing w:line="260" w:lineRule="exact"/>
        <w:ind w:left="851"/>
        <w:rPr>
          <w:color w:val="000000"/>
          <w:sz w:val="24"/>
          <w:szCs w:val="24"/>
        </w:rPr>
      </w:pPr>
      <w:proofErr w:type="spellStart"/>
      <w:r>
        <w:rPr>
          <w:color w:val="000000"/>
          <w:spacing w:val="-3"/>
          <w:sz w:val="24"/>
          <w:szCs w:val="24"/>
        </w:rPr>
        <w:t>Azithromycin</w:t>
      </w:r>
      <w:proofErr w:type="spellEnd"/>
      <w:r>
        <w:rPr>
          <w:color w:val="000000"/>
          <w:spacing w:val="-3"/>
          <w:sz w:val="24"/>
          <w:szCs w:val="24"/>
        </w:rPr>
        <w:t xml:space="preserve"> må ikke administreres som en intravenøs </w:t>
      </w:r>
      <w:proofErr w:type="spellStart"/>
      <w:r>
        <w:rPr>
          <w:color w:val="000000"/>
          <w:spacing w:val="-3"/>
          <w:sz w:val="24"/>
          <w:szCs w:val="24"/>
        </w:rPr>
        <w:t>bolus</w:t>
      </w:r>
      <w:proofErr w:type="spellEnd"/>
      <w:r>
        <w:rPr>
          <w:color w:val="000000"/>
          <w:spacing w:val="-3"/>
          <w:sz w:val="24"/>
          <w:szCs w:val="24"/>
        </w:rPr>
        <w:t xml:space="preserve"> eller en intramuskulær injektion.</w:t>
      </w:r>
    </w:p>
    <w:p w:rsidR="003A225A" w:rsidRDefault="003A225A">
      <w:pPr>
        <w:rPr>
          <w:sz w:val="24"/>
          <w:szCs w:val="24"/>
        </w:rPr>
      </w:pPr>
      <w:r>
        <w:rPr>
          <w:sz w:val="24"/>
          <w:szCs w:val="24"/>
        </w:rPr>
        <w:br w:type="page"/>
      </w:r>
    </w:p>
    <w:p w:rsidR="009260DE" w:rsidRPr="00C84483" w:rsidRDefault="009260DE" w:rsidP="00466CD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A225A" w:rsidRPr="003A225A" w:rsidRDefault="003A225A" w:rsidP="003A225A">
      <w:pPr>
        <w:tabs>
          <w:tab w:val="left" w:pos="851"/>
        </w:tabs>
        <w:ind w:left="851"/>
        <w:rPr>
          <w:sz w:val="24"/>
          <w:szCs w:val="24"/>
        </w:rPr>
      </w:pPr>
      <w:proofErr w:type="spellStart"/>
      <w:r w:rsidRPr="003A225A">
        <w:rPr>
          <w:sz w:val="24"/>
          <w:szCs w:val="24"/>
        </w:rPr>
        <w:t>Macure</w:t>
      </w:r>
      <w:proofErr w:type="spellEnd"/>
      <w:r w:rsidRPr="003A225A">
        <w:rPr>
          <w:sz w:val="24"/>
          <w:szCs w:val="24"/>
        </w:rPr>
        <w:t xml:space="preserve"> Pharma ApS</w:t>
      </w:r>
    </w:p>
    <w:p w:rsidR="003A225A" w:rsidRPr="003A225A" w:rsidRDefault="003A225A" w:rsidP="003A225A">
      <w:pPr>
        <w:tabs>
          <w:tab w:val="left" w:pos="851"/>
        </w:tabs>
        <w:ind w:left="851"/>
        <w:rPr>
          <w:sz w:val="24"/>
          <w:szCs w:val="24"/>
        </w:rPr>
      </w:pPr>
      <w:r w:rsidRPr="003A225A">
        <w:rPr>
          <w:sz w:val="24"/>
          <w:szCs w:val="24"/>
        </w:rPr>
        <w:t>Hejrevej 39</w:t>
      </w:r>
    </w:p>
    <w:p w:rsidR="003A225A" w:rsidRPr="003A225A" w:rsidRDefault="003A225A" w:rsidP="003A225A">
      <w:pPr>
        <w:tabs>
          <w:tab w:val="left" w:pos="851"/>
        </w:tabs>
        <w:ind w:left="851"/>
        <w:rPr>
          <w:sz w:val="24"/>
          <w:szCs w:val="24"/>
        </w:rPr>
      </w:pPr>
      <w:r w:rsidRPr="003A225A">
        <w:rPr>
          <w:sz w:val="24"/>
          <w:szCs w:val="24"/>
        </w:rPr>
        <w:t>2400 København NV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81843">
        <w:rPr>
          <w:b/>
          <w:sz w:val="24"/>
          <w:szCs w:val="24"/>
        </w:rPr>
        <w:t>-</w:t>
      </w:r>
      <w:r w:rsidRPr="00C84483">
        <w:rPr>
          <w:b/>
          <w:sz w:val="24"/>
          <w:szCs w:val="24"/>
        </w:rPr>
        <w:t>NUMRE)</w:t>
      </w:r>
    </w:p>
    <w:p w:rsidR="009260DE" w:rsidRPr="00C84483" w:rsidRDefault="009E3554" w:rsidP="009260DE">
      <w:pPr>
        <w:tabs>
          <w:tab w:val="left" w:pos="851"/>
        </w:tabs>
        <w:ind w:left="851"/>
        <w:rPr>
          <w:sz w:val="24"/>
          <w:szCs w:val="24"/>
        </w:rPr>
      </w:pPr>
      <w:r>
        <w:rPr>
          <w:sz w:val="24"/>
          <w:szCs w:val="24"/>
        </w:rPr>
        <w:t>65942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477F3" w:rsidP="009260DE">
      <w:pPr>
        <w:tabs>
          <w:tab w:val="left" w:pos="851"/>
        </w:tabs>
        <w:ind w:left="851"/>
        <w:rPr>
          <w:sz w:val="24"/>
          <w:szCs w:val="24"/>
        </w:rPr>
      </w:pPr>
      <w:r>
        <w:rPr>
          <w:sz w:val="24"/>
          <w:szCs w:val="24"/>
        </w:rPr>
        <w:t>2. september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E5253" w:rsidP="009260DE">
      <w:pPr>
        <w:tabs>
          <w:tab w:val="left" w:pos="851"/>
        </w:tabs>
        <w:ind w:left="851"/>
        <w:rPr>
          <w:sz w:val="24"/>
          <w:szCs w:val="24"/>
        </w:rPr>
      </w:pPr>
      <w:r>
        <w:rPr>
          <w:sz w:val="24"/>
          <w:szCs w:val="24"/>
        </w:rPr>
        <w:t>1</w:t>
      </w:r>
      <w:r w:rsidR="000B3BBE">
        <w:rPr>
          <w:sz w:val="24"/>
          <w:szCs w:val="24"/>
        </w:rPr>
        <w:t>9</w:t>
      </w:r>
      <w:bookmarkStart w:id="8" w:name="_GoBack"/>
      <w:bookmarkEnd w:id="8"/>
      <w:r>
        <w:rPr>
          <w:sz w:val="24"/>
          <w:szCs w:val="24"/>
        </w:rPr>
        <w:t>. marts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21" w:rsidRDefault="00623521">
      <w:r>
        <w:separator/>
      </w:r>
    </w:p>
  </w:endnote>
  <w:endnote w:type="continuationSeparator" w:id="0">
    <w:p w:rsidR="00623521" w:rsidRDefault="0062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521" w:rsidRDefault="00623521">
    <w:pPr>
      <w:pStyle w:val="Sidefod"/>
      <w:pBdr>
        <w:bottom w:val="single" w:sz="6" w:space="1" w:color="auto"/>
      </w:pBdr>
    </w:pPr>
  </w:p>
  <w:p w:rsidR="00623521" w:rsidRDefault="00623521" w:rsidP="00C42586">
    <w:pPr>
      <w:pStyle w:val="Sidefod"/>
      <w:tabs>
        <w:tab w:val="clear" w:pos="4819"/>
        <w:tab w:val="left" w:pos="8505"/>
      </w:tabs>
      <w:rPr>
        <w:i/>
        <w:sz w:val="18"/>
        <w:szCs w:val="18"/>
      </w:rPr>
    </w:pPr>
  </w:p>
  <w:p w:rsidR="00623521" w:rsidRPr="00B373D7" w:rsidRDefault="0062352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Amzolynic, pulver til koncentrat til infusionsvæske, opløsning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21" w:rsidRDefault="00623521">
      <w:r>
        <w:separator/>
      </w:r>
    </w:p>
  </w:footnote>
  <w:footnote w:type="continuationSeparator" w:id="0">
    <w:p w:rsidR="00623521" w:rsidRDefault="0062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5C8E"/>
    <w:multiLevelType w:val="hybridMultilevel"/>
    <w:tmpl w:val="20AE3144"/>
    <w:lvl w:ilvl="0" w:tplc="FFFFFFFF">
      <w:start w:val="1"/>
      <w:numFmt w:val="bullet"/>
      <w:lvlText w:val="-"/>
      <w:lvlJc w:val="left"/>
      <w:pPr>
        <w:tabs>
          <w:tab w:val="num" w:pos="1871"/>
        </w:tabs>
        <w:ind w:left="1871" w:hanging="567"/>
      </w:pPr>
      <w:rPr>
        <w:rFonts w:hint="default"/>
        <w:color w:val="auto"/>
      </w:rPr>
    </w:lvl>
    <w:lvl w:ilvl="1" w:tplc="04060003" w:tentative="1">
      <w:start w:val="1"/>
      <w:numFmt w:val="bullet"/>
      <w:lvlText w:val="o"/>
      <w:lvlJc w:val="left"/>
      <w:pPr>
        <w:tabs>
          <w:tab w:val="num" w:pos="1079"/>
        </w:tabs>
        <w:ind w:left="1079" w:hanging="360"/>
      </w:pPr>
      <w:rPr>
        <w:rFonts w:ascii="Courier New" w:hAnsi="Courier New" w:cs="Courier New" w:hint="default"/>
      </w:rPr>
    </w:lvl>
    <w:lvl w:ilvl="2" w:tplc="04060005" w:tentative="1">
      <w:start w:val="1"/>
      <w:numFmt w:val="bullet"/>
      <w:lvlText w:val=""/>
      <w:lvlJc w:val="left"/>
      <w:pPr>
        <w:tabs>
          <w:tab w:val="num" w:pos="1799"/>
        </w:tabs>
        <w:ind w:left="1799" w:hanging="360"/>
      </w:pPr>
      <w:rPr>
        <w:rFonts w:ascii="Wingdings" w:hAnsi="Wingdings" w:hint="default"/>
      </w:rPr>
    </w:lvl>
    <w:lvl w:ilvl="3" w:tplc="04060001" w:tentative="1">
      <w:start w:val="1"/>
      <w:numFmt w:val="bullet"/>
      <w:lvlText w:val=""/>
      <w:lvlJc w:val="left"/>
      <w:pPr>
        <w:tabs>
          <w:tab w:val="num" w:pos="2519"/>
        </w:tabs>
        <w:ind w:left="2519" w:hanging="360"/>
      </w:pPr>
      <w:rPr>
        <w:rFonts w:ascii="Symbol" w:hAnsi="Symbol" w:hint="default"/>
      </w:rPr>
    </w:lvl>
    <w:lvl w:ilvl="4" w:tplc="04060003" w:tentative="1">
      <w:start w:val="1"/>
      <w:numFmt w:val="bullet"/>
      <w:lvlText w:val="o"/>
      <w:lvlJc w:val="left"/>
      <w:pPr>
        <w:tabs>
          <w:tab w:val="num" w:pos="3239"/>
        </w:tabs>
        <w:ind w:left="3239" w:hanging="360"/>
      </w:pPr>
      <w:rPr>
        <w:rFonts w:ascii="Courier New" w:hAnsi="Courier New" w:cs="Courier New" w:hint="default"/>
      </w:rPr>
    </w:lvl>
    <w:lvl w:ilvl="5" w:tplc="04060005" w:tentative="1">
      <w:start w:val="1"/>
      <w:numFmt w:val="bullet"/>
      <w:lvlText w:val=""/>
      <w:lvlJc w:val="left"/>
      <w:pPr>
        <w:tabs>
          <w:tab w:val="num" w:pos="3959"/>
        </w:tabs>
        <w:ind w:left="3959" w:hanging="360"/>
      </w:pPr>
      <w:rPr>
        <w:rFonts w:ascii="Wingdings" w:hAnsi="Wingdings" w:hint="default"/>
      </w:rPr>
    </w:lvl>
    <w:lvl w:ilvl="6" w:tplc="04060001" w:tentative="1">
      <w:start w:val="1"/>
      <w:numFmt w:val="bullet"/>
      <w:lvlText w:val=""/>
      <w:lvlJc w:val="left"/>
      <w:pPr>
        <w:tabs>
          <w:tab w:val="num" w:pos="4679"/>
        </w:tabs>
        <w:ind w:left="4679" w:hanging="360"/>
      </w:pPr>
      <w:rPr>
        <w:rFonts w:ascii="Symbol" w:hAnsi="Symbol" w:hint="default"/>
      </w:rPr>
    </w:lvl>
    <w:lvl w:ilvl="7" w:tplc="04060003" w:tentative="1">
      <w:start w:val="1"/>
      <w:numFmt w:val="bullet"/>
      <w:lvlText w:val="o"/>
      <w:lvlJc w:val="left"/>
      <w:pPr>
        <w:tabs>
          <w:tab w:val="num" w:pos="5399"/>
        </w:tabs>
        <w:ind w:left="5399" w:hanging="360"/>
      </w:pPr>
      <w:rPr>
        <w:rFonts w:ascii="Courier New" w:hAnsi="Courier New" w:cs="Courier New" w:hint="default"/>
      </w:rPr>
    </w:lvl>
    <w:lvl w:ilvl="8" w:tplc="04060005" w:tentative="1">
      <w:start w:val="1"/>
      <w:numFmt w:val="bullet"/>
      <w:lvlText w:val=""/>
      <w:lvlJc w:val="left"/>
      <w:pPr>
        <w:tabs>
          <w:tab w:val="num" w:pos="6119"/>
        </w:tabs>
        <w:ind w:left="6119"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C72BDF"/>
    <w:multiLevelType w:val="hybridMultilevel"/>
    <w:tmpl w:val="68A023D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00"/>
    <w:rsid w:val="000259B9"/>
    <w:rsid w:val="00041491"/>
    <w:rsid w:val="00050D16"/>
    <w:rsid w:val="000730CA"/>
    <w:rsid w:val="00074F2A"/>
    <w:rsid w:val="000779E3"/>
    <w:rsid w:val="00083F3A"/>
    <w:rsid w:val="000A1CA8"/>
    <w:rsid w:val="000A466B"/>
    <w:rsid w:val="000B058C"/>
    <w:rsid w:val="000B3BBE"/>
    <w:rsid w:val="000E4EE6"/>
    <w:rsid w:val="001454E2"/>
    <w:rsid w:val="001B5668"/>
    <w:rsid w:val="00206CE8"/>
    <w:rsid w:val="0021526C"/>
    <w:rsid w:val="002611FE"/>
    <w:rsid w:val="00265736"/>
    <w:rsid w:val="00283A2B"/>
    <w:rsid w:val="002B30AD"/>
    <w:rsid w:val="002C2C01"/>
    <w:rsid w:val="003733B9"/>
    <w:rsid w:val="00386152"/>
    <w:rsid w:val="003A225A"/>
    <w:rsid w:val="003A29AE"/>
    <w:rsid w:val="003A32D7"/>
    <w:rsid w:val="003B0298"/>
    <w:rsid w:val="003B4074"/>
    <w:rsid w:val="003C769A"/>
    <w:rsid w:val="003F1838"/>
    <w:rsid w:val="003F6A1B"/>
    <w:rsid w:val="0045746C"/>
    <w:rsid w:val="00466CD3"/>
    <w:rsid w:val="0049104B"/>
    <w:rsid w:val="004A4C00"/>
    <w:rsid w:val="004E3B12"/>
    <w:rsid w:val="00532310"/>
    <w:rsid w:val="00565F0F"/>
    <w:rsid w:val="00594A86"/>
    <w:rsid w:val="00596D86"/>
    <w:rsid w:val="005A30CE"/>
    <w:rsid w:val="005B7AC3"/>
    <w:rsid w:val="00623521"/>
    <w:rsid w:val="00637F5A"/>
    <w:rsid w:val="006560B1"/>
    <w:rsid w:val="006656A4"/>
    <w:rsid w:val="006756DD"/>
    <w:rsid w:val="006B0484"/>
    <w:rsid w:val="00737275"/>
    <w:rsid w:val="00740EEC"/>
    <w:rsid w:val="0078011A"/>
    <w:rsid w:val="00782AF4"/>
    <w:rsid w:val="00790EE7"/>
    <w:rsid w:val="007B6649"/>
    <w:rsid w:val="00816AEF"/>
    <w:rsid w:val="0082576E"/>
    <w:rsid w:val="00873A04"/>
    <w:rsid w:val="008900F8"/>
    <w:rsid w:val="008968BC"/>
    <w:rsid w:val="008E0A97"/>
    <w:rsid w:val="00907F75"/>
    <w:rsid w:val="009260DE"/>
    <w:rsid w:val="0093258A"/>
    <w:rsid w:val="00981843"/>
    <w:rsid w:val="009A086E"/>
    <w:rsid w:val="009A37FD"/>
    <w:rsid w:val="009C7BA3"/>
    <w:rsid w:val="009D1F5A"/>
    <w:rsid w:val="009E3554"/>
    <w:rsid w:val="00A10294"/>
    <w:rsid w:val="00A477F3"/>
    <w:rsid w:val="00A50818"/>
    <w:rsid w:val="00A65F0B"/>
    <w:rsid w:val="00A87638"/>
    <w:rsid w:val="00A94A3A"/>
    <w:rsid w:val="00B003BF"/>
    <w:rsid w:val="00B2469E"/>
    <w:rsid w:val="00B373D7"/>
    <w:rsid w:val="00B67126"/>
    <w:rsid w:val="00BB5B3B"/>
    <w:rsid w:val="00BE5253"/>
    <w:rsid w:val="00C36276"/>
    <w:rsid w:val="00C42586"/>
    <w:rsid w:val="00C60CCD"/>
    <w:rsid w:val="00C675F9"/>
    <w:rsid w:val="00C84483"/>
    <w:rsid w:val="00C95551"/>
    <w:rsid w:val="00CB20D7"/>
    <w:rsid w:val="00D020B0"/>
    <w:rsid w:val="00D11748"/>
    <w:rsid w:val="00D366CF"/>
    <w:rsid w:val="00D51B2B"/>
    <w:rsid w:val="00DB70D5"/>
    <w:rsid w:val="00E108AA"/>
    <w:rsid w:val="00E3749A"/>
    <w:rsid w:val="00E54C6E"/>
    <w:rsid w:val="00E7437F"/>
    <w:rsid w:val="00E865B8"/>
    <w:rsid w:val="00EC0B9B"/>
    <w:rsid w:val="00ED5E9F"/>
    <w:rsid w:val="00F5134C"/>
    <w:rsid w:val="00F66D4F"/>
    <w:rsid w:val="00F7226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229D"/>
  <w15:chartTrackingRefBased/>
  <w15:docId w15:val="{00EA29C4-7992-4F27-B643-2FADBB65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23521"/>
    <w:rPr>
      <w:color w:val="0563C1" w:themeColor="hyperlink"/>
      <w:u w:val="single"/>
    </w:rPr>
  </w:style>
  <w:style w:type="character" w:styleId="Ulstomtale">
    <w:name w:val="Unresolved Mention"/>
    <w:basedOn w:val="Standardskrifttypeiafsnit"/>
    <w:uiPriority w:val="99"/>
    <w:semiHidden/>
    <w:unhideWhenUsed/>
    <w:rsid w:val="00623521"/>
    <w:rPr>
      <w:color w:val="605E5C"/>
      <w:shd w:val="clear" w:color="auto" w:fill="E1DFDD"/>
    </w:rPr>
  </w:style>
  <w:style w:type="table" w:styleId="Tabel-Gitter">
    <w:name w:val="Table Grid"/>
    <w:basedOn w:val="Tabel-Normal"/>
    <w:rsid w:val="00DB70D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semiHidden/>
    <w:rsid w:val="009A086E"/>
    <w:pPr>
      <w:widowControl w:val="0"/>
      <w:tabs>
        <w:tab w:val="left" w:pos="567"/>
      </w:tabs>
    </w:pPr>
    <w:rPr>
      <w:sz w:val="22"/>
      <w:lang w:eastAsia="da-DK"/>
    </w:rPr>
  </w:style>
  <w:style w:type="character" w:customStyle="1" w:styleId="SlutnotetekstTegn">
    <w:name w:val="Slutnotetekst Tegn"/>
    <w:basedOn w:val="Standardskrifttypeiafsnit"/>
    <w:link w:val="Slutnotetekst"/>
    <w:semiHidden/>
    <w:rsid w:val="009A086E"/>
    <w:rPr>
      <w:sz w:val="22"/>
    </w:rPr>
  </w:style>
  <w:style w:type="paragraph" w:styleId="Listeafsnit">
    <w:name w:val="List Paragraph"/>
    <w:basedOn w:val="Normal"/>
    <w:uiPriority w:val="34"/>
    <w:qFormat/>
    <w:rsid w:val="009A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5304</Words>
  <Characters>35350</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2023111516 _x000d_
SPC pkt. 4.2, 4.4, 4.6, 5.2</dc:description>
  <cp:lastModifiedBy>Iman El Kadiri</cp:lastModifiedBy>
  <cp:revision>4</cp:revision>
  <cp:lastPrinted>2012-08-22T08:53:00Z</cp:lastPrinted>
  <dcterms:created xsi:type="dcterms:W3CDTF">2024-03-13T12:44:00Z</dcterms:created>
  <dcterms:modified xsi:type="dcterms:W3CDTF">2024-03-19T11:13:00Z</dcterms:modified>
</cp:coreProperties>
</file>