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31C" w:rsidRPr="00955972" w:rsidRDefault="002D431C" w:rsidP="002D431C">
      <w:bookmarkStart w:id="0" w:name="_GoBack"/>
      <w:bookmarkEnd w:id="0"/>
      <w:r>
        <w:rPr>
          <w:noProof/>
          <w:lang w:eastAsia="da-DK"/>
        </w:rPr>
        <w:drawing>
          <wp:inline distT="0" distB="0" distL="0" distR="0" wp14:anchorId="0379A2BE" wp14:editId="6C650A8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D431C" w:rsidRDefault="009B4B92" w:rsidP="002D431C">
      <w:pPr>
        <w:pStyle w:val="Titel"/>
        <w:jc w:val="right"/>
      </w:pPr>
      <w:r>
        <w:t>20. maj 2022</w:t>
      </w:r>
    </w:p>
    <w:p w:rsidR="002D431C" w:rsidRDefault="002D431C" w:rsidP="0096109B">
      <w:pPr>
        <w:pStyle w:val="Titel"/>
        <w:jc w:val="left"/>
        <w:rPr>
          <w:b w:val="0"/>
        </w:rPr>
      </w:pPr>
    </w:p>
    <w:p w:rsidR="002D431C" w:rsidRDefault="002D431C" w:rsidP="002D431C">
      <w:pPr>
        <w:pStyle w:val="Titel"/>
        <w:jc w:val="left"/>
        <w:rPr>
          <w:b w:val="0"/>
        </w:rPr>
      </w:pPr>
    </w:p>
    <w:p w:rsidR="002D431C" w:rsidRDefault="002D431C" w:rsidP="002D431C">
      <w:pPr>
        <w:pStyle w:val="Titel"/>
        <w:jc w:val="left"/>
        <w:rPr>
          <w:b w:val="0"/>
        </w:rPr>
      </w:pPr>
    </w:p>
    <w:p w:rsidR="002D431C" w:rsidRPr="00EC0B9B" w:rsidRDefault="002D431C" w:rsidP="002D431C">
      <w:pPr>
        <w:jc w:val="center"/>
        <w:rPr>
          <w:b/>
          <w:sz w:val="24"/>
          <w:szCs w:val="24"/>
        </w:rPr>
      </w:pPr>
      <w:r w:rsidRPr="00EC0B9B">
        <w:rPr>
          <w:b/>
          <w:sz w:val="24"/>
          <w:szCs w:val="24"/>
        </w:rPr>
        <w:t>PRODUKTRESUMÉ</w:t>
      </w:r>
    </w:p>
    <w:p w:rsidR="002D431C" w:rsidRPr="00EC0B9B" w:rsidRDefault="002D431C" w:rsidP="002D431C">
      <w:pPr>
        <w:jc w:val="center"/>
        <w:rPr>
          <w:b/>
          <w:sz w:val="24"/>
          <w:szCs w:val="24"/>
        </w:rPr>
      </w:pPr>
    </w:p>
    <w:p w:rsidR="002D431C" w:rsidRPr="00EC0B9B" w:rsidRDefault="002D431C" w:rsidP="002D431C">
      <w:pPr>
        <w:jc w:val="center"/>
        <w:rPr>
          <w:b/>
          <w:sz w:val="24"/>
          <w:szCs w:val="24"/>
        </w:rPr>
      </w:pPr>
      <w:r w:rsidRPr="00EC0B9B">
        <w:rPr>
          <w:b/>
          <w:sz w:val="24"/>
          <w:szCs w:val="24"/>
        </w:rPr>
        <w:t>for</w:t>
      </w:r>
    </w:p>
    <w:p w:rsidR="002D431C" w:rsidRPr="00EC0B9B" w:rsidRDefault="002D431C" w:rsidP="002D431C">
      <w:pPr>
        <w:jc w:val="center"/>
        <w:rPr>
          <w:b/>
          <w:sz w:val="24"/>
          <w:szCs w:val="24"/>
        </w:rPr>
      </w:pPr>
    </w:p>
    <w:p w:rsidR="002D431C" w:rsidRPr="0049104B" w:rsidRDefault="002D431C" w:rsidP="002D431C">
      <w:pPr>
        <w:jc w:val="center"/>
        <w:rPr>
          <w:b/>
          <w:sz w:val="24"/>
          <w:szCs w:val="24"/>
        </w:rPr>
      </w:pPr>
      <w:proofErr w:type="spellStart"/>
      <w:r>
        <w:rPr>
          <w:b/>
          <w:sz w:val="24"/>
          <w:szCs w:val="24"/>
        </w:rPr>
        <w:t>Anastrozol</w:t>
      </w:r>
      <w:proofErr w:type="spellEnd"/>
      <w:r>
        <w:rPr>
          <w:b/>
          <w:sz w:val="24"/>
          <w:szCs w:val="24"/>
        </w:rPr>
        <w:t xml:space="preserve"> "Medical Valley", filmovertrukne tabletter</w:t>
      </w:r>
    </w:p>
    <w:p w:rsidR="002D431C" w:rsidRPr="00EC0B9B" w:rsidRDefault="002D431C" w:rsidP="002D431C">
      <w:pPr>
        <w:jc w:val="both"/>
        <w:rPr>
          <w:sz w:val="24"/>
          <w:szCs w:val="24"/>
        </w:rPr>
      </w:pPr>
    </w:p>
    <w:p w:rsidR="002D431C" w:rsidRPr="00E11763" w:rsidRDefault="002D431C" w:rsidP="002D431C">
      <w:pPr>
        <w:ind w:left="851" w:hanging="851"/>
        <w:jc w:val="both"/>
        <w:rPr>
          <w:sz w:val="24"/>
          <w:szCs w:val="24"/>
        </w:rPr>
      </w:pPr>
    </w:p>
    <w:p w:rsidR="002D431C" w:rsidRPr="00E11763" w:rsidRDefault="002D431C" w:rsidP="002D431C">
      <w:pPr>
        <w:ind w:left="851" w:hanging="851"/>
        <w:rPr>
          <w:b/>
          <w:sz w:val="24"/>
          <w:szCs w:val="24"/>
        </w:rPr>
      </w:pPr>
      <w:r w:rsidRPr="00E11763">
        <w:rPr>
          <w:b/>
          <w:sz w:val="24"/>
          <w:szCs w:val="24"/>
        </w:rPr>
        <w:t>0.</w:t>
      </w:r>
      <w:r w:rsidRPr="00E11763">
        <w:rPr>
          <w:b/>
          <w:sz w:val="24"/>
          <w:szCs w:val="24"/>
        </w:rPr>
        <w:tab/>
        <w:t>D.SP.NR.</w:t>
      </w:r>
    </w:p>
    <w:p w:rsidR="002D431C" w:rsidRPr="00E11763" w:rsidRDefault="002D431C" w:rsidP="002D431C">
      <w:pPr>
        <w:ind w:left="851" w:hanging="851"/>
        <w:rPr>
          <w:sz w:val="24"/>
          <w:szCs w:val="24"/>
        </w:rPr>
      </w:pPr>
      <w:r w:rsidRPr="00E11763">
        <w:rPr>
          <w:sz w:val="24"/>
          <w:szCs w:val="24"/>
        </w:rPr>
        <w:tab/>
        <w:t>28188</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1.</w:t>
      </w:r>
      <w:r w:rsidRPr="00E11763">
        <w:rPr>
          <w:b/>
          <w:sz w:val="24"/>
          <w:szCs w:val="24"/>
        </w:rPr>
        <w:tab/>
        <w:t>LÆGEMIDLETS NAVN</w:t>
      </w:r>
    </w:p>
    <w:p w:rsidR="002D431C" w:rsidRPr="00E11763" w:rsidRDefault="002D431C" w:rsidP="002D431C">
      <w:pPr>
        <w:ind w:left="851" w:hanging="851"/>
        <w:rPr>
          <w:sz w:val="24"/>
          <w:szCs w:val="24"/>
        </w:rPr>
      </w:pPr>
      <w:r w:rsidRPr="00E11763">
        <w:rPr>
          <w:sz w:val="24"/>
          <w:szCs w:val="24"/>
        </w:rPr>
        <w:tab/>
      </w:r>
      <w:proofErr w:type="spellStart"/>
      <w:r w:rsidRPr="00E11763">
        <w:rPr>
          <w:sz w:val="24"/>
          <w:szCs w:val="24"/>
        </w:rPr>
        <w:t>Anastrozol</w:t>
      </w:r>
      <w:proofErr w:type="spellEnd"/>
      <w:r w:rsidRPr="00E11763">
        <w:rPr>
          <w:sz w:val="24"/>
          <w:szCs w:val="24"/>
        </w:rPr>
        <w:t xml:space="preserve"> </w:t>
      </w:r>
      <w:r>
        <w:rPr>
          <w:sz w:val="24"/>
          <w:szCs w:val="24"/>
        </w:rPr>
        <w:t>"Medical Valley"</w:t>
      </w:r>
    </w:p>
    <w:p w:rsidR="002D431C" w:rsidRPr="00E11763" w:rsidRDefault="002D431C" w:rsidP="002D431C">
      <w:pPr>
        <w:ind w:left="851" w:hanging="851"/>
        <w:rPr>
          <w:sz w:val="24"/>
          <w:szCs w:val="24"/>
        </w:rPr>
      </w:pPr>
      <w:r w:rsidRPr="00E11763">
        <w:rPr>
          <w:sz w:val="24"/>
          <w:szCs w:val="24"/>
        </w:rPr>
        <w:tab/>
      </w:r>
    </w:p>
    <w:p w:rsidR="002D431C" w:rsidRPr="00E11763" w:rsidRDefault="002D431C" w:rsidP="002D431C">
      <w:pPr>
        <w:ind w:left="851" w:hanging="851"/>
        <w:rPr>
          <w:b/>
          <w:sz w:val="24"/>
          <w:szCs w:val="24"/>
        </w:rPr>
      </w:pPr>
      <w:r w:rsidRPr="00E11763">
        <w:rPr>
          <w:b/>
          <w:sz w:val="24"/>
          <w:szCs w:val="24"/>
        </w:rPr>
        <w:t>2.</w:t>
      </w:r>
      <w:r w:rsidRPr="00E11763">
        <w:rPr>
          <w:b/>
          <w:sz w:val="24"/>
          <w:szCs w:val="24"/>
        </w:rPr>
        <w:tab/>
        <w:t>KVALITATIV OG KVANTITATIV SAMMENSÆTNING</w:t>
      </w:r>
    </w:p>
    <w:p w:rsidR="002D431C" w:rsidRPr="00E11763" w:rsidRDefault="002D431C" w:rsidP="002D431C">
      <w:pPr>
        <w:ind w:left="851" w:hanging="851"/>
        <w:rPr>
          <w:sz w:val="24"/>
          <w:szCs w:val="24"/>
        </w:rPr>
      </w:pPr>
      <w:r w:rsidRPr="00E11763">
        <w:rPr>
          <w:sz w:val="24"/>
          <w:szCs w:val="24"/>
        </w:rPr>
        <w:tab/>
        <w:t>Hver filmovertrukke</w:t>
      </w:r>
      <w:r>
        <w:rPr>
          <w:sz w:val="24"/>
          <w:szCs w:val="24"/>
        </w:rPr>
        <w:t>t</w:t>
      </w:r>
      <w:r w:rsidRPr="00E11763">
        <w:rPr>
          <w:sz w:val="24"/>
          <w:szCs w:val="24"/>
        </w:rPr>
        <w:t xml:space="preserve"> tablet indeholder1 mg </w:t>
      </w:r>
      <w:proofErr w:type="spellStart"/>
      <w:r w:rsidRPr="00E11763">
        <w:rPr>
          <w:sz w:val="24"/>
          <w:szCs w:val="24"/>
        </w:rPr>
        <w:t>anastrozol</w:t>
      </w:r>
      <w:proofErr w:type="spellEnd"/>
      <w:r w:rsidRPr="00E11763">
        <w:rPr>
          <w:sz w:val="24"/>
          <w:szCs w:val="24"/>
        </w:rPr>
        <w:t>.</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sidRPr="00E11763">
        <w:rPr>
          <w:sz w:val="24"/>
          <w:szCs w:val="24"/>
        </w:rPr>
        <w:tab/>
      </w:r>
      <w:r w:rsidRPr="00E11763">
        <w:rPr>
          <w:sz w:val="24"/>
          <w:szCs w:val="24"/>
          <w:u w:val="single"/>
        </w:rPr>
        <w:t>Hjælpestoffer</w:t>
      </w:r>
      <w:r w:rsidRPr="00E11763">
        <w:rPr>
          <w:sz w:val="24"/>
          <w:szCs w:val="24"/>
        </w:rPr>
        <w:t xml:space="preserve">: </w:t>
      </w:r>
    </w:p>
    <w:p w:rsidR="002D431C" w:rsidRPr="00E11763" w:rsidRDefault="002D431C" w:rsidP="002D431C">
      <w:pPr>
        <w:ind w:left="851" w:hanging="851"/>
        <w:rPr>
          <w:sz w:val="24"/>
          <w:szCs w:val="24"/>
        </w:rPr>
      </w:pPr>
      <w:r>
        <w:rPr>
          <w:sz w:val="24"/>
          <w:szCs w:val="24"/>
        </w:rPr>
        <w:tab/>
      </w:r>
      <w:r w:rsidRPr="00E11763">
        <w:rPr>
          <w:sz w:val="24"/>
          <w:szCs w:val="24"/>
        </w:rPr>
        <w:t>Hver filmovertrukke</w:t>
      </w:r>
      <w:r>
        <w:rPr>
          <w:sz w:val="24"/>
          <w:szCs w:val="24"/>
        </w:rPr>
        <w:t>t</w:t>
      </w:r>
      <w:r w:rsidRPr="00E11763">
        <w:rPr>
          <w:sz w:val="24"/>
          <w:szCs w:val="24"/>
        </w:rPr>
        <w:t xml:space="preserve"> tablet indeholder 79.50 mg </w:t>
      </w:r>
      <w:proofErr w:type="spellStart"/>
      <w:r w:rsidRPr="00E11763">
        <w:rPr>
          <w:sz w:val="24"/>
          <w:szCs w:val="24"/>
        </w:rPr>
        <w:t>lactosemonohydrat</w:t>
      </w:r>
      <w:proofErr w:type="spellEnd"/>
      <w:r w:rsidRPr="00E11763">
        <w:rPr>
          <w:sz w:val="24"/>
          <w:szCs w:val="24"/>
        </w:rPr>
        <w:t xml:space="preserve"> (se pkt. 4.4).</w:t>
      </w:r>
    </w:p>
    <w:p w:rsidR="002D431C" w:rsidRPr="00E11763" w:rsidRDefault="002D431C" w:rsidP="002D431C">
      <w:pPr>
        <w:ind w:left="851" w:hanging="851"/>
        <w:rPr>
          <w:sz w:val="24"/>
          <w:szCs w:val="24"/>
        </w:rPr>
      </w:pPr>
      <w:r>
        <w:rPr>
          <w:sz w:val="24"/>
          <w:szCs w:val="24"/>
        </w:rPr>
        <w:tab/>
      </w:r>
      <w:r w:rsidRPr="00E11763">
        <w:rPr>
          <w:sz w:val="24"/>
          <w:szCs w:val="24"/>
        </w:rPr>
        <w:t>Alle hjælpestoffer er anført under pkt. 6.1.</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3.</w:t>
      </w:r>
      <w:r w:rsidRPr="00E11763">
        <w:rPr>
          <w:b/>
          <w:sz w:val="24"/>
          <w:szCs w:val="24"/>
        </w:rPr>
        <w:tab/>
        <w:t>LÆGEMIDDELFORM</w:t>
      </w:r>
    </w:p>
    <w:p w:rsidR="002D431C" w:rsidRPr="00E11763" w:rsidRDefault="002D431C" w:rsidP="002D431C">
      <w:pPr>
        <w:ind w:left="851" w:hanging="851"/>
        <w:rPr>
          <w:sz w:val="24"/>
          <w:szCs w:val="24"/>
        </w:rPr>
      </w:pPr>
      <w:r w:rsidRPr="00E11763">
        <w:rPr>
          <w:sz w:val="24"/>
          <w:szCs w:val="24"/>
        </w:rPr>
        <w:tab/>
        <w:t>Filmovertrukne tabletter.</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 xml:space="preserve">Hvid, rund </w:t>
      </w:r>
      <w:proofErr w:type="spellStart"/>
      <w:r w:rsidRPr="00E11763">
        <w:rPr>
          <w:sz w:val="24"/>
          <w:szCs w:val="24"/>
        </w:rPr>
        <w:t>bikonveks</w:t>
      </w:r>
      <w:proofErr w:type="spellEnd"/>
      <w:r w:rsidRPr="00E11763">
        <w:rPr>
          <w:sz w:val="24"/>
          <w:szCs w:val="24"/>
        </w:rPr>
        <w:t>, filmovertrukne tabletter med “1</w:t>
      </w:r>
      <w:r>
        <w:rPr>
          <w:sz w:val="24"/>
          <w:szCs w:val="24"/>
        </w:rPr>
        <w:t>"</w:t>
      </w:r>
      <w:r w:rsidRPr="00E11763">
        <w:rPr>
          <w:sz w:val="24"/>
          <w:szCs w:val="24"/>
        </w:rPr>
        <w:t xml:space="preserve"> på den ene side og </w:t>
      </w:r>
      <w:r>
        <w:rPr>
          <w:sz w:val="24"/>
          <w:szCs w:val="24"/>
        </w:rPr>
        <w:t>"</w:t>
      </w:r>
      <w:r w:rsidRPr="00E11763">
        <w:rPr>
          <w:sz w:val="24"/>
          <w:szCs w:val="24"/>
        </w:rPr>
        <w:t>H</w:t>
      </w:r>
      <w:r>
        <w:rPr>
          <w:sz w:val="24"/>
          <w:szCs w:val="24"/>
        </w:rPr>
        <w:t>"</w:t>
      </w:r>
      <w:r w:rsidRPr="00E11763">
        <w:rPr>
          <w:sz w:val="24"/>
          <w:szCs w:val="24"/>
        </w:rPr>
        <w:t xml:space="preserve"> på den anden.</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4.</w:t>
      </w:r>
      <w:r w:rsidRPr="00E11763">
        <w:rPr>
          <w:b/>
          <w:sz w:val="24"/>
          <w:szCs w:val="24"/>
        </w:rPr>
        <w:tab/>
        <w:t>KLINISKE OPLYSNINGER</w:t>
      </w:r>
    </w:p>
    <w:p w:rsidR="002D431C" w:rsidRPr="00E11763" w:rsidRDefault="002D431C" w:rsidP="002D431C">
      <w:pPr>
        <w:ind w:left="851" w:hanging="851"/>
        <w:rPr>
          <w:b/>
          <w:sz w:val="24"/>
          <w:szCs w:val="24"/>
        </w:rPr>
      </w:pPr>
    </w:p>
    <w:p w:rsidR="002D431C" w:rsidRPr="00E11763" w:rsidRDefault="002D431C" w:rsidP="002D431C">
      <w:pPr>
        <w:ind w:left="851" w:hanging="851"/>
        <w:rPr>
          <w:b/>
          <w:sz w:val="24"/>
          <w:szCs w:val="24"/>
          <w:u w:val="single"/>
        </w:rPr>
      </w:pPr>
      <w:r w:rsidRPr="00E11763">
        <w:rPr>
          <w:b/>
          <w:sz w:val="24"/>
          <w:szCs w:val="24"/>
        </w:rPr>
        <w:t>4.1</w:t>
      </w:r>
      <w:r w:rsidRPr="00E11763">
        <w:rPr>
          <w:b/>
          <w:sz w:val="24"/>
          <w:szCs w:val="24"/>
        </w:rPr>
        <w:tab/>
        <w:t>Terapeutiske indikationer</w:t>
      </w:r>
    </w:p>
    <w:p w:rsidR="002D431C" w:rsidRPr="00E11763" w:rsidRDefault="002D431C" w:rsidP="002D431C">
      <w:pPr>
        <w:ind w:left="851" w:hanging="851"/>
        <w:rPr>
          <w:sz w:val="24"/>
          <w:szCs w:val="24"/>
        </w:rPr>
      </w:pPr>
      <w:r w:rsidRPr="00E11763">
        <w:rPr>
          <w:sz w:val="24"/>
          <w:szCs w:val="24"/>
        </w:rPr>
        <w:tab/>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er indiceret til:</w:t>
      </w:r>
    </w:p>
    <w:p w:rsidR="002D431C" w:rsidRPr="00E11763" w:rsidRDefault="002D431C" w:rsidP="002D431C">
      <w:pPr>
        <w:numPr>
          <w:ilvl w:val="0"/>
          <w:numId w:val="6"/>
        </w:numPr>
        <w:ind w:left="1276" w:hanging="425"/>
        <w:rPr>
          <w:sz w:val="24"/>
          <w:szCs w:val="24"/>
        </w:rPr>
      </w:pPr>
      <w:r w:rsidRPr="00E11763">
        <w:rPr>
          <w:sz w:val="24"/>
          <w:szCs w:val="24"/>
        </w:rPr>
        <w:t xml:space="preserve">Behandling af hormonreceptor-positiv fremskreden brystkræft hos </w:t>
      </w:r>
      <w:proofErr w:type="spellStart"/>
      <w:r w:rsidRPr="00E11763">
        <w:rPr>
          <w:sz w:val="24"/>
          <w:szCs w:val="24"/>
        </w:rPr>
        <w:t>postmenopausale</w:t>
      </w:r>
      <w:proofErr w:type="spellEnd"/>
      <w:r w:rsidRPr="00E11763">
        <w:rPr>
          <w:sz w:val="24"/>
          <w:szCs w:val="24"/>
        </w:rPr>
        <w:t xml:space="preserve"> kvinder.</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4.2</w:t>
      </w:r>
      <w:r w:rsidRPr="00E11763">
        <w:rPr>
          <w:b/>
          <w:sz w:val="24"/>
          <w:szCs w:val="24"/>
        </w:rPr>
        <w:tab/>
        <w:t>Dosering og indgivelsesmåde</w:t>
      </w:r>
    </w:p>
    <w:p w:rsidR="002D431C" w:rsidRPr="00E11763" w:rsidRDefault="002D431C" w:rsidP="002D431C">
      <w:pPr>
        <w:ind w:left="851" w:hanging="851"/>
        <w:rPr>
          <w:sz w:val="24"/>
          <w:szCs w:val="24"/>
          <w:u w:val="single"/>
        </w:rPr>
      </w:pPr>
      <w:r w:rsidRPr="00E11763">
        <w:rPr>
          <w:sz w:val="24"/>
          <w:szCs w:val="24"/>
        </w:rPr>
        <w:tab/>
      </w:r>
      <w:r w:rsidRPr="00E11763">
        <w:rPr>
          <w:sz w:val="24"/>
          <w:szCs w:val="24"/>
          <w:u w:val="single"/>
        </w:rPr>
        <w:t>Dosering</w:t>
      </w:r>
    </w:p>
    <w:p w:rsidR="002D431C" w:rsidRPr="00E11763" w:rsidRDefault="002D431C" w:rsidP="002D431C">
      <w:pPr>
        <w:ind w:left="851" w:hanging="851"/>
        <w:rPr>
          <w:sz w:val="24"/>
          <w:szCs w:val="24"/>
        </w:rPr>
      </w:pPr>
      <w:r>
        <w:rPr>
          <w:sz w:val="24"/>
          <w:szCs w:val="24"/>
        </w:rPr>
        <w:tab/>
      </w:r>
      <w:r w:rsidRPr="00E11763">
        <w:rPr>
          <w:sz w:val="24"/>
          <w:szCs w:val="24"/>
        </w:rPr>
        <w:t xml:space="preserve">Den anbefalede dosis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til voksne, inklusive ældre, er én 1 mg tablet </w:t>
      </w:r>
      <w:r>
        <w:rPr>
          <w:sz w:val="24"/>
          <w:szCs w:val="24"/>
        </w:rPr>
        <w:t>daglig</w:t>
      </w:r>
      <w:r w:rsidRPr="00E11763">
        <w:rPr>
          <w:sz w:val="24"/>
          <w:szCs w:val="24"/>
        </w:rPr>
        <w:t xml:space="preserve">. </w:t>
      </w:r>
    </w:p>
    <w:p w:rsidR="002D431C" w:rsidRDefault="002D431C" w:rsidP="002D431C">
      <w:pPr>
        <w:ind w:left="851" w:hanging="851"/>
        <w:rPr>
          <w:sz w:val="24"/>
          <w:szCs w:val="24"/>
        </w:rPr>
      </w:pPr>
    </w:p>
    <w:p w:rsidR="002D431C" w:rsidRPr="00E11763" w:rsidRDefault="002D431C" w:rsidP="002D431C">
      <w:pPr>
        <w:ind w:left="851" w:hanging="851"/>
        <w:rPr>
          <w:sz w:val="24"/>
          <w:szCs w:val="24"/>
          <w:u w:val="single"/>
        </w:rPr>
      </w:pPr>
      <w:r w:rsidRPr="00E11763">
        <w:rPr>
          <w:sz w:val="24"/>
          <w:szCs w:val="24"/>
        </w:rPr>
        <w:tab/>
      </w:r>
      <w:r w:rsidRPr="00E11763">
        <w:rPr>
          <w:sz w:val="24"/>
          <w:szCs w:val="24"/>
          <w:u w:val="single"/>
        </w:rPr>
        <w:t>Særlige populationer</w:t>
      </w:r>
    </w:p>
    <w:p w:rsidR="002D431C" w:rsidRPr="00E11763" w:rsidRDefault="002D431C" w:rsidP="002D431C">
      <w:pPr>
        <w:ind w:left="851" w:hanging="851"/>
        <w:rPr>
          <w:i/>
          <w:sz w:val="24"/>
          <w:szCs w:val="24"/>
        </w:rPr>
      </w:pPr>
      <w:r>
        <w:rPr>
          <w:i/>
          <w:sz w:val="24"/>
          <w:szCs w:val="24"/>
        </w:rPr>
        <w:tab/>
      </w:r>
      <w:r w:rsidRPr="00E11763">
        <w:rPr>
          <w:i/>
          <w:sz w:val="24"/>
          <w:szCs w:val="24"/>
        </w:rPr>
        <w:t xml:space="preserve">Pædiatrisk population </w:t>
      </w:r>
    </w:p>
    <w:p w:rsidR="002D431C" w:rsidRPr="00E11763" w:rsidRDefault="002D431C" w:rsidP="002D431C">
      <w:pPr>
        <w:ind w:left="851" w:hanging="851"/>
        <w:rPr>
          <w:sz w:val="24"/>
          <w:szCs w:val="24"/>
        </w:rPr>
      </w:pPr>
      <w:r>
        <w:rPr>
          <w:sz w:val="24"/>
          <w:szCs w:val="24"/>
        </w:rPr>
        <w:tab/>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bør ikke anvendes til børn og unge på grund af utilstrækkelige data vedrørende sikkerhed og virkning (se pkt. 4.4 og 5.1). </w:t>
      </w:r>
    </w:p>
    <w:p w:rsidR="002D431C" w:rsidRPr="00E11763" w:rsidRDefault="002D431C" w:rsidP="002D431C">
      <w:pPr>
        <w:ind w:left="851" w:hanging="851"/>
        <w:rPr>
          <w:sz w:val="24"/>
          <w:szCs w:val="24"/>
        </w:rPr>
      </w:pPr>
    </w:p>
    <w:p w:rsidR="002D431C" w:rsidRPr="00E11763" w:rsidRDefault="002D431C" w:rsidP="002D431C">
      <w:pPr>
        <w:ind w:left="851" w:hanging="851"/>
        <w:rPr>
          <w:i/>
          <w:sz w:val="24"/>
          <w:szCs w:val="24"/>
        </w:rPr>
      </w:pPr>
      <w:r>
        <w:rPr>
          <w:i/>
          <w:sz w:val="24"/>
          <w:szCs w:val="24"/>
        </w:rPr>
        <w:tab/>
      </w:r>
      <w:r w:rsidRPr="00E11763">
        <w:rPr>
          <w:i/>
          <w:sz w:val="24"/>
          <w:szCs w:val="24"/>
        </w:rPr>
        <w:t xml:space="preserve">Nedsat nyrefunktion </w:t>
      </w:r>
    </w:p>
    <w:p w:rsidR="002D431C" w:rsidRPr="00E11763" w:rsidRDefault="002D431C" w:rsidP="002D431C">
      <w:pPr>
        <w:ind w:left="851" w:hanging="851"/>
        <w:rPr>
          <w:sz w:val="24"/>
          <w:szCs w:val="24"/>
        </w:rPr>
      </w:pPr>
      <w:r>
        <w:rPr>
          <w:sz w:val="24"/>
          <w:szCs w:val="24"/>
        </w:rPr>
        <w:tab/>
      </w:r>
      <w:r w:rsidRPr="00E11763">
        <w:rPr>
          <w:sz w:val="24"/>
          <w:szCs w:val="24"/>
        </w:rPr>
        <w:t xml:space="preserve">Dosisjustering er ikke nødvendig hos patienter med let til moderat nedsat nyrefunktion. Hos patienter med svært nedsat nyrefunktion skal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anvendes med forsigtighed. (se pkt. 4.4 og 5.2). </w:t>
      </w:r>
    </w:p>
    <w:p w:rsidR="002D431C" w:rsidRPr="00E11763" w:rsidRDefault="002D431C" w:rsidP="002D431C">
      <w:pPr>
        <w:ind w:left="851" w:hanging="851"/>
        <w:rPr>
          <w:sz w:val="24"/>
          <w:szCs w:val="24"/>
        </w:rPr>
      </w:pPr>
    </w:p>
    <w:p w:rsidR="002D431C" w:rsidRPr="00E11763" w:rsidRDefault="002D431C" w:rsidP="002D431C">
      <w:pPr>
        <w:ind w:left="851" w:hanging="851"/>
        <w:rPr>
          <w:i/>
          <w:sz w:val="24"/>
          <w:szCs w:val="24"/>
        </w:rPr>
      </w:pPr>
      <w:r>
        <w:rPr>
          <w:i/>
          <w:sz w:val="24"/>
          <w:szCs w:val="24"/>
        </w:rPr>
        <w:tab/>
      </w:r>
      <w:r w:rsidRPr="00E11763">
        <w:rPr>
          <w:i/>
          <w:sz w:val="24"/>
          <w:szCs w:val="24"/>
        </w:rPr>
        <w:t xml:space="preserve">Nedsat leverfunktion </w:t>
      </w:r>
    </w:p>
    <w:p w:rsidR="002D431C" w:rsidRPr="00E11763" w:rsidRDefault="002D431C" w:rsidP="002D431C">
      <w:pPr>
        <w:ind w:left="851" w:hanging="851"/>
        <w:rPr>
          <w:sz w:val="24"/>
          <w:szCs w:val="24"/>
        </w:rPr>
      </w:pPr>
      <w:r>
        <w:rPr>
          <w:sz w:val="24"/>
          <w:szCs w:val="24"/>
        </w:rPr>
        <w:tab/>
      </w:r>
      <w:r w:rsidRPr="00E11763">
        <w:rPr>
          <w:sz w:val="24"/>
          <w:szCs w:val="24"/>
        </w:rPr>
        <w:t>Dosisjustering er ikke nødvendig hos patienter med let nedsat leverfunktion. Der tilrådes, at der udvises forsigtighed hos patienter med moderat til svært nedsat leverfunktion (se pkt. 4.4).</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u w:val="single"/>
        </w:rPr>
      </w:pPr>
      <w:r w:rsidRPr="00E11763">
        <w:rPr>
          <w:sz w:val="24"/>
          <w:szCs w:val="24"/>
        </w:rPr>
        <w:tab/>
      </w:r>
      <w:r w:rsidRPr="00E11763">
        <w:rPr>
          <w:sz w:val="24"/>
          <w:szCs w:val="24"/>
          <w:u w:val="single"/>
        </w:rPr>
        <w:t>Indgivelsesmåde</w:t>
      </w:r>
    </w:p>
    <w:p w:rsidR="002D431C" w:rsidRPr="00E11763" w:rsidRDefault="002D431C" w:rsidP="002D431C">
      <w:pPr>
        <w:ind w:left="851" w:hanging="851"/>
        <w:rPr>
          <w:sz w:val="24"/>
          <w:szCs w:val="24"/>
        </w:rPr>
      </w:pPr>
      <w:r>
        <w:rPr>
          <w:sz w:val="24"/>
          <w:szCs w:val="24"/>
        </w:rPr>
        <w:tab/>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skal indtages oralt.</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4.3</w:t>
      </w:r>
      <w:r w:rsidRPr="00E11763">
        <w:rPr>
          <w:b/>
          <w:sz w:val="24"/>
          <w:szCs w:val="24"/>
        </w:rPr>
        <w:tab/>
        <w:t>Kontraindikationer</w:t>
      </w:r>
    </w:p>
    <w:p w:rsidR="002D431C" w:rsidRPr="00E11763" w:rsidRDefault="002D431C" w:rsidP="002D431C">
      <w:pPr>
        <w:ind w:left="851" w:hanging="851"/>
        <w:rPr>
          <w:bCs/>
          <w:sz w:val="24"/>
          <w:szCs w:val="24"/>
        </w:rPr>
      </w:pPr>
      <w:r w:rsidRPr="00E11763">
        <w:rPr>
          <w:sz w:val="24"/>
          <w:szCs w:val="24"/>
        </w:rPr>
        <w:tab/>
      </w:r>
      <w:proofErr w:type="spellStart"/>
      <w:r w:rsidRPr="00E11763">
        <w:rPr>
          <w:bCs/>
          <w:sz w:val="24"/>
          <w:szCs w:val="24"/>
        </w:rPr>
        <w:t>Anastrozol</w:t>
      </w:r>
      <w:proofErr w:type="spellEnd"/>
      <w:r w:rsidRPr="00E11763">
        <w:rPr>
          <w:bCs/>
          <w:sz w:val="24"/>
          <w:szCs w:val="24"/>
        </w:rPr>
        <w:t xml:space="preserve"> </w:t>
      </w:r>
      <w:r>
        <w:rPr>
          <w:sz w:val="24"/>
          <w:szCs w:val="24"/>
        </w:rPr>
        <w:t>"Medical Valley"</w:t>
      </w:r>
      <w:r w:rsidRPr="00E11763">
        <w:rPr>
          <w:sz w:val="24"/>
          <w:szCs w:val="24"/>
        </w:rPr>
        <w:t xml:space="preserve"> </w:t>
      </w:r>
      <w:r w:rsidRPr="00E11763">
        <w:rPr>
          <w:bCs/>
          <w:sz w:val="24"/>
          <w:szCs w:val="24"/>
        </w:rPr>
        <w:t xml:space="preserve">er kontraindiceret til: </w:t>
      </w:r>
    </w:p>
    <w:p w:rsidR="002D431C" w:rsidRPr="00E11763" w:rsidRDefault="002D431C" w:rsidP="002D431C">
      <w:pPr>
        <w:numPr>
          <w:ilvl w:val="0"/>
          <w:numId w:val="7"/>
        </w:numPr>
        <w:ind w:left="1276" w:hanging="425"/>
        <w:rPr>
          <w:bCs/>
          <w:sz w:val="24"/>
          <w:szCs w:val="24"/>
        </w:rPr>
      </w:pPr>
      <w:r w:rsidRPr="00E11763">
        <w:rPr>
          <w:bCs/>
          <w:sz w:val="24"/>
          <w:szCs w:val="24"/>
        </w:rPr>
        <w:t xml:space="preserve">Gravide eller ammende kvinder. </w:t>
      </w:r>
    </w:p>
    <w:p w:rsidR="002D431C" w:rsidRPr="00E11763" w:rsidRDefault="002D431C" w:rsidP="002D431C">
      <w:pPr>
        <w:numPr>
          <w:ilvl w:val="0"/>
          <w:numId w:val="7"/>
        </w:numPr>
        <w:ind w:left="1276" w:hanging="425"/>
        <w:rPr>
          <w:bCs/>
          <w:sz w:val="24"/>
          <w:szCs w:val="24"/>
        </w:rPr>
      </w:pPr>
      <w:r w:rsidRPr="00E11763">
        <w:rPr>
          <w:bCs/>
          <w:sz w:val="24"/>
          <w:szCs w:val="24"/>
        </w:rPr>
        <w:t xml:space="preserve">Patienter med overfølsomhed over for </w:t>
      </w:r>
      <w:proofErr w:type="spellStart"/>
      <w:r w:rsidRPr="00E11763">
        <w:rPr>
          <w:bCs/>
          <w:sz w:val="24"/>
          <w:szCs w:val="24"/>
        </w:rPr>
        <w:t>anastrozol</w:t>
      </w:r>
      <w:proofErr w:type="spellEnd"/>
      <w:r w:rsidRPr="00E11763">
        <w:rPr>
          <w:bCs/>
          <w:sz w:val="24"/>
          <w:szCs w:val="24"/>
        </w:rPr>
        <w:t xml:space="preserve"> eller over for et el</w:t>
      </w:r>
      <w:r>
        <w:rPr>
          <w:bCs/>
          <w:sz w:val="24"/>
          <w:szCs w:val="24"/>
        </w:rPr>
        <w:t>ler flere af hjælpestofferne, anført i</w:t>
      </w:r>
      <w:r w:rsidRPr="00E11763">
        <w:rPr>
          <w:bCs/>
          <w:sz w:val="24"/>
          <w:szCs w:val="24"/>
        </w:rPr>
        <w:t xml:space="preserve"> pkt. 6.1. </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4.4</w:t>
      </w:r>
      <w:r w:rsidRPr="00E11763">
        <w:rPr>
          <w:b/>
          <w:sz w:val="24"/>
          <w:szCs w:val="24"/>
        </w:rPr>
        <w:tab/>
        <w:t>Særlige advarsler og forsigtighedsregler vedrørende brugen</w:t>
      </w:r>
    </w:p>
    <w:p w:rsidR="002D431C" w:rsidRPr="00E11763" w:rsidRDefault="002D431C" w:rsidP="002D431C">
      <w:pPr>
        <w:ind w:left="851" w:hanging="851"/>
        <w:rPr>
          <w:sz w:val="24"/>
          <w:szCs w:val="24"/>
        </w:rPr>
      </w:pPr>
      <w:r w:rsidRPr="00E11763">
        <w:rPr>
          <w:sz w:val="24"/>
          <w:szCs w:val="24"/>
        </w:rPr>
        <w:tab/>
      </w:r>
      <w:r w:rsidRPr="00E11763">
        <w:rPr>
          <w:iCs/>
          <w:sz w:val="24"/>
          <w:szCs w:val="24"/>
          <w:u w:val="single"/>
        </w:rPr>
        <w:t xml:space="preserve">Generelt </w:t>
      </w:r>
    </w:p>
    <w:p w:rsidR="002D431C" w:rsidRPr="00E11763" w:rsidRDefault="002D431C" w:rsidP="002D431C">
      <w:pPr>
        <w:ind w:left="851"/>
        <w:rPr>
          <w:sz w:val="24"/>
          <w:szCs w:val="24"/>
        </w:rPr>
      </w:pPr>
      <w:proofErr w:type="spellStart"/>
      <w:r w:rsidRPr="00E11763">
        <w:rPr>
          <w:bCs/>
          <w:sz w:val="24"/>
          <w:szCs w:val="24"/>
        </w:rPr>
        <w:t>Anastrozol</w:t>
      </w:r>
      <w:proofErr w:type="spellEnd"/>
      <w:r w:rsidRPr="00E11763">
        <w:rPr>
          <w:bCs/>
          <w:sz w:val="24"/>
          <w:szCs w:val="24"/>
        </w:rPr>
        <w:t xml:space="preserve"> </w:t>
      </w:r>
      <w:r>
        <w:rPr>
          <w:sz w:val="24"/>
          <w:szCs w:val="24"/>
        </w:rPr>
        <w:t>"Medical Valley"</w:t>
      </w:r>
      <w:r w:rsidRPr="00E11763">
        <w:rPr>
          <w:sz w:val="24"/>
          <w:szCs w:val="24"/>
        </w:rPr>
        <w:t xml:space="preserve"> bør ikke anvendes til </w:t>
      </w:r>
      <w:proofErr w:type="spellStart"/>
      <w:r w:rsidRPr="00E11763">
        <w:rPr>
          <w:sz w:val="24"/>
          <w:szCs w:val="24"/>
        </w:rPr>
        <w:t>præmenopausale</w:t>
      </w:r>
      <w:proofErr w:type="spellEnd"/>
      <w:r w:rsidRPr="00E11763">
        <w:rPr>
          <w:sz w:val="24"/>
          <w:szCs w:val="24"/>
        </w:rPr>
        <w:t xml:space="preserve"> kvinder. Menopausen skal defineres biokemisk (niveauet af </w:t>
      </w:r>
      <w:proofErr w:type="spellStart"/>
      <w:r w:rsidRPr="00E11763">
        <w:rPr>
          <w:sz w:val="24"/>
          <w:szCs w:val="24"/>
        </w:rPr>
        <w:t>luteiniserende</w:t>
      </w:r>
      <w:proofErr w:type="spellEnd"/>
      <w:r w:rsidRPr="00E11763">
        <w:rPr>
          <w:sz w:val="24"/>
          <w:szCs w:val="24"/>
        </w:rPr>
        <w:t xml:space="preserve"> hormon [LH], follikelstimulerende hormon [FSH] og/eller </w:t>
      </w:r>
      <w:proofErr w:type="spellStart"/>
      <w:r w:rsidRPr="00E11763">
        <w:rPr>
          <w:sz w:val="24"/>
          <w:szCs w:val="24"/>
        </w:rPr>
        <w:t>estradiol</w:t>
      </w:r>
      <w:proofErr w:type="spellEnd"/>
      <w:r w:rsidRPr="00E11763">
        <w:rPr>
          <w:sz w:val="24"/>
          <w:szCs w:val="24"/>
        </w:rPr>
        <w:t xml:space="preserve">) hos alle patienter, hvor der hersker tvivl om den </w:t>
      </w:r>
      <w:proofErr w:type="spellStart"/>
      <w:r w:rsidRPr="00E11763">
        <w:rPr>
          <w:sz w:val="24"/>
          <w:szCs w:val="24"/>
        </w:rPr>
        <w:t>menopausale</w:t>
      </w:r>
      <w:proofErr w:type="spellEnd"/>
      <w:r w:rsidRPr="00E11763">
        <w:rPr>
          <w:sz w:val="24"/>
          <w:szCs w:val="24"/>
        </w:rPr>
        <w:t xml:space="preserve"> status. Der er ingen data, som understøtter brug af </w:t>
      </w:r>
      <w:proofErr w:type="spellStart"/>
      <w:r w:rsidRPr="00E11763">
        <w:rPr>
          <w:bCs/>
          <w:sz w:val="24"/>
          <w:szCs w:val="24"/>
        </w:rPr>
        <w:t>Anastrozol</w:t>
      </w:r>
      <w:proofErr w:type="spellEnd"/>
      <w:r w:rsidRPr="00E11763">
        <w:rPr>
          <w:bCs/>
          <w:sz w:val="24"/>
          <w:szCs w:val="24"/>
        </w:rPr>
        <w:t xml:space="preserve"> </w:t>
      </w:r>
      <w:r>
        <w:rPr>
          <w:bCs/>
          <w:sz w:val="24"/>
          <w:szCs w:val="24"/>
        </w:rPr>
        <w:t>"Medical Valley"</w:t>
      </w:r>
      <w:r w:rsidRPr="00E11763">
        <w:rPr>
          <w:bCs/>
          <w:sz w:val="24"/>
          <w:szCs w:val="24"/>
        </w:rPr>
        <w:t xml:space="preserve"> </w:t>
      </w:r>
      <w:r w:rsidRPr="00E11763">
        <w:rPr>
          <w:sz w:val="24"/>
          <w:szCs w:val="24"/>
        </w:rPr>
        <w:t>med LHRH-</w:t>
      </w:r>
      <w:proofErr w:type="spellStart"/>
      <w:r w:rsidRPr="00E11763">
        <w:rPr>
          <w:sz w:val="24"/>
          <w:szCs w:val="24"/>
        </w:rPr>
        <w:t>analoger</w:t>
      </w:r>
      <w:proofErr w:type="spellEnd"/>
      <w:r w:rsidRPr="00E11763">
        <w:rPr>
          <w:sz w:val="24"/>
          <w:szCs w:val="24"/>
        </w:rPr>
        <w:t>.</w:t>
      </w:r>
    </w:p>
    <w:p w:rsidR="002D431C" w:rsidRPr="00E11763" w:rsidRDefault="002D431C" w:rsidP="002D431C">
      <w:pPr>
        <w:ind w:left="851"/>
        <w:rPr>
          <w:sz w:val="24"/>
          <w:szCs w:val="24"/>
        </w:rPr>
      </w:pPr>
    </w:p>
    <w:p w:rsidR="002D431C" w:rsidRPr="00E11763" w:rsidRDefault="002D431C" w:rsidP="002D431C">
      <w:pPr>
        <w:ind w:left="851"/>
        <w:rPr>
          <w:sz w:val="24"/>
          <w:szCs w:val="24"/>
        </w:rPr>
      </w:pPr>
      <w:r w:rsidRPr="00E11763">
        <w:rPr>
          <w:sz w:val="24"/>
          <w:szCs w:val="24"/>
        </w:rPr>
        <w:t xml:space="preserve">Indgivelse af </w:t>
      </w:r>
      <w:proofErr w:type="spellStart"/>
      <w:r w:rsidRPr="00E11763">
        <w:rPr>
          <w:sz w:val="24"/>
          <w:szCs w:val="24"/>
        </w:rPr>
        <w:t>tamoxifen</w:t>
      </w:r>
      <w:proofErr w:type="spellEnd"/>
      <w:r w:rsidRPr="00E11763">
        <w:rPr>
          <w:sz w:val="24"/>
          <w:szCs w:val="24"/>
        </w:rPr>
        <w:t xml:space="preserve"> eller østrogenholdig behandling sammen med </w:t>
      </w:r>
      <w:proofErr w:type="spellStart"/>
      <w:r w:rsidRPr="00E11763">
        <w:rPr>
          <w:bCs/>
          <w:sz w:val="24"/>
          <w:szCs w:val="24"/>
        </w:rPr>
        <w:t>Anastrozol</w:t>
      </w:r>
      <w:proofErr w:type="spellEnd"/>
      <w:r w:rsidRPr="00E11763">
        <w:rPr>
          <w:bCs/>
          <w:sz w:val="24"/>
          <w:szCs w:val="24"/>
        </w:rPr>
        <w:t xml:space="preserve"> </w:t>
      </w:r>
      <w:r>
        <w:rPr>
          <w:bCs/>
          <w:sz w:val="24"/>
          <w:szCs w:val="24"/>
        </w:rPr>
        <w:t>"Medical Valley"</w:t>
      </w:r>
      <w:r w:rsidRPr="00E11763">
        <w:rPr>
          <w:bCs/>
          <w:sz w:val="24"/>
          <w:szCs w:val="24"/>
        </w:rPr>
        <w:t xml:space="preserve"> </w:t>
      </w:r>
      <w:r w:rsidRPr="00E11763">
        <w:rPr>
          <w:sz w:val="24"/>
          <w:szCs w:val="24"/>
        </w:rPr>
        <w:t>bør undgås, da dette kan mindske dets farmakologiske virkning (se pkt. 4.5 og 5.1).</w:t>
      </w:r>
    </w:p>
    <w:p w:rsidR="002D431C" w:rsidRDefault="002D431C" w:rsidP="002D431C">
      <w:pPr>
        <w:rPr>
          <w:sz w:val="24"/>
          <w:szCs w:val="24"/>
        </w:rPr>
      </w:pPr>
    </w:p>
    <w:p w:rsidR="002D431C" w:rsidRPr="00E11763" w:rsidRDefault="002D431C" w:rsidP="002D431C">
      <w:pPr>
        <w:ind w:firstLine="851"/>
        <w:rPr>
          <w:iCs/>
          <w:sz w:val="24"/>
          <w:szCs w:val="24"/>
          <w:u w:val="single"/>
        </w:rPr>
      </w:pPr>
      <w:r w:rsidRPr="00E11763">
        <w:rPr>
          <w:iCs/>
          <w:sz w:val="24"/>
          <w:szCs w:val="24"/>
          <w:u w:val="single"/>
        </w:rPr>
        <w:t>Virkning på knoglemineraltæthed</w:t>
      </w:r>
    </w:p>
    <w:p w:rsidR="002D431C" w:rsidRPr="00E11763" w:rsidRDefault="002D431C" w:rsidP="002D431C">
      <w:pPr>
        <w:ind w:left="851"/>
        <w:rPr>
          <w:sz w:val="24"/>
          <w:szCs w:val="24"/>
        </w:rPr>
      </w:pPr>
      <w:r w:rsidRPr="00E11763">
        <w:rPr>
          <w:sz w:val="24"/>
          <w:szCs w:val="24"/>
        </w:rPr>
        <w:t xml:space="preserve">Da </w:t>
      </w:r>
      <w:proofErr w:type="spellStart"/>
      <w:r w:rsidRPr="00E11763">
        <w:rPr>
          <w:sz w:val="24"/>
          <w:szCs w:val="24"/>
        </w:rPr>
        <w:t>anastrozol</w:t>
      </w:r>
      <w:proofErr w:type="spellEnd"/>
      <w:r w:rsidRPr="00E11763">
        <w:rPr>
          <w:sz w:val="24"/>
          <w:szCs w:val="24"/>
        </w:rPr>
        <w:t xml:space="preserve"> sænker cirkulerende østrogenniveauer, kan det medføre en reduktion i knoglemineraltæthed med deraf følgende øget risiko for fraktur (se pkt. 4.8).</w:t>
      </w:r>
    </w:p>
    <w:p w:rsidR="002D431C" w:rsidRPr="00E11763" w:rsidRDefault="002D431C" w:rsidP="002D431C">
      <w:pPr>
        <w:ind w:left="851"/>
        <w:rPr>
          <w:sz w:val="24"/>
          <w:szCs w:val="24"/>
        </w:rPr>
      </w:pPr>
    </w:p>
    <w:p w:rsidR="002D431C" w:rsidRPr="00E11763" w:rsidRDefault="002D431C" w:rsidP="002D431C">
      <w:pPr>
        <w:ind w:left="851"/>
        <w:rPr>
          <w:sz w:val="24"/>
          <w:szCs w:val="24"/>
        </w:rPr>
      </w:pPr>
      <w:r w:rsidRPr="00E11763">
        <w:rPr>
          <w:sz w:val="24"/>
          <w:szCs w:val="24"/>
        </w:rPr>
        <w:t xml:space="preserve">Kvinder med osteoporose eller risiko for osteoporose bør få foretaget en formel vurdering af deres knoglemineraltæthed ved behandlingens start og derefter med regelmæssige mellemrum. Hvis relevant, skal behandling af eller profylakse mod osteoporose påbegyndes og monitoreres nøje. Specifikke behandlinger f.eks. med </w:t>
      </w:r>
      <w:proofErr w:type="spellStart"/>
      <w:r w:rsidRPr="00E11763">
        <w:rPr>
          <w:sz w:val="24"/>
          <w:szCs w:val="24"/>
        </w:rPr>
        <w:t>bisfosfonater</w:t>
      </w:r>
      <w:proofErr w:type="spellEnd"/>
      <w:r w:rsidRPr="00E11763">
        <w:rPr>
          <w:sz w:val="24"/>
          <w:szCs w:val="24"/>
        </w:rPr>
        <w:t xml:space="preserve"> kan standse yderligere knoglemineraltab forårsaget af </w:t>
      </w:r>
      <w:proofErr w:type="spellStart"/>
      <w:r w:rsidRPr="00E11763">
        <w:rPr>
          <w:bCs/>
          <w:sz w:val="24"/>
          <w:szCs w:val="24"/>
        </w:rPr>
        <w:t>Anastrozol</w:t>
      </w:r>
      <w:proofErr w:type="spellEnd"/>
      <w:r w:rsidRPr="00E11763">
        <w:rPr>
          <w:bCs/>
          <w:sz w:val="24"/>
          <w:szCs w:val="24"/>
        </w:rPr>
        <w:t xml:space="preserve"> </w:t>
      </w:r>
      <w:r>
        <w:rPr>
          <w:sz w:val="24"/>
          <w:szCs w:val="24"/>
        </w:rPr>
        <w:t>"Medical Valley"</w:t>
      </w:r>
      <w:r w:rsidRPr="00E11763">
        <w:rPr>
          <w:sz w:val="24"/>
          <w:szCs w:val="24"/>
        </w:rPr>
        <w:t xml:space="preserve"> hos </w:t>
      </w:r>
      <w:proofErr w:type="spellStart"/>
      <w:r w:rsidRPr="00E11763">
        <w:rPr>
          <w:sz w:val="24"/>
          <w:szCs w:val="24"/>
        </w:rPr>
        <w:t>postmenopausale</w:t>
      </w:r>
      <w:proofErr w:type="spellEnd"/>
      <w:r w:rsidRPr="00E11763">
        <w:rPr>
          <w:sz w:val="24"/>
          <w:szCs w:val="24"/>
        </w:rPr>
        <w:t xml:space="preserve"> kvinder og kan overvejes (se pkt. 4.8).</w:t>
      </w:r>
    </w:p>
    <w:p w:rsidR="002D431C" w:rsidRPr="00E11763" w:rsidRDefault="002D431C" w:rsidP="002D431C">
      <w:pPr>
        <w:ind w:left="851"/>
        <w:rPr>
          <w:sz w:val="24"/>
          <w:szCs w:val="24"/>
        </w:rPr>
      </w:pPr>
    </w:p>
    <w:p w:rsidR="002D431C" w:rsidRPr="00E11763" w:rsidRDefault="002D431C" w:rsidP="002D431C">
      <w:pPr>
        <w:ind w:left="851"/>
        <w:rPr>
          <w:iCs/>
          <w:sz w:val="24"/>
          <w:szCs w:val="24"/>
          <w:u w:val="single"/>
        </w:rPr>
      </w:pPr>
      <w:r w:rsidRPr="00E11763">
        <w:rPr>
          <w:iCs/>
          <w:sz w:val="24"/>
          <w:szCs w:val="24"/>
          <w:u w:val="single"/>
        </w:rPr>
        <w:t>Nedsat leverfunktion</w:t>
      </w:r>
    </w:p>
    <w:p w:rsidR="002D431C" w:rsidRPr="00E11763" w:rsidRDefault="002D431C" w:rsidP="002D431C">
      <w:pPr>
        <w:ind w:left="851"/>
        <w:rPr>
          <w:bCs/>
          <w:sz w:val="24"/>
          <w:szCs w:val="24"/>
        </w:rPr>
      </w:pPr>
      <w:proofErr w:type="spellStart"/>
      <w:r w:rsidRPr="00E11763">
        <w:rPr>
          <w:bCs/>
          <w:sz w:val="24"/>
          <w:szCs w:val="24"/>
        </w:rPr>
        <w:t>Anastrozol</w:t>
      </w:r>
      <w:proofErr w:type="spellEnd"/>
      <w:r w:rsidRPr="00E11763">
        <w:rPr>
          <w:bCs/>
          <w:sz w:val="24"/>
          <w:szCs w:val="24"/>
        </w:rPr>
        <w:t xml:space="preserve"> </w:t>
      </w:r>
      <w:r>
        <w:rPr>
          <w:bCs/>
          <w:sz w:val="24"/>
          <w:szCs w:val="24"/>
        </w:rPr>
        <w:t>"Medical Valley"</w:t>
      </w:r>
      <w:r w:rsidRPr="00E11763">
        <w:rPr>
          <w:bCs/>
          <w:sz w:val="24"/>
          <w:szCs w:val="24"/>
        </w:rPr>
        <w:t xml:space="preserve"> er ikke blevet undersøgt hos brystkræftpatienter med moderat eller svært nedsat leverfunktion. Eksponering for </w:t>
      </w:r>
      <w:proofErr w:type="spellStart"/>
      <w:r w:rsidRPr="00E11763">
        <w:rPr>
          <w:bCs/>
          <w:sz w:val="24"/>
          <w:szCs w:val="24"/>
        </w:rPr>
        <w:t>anastrozol</w:t>
      </w:r>
      <w:proofErr w:type="spellEnd"/>
      <w:r w:rsidRPr="00E11763">
        <w:rPr>
          <w:bCs/>
          <w:sz w:val="24"/>
          <w:szCs w:val="24"/>
        </w:rPr>
        <w:t xml:space="preserve"> kan være øget hos forsøgspersoner med nedsat leverfunktion (se pkt. 5.2).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w:t>
      </w:r>
      <w:r w:rsidRPr="00E11763">
        <w:rPr>
          <w:bCs/>
          <w:sz w:val="24"/>
          <w:szCs w:val="24"/>
        </w:rPr>
        <w:t>skal anvendes med forsigtighed hos patienter med moderat og svært nedsat leverfunktion (se pkt. 4.2). Behandlingen bør baseres på en benefit-</w:t>
      </w:r>
      <w:proofErr w:type="spellStart"/>
      <w:r w:rsidRPr="00E11763">
        <w:rPr>
          <w:bCs/>
          <w:sz w:val="24"/>
          <w:szCs w:val="24"/>
        </w:rPr>
        <w:t>risk</w:t>
      </w:r>
      <w:proofErr w:type="spellEnd"/>
      <w:r w:rsidRPr="00E11763">
        <w:rPr>
          <w:bCs/>
          <w:sz w:val="24"/>
          <w:szCs w:val="24"/>
        </w:rPr>
        <w:t xml:space="preserve"> vurdering hos den enkelte patient. </w:t>
      </w:r>
    </w:p>
    <w:p w:rsidR="002D431C" w:rsidRDefault="002D431C" w:rsidP="002D431C">
      <w:pPr>
        <w:ind w:left="851"/>
        <w:rPr>
          <w:bCs/>
          <w:sz w:val="24"/>
          <w:szCs w:val="24"/>
        </w:rPr>
      </w:pPr>
    </w:p>
    <w:p w:rsidR="002D431C" w:rsidRPr="00E11763" w:rsidRDefault="002D431C" w:rsidP="002D431C">
      <w:pPr>
        <w:ind w:left="851"/>
        <w:rPr>
          <w:bCs/>
          <w:sz w:val="24"/>
          <w:szCs w:val="24"/>
        </w:rPr>
      </w:pPr>
    </w:p>
    <w:p w:rsidR="002D431C" w:rsidRPr="00E11763" w:rsidRDefault="002D431C" w:rsidP="002D431C">
      <w:pPr>
        <w:ind w:left="851"/>
        <w:rPr>
          <w:iCs/>
          <w:sz w:val="24"/>
          <w:szCs w:val="24"/>
          <w:u w:val="single"/>
        </w:rPr>
      </w:pPr>
      <w:r w:rsidRPr="00E11763">
        <w:rPr>
          <w:iCs/>
          <w:sz w:val="24"/>
          <w:szCs w:val="24"/>
          <w:u w:val="single"/>
        </w:rPr>
        <w:lastRenderedPageBreak/>
        <w:t>Nedsat nyrefunktion</w:t>
      </w:r>
    </w:p>
    <w:p w:rsidR="002D431C" w:rsidRPr="00E11763" w:rsidRDefault="002D431C" w:rsidP="002D431C">
      <w:pPr>
        <w:ind w:left="851"/>
        <w:rPr>
          <w:sz w:val="24"/>
          <w:szCs w:val="24"/>
        </w:rPr>
      </w:pP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er ikke blevet undersøgt hos brystkræftpatienter med svært nedsat nyrefunktion. Eksponering for </w:t>
      </w:r>
      <w:proofErr w:type="spellStart"/>
      <w:r w:rsidRPr="00E11763">
        <w:rPr>
          <w:sz w:val="24"/>
          <w:szCs w:val="24"/>
        </w:rPr>
        <w:t>anastrozol</w:t>
      </w:r>
      <w:proofErr w:type="spellEnd"/>
      <w:r w:rsidRPr="00E11763">
        <w:rPr>
          <w:sz w:val="24"/>
          <w:szCs w:val="24"/>
        </w:rPr>
        <w:t xml:space="preserve"> er ikke øget hos forsøgspersoner med svært nedsat nyrefunktion (GRF &lt;30 ml/min, se pkt. 5.2). Hos patienter med svært nedsat nyrefunktion skal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anvendes med forsigtighed. </w:t>
      </w:r>
    </w:p>
    <w:p w:rsidR="002D431C" w:rsidRPr="00E11763" w:rsidRDefault="002D431C" w:rsidP="002D431C">
      <w:pPr>
        <w:ind w:left="851"/>
        <w:rPr>
          <w:sz w:val="24"/>
          <w:szCs w:val="24"/>
        </w:rPr>
      </w:pPr>
    </w:p>
    <w:p w:rsidR="002D431C" w:rsidRPr="00E11763" w:rsidRDefault="002D431C" w:rsidP="002D431C">
      <w:pPr>
        <w:ind w:left="851"/>
        <w:rPr>
          <w:iCs/>
          <w:sz w:val="24"/>
          <w:szCs w:val="24"/>
          <w:u w:val="single"/>
        </w:rPr>
      </w:pPr>
      <w:r w:rsidRPr="00E11763">
        <w:rPr>
          <w:iCs/>
          <w:sz w:val="24"/>
          <w:szCs w:val="24"/>
          <w:u w:val="single"/>
        </w:rPr>
        <w:t>Pædiatrisk population</w:t>
      </w:r>
    </w:p>
    <w:p w:rsidR="002D431C" w:rsidRPr="00E11763" w:rsidRDefault="002D431C" w:rsidP="002D431C">
      <w:pPr>
        <w:ind w:left="851"/>
        <w:rPr>
          <w:sz w:val="24"/>
          <w:szCs w:val="24"/>
        </w:rPr>
      </w:pP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anbefales ikke til børn og unge, da sikkerhed og virkning ikke er blevet fastlagt for denne patientgruppe (se pkt. 5.1).</w:t>
      </w:r>
    </w:p>
    <w:p w:rsidR="002D431C" w:rsidRPr="00E11763" w:rsidRDefault="002D431C" w:rsidP="002D431C">
      <w:pPr>
        <w:ind w:left="851"/>
        <w:rPr>
          <w:sz w:val="24"/>
          <w:szCs w:val="24"/>
        </w:rPr>
      </w:pPr>
    </w:p>
    <w:p w:rsidR="002D431C" w:rsidRPr="00E11763" w:rsidRDefault="002D431C" w:rsidP="002D431C">
      <w:pPr>
        <w:ind w:left="851"/>
        <w:rPr>
          <w:sz w:val="24"/>
          <w:szCs w:val="24"/>
        </w:rPr>
      </w:pP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må ikke anvendes til drenge med væksthormonmangel som supplement til behandling med væksthormon. I det kliniske hovedforsøg blev der ikke påvist virkning, og sikkerheden blev ikke fastlagt (se pkt. 5.1). Da </w:t>
      </w:r>
      <w:proofErr w:type="spellStart"/>
      <w:r w:rsidRPr="00E11763">
        <w:rPr>
          <w:sz w:val="24"/>
          <w:szCs w:val="24"/>
        </w:rPr>
        <w:t>anastrozol</w:t>
      </w:r>
      <w:proofErr w:type="spellEnd"/>
      <w:r w:rsidRPr="00E11763">
        <w:rPr>
          <w:sz w:val="24"/>
          <w:szCs w:val="24"/>
        </w:rPr>
        <w:t xml:space="preserve"> reducerer </w:t>
      </w:r>
      <w:proofErr w:type="spellStart"/>
      <w:r w:rsidRPr="00E11763">
        <w:rPr>
          <w:sz w:val="24"/>
          <w:szCs w:val="24"/>
        </w:rPr>
        <w:t>estradiolniveauet</w:t>
      </w:r>
      <w:proofErr w:type="spellEnd"/>
      <w:r w:rsidRPr="00E11763">
        <w:rPr>
          <w:sz w:val="24"/>
          <w:szCs w:val="24"/>
        </w:rPr>
        <w:t xml:space="preserve">, må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ikke bruges hos piger med væksthormonmangel som supplement til behandling med væksthormon. Sikkerhedsdata ved langvarig behandling hos børn og unge er ikke tilgængelige.</w:t>
      </w:r>
    </w:p>
    <w:p w:rsidR="002D431C" w:rsidRPr="00E11763" w:rsidRDefault="002D431C" w:rsidP="002D431C">
      <w:pPr>
        <w:ind w:left="851"/>
        <w:rPr>
          <w:sz w:val="24"/>
          <w:szCs w:val="24"/>
        </w:rPr>
      </w:pPr>
    </w:p>
    <w:p w:rsidR="00B147E6" w:rsidRPr="00E11763" w:rsidRDefault="00B147E6" w:rsidP="00B147E6">
      <w:pPr>
        <w:ind w:left="851"/>
        <w:rPr>
          <w:iCs/>
          <w:sz w:val="24"/>
          <w:szCs w:val="24"/>
          <w:u w:val="single"/>
        </w:rPr>
      </w:pPr>
      <w:r w:rsidRPr="00E11763">
        <w:rPr>
          <w:iCs/>
          <w:sz w:val="24"/>
          <w:szCs w:val="24"/>
          <w:u w:val="single"/>
        </w:rPr>
        <w:t xml:space="preserve">Overfølsomhed over for </w:t>
      </w:r>
      <w:proofErr w:type="spellStart"/>
      <w:r w:rsidRPr="00E11763">
        <w:rPr>
          <w:iCs/>
          <w:sz w:val="24"/>
          <w:szCs w:val="24"/>
          <w:u w:val="single"/>
        </w:rPr>
        <w:t>lactose</w:t>
      </w:r>
      <w:proofErr w:type="spellEnd"/>
    </w:p>
    <w:p w:rsidR="00B147E6" w:rsidRDefault="00B147E6" w:rsidP="00B147E6">
      <w:pPr>
        <w:ind w:left="851"/>
        <w:rPr>
          <w:sz w:val="24"/>
          <w:szCs w:val="24"/>
        </w:rPr>
      </w:pPr>
      <w:r w:rsidRPr="00E11763">
        <w:rPr>
          <w:sz w:val="24"/>
          <w:szCs w:val="24"/>
        </w:rPr>
        <w:t xml:space="preserve">Dette lægemiddel indeholder </w:t>
      </w:r>
      <w:proofErr w:type="spellStart"/>
      <w:r w:rsidRPr="00E11763">
        <w:rPr>
          <w:sz w:val="24"/>
          <w:szCs w:val="24"/>
        </w:rPr>
        <w:t>lactose</w:t>
      </w:r>
      <w:proofErr w:type="spellEnd"/>
      <w:r w:rsidRPr="00E11763">
        <w:rPr>
          <w:sz w:val="24"/>
          <w:szCs w:val="24"/>
        </w:rPr>
        <w:t xml:space="preserve"> og bør ikke anvendes til patienter med arvelig </w:t>
      </w:r>
      <w:proofErr w:type="spellStart"/>
      <w:r w:rsidRPr="00E11763">
        <w:rPr>
          <w:sz w:val="24"/>
          <w:szCs w:val="24"/>
        </w:rPr>
        <w:t>galactoseintolerans</w:t>
      </w:r>
      <w:proofErr w:type="spellEnd"/>
      <w:r w:rsidRPr="00E11763">
        <w:rPr>
          <w:sz w:val="24"/>
          <w:szCs w:val="24"/>
        </w:rPr>
        <w:t xml:space="preserve">, en særlig form for arvelig </w:t>
      </w:r>
      <w:proofErr w:type="spellStart"/>
      <w:r w:rsidRPr="00E11763">
        <w:rPr>
          <w:sz w:val="24"/>
          <w:szCs w:val="24"/>
        </w:rPr>
        <w:t>lactasemangel</w:t>
      </w:r>
      <w:proofErr w:type="spellEnd"/>
      <w:r w:rsidRPr="00E11763">
        <w:rPr>
          <w:sz w:val="24"/>
          <w:szCs w:val="24"/>
        </w:rPr>
        <w:t xml:space="preserve"> (Lapp </w:t>
      </w:r>
      <w:proofErr w:type="spellStart"/>
      <w:r w:rsidRPr="00E11763">
        <w:rPr>
          <w:sz w:val="24"/>
          <w:szCs w:val="24"/>
        </w:rPr>
        <w:t>Lactase</w:t>
      </w:r>
      <w:proofErr w:type="spellEnd"/>
      <w:r w:rsidRPr="00E11763">
        <w:rPr>
          <w:sz w:val="24"/>
          <w:szCs w:val="24"/>
        </w:rPr>
        <w:t xml:space="preserve"> </w:t>
      </w:r>
      <w:proofErr w:type="spellStart"/>
      <w:r w:rsidRPr="00E11763">
        <w:rPr>
          <w:sz w:val="24"/>
          <w:szCs w:val="24"/>
        </w:rPr>
        <w:t>deficiency</w:t>
      </w:r>
      <w:proofErr w:type="spellEnd"/>
      <w:r w:rsidRPr="00E11763">
        <w:rPr>
          <w:sz w:val="24"/>
          <w:szCs w:val="24"/>
        </w:rPr>
        <w:t xml:space="preserve">) eller </w:t>
      </w:r>
      <w:proofErr w:type="spellStart"/>
      <w:r w:rsidRPr="00E11763">
        <w:rPr>
          <w:sz w:val="24"/>
          <w:szCs w:val="24"/>
        </w:rPr>
        <w:t>glucose-galactose-malabsorption</w:t>
      </w:r>
      <w:proofErr w:type="spellEnd"/>
      <w:r w:rsidRPr="00E11763">
        <w:rPr>
          <w:sz w:val="24"/>
          <w:szCs w:val="24"/>
        </w:rPr>
        <w:t>.</w:t>
      </w:r>
    </w:p>
    <w:p w:rsidR="00B147E6" w:rsidRDefault="00B147E6" w:rsidP="00B147E6">
      <w:pPr>
        <w:ind w:left="851"/>
        <w:rPr>
          <w:sz w:val="24"/>
          <w:szCs w:val="24"/>
        </w:rPr>
      </w:pPr>
    </w:p>
    <w:p w:rsidR="00B147E6" w:rsidRPr="005E2424" w:rsidRDefault="00B147E6" w:rsidP="00B147E6">
      <w:pPr>
        <w:ind w:left="851"/>
        <w:rPr>
          <w:sz w:val="24"/>
          <w:szCs w:val="24"/>
          <w:u w:val="single"/>
        </w:rPr>
      </w:pPr>
      <w:r w:rsidRPr="005E2424">
        <w:rPr>
          <w:sz w:val="24"/>
          <w:szCs w:val="24"/>
          <w:u w:val="single"/>
        </w:rPr>
        <w:t>Dette</w:t>
      </w:r>
      <w:r w:rsidRPr="005E2424">
        <w:rPr>
          <w:spacing w:val="-7"/>
          <w:sz w:val="24"/>
          <w:szCs w:val="24"/>
          <w:u w:val="single"/>
        </w:rPr>
        <w:t xml:space="preserve"> </w:t>
      </w:r>
      <w:r w:rsidRPr="005E2424">
        <w:rPr>
          <w:sz w:val="24"/>
          <w:szCs w:val="24"/>
          <w:u w:val="single"/>
        </w:rPr>
        <w:t>lægem</w:t>
      </w:r>
      <w:r w:rsidRPr="005E2424">
        <w:rPr>
          <w:spacing w:val="1"/>
          <w:sz w:val="24"/>
          <w:szCs w:val="24"/>
          <w:u w:val="single"/>
        </w:rPr>
        <w:t>i</w:t>
      </w:r>
      <w:r w:rsidRPr="005E2424">
        <w:rPr>
          <w:sz w:val="24"/>
          <w:szCs w:val="24"/>
          <w:u w:val="single"/>
        </w:rPr>
        <w:t>ddel</w:t>
      </w:r>
      <w:r w:rsidRPr="005E2424">
        <w:rPr>
          <w:spacing w:val="-7"/>
          <w:sz w:val="24"/>
          <w:szCs w:val="24"/>
          <w:u w:val="single"/>
        </w:rPr>
        <w:t xml:space="preserve"> </w:t>
      </w:r>
      <w:r w:rsidRPr="005E2424">
        <w:rPr>
          <w:sz w:val="24"/>
          <w:szCs w:val="24"/>
          <w:u w:val="single"/>
        </w:rPr>
        <w:t>indeholder natrium</w:t>
      </w:r>
    </w:p>
    <w:p w:rsidR="00B147E6" w:rsidRDefault="00B147E6" w:rsidP="00B147E6">
      <w:pPr>
        <w:ind w:left="851"/>
        <w:rPr>
          <w:sz w:val="24"/>
          <w:szCs w:val="24"/>
        </w:rPr>
      </w:pPr>
      <w:r>
        <w:rPr>
          <w:sz w:val="24"/>
          <w:szCs w:val="24"/>
        </w:rPr>
        <w:t>Dette lægemiddel indeholder mindre end 1 mmol (23 mg) natrium pr. f</w:t>
      </w:r>
      <w:r w:rsidRPr="00E11763">
        <w:rPr>
          <w:sz w:val="24"/>
          <w:szCs w:val="24"/>
        </w:rPr>
        <w:t>ilmovertrukke</w:t>
      </w:r>
      <w:r>
        <w:rPr>
          <w:sz w:val="24"/>
          <w:szCs w:val="24"/>
        </w:rPr>
        <w:t>n tablet, dvs. det er i det væsentlige natriumfrit.</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4.5</w:t>
      </w:r>
      <w:r w:rsidRPr="00E11763">
        <w:rPr>
          <w:b/>
          <w:sz w:val="24"/>
          <w:szCs w:val="24"/>
        </w:rPr>
        <w:tab/>
        <w:t>Interaktion med andre lægemidler og andre former for interaktion</w:t>
      </w:r>
    </w:p>
    <w:p w:rsidR="002D431C" w:rsidRPr="00E11763" w:rsidRDefault="002D431C" w:rsidP="002D431C">
      <w:pPr>
        <w:ind w:left="851" w:hanging="851"/>
        <w:rPr>
          <w:sz w:val="24"/>
          <w:szCs w:val="24"/>
        </w:rPr>
      </w:pPr>
      <w:r w:rsidRPr="00E11763">
        <w:rPr>
          <w:sz w:val="24"/>
          <w:szCs w:val="24"/>
        </w:rPr>
        <w:tab/>
      </w:r>
      <w:r w:rsidRPr="00E11763">
        <w:rPr>
          <w:sz w:val="24"/>
          <w:szCs w:val="24"/>
          <w:lang w:val="it-IT"/>
        </w:rPr>
        <w:t xml:space="preserve">Anastrozol hæmmer CYP1A2, 2C8/9 og 3A4 in vitro. </w:t>
      </w:r>
      <w:r w:rsidRPr="00E11763">
        <w:rPr>
          <w:sz w:val="24"/>
          <w:szCs w:val="24"/>
        </w:rPr>
        <w:t xml:space="preserve">Kliniske studier med </w:t>
      </w:r>
      <w:proofErr w:type="spellStart"/>
      <w:r w:rsidRPr="00E11763">
        <w:rPr>
          <w:sz w:val="24"/>
          <w:szCs w:val="24"/>
        </w:rPr>
        <w:t>phenazon</w:t>
      </w:r>
      <w:proofErr w:type="spellEnd"/>
      <w:r w:rsidRPr="00E11763">
        <w:rPr>
          <w:sz w:val="24"/>
          <w:szCs w:val="24"/>
        </w:rPr>
        <w:t xml:space="preserve"> og </w:t>
      </w:r>
      <w:proofErr w:type="spellStart"/>
      <w:r w:rsidRPr="00E11763">
        <w:rPr>
          <w:sz w:val="24"/>
          <w:szCs w:val="24"/>
        </w:rPr>
        <w:t>warfarin</w:t>
      </w:r>
      <w:proofErr w:type="spellEnd"/>
      <w:r w:rsidRPr="00E11763">
        <w:rPr>
          <w:sz w:val="24"/>
          <w:szCs w:val="24"/>
        </w:rPr>
        <w:t xml:space="preserve"> viste, at </w:t>
      </w:r>
      <w:proofErr w:type="spellStart"/>
      <w:r w:rsidRPr="00E11763">
        <w:rPr>
          <w:sz w:val="24"/>
          <w:szCs w:val="24"/>
        </w:rPr>
        <w:t>anastrozol</w:t>
      </w:r>
      <w:proofErr w:type="spellEnd"/>
      <w:r w:rsidRPr="00E11763">
        <w:rPr>
          <w:sz w:val="24"/>
          <w:szCs w:val="24"/>
        </w:rPr>
        <w:t xml:space="preserve"> ved en dosis på 1 mg ikke signifikant hæmmede </w:t>
      </w:r>
      <w:proofErr w:type="spellStart"/>
      <w:r w:rsidRPr="00E11763">
        <w:rPr>
          <w:sz w:val="24"/>
          <w:szCs w:val="24"/>
        </w:rPr>
        <w:t>metaboliseringen</w:t>
      </w:r>
      <w:proofErr w:type="spellEnd"/>
      <w:r w:rsidRPr="00E11763">
        <w:rPr>
          <w:sz w:val="24"/>
          <w:szCs w:val="24"/>
        </w:rPr>
        <w:t xml:space="preserve"> af </w:t>
      </w:r>
      <w:proofErr w:type="spellStart"/>
      <w:r w:rsidRPr="00E11763">
        <w:rPr>
          <w:sz w:val="24"/>
          <w:szCs w:val="24"/>
        </w:rPr>
        <w:t>phenazon</w:t>
      </w:r>
      <w:proofErr w:type="spellEnd"/>
      <w:r w:rsidRPr="00E11763">
        <w:rPr>
          <w:sz w:val="24"/>
          <w:szCs w:val="24"/>
        </w:rPr>
        <w:t xml:space="preserve"> og R– og S-</w:t>
      </w:r>
      <w:proofErr w:type="spellStart"/>
      <w:r w:rsidRPr="00E11763">
        <w:rPr>
          <w:sz w:val="24"/>
          <w:szCs w:val="24"/>
        </w:rPr>
        <w:t>warfarin</w:t>
      </w:r>
      <w:proofErr w:type="spellEnd"/>
      <w:r w:rsidRPr="00E11763">
        <w:rPr>
          <w:sz w:val="24"/>
          <w:szCs w:val="24"/>
        </w:rPr>
        <w:t xml:space="preserve">, hvilket indicerer, at indgivelse af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sammen med andre lægemidler sandsynligvis ikke resulterer i klinisk signifikante lægemiddelinteraktioner medieret af CYP-enzymer. </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 xml:space="preserve">Enzymerne, som medierer </w:t>
      </w:r>
      <w:proofErr w:type="spellStart"/>
      <w:r w:rsidRPr="00E11763">
        <w:rPr>
          <w:sz w:val="24"/>
          <w:szCs w:val="24"/>
        </w:rPr>
        <w:t>metaboliseringen</w:t>
      </w:r>
      <w:proofErr w:type="spellEnd"/>
      <w:r w:rsidRPr="00E11763">
        <w:rPr>
          <w:sz w:val="24"/>
          <w:szCs w:val="24"/>
        </w:rPr>
        <w:t xml:space="preserve"> af </w:t>
      </w:r>
      <w:proofErr w:type="spellStart"/>
      <w:r w:rsidRPr="00E11763">
        <w:rPr>
          <w:sz w:val="24"/>
          <w:szCs w:val="24"/>
        </w:rPr>
        <w:t>anastrozol</w:t>
      </w:r>
      <w:proofErr w:type="spellEnd"/>
      <w:r w:rsidRPr="00E11763">
        <w:rPr>
          <w:sz w:val="24"/>
          <w:szCs w:val="24"/>
        </w:rPr>
        <w:t xml:space="preserve">, er ikke blevet identificeret. </w:t>
      </w:r>
      <w:proofErr w:type="spellStart"/>
      <w:r w:rsidRPr="00E11763">
        <w:rPr>
          <w:sz w:val="24"/>
          <w:szCs w:val="24"/>
        </w:rPr>
        <w:t>Cimetidin</w:t>
      </w:r>
      <w:proofErr w:type="spellEnd"/>
      <w:r w:rsidRPr="00E11763">
        <w:rPr>
          <w:sz w:val="24"/>
          <w:szCs w:val="24"/>
        </w:rPr>
        <w:t xml:space="preserve">, en svag, uspecifik CYP-hæmmer, påvirkede ikke plasmakoncentrationen af </w:t>
      </w:r>
      <w:proofErr w:type="spellStart"/>
      <w:r w:rsidRPr="00E11763">
        <w:rPr>
          <w:sz w:val="24"/>
          <w:szCs w:val="24"/>
        </w:rPr>
        <w:t>anastrozol</w:t>
      </w:r>
      <w:proofErr w:type="spellEnd"/>
      <w:r w:rsidRPr="00E11763">
        <w:rPr>
          <w:sz w:val="24"/>
          <w:szCs w:val="24"/>
        </w:rPr>
        <w:t>. Virkningen af stærke CYP-</w:t>
      </w:r>
      <w:proofErr w:type="spellStart"/>
      <w:r w:rsidRPr="00E11763">
        <w:rPr>
          <w:sz w:val="24"/>
          <w:szCs w:val="24"/>
        </w:rPr>
        <w:t>hæmmere</w:t>
      </w:r>
      <w:proofErr w:type="spellEnd"/>
      <w:r w:rsidRPr="00E11763">
        <w:rPr>
          <w:sz w:val="24"/>
          <w:szCs w:val="24"/>
        </w:rPr>
        <w:t xml:space="preserve"> er ukendt. </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 xml:space="preserve">En gennemgang af sikkerhedsdatabasen fra de kliniske forsøg viste ikke nogen tegn på klinisk signifikant interaktion hos patienter behandlet med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der også fik andre almindeligt ordinerede lægemidler. Der var ingen klinisk signifikante interaktioner med </w:t>
      </w:r>
      <w:proofErr w:type="spellStart"/>
      <w:r w:rsidRPr="00E11763">
        <w:rPr>
          <w:sz w:val="24"/>
          <w:szCs w:val="24"/>
        </w:rPr>
        <w:t>bisfosfonater</w:t>
      </w:r>
      <w:proofErr w:type="spellEnd"/>
      <w:r w:rsidRPr="00E11763">
        <w:rPr>
          <w:sz w:val="24"/>
          <w:szCs w:val="24"/>
        </w:rPr>
        <w:t xml:space="preserve"> (se pkt. 5.1). </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 xml:space="preserve">Indgivelse af </w:t>
      </w:r>
      <w:proofErr w:type="spellStart"/>
      <w:r w:rsidRPr="00E11763">
        <w:rPr>
          <w:sz w:val="24"/>
          <w:szCs w:val="24"/>
        </w:rPr>
        <w:t>tamoxifen</w:t>
      </w:r>
      <w:proofErr w:type="spellEnd"/>
      <w:r w:rsidRPr="00E11763">
        <w:rPr>
          <w:sz w:val="24"/>
          <w:szCs w:val="24"/>
        </w:rPr>
        <w:t xml:space="preserve"> eller østrogenholdig behandling sammen med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bør undgås, da dette kan mindske dets farmakologiske virkning (se pkt. 4.4 og 5.1).</w:t>
      </w:r>
    </w:p>
    <w:p w:rsidR="002D431C" w:rsidRPr="00E11763" w:rsidRDefault="002D431C" w:rsidP="002D431C">
      <w:pPr>
        <w:ind w:left="851" w:hanging="851"/>
        <w:rPr>
          <w:sz w:val="24"/>
          <w:szCs w:val="24"/>
        </w:rPr>
      </w:pPr>
    </w:p>
    <w:p w:rsidR="002D431C" w:rsidRPr="00721EEC" w:rsidRDefault="002D431C" w:rsidP="002D431C">
      <w:pPr>
        <w:ind w:left="851" w:hanging="851"/>
        <w:rPr>
          <w:b/>
          <w:sz w:val="24"/>
          <w:szCs w:val="24"/>
        </w:rPr>
      </w:pPr>
      <w:r w:rsidRPr="00E11763">
        <w:rPr>
          <w:b/>
          <w:sz w:val="24"/>
          <w:szCs w:val="24"/>
        </w:rPr>
        <w:t>4.6</w:t>
      </w:r>
      <w:r w:rsidRPr="00721EEC">
        <w:rPr>
          <w:b/>
          <w:sz w:val="24"/>
          <w:szCs w:val="24"/>
        </w:rPr>
        <w:tab/>
        <w:t>Graviditet og amning</w:t>
      </w:r>
    </w:p>
    <w:p w:rsidR="002D431C" w:rsidRPr="00721EEC" w:rsidRDefault="002D431C" w:rsidP="002D431C">
      <w:pPr>
        <w:ind w:left="851" w:hanging="851"/>
        <w:rPr>
          <w:iCs/>
          <w:sz w:val="24"/>
          <w:szCs w:val="24"/>
          <w:u w:val="single"/>
        </w:rPr>
      </w:pPr>
      <w:r w:rsidRPr="00721EEC">
        <w:rPr>
          <w:sz w:val="24"/>
          <w:szCs w:val="24"/>
        </w:rPr>
        <w:tab/>
      </w:r>
      <w:r w:rsidRPr="00721EEC">
        <w:rPr>
          <w:iCs/>
          <w:sz w:val="24"/>
          <w:szCs w:val="24"/>
          <w:u w:val="single"/>
        </w:rPr>
        <w:t>Graviditet</w:t>
      </w:r>
    </w:p>
    <w:p w:rsidR="002D431C" w:rsidRPr="00721EEC" w:rsidRDefault="002D431C" w:rsidP="002D431C">
      <w:pPr>
        <w:ind w:left="851"/>
        <w:rPr>
          <w:sz w:val="24"/>
          <w:szCs w:val="24"/>
          <w:lang w:eastAsia="da-DK"/>
        </w:rPr>
      </w:pPr>
      <w:r w:rsidRPr="00721EEC">
        <w:rPr>
          <w:sz w:val="24"/>
          <w:szCs w:val="24"/>
        </w:rPr>
        <w:t xml:space="preserve">Der er ingen data fra anvendelse af </w:t>
      </w:r>
      <w:proofErr w:type="spellStart"/>
      <w:r w:rsidRPr="00721EEC">
        <w:rPr>
          <w:sz w:val="24"/>
          <w:szCs w:val="24"/>
        </w:rPr>
        <w:t>anastrozol</w:t>
      </w:r>
      <w:proofErr w:type="spellEnd"/>
      <w:r w:rsidRPr="00721EEC">
        <w:rPr>
          <w:sz w:val="24"/>
          <w:szCs w:val="24"/>
        </w:rPr>
        <w:t xml:space="preserve"> til gravide kvinder. Dyreforsøg har påvist reproduktionstoksicitet (se pkt. 5.3). </w:t>
      </w:r>
      <w:proofErr w:type="spellStart"/>
      <w:r w:rsidRPr="00721EEC">
        <w:rPr>
          <w:sz w:val="24"/>
          <w:szCs w:val="24"/>
        </w:rPr>
        <w:t>Anastrozol</w:t>
      </w:r>
      <w:proofErr w:type="spellEnd"/>
      <w:r w:rsidRPr="00721EEC">
        <w:rPr>
          <w:sz w:val="24"/>
          <w:szCs w:val="24"/>
        </w:rPr>
        <w:t xml:space="preserve"> er kontraindiceret under graviditet (se pkt. 4.3).</w:t>
      </w:r>
    </w:p>
    <w:p w:rsidR="002D431C" w:rsidRDefault="002D431C" w:rsidP="002D431C">
      <w:pPr>
        <w:ind w:left="851"/>
        <w:rPr>
          <w:sz w:val="24"/>
          <w:szCs w:val="24"/>
        </w:rPr>
      </w:pPr>
    </w:p>
    <w:p w:rsidR="002D431C" w:rsidRPr="00721EEC" w:rsidRDefault="002D431C" w:rsidP="002D431C">
      <w:pPr>
        <w:ind w:left="851"/>
        <w:rPr>
          <w:iCs/>
          <w:sz w:val="24"/>
          <w:szCs w:val="24"/>
          <w:u w:val="single"/>
        </w:rPr>
      </w:pPr>
      <w:r w:rsidRPr="00721EEC">
        <w:rPr>
          <w:iCs/>
          <w:sz w:val="24"/>
          <w:szCs w:val="24"/>
          <w:u w:val="single"/>
        </w:rPr>
        <w:t>Amning</w:t>
      </w:r>
    </w:p>
    <w:p w:rsidR="002D431C" w:rsidRPr="00721EEC" w:rsidRDefault="002D431C" w:rsidP="002D431C">
      <w:pPr>
        <w:ind w:left="851"/>
        <w:rPr>
          <w:sz w:val="24"/>
          <w:szCs w:val="24"/>
        </w:rPr>
      </w:pPr>
      <w:r w:rsidRPr="00721EEC">
        <w:rPr>
          <w:sz w:val="24"/>
          <w:szCs w:val="24"/>
        </w:rPr>
        <w:t xml:space="preserve">Der er ingen data fra anvendelse af </w:t>
      </w:r>
      <w:proofErr w:type="spellStart"/>
      <w:r w:rsidRPr="00721EEC">
        <w:rPr>
          <w:sz w:val="24"/>
          <w:szCs w:val="24"/>
        </w:rPr>
        <w:t>anastrozol</w:t>
      </w:r>
      <w:proofErr w:type="spellEnd"/>
      <w:r w:rsidRPr="00721EEC">
        <w:rPr>
          <w:sz w:val="24"/>
          <w:szCs w:val="24"/>
        </w:rPr>
        <w:t xml:space="preserve"> under amning. </w:t>
      </w:r>
      <w:proofErr w:type="spellStart"/>
      <w:r w:rsidRPr="00721EEC">
        <w:rPr>
          <w:sz w:val="24"/>
          <w:szCs w:val="24"/>
        </w:rPr>
        <w:t>Anastrozol</w:t>
      </w:r>
      <w:proofErr w:type="spellEnd"/>
      <w:r w:rsidRPr="00721EEC">
        <w:rPr>
          <w:sz w:val="24"/>
          <w:szCs w:val="24"/>
        </w:rPr>
        <w:t xml:space="preserve"> </w:t>
      </w:r>
      <w:proofErr w:type="spellStart"/>
      <w:r w:rsidRPr="00721EEC">
        <w:rPr>
          <w:sz w:val="24"/>
          <w:szCs w:val="24"/>
        </w:rPr>
        <w:t>Hetero</w:t>
      </w:r>
      <w:proofErr w:type="spellEnd"/>
      <w:r w:rsidRPr="00721EEC">
        <w:rPr>
          <w:sz w:val="24"/>
          <w:szCs w:val="24"/>
        </w:rPr>
        <w:t xml:space="preserve"> er kontraindiceret under amning (se pkt. 4.3).</w:t>
      </w:r>
    </w:p>
    <w:p w:rsidR="002D431C" w:rsidRDefault="002D431C" w:rsidP="002D431C">
      <w:pPr>
        <w:ind w:left="851"/>
        <w:rPr>
          <w:iCs/>
          <w:sz w:val="24"/>
          <w:szCs w:val="24"/>
          <w:u w:val="single"/>
        </w:rPr>
      </w:pPr>
    </w:p>
    <w:p w:rsidR="002D431C" w:rsidRPr="00721EEC" w:rsidRDefault="002D431C" w:rsidP="002D431C">
      <w:pPr>
        <w:ind w:left="851"/>
        <w:rPr>
          <w:iCs/>
          <w:sz w:val="24"/>
          <w:szCs w:val="24"/>
          <w:u w:val="single"/>
        </w:rPr>
      </w:pPr>
      <w:r w:rsidRPr="00721EEC">
        <w:rPr>
          <w:iCs/>
          <w:sz w:val="24"/>
          <w:szCs w:val="24"/>
          <w:u w:val="single"/>
        </w:rPr>
        <w:t>Fertilitet</w:t>
      </w:r>
    </w:p>
    <w:p w:rsidR="002D431C" w:rsidRPr="00721EEC" w:rsidRDefault="002D431C" w:rsidP="002D431C">
      <w:pPr>
        <w:ind w:left="851"/>
        <w:rPr>
          <w:sz w:val="24"/>
          <w:szCs w:val="24"/>
        </w:rPr>
      </w:pPr>
      <w:proofErr w:type="spellStart"/>
      <w:r w:rsidRPr="00721EEC">
        <w:rPr>
          <w:sz w:val="24"/>
          <w:szCs w:val="24"/>
        </w:rPr>
        <w:t>Anastrozol</w:t>
      </w:r>
      <w:proofErr w:type="spellEnd"/>
      <w:r w:rsidRPr="00721EEC">
        <w:rPr>
          <w:sz w:val="24"/>
          <w:szCs w:val="24"/>
        </w:rPr>
        <w:t>’ indvirkning på fertiliteten hos mennesker er ikke blevet undersøgt. Dyreforsøg har påvist reproduktionstoksicitet (se pkt. 5.3).</w:t>
      </w:r>
    </w:p>
    <w:p w:rsidR="002D431C" w:rsidRPr="00721EEC" w:rsidRDefault="002D431C" w:rsidP="002D431C">
      <w:pPr>
        <w:ind w:left="851" w:hanging="851"/>
        <w:rPr>
          <w:sz w:val="24"/>
          <w:szCs w:val="24"/>
        </w:rPr>
      </w:pPr>
    </w:p>
    <w:p w:rsidR="002D431C" w:rsidRPr="00721EEC" w:rsidRDefault="002D431C" w:rsidP="002D431C">
      <w:pPr>
        <w:ind w:left="851" w:hanging="851"/>
        <w:rPr>
          <w:b/>
          <w:sz w:val="24"/>
          <w:szCs w:val="24"/>
        </w:rPr>
      </w:pPr>
      <w:r w:rsidRPr="00721EEC">
        <w:rPr>
          <w:b/>
          <w:sz w:val="24"/>
          <w:szCs w:val="24"/>
        </w:rPr>
        <w:t>4.7</w:t>
      </w:r>
      <w:r w:rsidRPr="00721EEC">
        <w:rPr>
          <w:b/>
          <w:sz w:val="24"/>
          <w:szCs w:val="24"/>
        </w:rPr>
        <w:tab/>
        <w:t>Virkninger på evnen til at føre motorkøretøj eller betjene maskiner</w:t>
      </w:r>
    </w:p>
    <w:p w:rsidR="002D431C" w:rsidRPr="00721EEC" w:rsidRDefault="002D431C" w:rsidP="002D431C">
      <w:pPr>
        <w:ind w:left="851"/>
        <w:rPr>
          <w:sz w:val="24"/>
          <w:szCs w:val="24"/>
          <w:lang w:eastAsia="da-DK"/>
        </w:rPr>
      </w:pPr>
      <w:r w:rsidRPr="00721EEC">
        <w:rPr>
          <w:sz w:val="24"/>
          <w:szCs w:val="24"/>
        </w:rPr>
        <w:t>Ikke mærkning.</w:t>
      </w:r>
    </w:p>
    <w:p w:rsidR="002D431C" w:rsidRPr="00721EEC" w:rsidRDefault="002D431C" w:rsidP="002D431C">
      <w:pPr>
        <w:ind w:left="851"/>
        <w:rPr>
          <w:sz w:val="24"/>
          <w:szCs w:val="24"/>
        </w:rPr>
      </w:pPr>
      <w:proofErr w:type="spellStart"/>
      <w:r w:rsidRPr="00721EEC">
        <w:rPr>
          <w:sz w:val="24"/>
          <w:szCs w:val="24"/>
        </w:rPr>
        <w:t>Anastrozol</w:t>
      </w:r>
      <w:proofErr w:type="spellEnd"/>
      <w:r w:rsidRPr="00721EEC">
        <w:rPr>
          <w:sz w:val="24"/>
          <w:szCs w:val="24"/>
        </w:rPr>
        <w:t xml:space="preserve"> påvirker ikke eller kun i ubetydelig grad evnen til at føre motorkøretøj eller betjene maskiner. Der er imidlertid rapporteret asteni og søvnighed i forbindelse med brug af </w:t>
      </w:r>
      <w:proofErr w:type="spellStart"/>
      <w:r w:rsidRPr="00721EEC">
        <w:rPr>
          <w:sz w:val="24"/>
          <w:szCs w:val="24"/>
        </w:rPr>
        <w:t>Anastrozol</w:t>
      </w:r>
      <w:proofErr w:type="spellEnd"/>
      <w:r w:rsidRPr="00721EEC">
        <w:rPr>
          <w:sz w:val="24"/>
          <w:szCs w:val="24"/>
        </w:rPr>
        <w:t xml:space="preserve"> </w:t>
      </w:r>
      <w:proofErr w:type="spellStart"/>
      <w:r w:rsidRPr="00721EEC">
        <w:rPr>
          <w:sz w:val="24"/>
          <w:szCs w:val="24"/>
        </w:rPr>
        <w:t>Hetero</w:t>
      </w:r>
      <w:proofErr w:type="spellEnd"/>
      <w:r w:rsidRPr="00721EEC">
        <w:rPr>
          <w:sz w:val="24"/>
          <w:szCs w:val="24"/>
        </w:rPr>
        <w:t xml:space="preserve">, og der skal udvises forsigtighed, når man skal føre motorkøretøjer eller betjene maskiner, så længe sådanne symptomer forekommer. </w:t>
      </w:r>
    </w:p>
    <w:p w:rsidR="002D431C" w:rsidRPr="00721EEC" w:rsidRDefault="002D431C" w:rsidP="002D431C">
      <w:pPr>
        <w:ind w:left="851" w:hanging="851"/>
        <w:rPr>
          <w:sz w:val="24"/>
          <w:szCs w:val="24"/>
        </w:rPr>
      </w:pPr>
    </w:p>
    <w:p w:rsidR="002D431C" w:rsidRPr="00721EEC" w:rsidRDefault="002D431C" w:rsidP="002D431C">
      <w:pPr>
        <w:ind w:left="851" w:hanging="851"/>
        <w:rPr>
          <w:b/>
          <w:sz w:val="24"/>
          <w:szCs w:val="24"/>
        </w:rPr>
      </w:pPr>
      <w:r w:rsidRPr="00721EEC">
        <w:rPr>
          <w:b/>
          <w:sz w:val="24"/>
          <w:szCs w:val="24"/>
        </w:rPr>
        <w:t>4.8</w:t>
      </w:r>
      <w:r w:rsidRPr="00721EEC">
        <w:rPr>
          <w:b/>
          <w:sz w:val="24"/>
          <w:szCs w:val="24"/>
        </w:rPr>
        <w:tab/>
        <w:t>Bivirkninger</w:t>
      </w:r>
    </w:p>
    <w:p w:rsidR="002D431C" w:rsidRPr="00E11763" w:rsidRDefault="002D431C" w:rsidP="002D431C">
      <w:pPr>
        <w:ind w:left="851" w:hanging="851"/>
        <w:rPr>
          <w:sz w:val="24"/>
          <w:szCs w:val="24"/>
        </w:rPr>
      </w:pPr>
      <w:r w:rsidRPr="00E11763">
        <w:rPr>
          <w:sz w:val="24"/>
          <w:szCs w:val="24"/>
        </w:rPr>
        <w:tab/>
        <w:t xml:space="preserve">Følgende tabel giver en oversigt over bivirkninger fra kliniske forsøg, post-marketingundersøgelser eller spontane rapporter. Medmindre andet er angivet, er frekvenskategorierne beregnet ud fra antallet af utilsigtede hændelser, som blev rapporteret i et stort fase III-studie med 9.366 </w:t>
      </w:r>
      <w:proofErr w:type="spellStart"/>
      <w:r w:rsidRPr="00E11763">
        <w:rPr>
          <w:sz w:val="24"/>
          <w:szCs w:val="24"/>
        </w:rPr>
        <w:t>postmenopausale</w:t>
      </w:r>
      <w:proofErr w:type="spellEnd"/>
      <w:r w:rsidRPr="00E11763">
        <w:rPr>
          <w:sz w:val="24"/>
          <w:szCs w:val="24"/>
        </w:rPr>
        <w:t xml:space="preserve"> kvinder med operabel brystkræft, som fik </w:t>
      </w:r>
      <w:proofErr w:type="spellStart"/>
      <w:r w:rsidRPr="00E11763">
        <w:rPr>
          <w:sz w:val="24"/>
          <w:szCs w:val="24"/>
        </w:rPr>
        <w:t>adjuverende</w:t>
      </w:r>
      <w:proofErr w:type="spellEnd"/>
      <w:r w:rsidRPr="00E11763">
        <w:rPr>
          <w:sz w:val="24"/>
          <w:szCs w:val="24"/>
        </w:rPr>
        <w:t xml:space="preserve"> behandling i fem år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w:t>
      </w:r>
      <w:proofErr w:type="spellStart"/>
      <w:r w:rsidRPr="00E11763">
        <w:rPr>
          <w:sz w:val="24"/>
          <w:szCs w:val="24"/>
        </w:rPr>
        <w:t>Tamoxifen</w:t>
      </w:r>
      <w:proofErr w:type="spellEnd"/>
      <w:r w:rsidRPr="00E11763">
        <w:rPr>
          <w:sz w:val="24"/>
          <w:szCs w:val="24"/>
        </w:rPr>
        <w:t xml:space="preserve">, </w:t>
      </w:r>
      <w:proofErr w:type="spellStart"/>
      <w:r w:rsidRPr="00E11763">
        <w:rPr>
          <w:sz w:val="24"/>
          <w:szCs w:val="24"/>
        </w:rPr>
        <w:t>Alone</w:t>
      </w:r>
      <w:proofErr w:type="spellEnd"/>
      <w:r w:rsidRPr="00E11763">
        <w:rPr>
          <w:sz w:val="24"/>
          <w:szCs w:val="24"/>
        </w:rPr>
        <w:t xml:space="preserve"> or in Combination [ATAC] studiet). </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 xml:space="preserve">De nedenfor angivne bivirkninger er klassificeret efter frekvens og systemorganklasse (SOC). Frekvensgrupper er defineret i henhold til følgende konvention: meget almindelig (≥ 1/10), almindelig (≥ 1/100 til &lt; 1/10), ikke almindelig (≥ 1/1.000 til &lt; 1/100), sjælden (≥ 1/10.000 til &lt;1/1.000) og meget sjælden (&lt;1/10.000). De hyppigst rapporterede bivirkninger var hovedpine, hedeture, kvalme, udslæt, ledsmerter, stivhed, </w:t>
      </w:r>
      <w:proofErr w:type="spellStart"/>
      <w:r w:rsidRPr="00E11763">
        <w:rPr>
          <w:sz w:val="24"/>
          <w:szCs w:val="24"/>
        </w:rPr>
        <w:t>artrit</w:t>
      </w:r>
      <w:proofErr w:type="spellEnd"/>
      <w:r w:rsidRPr="00E11763">
        <w:rPr>
          <w:sz w:val="24"/>
          <w:szCs w:val="24"/>
        </w:rPr>
        <w:t xml:space="preserve"> og asteni.</w:t>
      </w:r>
    </w:p>
    <w:p w:rsidR="002D431C" w:rsidRPr="00E11763" w:rsidRDefault="002D431C" w:rsidP="002D431C">
      <w:pPr>
        <w:ind w:left="851" w:hanging="851"/>
        <w:rPr>
          <w:sz w:val="24"/>
          <w:szCs w:val="24"/>
        </w:rPr>
      </w:pPr>
    </w:p>
    <w:p w:rsidR="002D431C" w:rsidRDefault="002D431C" w:rsidP="002D431C">
      <w:pPr>
        <w:ind w:left="851"/>
        <w:rPr>
          <w:b/>
          <w:bCs/>
          <w:iCs/>
          <w:sz w:val="24"/>
          <w:szCs w:val="24"/>
        </w:rPr>
      </w:pPr>
      <w:r w:rsidRPr="00E11763">
        <w:rPr>
          <w:b/>
          <w:bCs/>
          <w:iCs/>
          <w:sz w:val="24"/>
          <w:szCs w:val="24"/>
        </w:rPr>
        <w:t>Tabel 1</w:t>
      </w:r>
      <w:r w:rsidRPr="00E11763">
        <w:rPr>
          <w:b/>
          <w:bCs/>
          <w:iCs/>
          <w:sz w:val="24"/>
          <w:szCs w:val="24"/>
        </w:rPr>
        <w:tab/>
        <w:t>Bivirkninger efter systemorganklasse og frekvens</w:t>
      </w:r>
    </w:p>
    <w:tbl>
      <w:tblPr>
        <w:tblW w:w="4470" w:type="pct"/>
        <w:tblInd w:w="95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15"/>
        <w:gridCol w:w="1874"/>
        <w:gridCol w:w="3809"/>
      </w:tblGrid>
      <w:tr w:rsidR="002D431C" w:rsidTr="003B4BCE">
        <w:trPr>
          <w:trHeight w:val="108"/>
        </w:trPr>
        <w:tc>
          <w:tcPr>
            <w:tcW w:w="5000" w:type="pct"/>
            <w:gridSpan w:val="3"/>
            <w:tcBorders>
              <w:top w:val="single" w:sz="8" w:space="0" w:color="000000"/>
              <w:left w:val="single" w:sz="8" w:space="0" w:color="000000"/>
              <w:bottom w:val="single" w:sz="8" w:space="0" w:color="000000"/>
              <w:right w:val="single" w:sz="8" w:space="0" w:color="000000"/>
            </w:tcBorders>
            <w:hideMark/>
          </w:tcPr>
          <w:p w:rsidR="002D431C" w:rsidRDefault="002D431C" w:rsidP="003B4BCE">
            <w:pPr>
              <w:tabs>
                <w:tab w:val="left" w:pos="1418"/>
              </w:tabs>
              <w:autoSpaceDE w:val="0"/>
              <w:autoSpaceDN w:val="0"/>
              <w:adjustRightInd w:val="0"/>
              <w:rPr>
                <w:b/>
                <w:bCs/>
                <w:iCs/>
                <w:sz w:val="24"/>
                <w:lang w:eastAsia="da-DK"/>
              </w:rPr>
            </w:pPr>
            <w:r>
              <w:rPr>
                <w:b/>
                <w:bCs/>
                <w:iCs/>
              </w:rPr>
              <w:t>Bivirkninger efter SOC og frekvens</w:t>
            </w:r>
          </w:p>
        </w:tc>
      </w:tr>
      <w:tr w:rsidR="002D431C" w:rsidTr="003B4BCE">
        <w:trPr>
          <w:trHeight w:val="217"/>
        </w:trPr>
        <w:tc>
          <w:tcPr>
            <w:tcW w:w="1695" w:type="pct"/>
            <w:vMerge w:val="restar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Metabolisme og ernæring</w:t>
            </w: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Anoreksi</w:t>
            </w:r>
          </w:p>
          <w:p w:rsidR="002D431C" w:rsidRDefault="002D431C" w:rsidP="003B4BCE">
            <w:pPr>
              <w:autoSpaceDE w:val="0"/>
              <w:autoSpaceDN w:val="0"/>
              <w:adjustRightInd w:val="0"/>
              <w:rPr>
                <w:iCs/>
              </w:rPr>
            </w:pPr>
            <w:proofErr w:type="spellStart"/>
            <w:r>
              <w:rPr>
                <w:iCs/>
              </w:rPr>
              <w:t>Hyperkolesterolæmi</w:t>
            </w:r>
            <w:proofErr w:type="spellEnd"/>
          </w:p>
        </w:tc>
      </w:tr>
      <w:tr w:rsidR="002D431C" w:rsidTr="003B4BCE">
        <w:trPr>
          <w:trHeight w:val="2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t>Ikke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proofErr w:type="spellStart"/>
            <w:r>
              <w:rPr>
                <w:szCs w:val="22"/>
              </w:rPr>
              <w:t>Hyperkalcæmi</w:t>
            </w:r>
            <w:proofErr w:type="spellEnd"/>
            <w:r>
              <w:rPr>
                <w:szCs w:val="22"/>
              </w:rPr>
              <w:t xml:space="preserve"> (med eller uden stigning i </w:t>
            </w:r>
            <w:proofErr w:type="spellStart"/>
            <w:r>
              <w:rPr>
                <w:szCs w:val="22"/>
              </w:rPr>
              <w:t>parathyreoideahormon</w:t>
            </w:r>
            <w:proofErr w:type="spellEnd"/>
            <w:r>
              <w:rPr>
                <w:szCs w:val="22"/>
              </w:rPr>
              <w:t>)</w:t>
            </w:r>
          </w:p>
        </w:tc>
      </w:tr>
      <w:tr w:rsidR="009B4B92" w:rsidTr="003B4BCE">
        <w:trPr>
          <w:trHeight w:val="217"/>
        </w:trPr>
        <w:tc>
          <w:tcPr>
            <w:tcW w:w="0" w:type="auto"/>
            <w:tcBorders>
              <w:top w:val="single" w:sz="8" w:space="0" w:color="000000"/>
              <w:left w:val="single" w:sz="8" w:space="0" w:color="000000"/>
              <w:bottom w:val="single" w:sz="8" w:space="0" w:color="000000"/>
              <w:right w:val="single" w:sz="8" w:space="0" w:color="000000"/>
            </w:tcBorders>
            <w:vAlign w:val="center"/>
          </w:tcPr>
          <w:p w:rsidR="009B4B92" w:rsidRDefault="009B4B92" w:rsidP="003B4BCE">
            <w:pPr>
              <w:rPr>
                <w:iCs/>
                <w:sz w:val="24"/>
              </w:rPr>
            </w:pPr>
            <w:r w:rsidRPr="009F3ED6">
              <w:rPr>
                <w:iCs/>
              </w:rPr>
              <w:t>Psykiske forstyrrelser</w:t>
            </w:r>
          </w:p>
        </w:tc>
        <w:tc>
          <w:tcPr>
            <w:tcW w:w="1090" w:type="pct"/>
            <w:tcBorders>
              <w:top w:val="single" w:sz="8" w:space="0" w:color="000000"/>
              <w:left w:val="single" w:sz="8" w:space="0" w:color="000000"/>
              <w:bottom w:val="single" w:sz="8" w:space="0" w:color="000000"/>
              <w:right w:val="single" w:sz="8" w:space="0" w:color="000000"/>
            </w:tcBorders>
          </w:tcPr>
          <w:p w:rsidR="009B4B92" w:rsidRDefault="009B4B92" w:rsidP="003B4BCE">
            <w:pPr>
              <w:autoSpaceDE w:val="0"/>
              <w:autoSpaceDN w:val="0"/>
              <w:adjustRightInd w:val="0"/>
            </w:pPr>
            <w:r>
              <w:rPr>
                <w:iCs/>
              </w:rPr>
              <w:t>Meget almindelig</w:t>
            </w:r>
          </w:p>
        </w:tc>
        <w:tc>
          <w:tcPr>
            <w:tcW w:w="2215" w:type="pct"/>
            <w:tcBorders>
              <w:top w:val="single" w:sz="8" w:space="0" w:color="000000"/>
              <w:left w:val="single" w:sz="8" w:space="0" w:color="000000"/>
              <w:bottom w:val="single" w:sz="8" w:space="0" w:color="000000"/>
              <w:right w:val="single" w:sz="8" w:space="0" w:color="000000"/>
            </w:tcBorders>
          </w:tcPr>
          <w:p w:rsidR="009B4B92" w:rsidRDefault="009B4B92" w:rsidP="003B4BCE">
            <w:pPr>
              <w:autoSpaceDE w:val="0"/>
              <w:autoSpaceDN w:val="0"/>
              <w:adjustRightInd w:val="0"/>
              <w:rPr>
                <w:szCs w:val="22"/>
              </w:rPr>
            </w:pPr>
            <w:r>
              <w:t>Depression</w:t>
            </w:r>
          </w:p>
        </w:tc>
      </w:tr>
      <w:tr w:rsidR="002D431C" w:rsidTr="003B4BCE">
        <w:trPr>
          <w:trHeight w:val="108"/>
        </w:trPr>
        <w:tc>
          <w:tcPr>
            <w:tcW w:w="1695" w:type="pct"/>
            <w:vMerge w:val="restar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Nervesystemet</w:t>
            </w: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Meget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Hovedpine</w:t>
            </w:r>
          </w:p>
        </w:tc>
      </w:tr>
      <w:tr w:rsidR="002D431C" w:rsidTr="003B4BCE">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Søvnighed</w:t>
            </w:r>
          </w:p>
          <w:p w:rsidR="002D431C" w:rsidRDefault="002D431C" w:rsidP="003B4BCE">
            <w:pPr>
              <w:autoSpaceDE w:val="0"/>
              <w:autoSpaceDN w:val="0"/>
              <w:adjustRightInd w:val="0"/>
              <w:rPr>
                <w:iCs/>
              </w:rPr>
            </w:pPr>
            <w:r>
              <w:rPr>
                <w:iCs/>
              </w:rPr>
              <w:t>Karpaltunnelsyndrom*</w:t>
            </w:r>
          </w:p>
          <w:p w:rsidR="002D431C" w:rsidRDefault="002D431C" w:rsidP="003B4BCE">
            <w:pPr>
              <w:autoSpaceDE w:val="0"/>
              <w:autoSpaceDN w:val="0"/>
              <w:adjustRightInd w:val="0"/>
              <w:rPr>
                <w:iCs/>
              </w:rPr>
            </w:pPr>
            <w:r>
              <w:t>Sensoriske forstyrrelser (</w:t>
            </w:r>
            <w:proofErr w:type="spellStart"/>
            <w:r>
              <w:t>inkluderen-de</w:t>
            </w:r>
            <w:proofErr w:type="spellEnd"/>
            <w:r>
              <w:t xml:space="preserve"> </w:t>
            </w:r>
            <w:proofErr w:type="spellStart"/>
            <w:r>
              <w:t>paræstesi</w:t>
            </w:r>
            <w:proofErr w:type="spellEnd"/>
            <w:r>
              <w:t>, manglende smagssans og smagsfor-</w:t>
            </w:r>
            <w:proofErr w:type="spellStart"/>
            <w:r>
              <w:t>styrrelser</w:t>
            </w:r>
            <w:proofErr w:type="spellEnd"/>
            <w:r>
              <w:t>)</w:t>
            </w:r>
          </w:p>
        </w:tc>
      </w:tr>
      <w:tr w:rsidR="002D431C" w:rsidTr="003B4BCE">
        <w:trPr>
          <w:trHeight w:val="108"/>
        </w:trPr>
        <w:tc>
          <w:tcPr>
            <w:tcW w:w="169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proofErr w:type="spellStart"/>
            <w:r>
              <w:rPr>
                <w:iCs/>
              </w:rPr>
              <w:t>Vaskulære</w:t>
            </w:r>
            <w:proofErr w:type="spellEnd"/>
            <w:r>
              <w:rPr>
                <w:iCs/>
              </w:rPr>
              <w:t xml:space="preserve"> sygdomme</w:t>
            </w: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Meget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Hedeture</w:t>
            </w:r>
          </w:p>
        </w:tc>
      </w:tr>
      <w:tr w:rsidR="002D431C" w:rsidTr="003B4BCE">
        <w:trPr>
          <w:trHeight w:val="108"/>
        </w:trPr>
        <w:tc>
          <w:tcPr>
            <w:tcW w:w="1695" w:type="pct"/>
            <w:vMerge w:val="restar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Mave-tarm-kanalen</w:t>
            </w: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Meget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Kvalme</w:t>
            </w:r>
          </w:p>
        </w:tc>
      </w:tr>
      <w:tr w:rsidR="002D431C" w:rsidTr="003B4BCE">
        <w:trPr>
          <w:trHeight w:val="2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Diarré</w:t>
            </w:r>
          </w:p>
          <w:p w:rsidR="002D431C" w:rsidRDefault="002D431C" w:rsidP="003B4BCE">
            <w:pPr>
              <w:autoSpaceDE w:val="0"/>
              <w:autoSpaceDN w:val="0"/>
              <w:adjustRightInd w:val="0"/>
              <w:rPr>
                <w:iCs/>
              </w:rPr>
            </w:pPr>
            <w:r>
              <w:rPr>
                <w:iCs/>
              </w:rPr>
              <w:t>Opkastning</w:t>
            </w:r>
          </w:p>
        </w:tc>
      </w:tr>
      <w:tr w:rsidR="002D431C" w:rsidTr="003B4BCE">
        <w:trPr>
          <w:trHeight w:val="326"/>
        </w:trPr>
        <w:tc>
          <w:tcPr>
            <w:tcW w:w="1695" w:type="pct"/>
            <w:vMerge w:val="restar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Lever og galdeveje</w:t>
            </w: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 xml:space="preserve">Stigning i alkalisk fosfatase, </w:t>
            </w:r>
            <w:proofErr w:type="spellStart"/>
            <w:r>
              <w:rPr>
                <w:iCs/>
              </w:rPr>
              <w:t>alanin-aminotransferase</w:t>
            </w:r>
            <w:proofErr w:type="spellEnd"/>
            <w:r>
              <w:rPr>
                <w:iCs/>
              </w:rPr>
              <w:t xml:space="preserve"> og </w:t>
            </w:r>
            <w:proofErr w:type="spellStart"/>
            <w:r>
              <w:rPr>
                <w:iCs/>
              </w:rPr>
              <w:t>aspartat-aminotransferase</w:t>
            </w:r>
            <w:proofErr w:type="spellEnd"/>
          </w:p>
        </w:tc>
      </w:tr>
      <w:tr w:rsidR="002D431C" w:rsidTr="003B4BCE">
        <w:trPr>
          <w:trHeight w:val="2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Ikke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Stigning i gamma-GT og bilirubin</w:t>
            </w:r>
          </w:p>
          <w:p w:rsidR="002D431C" w:rsidRDefault="002D431C" w:rsidP="003B4BCE">
            <w:pPr>
              <w:autoSpaceDE w:val="0"/>
              <w:autoSpaceDN w:val="0"/>
              <w:adjustRightInd w:val="0"/>
              <w:rPr>
                <w:iCs/>
              </w:rPr>
            </w:pPr>
            <w:r>
              <w:rPr>
                <w:iCs/>
              </w:rPr>
              <w:lastRenderedPageBreak/>
              <w:t>Hepatitis</w:t>
            </w:r>
          </w:p>
        </w:tc>
      </w:tr>
      <w:tr w:rsidR="002D431C" w:rsidTr="003B4BCE">
        <w:trPr>
          <w:trHeight w:val="217"/>
        </w:trPr>
        <w:tc>
          <w:tcPr>
            <w:tcW w:w="1695" w:type="pct"/>
            <w:vMerge w:val="restar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lastRenderedPageBreak/>
              <w:t>Hud og subkutane væv</w:t>
            </w: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Meget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Kløe</w:t>
            </w:r>
          </w:p>
        </w:tc>
      </w:tr>
      <w:tr w:rsidR="002D431C" w:rsidTr="003B4BCE">
        <w:trPr>
          <w:trHeight w:val="2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Hårudtynding (</w:t>
            </w:r>
            <w:proofErr w:type="spellStart"/>
            <w:r>
              <w:rPr>
                <w:iCs/>
              </w:rPr>
              <w:t>alopeci</w:t>
            </w:r>
            <w:proofErr w:type="spellEnd"/>
            <w:r>
              <w:rPr>
                <w:iCs/>
              </w:rPr>
              <w:t>)</w:t>
            </w:r>
          </w:p>
          <w:p w:rsidR="002D431C" w:rsidRDefault="002D431C" w:rsidP="003B4BCE">
            <w:pPr>
              <w:autoSpaceDE w:val="0"/>
              <w:autoSpaceDN w:val="0"/>
              <w:adjustRightInd w:val="0"/>
              <w:rPr>
                <w:iCs/>
              </w:rPr>
            </w:pPr>
            <w:r>
              <w:rPr>
                <w:iCs/>
              </w:rPr>
              <w:t>Allergiske reaktioner</w:t>
            </w:r>
          </w:p>
        </w:tc>
      </w:tr>
      <w:tr w:rsidR="002D431C" w:rsidTr="003B4BCE">
        <w:trPr>
          <w:trHeight w:val="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Ikke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proofErr w:type="spellStart"/>
            <w:r>
              <w:rPr>
                <w:iCs/>
              </w:rPr>
              <w:t>Urticaria</w:t>
            </w:r>
            <w:proofErr w:type="spellEnd"/>
          </w:p>
        </w:tc>
      </w:tr>
      <w:tr w:rsidR="002D431C" w:rsidTr="003B4BCE">
        <w:trPr>
          <w:trHeight w:val="4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Sjælden</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proofErr w:type="spellStart"/>
            <w:r>
              <w:rPr>
                <w:iCs/>
              </w:rPr>
              <w:t>Erythema</w:t>
            </w:r>
            <w:proofErr w:type="spellEnd"/>
            <w:r>
              <w:rPr>
                <w:iCs/>
              </w:rPr>
              <w:t xml:space="preserve"> multiforme</w:t>
            </w:r>
          </w:p>
          <w:p w:rsidR="002D431C" w:rsidRDefault="002D431C" w:rsidP="003B4BCE">
            <w:pPr>
              <w:autoSpaceDE w:val="0"/>
              <w:autoSpaceDN w:val="0"/>
              <w:adjustRightInd w:val="0"/>
              <w:rPr>
                <w:iCs/>
              </w:rPr>
            </w:pPr>
            <w:proofErr w:type="spellStart"/>
            <w:r>
              <w:rPr>
                <w:iCs/>
              </w:rPr>
              <w:t>Anafylaktoid</w:t>
            </w:r>
            <w:proofErr w:type="spellEnd"/>
            <w:r>
              <w:rPr>
                <w:iCs/>
              </w:rPr>
              <w:t xml:space="preserve"> reaktion</w:t>
            </w:r>
          </w:p>
          <w:p w:rsidR="002D431C" w:rsidRDefault="002D431C" w:rsidP="003B4BCE">
            <w:pPr>
              <w:autoSpaceDE w:val="0"/>
              <w:autoSpaceDN w:val="0"/>
              <w:adjustRightInd w:val="0"/>
              <w:rPr>
                <w:iCs/>
              </w:rPr>
            </w:pPr>
            <w:proofErr w:type="spellStart"/>
            <w:r>
              <w:rPr>
                <w:iCs/>
              </w:rPr>
              <w:t>Kutan</w:t>
            </w:r>
            <w:proofErr w:type="spellEnd"/>
            <w:r>
              <w:rPr>
                <w:iCs/>
              </w:rPr>
              <w:t xml:space="preserve"> </w:t>
            </w:r>
            <w:proofErr w:type="spellStart"/>
            <w:r>
              <w:rPr>
                <w:iCs/>
              </w:rPr>
              <w:t>vaskulitis</w:t>
            </w:r>
            <w:proofErr w:type="spellEnd"/>
            <w:r>
              <w:rPr>
                <w:iCs/>
              </w:rPr>
              <w:t xml:space="preserve"> (inklusive enkelte rapporteringer om </w:t>
            </w:r>
            <w:proofErr w:type="spellStart"/>
            <w:r>
              <w:rPr>
                <w:iCs/>
              </w:rPr>
              <w:t>Schönlein-Henoch</w:t>
            </w:r>
            <w:proofErr w:type="spellEnd"/>
            <w:r>
              <w:rPr>
                <w:iCs/>
              </w:rPr>
              <w:t xml:space="preserve"> </w:t>
            </w:r>
            <w:proofErr w:type="spellStart"/>
            <w:proofErr w:type="gramStart"/>
            <w:r>
              <w:rPr>
                <w:iCs/>
              </w:rPr>
              <w:t>purpura</w:t>
            </w:r>
            <w:proofErr w:type="spellEnd"/>
            <w:r>
              <w:rPr>
                <w:iCs/>
              </w:rPr>
              <w:t>)*</w:t>
            </w:r>
            <w:proofErr w:type="gramEnd"/>
            <w:r>
              <w:rPr>
                <w:iCs/>
              </w:rPr>
              <w:t>*</w:t>
            </w:r>
          </w:p>
        </w:tc>
      </w:tr>
      <w:tr w:rsidR="002D431C" w:rsidTr="003B4BCE">
        <w:trPr>
          <w:trHeight w:val="2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Meget sjælden</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Stevens-Johnsons syndrom</w:t>
            </w:r>
          </w:p>
          <w:p w:rsidR="002D431C" w:rsidRDefault="002D431C" w:rsidP="003B4BCE">
            <w:pPr>
              <w:autoSpaceDE w:val="0"/>
              <w:autoSpaceDN w:val="0"/>
              <w:adjustRightInd w:val="0"/>
              <w:rPr>
                <w:iCs/>
              </w:rPr>
            </w:pPr>
            <w:proofErr w:type="spellStart"/>
            <w:r>
              <w:rPr>
                <w:iCs/>
              </w:rPr>
              <w:t>Angioødem</w:t>
            </w:r>
            <w:proofErr w:type="spellEnd"/>
          </w:p>
        </w:tc>
      </w:tr>
      <w:tr w:rsidR="002D431C" w:rsidTr="003B4BCE">
        <w:trPr>
          <w:trHeight w:val="326"/>
        </w:trPr>
        <w:tc>
          <w:tcPr>
            <w:tcW w:w="1695" w:type="pct"/>
            <w:vMerge w:val="restar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Knogler, led, muskler og bindevæv</w:t>
            </w: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Meget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Ledsmerter/stivhed</w:t>
            </w:r>
          </w:p>
          <w:p w:rsidR="002D431C" w:rsidRDefault="002D431C" w:rsidP="003B4BCE">
            <w:pPr>
              <w:autoSpaceDE w:val="0"/>
              <w:autoSpaceDN w:val="0"/>
              <w:adjustRightInd w:val="0"/>
              <w:rPr>
                <w:iCs/>
              </w:rPr>
            </w:pPr>
            <w:proofErr w:type="spellStart"/>
            <w:r>
              <w:rPr>
                <w:iCs/>
              </w:rPr>
              <w:t>Artrit</w:t>
            </w:r>
            <w:proofErr w:type="spellEnd"/>
          </w:p>
          <w:p w:rsidR="002D431C" w:rsidRDefault="002D431C" w:rsidP="003B4BCE">
            <w:pPr>
              <w:autoSpaceDE w:val="0"/>
              <w:autoSpaceDN w:val="0"/>
              <w:adjustRightInd w:val="0"/>
              <w:rPr>
                <w:iCs/>
              </w:rPr>
            </w:pPr>
            <w:r>
              <w:rPr>
                <w:iCs/>
              </w:rPr>
              <w:t>Osteoporose</w:t>
            </w:r>
          </w:p>
        </w:tc>
      </w:tr>
      <w:tr w:rsidR="002D431C" w:rsidTr="003B4BCE">
        <w:trPr>
          <w:trHeight w:val="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Knoglesmerter</w:t>
            </w:r>
          </w:p>
          <w:p w:rsidR="002D431C" w:rsidRDefault="002D431C" w:rsidP="003B4BCE">
            <w:pPr>
              <w:autoSpaceDE w:val="0"/>
              <w:autoSpaceDN w:val="0"/>
              <w:adjustRightInd w:val="0"/>
              <w:rPr>
                <w:iCs/>
              </w:rPr>
            </w:pPr>
            <w:r>
              <w:rPr>
                <w:szCs w:val="22"/>
              </w:rPr>
              <w:t>Myalgi</w:t>
            </w:r>
          </w:p>
        </w:tc>
      </w:tr>
      <w:tr w:rsidR="002D431C" w:rsidTr="003B4BCE">
        <w:trPr>
          <w:trHeight w:val="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431C" w:rsidRDefault="002D431C" w:rsidP="003B4BCE">
            <w:pPr>
              <w:rPr>
                <w:iCs/>
                <w:sz w:val="24"/>
              </w:rPr>
            </w:pP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Ikke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Springfinger</w:t>
            </w:r>
          </w:p>
        </w:tc>
      </w:tr>
      <w:tr w:rsidR="002D431C" w:rsidTr="003B4BCE">
        <w:trPr>
          <w:trHeight w:val="217"/>
        </w:trPr>
        <w:tc>
          <w:tcPr>
            <w:tcW w:w="169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Det reproduktive system og mammae</w:t>
            </w: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Vaginal tørhed</w:t>
            </w:r>
          </w:p>
          <w:p w:rsidR="002D431C" w:rsidRDefault="002D431C" w:rsidP="003B4BCE">
            <w:pPr>
              <w:autoSpaceDE w:val="0"/>
              <w:autoSpaceDN w:val="0"/>
              <w:adjustRightInd w:val="0"/>
              <w:rPr>
                <w:iCs/>
              </w:rPr>
            </w:pPr>
            <w:r>
              <w:rPr>
                <w:iCs/>
              </w:rPr>
              <w:t>Vaginalblødning***</w:t>
            </w:r>
          </w:p>
        </w:tc>
      </w:tr>
      <w:tr w:rsidR="002D431C" w:rsidTr="003B4BCE">
        <w:trPr>
          <w:trHeight w:val="217"/>
        </w:trPr>
        <w:tc>
          <w:tcPr>
            <w:tcW w:w="169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Almene symptomer og reaktioner på administrationsstedet</w:t>
            </w:r>
          </w:p>
        </w:tc>
        <w:tc>
          <w:tcPr>
            <w:tcW w:w="1090"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Meget almindelig</w:t>
            </w:r>
          </w:p>
        </w:tc>
        <w:tc>
          <w:tcPr>
            <w:tcW w:w="2215" w:type="pct"/>
            <w:tcBorders>
              <w:top w:val="single" w:sz="8" w:space="0" w:color="000000"/>
              <w:left w:val="single" w:sz="8" w:space="0" w:color="000000"/>
              <w:bottom w:val="single" w:sz="8" w:space="0" w:color="000000"/>
              <w:right w:val="single" w:sz="8" w:space="0" w:color="000000"/>
            </w:tcBorders>
            <w:hideMark/>
          </w:tcPr>
          <w:p w:rsidR="002D431C" w:rsidRDefault="002D431C" w:rsidP="003B4BCE">
            <w:pPr>
              <w:autoSpaceDE w:val="0"/>
              <w:autoSpaceDN w:val="0"/>
              <w:adjustRightInd w:val="0"/>
              <w:rPr>
                <w:iCs/>
              </w:rPr>
            </w:pPr>
            <w:r>
              <w:rPr>
                <w:iCs/>
              </w:rPr>
              <w:t>Asteni</w:t>
            </w:r>
          </w:p>
        </w:tc>
      </w:tr>
    </w:tbl>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sidRPr="00E11763">
        <w:rPr>
          <w:sz w:val="24"/>
          <w:szCs w:val="24"/>
        </w:rPr>
        <w:t>*</w:t>
      </w:r>
      <w:r w:rsidRPr="00E11763">
        <w:rPr>
          <w:sz w:val="24"/>
          <w:szCs w:val="24"/>
        </w:rPr>
        <w:tab/>
        <w:t xml:space="preserve">Karpaltunnelsyndrom er rapporteret hos flere patienter, som fik behandling med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i kliniske forsøg, end hos patienter, som blev behandlet med </w:t>
      </w:r>
      <w:proofErr w:type="spellStart"/>
      <w:r w:rsidRPr="00E11763">
        <w:rPr>
          <w:sz w:val="24"/>
          <w:szCs w:val="24"/>
        </w:rPr>
        <w:t>tamoxifen</w:t>
      </w:r>
      <w:proofErr w:type="spellEnd"/>
      <w:r w:rsidRPr="00E11763">
        <w:rPr>
          <w:sz w:val="24"/>
          <w:szCs w:val="24"/>
        </w:rPr>
        <w:t xml:space="preserve">. De fleste af disse hændelser forekom hos patienter med identificerbare risikofaktorer for udvikling af tilstanden. </w:t>
      </w:r>
    </w:p>
    <w:p w:rsidR="002D431C" w:rsidRPr="00E11763" w:rsidRDefault="002D431C" w:rsidP="002D431C">
      <w:pPr>
        <w:ind w:left="851" w:hanging="851"/>
        <w:rPr>
          <w:sz w:val="24"/>
          <w:szCs w:val="24"/>
        </w:rPr>
      </w:pPr>
      <w:r w:rsidRPr="00E11763">
        <w:rPr>
          <w:sz w:val="24"/>
          <w:szCs w:val="24"/>
        </w:rPr>
        <w:t>**</w:t>
      </w:r>
      <w:r w:rsidRPr="00E11763">
        <w:rPr>
          <w:sz w:val="24"/>
          <w:szCs w:val="24"/>
        </w:rPr>
        <w:tab/>
        <w:t xml:space="preserve">Da </w:t>
      </w:r>
      <w:proofErr w:type="spellStart"/>
      <w:r w:rsidRPr="00E11763">
        <w:rPr>
          <w:sz w:val="24"/>
          <w:szCs w:val="24"/>
        </w:rPr>
        <w:t>kutan</w:t>
      </w:r>
      <w:proofErr w:type="spellEnd"/>
      <w:r w:rsidRPr="00E11763">
        <w:rPr>
          <w:sz w:val="24"/>
          <w:szCs w:val="24"/>
        </w:rPr>
        <w:t xml:space="preserve"> </w:t>
      </w:r>
      <w:proofErr w:type="spellStart"/>
      <w:r w:rsidRPr="00E11763">
        <w:rPr>
          <w:sz w:val="24"/>
          <w:szCs w:val="24"/>
        </w:rPr>
        <w:t>vaskulitis</w:t>
      </w:r>
      <w:proofErr w:type="spellEnd"/>
      <w:r w:rsidRPr="00E11763">
        <w:rPr>
          <w:sz w:val="24"/>
          <w:szCs w:val="24"/>
        </w:rPr>
        <w:t xml:space="preserve"> og </w:t>
      </w:r>
      <w:proofErr w:type="spellStart"/>
      <w:r w:rsidRPr="00E11763">
        <w:rPr>
          <w:sz w:val="24"/>
          <w:szCs w:val="24"/>
        </w:rPr>
        <w:t>Schönlein-Henoch</w:t>
      </w:r>
      <w:proofErr w:type="spellEnd"/>
      <w:r w:rsidRPr="00E11763">
        <w:rPr>
          <w:sz w:val="24"/>
          <w:szCs w:val="24"/>
        </w:rPr>
        <w:t xml:space="preserve"> </w:t>
      </w:r>
      <w:proofErr w:type="spellStart"/>
      <w:r w:rsidRPr="00E11763">
        <w:rPr>
          <w:sz w:val="24"/>
          <w:szCs w:val="24"/>
        </w:rPr>
        <w:t>purpura</w:t>
      </w:r>
      <w:proofErr w:type="spellEnd"/>
      <w:r w:rsidRPr="00E11763">
        <w:rPr>
          <w:sz w:val="24"/>
          <w:szCs w:val="24"/>
        </w:rPr>
        <w:t xml:space="preserve"> ikke blev observeret i ATAC, kan frekvenskategorien for disse hændelser anses for at være </w:t>
      </w:r>
      <w:r>
        <w:rPr>
          <w:sz w:val="24"/>
          <w:szCs w:val="24"/>
        </w:rPr>
        <w:t>"</w:t>
      </w:r>
      <w:r w:rsidRPr="00E11763">
        <w:rPr>
          <w:sz w:val="24"/>
          <w:szCs w:val="24"/>
        </w:rPr>
        <w:t>Sjælden</w:t>
      </w:r>
      <w:r>
        <w:rPr>
          <w:sz w:val="24"/>
          <w:szCs w:val="24"/>
        </w:rPr>
        <w:t>"</w:t>
      </w:r>
      <w:r w:rsidRPr="00E11763">
        <w:rPr>
          <w:sz w:val="24"/>
          <w:szCs w:val="24"/>
        </w:rPr>
        <w:t xml:space="preserve"> (≥ 1/10.000 til &lt; 1/1.000) baseret på den værste værdi i punktestimatet. </w:t>
      </w:r>
    </w:p>
    <w:p w:rsidR="002D431C" w:rsidRPr="00E11763" w:rsidRDefault="002D431C" w:rsidP="002D431C">
      <w:pPr>
        <w:ind w:left="851" w:hanging="851"/>
        <w:rPr>
          <w:sz w:val="24"/>
          <w:szCs w:val="24"/>
        </w:rPr>
      </w:pPr>
      <w:r w:rsidRPr="00E11763">
        <w:rPr>
          <w:sz w:val="24"/>
          <w:szCs w:val="24"/>
        </w:rPr>
        <w:t>***</w:t>
      </w:r>
      <w:r w:rsidRPr="00E11763">
        <w:rPr>
          <w:sz w:val="24"/>
          <w:szCs w:val="24"/>
        </w:rPr>
        <w:tab/>
        <w:t xml:space="preserve">Vaginalblødning er almindeligt rapporteret, hovedsagelig hos patienter med fremskreden brystkræft i de første få uger efter at have skiftet fra den eksisterende hormonbehandling til behandling med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Hvis blødningen fortsætter, bør yderligere evaluering overvejes.</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 xml:space="preserve">Nedenstående tabel viser frekvensen - uanset kausalitet - af </w:t>
      </w:r>
      <w:proofErr w:type="spellStart"/>
      <w:r w:rsidRPr="00E11763">
        <w:rPr>
          <w:sz w:val="24"/>
          <w:szCs w:val="24"/>
        </w:rPr>
        <w:t>forudspecificerede</w:t>
      </w:r>
      <w:proofErr w:type="spellEnd"/>
      <w:r w:rsidRPr="00E11763">
        <w:rPr>
          <w:sz w:val="24"/>
          <w:szCs w:val="24"/>
        </w:rPr>
        <w:t xml:space="preserve"> utilsigtede hændelser i ATAC-forsøget efter en median opfølgning på 68 måneder, rapporteret hos patienter, som får forsøgsbehandling, og op til 14 dage efter ophør af forsøgsbehandling. </w:t>
      </w:r>
    </w:p>
    <w:p w:rsidR="002D431C" w:rsidRPr="00E11763" w:rsidRDefault="002D431C" w:rsidP="002D431C">
      <w:pPr>
        <w:ind w:left="851" w:hanging="851"/>
        <w:rPr>
          <w:sz w:val="24"/>
          <w:szCs w:val="24"/>
        </w:rPr>
      </w:pPr>
    </w:p>
    <w:p w:rsidR="002D431C" w:rsidRPr="00E11763" w:rsidRDefault="002D431C" w:rsidP="002D431C">
      <w:pPr>
        <w:ind w:left="851" w:hanging="851"/>
        <w:rPr>
          <w:iCs/>
          <w:sz w:val="24"/>
          <w:szCs w:val="24"/>
        </w:rPr>
      </w:pPr>
      <w:r w:rsidRPr="00E11763">
        <w:rPr>
          <w:b/>
          <w:bCs/>
          <w:iCs/>
          <w:sz w:val="24"/>
          <w:szCs w:val="24"/>
        </w:rPr>
        <w:t>Tabel 2</w:t>
      </w:r>
      <w:r w:rsidRPr="00E11763">
        <w:rPr>
          <w:b/>
          <w:bCs/>
          <w:iCs/>
          <w:sz w:val="24"/>
          <w:szCs w:val="24"/>
        </w:rPr>
        <w:tab/>
      </w:r>
      <w:r w:rsidRPr="00E11763">
        <w:rPr>
          <w:b/>
          <w:bCs/>
          <w:iCs/>
          <w:sz w:val="24"/>
          <w:szCs w:val="24"/>
        </w:rPr>
        <w:tab/>
      </w:r>
      <w:proofErr w:type="spellStart"/>
      <w:r w:rsidRPr="00E11763">
        <w:rPr>
          <w:b/>
          <w:bCs/>
          <w:iCs/>
          <w:sz w:val="24"/>
          <w:szCs w:val="24"/>
        </w:rPr>
        <w:t>Forudspecificerede</w:t>
      </w:r>
      <w:proofErr w:type="spellEnd"/>
      <w:r w:rsidRPr="00E11763">
        <w:rPr>
          <w:b/>
          <w:bCs/>
          <w:iCs/>
          <w:sz w:val="24"/>
          <w:szCs w:val="24"/>
        </w:rPr>
        <w:t xml:space="preserve"> utilsigtede hændelser i ATAC-forsøget</w:t>
      </w:r>
    </w:p>
    <w:tbl>
      <w:tblPr>
        <w:tblW w:w="5231"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10"/>
        <w:gridCol w:w="2626"/>
        <w:gridCol w:w="2626"/>
      </w:tblGrid>
      <w:tr w:rsidR="002D431C" w:rsidRPr="00E11763" w:rsidTr="003B4BCE">
        <w:trPr>
          <w:trHeight w:val="217"/>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b/>
                <w:bCs/>
                <w:iCs/>
                <w:sz w:val="24"/>
                <w:szCs w:val="24"/>
              </w:rPr>
            </w:pPr>
            <w:r w:rsidRPr="00E11763">
              <w:rPr>
                <w:b/>
                <w:bCs/>
                <w:iCs/>
                <w:sz w:val="24"/>
                <w:szCs w:val="24"/>
              </w:rPr>
              <w:t xml:space="preserve">Utilsigtede hændelser </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b/>
                <w:bCs/>
                <w:iCs/>
                <w:sz w:val="24"/>
                <w:szCs w:val="24"/>
              </w:rPr>
            </w:pPr>
            <w:proofErr w:type="spellStart"/>
            <w:r w:rsidRPr="00E11763">
              <w:rPr>
                <w:b/>
                <w:bCs/>
                <w:iCs/>
                <w:sz w:val="24"/>
                <w:szCs w:val="24"/>
              </w:rPr>
              <w:t>Anastrozol</w:t>
            </w:r>
            <w:proofErr w:type="spellEnd"/>
          </w:p>
          <w:p w:rsidR="002D431C" w:rsidRPr="00E11763" w:rsidRDefault="002D431C" w:rsidP="003B4BCE">
            <w:pPr>
              <w:rPr>
                <w:sz w:val="24"/>
                <w:szCs w:val="24"/>
              </w:rPr>
            </w:pPr>
            <w:r w:rsidRPr="00E11763">
              <w:rPr>
                <w:b/>
                <w:bCs/>
                <w:iCs/>
                <w:sz w:val="24"/>
                <w:szCs w:val="24"/>
              </w:rPr>
              <w:t>(N=3.092)</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b/>
                <w:bCs/>
                <w:iCs/>
                <w:sz w:val="24"/>
                <w:szCs w:val="24"/>
              </w:rPr>
            </w:pPr>
            <w:proofErr w:type="spellStart"/>
            <w:r w:rsidRPr="00E11763">
              <w:rPr>
                <w:b/>
                <w:bCs/>
                <w:iCs/>
                <w:sz w:val="24"/>
                <w:szCs w:val="24"/>
              </w:rPr>
              <w:t>Tamoxifen</w:t>
            </w:r>
            <w:proofErr w:type="spellEnd"/>
          </w:p>
          <w:p w:rsidR="002D431C" w:rsidRPr="00E11763" w:rsidRDefault="002D431C" w:rsidP="003B4BCE">
            <w:pPr>
              <w:rPr>
                <w:sz w:val="24"/>
                <w:szCs w:val="24"/>
              </w:rPr>
            </w:pPr>
            <w:r w:rsidRPr="00E11763">
              <w:rPr>
                <w:b/>
                <w:bCs/>
                <w:iCs/>
                <w:sz w:val="24"/>
                <w:szCs w:val="24"/>
              </w:rPr>
              <w:t>(N=3.094)</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Hedeture</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1.104 (35,7%)</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1.264 (40,9%)</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Ledsmerter/stivhed</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1.100 (35,6%)</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911 (29,4%)</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Humørsvingninger</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 xml:space="preserve">597 </w:t>
            </w:r>
            <w:r w:rsidRPr="00E11763">
              <w:rPr>
                <w:iCs/>
                <w:sz w:val="24"/>
                <w:szCs w:val="24"/>
              </w:rPr>
              <w:t>(19,3%)</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554 (17,9%)</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Træthed/asteni</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575</w:t>
            </w:r>
            <w:r w:rsidRPr="00E11763">
              <w:rPr>
                <w:iCs/>
                <w:sz w:val="24"/>
                <w:szCs w:val="24"/>
              </w:rPr>
              <w:t xml:space="preserve"> (18,6%)</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544 (17,6%)</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Kvalme og opkastning</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393</w:t>
            </w:r>
            <w:r w:rsidRPr="00E11763">
              <w:rPr>
                <w:iCs/>
                <w:sz w:val="24"/>
                <w:szCs w:val="24"/>
              </w:rPr>
              <w:t xml:space="preserve"> (12,7%)</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384 (12,4%)</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Frakturer</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315</w:t>
            </w:r>
            <w:r w:rsidRPr="00E11763">
              <w:rPr>
                <w:iCs/>
                <w:sz w:val="24"/>
                <w:szCs w:val="24"/>
              </w:rPr>
              <w:t xml:space="preserve"> (10,2%)</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209 (6,8%)</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Frakturer i rygrad, hofte eller håndled/</w:t>
            </w:r>
            <w:proofErr w:type="spellStart"/>
            <w:r w:rsidRPr="00E11763">
              <w:rPr>
                <w:iCs/>
                <w:sz w:val="24"/>
                <w:szCs w:val="24"/>
              </w:rPr>
              <w:t>Colles</w:t>
            </w:r>
            <w:proofErr w:type="spellEnd"/>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133</w:t>
            </w:r>
            <w:r w:rsidRPr="00E11763">
              <w:rPr>
                <w:iCs/>
                <w:sz w:val="24"/>
                <w:szCs w:val="24"/>
              </w:rPr>
              <w:t xml:space="preserve"> (4,3%)</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91 (2,9%)</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Frakturer i håndled/</w:t>
            </w:r>
            <w:proofErr w:type="spellStart"/>
            <w:r w:rsidRPr="00E11763">
              <w:rPr>
                <w:iCs/>
                <w:sz w:val="24"/>
                <w:szCs w:val="24"/>
              </w:rPr>
              <w:t>Colles</w:t>
            </w:r>
            <w:proofErr w:type="spellEnd"/>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67 (2,2%)</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50</w:t>
            </w:r>
            <w:r w:rsidRPr="00E11763">
              <w:rPr>
                <w:iCs/>
                <w:sz w:val="24"/>
                <w:szCs w:val="24"/>
              </w:rPr>
              <w:t xml:space="preserve"> (1,6%)</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lastRenderedPageBreak/>
              <w:t>Frakturer i rygraden</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43 (1,4%)</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22</w:t>
            </w:r>
            <w:r w:rsidRPr="00E11763">
              <w:rPr>
                <w:iCs/>
                <w:sz w:val="24"/>
                <w:szCs w:val="24"/>
              </w:rPr>
              <w:t xml:space="preserve"> (0,7%)</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Frakturer i hoften</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28 (0,9%)</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26</w:t>
            </w:r>
            <w:r w:rsidRPr="00E11763">
              <w:rPr>
                <w:iCs/>
                <w:sz w:val="24"/>
                <w:szCs w:val="24"/>
              </w:rPr>
              <w:t xml:space="preserve"> (0,8%)</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Katarakt</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 xml:space="preserve">182 </w:t>
            </w:r>
            <w:r w:rsidRPr="00E11763">
              <w:rPr>
                <w:iCs/>
                <w:sz w:val="24"/>
                <w:szCs w:val="24"/>
              </w:rPr>
              <w:t>(5,9%)</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213</w:t>
            </w:r>
            <w:r w:rsidRPr="00E11763">
              <w:rPr>
                <w:iCs/>
                <w:sz w:val="24"/>
                <w:szCs w:val="24"/>
              </w:rPr>
              <w:t xml:space="preserve"> (6,9%)</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Vaginalblødning</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 xml:space="preserve">167 </w:t>
            </w:r>
            <w:r w:rsidRPr="00E11763">
              <w:rPr>
                <w:iCs/>
                <w:sz w:val="24"/>
                <w:szCs w:val="24"/>
              </w:rPr>
              <w:t>(5,4%)</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317</w:t>
            </w:r>
            <w:r w:rsidRPr="00E11763">
              <w:rPr>
                <w:iCs/>
                <w:sz w:val="24"/>
                <w:szCs w:val="24"/>
              </w:rPr>
              <w:t xml:space="preserve"> (10,2%)</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 xml:space="preserve">Iskæmisk </w:t>
            </w:r>
            <w:proofErr w:type="spellStart"/>
            <w:r w:rsidRPr="00E11763">
              <w:rPr>
                <w:iCs/>
                <w:sz w:val="24"/>
                <w:szCs w:val="24"/>
              </w:rPr>
              <w:t>hjerte-karsygdom</w:t>
            </w:r>
            <w:proofErr w:type="spellEnd"/>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 xml:space="preserve">127 </w:t>
            </w:r>
            <w:r w:rsidRPr="00E11763">
              <w:rPr>
                <w:iCs/>
                <w:sz w:val="24"/>
                <w:szCs w:val="24"/>
              </w:rPr>
              <w:t>(4,1%)</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104</w:t>
            </w:r>
            <w:r w:rsidRPr="00E11763">
              <w:rPr>
                <w:iCs/>
                <w:sz w:val="24"/>
                <w:szCs w:val="24"/>
              </w:rPr>
              <w:t xml:space="preserve"> (3,4%)</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Angina pectoris</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 xml:space="preserve">71 </w:t>
            </w:r>
            <w:r w:rsidRPr="00E11763">
              <w:rPr>
                <w:iCs/>
                <w:sz w:val="24"/>
                <w:szCs w:val="24"/>
              </w:rPr>
              <w:t>(2,3%)</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51</w:t>
            </w:r>
            <w:r w:rsidRPr="00E11763">
              <w:rPr>
                <w:iCs/>
                <w:sz w:val="24"/>
                <w:szCs w:val="24"/>
              </w:rPr>
              <w:t xml:space="preserve"> (1,6%)</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Myokardieinfarkt</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 xml:space="preserve">37 </w:t>
            </w:r>
            <w:r w:rsidRPr="00E11763">
              <w:rPr>
                <w:iCs/>
                <w:sz w:val="24"/>
                <w:szCs w:val="24"/>
              </w:rPr>
              <w:t>(1,2%)</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34 (1,1%)</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proofErr w:type="spellStart"/>
            <w:r w:rsidRPr="00E11763">
              <w:rPr>
                <w:iCs/>
                <w:sz w:val="24"/>
                <w:szCs w:val="24"/>
              </w:rPr>
              <w:t>Koronar</w:t>
            </w:r>
            <w:proofErr w:type="spellEnd"/>
            <w:r w:rsidRPr="00E11763">
              <w:rPr>
                <w:iCs/>
                <w:sz w:val="24"/>
                <w:szCs w:val="24"/>
              </w:rPr>
              <w:t xml:space="preserve"> hjertesygdom</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 xml:space="preserve">25 </w:t>
            </w:r>
            <w:r w:rsidRPr="00E11763">
              <w:rPr>
                <w:iCs/>
                <w:sz w:val="24"/>
                <w:szCs w:val="24"/>
              </w:rPr>
              <w:t>(0,8%)</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23 (0,7%)</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proofErr w:type="spellStart"/>
            <w:r w:rsidRPr="00E11763">
              <w:rPr>
                <w:iCs/>
                <w:sz w:val="24"/>
                <w:szCs w:val="24"/>
              </w:rPr>
              <w:t>Myokardieiskæmi</w:t>
            </w:r>
            <w:proofErr w:type="spellEnd"/>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iCs/>
                <w:sz w:val="24"/>
                <w:szCs w:val="24"/>
              </w:rPr>
              <w:t xml:space="preserve">22 </w:t>
            </w:r>
            <w:r w:rsidRPr="00E11763">
              <w:rPr>
                <w:iCs/>
                <w:sz w:val="24"/>
                <w:szCs w:val="24"/>
              </w:rPr>
              <w:t>(0,7%)</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iCs/>
                <w:sz w:val="24"/>
                <w:szCs w:val="24"/>
              </w:rPr>
              <w:t>14 (0,5%)</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Vaginalt udflåd</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sz w:val="24"/>
                <w:szCs w:val="24"/>
              </w:rPr>
              <w:t xml:space="preserve">109 </w:t>
            </w:r>
            <w:r w:rsidRPr="00E11763">
              <w:rPr>
                <w:sz w:val="24"/>
                <w:szCs w:val="24"/>
              </w:rPr>
              <w:t xml:space="preserve">(3,5%) </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sz w:val="24"/>
                <w:szCs w:val="24"/>
              </w:rPr>
              <w:t xml:space="preserve">408 (13,2%) </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 xml:space="preserve">Enhver venøs </w:t>
            </w:r>
            <w:proofErr w:type="spellStart"/>
            <w:r w:rsidRPr="00E11763">
              <w:rPr>
                <w:iCs/>
                <w:sz w:val="24"/>
                <w:szCs w:val="24"/>
              </w:rPr>
              <w:t>tromboembolisk</w:t>
            </w:r>
            <w:proofErr w:type="spellEnd"/>
            <w:r w:rsidRPr="00E11763">
              <w:rPr>
                <w:iCs/>
                <w:sz w:val="24"/>
                <w:szCs w:val="24"/>
              </w:rPr>
              <w:t xml:space="preserve"> hændelse</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sz w:val="24"/>
                <w:szCs w:val="24"/>
              </w:rPr>
              <w:t xml:space="preserve">87 </w:t>
            </w:r>
            <w:r w:rsidRPr="00E11763">
              <w:rPr>
                <w:sz w:val="24"/>
                <w:szCs w:val="24"/>
              </w:rPr>
              <w:t xml:space="preserve">(2,8%) </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sz w:val="24"/>
                <w:szCs w:val="24"/>
              </w:rPr>
              <w:t xml:space="preserve">140 (4,5%) </w:t>
            </w:r>
          </w:p>
        </w:tc>
      </w:tr>
      <w:tr w:rsidR="002D431C" w:rsidRPr="00E11763" w:rsidTr="003B4BCE">
        <w:trPr>
          <w:trHeight w:val="217"/>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 xml:space="preserve">Dyb venetrombose, inklusive </w:t>
            </w:r>
            <w:proofErr w:type="spellStart"/>
            <w:r w:rsidRPr="00E11763">
              <w:rPr>
                <w:iCs/>
                <w:sz w:val="24"/>
                <w:szCs w:val="24"/>
              </w:rPr>
              <w:t>lungeemboli</w:t>
            </w:r>
            <w:proofErr w:type="spellEnd"/>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sz w:val="24"/>
                <w:szCs w:val="24"/>
              </w:rPr>
              <w:t>48</w:t>
            </w:r>
            <w:r w:rsidRPr="00E11763">
              <w:rPr>
                <w:sz w:val="24"/>
                <w:szCs w:val="24"/>
              </w:rPr>
              <w:t xml:space="preserve"> (1,6%) </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sz w:val="24"/>
                <w:szCs w:val="24"/>
              </w:rPr>
              <w:t xml:space="preserve">74 </w:t>
            </w:r>
            <w:r w:rsidRPr="00E11763">
              <w:rPr>
                <w:sz w:val="24"/>
                <w:szCs w:val="24"/>
              </w:rPr>
              <w:t xml:space="preserve">(2,4%) </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r w:rsidRPr="00E11763">
              <w:rPr>
                <w:iCs/>
                <w:sz w:val="24"/>
                <w:szCs w:val="24"/>
              </w:rPr>
              <w:t xml:space="preserve">Iskæmiske, </w:t>
            </w:r>
            <w:proofErr w:type="spellStart"/>
            <w:r w:rsidRPr="00E11763">
              <w:rPr>
                <w:iCs/>
                <w:sz w:val="24"/>
                <w:szCs w:val="24"/>
              </w:rPr>
              <w:t>cerebrovaskulære</w:t>
            </w:r>
            <w:proofErr w:type="spellEnd"/>
            <w:r w:rsidRPr="00E11763">
              <w:rPr>
                <w:iCs/>
                <w:sz w:val="24"/>
                <w:szCs w:val="24"/>
              </w:rPr>
              <w:t xml:space="preserve"> hændelser</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sz w:val="24"/>
                <w:szCs w:val="24"/>
              </w:rPr>
              <w:t xml:space="preserve">62 (2,0%) </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sz w:val="24"/>
                <w:szCs w:val="24"/>
              </w:rPr>
              <w:t>88</w:t>
            </w:r>
            <w:r w:rsidRPr="00E11763">
              <w:rPr>
                <w:sz w:val="24"/>
                <w:szCs w:val="24"/>
              </w:rPr>
              <w:t xml:space="preserve"> (2,8%) </w:t>
            </w:r>
          </w:p>
        </w:tc>
      </w:tr>
      <w:tr w:rsidR="002D431C" w:rsidRPr="00E11763" w:rsidTr="003B4BCE">
        <w:trPr>
          <w:trHeight w:val="108"/>
        </w:trPr>
        <w:tc>
          <w:tcPr>
            <w:tcW w:w="2390"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iCs/>
                <w:sz w:val="24"/>
                <w:szCs w:val="24"/>
              </w:rPr>
            </w:pPr>
            <w:proofErr w:type="spellStart"/>
            <w:r w:rsidRPr="00E11763">
              <w:rPr>
                <w:iCs/>
                <w:sz w:val="24"/>
                <w:szCs w:val="24"/>
              </w:rPr>
              <w:t>Endometriecancer</w:t>
            </w:r>
            <w:proofErr w:type="spellEnd"/>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Pr>
                <w:sz w:val="24"/>
                <w:szCs w:val="24"/>
              </w:rPr>
              <w:t>4</w:t>
            </w:r>
            <w:r w:rsidRPr="00E11763">
              <w:rPr>
                <w:sz w:val="24"/>
                <w:szCs w:val="24"/>
              </w:rPr>
              <w:t xml:space="preserve"> (0,2%) </w:t>
            </w:r>
          </w:p>
        </w:tc>
        <w:tc>
          <w:tcPr>
            <w:tcW w:w="1305" w:type="pct"/>
            <w:tcBorders>
              <w:top w:val="single" w:sz="8" w:space="0" w:color="000000"/>
              <w:left w:val="single" w:sz="8" w:space="0" w:color="000000"/>
              <w:bottom w:val="single" w:sz="8" w:space="0" w:color="000000"/>
              <w:right w:val="single" w:sz="8" w:space="0" w:color="000000"/>
            </w:tcBorders>
            <w:hideMark/>
          </w:tcPr>
          <w:p w:rsidR="002D431C" w:rsidRPr="00E11763" w:rsidRDefault="002D431C" w:rsidP="003B4BCE">
            <w:pPr>
              <w:rPr>
                <w:sz w:val="24"/>
                <w:szCs w:val="24"/>
              </w:rPr>
            </w:pPr>
            <w:r w:rsidRPr="00E11763">
              <w:rPr>
                <w:sz w:val="24"/>
                <w:szCs w:val="24"/>
              </w:rPr>
              <w:t xml:space="preserve">13 (0,6%) </w:t>
            </w:r>
          </w:p>
        </w:tc>
      </w:tr>
    </w:tbl>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 xml:space="preserve">Frakturhyppigheder på 22 per 1.000 patient-år og 15 per 1.000 patient-år blev observeret for henholdsvis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 og </w:t>
      </w:r>
      <w:proofErr w:type="spellStart"/>
      <w:r w:rsidRPr="00E11763">
        <w:rPr>
          <w:sz w:val="24"/>
          <w:szCs w:val="24"/>
        </w:rPr>
        <w:t>tamoxifen</w:t>
      </w:r>
      <w:proofErr w:type="spellEnd"/>
      <w:r w:rsidRPr="00E11763">
        <w:rPr>
          <w:sz w:val="24"/>
          <w:szCs w:val="24"/>
        </w:rPr>
        <w:t xml:space="preserve">-gruppen efter en median opfølgning på 68 måneder. Den observerede frakturhyppighed for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ligger i det interval, der er rapporteret i aldersmatchede </w:t>
      </w:r>
      <w:proofErr w:type="spellStart"/>
      <w:r w:rsidRPr="00E11763">
        <w:rPr>
          <w:sz w:val="24"/>
          <w:szCs w:val="24"/>
        </w:rPr>
        <w:t>postmenopausale</w:t>
      </w:r>
      <w:proofErr w:type="spellEnd"/>
      <w:r w:rsidRPr="00E11763">
        <w:rPr>
          <w:sz w:val="24"/>
          <w:szCs w:val="24"/>
        </w:rPr>
        <w:t xml:space="preserve"> populationer. Forekomsten af osteoporose var 10,5 % hos patienter behandlet med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og 7,3 % hos patienter behandlet med </w:t>
      </w:r>
      <w:proofErr w:type="spellStart"/>
      <w:r w:rsidRPr="00E11763">
        <w:rPr>
          <w:sz w:val="24"/>
          <w:szCs w:val="24"/>
        </w:rPr>
        <w:t>tamoxifen</w:t>
      </w:r>
      <w:proofErr w:type="spellEnd"/>
      <w:r w:rsidRPr="00E11763">
        <w:rPr>
          <w:sz w:val="24"/>
          <w:szCs w:val="24"/>
        </w:rPr>
        <w:t xml:space="preserve">. </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 xml:space="preserve">Det er ikke fastslået, om hyppigheden af fraktur og osteoporose set i ATAC hos patienter i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behandling afspejler en beskyttende virkning af </w:t>
      </w:r>
      <w:proofErr w:type="spellStart"/>
      <w:r w:rsidRPr="00E11763">
        <w:rPr>
          <w:sz w:val="24"/>
          <w:szCs w:val="24"/>
        </w:rPr>
        <w:t>tamoxifen</w:t>
      </w:r>
      <w:proofErr w:type="spellEnd"/>
      <w:r w:rsidRPr="00E11763">
        <w:rPr>
          <w:sz w:val="24"/>
          <w:szCs w:val="24"/>
        </w:rPr>
        <w:t xml:space="preserve">, en specifik virkning af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eller begge dele.</w:t>
      </w:r>
    </w:p>
    <w:p w:rsidR="002D431C" w:rsidRPr="00721EEC" w:rsidRDefault="002D431C" w:rsidP="002D431C">
      <w:pPr>
        <w:pStyle w:val="Sidehoved"/>
        <w:tabs>
          <w:tab w:val="clear" w:pos="4819"/>
          <w:tab w:val="clear" w:pos="9638"/>
        </w:tabs>
        <w:ind w:left="851" w:hanging="851"/>
        <w:rPr>
          <w:szCs w:val="24"/>
        </w:rPr>
      </w:pPr>
    </w:p>
    <w:p w:rsidR="002D431C" w:rsidRPr="00721EEC" w:rsidRDefault="002D431C" w:rsidP="002D431C">
      <w:pPr>
        <w:autoSpaceDE w:val="0"/>
        <w:autoSpaceDN w:val="0"/>
        <w:adjustRightInd w:val="0"/>
        <w:ind w:left="851"/>
        <w:rPr>
          <w:sz w:val="24"/>
          <w:szCs w:val="24"/>
          <w:u w:val="single"/>
          <w:lang w:eastAsia="da-DK"/>
        </w:rPr>
      </w:pPr>
      <w:r w:rsidRPr="00721EEC">
        <w:rPr>
          <w:noProof/>
          <w:sz w:val="24"/>
          <w:szCs w:val="24"/>
          <w:u w:val="single"/>
        </w:rPr>
        <w:t>Indberetning af formodede bivirkninger</w:t>
      </w:r>
    </w:p>
    <w:p w:rsidR="00B147E6" w:rsidRDefault="002D431C" w:rsidP="002D431C">
      <w:pPr>
        <w:ind w:left="851"/>
        <w:rPr>
          <w:noProof/>
          <w:sz w:val="24"/>
          <w:szCs w:val="24"/>
        </w:rPr>
      </w:pPr>
      <w:r w:rsidRPr="00721EEC">
        <w:rPr>
          <w:noProof/>
          <w:sz w:val="24"/>
          <w:szCs w:val="24"/>
        </w:rPr>
        <w:t>Når lægemidlet er godkendt, er indberetning af formodede bivirkninger vigtig.</w:t>
      </w:r>
      <w:r w:rsidRPr="00721EEC">
        <w:rPr>
          <w:sz w:val="24"/>
          <w:szCs w:val="24"/>
        </w:rPr>
        <w:t xml:space="preserve"> </w:t>
      </w:r>
      <w:r w:rsidRPr="00721EEC">
        <w:rPr>
          <w:noProof/>
          <w:sz w:val="24"/>
          <w:szCs w:val="24"/>
        </w:rPr>
        <w:t>Det muliggør løbende overvågning af benefit/risk-forholdet for lægemidlet.</w:t>
      </w:r>
      <w:r w:rsidRPr="00721EEC">
        <w:rPr>
          <w:sz w:val="24"/>
          <w:szCs w:val="24"/>
        </w:rPr>
        <w:t xml:space="preserve"> </w:t>
      </w:r>
      <w:r w:rsidR="00B147E6">
        <w:rPr>
          <w:sz w:val="24"/>
          <w:szCs w:val="24"/>
        </w:rPr>
        <w:t>S</w:t>
      </w:r>
      <w:r w:rsidRPr="00721EEC">
        <w:rPr>
          <w:noProof/>
          <w:sz w:val="24"/>
          <w:szCs w:val="24"/>
        </w:rPr>
        <w:t>undhedsperson</w:t>
      </w:r>
      <w:r w:rsidR="00B147E6">
        <w:rPr>
          <w:noProof/>
          <w:sz w:val="24"/>
          <w:szCs w:val="24"/>
        </w:rPr>
        <w:t>er</w:t>
      </w:r>
      <w:r w:rsidRPr="00721EEC">
        <w:rPr>
          <w:noProof/>
          <w:sz w:val="24"/>
          <w:szCs w:val="24"/>
        </w:rPr>
        <w:t xml:space="preserve"> anmodes om at indberette alle formodede bivirkninger via</w:t>
      </w:r>
      <w:r w:rsidR="00B147E6">
        <w:rPr>
          <w:noProof/>
          <w:sz w:val="24"/>
          <w:szCs w:val="24"/>
        </w:rPr>
        <w:t>:</w:t>
      </w:r>
    </w:p>
    <w:p w:rsidR="009B4B92" w:rsidRDefault="009B4B92" w:rsidP="002D431C">
      <w:pPr>
        <w:ind w:left="851"/>
        <w:rPr>
          <w:rFonts w:eastAsia="Calibri"/>
          <w:color w:val="000000"/>
          <w:sz w:val="24"/>
          <w:szCs w:val="24"/>
          <w:lang w:eastAsia="zh-CN"/>
        </w:rPr>
      </w:pPr>
    </w:p>
    <w:p w:rsidR="002D431C" w:rsidRPr="00721EEC" w:rsidRDefault="002D431C" w:rsidP="002D431C">
      <w:pPr>
        <w:ind w:left="851"/>
        <w:rPr>
          <w:rFonts w:eastAsia="Calibri"/>
          <w:color w:val="000000"/>
          <w:sz w:val="24"/>
          <w:szCs w:val="24"/>
          <w:lang w:eastAsia="zh-CN"/>
        </w:rPr>
      </w:pPr>
      <w:r w:rsidRPr="00721EEC">
        <w:rPr>
          <w:rFonts w:eastAsia="Calibri"/>
          <w:color w:val="000000"/>
          <w:sz w:val="24"/>
          <w:szCs w:val="24"/>
          <w:lang w:eastAsia="zh-CN"/>
        </w:rPr>
        <w:t>Lægemiddelstyrelsen</w:t>
      </w:r>
    </w:p>
    <w:p w:rsidR="002D431C" w:rsidRPr="00721EEC" w:rsidRDefault="002D431C" w:rsidP="002D431C">
      <w:pPr>
        <w:ind w:left="851"/>
        <w:rPr>
          <w:rFonts w:eastAsia="Calibri"/>
          <w:noProof/>
          <w:sz w:val="24"/>
          <w:szCs w:val="24"/>
          <w:lang w:val="de-DE" w:eastAsia="zh-CN"/>
        </w:rPr>
      </w:pPr>
      <w:r w:rsidRPr="00721EEC">
        <w:rPr>
          <w:rFonts w:eastAsia="Calibri"/>
          <w:sz w:val="24"/>
          <w:szCs w:val="24"/>
          <w:lang w:val="de-DE" w:eastAsia="zh-CN"/>
        </w:rPr>
        <w:t xml:space="preserve">Axel Heides </w:t>
      </w:r>
      <w:proofErr w:type="spellStart"/>
      <w:r w:rsidRPr="00721EEC">
        <w:rPr>
          <w:rFonts w:eastAsia="Calibri"/>
          <w:sz w:val="24"/>
          <w:szCs w:val="24"/>
          <w:lang w:val="de-DE" w:eastAsia="zh-CN"/>
        </w:rPr>
        <w:t>Gade</w:t>
      </w:r>
      <w:proofErr w:type="spellEnd"/>
      <w:r w:rsidRPr="00721EEC">
        <w:rPr>
          <w:rFonts w:eastAsia="Calibri"/>
          <w:sz w:val="24"/>
          <w:szCs w:val="24"/>
          <w:lang w:val="de-DE" w:eastAsia="zh-CN"/>
        </w:rPr>
        <w:t xml:space="preserve"> 1</w:t>
      </w:r>
    </w:p>
    <w:p w:rsidR="002D431C" w:rsidRPr="00721EEC" w:rsidRDefault="002D431C" w:rsidP="002D431C">
      <w:pPr>
        <w:ind w:left="851"/>
        <w:rPr>
          <w:rFonts w:eastAsia="Calibri"/>
          <w:noProof/>
          <w:sz w:val="24"/>
          <w:szCs w:val="24"/>
          <w:lang w:eastAsia="zh-CN"/>
        </w:rPr>
      </w:pPr>
      <w:r w:rsidRPr="00721EEC">
        <w:rPr>
          <w:rFonts w:eastAsia="Calibri"/>
          <w:noProof/>
          <w:sz w:val="24"/>
          <w:szCs w:val="24"/>
          <w:lang w:eastAsia="zh-CN"/>
        </w:rPr>
        <w:t xml:space="preserve">DK-2300 </w:t>
      </w:r>
      <w:r w:rsidRPr="00721EEC">
        <w:rPr>
          <w:rFonts w:eastAsia="Calibri"/>
          <w:sz w:val="24"/>
          <w:szCs w:val="24"/>
          <w:lang w:eastAsia="zh-CN"/>
        </w:rPr>
        <w:t>København S</w:t>
      </w:r>
    </w:p>
    <w:p w:rsidR="002D431C" w:rsidRPr="0096109B" w:rsidRDefault="002D431C" w:rsidP="00B147E6">
      <w:pPr>
        <w:tabs>
          <w:tab w:val="left" w:pos="-720"/>
        </w:tabs>
        <w:suppressAutoHyphens/>
        <w:ind w:left="851"/>
        <w:rPr>
          <w:rFonts w:eastAsia="Calibri"/>
          <w:noProof/>
          <w:sz w:val="24"/>
          <w:szCs w:val="24"/>
          <w:lang w:eastAsia="zh-CN"/>
        </w:rPr>
      </w:pPr>
      <w:r w:rsidRPr="0096109B">
        <w:rPr>
          <w:rFonts w:eastAsia="Calibri"/>
          <w:sz w:val="24"/>
          <w:szCs w:val="24"/>
          <w:lang w:eastAsia="zh-CN"/>
        </w:rPr>
        <w:t>Websted</w:t>
      </w:r>
      <w:r w:rsidRPr="0096109B">
        <w:rPr>
          <w:rFonts w:eastAsia="Calibri"/>
          <w:noProof/>
          <w:sz w:val="24"/>
          <w:szCs w:val="24"/>
          <w:lang w:eastAsia="zh-CN"/>
        </w:rPr>
        <w:t xml:space="preserve">: </w:t>
      </w:r>
      <w:hyperlink r:id="rId8" w:history="1">
        <w:r w:rsidRPr="0096109B">
          <w:rPr>
            <w:rStyle w:val="Hyperlink"/>
            <w:rFonts w:eastAsia="Calibri"/>
            <w:noProof/>
            <w:sz w:val="24"/>
            <w:szCs w:val="24"/>
            <w:lang w:eastAsia="zh-CN"/>
          </w:rPr>
          <w:t>www.meldenbivirkning.dk</w:t>
        </w:r>
      </w:hyperlink>
    </w:p>
    <w:p w:rsidR="002D431C" w:rsidRPr="0096109B" w:rsidRDefault="002D431C" w:rsidP="002D431C">
      <w:pPr>
        <w:pStyle w:val="Sidehoved"/>
        <w:tabs>
          <w:tab w:val="clear" w:pos="4819"/>
          <w:tab w:val="clear" w:pos="9638"/>
        </w:tabs>
        <w:ind w:left="851" w:hanging="851"/>
        <w:rPr>
          <w:szCs w:val="24"/>
        </w:rPr>
      </w:pPr>
    </w:p>
    <w:p w:rsidR="002D431C" w:rsidRPr="00E11763" w:rsidRDefault="002D431C" w:rsidP="002D431C">
      <w:pPr>
        <w:ind w:left="851" w:hanging="851"/>
        <w:rPr>
          <w:b/>
          <w:sz w:val="24"/>
          <w:szCs w:val="24"/>
        </w:rPr>
      </w:pPr>
      <w:r w:rsidRPr="00E11763">
        <w:rPr>
          <w:b/>
          <w:sz w:val="24"/>
          <w:szCs w:val="24"/>
        </w:rPr>
        <w:t>4.9</w:t>
      </w:r>
      <w:r w:rsidRPr="00E11763">
        <w:rPr>
          <w:b/>
          <w:sz w:val="24"/>
          <w:szCs w:val="24"/>
        </w:rPr>
        <w:tab/>
        <w:t>Overdosering</w:t>
      </w:r>
    </w:p>
    <w:p w:rsidR="002D431C" w:rsidRPr="00E11763" w:rsidRDefault="002D431C" w:rsidP="002D431C">
      <w:pPr>
        <w:ind w:left="851" w:hanging="851"/>
        <w:rPr>
          <w:sz w:val="24"/>
          <w:szCs w:val="24"/>
        </w:rPr>
      </w:pPr>
      <w:r w:rsidRPr="00E11763">
        <w:rPr>
          <w:sz w:val="24"/>
          <w:szCs w:val="24"/>
        </w:rPr>
        <w:tab/>
        <w:t xml:space="preserve">Der er begrænset klinisk erfaring med overdosering. I dyreforsøg udviste </w:t>
      </w:r>
      <w:proofErr w:type="spellStart"/>
      <w:r w:rsidRPr="00E11763">
        <w:rPr>
          <w:sz w:val="24"/>
          <w:szCs w:val="24"/>
        </w:rPr>
        <w:t>anastrozol</w:t>
      </w:r>
      <w:proofErr w:type="spellEnd"/>
      <w:r w:rsidRPr="00E11763">
        <w:rPr>
          <w:sz w:val="24"/>
          <w:szCs w:val="24"/>
        </w:rPr>
        <w:t xml:space="preserve"> lav akut toksicitet. Der er blevet udført kliniske forsøg med forskellige doser af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hvor op til 60 mg i en enkelt dosis blev givet til raske frivillige mænd, og op til 10 mg </w:t>
      </w:r>
      <w:r>
        <w:rPr>
          <w:sz w:val="24"/>
          <w:szCs w:val="24"/>
        </w:rPr>
        <w:t>daglig</w:t>
      </w:r>
      <w:r w:rsidRPr="00E11763">
        <w:rPr>
          <w:sz w:val="24"/>
          <w:szCs w:val="24"/>
        </w:rPr>
        <w:t xml:space="preserve"> blev givet til </w:t>
      </w:r>
      <w:proofErr w:type="spellStart"/>
      <w:r w:rsidRPr="00E11763">
        <w:rPr>
          <w:sz w:val="24"/>
          <w:szCs w:val="24"/>
        </w:rPr>
        <w:t>postmenopausale</w:t>
      </w:r>
      <w:proofErr w:type="spellEnd"/>
      <w:r w:rsidRPr="00E11763">
        <w:rPr>
          <w:sz w:val="24"/>
          <w:szCs w:val="24"/>
        </w:rPr>
        <w:t xml:space="preserve"> kvinder med fremskreden brystkræft. Disse doser var veltolererede. Der er ikke fundet en enkeltdosis </w:t>
      </w:r>
      <w:proofErr w:type="spellStart"/>
      <w:r w:rsidRPr="00E11763">
        <w:rPr>
          <w:bCs/>
          <w:sz w:val="24"/>
          <w:szCs w:val="24"/>
        </w:rPr>
        <w:t>Anastrozol</w:t>
      </w:r>
      <w:proofErr w:type="spellEnd"/>
      <w:r w:rsidRPr="00E11763">
        <w:rPr>
          <w:bCs/>
          <w:sz w:val="24"/>
          <w:szCs w:val="24"/>
        </w:rPr>
        <w:t xml:space="preserve"> </w:t>
      </w:r>
      <w:r>
        <w:rPr>
          <w:bCs/>
          <w:sz w:val="24"/>
          <w:szCs w:val="24"/>
        </w:rPr>
        <w:t>"Medical Valley"</w:t>
      </w:r>
      <w:r w:rsidRPr="00E11763">
        <w:rPr>
          <w:sz w:val="24"/>
          <w:szCs w:val="24"/>
        </w:rPr>
        <w:t xml:space="preserve">, der har resulteret i livstruende symptomer. Der findes ingen specifik </w:t>
      </w:r>
      <w:proofErr w:type="spellStart"/>
      <w:r w:rsidRPr="00E11763">
        <w:rPr>
          <w:sz w:val="24"/>
          <w:szCs w:val="24"/>
        </w:rPr>
        <w:t>antidot</w:t>
      </w:r>
      <w:proofErr w:type="spellEnd"/>
      <w:r w:rsidRPr="00E11763">
        <w:rPr>
          <w:sz w:val="24"/>
          <w:szCs w:val="24"/>
        </w:rPr>
        <w:t xml:space="preserve"> ved overdosering, og behandlingen skal være symptomatisk.</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 xml:space="preserve">Ved behandling af en overdosis skal man overveje den mulighed, at patienten kan have taget flere stoffer. Opkastning kan fremkaldes, hvis patienten er ved bevidsthed. Dialyse kan være hensigtsmæssig, fordi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ikke er proteinbundet i udtalt grad. Generel støttebehandling, herunder hyppig monitorering af vitale tegn og nøje observation af patienten, er indiceret.</w:t>
      </w:r>
    </w:p>
    <w:p w:rsidR="002D431C" w:rsidRDefault="002D431C" w:rsidP="002D431C">
      <w:pPr>
        <w:ind w:left="851" w:hanging="851"/>
        <w:rPr>
          <w:sz w:val="24"/>
          <w:szCs w:val="24"/>
        </w:rPr>
      </w:pPr>
    </w:p>
    <w:p w:rsidR="00B147E6" w:rsidRPr="00E11763" w:rsidRDefault="00B147E6"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4.10</w:t>
      </w:r>
      <w:r w:rsidRPr="00E11763">
        <w:rPr>
          <w:b/>
          <w:sz w:val="24"/>
          <w:szCs w:val="24"/>
        </w:rPr>
        <w:tab/>
        <w:t>Udlevering</w:t>
      </w:r>
    </w:p>
    <w:p w:rsidR="002D431C" w:rsidRPr="00E11763" w:rsidRDefault="002D431C" w:rsidP="002D431C">
      <w:pPr>
        <w:ind w:left="851" w:hanging="851"/>
        <w:rPr>
          <w:sz w:val="24"/>
          <w:szCs w:val="24"/>
        </w:rPr>
      </w:pPr>
      <w:r w:rsidRPr="00E11763">
        <w:rPr>
          <w:sz w:val="24"/>
          <w:szCs w:val="24"/>
        </w:rPr>
        <w:tab/>
      </w:r>
      <w:r>
        <w:rPr>
          <w:sz w:val="24"/>
          <w:szCs w:val="24"/>
        </w:rPr>
        <w:t>B</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5.</w:t>
      </w:r>
      <w:r w:rsidRPr="00E11763">
        <w:rPr>
          <w:b/>
          <w:sz w:val="24"/>
          <w:szCs w:val="24"/>
        </w:rPr>
        <w:tab/>
        <w:t>FARMAKOLOGISKE EGENSKABER</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5.0</w:t>
      </w:r>
      <w:r w:rsidRPr="00E11763">
        <w:rPr>
          <w:b/>
          <w:sz w:val="24"/>
          <w:szCs w:val="24"/>
        </w:rPr>
        <w:tab/>
        <w:t>Terapeutisk klassifikation</w:t>
      </w:r>
    </w:p>
    <w:p w:rsidR="002D431C" w:rsidRPr="00E11763" w:rsidRDefault="002D431C" w:rsidP="002D431C">
      <w:pPr>
        <w:ind w:left="851" w:hanging="851"/>
        <w:rPr>
          <w:sz w:val="24"/>
          <w:szCs w:val="24"/>
        </w:rPr>
      </w:pPr>
      <w:r w:rsidRPr="00E11763">
        <w:rPr>
          <w:sz w:val="24"/>
          <w:szCs w:val="24"/>
        </w:rPr>
        <w:tab/>
        <w:t>ATC-</w:t>
      </w:r>
      <w:r>
        <w:rPr>
          <w:sz w:val="24"/>
          <w:szCs w:val="24"/>
        </w:rPr>
        <w:t>k</w:t>
      </w:r>
      <w:r w:rsidRPr="00E11763">
        <w:rPr>
          <w:sz w:val="24"/>
          <w:szCs w:val="24"/>
        </w:rPr>
        <w:t>ode: L</w:t>
      </w:r>
      <w:r>
        <w:rPr>
          <w:sz w:val="24"/>
          <w:szCs w:val="24"/>
        </w:rPr>
        <w:t xml:space="preserve"> </w:t>
      </w:r>
      <w:r w:rsidRPr="00E11763">
        <w:rPr>
          <w:sz w:val="24"/>
          <w:szCs w:val="24"/>
        </w:rPr>
        <w:t>02</w:t>
      </w:r>
      <w:r>
        <w:rPr>
          <w:sz w:val="24"/>
          <w:szCs w:val="24"/>
        </w:rPr>
        <w:t xml:space="preserve"> </w:t>
      </w:r>
      <w:r w:rsidRPr="00E11763">
        <w:rPr>
          <w:sz w:val="24"/>
          <w:szCs w:val="24"/>
        </w:rPr>
        <w:t>BG</w:t>
      </w:r>
      <w:r>
        <w:rPr>
          <w:sz w:val="24"/>
          <w:szCs w:val="24"/>
        </w:rPr>
        <w:t xml:space="preserve"> </w:t>
      </w:r>
      <w:r w:rsidRPr="00E11763">
        <w:rPr>
          <w:sz w:val="24"/>
          <w:szCs w:val="24"/>
        </w:rPr>
        <w:t>03</w:t>
      </w:r>
      <w:r>
        <w:rPr>
          <w:sz w:val="24"/>
          <w:szCs w:val="24"/>
        </w:rPr>
        <w:t>.</w:t>
      </w:r>
      <w:r w:rsidRPr="00E11763">
        <w:rPr>
          <w:sz w:val="24"/>
          <w:szCs w:val="24"/>
        </w:rPr>
        <w:t xml:space="preserve"> </w:t>
      </w:r>
      <w:proofErr w:type="spellStart"/>
      <w:r w:rsidRPr="00E11763">
        <w:rPr>
          <w:sz w:val="24"/>
          <w:szCs w:val="24"/>
        </w:rPr>
        <w:t>Enzymhæmmere</w:t>
      </w:r>
      <w:proofErr w:type="spellEnd"/>
      <w:r>
        <w:rPr>
          <w:sz w:val="24"/>
          <w:szCs w:val="24"/>
        </w:rPr>
        <w:t>.</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5.1</w:t>
      </w:r>
      <w:r w:rsidRPr="00E11763">
        <w:rPr>
          <w:b/>
          <w:sz w:val="24"/>
          <w:szCs w:val="24"/>
        </w:rPr>
        <w:tab/>
      </w:r>
      <w:proofErr w:type="spellStart"/>
      <w:r w:rsidRPr="00E11763">
        <w:rPr>
          <w:b/>
          <w:sz w:val="24"/>
          <w:szCs w:val="24"/>
        </w:rPr>
        <w:t>Farmakodynamiske</w:t>
      </w:r>
      <w:proofErr w:type="spellEnd"/>
      <w:r w:rsidRPr="00E11763">
        <w:rPr>
          <w:b/>
          <w:sz w:val="24"/>
          <w:szCs w:val="24"/>
        </w:rPr>
        <w:t xml:space="preserve"> egenskaber</w:t>
      </w:r>
    </w:p>
    <w:p w:rsidR="002D431C" w:rsidRPr="00B25533" w:rsidRDefault="002D431C" w:rsidP="002D431C">
      <w:pPr>
        <w:ind w:left="851" w:hanging="851"/>
        <w:rPr>
          <w:iCs/>
          <w:sz w:val="24"/>
          <w:szCs w:val="24"/>
          <w:highlight w:val="yellow"/>
          <w:lang w:eastAsia="da-DK"/>
        </w:rPr>
      </w:pPr>
      <w:r w:rsidRPr="00E11763">
        <w:rPr>
          <w:sz w:val="24"/>
          <w:szCs w:val="24"/>
        </w:rPr>
        <w:tab/>
      </w:r>
      <w:r w:rsidRPr="00B25533">
        <w:rPr>
          <w:sz w:val="24"/>
          <w:szCs w:val="24"/>
          <w:u w:val="single"/>
        </w:rPr>
        <w:t xml:space="preserve">Virkningsmekanisme of </w:t>
      </w:r>
      <w:proofErr w:type="spellStart"/>
      <w:r w:rsidRPr="00B25533">
        <w:rPr>
          <w:sz w:val="24"/>
          <w:szCs w:val="24"/>
          <w:u w:val="single"/>
        </w:rPr>
        <w:t>farmakodynamisk</w:t>
      </w:r>
      <w:proofErr w:type="spellEnd"/>
      <w:r w:rsidRPr="00B25533">
        <w:rPr>
          <w:sz w:val="24"/>
          <w:szCs w:val="24"/>
          <w:u w:val="single"/>
        </w:rPr>
        <w:t xml:space="preserve"> virkning</w:t>
      </w:r>
    </w:p>
    <w:p w:rsidR="002D431C" w:rsidRDefault="002D431C" w:rsidP="002D431C">
      <w:pPr>
        <w:ind w:left="851"/>
      </w:pPr>
      <w:proofErr w:type="spellStart"/>
      <w:r>
        <w:t>Anastrozol</w:t>
      </w:r>
      <w:proofErr w:type="spellEnd"/>
      <w:r>
        <w:t xml:space="preserve"> er en potent og meget selektiv non-steroid </w:t>
      </w:r>
      <w:proofErr w:type="spellStart"/>
      <w:r>
        <w:t>aromatasehæmmer</w:t>
      </w:r>
      <w:proofErr w:type="spellEnd"/>
      <w:r>
        <w:t>.</w:t>
      </w:r>
    </w:p>
    <w:p w:rsidR="002D431C" w:rsidRPr="00E11763" w:rsidRDefault="002D431C" w:rsidP="002D431C">
      <w:pPr>
        <w:ind w:left="851"/>
        <w:rPr>
          <w:sz w:val="24"/>
          <w:szCs w:val="24"/>
        </w:rPr>
      </w:pPr>
    </w:p>
    <w:p w:rsidR="002D431C" w:rsidRPr="00E11763" w:rsidRDefault="002D431C" w:rsidP="002D431C">
      <w:pPr>
        <w:ind w:left="851"/>
        <w:rPr>
          <w:sz w:val="24"/>
          <w:szCs w:val="24"/>
        </w:rPr>
      </w:pPr>
      <w:r w:rsidRPr="00E11763">
        <w:rPr>
          <w:sz w:val="24"/>
          <w:szCs w:val="24"/>
        </w:rPr>
        <w:t xml:space="preserve">Hos </w:t>
      </w:r>
      <w:proofErr w:type="spellStart"/>
      <w:r w:rsidRPr="00E11763">
        <w:rPr>
          <w:sz w:val="24"/>
          <w:szCs w:val="24"/>
        </w:rPr>
        <w:t>postmenopausale</w:t>
      </w:r>
      <w:proofErr w:type="spellEnd"/>
      <w:r w:rsidRPr="00E11763">
        <w:rPr>
          <w:sz w:val="24"/>
          <w:szCs w:val="24"/>
        </w:rPr>
        <w:t xml:space="preserve"> kvinder produceres </w:t>
      </w:r>
      <w:proofErr w:type="spellStart"/>
      <w:r w:rsidRPr="00E11763">
        <w:rPr>
          <w:sz w:val="24"/>
          <w:szCs w:val="24"/>
        </w:rPr>
        <w:t>estradiol</w:t>
      </w:r>
      <w:proofErr w:type="spellEnd"/>
      <w:r w:rsidRPr="00E11763">
        <w:rPr>
          <w:sz w:val="24"/>
          <w:szCs w:val="24"/>
        </w:rPr>
        <w:t xml:space="preserve"> primært fra omdannelse af </w:t>
      </w:r>
      <w:proofErr w:type="spellStart"/>
      <w:r w:rsidRPr="00E11763">
        <w:rPr>
          <w:sz w:val="24"/>
          <w:szCs w:val="24"/>
        </w:rPr>
        <w:t>androstendion</w:t>
      </w:r>
      <w:proofErr w:type="spellEnd"/>
      <w:r w:rsidRPr="00E11763">
        <w:rPr>
          <w:sz w:val="24"/>
          <w:szCs w:val="24"/>
        </w:rPr>
        <w:t xml:space="preserve"> til </w:t>
      </w:r>
      <w:proofErr w:type="spellStart"/>
      <w:r w:rsidRPr="00E11763">
        <w:rPr>
          <w:sz w:val="24"/>
          <w:szCs w:val="24"/>
        </w:rPr>
        <w:t>estron</w:t>
      </w:r>
      <w:proofErr w:type="spellEnd"/>
      <w:r w:rsidRPr="00E11763">
        <w:rPr>
          <w:sz w:val="24"/>
          <w:szCs w:val="24"/>
        </w:rPr>
        <w:t xml:space="preserve"> ved hjælp af </w:t>
      </w:r>
      <w:proofErr w:type="spellStart"/>
      <w:r w:rsidRPr="00E11763">
        <w:rPr>
          <w:sz w:val="24"/>
          <w:szCs w:val="24"/>
        </w:rPr>
        <w:t>aromatase</w:t>
      </w:r>
      <w:proofErr w:type="spellEnd"/>
      <w:r w:rsidRPr="00E11763">
        <w:rPr>
          <w:sz w:val="24"/>
          <w:szCs w:val="24"/>
        </w:rPr>
        <w:t xml:space="preserve">-enzym-komplekset i perifere væv. </w:t>
      </w:r>
      <w:proofErr w:type="spellStart"/>
      <w:r w:rsidRPr="00E11763">
        <w:rPr>
          <w:sz w:val="24"/>
          <w:szCs w:val="24"/>
        </w:rPr>
        <w:t>Estron</w:t>
      </w:r>
      <w:proofErr w:type="spellEnd"/>
      <w:r w:rsidRPr="00E11763">
        <w:rPr>
          <w:sz w:val="24"/>
          <w:szCs w:val="24"/>
        </w:rPr>
        <w:t xml:space="preserve"> omdannes derefter til </w:t>
      </w:r>
      <w:proofErr w:type="spellStart"/>
      <w:r w:rsidRPr="00E11763">
        <w:rPr>
          <w:sz w:val="24"/>
          <w:szCs w:val="24"/>
        </w:rPr>
        <w:t>estradiol</w:t>
      </w:r>
      <w:proofErr w:type="spellEnd"/>
      <w:r w:rsidRPr="00E11763">
        <w:rPr>
          <w:sz w:val="24"/>
          <w:szCs w:val="24"/>
        </w:rPr>
        <w:t xml:space="preserve">. Det er påvist, at nedsat koncentration af cirkulerende </w:t>
      </w:r>
      <w:proofErr w:type="spellStart"/>
      <w:r w:rsidRPr="00E11763">
        <w:rPr>
          <w:sz w:val="24"/>
          <w:szCs w:val="24"/>
        </w:rPr>
        <w:t>estradiol</w:t>
      </w:r>
      <w:proofErr w:type="spellEnd"/>
      <w:r w:rsidRPr="00E11763">
        <w:rPr>
          <w:sz w:val="24"/>
          <w:szCs w:val="24"/>
        </w:rPr>
        <w:t xml:space="preserve"> har en gavnlig virkning hos kvinder med brystkræft. Hos </w:t>
      </w:r>
      <w:proofErr w:type="spellStart"/>
      <w:r w:rsidRPr="00E11763">
        <w:rPr>
          <w:sz w:val="24"/>
          <w:szCs w:val="24"/>
        </w:rPr>
        <w:t>postmenopausale</w:t>
      </w:r>
      <w:proofErr w:type="spellEnd"/>
      <w:r w:rsidRPr="00E11763">
        <w:rPr>
          <w:sz w:val="24"/>
          <w:szCs w:val="24"/>
        </w:rPr>
        <w:t xml:space="preserve"> kvinder resulterede en daglig dosis på 1 mg </w:t>
      </w: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i </w:t>
      </w:r>
      <w:proofErr w:type="spellStart"/>
      <w:r w:rsidRPr="00E11763">
        <w:rPr>
          <w:sz w:val="24"/>
          <w:szCs w:val="24"/>
        </w:rPr>
        <w:t>estradiolsuppression</w:t>
      </w:r>
      <w:proofErr w:type="spellEnd"/>
      <w:r w:rsidRPr="00E11763">
        <w:rPr>
          <w:sz w:val="24"/>
          <w:szCs w:val="24"/>
        </w:rPr>
        <w:t xml:space="preserve"> på mere end 80 %, målt ved en meget følsom analyse. </w:t>
      </w:r>
    </w:p>
    <w:p w:rsidR="002D431C" w:rsidRPr="00E11763" w:rsidRDefault="002D431C" w:rsidP="002D431C">
      <w:pPr>
        <w:ind w:left="851"/>
        <w:rPr>
          <w:sz w:val="24"/>
          <w:szCs w:val="24"/>
        </w:rPr>
      </w:pPr>
    </w:p>
    <w:p w:rsidR="002D431C" w:rsidRPr="00E11763" w:rsidRDefault="002D431C" w:rsidP="002D431C">
      <w:pPr>
        <w:ind w:left="851"/>
        <w:rPr>
          <w:sz w:val="24"/>
          <w:szCs w:val="24"/>
        </w:rPr>
      </w:pPr>
      <w:proofErr w:type="spellStart"/>
      <w:r w:rsidRPr="00E11763">
        <w:rPr>
          <w:sz w:val="24"/>
          <w:szCs w:val="24"/>
        </w:rPr>
        <w:t>Anastrozol</w:t>
      </w:r>
      <w:proofErr w:type="spellEnd"/>
      <w:r w:rsidRPr="00E11763">
        <w:rPr>
          <w:sz w:val="24"/>
          <w:szCs w:val="24"/>
        </w:rPr>
        <w:t xml:space="preserve"> </w:t>
      </w:r>
      <w:r>
        <w:rPr>
          <w:sz w:val="24"/>
          <w:szCs w:val="24"/>
        </w:rPr>
        <w:t>"Medical Valley"</w:t>
      </w:r>
      <w:r w:rsidRPr="00E11763">
        <w:rPr>
          <w:sz w:val="24"/>
          <w:szCs w:val="24"/>
        </w:rPr>
        <w:t xml:space="preserve"> udviser ikke </w:t>
      </w:r>
      <w:proofErr w:type="gramStart"/>
      <w:r w:rsidRPr="00E11763">
        <w:rPr>
          <w:sz w:val="24"/>
          <w:szCs w:val="24"/>
        </w:rPr>
        <w:t>nogen gestagen</w:t>
      </w:r>
      <w:proofErr w:type="gramEnd"/>
      <w:r w:rsidRPr="00E11763">
        <w:rPr>
          <w:sz w:val="24"/>
          <w:szCs w:val="24"/>
        </w:rPr>
        <w:t xml:space="preserve">, </w:t>
      </w:r>
      <w:proofErr w:type="spellStart"/>
      <w:r w:rsidRPr="00E11763">
        <w:rPr>
          <w:sz w:val="24"/>
          <w:szCs w:val="24"/>
        </w:rPr>
        <w:t>androgen</w:t>
      </w:r>
      <w:proofErr w:type="spellEnd"/>
      <w:r w:rsidRPr="00E11763">
        <w:rPr>
          <w:sz w:val="24"/>
          <w:szCs w:val="24"/>
        </w:rPr>
        <w:t xml:space="preserve"> eller østrogen aktivitet. </w:t>
      </w:r>
    </w:p>
    <w:p w:rsidR="002D431C" w:rsidRPr="00E11763" w:rsidRDefault="002D431C" w:rsidP="002D431C">
      <w:pPr>
        <w:ind w:left="851"/>
        <w:rPr>
          <w:sz w:val="24"/>
          <w:szCs w:val="24"/>
        </w:rPr>
      </w:pPr>
    </w:p>
    <w:p w:rsidR="002D431C" w:rsidRPr="00E11763" w:rsidRDefault="002D431C" w:rsidP="002D431C">
      <w:pPr>
        <w:ind w:left="851"/>
        <w:rPr>
          <w:sz w:val="24"/>
          <w:szCs w:val="24"/>
        </w:rPr>
      </w:pPr>
      <w:proofErr w:type="spellStart"/>
      <w:r w:rsidRPr="00E11763">
        <w:rPr>
          <w:sz w:val="24"/>
          <w:szCs w:val="24"/>
        </w:rPr>
        <w:t>Anastrozol</w:t>
      </w:r>
      <w:proofErr w:type="spellEnd"/>
      <w:r w:rsidRPr="00E11763">
        <w:rPr>
          <w:sz w:val="24"/>
          <w:szCs w:val="24"/>
        </w:rPr>
        <w:t xml:space="preserve"> doser på op til 10 mg </w:t>
      </w:r>
      <w:r>
        <w:rPr>
          <w:sz w:val="24"/>
          <w:szCs w:val="24"/>
        </w:rPr>
        <w:t>daglig</w:t>
      </w:r>
      <w:r w:rsidRPr="00E11763">
        <w:rPr>
          <w:sz w:val="24"/>
          <w:szCs w:val="24"/>
        </w:rPr>
        <w:t xml:space="preserve"> har ingen indvirkning på udskillelsen af </w:t>
      </w:r>
      <w:proofErr w:type="spellStart"/>
      <w:r w:rsidRPr="00E11763">
        <w:rPr>
          <w:sz w:val="24"/>
          <w:szCs w:val="24"/>
        </w:rPr>
        <w:t>cortisol</w:t>
      </w:r>
      <w:proofErr w:type="spellEnd"/>
      <w:r w:rsidRPr="00E11763">
        <w:rPr>
          <w:sz w:val="24"/>
          <w:szCs w:val="24"/>
        </w:rPr>
        <w:t xml:space="preserve"> eller </w:t>
      </w:r>
      <w:proofErr w:type="spellStart"/>
      <w:r w:rsidRPr="00E11763">
        <w:rPr>
          <w:sz w:val="24"/>
          <w:szCs w:val="24"/>
        </w:rPr>
        <w:t>aldosteron</w:t>
      </w:r>
      <w:proofErr w:type="spellEnd"/>
      <w:r w:rsidRPr="00E11763">
        <w:rPr>
          <w:sz w:val="24"/>
          <w:szCs w:val="24"/>
        </w:rPr>
        <w:t xml:space="preserve">, målt før eller efter standard ACTH-test. Der er derfor ikke behov for </w:t>
      </w:r>
      <w:proofErr w:type="spellStart"/>
      <w:r w:rsidRPr="00E11763">
        <w:rPr>
          <w:sz w:val="24"/>
          <w:szCs w:val="24"/>
        </w:rPr>
        <w:t>kortikoid</w:t>
      </w:r>
      <w:proofErr w:type="spellEnd"/>
      <w:r w:rsidRPr="00E11763">
        <w:rPr>
          <w:sz w:val="24"/>
          <w:szCs w:val="24"/>
        </w:rPr>
        <w:t>-tilskud.</w:t>
      </w:r>
    </w:p>
    <w:p w:rsidR="002D431C" w:rsidRDefault="002D431C" w:rsidP="002D431C">
      <w:pPr>
        <w:ind w:left="851"/>
        <w:rPr>
          <w:sz w:val="24"/>
          <w:szCs w:val="24"/>
          <w:u w:val="single"/>
        </w:rPr>
      </w:pPr>
    </w:p>
    <w:p w:rsidR="002D431C" w:rsidRPr="00E11763" w:rsidRDefault="002D431C" w:rsidP="002D431C">
      <w:pPr>
        <w:ind w:left="851"/>
        <w:rPr>
          <w:sz w:val="24"/>
          <w:szCs w:val="24"/>
          <w:u w:val="single"/>
        </w:rPr>
      </w:pPr>
      <w:r w:rsidRPr="00E11763">
        <w:rPr>
          <w:sz w:val="24"/>
          <w:szCs w:val="24"/>
          <w:u w:val="single"/>
        </w:rPr>
        <w:t>Klinisk virkning og sikkerhed</w:t>
      </w:r>
    </w:p>
    <w:p w:rsidR="002D431C" w:rsidRPr="00E11763" w:rsidRDefault="002D431C" w:rsidP="002D431C">
      <w:pPr>
        <w:ind w:left="851"/>
        <w:rPr>
          <w:i/>
          <w:sz w:val="24"/>
          <w:szCs w:val="24"/>
          <w:u w:val="single"/>
        </w:rPr>
      </w:pPr>
      <w:r w:rsidRPr="00E11763">
        <w:rPr>
          <w:i/>
          <w:sz w:val="24"/>
          <w:szCs w:val="24"/>
          <w:u w:val="single"/>
        </w:rPr>
        <w:t>Fremskreden brystkræft</w:t>
      </w:r>
    </w:p>
    <w:p w:rsidR="002D431C" w:rsidRPr="00E11763" w:rsidRDefault="002D431C" w:rsidP="002D431C">
      <w:pPr>
        <w:ind w:left="851"/>
        <w:rPr>
          <w:i/>
          <w:iCs/>
          <w:sz w:val="24"/>
          <w:szCs w:val="24"/>
        </w:rPr>
      </w:pPr>
      <w:r w:rsidRPr="00E11763">
        <w:rPr>
          <w:i/>
          <w:iCs/>
          <w:sz w:val="24"/>
          <w:szCs w:val="24"/>
        </w:rPr>
        <w:t xml:space="preserve">Førstelinjebehandling hos </w:t>
      </w:r>
      <w:proofErr w:type="spellStart"/>
      <w:r w:rsidRPr="00E11763">
        <w:rPr>
          <w:i/>
          <w:iCs/>
          <w:sz w:val="24"/>
          <w:szCs w:val="24"/>
        </w:rPr>
        <w:t>postmenopausale</w:t>
      </w:r>
      <w:proofErr w:type="spellEnd"/>
      <w:r w:rsidRPr="00E11763">
        <w:rPr>
          <w:i/>
          <w:iCs/>
          <w:sz w:val="24"/>
          <w:szCs w:val="24"/>
        </w:rPr>
        <w:t xml:space="preserve"> kvinder med fremskreden brystkræft </w:t>
      </w:r>
    </w:p>
    <w:p w:rsidR="002D431C" w:rsidRPr="00E11763" w:rsidRDefault="002D431C" w:rsidP="002D431C">
      <w:pPr>
        <w:ind w:left="851"/>
        <w:rPr>
          <w:sz w:val="24"/>
          <w:szCs w:val="24"/>
        </w:rPr>
      </w:pPr>
      <w:r w:rsidRPr="00E11763">
        <w:rPr>
          <w:sz w:val="24"/>
          <w:szCs w:val="24"/>
        </w:rPr>
        <w:t xml:space="preserve">To dobbeltblindede, kontrollerede kliniske studier (studie 1033IL/0030 og studie 1033IL/0027) blev udført for at vurdere effekten af </w:t>
      </w:r>
      <w:proofErr w:type="spellStart"/>
      <w:r w:rsidRPr="00E11763">
        <w:rPr>
          <w:sz w:val="24"/>
          <w:szCs w:val="24"/>
        </w:rPr>
        <w:t>anastrozol</w:t>
      </w:r>
      <w:proofErr w:type="spellEnd"/>
      <w:r w:rsidRPr="00E11763">
        <w:rPr>
          <w:sz w:val="24"/>
          <w:szCs w:val="24"/>
        </w:rPr>
        <w:t xml:space="preserve"> sammenlignet med </w:t>
      </w:r>
      <w:proofErr w:type="spellStart"/>
      <w:r w:rsidRPr="00E11763">
        <w:rPr>
          <w:sz w:val="24"/>
          <w:szCs w:val="24"/>
        </w:rPr>
        <w:t>tamoxifen</w:t>
      </w:r>
      <w:proofErr w:type="spellEnd"/>
      <w:r w:rsidRPr="00E11763">
        <w:rPr>
          <w:sz w:val="24"/>
          <w:szCs w:val="24"/>
        </w:rPr>
        <w:t xml:space="preserve"> som førstelinjebehandling af lokalt fremskreden eller metastatisk brystkræft hos </w:t>
      </w:r>
      <w:proofErr w:type="spellStart"/>
      <w:r w:rsidRPr="00E11763">
        <w:rPr>
          <w:sz w:val="24"/>
          <w:szCs w:val="24"/>
        </w:rPr>
        <w:t>postmenopausale</w:t>
      </w:r>
      <w:proofErr w:type="spellEnd"/>
      <w:r w:rsidRPr="00E11763">
        <w:rPr>
          <w:sz w:val="24"/>
          <w:szCs w:val="24"/>
        </w:rPr>
        <w:t xml:space="preserve"> kvinder, enten hormonreceptor-positiv eller med ukendt hormonreceptor-status. I alt 1.021 patienter blev randomiseret til at få 1 mg </w:t>
      </w:r>
      <w:proofErr w:type="spellStart"/>
      <w:r w:rsidRPr="00E11763">
        <w:rPr>
          <w:sz w:val="24"/>
          <w:szCs w:val="24"/>
        </w:rPr>
        <w:t>anastrozol</w:t>
      </w:r>
      <w:proofErr w:type="spellEnd"/>
      <w:r w:rsidRPr="00E11763">
        <w:rPr>
          <w:sz w:val="24"/>
          <w:szCs w:val="24"/>
        </w:rPr>
        <w:t xml:space="preserve"> en gang </w:t>
      </w:r>
      <w:r>
        <w:rPr>
          <w:sz w:val="24"/>
          <w:szCs w:val="24"/>
        </w:rPr>
        <w:t>daglig</w:t>
      </w:r>
      <w:r w:rsidRPr="00E11763">
        <w:rPr>
          <w:sz w:val="24"/>
          <w:szCs w:val="24"/>
        </w:rPr>
        <w:t xml:space="preserve"> eller 20 mg </w:t>
      </w:r>
      <w:proofErr w:type="spellStart"/>
      <w:r w:rsidRPr="00E11763">
        <w:rPr>
          <w:sz w:val="24"/>
          <w:szCs w:val="24"/>
        </w:rPr>
        <w:t>tamoxifen</w:t>
      </w:r>
      <w:proofErr w:type="spellEnd"/>
      <w:r w:rsidRPr="00E11763">
        <w:rPr>
          <w:sz w:val="24"/>
          <w:szCs w:val="24"/>
        </w:rPr>
        <w:t xml:space="preserve"> en gang </w:t>
      </w:r>
      <w:r>
        <w:rPr>
          <w:sz w:val="24"/>
          <w:szCs w:val="24"/>
        </w:rPr>
        <w:t>daglig</w:t>
      </w:r>
      <w:r w:rsidRPr="00E11763">
        <w:rPr>
          <w:sz w:val="24"/>
          <w:szCs w:val="24"/>
        </w:rPr>
        <w:t xml:space="preserve">. De primære endepunkter i begge studier var tid til tumorprogression, objektiv tumorresponsrate og sikkerhed. </w:t>
      </w:r>
    </w:p>
    <w:p w:rsidR="002D431C" w:rsidRPr="00E11763" w:rsidRDefault="002D431C" w:rsidP="002D431C">
      <w:pPr>
        <w:ind w:left="851"/>
        <w:rPr>
          <w:sz w:val="24"/>
          <w:szCs w:val="24"/>
        </w:rPr>
      </w:pPr>
    </w:p>
    <w:p w:rsidR="002D431C" w:rsidRPr="00E11763" w:rsidRDefault="002D431C" w:rsidP="002D431C">
      <w:pPr>
        <w:ind w:left="851"/>
        <w:rPr>
          <w:sz w:val="24"/>
          <w:szCs w:val="24"/>
        </w:rPr>
      </w:pPr>
      <w:r w:rsidRPr="00E11763">
        <w:rPr>
          <w:sz w:val="24"/>
          <w:szCs w:val="24"/>
        </w:rPr>
        <w:t xml:space="preserve">For de primære endepunkter viste studie 1033IL/0030, at </w:t>
      </w:r>
      <w:proofErr w:type="spellStart"/>
      <w:r w:rsidRPr="00E11763">
        <w:rPr>
          <w:sz w:val="24"/>
          <w:szCs w:val="24"/>
        </w:rPr>
        <w:t>anastrozol</w:t>
      </w:r>
      <w:proofErr w:type="spellEnd"/>
      <w:r w:rsidRPr="00E11763">
        <w:rPr>
          <w:sz w:val="24"/>
          <w:szCs w:val="24"/>
        </w:rPr>
        <w:t xml:space="preserve"> havde en statistisk signifikant fordel i forhold til </w:t>
      </w:r>
      <w:proofErr w:type="spellStart"/>
      <w:r w:rsidRPr="00E11763">
        <w:rPr>
          <w:sz w:val="24"/>
          <w:szCs w:val="24"/>
        </w:rPr>
        <w:t>tamoxifen</w:t>
      </w:r>
      <w:proofErr w:type="spellEnd"/>
      <w:r w:rsidRPr="00E11763">
        <w:rPr>
          <w:sz w:val="24"/>
          <w:szCs w:val="24"/>
        </w:rPr>
        <w:t xml:space="preserve"> for tid til tumorprogression (</w:t>
      </w:r>
      <w:proofErr w:type="spellStart"/>
      <w:r w:rsidRPr="00E11763">
        <w:rPr>
          <w:sz w:val="24"/>
          <w:szCs w:val="24"/>
        </w:rPr>
        <w:t>hazard</w:t>
      </w:r>
      <w:proofErr w:type="spellEnd"/>
      <w:r w:rsidRPr="00E11763">
        <w:rPr>
          <w:sz w:val="24"/>
          <w:szCs w:val="24"/>
        </w:rPr>
        <w:t xml:space="preserve"> ratio (HR) 1,42; 95 % konfidensinterval (CI) [1,11-1,82], median tid til progression 11,1 og 5,6 måned for hhv. </w:t>
      </w:r>
      <w:proofErr w:type="spellStart"/>
      <w:r w:rsidRPr="00E11763">
        <w:rPr>
          <w:sz w:val="24"/>
          <w:szCs w:val="24"/>
        </w:rPr>
        <w:t>anastrozol</w:t>
      </w:r>
      <w:proofErr w:type="spellEnd"/>
      <w:r w:rsidRPr="00E11763">
        <w:rPr>
          <w:sz w:val="24"/>
          <w:szCs w:val="24"/>
        </w:rPr>
        <w:t xml:space="preserve"> og </w:t>
      </w:r>
      <w:proofErr w:type="spellStart"/>
      <w:r w:rsidRPr="00E11763">
        <w:rPr>
          <w:sz w:val="24"/>
          <w:szCs w:val="24"/>
        </w:rPr>
        <w:t>tamoxifen</w:t>
      </w:r>
      <w:proofErr w:type="spellEnd"/>
      <w:r w:rsidRPr="00E11763">
        <w:rPr>
          <w:sz w:val="24"/>
          <w:szCs w:val="24"/>
        </w:rPr>
        <w:t xml:space="preserve">, p=0,006). Objektive tumorresponsrater var sammenlignelige for </w:t>
      </w:r>
      <w:proofErr w:type="spellStart"/>
      <w:r w:rsidRPr="00E11763">
        <w:rPr>
          <w:sz w:val="24"/>
          <w:szCs w:val="24"/>
        </w:rPr>
        <w:t>anastrozol</w:t>
      </w:r>
      <w:proofErr w:type="spellEnd"/>
      <w:r w:rsidRPr="00E11763">
        <w:rPr>
          <w:sz w:val="24"/>
          <w:szCs w:val="24"/>
        </w:rPr>
        <w:t xml:space="preserve"> og </w:t>
      </w:r>
      <w:proofErr w:type="spellStart"/>
      <w:r w:rsidRPr="00E11763">
        <w:rPr>
          <w:sz w:val="24"/>
          <w:szCs w:val="24"/>
        </w:rPr>
        <w:t>tamoxifen</w:t>
      </w:r>
      <w:proofErr w:type="spellEnd"/>
      <w:r w:rsidRPr="00E11763">
        <w:rPr>
          <w:sz w:val="24"/>
          <w:szCs w:val="24"/>
        </w:rPr>
        <w:t xml:space="preserve">. Studie 1033IL/0027 viste, at objektive tumorresponsrater og tid til tumorprogression var sammenlignelige for </w:t>
      </w:r>
      <w:proofErr w:type="spellStart"/>
      <w:r w:rsidRPr="00E11763">
        <w:rPr>
          <w:sz w:val="24"/>
          <w:szCs w:val="24"/>
        </w:rPr>
        <w:t>anastrozol</w:t>
      </w:r>
      <w:proofErr w:type="spellEnd"/>
      <w:r w:rsidRPr="00E11763">
        <w:rPr>
          <w:sz w:val="24"/>
          <w:szCs w:val="24"/>
        </w:rPr>
        <w:t xml:space="preserve"> og </w:t>
      </w:r>
      <w:proofErr w:type="spellStart"/>
      <w:r w:rsidRPr="00E11763">
        <w:rPr>
          <w:sz w:val="24"/>
          <w:szCs w:val="24"/>
        </w:rPr>
        <w:t>tamoxifen</w:t>
      </w:r>
      <w:proofErr w:type="spellEnd"/>
      <w:r w:rsidRPr="00E11763">
        <w:rPr>
          <w:sz w:val="24"/>
          <w:szCs w:val="24"/>
        </w:rPr>
        <w:t>. Resultater fra de sekundære endepunkter understøttede resultaterne af de primære effekt-endepunkter. I begge forsøg var der for få dødsfald på tværs af behandlingsgrupperne til at drage nogen konklusioner om forskelle i den overordnede overlevelse.</w:t>
      </w:r>
    </w:p>
    <w:p w:rsidR="002D431C" w:rsidRPr="00E11763" w:rsidRDefault="002D431C" w:rsidP="002D431C">
      <w:pPr>
        <w:ind w:left="851"/>
        <w:rPr>
          <w:iCs/>
          <w:sz w:val="24"/>
          <w:szCs w:val="24"/>
        </w:rPr>
      </w:pPr>
    </w:p>
    <w:p w:rsidR="002D431C" w:rsidRPr="00E11763" w:rsidRDefault="002D431C" w:rsidP="002D431C">
      <w:pPr>
        <w:ind w:left="851"/>
        <w:rPr>
          <w:i/>
          <w:iCs/>
          <w:sz w:val="24"/>
          <w:szCs w:val="24"/>
        </w:rPr>
      </w:pPr>
      <w:proofErr w:type="spellStart"/>
      <w:r w:rsidRPr="00E11763">
        <w:rPr>
          <w:i/>
          <w:iCs/>
          <w:sz w:val="24"/>
          <w:szCs w:val="24"/>
        </w:rPr>
        <w:lastRenderedPageBreak/>
        <w:t>Andenlinjebehandling</w:t>
      </w:r>
      <w:proofErr w:type="spellEnd"/>
      <w:r w:rsidRPr="00E11763">
        <w:rPr>
          <w:i/>
          <w:iCs/>
          <w:sz w:val="24"/>
          <w:szCs w:val="24"/>
        </w:rPr>
        <w:t xml:space="preserve"> hos </w:t>
      </w:r>
      <w:proofErr w:type="spellStart"/>
      <w:r w:rsidRPr="00E11763">
        <w:rPr>
          <w:i/>
          <w:iCs/>
          <w:sz w:val="24"/>
          <w:szCs w:val="24"/>
        </w:rPr>
        <w:t>postmenopausale</w:t>
      </w:r>
      <w:proofErr w:type="spellEnd"/>
      <w:r w:rsidRPr="00E11763">
        <w:rPr>
          <w:i/>
          <w:iCs/>
          <w:sz w:val="24"/>
          <w:szCs w:val="24"/>
        </w:rPr>
        <w:t xml:space="preserve"> kvinder med fremskreden brystkræft </w:t>
      </w:r>
    </w:p>
    <w:p w:rsidR="002D431C" w:rsidRPr="00E11763" w:rsidRDefault="002D431C" w:rsidP="002D431C">
      <w:pPr>
        <w:ind w:left="851"/>
        <w:rPr>
          <w:sz w:val="24"/>
          <w:szCs w:val="24"/>
        </w:rPr>
      </w:pPr>
      <w:proofErr w:type="spellStart"/>
      <w:r w:rsidRPr="00E11763">
        <w:rPr>
          <w:sz w:val="24"/>
          <w:szCs w:val="24"/>
        </w:rPr>
        <w:t>Anastrozol</w:t>
      </w:r>
      <w:proofErr w:type="spellEnd"/>
      <w:r w:rsidRPr="00E11763">
        <w:rPr>
          <w:sz w:val="24"/>
          <w:szCs w:val="24"/>
        </w:rPr>
        <w:t xml:space="preserve"> blev undersøgt i to kontrollerede kliniske forsøg (studie 0004 og studie 0005) hos </w:t>
      </w:r>
      <w:proofErr w:type="spellStart"/>
      <w:r w:rsidRPr="00E11763">
        <w:rPr>
          <w:sz w:val="24"/>
          <w:szCs w:val="24"/>
        </w:rPr>
        <w:t>postmenopausale</w:t>
      </w:r>
      <w:proofErr w:type="spellEnd"/>
      <w:r w:rsidRPr="00E11763">
        <w:rPr>
          <w:sz w:val="24"/>
          <w:szCs w:val="24"/>
        </w:rPr>
        <w:t xml:space="preserve"> kvinder med fremskreden brystkræft, der havde sygdomsprogression efter </w:t>
      </w:r>
      <w:proofErr w:type="spellStart"/>
      <w:r w:rsidRPr="00E11763">
        <w:rPr>
          <w:sz w:val="24"/>
          <w:szCs w:val="24"/>
        </w:rPr>
        <w:t>tamoxifenbehandling</w:t>
      </w:r>
      <w:proofErr w:type="spellEnd"/>
      <w:r w:rsidRPr="00E11763">
        <w:rPr>
          <w:sz w:val="24"/>
          <w:szCs w:val="24"/>
        </w:rPr>
        <w:t xml:space="preserve"> for enten fremskreden eller tidlig brystkræft. I alt 764 patienter blev randomiseret til at få enten 1 mg eller 10 mg </w:t>
      </w:r>
      <w:proofErr w:type="spellStart"/>
      <w:r w:rsidRPr="00E11763">
        <w:rPr>
          <w:sz w:val="24"/>
          <w:szCs w:val="24"/>
        </w:rPr>
        <w:t>anastrozol</w:t>
      </w:r>
      <w:proofErr w:type="spellEnd"/>
      <w:r w:rsidRPr="00E11763">
        <w:rPr>
          <w:sz w:val="24"/>
          <w:szCs w:val="24"/>
        </w:rPr>
        <w:t xml:space="preserve"> en gang </w:t>
      </w:r>
      <w:r>
        <w:rPr>
          <w:sz w:val="24"/>
          <w:szCs w:val="24"/>
        </w:rPr>
        <w:t>daglig</w:t>
      </w:r>
      <w:r w:rsidRPr="00E11763">
        <w:rPr>
          <w:sz w:val="24"/>
          <w:szCs w:val="24"/>
        </w:rPr>
        <w:t xml:space="preserve"> eller </w:t>
      </w:r>
      <w:proofErr w:type="spellStart"/>
      <w:r w:rsidRPr="00E11763">
        <w:rPr>
          <w:sz w:val="24"/>
          <w:szCs w:val="24"/>
        </w:rPr>
        <w:t>megestrolacetat</w:t>
      </w:r>
      <w:proofErr w:type="spellEnd"/>
      <w:r w:rsidRPr="00E11763">
        <w:rPr>
          <w:sz w:val="24"/>
          <w:szCs w:val="24"/>
        </w:rPr>
        <w:t xml:space="preserve"> 40 mg fire gange </w:t>
      </w:r>
      <w:r>
        <w:rPr>
          <w:sz w:val="24"/>
          <w:szCs w:val="24"/>
        </w:rPr>
        <w:t>daglig</w:t>
      </w:r>
      <w:r w:rsidRPr="00E11763">
        <w:rPr>
          <w:sz w:val="24"/>
          <w:szCs w:val="24"/>
        </w:rPr>
        <w:t>. Tid til progression og objektive responsrater var de primære effektvariabler. Hyppigheden af længerevarende (mere end 24 uger) stabil sygdom, progressionsrate og overlevelse blev også beregnet. Der var ingen signifikant forskel mellem behandlingsarmene i de to forsøg, hvad angår nogen af effektparametrene.</w:t>
      </w:r>
    </w:p>
    <w:p w:rsidR="002D431C" w:rsidRPr="00E11763" w:rsidRDefault="002D431C" w:rsidP="002D431C">
      <w:pPr>
        <w:ind w:left="851"/>
        <w:rPr>
          <w:sz w:val="24"/>
          <w:szCs w:val="24"/>
        </w:rPr>
      </w:pPr>
    </w:p>
    <w:p w:rsidR="002D431C" w:rsidRPr="00E11763" w:rsidRDefault="002D431C" w:rsidP="002D431C">
      <w:pPr>
        <w:ind w:left="851"/>
        <w:rPr>
          <w:i/>
          <w:iCs/>
          <w:sz w:val="24"/>
          <w:szCs w:val="24"/>
          <w:u w:val="single"/>
        </w:rPr>
      </w:pPr>
      <w:proofErr w:type="spellStart"/>
      <w:r w:rsidRPr="00E11763">
        <w:rPr>
          <w:i/>
          <w:iCs/>
          <w:sz w:val="24"/>
          <w:szCs w:val="24"/>
          <w:u w:val="single"/>
        </w:rPr>
        <w:t>Adjuverende</w:t>
      </w:r>
      <w:proofErr w:type="spellEnd"/>
      <w:r w:rsidRPr="00E11763">
        <w:rPr>
          <w:i/>
          <w:iCs/>
          <w:sz w:val="24"/>
          <w:szCs w:val="24"/>
          <w:u w:val="single"/>
        </w:rPr>
        <w:t xml:space="preserve"> behandling af tidlig invasiv brystkræft hos hormonreceptor-positive patienter</w:t>
      </w:r>
    </w:p>
    <w:p w:rsidR="002D431C" w:rsidRPr="00E11763" w:rsidRDefault="002D431C" w:rsidP="002D431C">
      <w:pPr>
        <w:ind w:left="851"/>
        <w:rPr>
          <w:sz w:val="24"/>
          <w:szCs w:val="24"/>
        </w:rPr>
      </w:pPr>
      <w:r w:rsidRPr="00E11763">
        <w:rPr>
          <w:sz w:val="24"/>
          <w:szCs w:val="24"/>
        </w:rPr>
        <w:t xml:space="preserve">I et stort fase III-studie med 9.366 </w:t>
      </w:r>
      <w:proofErr w:type="spellStart"/>
      <w:r w:rsidRPr="00E11763">
        <w:rPr>
          <w:sz w:val="24"/>
          <w:szCs w:val="24"/>
        </w:rPr>
        <w:t>postmenopausale</w:t>
      </w:r>
      <w:proofErr w:type="spellEnd"/>
      <w:r w:rsidRPr="00E11763">
        <w:rPr>
          <w:sz w:val="24"/>
          <w:szCs w:val="24"/>
        </w:rPr>
        <w:t xml:space="preserve"> kvinder med operabel brystkræft behandlet i 5 år (se nedenfor) var </w:t>
      </w:r>
      <w:proofErr w:type="spellStart"/>
      <w:r w:rsidRPr="00E11763">
        <w:rPr>
          <w:sz w:val="24"/>
          <w:szCs w:val="24"/>
        </w:rPr>
        <w:t>anastrozol</w:t>
      </w:r>
      <w:proofErr w:type="spellEnd"/>
      <w:r w:rsidRPr="00E11763">
        <w:rPr>
          <w:sz w:val="24"/>
          <w:szCs w:val="24"/>
        </w:rPr>
        <w:t xml:space="preserve"> statistisk overlegent i forhold til </w:t>
      </w:r>
      <w:proofErr w:type="spellStart"/>
      <w:r w:rsidRPr="00E11763">
        <w:rPr>
          <w:sz w:val="24"/>
          <w:szCs w:val="24"/>
        </w:rPr>
        <w:t>tamoxifen</w:t>
      </w:r>
      <w:proofErr w:type="spellEnd"/>
      <w:r w:rsidRPr="00E11763">
        <w:rPr>
          <w:sz w:val="24"/>
          <w:szCs w:val="24"/>
        </w:rPr>
        <w:t xml:space="preserve"> med hensyn til sygdomsfri overlevelse. Den største fordel blev observeret for sygdomsfri overlevelse til fordel for </w:t>
      </w:r>
      <w:proofErr w:type="spellStart"/>
      <w:r w:rsidRPr="00E11763">
        <w:rPr>
          <w:sz w:val="24"/>
          <w:szCs w:val="24"/>
        </w:rPr>
        <w:t>anastrozol</w:t>
      </w:r>
      <w:proofErr w:type="spellEnd"/>
      <w:r w:rsidRPr="00E11763">
        <w:rPr>
          <w:sz w:val="24"/>
          <w:szCs w:val="24"/>
        </w:rPr>
        <w:t xml:space="preserve"> versus </w:t>
      </w:r>
      <w:proofErr w:type="spellStart"/>
      <w:r w:rsidRPr="00E11763">
        <w:rPr>
          <w:sz w:val="24"/>
          <w:szCs w:val="24"/>
        </w:rPr>
        <w:t>tamoxifen</w:t>
      </w:r>
      <w:proofErr w:type="spellEnd"/>
      <w:r w:rsidRPr="00E11763">
        <w:rPr>
          <w:sz w:val="24"/>
          <w:szCs w:val="24"/>
        </w:rPr>
        <w:t xml:space="preserve"> i den </w:t>
      </w:r>
      <w:proofErr w:type="spellStart"/>
      <w:r w:rsidRPr="00E11763">
        <w:rPr>
          <w:sz w:val="24"/>
          <w:szCs w:val="24"/>
        </w:rPr>
        <w:t>prospektivt</w:t>
      </w:r>
      <w:proofErr w:type="spellEnd"/>
      <w:r w:rsidRPr="00E11763">
        <w:rPr>
          <w:sz w:val="24"/>
          <w:szCs w:val="24"/>
        </w:rPr>
        <w:t xml:space="preserve"> definerede hormonreceptor-positive population.</w:t>
      </w:r>
    </w:p>
    <w:p w:rsidR="002D431C" w:rsidRPr="00E11763" w:rsidRDefault="002D431C" w:rsidP="002D431C">
      <w:pPr>
        <w:ind w:left="851" w:hanging="851"/>
        <w:rPr>
          <w:sz w:val="24"/>
          <w:szCs w:val="24"/>
        </w:rPr>
      </w:pPr>
    </w:p>
    <w:p w:rsidR="002D431C" w:rsidRPr="00E11763" w:rsidRDefault="002D431C" w:rsidP="002D431C">
      <w:pPr>
        <w:ind w:left="851"/>
        <w:rPr>
          <w:sz w:val="24"/>
          <w:szCs w:val="24"/>
        </w:rPr>
      </w:pPr>
      <w:r w:rsidRPr="00E11763">
        <w:rPr>
          <w:b/>
          <w:bCs/>
          <w:sz w:val="24"/>
          <w:szCs w:val="24"/>
        </w:rPr>
        <w:t>Tabel 3</w:t>
      </w:r>
      <w:r w:rsidRPr="00E11763">
        <w:rPr>
          <w:b/>
          <w:bCs/>
          <w:sz w:val="24"/>
          <w:szCs w:val="24"/>
        </w:rPr>
        <w:tab/>
        <w:t>Sammendrag af ATAC-endepunkter: Analyse af 5-års behandlingsgennemførelse</w:t>
      </w:r>
    </w:p>
    <w:tbl>
      <w:tblPr>
        <w:tblW w:w="4603"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1456"/>
        <w:gridCol w:w="1455"/>
        <w:gridCol w:w="1455"/>
        <w:gridCol w:w="1455"/>
      </w:tblGrid>
      <w:tr w:rsidR="002D431C" w:rsidTr="003B4BCE">
        <w:tc>
          <w:tcPr>
            <w:tcW w:w="1716" w:type="pct"/>
            <w:vMerge w:val="restar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right="-113"/>
              <w:rPr>
                <w:b/>
                <w:bCs/>
                <w:sz w:val="22"/>
                <w:szCs w:val="22"/>
                <w:lang w:eastAsia="da-DK"/>
              </w:rPr>
            </w:pPr>
            <w:r>
              <w:rPr>
                <w:b/>
                <w:bCs/>
                <w:sz w:val="22"/>
                <w:szCs w:val="22"/>
              </w:rPr>
              <w:t>Effekt-</w:t>
            </w:r>
            <w:proofErr w:type="spellStart"/>
            <w:r>
              <w:rPr>
                <w:b/>
                <w:bCs/>
                <w:sz w:val="22"/>
                <w:szCs w:val="22"/>
              </w:rPr>
              <w:t>endpoints</w:t>
            </w:r>
            <w:proofErr w:type="spellEnd"/>
            <w:r>
              <w:rPr>
                <w:b/>
                <w:bCs/>
                <w:sz w:val="22"/>
                <w:szCs w:val="22"/>
              </w:rPr>
              <w:t xml:space="preserve"> </w:t>
            </w:r>
          </w:p>
        </w:tc>
        <w:tc>
          <w:tcPr>
            <w:tcW w:w="3284" w:type="pct"/>
            <w:gridSpan w:val="4"/>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ind w:right="-113"/>
              <w:rPr>
                <w:b/>
                <w:bCs/>
                <w:sz w:val="22"/>
                <w:szCs w:val="22"/>
              </w:rPr>
            </w:pPr>
            <w:r>
              <w:rPr>
                <w:b/>
                <w:bCs/>
                <w:sz w:val="22"/>
                <w:szCs w:val="22"/>
              </w:rPr>
              <w:t xml:space="preserve">Antal hændelser (frekvens) </w:t>
            </w:r>
          </w:p>
        </w:tc>
      </w:tr>
      <w:tr w:rsidR="002D431C" w:rsidTr="003B4BC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rPr>
                <w:b/>
                <w:bCs/>
                <w:sz w:val="22"/>
                <w:szCs w:val="22"/>
              </w:rPr>
            </w:pP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pStyle w:val="Default"/>
              <w:ind w:right="-113"/>
              <w:rPr>
                <w:rFonts w:ascii="Times New Roman" w:eastAsia="Times New Roman" w:hAnsi="Times New Roman" w:cs="Times New Roman"/>
                <w:b/>
                <w:bCs/>
                <w:color w:val="auto"/>
                <w:sz w:val="22"/>
                <w:szCs w:val="22"/>
                <w:lang w:val="da-DK"/>
              </w:rPr>
            </w:pPr>
            <w:r>
              <w:rPr>
                <w:rFonts w:ascii="Times New Roman" w:eastAsia="Times New Roman" w:hAnsi="Times New Roman" w:cs="Times New Roman"/>
                <w:b/>
                <w:bCs/>
                <w:color w:val="auto"/>
                <w:sz w:val="22"/>
                <w:szCs w:val="22"/>
                <w:lang w:val="da-DK"/>
              </w:rPr>
              <w:t>Intent-to-</w:t>
            </w:r>
            <w:proofErr w:type="spellStart"/>
            <w:r>
              <w:rPr>
                <w:rFonts w:ascii="Times New Roman" w:eastAsia="Times New Roman" w:hAnsi="Times New Roman" w:cs="Times New Roman"/>
                <w:b/>
                <w:bCs/>
                <w:color w:val="auto"/>
                <w:sz w:val="22"/>
                <w:szCs w:val="22"/>
                <w:lang w:val="da-DK"/>
              </w:rPr>
              <w:t>treat</w:t>
            </w:r>
            <w:proofErr w:type="spellEnd"/>
            <w:r>
              <w:rPr>
                <w:rFonts w:ascii="Times New Roman" w:eastAsia="Times New Roman" w:hAnsi="Times New Roman" w:cs="Times New Roman"/>
                <w:b/>
                <w:bCs/>
                <w:color w:val="auto"/>
                <w:sz w:val="22"/>
                <w:szCs w:val="22"/>
                <w:lang w:val="da-DK"/>
              </w:rPr>
              <w:t xml:space="preserve">-population </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pStyle w:val="Default"/>
              <w:ind w:right="-113"/>
              <w:rPr>
                <w:rFonts w:ascii="Times New Roman" w:eastAsia="Times New Roman" w:hAnsi="Times New Roman" w:cs="Times New Roman"/>
                <w:b/>
                <w:bCs/>
                <w:color w:val="auto"/>
                <w:sz w:val="22"/>
                <w:szCs w:val="22"/>
                <w:lang w:val="da-DK"/>
              </w:rPr>
            </w:pPr>
            <w:r>
              <w:rPr>
                <w:rFonts w:ascii="Times New Roman" w:eastAsia="Times New Roman" w:hAnsi="Times New Roman" w:cs="Times New Roman"/>
                <w:b/>
                <w:bCs/>
                <w:color w:val="auto"/>
                <w:sz w:val="22"/>
                <w:szCs w:val="22"/>
                <w:lang w:val="da-DK"/>
              </w:rPr>
              <w:t xml:space="preserve">Hormonreceptor-positiv tumorstatus </w:t>
            </w:r>
          </w:p>
        </w:tc>
      </w:tr>
      <w:tr w:rsidR="002D431C" w:rsidTr="003B4BC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rPr>
                <w:b/>
                <w:bCs/>
                <w:sz w:val="22"/>
                <w:szCs w:val="22"/>
              </w:rPr>
            </w:pP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ind w:right="-113"/>
              <w:rPr>
                <w:b/>
                <w:bCs/>
                <w:sz w:val="22"/>
                <w:szCs w:val="22"/>
              </w:rPr>
            </w:pPr>
            <w:proofErr w:type="spellStart"/>
            <w:r>
              <w:rPr>
                <w:b/>
                <w:bCs/>
                <w:sz w:val="22"/>
                <w:szCs w:val="22"/>
              </w:rPr>
              <w:t>Anastrozol</w:t>
            </w:r>
            <w:proofErr w:type="spellEnd"/>
            <w:r>
              <w:rPr>
                <w:b/>
                <w:bCs/>
                <w:sz w:val="22"/>
                <w:szCs w:val="22"/>
              </w:rPr>
              <w:t xml:space="preserve"> (N=3.125)</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ind w:right="-113"/>
              <w:rPr>
                <w:b/>
                <w:bCs/>
                <w:sz w:val="22"/>
                <w:szCs w:val="22"/>
              </w:rPr>
            </w:pPr>
            <w:proofErr w:type="spellStart"/>
            <w:r>
              <w:rPr>
                <w:b/>
                <w:bCs/>
                <w:sz w:val="22"/>
                <w:szCs w:val="22"/>
              </w:rPr>
              <w:t>Tamoxifen</w:t>
            </w:r>
            <w:proofErr w:type="spellEnd"/>
          </w:p>
          <w:p w:rsidR="002D431C" w:rsidRDefault="002D431C" w:rsidP="003B4BCE">
            <w:pPr>
              <w:ind w:right="-113"/>
              <w:rPr>
                <w:b/>
                <w:bCs/>
                <w:sz w:val="22"/>
                <w:szCs w:val="22"/>
              </w:rPr>
            </w:pPr>
            <w:r>
              <w:rPr>
                <w:b/>
                <w:bCs/>
                <w:sz w:val="22"/>
                <w:szCs w:val="22"/>
              </w:rPr>
              <w:t>(N=3.116)</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ind w:right="-113"/>
              <w:rPr>
                <w:b/>
                <w:bCs/>
                <w:sz w:val="22"/>
                <w:szCs w:val="22"/>
              </w:rPr>
            </w:pPr>
            <w:proofErr w:type="spellStart"/>
            <w:r>
              <w:rPr>
                <w:b/>
                <w:bCs/>
                <w:sz w:val="22"/>
                <w:szCs w:val="22"/>
              </w:rPr>
              <w:t>Anastrozol</w:t>
            </w:r>
            <w:proofErr w:type="spellEnd"/>
            <w:r>
              <w:rPr>
                <w:b/>
                <w:bCs/>
                <w:sz w:val="22"/>
                <w:szCs w:val="22"/>
              </w:rPr>
              <w:t xml:space="preserve"> (N=2.618)</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rPr>
                <w:sz w:val="22"/>
                <w:szCs w:val="22"/>
              </w:rPr>
            </w:pPr>
            <w:proofErr w:type="spellStart"/>
            <w:r>
              <w:rPr>
                <w:b/>
                <w:bCs/>
                <w:sz w:val="22"/>
                <w:szCs w:val="22"/>
              </w:rPr>
              <w:t>Tamoxifen</w:t>
            </w:r>
            <w:proofErr w:type="spellEnd"/>
          </w:p>
          <w:p w:rsidR="002D431C" w:rsidRDefault="002D431C" w:rsidP="003B4BCE">
            <w:pPr>
              <w:rPr>
                <w:sz w:val="22"/>
                <w:szCs w:val="22"/>
              </w:rPr>
            </w:pPr>
            <w:r>
              <w:rPr>
                <w:b/>
                <w:bCs/>
                <w:sz w:val="22"/>
                <w:szCs w:val="22"/>
              </w:rPr>
              <w:t>(N=2.598)</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right="-113"/>
              <w:rPr>
                <w:b/>
                <w:bCs/>
                <w:sz w:val="22"/>
                <w:szCs w:val="22"/>
              </w:rPr>
            </w:pPr>
            <w:r>
              <w:rPr>
                <w:b/>
                <w:bCs/>
                <w:sz w:val="22"/>
                <w:szCs w:val="22"/>
              </w:rPr>
              <w:t xml:space="preserve">Sygdomsfri overlevelse </w:t>
            </w:r>
            <w:r>
              <w:rPr>
                <w:b/>
                <w:bCs/>
                <w:sz w:val="22"/>
                <w:szCs w:val="22"/>
                <w:vertAlign w:val="superscript"/>
              </w:rPr>
              <w:t>a</w:t>
            </w:r>
            <w:r>
              <w:rPr>
                <w:b/>
                <w:bCs/>
                <w:sz w:val="22"/>
                <w:szCs w:val="22"/>
              </w:rPr>
              <w:t xml:space="preserve"> </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575 (18,4)</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651 (20,9)</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424 (16,2)</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497 (19,1)</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Hazard</w:t>
            </w:r>
            <w:proofErr w:type="spellEnd"/>
            <w:r>
              <w:rPr>
                <w:sz w:val="22"/>
                <w:szCs w:val="22"/>
              </w:rPr>
              <w:t xml:space="preserve"> ratio</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0,87</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0,83</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rFonts w:eastAsia="Calibri"/>
                <w:sz w:val="22"/>
                <w:szCs w:val="22"/>
              </w:rPr>
            </w:pPr>
            <w:r>
              <w:rPr>
                <w:sz w:val="22"/>
                <w:szCs w:val="22"/>
              </w:rPr>
              <w:t>2-</w:t>
            </w:r>
            <w:r>
              <w:rPr>
                <w:rFonts w:eastAsia="Calibri"/>
                <w:sz w:val="22"/>
                <w:szCs w:val="22"/>
              </w:rPr>
              <w:t xml:space="preserve">sidet </w:t>
            </w:r>
            <w:r>
              <w:rPr>
                <w:sz w:val="22"/>
                <w:szCs w:val="22"/>
              </w:rPr>
              <w:t>95% CI</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0,78 til 0,97</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0,73 til0,94</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w:t>
            </w:r>
            <w:r>
              <w:rPr>
                <w:rFonts w:eastAsia="Calibri"/>
                <w:sz w:val="22"/>
                <w:szCs w:val="22"/>
              </w:rPr>
              <w:t>værdi</w:t>
            </w:r>
            <w:proofErr w:type="spellEnd"/>
            <w:r>
              <w:rPr>
                <w:rFonts w:eastAsia="Calibri"/>
                <w:sz w:val="22"/>
                <w:szCs w:val="22"/>
              </w:rPr>
              <w:t xml:space="preserve"> </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0,0127</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0,0049</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pStyle w:val="Default"/>
              <w:rPr>
                <w:rFonts w:ascii="Times New Roman" w:hAnsi="Times New Roman" w:cs="Times New Roman"/>
                <w:sz w:val="22"/>
                <w:szCs w:val="22"/>
                <w:lang w:val="da-DK"/>
              </w:rPr>
            </w:pPr>
            <w:r>
              <w:rPr>
                <w:rFonts w:ascii="Times New Roman" w:hAnsi="Times New Roman" w:cs="Times New Roman"/>
                <w:b/>
                <w:bCs/>
                <w:sz w:val="22"/>
                <w:szCs w:val="22"/>
                <w:lang w:val="da-DK"/>
              </w:rPr>
              <w:t xml:space="preserve">Fjern sygdomsfri overlevelse </w:t>
            </w:r>
            <w:r>
              <w:rPr>
                <w:rFonts w:ascii="Times New Roman" w:eastAsia="Times New Roman" w:hAnsi="Times New Roman" w:cs="Times New Roman"/>
                <w:b/>
                <w:bCs/>
                <w:color w:val="auto"/>
                <w:sz w:val="22"/>
                <w:szCs w:val="22"/>
                <w:vertAlign w:val="superscript"/>
                <w:lang w:val="da-DK"/>
              </w:rPr>
              <w:t xml:space="preserve">b </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500 (16,0)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530 (17,0)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370 (14,1)</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394 (15,2)</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Hazard</w:t>
            </w:r>
            <w:proofErr w:type="spellEnd"/>
            <w:r>
              <w:rPr>
                <w:sz w:val="22"/>
                <w:szCs w:val="22"/>
              </w:rPr>
              <w:t xml:space="preserve"> ratio</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0,94</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0,93</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w:t>
            </w:r>
            <w:r>
              <w:rPr>
                <w:rFonts w:eastAsia="Calibri"/>
                <w:sz w:val="22"/>
                <w:szCs w:val="22"/>
              </w:rPr>
              <w:t xml:space="preserve">sidet </w:t>
            </w:r>
            <w:r>
              <w:rPr>
                <w:sz w:val="22"/>
                <w:szCs w:val="22"/>
              </w:rPr>
              <w:t>95% CI</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0,83 til1,06</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0,80 til1,07</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w:t>
            </w:r>
            <w:r>
              <w:rPr>
                <w:rFonts w:eastAsia="Calibri"/>
                <w:sz w:val="22"/>
                <w:szCs w:val="22"/>
              </w:rPr>
              <w:t>værdi</w:t>
            </w:r>
            <w:proofErr w:type="spellEnd"/>
            <w:r>
              <w:rPr>
                <w:rFonts w:eastAsia="Calibri"/>
                <w:sz w:val="22"/>
                <w:szCs w:val="22"/>
              </w:rPr>
              <w:t xml:space="preserve"> </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0,2850</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0,2838</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pStyle w:val="Default"/>
              <w:rPr>
                <w:rFonts w:ascii="Times New Roman" w:hAnsi="Times New Roman" w:cs="Times New Roman"/>
                <w:color w:val="auto"/>
                <w:sz w:val="22"/>
                <w:szCs w:val="22"/>
                <w:lang w:val="da-DK"/>
              </w:rPr>
            </w:pPr>
            <w:r>
              <w:rPr>
                <w:rFonts w:ascii="Times New Roman" w:hAnsi="Times New Roman" w:cs="Times New Roman"/>
                <w:b/>
                <w:bCs/>
                <w:color w:val="auto"/>
                <w:sz w:val="22"/>
                <w:szCs w:val="22"/>
                <w:lang w:val="da-DK"/>
              </w:rPr>
              <w:t xml:space="preserve">Tid til recidiv </w:t>
            </w:r>
            <w:r>
              <w:rPr>
                <w:rFonts w:ascii="Times New Roman" w:eastAsia="Times New Roman" w:hAnsi="Times New Roman" w:cs="Times New Roman"/>
                <w:b/>
                <w:bCs/>
                <w:color w:val="auto"/>
                <w:sz w:val="22"/>
                <w:szCs w:val="22"/>
                <w:vertAlign w:val="superscript"/>
                <w:lang w:val="da-DK"/>
              </w:rPr>
              <w:t>c</w:t>
            </w:r>
            <w:r>
              <w:rPr>
                <w:rFonts w:ascii="Times New Roman" w:hAnsi="Times New Roman" w:cs="Times New Roman"/>
                <w:b/>
                <w:bCs/>
                <w:color w:val="auto"/>
                <w:position w:val="8"/>
                <w:sz w:val="22"/>
                <w:szCs w:val="22"/>
                <w:vertAlign w:val="superscript"/>
                <w:lang w:val="da-DK"/>
              </w:rPr>
              <w:t xml:space="preserve"> </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402 (12,9)</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498 (16,0)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282 (10,8)</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370 (14,2)</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Hazard</w:t>
            </w:r>
            <w:proofErr w:type="spellEnd"/>
            <w:r>
              <w:rPr>
                <w:sz w:val="22"/>
                <w:szCs w:val="22"/>
              </w:rPr>
              <w:t xml:space="preserve"> ratio</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0,79</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0,74</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w:t>
            </w:r>
            <w:r>
              <w:rPr>
                <w:rFonts w:eastAsia="Calibri"/>
                <w:sz w:val="22"/>
                <w:szCs w:val="22"/>
              </w:rPr>
              <w:t xml:space="preserve">sidet </w:t>
            </w:r>
            <w:r>
              <w:rPr>
                <w:sz w:val="22"/>
                <w:szCs w:val="22"/>
              </w:rPr>
              <w:t>95% CI</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0,70 til0,90</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0,64 til0,87</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w:t>
            </w:r>
            <w:r>
              <w:rPr>
                <w:rFonts w:eastAsia="Calibri"/>
                <w:sz w:val="22"/>
                <w:szCs w:val="22"/>
              </w:rPr>
              <w:t>værdi</w:t>
            </w:r>
            <w:proofErr w:type="spellEnd"/>
            <w:r>
              <w:rPr>
                <w:rFonts w:eastAsia="Calibri"/>
                <w:sz w:val="22"/>
                <w:szCs w:val="22"/>
              </w:rPr>
              <w:t xml:space="preserve"> </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0,0005</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0,0002</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pStyle w:val="Default"/>
              <w:rPr>
                <w:rFonts w:ascii="Times New Roman" w:hAnsi="Times New Roman" w:cs="Times New Roman"/>
                <w:color w:val="auto"/>
                <w:sz w:val="22"/>
                <w:szCs w:val="22"/>
                <w:lang w:val="da-DK"/>
              </w:rPr>
            </w:pPr>
            <w:r>
              <w:rPr>
                <w:rFonts w:ascii="Times New Roman" w:hAnsi="Times New Roman" w:cs="Times New Roman"/>
                <w:b/>
                <w:bCs/>
                <w:color w:val="auto"/>
                <w:sz w:val="22"/>
                <w:szCs w:val="22"/>
                <w:lang w:val="da-DK"/>
              </w:rPr>
              <w:t xml:space="preserve">Tid til fjernt recidiv </w:t>
            </w:r>
            <w:r>
              <w:rPr>
                <w:rFonts w:ascii="Times New Roman" w:eastAsia="Times New Roman" w:hAnsi="Times New Roman" w:cs="Times New Roman"/>
                <w:b/>
                <w:bCs/>
                <w:color w:val="auto"/>
                <w:sz w:val="22"/>
                <w:szCs w:val="22"/>
                <w:vertAlign w:val="superscript"/>
                <w:lang w:val="da-DK"/>
              </w:rPr>
              <w:t>d</w:t>
            </w:r>
            <w:r>
              <w:rPr>
                <w:rFonts w:ascii="Times New Roman" w:hAnsi="Times New Roman" w:cs="Times New Roman"/>
                <w:b/>
                <w:bCs/>
                <w:color w:val="auto"/>
                <w:position w:val="8"/>
                <w:sz w:val="22"/>
                <w:szCs w:val="22"/>
                <w:vertAlign w:val="superscript"/>
                <w:lang w:val="da-DK"/>
              </w:rPr>
              <w:t xml:space="preserve"> </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324 (10,4)</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375 (12,0)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226 (8,6)</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265 (10,2)</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Hazard</w:t>
            </w:r>
            <w:proofErr w:type="spellEnd"/>
            <w:r>
              <w:rPr>
                <w:sz w:val="22"/>
                <w:szCs w:val="22"/>
              </w:rPr>
              <w:t xml:space="preserve"> ratio</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0,86</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0,84</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w:t>
            </w:r>
            <w:r>
              <w:rPr>
                <w:rFonts w:eastAsia="Calibri"/>
                <w:sz w:val="22"/>
                <w:szCs w:val="22"/>
              </w:rPr>
              <w:t xml:space="preserve">sidet </w:t>
            </w:r>
            <w:r>
              <w:rPr>
                <w:sz w:val="22"/>
                <w:szCs w:val="22"/>
              </w:rPr>
              <w:t>95% CI</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0,74 til0,99</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0,70 til1,00</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w:t>
            </w:r>
            <w:r>
              <w:rPr>
                <w:rFonts w:eastAsia="Calibri"/>
                <w:sz w:val="22"/>
                <w:szCs w:val="22"/>
              </w:rPr>
              <w:t>værdi</w:t>
            </w:r>
            <w:proofErr w:type="spellEnd"/>
            <w:r>
              <w:rPr>
                <w:rFonts w:eastAsia="Calibri"/>
                <w:sz w:val="22"/>
                <w:szCs w:val="22"/>
              </w:rPr>
              <w:t xml:space="preserve"> </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0,0427</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0,0559</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pStyle w:val="Default"/>
              <w:rPr>
                <w:rFonts w:ascii="Times New Roman" w:hAnsi="Times New Roman" w:cs="Times New Roman"/>
                <w:color w:val="auto"/>
                <w:sz w:val="22"/>
                <w:szCs w:val="22"/>
                <w:lang w:val="da-DK"/>
              </w:rPr>
            </w:pPr>
            <w:r>
              <w:rPr>
                <w:rFonts w:ascii="Times New Roman" w:hAnsi="Times New Roman" w:cs="Times New Roman"/>
                <w:b/>
                <w:bCs/>
                <w:color w:val="auto"/>
                <w:sz w:val="22"/>
                <w:szCs w:val="22"/>
                <w:lang w:val="da-DK"/>
              </w:rPr>
              <w:t xml:space="preserve">Ny kontralateral brystkræft </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35 (1,1)</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59 (1,9)</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26 (1,0)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54 (2,1)</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Odds ratio</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0,59</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0,47</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w:t>
            </w:r>
            <w:r>
              <w:rPr>
                <w:rFonts w:eastAsia="Calibri"/>
                <w:sz w:val="22"/>
                <w:szCs w:val="22"/>
              </w:rPr>
              <w:t xml:space="preserve">sidet </w:t>
            </w:r>
            <w:r>
              <w:rPr>
                <w:sz w:val="22"/>
                <w:szCs w:val="22"/>
              </w:rPr>
              <w:t>95% CI</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0,39 til0,89</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0,30 til0,76</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w:t>
            </w:r>
            <w:r>
              <w:rPr>
                <w:rFonts w:eastAsia="Calibri"/>
                <w:sz w:val="22"/>
                <w:szCs w:val="22"/>
              </w:rPr>
              <w:t>værdi</w:t>
            </w:r>
            <w:proofErr w:type="spellEnd"/>
            <w:r>
              <w:rPr>
                <w:rFonts w:eastAsia="Calibri"/>
                <w:sz w:val="22"/>
                <w:szCs w:val="22"/>
              </w:rPr>
              <w:t xml:space="preserve"> </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0,0131</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0,0018</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pStyle w:val="Default"/>
              <w:rPr>
                <w:rFonts w:ascii="Times New Roman" w:hAnsi="Times New Roman" w:cs="Times New Roman"/>
                <w:color w:val="auto"/>
                <w:sz w:val="22"/>
                <w:szCs w:val="22"/>
                <w:lang w:val="da-DK"/>
              </w:rPr>
            </w:pPr>
            <w:r>
              <w:rPr>
                <w:rFonts w:ascii="Times New Roman" w:hAnsi="Times New Roman" w:cs="Times New Roman"/>
                <w:b/>
                <w:bCs/>
                <w:color w:val="auto"/>
                <w:sz w:val="22"/>
                <w:szCs w:val="22"/>
                <w:lang w:val="da-DK"/>
              </w:rPr>
              <w:t xml:space="preserve">Samlet overlevelse </w:t>
            </w:r>
            <w:r>
              <w:rPr>
                <w:rFonts w:ascii="Times New Roman" w:eastAsia="Times New Roman" w:hAnsi="Times New Roman" w:cs="Times New Roman"/>
                <w:b/>
                <w:bCs/>
                <w:color w:val="auto"/>
                <w:sz w:val="22"/>
                <w:szCs w:val="22"/>
                <w:vertAlign w:val="superscript"/>
                <w:lang w:val="da-DK"/>
              </w:rPr>
              <w:t>e</w:t>
            </w:r>
            <w:r>
              <w:rPr>
                <w:rFonts w:ascii="Times New Roman" w:hAnsi="Times New Roman" w:cs="Times New Roman"/>
                <w:b/>
                <w:bCs/>
                <w:color w:val="auto"/>
                <w:position w:val="8"/>
                <w:sz w:val="22"/>
                <w:szCs w:val="22"/>
                <w:vertAlign w:val="superscript"/>
                <w:lang w:val="da-DK"/>
              </w:rPr>
              <w:t xml:space="preserve"> </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411 (13,2)</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420 (13,5)</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296 (11,3)</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301 (11,6)</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Hazard</w:t>
            </w:r>
            <w:proofErr w:type="spellEnd"/>
            <w:r>
              <w:rPr>
                <w:sz w:val="22"/>
                <w:szCs w:val="22"/>
              </w:rPr>
              <w:t xml:space="preserve"> ratio</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0,97</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0,97</w:t>
            </w:r>
          </w:p>
        </w:tc>
      </w:tr>
      <w:tr w:rsidR="002D431C" w:rsidTr="003B4BCE">
        <w:trPr>
          <w:trHeight w:val="242"/>
        </w:trPr>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w:t>
            </w:r>
            <w:r>
              <w:rPr>
                <w:rFonts w:eastAsia="Calibri"/>
                <w:sz w:val="22"/>
                <w:szCs w:val="22"/>
              </w:rPr>
              <w:t xml:space="preserve">sidet </w:t>
            </w:r>
            <w:r>
              <w:rPr>
                <w:sz w:val="22"/>
                <w:szCs w:val="22"/>
              </w:rPr>
              <w:t>95% CI</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0,85 til1,12</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0,83 til1,14</w:t>
            </w:r>
          </w:p>
        </w:tc>
      </w:tr>
      <w:tr w:rsidR="002D431C" w:rsidTr="003B4BCE">
        <w:tc>
          <w:tcPr>
            <w:tcW w:w="1716"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w:t>
            </w:r>
            <w:r>
              <w:rPr>
                <w:rFonts w:eastAsia="Calibri"/>
                <w:sz w:val="20"/>
              </w:rPr>
              <w:t>værdi</w:t>
            </w:r>
            <w:proofErr w:type="spellEnd"/>
            <w:r>
              <w:rPr>
                <w:rFonts w:eastAsia="Calibri"/>
                <w:sz w:val="20"/>
              </w:rPr>
              <w:t xml:space="preserve"> </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0,7142</w:t>
            </w:r>
          </w:p>
        </w:tc>
        <w:tc>
          <w:tcPr>
            <w:tcW w:w="1642"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0,7339</w:t>
            </w:r>
          </w:p>
        </w:tc>
      </w:tr>
    </w:tbl>
    <w:p w:rsidR="002D431C" w:rsidRPr="00E11763" w:rsidRDefault="002D431C" w:rsidP="002D431C">
      <w:pPr>
        <w:ind w:left="1276" w:hanging="425"/>
        <w:rPr>
          <w:sz w:val="24"/>
          <w:szCs w:val="24"/>
        </w:rPr>
      </w:pPr>
      <w:r w:rsidRPr="00E11763">
        <w:rPr>
          <w:sz w:val="24"/>
          <w:szCs w:val="24"/>
          <w:vertAlign w:val="superscript"/>
        </w:rPr>
        <w:t>a</w:t>
      </w:r>
      <w:r w:rsidRPr="00E11763">
        <w:rPr>
          <w:sz w:val="24"/>
          <w:szCs w:val="24"/>
        </w:rPr>
        <w:tab/>
        <w:t xml:space="preserve">Sygdomsfri overlevelse inkluderer alle recidiverende hændelser og defineres som den første forekomst af </w:t>
      </w:r>
      <w:proofErr w:type="spellStart"/>
      <w:r w:rsidRPr="00E11763">
        <w:rPr>
          <w:sz w:val="24"/>
          <w:szCs w:val="24"/>
        </w:rPr>
        <w:t>loko</w:t>
      </w:r>
      <w:proofErr w:type="spellEnd"/>
      <w:r w:rsidRPr="00E11763">
        <w:rPr>
          <w:sz w:val="24"/>
          <w:szCs w:val="24"/>
        </w:rPr>
        <w:t>-regionalt recidiv, kontralateral ny brystkræft, fjernt recidiv eller død (uanset årsag).</w:t>
      </w:r>
    </w:p>
    <w:p w:rsidR="002D431C" w:rsidRPr="00E11763" w:rsidRDefault="002D431C" w:rsidP="002D431C">
      <w:pPr>
        <w:ind w:left="1276" w:hanging="425"/>
        <w:rPr>
          <w:sz w:val="24"/>
          <w:szCs w:val="24"/>
        </w:rPr>
      </w:pPr>
      <w:r w:rsidRPr="00E11763">
        <w:rPr>
          <w:sz w:val="24"/>
          <w:szCs w:val="24"/>
          <w:vertAlign w:val="superscript"/>
        </w:rPr>
        <w:lastRenderedPageBreak/>
        <w:t>b</w:t>
      </w:r>
      <w:r w:rsidRPr="00E11763">
        <w:rPr>
          <w:sz w:val="24"/>
          <w:szCs w:val="24"/>
          <w:vertAlign w:val="superscript"/>
        </w:rPr>
        <w:tab/>
      </w:r>
      <w:r w:rsidRPr="00E11763">
        <w:rPr>
          <w:sz w:val="24"/>
          <w:szCs w:val="24"/>
        </w:rPr>
        <w:t>Fjern sygdomsfri overlevelse defineres som den første forekomst af fjernt recidiv eller død (uanset årsag).</w:t>
      </w:r>
    </w:p>
    <w:p w:rsidR="002D431C" w:rsidRPr="00E11763" w:rsidRDefault="002D431C" w:rsidP="002D431C">
      <w:pPr>
        <w:ind w:left="1276" w:hanging="425"/>
        <w:rPr>
          <w:sz w:val="24"/>
          <w:szCs w:val="24"/>
        </w:rPr>
      </w:pPr>
      <w:r w:rsidRPr="00E11763">
        <w:rPr>
          <w:sz w:val="24"/>
          <w:szCs w:val="24"/>
          <w:vertAlign w:val="superscript"/>
        </w:rPr>
        <w:t>c</w:t>
      </w:r>
      <w:r w:rsidRPr="00E11763">
        <w:rPr>
          <w:sz w:val="24"/>
          <w:szCs w:val="24"/>
        </w:rPr>
        <w:tab/>
        <w:t xml:space="preserve">Tid til recidiv defineres som den første forekomst af </w:t>
      </w:r>
      <w:proofErr w:type="spellStart"/>
      <w:r w:rsidRPr="00E11763">
        <w:rPr>
          <w:sz w:val="24"/>
          <w:szCs w:val="24"/>
        </w:rPr>
        <w:t>loko</w:t>
      </w:r>
      <w:proofErr w:type="spellEnd"/>
      <w:r w:rsidRPr="00E11763">
        <w:rPr>
          <w:sz w:val="24"/>
          <w:szCs w:val="24"/>
        </w:rPr>
        <w:t>-regionalt recidiv, kontralateral ny brystkræft, fjernt recidiv eller død på grund af brystkræft.</w:t>
      </w:r>
    </w:p>
    <w:p w:rsidR="002D431C" w:rsidRPr="00E11763" w:rsidRDefault="002D431C" w:rsidP="002D431C">
      <w:pPr>
        <w:ind w:left="1276" w:hanging="425"/>
        <w:rPr>
          <w:sz w:val="24"/>
          <w:szCs w:val="24"/>
        </w:rPr>
      </w:pPr>
      <w:r w:rsidRPr="00E11763">
        <w:rPr>
          <w:sz w:val="24"/>
          <w:szCs w:val="24"/>
          <w:vertAlign w:val="superscript"/>
        </w:rPr>
        <w:t>d</w:t>
      </w:r>
      <w:r w:rsidRPr="00E11763">
        <w:rPr>
          <w:sz w:val="24"/>
          <w:szCs w:val="24"/>
        </w:rPr>
        <w:tab/>
        <w:t xml:space="preserve">Tid til fjernt recidiv defineres som den første forekomst af fjernt recidiv eller død på grund af brystkræft. </w:t>
      </w:r>
    </w:p>
    <w:p w:rsidR="002D431C" w:rsidRPr="00E11763" w:rsidRDefault="002D431C" w:rsidP="002D431C">
      <w:pPr>
        <w:ind w:left="1276" w:hanging="425"/>
        <w:rPr>
          <w:sz w:val="24"/>
          <w:szCs w:val="24"/>
        </w:rPr>
      </w:pPr>
      <w:r w:rsidRPr="00E11763">
        <w:rPr>
          <w:sz w:val="24"/>
          <w:szCs w:val="24"/>
          <w:vertAlign w:val="superscript"/>
        </w:rPr>
        <w:t>e</w:t>
      </w:r>
      <w:r w:rsidRPr="00E11763">
        <w:rPr>
          <w:sz w:val="24"/>
          <w:szCs w:val="24"/>
          <w:vertAlign w:val="superscript"/>
        </w:rPr>
        <w:tab/>
      </w:r>
      <w:r w:rsidRPr="00E11763">
        <w:rPr>
          <w:sz w:val="24"/>
          <w:szCs w:val="24"/>
        </w:rPr>
        <w:t xml:space="preserve">Antal (%) patienter, der døde. </w:t>
      </w:r>
    </w:p>
    <w:p w:rsidR="002D431C" w:rsidRPr="00E11763" w:rsidRDefault="002D431C" w:rsidP="002D431C">
      <w:pPr>
        <w:ind w:left="851" w:hanging="851"/>
        <w:rPr>
          <w:iCs/>
          <w:sz w:val="24"/>
          <w:szCs w:val="24"/>
        </w:rPr>
      </w:pPr>
    </w:p>
    <w:p w:rsidR="002D431C" w:rsidRPr="00E11763" w:rsidRDefault="002D431C" w:rsidP="002D431C">
      <w:pPr>
        <w:ind w:left="851" w:hanging="851"/>
        <w:rPr>
          <w:iCs/>
          <w:sz w:val="24"/>
          <w:szCs w:val="24"/>
        </w:rPr>
      </w:pPr>
      <w:r>
        <w:rPr>
          <w:iCs/>
          <w:sz w:val="24"/>
          <w:szCs w:val="24"/>
        </w:rPr>
        <w:tab/>
      </w:r>
      <w:r w:rsidRPr="00E11763">
        <w:rPr>
          <w:iCs/>
          <w:sz w:val="24"/>
          <w:szCs w:val="24"/>
        </w:rPr>
        <w:t xml:space="preserve">Kombination af </w:t>
      </w:r>
      <w:proofErr w:type="spellStart"/>
      <w:r w:rsidRPr="00E11763">
        <w:rPr>
          <w:iCs/>
          <w:sz w:val="24"/>
          <w:szCs w:val="24"/>
        </w:rPr>
        <w:t>anastrozol</w:t>
      </w:r>
      <w:proofErr w:type="spellEnd"/>
      <w:r w:rsidRPr="00E11763">
        <w:rPr>
          <w:iCs/>
          <w:sz w:val="24"/>
          <w:szCs w:val="24"/>
        </w:rPr>
        <w:t xml:space="preserve"> og </w:t>
      </w:r>
      <w:proofErr w:type="spellStart"/>
      <w:r w:rsidRPr="00E11763">
        <w:rPr>
          <w:iCs/>
          <w:sz w:val="24"/>
          <w:szCs w:val="24"/>
        </w:rPr>
        <w:t>tamoxifen</w:t>
      </w:r>
      <w:proofErr w:type="spellEnd"/>
      <w:r w:rsidRPr="00E11763">
        <w:rPr>
          <w:iCs/>
          <w:sz w:val="24"/>
          <w:szCs w:val="24"/>
        </w:rPr>
        <w:t xml:space="preserve"> udviste ikke nogen effektfordele sammenlignet med </w:t>
      </w:r>
      <w:proofErr w:type="spellStart"/>
      <w:r w:rsidRPr="00E11763">
        <w:rPr>
          <w:iCs/>
          <w:sz w:val="24"/>
          <w:szCs w:val="24"/>
        </w:rPr>
        <w:t>tamoxifen</w:t>
      </w:r>
      <w:proofErr w:type="spellEnd"/>
      <w:r w:rsidRPr="00E11763">
        <w:rPr>
          <w:iCs/>
          <w:sz w:val="24"/>
          <w:szCs w:val="24"/>
        </w:rPr>
        <w:t xml:space="preserve"> hverken hos den totale population eller hos hormonreceptor-positiv-populationen. Denne behandlingsarm blev ekskluderet fra forsøget.</w:t>
      </w:r>
    </w:p>
    <w:p w:rsidR="002D431C" w:rsidRPr="00E11763" w:rsidRDefault="002D431C" w:rsidP="002D431C">
      <w:pPr>
        <w:ind w:left="851" w:hanging="851"/>
        <w:rPr>
          <w:iCs/>
          <w:sz w:val="24"/>
          <w:szCs w:val="24"/>
        </w:rPr>
      </w:pPr>
    </w:p>
    <w:p w:rsidR="002D431C" w:rsidRPr="00E11763" w:rsidRDefault="002D431C" w:rsidP="002D431C">
      <w:pPr>
        <w:ind w:left="851" w:hanging="851"/>
        <w:rPr>
          <w:iCs/>
          <w:sz w:val="24"/>
          <w:szCs w:val="24"/>
        </w:rPr>
      </w:pPr>
      <w:r>
        <w:rPr>
          <w:iCs/>
          <w:sz w:val="24"/>
          <w:szCs w:val="24"/>
        </w:rPr>
        <w:tab/>
      </w:r>
      <w:r w:rsidRPr="00E11763">
        <w:rPr>
          <w:iCs/>
          <w:sz w:val="24"/>
          <w:szCs w:val="24"/>
        </w:rPr>
        <w:t xml:space="preserve">Med en opdateret opfølgning ved en median på 10 år blev det påvist, at langvarig sammenligning af behandlingsvirkningerne af </w:t>
      </w:r>
      <w:proofErr w:type="spellStart"/>
      <w:r w:rsidRPr="00E11763">
        <w:rPr>
          <w:iCs/>
          <w:sz w:val="24"/>
          <w:szCs w:val="24"/>
        </w:rPr>
        <w:t>anastrozol</w:t>
      </w:r>
      <w:proofErr w:type="spellEnd"/>
      <w:r w:rsidRPr="00E11763">
        <w:rPr>
          <w:iCs/>
          <w:sz w:val="24"/>
          <w:szCs w:val="24"/>
        </w:rPr>
        <w:t xml:space="preserve"> i forhold til </w:t>
      </w:r>
      <w:proofErr w:type="spellStart"/>
      <w:r w:rsidRPr="00E11763">
        <w:rPr>
          <w:iCs/>
          <w:sz w:val="24"/>
          <w:szCs w:val="24"/>
        </w:rPr>
        <w:t>tamoxifen</w:t>
      </w:r>
      <w:proofErr w:type="spellEnd"/>
      <w:r w:rsidRPr="00E11763">
        <w:rPr>
          <w:iCs/>
          <w:sz w:val="24"/>
          <w:szCs w:val="24"/>
        </w:rPr>
        <w:t xml:space="preserve"> var i overensstemmelse med tidligere analyser.</w:t>
      </w:r>
    </w:p>
    <w:p w:rsidR="002D431C" w:rsidRPr="00E11763" w:rsidRDefault="002D431C" w:rsidP="002D431C">
      <w:pPr>
        <w:ind w:left="851" w:hanging="851"/>
        <w:rPr>
          <w:iCs/>
          <w:sz w:val="24"/>
          <w:szCs w:val="24"/>
        </w:rPr>
      </w:pPr>
    </w:p>
    <w:p w:rsidR="002D431C" w:rsidRPr="00E11763" w:rsidRDefault="002D431C" w:rsidP="002D431C">
      <w:pPr>
        <w:ind w:left="851" w:hanging="851"/>
        <w:rPr>
          <w:i/>
          <w:sz w:val="24"/>
          <w:szCs w:val="24"/>
          <w:u w:val="single"/>
        </w:rPr>
      </w:pPr>
      <w:r w:rsidRPr="002104D8">
        <w:rPr>
          <w:sz w:val="24"/>
          <w:szCs w:val="24"/>
        </w:rPr>
        <w:tab/>
      </w:r>
      <w:proofErr w:type="spellStart"/>
      <w:r w:rsidRPr="00E11763">
        <w:rPr>
          <w:i/>
          <w:sz w:val="24"/>
          <w:szCs w:val="24"/>
          <w:u w:val="single"/>
        </w:rPr>
        <w:t>Adjuverende</w:t>
      </w:r>
      <w:proofErr w:type="spellEnd"/>
      <w:r w:rsidRPr="00E11763">
        <w:rPr>
          <w:i/>
          <w:sz w:val="24"/>
          <w:szCs w:val="24"/>
          <w:u w:val="single"/>
        </w:rPr>
        <w:t xml:space="preserve"> behandling af tidlig invasiv brystkræft hos hormonreceptor-positive patienter, som behandles med </w:t>
      </w:r>
      <w:proofErr w:type="spellStart"/>
      <w:r w:rsidRPr="00E11763">
        <w:rPr>
          <w:i/>
          <w:sz w:val="24"/>
          <w:szCs w:val="24"/>
          <w:u w:val="single"/>
        </w:rPr>
        <w:t>adjuverende</w:t>
      </w:r>
      <w:proofErr w:type="spellEnd"/>
      <w:r w:rsidRPr="00E11763">
        <w:rPr>
          <w:i/>
          <w:sz w:val="24"/>
          <w:szCs w:val="24"/>
          <w:u w:val="single"/>
        </w:rPr>
        <w:t xml:space="preserve"> </w:t>
      </w:r>
      <w:proofErr w:type="spellStart"/>
      <w:r w:rsidRPr="00E11763">
        <w:rPr>
          <w:i/>
          <w:sz w:val="24"/>
          <w:szCs w:val="24"/>
          <w:u w:val="single"/>
        </w:rPr>
        <w:t>tamoxifen</w:t>
      </w:r>
      <w:proofErr w:type="spellEnd"/>
    </w:p>
    <w:p w:rsidR="002D431C" w:rsidRPr="00E11763" w:rsidRDefault="002D431C" w:rsidP="002D431C">
      <w:pPr>
        <w:ind w:left="851" w:hanging="851"/>
        <w:rPr>
          <w:iCs/>
          <w:sz w:val="24"/>
          <w:szCs w:val="24"/>
        </w:rPr>
      </w:pPr>
      <w:r>
        <w:rPr>
          <w:iCs/>
          <w:sz w:val="24"/>
          <w:szCs w:val="24"/>
        </w:rPr>
        <w:tab/>
      </w:r>
      <w:r w:rsidRPr="00E11763">
        <w:rPr>
          <w:iCs/>
          <w:sz w:val="24"/>
          <w:szCs w:val="24"/>
        </w:rPr>
        <w:t xml:space="preserve">I et fase III-forsøg (Austrian </w:t>
      </w:r>
      <w:proofErr w:type="spellStart"/>
      <w:r w:rsidRPr="00E11763">
        <w:rPr>
          <w:iCs/>
          <w:sz w:val="24"/>
          <w:szCs w:val="24"/>
        </w:rPr>
        <w:t>Breast</w:t>
      </w:r>
      <w:proofErr w:type="spellEnd"/>
      <w:r w:rsidRPr="00E11763">
        <w:rPr>
          <w:iCs/>
          <w:sz w:val="24"/>
          <w:szCs w:val="24"/>
        </w:rPr>
        <w:t xml:space="preserve"> and </w:t>
      </w:r>
      <w:proofErr w:type="spellStart"/>
      <w:r w:rsidRPr="00E11763">
        <w:rPr>
          <w:iCs/>
          <w:sz w:val="24"/>
          <w:szCs w:val="24"/>
        </w:rPr>
        <w:t>Colorectal</w:t>
      </w:r>
      <w:proofErr w:type="spellEnd"/>
      <w:r w:rsidRPr="00E11763">
        <w:rPr>
          <w:iCs/>
          <w:sz w:val="24"/>
          <w:szCs w:val="24"/>
        </w:rPr>
        <w:t xml:space="preserve"> Cancer </w:t>
      </w:r>
      <w:proofErr w:type="spellStart"/>
      <w:r w:rsidRPr="00E11763">
        <w:rPr>
          <w:iCs/>
          <w:sz w:val="24"/>
          <w:szCs w:val="24"/>
        </w:rPr>
        <w:t>Study</w:t>
      </w:r>
      <w:proofErr w:type="spellEnd"/>
      <w:r w:rsidRPr="00E11763">
        <w:rPr>
          <w:iCs/>
          <w:sz w:val="24"/>
          <w:szCs w:val="24"/>
        </w:rPr>
        <w:t xml:space="preserve"> Group [ABCSG] 8) indgik 2.579 </w:t>
      </w:r>
      <w:proofErr w:type="spellStart"/>
      <w:r w:rsidRPr="00E11763">
        <w:rPr>
          <w:iCs/>
          <w:sz w:val="24"/>
          <w:szCs w:val="24"/>
        </w:rPr>
        <w:t>postmenopausale</w:t>
      </w:r>
      <w:proofErr w:type="spellEnd"/>
      <w:r w:rsidRPr="00E11763">
        <w:rPr>
          <w:iCs/>
          <w:sz w:val="24"/>
          <w:szCs w:val="24"/>
        </w:rPr>
        <w:t xml:space="preserve"> kvinder med hormonreceptor-positiv tidlig brystkræft, der var blevet opereret med eller uden strålebehandling og uden kemoterapi (se nedenfor). Skift til </w:t>
      </w:r>
      <w:proofErr w:type="spellStart"/>
      <w:r w:rsidRPr="00E11763">
        <w:rPr>
          <w:iCs/>
          <w:sz w:val="24"/>
          <w:szCs w:val="24"/>
        </w:rPr>
        <w:t>anastrozol</w:t>
      </w:r>
      <w:proofErr w:type="spellEnd"/>
      <w:r w:rsidRPr="00E11763">
        <w:rPr>
          <w:iCs/>
          <w:sz w:val="24"/>
          <w:szCs w:val="24"/>
        </w:rPr>
        <w:t xml:space="preserve"> efter 2 års </w:t>
      </w:r>
      <w:proofErr w:type="spellStart"/>
      <w:r w:rsidRPr="00E11763">
        <w:rPr>
          <w:iCs/>
          <w:sz w:val="24"/>
          <w:szCs w:val="24"/>
        </w:rPr>
        <w:t>adjuverende</w:t>
      </w:r>
      <w:proofErr w:type="spellEnd"/>
      <w:r w:rsidRPr="00E11763">
        <w:rPr>
          <w:iCs/>
          <w:sz w:val="24"/>
          <w:szCs w:val="24"/>
        </w:rPr>
        <w:t xml:space="preserve"> behandling med </w:t>
      </w:r>
      <w:proofErr w:type="spellStart"/>
      <w:r w:rsidRPr="00E11763">
        <w:rPr>
          <w:iCs/>
          <w:sz w:val="24"/>
          <w:szCs w:val="24"/>
        </w:rPr>
        <w:t>tamoxifen</w:t>
      </w:r>
      <w:proofErr w:type="spellEnd"/>
      <w:r w:rsidRPr="00E11763">
        <w:rPr>
          <w:iCs/>
          <w:sz w:val="24"/>
          <w:szCs w:val="24"/>
        </w:rPr>
        <w:t xml:space="preserve"> var statistisk overlegen i sygdomsfri overlevelse sammenlignet med at forblive på </w:t>
      </w:r>
      <w:proofErr w:type="spellStart"/>
      <w:r w:rsidRPr="00E11763">
        <w:rPr>
          <w:iCs/>
          <w:sz w:val="24"/>
          <w:szCs w:val="24"/>
        </w:rPr>
        <w:t>tamoxifen</w:t>
      </w:r>
      <w:proofErr w:type="spellEnd"/>
      <w:r w:rsidRPr="00E11763">
        <w:rPr>
          <w:iCs/>
          <w:sz w:val="24"/>
          <w:szCs w:val="24"/>
        </w:rPr>
        <w:t xml:space="preserve"> efter en median opfølgning på 24 måneder.</w:t>
      </w:r>
    </w:p>
    <w:p w:rsidR="002D431C" w:rsidRPr="00E11763" w:rsidRDefault="002D431C" w:rsidP="002D431C">
      <w:pPr>
        <w:ind w:left="851" w:hanging="851"/>
        <w:rPr>
          <w:iCs/>
          <w:sz w:val="24"/>
          <w:szCs w:val="24"/>
        </w:rPr>
      </w:pPr>
    </w:p>
    <w:p w:rsidR="002D431C" w:rsidRDefault="002D431C" w:rsidP="002D431C">
      <w:pPr>
        <w:tabs>
          <w:tab w:val="left" w:pos="851"/>
          <w:tab w:val="left" w:pos="1418"/>
        </w:tabs>
        <w:rPr>
          <w:b/>
          <w:sz w:val="24"/>
          <w:lang w:eastAsia="da-DK"/>
        </w:rPr>
      </w:pPr>
      <w:r>
        <w:rPr>
          <w:b/>
        </w:rPr>
        <w:tab/>
        <w:t>Tabel 4</w:t>
      </w:r>
      <w:r>
        <w:rPr>
          <w:b/>
        </w:rPr>
        <w:tab/>
      </w:r>
      <w:r>
        <w:rPr>
          <w:b/>
          <w:bCs/>
        </w:rPr>
        <w:t>ABCSG 8 forsøgsendepunkt og resultatoversigt</w:t>
      </w:r>
    </w:p>
    <w:tbl>
      <w:tblPr>
        <w:tblW w:w="4079"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4"/>
        <w:gridCol w:w="2517"/>
        <w:gridCol w:w="93"/>
        <w:gridCol w:w="2331"/>
      </w:tblGrid>
      <w:tr w:rsidR="002D431C" w:rsidTr="003B4BCE">
        <w:tc>
          <w:tcPr>
            <w:tcW w:w="1855" w:type="pct"/>
            <w:vMerge w:val="restart"/>
            <w:tcBorders>
              <w:top w:val="single" w:sz="4" w:space="0" w:color="000000"/>
              <w:left w:val="single" w:sz="4" w:space="0" w:color="000000"/>
              <w:bottom w:val="single" w:sz="4" w:space="0" w:color="000000"/>
              <w:right w:val="single" w:sz="4" w:space="0" w:color="000000"/>
            </w:tcBorders>
            <w:hideMark/>
          </w:tcPr>
          <w:p w:rsidR="002D431C" w:rsidRDefault="002D431C" w:rsidP="003B4BCE">
            <w:pPr>
              <w:rPr>
                <w:sz w:val="22"/>
                <w:szCs w:val="22"/>
              </w:rPr>
            </w:pPr>
            <w:r>
              <w:rPr>
                <w:b/>
                <w:bCs/>
                <w:sz w:val="22"/>
                <w:szCs w:val="22"/>
              </w:rPr>
              <w:t>Effekt-</w:t>
            </w:r>
            <w:proofErr w:type="spellStart"/>
            <w:r>
              <w:rPr>
                <w:b/>
                <w:bCs/>
                <w:sz w:val="22"/>
                <w:szCs w:val="22"/>
              </w:rPr>
              <w:t>endpoints</w:t>
            </w:r>
            <w:proofErr w:type="spellEnd"/>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b/>
                <w:bCs/>
                <w:sz w:val="22"/>
                <w:szCs w:val="22"/>
              </w:rPr>
              <w:t>Antal hændelser (frekvens)</w:t>
            </w:r>
          </w:p>
        </w:tc>
      </w:tr>
      <w:tr w:rsidR="002D431C" w:rsidTr="003B4BC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rPr>
                <w:sz w:val="22"/>
                <w:szCs w:val="22"/>
              </w:rPr>
            </w:pPr>
          </w:p>
        </w:tc>
        <w:tc>
          <w:tcPr>
            <w:tcW w:w="1661"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proofErr w:type="spellStart"/>
            <w:r>
              <w:rPr>
                <w:b/>
                <w:bCs/>
                <w:sz w:val="22"/>
                <w:szCs w:val="22"/>
              </w:rPr>
              <w:t>Anastrozol</w:t>
            </w:r>
            <w:proofErr w:type="spellEnd"/>
            <w:r>
              <w:rPr>
                <w:b/>
                <w:bCs/>
                <w:sz w:val="22"/>
                <w:szCs w:val="22"/>
              </w:rPr>
              <w:t xml:space="preserve"> </w:t>
            </w:r>
          </w:p>
          <w:p w:rsidR="002D431C" w:rsidRDefault="002D431C" w:rsidP="003B4BCE">
            <w:pPr>
              <w:jc w:val="center"/>
              <w:rPr>
                <w:sz w:val="22"/>
                <w:szCs w:val="22"/>
              </w:rPr>
            </w:pPr>
            <w:r>
              <w:rPr>
                <w:b/>
                <w:bCs/>
                <w:sz w:val="22"/>
                <w:szCs w:val="22"/>
              </w:rPr>
              <w:t>(N=1.297)</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proofErr w:type="spellStart"/>
            <w:r>
              <w:rPr>
                <w:b/>
                <w:bCs/>
                <w:sz w:val="22"/>
                <w:szCs w:val="22"/>
              </w:rPr>
              <w:t>Tamoxifen</w:t>
            </w:r>
            <w:proofErr w:type="spellEnd"/>
          </w:p>
          <w:p w:rsidR="002D431C" w:rsidRDefault="002D431C" w:rsidP="003B4BCE">
            <w:pPr>
              <w:jc w:val="center"/>
              <w:rPr>
                <w:sz w:val="22"/>
                <w:szCs w:val="22"/>
              </w:rPr>
            </w:pPr>
            <w:r>
              <w:rPr>
                <w:b/>
                <w:bCs/>
                <w:sz w:val="22"/>
                <w:szCs w:val="22"/>
              </w:rPr>
              <w:t>(N=1.282)</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rPr>
                <w:sz w:val="22"/>
                <w:szCs w:val="22"/>
              </w:rPr>
            </w:pPr>
            <w:r>
              <w:rPr>
                <w:b/>
                <w:bCs/>
                <w:sz w:val="22"/>
                <w:szCs w:val="22"/>
              </w:rPr>
              <w:t>Sygdomsfri overlevelse</w:t>
            </w:r>
          </w:p>
        </w:tc>
        <w:tc>
          <w:tcPr>
            <w:tcW w:w="1661"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65 (5,0)</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93 (7,3)</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Hazard</w:t>
            </w:r>
            <w:proofErr w:type="spellEnd"/>
            <w:r>
              <w:rPr>
                <w:sz w:val="22"/>
                <w:szCs w:val="22"/>
              </w:rPr>
              <w:t xml:space="preserve"> ratio</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0,67</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2-sidet 95 % CI</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0,49 til0,92</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p-værdi</w:t>
            </w:r>
            <w:proofErr w:type="spellEnd"/>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0,014</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rPr>
                <w:sz w:val="22"/>
                <w:szCs w:val="22"/>
              </w:rPr>
            </w:pPr>
            <w:r>
              <w:rPr>
                <w:b/>
                <w:bCs/>
                <w:sz w:val="22"/>
                <w:szCs w:val="22"/>
              </w:rPr>
              <w:t>Tid til et vilkårligt recidiv</w:t>
            </w:r>
          </w:p>
        </w:tc>
        <w:tc>
          <w:tcPr>
            <w:tcW w:w="1661"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36 (2,8)</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66 (5,1)</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Hazard</w:t>
            </w:r>
            <w:proofErr w:type="spellEnd"/>
            <w:r>
              <w:rPr>
                <w:sz w:val="22"/>
                <w:szCs w:val="22"/>
              </w:rPr>
              <w:t xml:space="preserve"> ratio</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0,53</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2-sidet 95 % CI</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0,35 til0,79</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p-værdi</w:t>
            </w:r>
            <w:proofErr w:type="spellEnd"/>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0,002</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rPr>
                <w:sz w:val="22"/>
                <w:szCs w:val="22"/>
              </w:rPr>
            </w:pPr>
            <w:r>
              <w:rPr>
                <w:b/>
                <w:bCs/>
                <w:sz w:val="22"/>
                <w:szCs w:val="22"/>
              </w:rPr>
              <w:t>Tid til fjernt recidiv</w:t>
            </w:r>
          </w:p>
        </w:tc>
        <w:tc>
          <w:tcPr>
            <w:tcW w:w="1661"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22 (1,7)</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41(3,2)</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Hazard</w:t>
            </w:r>
            <w:proofErr w:type="spellEnd"/>
            <w:r>
              <w:rPr>
                <w:sz w:val="22"/>
                <w:szCs w:val="22"/>
              </w:rPr>
              <w:t xml:space="preserve"> ratio</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0,52</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2-sidet 95 % CI</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0,31 til0,88</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p-værdi</w:t>
            </w:r>
            <w:proofErr w:type="spellEnd"/>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0,015</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rPr>
                <w:sz w:val="22"/>
                <w:szCs w:val="22"/>
              </w:rPr>
            </w:pPr>
            <w:r>
              <w:rPr>
                <w:b/>
                <w:bCs/>
                <w:sz w:val="22"/>
                <w:szCs w:val="22"/>
              </w:rPr>
              <w:t>Ny kontralateral brystkræft</w:t>
            </w:r>
          </w:p>
        </w:tc>
        <w:tc>
          <w:tcPr>
            <w:tcW w:w="1602"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7 (0,5)</w:t>
            </w:r>
          </w:p>
        </w:tc>
        <w:tc>
          <w:tcPr>
            <w:tcW w:w="1543"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15 (1,2)</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Odds ratio</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0,46</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2-sidet 95 % CI</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0,19 til1,13</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p-værdi</w:t>
            </w:r>
            <w:proofErr w:type="spellEnd"/>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0,090</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rPr>
                <w:sz w:val="22"/>
                <w:szCs w:val="22"/>
              </w:rPr>
            </w:pPr>
            <w:r>
              <w:rPr>
                <w:b/>
                <w:bCs/>
                <w:sz w:val="22"/>
                <w:szCs w:val="22"/>
              </w:rPr>
              <w:t>Samlet overlevelse</w:t>
            </w:r>
          </w:p>
        </w:tc>
        <w:tc>
          <w:tcPr>
            <w:tcW w:w="1602" w:type="pct"/>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43(3,3)</w:t>
            </w:r>
          </w:p>
        </w:tc>
        <w:tc>
          <w:tcPr>
            <w:tcW w:w="1543" w:type="pct"/>
            <w:gridSpan w:val="2"/>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45 (3,5)</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Hazard</w:t>
            </w:r>
            <w:proofErr w:type="spellEnd"/>
            <w:r>
              <w:rPr>
                <w:sz w:val="22"/>
                <w:szCs w:val="22"/>
              </w:rPr>
              <w:t xml:space="preserve"> ratio</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0,96</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r>
              <w:rPr>
                <w:sz w:val="22"/>
                <w:szCs w:val="22"/>
              </w:rPr>
              <w:t>2-sidet 95 % CI</w:t>
            </w:r>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0,63 til1,46</w:t>
            </w:r>
          </w:p>
        </w:tc>
      </w:tr>
      <w:tr w:rsidR="002D431C" w:rsidTr="003B4BCE">
        <w:tc>
          <w:tcPr>
            <w:tcW w:w="1855" w:type="pct"/>
            <w:tcBorders>
              <w:top w:val="single" w:sz="4" w:space="0" w:color="000000"/>
              <w:left w:val="single" w:sz="4" w:space="0" w:color="000000"/>
              <w:bottom w:val="single" w:sz="4" w:space="0" w:color="000000"/>
              <w:right w:val="single" w:sz="4" w:space="0" w:color="000000"/>
            </w:tcBorders>
            <w:hideMark/>
          </w:tcPr>
          <w:p w:rsidR="002D431C" w:rsidRDefault="002D431C" w:rsidP="003B4BCE">
            <w:pPr>
              <w:ind w:left="142"/>
              <w:rPr>
                <w:sz w:val="22"/>
                <w:szCs w:val="22"/>
              </w:rPr>
            </w:pPr>
            <w:proofErr w:type="spellStart"/>
            <w:r>
              <w:rPr>
                <w:sz w:val="22"/>
                <w:szCs w:val="22"/>
              </w:rPr>
              <w:t>p-værdi</w:t>
            </w:r>
            <w:proofErr w:type="spellEnd"/>
          </w:p>
        </w:tc>
        <w:tc>
          <w:tcPr>
            <w:tcW w:w="3145" w:type="pct"/>
            <w:gridSpan w:val="3"/>
            <w:tcBorders>
              <w:top w:val="single" w:sz="4" w:space="0" w:color="000000"/>
              <w:left w:val="single" w:sz="4" w:space="0" w:color="000000"/>
              <w:bottom w:val="single" w:sz="4" w:space="0" w:color="000000"/>
              <w:right w:val="single" w:sz="4" w:space="0" w:color="000000"/>
            </w:tcBorders>
            <w:vAlign w:val="center"/>
            <w:hideMark/>
          </w:tcPr>
          <w:p w:rsidR="002D431C" w:rsidRDefault="002D431C" w:rsidP="003B4BCE">
            <w:pPr>
              <w:jc w:val="center"/>
              <w:rPr>
                <w:sz w:val="22"/>
                <w:szCs w:val="22"/>
              </w:rPr>
            </w:pPr>
            <w:r>
              <w:rPr>
                <w:sz w:val="22"/>
                <w:szCs w:val="22"/>
              </w:rPr>
              <w:t>0,840</w:t>
            </w:r>
          </w:p>
        </w:tc>
      </w:tr>
    </w:tbl>
    <w:p w:rsidR="002D431C" w:rsidRDefault="002D431C" w:rsidP="002D431C">
      <w:pPr>
        <w:rPr>
          <w:iCs/>
          <w:sz w:val="24"/>
        </w:rPr>
      </w:pPr>
    </w:p>
    <w:p w:rsidR="002D431C" w:rsidRPr="00E11763" w:rsidRDefault="002D431C" w:rsidP="002D431C">
      <w:pPr>
        <w:ind w:left="851"/>
        <w:rPr>
          <w:iCs/>
          <w:sz w:val="24"/>
          <w:szCs w:val="24"/>
        </w:rPr>
      </w:pPr>
      <w:r w:rsidRPr="00E11763">
        <w:rPr>
          <w:iCs/>
          <w:sz w:val="24"/>
          <w:szCs w:val="24"/>
        </w:rPr>
        <w:lastRenderedPageBreak/>
        <w:t>To andre tilsvarende forsøg (GABG/ARNO 95 og ITA), hvor patienter i et af dem var blevet opereret og havde fået kemoterapi, samt en kombineret analyse af ABCSG 8 og GABG/ARNO 95 underbyggede disse resultater.</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proofErr w:type="spellStart"/>
      <w:r w:rsidRPr="00E11763">
        <w:rPr>
          <w:iCs/>
          <w:sz w:val="24"/>
          <w:szCs w:val="24"/>
        </w:rPr>
        <w:t>Anastrozol</w:t>
      </w:r>
      <w:proofErr w:type="spellEnd"/>
      <w:r w:rsidRPr="00E11763">
        <w:rPr>
          <w:iCs/>
          <w:sz w:val="24"/>
          <w:szCs w:val="24"/>
        </w:rPr>
        <w:t xml:space="preserve"> sikkerhedsprofil i disse 3 forsøg stemte overens med den kendte sikkerhedsprofil, som var fastslået hos </w:t>
      </w:r>
      <w:proofErr w:type="spellStart"/>
      <w:r w:rsidRPr="00E11763">
        <w:rPr>
          <w:iCs/>
          <w:sz w:val="24"/>
          <w:szCs w:val="24"/>
        </w:rPr>
        <w:t>postmenopausale</w:t>
      </w:r>
      <w:proofErr w:type="spellEnd"/>
      <w:r w:rsidRPr="00E11763">
        <w:rPr>
          <w:iCs/>
          <w:sz w:val="24"/>
          <w:szCs w:val="24"/>
        </w:rPr>
        <w:t xml:space="preserve"> kvinder med hormonreceptor-positiv tidlig brystkræft.</w:t>
      </w:r>
    </w:p>
    <w:p w:rsidR="002D431C" w:rsidRPr="00E11763" w:rsidRDefault="002D431C" w:rsidP="002D431C">
      <w:pPr>
        <w:ind w:left="851"/>
        <w:rPr>
          <w:iCs/>
          <w:sz w:val="24"/>
          <w:szCs w:val="24"/>
        </w:rPr>
      </w:pPr>
    </w:p>
    <w:p w:rsidR="002D431C" w:rsidRPr="00E11763" w:rsidRDefault="002D431C" w:rsidP="002D431C">
      <w:pPr>
        <w:ind w:left="851"/>
        <w:rPr>
          <w:i/>
          <w:sz w:val="24"/>
          <w:szCs w:val="24"/>
          <w:u w:val="single"/>
        </w:rPr>
      </w:pPr>
      <w:r w:rsidRPr="00E11763">
        <w:rPr>
          <w:i/>
          <w:sz w:val="24"/>
          <w:szCs w:val="24"/>
          <w:u w:val="single"/>
        </w:rPr>
        <w:t>Knoglemineraltæthed (BMD)</w:t>
      </w:r>
    </w:p>
    <w:p w:rsidR="002D431C" w:rsidRPr="00E11763" w:rsidRDefault="002D431C" w:rsidP="002D431C">
      <w:pPr>
        <w:ind w:left="851"/>
        <w:rPr>
          <w:iCs/>
          <w:sz w:val="24"/>
          <w:szCs w:val="24"/>
        </w:rPr>
      </w:pPr>
      <w:r w:rsidRPr="00E11763">
        <w:rPr>
          <w:iCs/>
          <w:sz w:val="24"/>
          <w:szCs w:val="24"/>
        </w:rPr>
        <w:t>I et fase III/IV-studie (</w:t>
      </w:r>
      <w:proofErr w:type="spellStart"/>
      <w:r w:rsidRPr="00E11763">
        <w:rPr>
          <w:iCs/>
          <w:sz w:val="24"/>
          <w:szCs w:val="24"/>
        </w:rPr>
        <w:t>Study</w:t>
      </w:r>
      <w:proofErr w:type="spellEnd"/>
      <w:r w:rsidRPr="00E11763">
        <w:rPr>
          <w:iCs/>
          <w:sz w:val="24"/>
          <w:szCs w:val="24"/>
        </w:rPr>
        <w:t xml:space="preserve"> of </w:t>
      </w:r>
      <w:proofErr w:type="spellStart"/>
      <w:r w:rsidRPr="00E11763">
        <w:rPr>
          <w:iCs/>
          <w:sz w:val="24"/>
          <w:szCs w:val="24"/>
        </w:rPr>
        <w:t>Anastrozole</w:t>
      </w:r>
      <w:proofErr w:type="spellEnd"/>
      <w:r w:rsidRPr="00E11763">
        <w:rPr>
          <w:iCs/>
          <w:sz w:val="24"/>
          <w:szCs w:val="24"/>
        </w:rPr>
        <w:t xml:space="preserve"> with the </w:t>
      </w:r>
      <w:proofErr w:type="spellStart"/>
      <w:r w:rsidRPr="00E11763">
        <w:rPr>
          <w:iCs/>
          <w:sz w:val="24"/>
          <w:szCs w:val="24"/>
        </w:rPr>
        <w:t>Bisphosphonate</w:t>
      </w:r>
      <w:proofErr w:type="spellEnd"/>
      <w:r w:rsidRPr="00E11763">
        <w:rPr>
          <w:iCs/>
          <w:sz w:val="24"/>
          <w:szCs w:val="24"/>
        </w:rPr>
        <w:t xml:space="preserve"> </w:t>
      </w:r>
      <w:proofErr w:type="spellStart"/>
      <w:r w:rsidRPr="00E11763">
        <w:rPr>
          <w:iCs/>
          <w:sz w:val="24"/>
          <w:szCs w:val="24"/>
        </w:rPr>
        <w:t>Risedronate</w:t>
      </w:r>
      <w:proofErr w:type="spellEnd"/>
      <w:r w:rsidRPr="00E11763">
        <w:rPr>
          <w:iCs/>
          <w:sz w:val="24"/>
          <w:szCs w:val="24"/>
        </w:rPr>
        <w:t xml:space="preserve"> [SABRE]) blev 234 </w:t>
      </w:r>
      <w:proofErr w:type="spellStart"/>
      <w:r w:rsidRPr="00E11763">
        <w:rPr>
          <w:iCs/>
          <w:sz w:val="24"/>
          <w:szCs w:val="24"/>
        </w:rPr>
        <w:t>postmenopausale</w:t>
      </w:r>
      <w:proofErr w:type="spellEnd"/>
      <w:r w:rsidRPr="00E11763">
        <w:rPr>
          <w:iCs/>
          <w:sz w:val="24"/>
          <w:szCs w:val="24"/>
        </w:rPr>
        <w:t xml:space="preserve"> kvinder med hormonreceptor-positiv tidlig brystkræft, planlagt til behandling med </w:t>
      </w:r>
      <w:proofErr w:type="spellStart"/>
      <w:r w:rsidRPr="00E11763">
        <w:rPr>
          <w:iCs/>
          <w:sz w:val="24"/>
          <w:szCs w:val="24"/>
        </w:rPr>
        <w:t>anastrozol</w:t>
      </w:r>
      <w:proofErr w:type="spellEnd"/>
      <w:r w:rsidRPr="00E11763">
        <w:rPr>
          <w:iCs/>
          <w:sz w:val="24"/>
          <w:szCs w:val="24"/>
        </w:rPr>
        <w:t xml:space="preserve"> 1 mg/dag, stratificeret til lav, moderat og høj risikogruppe i henhold til deres eksisterende risiko for fraktur på grund af øget knogleskørhed. Den primære effektparameter var analyse af knogledensiteten i </w:t>
      </w:r>
      <w:proofErr w:type="spellStart"/>
      <w:r w:rsidRPr="00E11763">
        <w:rPr>
          <w:iCs/>
          <w:sz w:val="24"/>
          <w:szCs w:val="24"/>
        </w:rPr>
        <w:t>columna</w:t>
      </w:r>
      <w:proofErr w:type="spellEnd"/>
      <w:r w:rsidRPr="00E11763">
        <w:rPr>
          <w:iCs/>
          <w:sz w:val="24"/>
          <w:szCs w:val="24"/>
        </w:rPr>
        <w:t xml:space="preserve"> </w:t>
      </w:r>
      <w:proofErr w:type="spellStart"/>
      <w:r w:rsidRPr="00E11763">
        <w:rPr>
          <w:iCs/>
          <w:sz w:val="24"/>
          <w:szCs w:val="24"/>
        </w:rPr>
        <w:t>lumbalis</w:t>
      </w:r>
      <w:proofErr w:type="spellEnd"/>
      <w:r w:rsidRPr="00E11763">
        <w:rPr>
          <w:iCs/>
          <w:sz w:val="24"/>
          <w:szCs w:val="24"/>
        </w:rPr>
        <w:t xml:space="preserve"> ved hjælp af DXA-scanning. Alle patienter fik vitamin D og calcium. Patienter i lavrisikogruppen fik </w:t>
      </w:r>
      <w:proofErr w:type="spellStart"/>
      <w:r w:rsidRPr="00E11763">
        <w:rPr>
          <w:iCs/>
          <w:sz w:val="24"/>
          <w:szCs w:val="24"/>
        </w:rPr>
        <w:t>anastrozol</w:t>
      </w:r>
      <w:proofErr w:type="spellEnd"/>
      <w:r w:rsidRPr="00E11763">
        <w:rPr>
          <w:iCs/>
          <w:sz w:val="24"/>
          <w:szCs w:val="24"/>
        </w:rPr>
        <w:t xml:space="preserve"> alene (N=42), patienter med moderat risiko blev randomiseret til </w:t>
      </w:r>
      <w:proofErr w:type="spellStart"/>
      <w:r w:rsidRPr="00E11763">
        <w:rPr>
          <w:iCs/>
          <w:sz w:val="24"/>
          <w:szCs w:val="24"/>
        </w:rPr>
        <w:t>anastrozol</w:t>
      </w:r>
      <w:proofErr w:type="spellEnd"/>
      <w:r w:rsidRPr="00E11763">
        <w:rPr>
          <w:iCs/>
          <w:sz w:val="24"/>
          <w:szCs w:val="24"/>
        </w:rPr>
        <w:t xml:space="preserve"> plus </w:t>
      </w:r>
      <w:proofErr w:type="spellStart"/>
      <w:r w:rsidRPr="00E11763">
        <w:rPr>
          <w:iCs/>
          <w:sz w:val="24"/>
          <w:szCs w:val="24"/>
        </w:rPr>
        <w:t>risedronat</w:t>
      </w:r>
      <w:proofErr w:type="spellEnd"/>
      <w:r w:rsidRPr="00E11763">
        <w:rPr>
          <w:iCs/>
          <w:sz w:val="24"/>
          <w:szCs w:val="24"/>
        </w:rPr>
        <w:t xml:space="preserve"> 35 mg en gang om ugen (N=77) eller </w:t>
      </w:r>
      <w:proofErr w:type="spellStart"/>
      <w:r w:rsidRPr="00E11763">
        <w:rPr>
          <w:iCs/>
          <w:sz w:val="24"/>
          <w:szCs w:val="24"/>
        </w:rPr>
        <w:t>anastrozol</w:t>
      </w:r>
      <w:proofErr w:type="spellEnd"/>
      <w:r w:rsidRPr="00E11763">
        <w:rPr>
          <w:iCs/>
          <w:sz w:val="24"/>
          <w:szCs w:val="24"/>
        </w:rPr>
        <w:t xml:space="preserve"> plus placebo (N=77), og patienter i højrisikogruppen fik </w:t>
      </w:r>
      <w:proofErr w:type="spellStart"/>
      <w:r w:rsidRPr="00E11763">
        <w:rPr>
          <w:iCs/>
          <w:sz w:val="24"/>
          <w:szCs w:val="24"/>
        </w:rPr>
        <w:t>anastrozol</w:t>
      </w:r>
      <w:proofErr w:type="spellEnd"/>
      <w:r w:rsidRPr="00E11763">
        <w:rPr>
          <w:iCs/>
          <w:sz w:val="24"/>
          <w:szCs w:val="24"/>
        </w:rPr>
        <w:t xml:space="preserve"> plus </w:t>
      </w:r>
      <w:proofErr w:type="spellStart"/>
      <w:r w:rsidRPr="00E11763">
        <w:rPr>
          <w:iCs/>
          <w:sz w:val="24"/>
          <w:szCs w:val="24"/>
        </w:rPr>
        <w:t>risedronat</w:t>
      </w:r>
      <w:proofErr w:type="spellEnd"/>
      <w:r w:rsidRPr="00E11763">
        <w:rPr>
          <w:iCs/>
          <w:sz w:val="24"/>
          <w:szCs w:val="24"/>
        </w:rPr>
        <w:t xml:space="preserve"> 35 mg en gang om ugen (N=38). Det primære endepunkt var ændring fra baseline i knogledensitet i </w:t>
      </w:r>
      <w:proofErr w:type="spellStart"/>
      <w:r w:rsidRPr="00E11763">
        <w:rPr>
          <w:iCs/>
          <w:sz w:val="24"/>
          <w:szCs w:val="24"/>
        </w:rPr>
        <w:t>columna</w:t>
      </w:r>
      <w:proofErr w:type="spellEnd"/>
      <w:r w:rsidRPr="00E11763">
        <w:rPr>
          <w:iCs/>
          <w:sz w:val="24"/>
          <w:szCs w:val="24"/>
        </w:rPr>
        <w:t xml:space="preserve"> </w:t>
      </w:r>
      <w:proofErr w:type="spellStart"/>
      <w:r w:rsidRPr="00E11763">
        <w:rPr>
          <w:iCs/>
          <w:sz w:val="24"/>
          <w:szCs w:val="24"/>
        </w:rPr>
        <w:t>lumbalis</w:t>
      </w:r>
      <w:proofErr w:type="spellEnd"/>
      <w:r w:rsidRPr="00E11763">
        <w:rPr>
          <w:iCs/>
          <w:sz w:val="24"/>
          <w:szCs w:val="24"/>
        </w:rPr>
        <w:t xml:space="preserve"> efter 12 måneder.</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iCs/>
          <w:sz w:val="24"/>
          <w:szCs w:val="24"/>
        </w:rPr>
        <w:t xml:space="preserve">12-måneders hovedanalyse viste, at patienter med eksisterende moderat til høj risiko for fraktur ikke havde et fald i knogledensitet (vurderet ud fra knogledensitet i </w:t>
      </w:r>
      <w:proofErr w:type="spellStart"/>
      <w:r w:rsidRPr="00E11763">
        <w:rPr>
          <w:iCs/>
          <w:sz w:val="24"/>
          <w:szCs w:val="24"/>
        </w:rPr>
        <w:t>columna</w:t>
      </w:r>
      <w:proofErr w:type="spellEnd"/>
      <w:r w:rsidRPr="00E11763">
        <w:rPr>
          <w:iCs/>
          <w:sz w:val="24"/>
          <w:szCs w:val="24"/>
        </w:rPr>
        <w:t xml:space="preserve"> </w:t>
      </w:r>
      <w:proofErr w:type="spellStart"/>
      <w:r w:rsidRPr="00E11763">
        <w:rPr>
          <w:iCs/>
          <w:sz w:val="24"/>
          <w:szCs w:val="24"/>
        </w:rPr>
        <w:t>lumbalis</w:t>
      </w:r>
      <w:proofErr w:type="spellEnd"/>
      <w:r w:rsidRPr="00E11763">
        <w:rPr>
          <w:iCs/>
          <w:sz w:val="24"/>
          <w:szCs w:val="24"/>
        </w:rPr>
        <w:t xml:space="preserve"> ved hjælp af DXA-scanning), når de blev behandlet med </w:t>
      </w:r>
      <w:proofErr w:type="spellStart"/>
      <w:r w:rsidRPr="00E11763">
        <w:rPr>
          <w:iCs/>
          <w:sz w:val="24"/>
          <w:szCs w:val="24"/>
        </w:rPr>
        <w:t>anastrozol</w:t>
      </w:r>
      <w:proofErr w:type="spellEnd"/>
      <w:r w:rsidRPr="00E11763">
        <w:rPr>
          <w:iCs/>
          <w:sz w:val="24"/>
          <w:szCs w:val="24"/>
        </w:rPr>
        <w:t xml:space="preserve"> 1 mg/dag i kombination med </w:t>
      </w:r>
      <w:proofErr w:type="spellStart"/>
      <w:r w:rsidRPr="00E11763">
        <w:rPr>
          <w:iCs/>
          <w:sz w:val="24"/>
          <w:szCs w:val="24"/>
        </w:rPr>
        <w:t>risedronat</w:t>
      </w:r>
      <w:proofErr w:type="spellEnd"/>
      <w:r w:rsidRPr="00E11763">
        <w:rPr>
          <w:iCs/>
          <w:sz w:val="24"/>
          <w:szCs w:val="24"/>
        </w:rPr>
        <w:t xml:space="preserve"> 35 mg en gang om ugen. Et fald i BMD, som ikke var statistisk signifikant, blev desuden konstateret i lavrisikogruppen, som blev behandlet med </w:t>
      </w:r>
      <w:proofErr w:type="spellStart"/>
      <w:r w:rsidRPr="00E11763">
        <w:rPr>
          <w:iCs/>
          <w:sz w:val="24"/>
          <w:szCs w:val="24"/>
        </w:rPr>
        <w:t>anastrozol</w:t>
      </w:r>
      <w:proofErr w:type="spellEnd"/>
      <w:r w:rsidRPr="00E11763">
        <w:rPr>
          <w:iCs/>
          <w:sz w:val="24"/>
          <w:szCs w:val="24"/>
        </w:rPr>
        <w:t xml:space="preserve"> 1 mg/dag alene. Disse fund afspejledes i den sekundære effektvariabel med ændring i total hofte-BMD i forhold til baseline efter 12 måneder. </w:t>
      </w:r>
    </w:p>
    <w:p w:rsidR="002D431C" w:rsidRPr="00E11763" w:rsidRDefault="002D431C" w:rsidP="002D431C">
      <w:pPr>
        <w:ind w:left="851"/>
        <w:rPr>
          <w:iCs/>
          <w:sz w:val="24"/>
          <w:szCs w:val="24"/>
        </w:rPr>
      </w:pPr>
    </w:p>
    <w:p w:rsidR="002D431C" w:rsidRPr="00E11763" w:rsidRDefault="002D431C" w:rsidP="002D431C">
      <w:pPr>
        <w:ind w:left="851"/>
        <w:rPr>
          <w:sz w:val="24"/>
          <w:szCs w:val="24"/>
        </w:rPr>
      </w:pPr>
      <w:r w:rsidRPr="00E11763">
        <w:rPr>
          <w:sz w:val="24"/>
          <w:szCs w:val="24"/>
        </w:rPr>
        <w:t xml:space="preserve">Dette studie påviste, at </w:t>
      </w:r>
      <w:proofErr w:type="spellStart"/>
      <w:r w:rsidRPr="00E11763">
        <w:rPr>
          <w:sz w:val="24"/>
          <w:szCs w:val="24"/>
        </w:rPr>
        <w:t>bisfosfonater</w:t>
      </w:r>
      <w:proofErr w:type="spellEnd"/>
      <w:r w:rsidRPr="00E11763">
        <w:rPr>
          <w:sz w:val="24"/>
          <w:szCs w:val="24"/>
        </w:rPr>
        <w:t xml:space="preserve"> kan overvejes til behandling af et muligt knoglemineraltab hos </w:t>
      </w:r>
      <w:proofErr w:type="spellStart"/>
      <w:r w:rsidRPr="00E11763">
        <w:rPr>
          <w:sz w:val="24"/>
          <w:szCs w:val="24"/>
        </w:rPr>
        <w:t>postmenopausale</w:t>
      </w:r>
      <w:proofErr w:type="spellEnd"/>
      <w:r w:rsidRPr="00E11763">
        <w:rPr>
          <w:sz w:val="24"/>
          <w:szCs w:val="24"/>
        </w:rPr>
        <w:t xml:space="preserve"> kvinder med tidlig brystkræft, som planlægges behandlet med </w:t>
      </w:r>
      <w:proofErr w:type="spellStart"/>
      <w:r w:rsidRPr="00E11763">
        <w:rPr>
          <w:sz w:val="24"/>
          <w:szCs w:val="24"/>
        </w:rPr>
        <w:t>anastrozol</w:t>
      </w:r>
      <w:proofErr w:type="spellEnd"/>
      <w:r w:rsidRPr="00E11763">
        <w:rPr>
          <w:sz w:val="24"/>
          <w:szCs w:val="24"/>
        </w:rPr>
        <w:t>.</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sz w:val="24"/>
          <w:szCs w:val="24"/>
          <w:u w:val="single"/>
        </w:rPr>
        <w:t>Pædiatrisk population</w:t>
      </w:r>
    </w:p>
    <w:p w:rsidR="002D431C" w:rsidRPr="00E11763" w:rsidRDefault="002D431C" w:rsidP="002D431C">
      <w:pPr>
        <w:ind w:left="851"/>
        <w:rPr>
          <w:iCs/>
          <w:sz w:val="24"/>
          <w:szCs w:val="24"/>
        </w:rPr>
      </w:pPr>
      <w:proofErr w:type="spellStart"/>
      <w:r w:rsidRPr="00E11763">
        <w:rPr>
          <w:iCs/>
          <w:sz w:val="24"/>
          <w:szCs w:val="24"/>
        </w:rPr>
        <w:t>Anastrozol</w:t>
      </w:r>
      <w:proofErr w:type="spellEnd"/>
      <w:r w:rsidRPr="00E11763">
        <w:rPr>
          <w:iCs/>
          <w:sz w:val="24"/>
          <w:szCs w:val="24"/>
        </w:rPr>
        <w:t xml:space="preserve"> er ikke indiceret til brug hos børn og unge. Virkningen er ikke fastslået i de undersøgte</w:t>
      </w:r>
      <w:r w:rsidRPr="00E11763">
        <w:rPr>
          <w:sz w:val="24"/>
          <w:szCs w:val="24"/>
        </w:rPr>
        <w:t xml:space="preserve"> </w:t>
      </w:r>
      <w:r w:rsidRPr="00E11763">
        <w:rPr>
          <w:iCs/>
          <w:sz w:val="24"/>
          <w:szCs w:val="24"/>
        </w:rPr>
        <w:t xml:space="preserve">pædiatriske populationer (se nedenfor). Antallet af behandlede børn var for begrænset til at drage nogen pålidelige konklusioner om sikkerheden. Der findes ingen data om de potentielle langtidsvirkninger af </w:t>
      </w:r>
      <w:proofErr w:type="spellStart"/>
      <w:r w:rsidRPr="00E11763">
        <w:rPr>
          <w:iCs/>
          <w:sz w:val="24"/>
          <w:szCs w:val="24"/>
        </w:rPr>
        <w:t>anastrozol</w:t>
      </w:r>
      <w:proofErr w:type="spellEnd"/>
      <w:r w:rsidRPr="00E11763">
        <w:rPr>
          <w:iCs/>
          <w:sz w:val="24"/>
          <w:szCs w:val="24"/>
        </w:rPr>
        <w:t xml:space="preserve"> -behandling hos børn og unge (se pkt. 5.3).</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iCs/>
          <w:sz w:val="24"/>
          <w:szCs w:val="24"/>
        </w:rPr>
        <w:t xml:space="preserve">Det Europæiske Lægemiddelagentur har dispenseret fra kravet om fremlæggelse af resultaterne af studier med </w:t>
      </w:r>
      <w:proofErr w:type="spellStart"/>
      <w:r w:rsidRPr="00E11763">
        <w:rPr>
          <w:iCs/>
          <w:sz w:val="24"/>
          <w:szCs w:val="24"/>
        </w:rPr>
        <w:t>anastrozol</w:t>
      </w:r>
      <w:proofErr w:type="spellEnd"/>
      <w:r w:rsidRPr="00E11763">
        <w:rPr>
          <w:iCs/>
          <w:sz w:val="24"/>
          <w:szCs w:val="24"/>
        </w:rPr>
        <w:t xml:space="preserve"> hos alle undergrupper af den pædiatriske population, som er små af vækst på grund af væksthormonmangel (GHD), </w:t>
      </w:r>
      <w:proofErr w:type="spellStart"/>
      <w:r w:rsidRPr="00E11763">
        <w:rPr>
          <w:iCs/>
          <w:sz w:val="24"/>
          <w:szCs w:val="24"/>
        </w:rPr>
        <w:t>testotoksikose</w:t>
      </w:r>
      <w:proofErr w:type="spellEnd"/>
      <w:r w:rsidRPr="00E11763">
        <w:rPr>
          <w:iCs/>
          <w:sz w:val="24"/>
          <w:szCs w:val="24"/>
        </w:rPr>
        <w:t xml:space="preserve">, </w:t>
      </w:r>
      <w:proofErr w:type="spellStart"/>
      <w:r w:rsidRPr="00E11763">
        <w:rPr>
          <w:iCs/>
          <w:sz w:val="24"/>
          <w:szCs w:val="24"/>
        </w:rPr>
        <w:t>gynækomasti</w:t>
      </w:r>
      <w:proofErr w:type="spellEnd"/>
      <w:r w:rsidRPr="00E11763">
        <w:rPr>
          <w:iCs/>
          <w:sz w:val="24"/>
          <w:szCs w:val="24"/>
        </w:rPr>
        <w:t xml:space="preserve"> og </w:t>
      </w:r>
      <w:proofErr w:type="spellStart"/>
      <w:r w:rsidRPr="00E11763">
        <w:rPr>
          <w:iCs/>
          <w:sz w:val="24"/>
          <w:szCs w:val="24"/>
        </w:rPr>
        <w:t>McCune</w:t>
      </w:r>
      <w:proofErr w:type="spellEnd"/>
      <w:r w:rsidRPr="00E11763">
        <w:rPr>
          <w:iCs/>
          <w:sz w:val="24"/>
          <w:szCs w:val="24"/>
        </w:rPr>
        <w:t>-Albright-syndromet (se pkt. 4.2).</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i/>
          <w:sz w:val="24"/>
          <w:szCs w:val="24"/>
          <w:u w:val="single"/>
        </w:rPr>
        <w:t>Lille af vækst på grund af væksthormonmangel</w:t>
      </w:r>
    </w:p>
    <w:p w:rsidR="002D431C" w:rsidRPr="00E11763" w:rsidRDefault="002D431C" w:rsidP="002D431C">
      <w:pPr>
        <w:ind w:left="851"/>
        <w:rPr>
          <w:sz w:val="24"/>
          <w:szCs w:val="24"/>
        </w:rPr>
      </w:pPr>
      <w:r w:rsidRPr="00E11763">
        <w:rPr>
          <w:sz w:val="24"/>
          <w:szCs w:val="24"/>
        </w:rPr>
        <w:t xml:space="preserve">I et randomiseret, dobbeltblindet, multicenter-studie blev 52 drenge i puberteten (i alderen 11 til og med 16 år) med GHD behandlet i 12 til 36 måneder med </w:t>
      </w:r>
      <w:proofErr w:type="spellStart"/>
      <w:r w:rsidRPr="00E11763">
        <w:rPr>
          <w:iCs/>
          <w:sz w:val="24"/>
          <w:szCs w:val="24"/>
        </w:rPr>
        <w:t>anastrozol</w:t>
      </w:r>
      <w:proofErr w:type="spellEnd"/>
      <w:r w:rsidRPr="00E11763">
        <w:rPr>
          <w:iCs/>
          <w:sz w:val="24"/>
          <w:szCs w:val="24"/>
        </w:rPr>
        <w:t xml:space="preserve"> </w:t>
      </w:r>
      <w:r w:rsidRPr="00E11763">
        <w:rPr>
          <w:sz w:val="24"/>
          <w:szCs w:val="24"/>
        </w:rPr>
        <w:t xml:space="preserve">1 mg/dag eller placebo i kombination med væksthormon. Kun 14 forsøgspersoner på </w:t>
      </w:r>
      <w:proofErr w:type="spellStart"/>
      <w:r w:rsidRPr="00E11763">
        <w:rPr>
          <w:iCs/>
          <w:sz w:val="24"/>
          <w:szCs w:val="24"/>
        </w:rPr>
        <w:t>anastrozol</w:t>
      </w:r>
      <w:proofErr w:type="spellEnd"/>
      <w:r w:rsidRPr="00E11763">
        <w:rPr>
          <w:iCs/>
          <w:sz w:val="24"/>
          <w:szCs w:val="24"/>
        </w:rPr>
        <w:t xml:space="preserve"> </w:t>
      </w:r>
      <w:r w:rsidRPr="00E11763">
        <w:rPr>
          <w:sz w:val="24"/>
          <w:szCs w:val="24"/>
        </w:rPr>
        <w:t>fuldførte 36 måneder.</w:t>
      </w:r>
    </w:p>
    <w:p w:rsidR="002D431C" w:rsidRPr="00E11763" w:rsidRDefault="002D431C" w:rsidP="002D431C">
      <w:pPr>
        <w:ind w:left="851"/>
        <w:rPr>
          <w:sz w:val="24"/>
          <w:szCs w:val="24"/>
        </w:rPr>
      </w:pPr>
    </w:p>
    <w:p w:rsidR="002D431C" w:rsidRPr="00E11763" w:rsidRDefault="002D431C" w:rsidP="002D431C">
      <w:pPr>
        <w:ind w:left="851"/>
        <w:rPr>
          <w:sz w:val="24"/>
          <w:szCs w:val="24"/>
        </w:rPr>
      </w:pPr>
      <w:r w:rsidRPr="00E11763">
        <w:rPr>
          <w:sz w:val="24"/>
          <w:szCs w:val="24"/>
        </w:rPr>
        <w:lastRenderedPageBreak/>
        <w:t xml:space="preserve">Der blev ikke observeret nogen statistisk signifikant forskel </w:t>
      </w:r>
      <w:r w:rsidRPr="00E11763">
        <w:rPr>
          <w:i/>
          <w:iCs/>
          <w:sz w:val="24"/>
          <w:szCs w:val="24"/>
        </w:rPr>
        <w:t xml:space="preserve">versus </w:t>
      </w:r>
      <w:r w:rsidRPr="00E11763">
        <w:rPr>
          <w:sz w:val="24"/>
          <w:szCs w:val="24"/>
        </w:rPr>
        <w:t xml:space="preserve">placebo for de vækstrelaterede parametre forventet voksenhøjde, højde, højde-standardafvigelse og væksthastighed. Data om sluthøjde var ikke tilgængelige. Det behandlede antal børn var for lavt til at drage nogen pålidelige konklusioner om sikkerheden, men der var en øget forekomst af frakturer og en tendens til reduceret knoglemineraltæthed i </w:t>
      </w:r>
      <w:proofErr w:type="spellStart"/>
      <w:r w:rsidRPr="00E11763">
        <w:rPr>
          <w:iCs/>
          <w:sz w:val="24"/>
          <w:szCs w:val="24"/>
        </w:rPr>
        <w:t>anastrozol</w:t>
      </w:r>
      <w:proofErr w:type="spellEnd"/>
      <w:r w:rsidRPr="00E11763">
        <w:rPr>
          <w:iCs/>
          <w:sz w:val="24"/>
          <w:szCs w:val="24"/>
        </w:rPr>
        <w:t xml:space="preserve"> </w:t>
      </w:r>
      <w:r w:rsidRPr="00E11763">
        <w:rPr>
          <w:sz w:val="24"/>
          <w:szCs w:val="24"/>
        </w:rPr>
        <w:t>-armen sammenlignet med placebo-armen.</w:t>
      </w:r>
    </w:p>
    <w:p w:rsidR="002D431C" w:rsidRPr="00E11763" w:rsidRDefault="002D431C" w:rsidP="00B147E6">
      <w:pPr>
        <w:rPr>
          <w:iCs/>
          <w:sz w:val="24"/>
          <w:szCs w:val="24"/>
        </w:rPr>
      </w:pPr>
    </w:p>
    <w:p w:rsidR="002D431C" w:rsidRPr="00E11763" w:rsidRDefault="002D431C" w:rsidP="002D431C">
      <w:pPr>
        <w:ind w:left="851"/>
        <w:rPr>
          <w:iCs/>
          <w:sz w:val="24"/>
          <w:szCs w:val="24"/>
        </w:rPr>
      </w:pPr>
      <w:proofErr w:type="spellStart"/>
      <w:r w:rsidRPr="00E11763">
        <w:rPr>
          <w:i/>
          <w:sz w:val="24"/>
          <w:szCs w:val="24"/>
          <w:u w:val="single"/>
        </w:rPr>
        <w:t>Testotoksikose</w:t>
      </w:r>
      <w:proofErr w:type="spellEnd"/>
    </w:p>
    <w:p w:rsidR="002D431C" w:rsidRPr="00E11763" w:rsidRDefault="002D431C" w:rsidP="002D431C">
      <w:pPr>
        <w:ind w:left="851"/>
        <w:rPr>
          <w:sz w:val="24"/>
          <w:szCs w:val="24"/>
        </w:rPr>
      </w:pPr>
      <w:r w:rsidRPr="00E11763">
        <w:rPr>
          <w:sz w:val="24"/>
          <w:szCs w:val="24"/>
        </w:rPr>
        <w:t xml:space="preserve">I et open-label, ikke-komparativt, multicenter-studie evalueredes 14 drenge (i alderen 2-9 år) med familiær mandlig </w:t>
      </w:r>
      <w:proofErr w:type="spellStart"/>
      <w:r w:rsidRPr="00E11763">
        <w:rPr>
          <w:sz w:val="24"/>
          <w:szCs w:val="24"/>
        </w:rPr>
        <w:t>pubertas</w:t>
      </w:r>
      <w:proofErr w:type="spellEnd"/>
      <w:r w:rsidRPr="00E11763">
        <w:rPr>
          <w:sz w:val="24"/>
          <w:szCs w:val="24"/>
        </w:rPr>
        <w:t xml:space="preserve"> </w:t>
      </w:r>
      <w:proofErr w:type="spellStart"/>
      <w:r w:rsidRPr="00E11763">
        <w:rPr>
          <w:sz w:val="24"/>
          <w:szCs w:val="24"/>
        </w:rPr>
        <w:t>praecox</w:t>
      </w:r>
      <w:proofErr w:type="spellEnd"/>
      <w:r w:rsidRPr="00E11763">
        <w:rPr>
          <w:sz w:val="24"/>
          <w:szCs w:val="24"/>
        </w:rPr>
        <w:t xml:space="preserve">, også kendt som </w:t>
      </w:r>
      <w:proofErr w:type="spellStart"/>
      <w:r w:rsidRPr="00E11763">
        <w:rPr>
          <w:sz w:val="24"/>
          <w:szCs w:val="24"/>
        </w:rPr>
        <w:t>testotoksikose</w:t>
      </w:r>
      <w:proofErr w:type="spellEnd"/>
      <w:r w:rsidRPr="00E11763">
        <w:rPr>
          <w:sz w:val="24"/>
          <w:szCs w:val="24"/>
        </w:rPr>
        <w:t xml:space="preserve">, behandlet med </w:t>
      </w:r>
      <w:proofErr w:type="spellStart"/>
      <w:r w:rsidRPr="00E11763">
        <w:rPr>
          <w:iCs/>
          <w:sz w:val="24"/>
          <w:szCs w:val="24"/>
        </w:rPr>
        <w:t>anastrozol</w:t>
      </w:r>
      <w:proofErr w:type="spellEnd"/>
      <w:r w:rsidRPr="00E11763">
        <w:rPr>
          <w:iCs/>
          <w:sz w:val="24"/>
          <w:szCs w:val="24"/>
        </w:rPr>
        <w:t xml:space="preserve"> </w:t>
      </w:r>
      <w:r w:rsidRPr="00E11763">
        <w:rPr>
          <w:sz w:val="24"/>
          <w:szCs w:val="24"/>
        </w:rPr>
        <w:t xml:space="preserve">og </w:t>
      </w:r>
      <w:proofErr w:type="spellStart"/>
      <w:r w:rsidRPr="00E11763">
        <w:rPr>
          <w:sz w:val="24"/>
          <w:szCs w:val="24"/>
        </w:rPr>
        <w:t>bicalutamid</w:t>
      </w:r>
      <w:proofErr w:type="spellEnd"/>
      <w:r w:rsidRPr="00E11763">
        <w:rPr>
          <w:sz w:val="24"/>
          <w:szCs w:val="24"/>
        </w:rPr>
        <w:t xml:space="preserve"> i kombination. Det primære formål var at vurdere effekten og sikkerheden af dette kombinationsregime over 12 måneder. 13 ud af de 14 indrullerede patienter fuldførte 12 måneders kombinationsbehandling (en patient var tabt for opfølgning). Der var ingen signifikant forskel i vækstrate efter 12 måneders behandling set i forhold til vækstraten i 6-måneders perioden før indrullering i forsøget.</w:t>
      </w:r>
    </w:p>
    <w:p w:rsidR="002D431C" w:rsidRPr="00E11763" w:rsidRDefault="002D431C" w:rsidP="002D431C">
      <w:pPr>
        <w:ind w:left="851"/>
        <w:rPr>
          <w:sz w:val="24"/>
          <w:szCs w:val="24"/>
        </w:rPr>
      </w:pPr>
    </w:p>
    <w:p w:rsidR="002D431C" w:rsidRPr="00E11763" w:rsidRDefault="002D431C" w:rsidP="002D431C">
      <w:pPr>
        <w:ind w:left="851"/>
        <w:rPr>
          <w:iCs/>
          <w:sz w:val="24"/>
          <w:szCs w:val="24"/>
        </w:rPr>
      </w:pPr>
      <w:proofErr w:type="spellStart"/>
      <w:r w:rsidRPr="00E11763">
        <w:rPr>
          <w:i/>
          <w:sz w:val="24"/>
          <w:szCs w:val="24"/>
          <w:u w:val="single"/>
        </w:rPr>
        <w:t>Gynækomasti</w:t>
      </w:r>
      <w:proofErr w:type="spellEnd"/>
    </w:p>
    <w:p w:rsidR="002D431C" w:rsidRPr="00E11763" w:rsidRDefault="002D431C" w:rsidP="002D431C">
      <w:pPr>
        <w:ind w:left="851"/>
        <w:rPr>
          <w:sz w:val="24"/>
          <w:szCs w:val="24"/>
        </w:rPr>
      </w:pPr>
      <w:r w:rsidRPr="00E11763">
        <w:rPr>
          <w:sz w:val="24"/>
          <w:szCs w:val="24"/>
        </w:rPr>
        <w:t xml:space="preserve">Forsøg 0006 var et randomiseret, dobbeltblindet, multicenter-studie med 82 drenge i puberteten (i alderen 11 til og med 18 år) med </w:t>
      </w:r>
      <w:proofErr w:type="spellStart"/>
      <w:r w:rsidRPr="00E11763">
        <w:rPr>
          <w:sz w:val="24"/>
          <w:szCs w:val="24"/>
        </w:rPr>
        <w:t>gynækomasti</w:t>
      </w:r>
      <w:proofErr w:type="spellEnd"/>
      <w:r w:rsidRPr="00E11763">
        <w:rPr>
          <w:sz w:val="24"/>
          <w:szCs w:val="24"/>
        </w:rPr>
        <w:t xml:space="preserve"> af over 12 måneders varighed behandlet med </w:t>
      </w:r>
      <w:proofErr w:type="spellStart"/>
      <w:r w:rsidRPr="00E11763">
        <w:rPr>
          <w:iCs/>
          <w:sz w:val="24"/>
          <w:szCs w:val="24"/>
        </w:rPr>
        <w:t>anastrozol</w:t>
      </w:r>
      <w:proofErr w:type="spellEnd"/>
      <w:r w:rsidRPr="00E11763">
        <w:rPr>
          <w:iCs/>
          <w:sz w:val="24"/>
          <w:szCs w:val="24"/>
        </w:rPr>
        <w:t xml:space="preserve"> </w:t>
      </w:r>
      <w:r w:rsidRPr="00E11763">
        <w:rPr>
          <w:sz w:val="24"/>
          <w:szCs w:val="24"/>
        </w:rPr>
        <w:t xml:space="preserve">1 mg/dag eller placebo </w:t>
      </w:r>
      <w:r>
        <w:rPr>
          <w:sz w:val="24"/>
          <w:szCs w:val="24"/>
        </w:rPr>
        <w:t>daglig</w:t>
      </w:r>
      <w:r w:rsidRPr="00E11763">
        <w:rPr>
          <w:sz w:val="24"/>
          <w:szCs w:val="24"/>
        </w:rPr>
        <w:t xml:space="preserve"> i op til 6 måneder. Der blev ikke observeret nogen signifikant forskel i antal patienter, der havde en 50 % eller større reduktion i total brystvolumen efter 6 måneders behandling, mellem gruppen behandlet med </w:t>
      </w:r>
      <w:proofErr w:type="spellStart"/>
      <w:r w:rsidRPr="00E11763">
        <w:rPr>
          <w:iCs/>
          <w:sz w:val="24"/>
          <w:szCs w:val="24"/>
        </w:rPr>
        <w:t>anastrozol</w:t>
      </w:r>
      <w:proofErr w:type="spellEnd"/>
      <w:r w:rsidRPr="00E11763">
        <w:rPr>
          <w:iCs/>
          <w:sz w:val="24"/>
          <w:szCs w:val="24"/>
        </w:rPr>
        <w:t xml:space="preserve"> </w:t>
      </w:r>
      <w:r w:rsidRPr="00E11763">
        <w:rPr>
          <w:sz w:val="24"/>
          <w:szCs w:val="24"/>
        </w:rPr>
        <w:t>1 mg og placebogruppen.</w:t>
      </w:r>
    </w:p>
    <w:p w:rsidR="002D431C" w:rsidRPr="00E11763" w:rsidRDefault="002D431C" w:rsidP="002D431C">
      <w:pPr>
        <w:ind w:left="851"/>
        <w:rPr>
          <w:sz w:val="24"/>
          <w:szCs w:val="24"/>
        </w:rPr>
      </w:pPr>
    </w:p>
    <w:p w:rsidR="002D431C" w:rsidRPr="00E11763" w:rsidRDefault="002D431C" w:rsidP="002D431C">
      <w:pPr>
        <w:ind w:left="851"/>
        <w:rPr>
          <w:sz w:val="24"/>
          <w:szCs w:val="24"/>
        </w:rPr>
      </w:pPr>
      <w:r w:rsidRPr="00E11763">
        <w:rPr>
          <w:sz w:val="24"/>
          <w:szCs w:val="24"/>
        </w:rPr>
        <w:t xml:space="preserve">Forsøg 0001 var et open-label, </w:t>
      </w:r>
      <w:proofErr w:type="spellStart"/>
      <w:r w:rsidRPr="00E11763">
        <w:rPr>
          <w:sz w:val="24"/>
          <w:szCs w:val="24"/>
        </w:rPr>
        <w:t>farmakokinetisk</w:t>
      </w:r>
      <w:proofErr w:type="spellEnd"/>
      <w:r w:rsidRPr="00E11763">
        <w:rPr>
          <w:sz w:val="24"/>
          <w:szCs w:val="24"/>
        </w:rPr>
        <w:t xml:space="preserve"> studie med </w:t>
      </w:r>
      <w:proofErr w:type="spellStart"/>
      <w:r w:rsidRPr="00E11763">
        <w:rPr>
          <w:iCs/>
          <w:sz w:val="24"/>
          <w:szCs w:val="24"/>
        </w:rPr>
        <w:t>anastrozol</w:t>
      </w:r>
      <w:proofErr w:type="spellEnd"/>
      <w:r w:rsidRPr="00E11763">
        <w:rPr>
          <w:iCs/>
          <w:sz w:val="24"/>
          <w:szCs w:val="24"/>
        </w:rPr>
        <w:t xml:space="preserve"> </w:t>
      </w:r>
      <w:r w:rsidRPr="00E11763">
        <w:rPr>
          <w:sz w:val="24"/>
          <w:szCs w:val="24"/>
        </w:rPr>
        <w:t xml:space="preserve">1 mg/dag hos 36 drenge i puberteten med </w:t>
      </w:r>
      <w:proofErr w:type="spellStart"/>
      <w:r w:rsidRPr="00E11763">
        <w:rPr>
          <w:sz w:val="24"/>
          <w:szCs w:val="24"/>
        </w:rPr>
        <w:t>gynækomasti</w:t>
      </w:r>
      <w:proofErr w:type="spellEnd"/>
      <w:r w:rsidRPr="00E11763">
        <w:rPr>
          <w:sz w:val="24"/>
          <w:szCs w:val="24"/>
        </w:rPr>
        <w:t xml:space="preserve"> af mindre end 12 måneders varighed. Det sekundære formål var at evaluere den andel af patienter, som havde reduktion i forhold til baseline i det beregnede volumen, som skyldtes </w:t>
      </w:r>
      <w:proofErr w:type="spellStart"/>
      <w:r w:rsidRPr="00E11763">
        <w:rPr>
          <w:sz w:val="24"/>
          <w:szCs w:val="24"/>
        </w:rPr>
        <w:t>gynækomasti</w:t>
      </w:r>
      <w:proofErr w:type="spellEnd"/>
      <w:r w:rsidRPr="00E11763">
        <w:rPr>
          <w:sz w:val="24"/>
          <w:szCs w:val="24"/>
        </w:rPr>
        <w:t xml:space="preserve"> i begge bryster, kombineret med mindst 50 % reduktion mellem dag 1 og efter 6 måneders forsøgsbehandling, samt </w:t>
      </w:r>
      <w:proofErr w:type="spellStart"/>
      <w:r w:rsidRPr="00E11763">
        <w:rPr>
          <w:sz w:val="24"/>
          <w:szCs w:val="24"/>
        </w:rPr>
        <w:t>patienttolerabilitet</w:t>
      </w:r>
      <w:proofErr w:type="spellEnd"/>
      <w:r w:rsidRPr="00E11763">
        <w:rPr>
          <w:sz w:val="24"/>
          <w:szCs w:val="24"/>
        </w:rPr>
        <w:t xml:space="preserve"> og -sikkerhed. Der sås et fald i det samlede brystvolumen på 50 % eller derover hos 56 % (20/36) af drengene efter 6 måneder.</w:t>
      </w:r>
    </w:p>
    <w:p w:rsidR="002D431C" w:rsidRDefault="002D431C" w:rsidP="002D431C">
      <w:pPr>
        <w:rPr>
          <w:sz w:val="24"/>
          <w:szCs w:val="24"/>
        </w:rPr>
      </w:pPr>
    </w:p>
    <w:p w:rsidR="002D431C" w:rsidRPr="001577D8" w:rsidRDefault="002D431C" w:rsidP="002D431C">
      <w:pPr>
        <w:ind w:firstLine="851"/>
        <w:rPr>
          <w:iCs/>
          <w:sz w:val="24"/>
          <w:szCs w:val="24"/>
        </w:rPr>
      </w:pPr>
      <w:proofErr w:type="spellStart"/>
      <w:r w:rsidRPr="001577D8">
        <w:rPr>
          <w:i/>
          <w:sz w:val="24"/>
          <w:szCs w:val="24"/>
          <w:u w:val="single"/>
        </w:rPr>
        <w:t>McCune</w:t>
      </w:r>
      <w:proofErr w:type="spellEnd"/>
      <w:r w:rsidRPr="001577D8">
        <w:rPr>
          <w:i/>
          <w:sz w:val="24"/>
          <w:szCs w:val="24"/>
          <w:u w:val="single"/>
        </w:rPr>
        <w:t>-Albright syndrom</w:t>
      </w:r>
    </w:p>
    <w:p w:rsidR="002D431C" w:rsidRPr="001577D8" w:rsidRDefault="002D431C" w:rsidP="002D431C">
      <w:pPr>
        <w:ind w:left="851"/>
        <w:rPr>
          <w:spacing w:val="-3"/>
          <w:sz w:val="24"/>
          <w:szCs w:val="24"/>
        </w:rPr>
      </w:pPr>
      <w:r w:rsidRPr="001577D8">
        <w:rPr>
          <w:spacing w:val="-3"/>
          <w:sz w:val="24"/>
          <w:szCs w:val="24"/>
        </w:rPr>
        <w:t xml:space="preserve">Forsøg 0046 var et internationalt, multicenter, open-label, </w:t>
      </w:r>
      <w:proofErr w:type="spellStart"/>
      <w:r w:rsidRPr="001577D8">
        <w:rPr>
          <w:spacing w:val="-3"/>
          <w:sz w:val="24"/>
          <w:szCs w:val="24"/>
        </w:rPr>
        <w:t>eksploratorisk</w:t>
      </w:r>
      <w:proofErr w:type="spellEnd"/>
      <w:r w:rsidRPr="001577D8">
        <w:rPr>
          <w:spacing w:val="-3"/>
          <w:sz w:val="24"/>
          <w:szCs w:val="24"/>
        </w:rPr>
        <w:t xml:space="preserve"> forsøg med </w:t>
      </w:r>
      <w:proofErr w:type="spellStart"/>
      <w:r w:rsidRPr="001577D8">
        <w:rPr>
          <w:spacing w:val="-3"/>
          <w:sz w:val="24"/>
          <w:szCs w:val="24"/>
        </w:rPr>
        <w:t>anastrozol</w:t>
      </w:r>
      <w:proofErr w:type="spellEnd"/>
      <w:r w:rsidRPr="001577D8">
        <w:rPr>
          <w:spacing w:val="-3"/>
          <w:sz w:val="24"/>
          <w:szCs w:val="24"/>
        </w:rPr>
        <w:t xml:space="preserve"> hos 28 piger (i alderen 2 til ≤ 10 år) med </w:t>
      </w:r>
      <w:proofErr w:type="spellStart"/>
      <w:r w:rsidRPr="001577D8">
        <w:rPr>
          <w:spacing w:val="-3"/>
          <w:sz w:val="24"/>
          <w:szCs w:val="24"/>
        </w:rPr>
        <w:t>McCune</w:t>
      </w:r>
      <w:proofErr w:type="spellEnd"/>
      <w:r w:rsidRPr="001577D8">
        <w:rPr>
          <w:spacing w:val="-3"/>
          <w:sz w:val="24"/>
          <w:szCs w:val="24"/>
        </w:rPr>
        <w:t xml:space="preserve">-Albright syndrom (MAS). Det primære formål var at evaluere sikkerheden og virkningen af </w:t>
      </w:r>
      <w:proofErr w:type="spellStart"/>
      <w:r w:rsidRPr="001577D8">
        <w:rPr>
          <w:spacing w:val="-3"/>
          <w:sz w:val="24"/>
          <w:szCs w:val="24"/>
        </w:rPr>
        <w:t>anastrozol</w:t>
      </w:r>
      <w:proofErr w:type="spellEnd"/>
      <w:r w:rsidRPr="001577D8">
        <w:rPr>
          <w:spacing w:val="-3"/>
          <w:sz w:val="24"/>
          <w:szCs w:val="24"/>
        </w:rPr>
        <w:t xml:space="preserve"> 1 mg/dag hos patienter med MAS. Virkningen af forsøgsbehandlingen var baseret på den andel af patienter, som opfyldte de fastlagte kriterier vedrørende vaginalblødning, knoglealder og væksthastighed. </w:t>
      </w:r>
    </w:p>
    <w:p w:rsidR="002D431C" w:rsidRPr="001577D8" w:rsidRDefault="002D431C" w:rsidP="002D431C">
      <w:pPr>
        <w:ind w:left="851"/>
        <w:rPr>
          <w:iCs/>
          <w:sz w:val="24"/>
          <w:szCs w:val="24"/>
        </w:rPr>
      </w:pPr>
    </w:p>
    <w:p w:rsidR="002D431C" w:rsidRPr="00E11763" w:rsidRDefault="002D431C" w:rsidP="002D431C">
      <w:pPr>
        <w:ind w:left="851"/>
        <w:rPr>
          <w:iCs/>
          <w:sz w:val="24"/>
          <w:szCs w:val="24"/>
        </w:rPr>
      </w:pPr>
      <w:r w:rsidRPr="001577D8">
        <w:rPr>
          <w:iCs/>
          <w:sz w:val="24"/>
          <w:szCs w:val="24"/>
        </w:rPr>
        <w:t xml:space="preserve">Der blev ikke observeret nogen statistisk signifikant ændring i frekvensen af dage med vaginalblødning. Der blev ikke observeret nogen klinisk signifikante ændringer i </w:t>
      </w:r>
      <w:proofErr w:type="spellStart"/>
      <w:r w:rsidRPr="001577D8">
        <w:rPr>
          <w:iCs/>
          <w:sz w:val="24"/>
          <w:szCs w:val="24"/>
        </w:rPr>
        <w:t>Tanner</w:t>
      </w:r>
      <w:proofErr w:type="spellEnd"/>
      <w:r w:rsidRPr="001577D8">
        <w:rPr>
          <w:iCs/>
          <w:sz w:val="24"/>
          <w:szCs w:val="24"/>
        </w:rPr>
        <w:t>-stadieinddeling, middel ovarievolumen eller middel uterusvolumen. Der blev ikke observeret nogen statistisk signifikant ændring i stigningsraten i knoglealder ved behandling sammenlignet med raten ved baseline. Væksthastigheden (i cm/år) blev reduceret signifikant (p&lt;0,05) fra</w:t>
      </w:r>
      <w:r w:rsidRPr="00E11763">
        <w:rPr>
          <w:iCs/>
          <w:sz w:val="24"/>
          <w:szCs w:val="24"/>
        </w:rPr>
        <w:t xml:space="preserve"> før behandling til måned 0 og til måned 12, og fra før behandling til de sidste 6 måneder (måned 7 til måned 12).</w:t>
      </w:r>
    </w:p>
    <w:p w:rsidR="002D431C" w:rsidRPr="00E11763" w:rsidRDefault="002D431C" w:rsidP="002D431C">
      <w:pPr>
        <w:ind w:left="851" w:hanging="851"/>
        <w:rPr>
          <w:sz w:val="24"/>
          <w:szCs w:val="24"/>
        </w:rPr>
      </w:pPr>
    </w:p>
    <w:p w:rsidR="002D431C" w:rsidRPr="00E11763" w:rsidRDefault="002D431C" w:rsidP="00B25533">
      <w:pPr>
        <w:keepNext/>
        <w:ind w:left="851" w:hanging="851"/>
        <w:rPr>
          <w:b/>
          <w:sz w:val="24"/>
          <w:szCs w:val="24"/>
        </w:rPr>
      </w:pPr>
      <w:r w:rsidRPr="00E11763">
        <w:rPr>
          <w:b/>
          <w:sz w:val="24"/>
          <w:szCs w:val="24"/>
        </w:rPr>
        <w:lastRenderedPageBreak/>
        <w:t>5.2</w:t>
      </w:r>
      <w:r w:rsidRPr="00E11763">
        <w:rPr>
          <w:b/>
          <w:sz w:val="24"/>
          <w:szCs w:val="24"/>
        </w:rPr>
        <w:tab/>
      </w:r>
      <w:proofErr w:type="spellStart"/>
      <w:r w:rsidRPr="00E11763">
        <w:rPr>
          <w:b/>
          <w:sz w:val="24"/>
          <w:szCs w:val="24"/>
        </w:rPr>
        <w:t>Farmakokinetiske</w:t>
      </w:r>
      <w:proofErr w:type="spellEnd"/>
      <w:r w:rsidRPr="00E11763">
        <w:rPr>
          <w:b/>
          <w:sz w:val="24"/>
          <w:szCs w:val="24"/>
        </w:rPr>
        <w:t xml:space="preserve"> egenskaber</w:t>
      </w:r>
    </w:p>
    <w:p w:rsidR="002D431C" w:rsidRPr="00721EEC" w:rsidRDefault="002D431C" w:rsidP="00B25533">
      <w:pPr>
        <w:keepNext/>
        <w:ind w:left="851" w:hanging="851"/>
        <w:rPr>
          <w:iCs/>
          <w:sz w:val="24"/>
          <w:szCs w:val="24"/>
          <w:lang w:eastAsia="da-DK"/>
        </w:rPr>
      </w:pPr>
      <w:r w:rsidRPr="00E11763">
        <w:rPr>
          <w:sz w:val="24"/>
          <w:szCs w:val="24"/>
        </w:rPr>
        <w:tab/>
      </w:r>
      <w:r w:rsidRPr="00721EEC">
        <w:rPr>
          <w:iCs/>
          <w:sz w:val="24"/>
          <w:szCs w:val="24"/>
          <w:u w:val="single"/>
        </w:rPr>
        <w:t>Absorption</w:t>
      </w:r>
      <w:r w:rsidRPr="00721EEC">
        <w:rPr>
          <w:iCs/>
          <w:sz w:val="24"/>
          <w:szCs w:val="24"/>
        </w:rPr>
        <w:t xml:space="preserve"> </w:t>
      </w:r>
    </w:p>
    <w:p w:rsidR="002D431C" w:rsidRPr="00E11763" w:rsidRDefault="002D431C" w:rsidP="002D431C">
      <w:pPr>
        <w:ind w:left="851"/>
        <w:rPr>
          <w:iCs/>
          <w:sz w:val="24"/>
          <w:szCs w:val="24"/>
        </w:rPr>
      </w:pPr>
      <w:r w:rsidRPr="00E11763">
        <w:rPr>
          <w:iCs/>
          <w:sz w:val="24"/>
          <w:szCs w:val="24"/>
        </w:rPr>
        <w:t xml:space="preserve">Absorption af </w:t>
      </w:r>
      <w:proofErr w:type="spellStart"/>
      <w:r w:rsidRPr="00E11763">
        <w:rPr>
          <w:iCs/>
          <w:sz w:val="24"/>
          <w:szCs w:val="24"/>
        </w:rPr>
        <w:t>anastrozol</w:t>
      </w:r>
      <w:proofErr w:type="spellEnd"/>
      <w:r w:rsidRPr="00E11763">
        <w:rPr>
          <w:iCs/>
          <w:sz w:val="24"/>
          <w:szCs w:val="24"/>
        </w:rPr>
        <w:t xml:space="preserve"> sker hurtigt, og maksimale plasmakoncentrationer nås normalt inden for to timer efter dosering (under faste). Fødeindtagelse sænker absorptions</w:t>
      </w:r>
      <w:r>
        <w:rPr>
          <w:iCs/>
          <w:sz w:val="24"/>
          <w:szCs w:val="24"/>
        </w:rPr>
        <w:softHyphen/>
      </w:r>
      <w:r w:rsidRPr="00E11763">
        <w:rPr>
          <w:iCs/>
          <w:sz w:val="24"/>
          <w:szCs w:val="24"/>
        </w:rPr>
        <w:t xml:space="preserve">hastigheden en smule, men ikke absorptionsfraktionen. Den lille ændring i </w:t>
      </w:r>
      <w:proofErr w:type="spellStart"/>
      <w:r w:rsidRPr="00E11763">
        <w:rPr>
          <w:iCs/>
          <w:sz w:val="24"/>
          <w:szCs w:val="24"/>
        </w:rPr>
        <w:t>absorbtionshastigheden</w:t>
      </w:r>
      <w:proofErr w:type="spellEnd"/>
      <w:r w:rsidRPr="00E11763">
        <w:rPr>
          <w:iCs/>
          <w:sz w:val="24"/>
          <w:szCs w:val="24"/>
        </w:rPr>
        <w:t xml:space="preserve"> forventes ikke at resultere i en klinisk signifikant virkning på </w:t>
      </w:r>
      <w:proofErr w:type="spellStart"/>
      <w:r w:rsidRPr="00E11763">
        <w:rPr>
          <w:iCs/>
          <w:sz w:val="24"/>
          <w:szCs w:val="24"/>
        </w:rPr>
        <w:t>steady</w:t>
      </w:r>
      <w:proofErr w:type="spellEnd"/>
      <w:r w:rsidRPr="00E11763">
        <w:rPr>
          <w:iCs/>
          <w:sz w:val="24"/>
          <w:szCs w:val="24"/>
        </w:rPr>
        <w:t>-</w:t>
      </w:r>
      <w:proofErr w:type="spellStart"/>
      <w:r w:rsidRPr="00E11763">
        <w:rPr>
          <w:iCs/>
          <w:sz w:val="24"/>
          <w:szCs w:val="24"/>
        </w:rPr>
        <w:t>state</w:t>
      </w:r>
      <w:proofErr w:type="spellEnd"/>
      <w:r w:rsidRPr="00E11763">
        <w:rPr>
          <w:iCs/>
          <w:sz w:val="24"/>
          <w:szCs w:val="24"/>
        </w:rPr>
        <w:t xml:space="preserve">-plasmakoncentrationen ved dosering af </w:t>
      </w:r>
      <w:proofErr w:type="spellStart"/>
      <w:r w:rsidRPr="00E11763">
        <w:rPr>
          <w:iCs/>
          <w:sz w:val="24"/>
          <w:szCs w:val="24"/>
        </w:rPr>
        <w:t>anastrozol</w:t>
      </w:r>
      <w:proofErr w:type="spellEnd"/>
      <w:r w:rsidRPr="00E11763">
        <w:rPr>
          <w:iCs/>
          <w:sz w:val="24"/>
          <w:szCs w:val="24"/>
        </w:rPr>
        <w:t xml:space="preserve"> -tabletter én gang </w:t>
      </w:r>
      <w:r>
        <w:rPr>
          <w:iCs/>
          <w:sz w:val="24"/>
          <w:szCs w:val="24"/>
        </w:rPr>
        <w:t>daglig</w:t>
      </w:r>
      <w:r w:rsidRPr="00E11763">
        <w:rPr>
          <w:iCs/>
          <w:sz w:val="24"/>
          <w:szCs w:val="24"/>
        </w:rPr>
        <w:t xml:space="preserve">. Ca. 90-95 % af </w:t>
      </w:r>
      <w:proofErr w:type="spellStart"/>
      <w:r w:rsidRPr="00E11763">
        <w:rPr>
          <w:iCs/>
          <w:sz w:val="24"/>
          <w:szCs w:val="24"/>
        </w:rPr>
        <w:t>anastrozol</w:t>
      </w:r>
      <w:proofErr w:type="spellEnd"/>
      <w:r w:rsidRPr="00E11763">
        <w:rPr>
          <w:iCs/>
          <w:sz w:val="24"/>
          <w:szCs w:val="24"/>
        </w:rPr>
        <w:t xml:space="preserve"> </w:t>
      </w:r>
      <w:proofErr w:type="spellStart"/>
      <w:r w:rsidRPr="00E11763">
        <w:rPr>
          <w:iCs/>
          <w:sz w:val="24"/>
          <w:szCs w:val="24"/>
        </w:rPr>
        <w:t>steady</w:t>
      </w:r>
      <w:proofErr w:type="spellEnd"/>
      <w:r w:rsidRPr="00E11763">
        <w:rPr>
          <w:iCs/>
          <w:sz w:val="24"/>
          <w:szCs w:val="24"/>
        </w:rPr>
        <w:t xml:space="preserve">-state-koncentrationen i plasma nås efter 7 døgndoser, og akkumulationen er 3-4 gange. Der er ikke tegn på, at de </w:t>
      </w:r>
      <w:proofErr w:type="spellStart"/>
      <w:r w:rsidRPr="00E11763">
        <w:rPr>
          <w:iCs/>
          <w:sz w:val="24"/>
          <w:szCs w:val="24"/>
        </w:rPr>
        <w:t>farmakokinetiske</w:t>
      </w:r>
      <w:proofErr w:type="spellEnd"/>
      <w:r w:rsidRPr="00E11763">
        <w:rPr>
          <w:iCs/>
          <w:sz w:val="24"/>
          <w:szCs w:val="24"/>
        </w:rPr>
        <w:t xml:space="preserve"> parametre for </w:t>
      </w:r>
      <w:proofErr w:type="spellStart"/>
      <w:r w:rsidRPr="00E11763">
        <w:rPr>
          <w:iCs/>
          <w:sz w:val="24"/>
          <w:szCs w:val="24"/>
        </w:rPr>
        <w:t>anastrozol</w:t>
      </w:r>
      <w:proofErr w:type="spellEnd"/>
      <w:r w:rsidRPr="00E11763">
        <w:rPr>
          <w:iCs/>
          <w:sz w:val="24"/>
          <w:szCs w:val="24"/>
        </w:rPr>
        <w:t xml:space="preserve"> er tids- eller dosisafhængige. </w:t>
      </w:r>
    </w:p>
    <w:p w:rsidR="002D431C" w:rsidRPr="00721EEC" w:rsidRDefault="002D431C" w:rsidP="002D431C">
      <w:pPr>
        <w:ind w:left="851" w:hanging="851"/>
        <w:rPr>
          <w:iCs/>
          <w:sz w:val="24"/>
          <w:szCs w:val="24"/>
        </w:rPr>
      </w:pPr>
    </w:p>
    <w:p w:rsidR="002D431C" w:rsidRPr="00721EEC" w:rsidRDefault="002D431C" w:rsidP="002D431C">
      <w:pPr>
        <w:ind w:left="851"/>
        <w:rPr>
          <w:iCs/>
          <w:sz w:val="24"/>
          <w:szCs w:val="24"/>
          <w:u w:val="single"/>
          <w:lang w:eastAsia="da-DK"/>
        </w:rPr>
      </w:pPr>
      <w:r w:rsidRPr="00721EEC">
        <w:rPr>
          <w:iCs/>
          <w:sz w:val="24"/>
          <w:szCs w:val="24"/>
          <w:u w:val="single"/>
        </w:rPr>
        <w:t>Distribution</w:t>
      </w:r>
    </w:p>
    <w:p w:rsidR="002D431C" w:rsidRPr="00721EEC" w:rsidRDefault="002D431C" w:rsidP="002D431C">
      <w:pPr>
        <w:ind w:left="851"/>
        <w:rPr>
          <w:iCs/>
          <w:sz w:val="24"/>
          <w:szCs w:val="24"/>
        </w:rPr>
      </w:pPr>
      <w:proofErr w:type="spellStart"/>
      <w:r w:rsidRPr="00721EEC">
        <w:rPr>
          <w:iCs/>
          <w:sz w:val="24"/>
          <w:szCs w:val="24"/>
        </w:rPr>
        <w:t>Anastrozol</w:t>
      </w:r>
      <w:proofErr w:type="spellEnd"/>
      <w:r w:rsidRPr="00721EEC">
        <w:rPr>
          <w:iCs/>
          <w:sz w:val="24"/>
          <w:szCs w:val="24"/>
        </w:rPr>
        <w:t xml:space="preserve"> farmakokinetik er uafhængig af alder hos </w:t>
      </w:r>
      <w:proofErr w:type="spellStart"/>
      <w:r w:rsidRPr="00721EEC">
        <w:rPr>
          <w:iCs/>
          <w:sz w:val="24"/>
          <w:szCs w:val="24"/>
        </w:rPr>
        <w:t>postmenopausale</w:t>
      </w:r>
      <w:proofErr w:type="spellEnd"/>
      <w:r w:rsidRPr="00721EEC">
        <w:rPr>
          <w:iCs/>
          <w:sz w:val="24"/>
          <w:szCs w:val="24"/>
        </w:rPr>
        <w:t xml:space="preserve"> kvinder. </w:t>
      </w:r>
    </w:p>
    <w:p w:rsidR="002D431C" w:rsidRPr="00721EEC" w:rsidRDefault="002D431C" w:rsidP="002D431C">
      <w:pPr>
        <w:ind w:left="851"/>
        <w:rPr>
          <w:iCs/>
          <w:sz w:val="24"/>
          <w:szCs w:val="24"/>
        </w:rPr>
      </w:pPr>
    </w:p>
    <w:p w:rsidR="002D431C" w:rsidRPr="00721EEC" w:rsidRDefault="002D431C" w:rsidP="002D431C">
      <w:pPr>
        <w:ind w:left="851"/>
        <w:rPr>
          <w:iCs/>
          <w:sz w:val="24"/>
          <w:szCs w:val="24"/>
          <w:u w:val="single"/>
        </w:rPr>
      </w:pPr>
      <w:r w:rsidRPr="00721EEC">
        <w:rPr>
          <w:iCs/>
          <w:sz w:val="24"/>
          <w:szCs w:val="24"/>
          <w:u w:val="single"/>
        </w:rPr>
        <w:t>Elimination</w:t>
      </w:r>
    </w:p>
    <w:p w:rsidR="002D431C" w:rsidRPr="00721EEC" w:rsidRDefault="002D431C" w:rsidP="002D431C">
      <w:pPr>
        <w:ind w:left="851"/>
        <w:rPr>
          <w:iCs/>
          <w:sz w:val="24"/>
          <w:szCs w:val="24"/>
        </w:rPr>
      </w:pPr>
      <w:proofErr w:type="spellStart"/>
      <w:r w:rsidRPr="00721EEC">
        <w:rPr>
          <w:iCs/>
          <w:sz w:val="24"/>
          <w:szCs w:val="24"/>
        </w:rPr>
        <w:t>Anastrozol</w:t>
      </w:r>
      <w:proofErr w:type="spellEnd"/>
      <w:r w:rsidRPr="00721EEC">
        <w:rPr>
          <w:iCs/>
          <w:sz w:val="24"/>
          <w:szCs w:val="24"/>
        </w:rPr>
        <w:t xml:space="preserve"> er kun 40 % bundet til plasmaproteiner. </w:t>
      </w:r>
    </w:p>
    <w:p w:rsidR="002D431C" w:rsidRPr="00721EEC" w:rsidRDefault="002D431C" w:rsidP="002D431C">
      <w:pPr>
        <w:ind w:left="851" w:hanging="851"/>
        <w:rPr>
          <w:iCs/>
          <w:sz w:val="24"/>
          <w:szCs w:val="24"/>
        </w:rPr>
      </w:pPr>
    </w:p>
    <w:p w:rsidR="002D431C" w:rsidRPr="00E11763" w:rsidRDefault="002D431C" w:rsidP="002D431C">
      <w:pPr>
        <w:ind w:left="851" w:hanging="851"/>
        <w:rPr>
          <w:iCs/>
          <w:sz w:val="24"/>
          <w:szCs w:val="24"/>
        </w:rPr>
      </w:pPr>
      <w:r w:rsidRPr="00721EEC">
        <w:rPr>
          <w:iCs/>
          <w:sz w:val="24"/>
          <w:szCs w:val="24"/>
        </w:rPr>
        <w:tab/>
      </w:r>
      <w:proofErr w:type="spellStart"/>
      <w:r w:rsidRPr="00721EEC">
        <w:rPr>
          <w:iCs/>
          <w:sz w:val="24"/>
          <w:szCs w:val="24"/>
        </w:rPr>
        <w:t>Anastrozol</w:t>
      </w:r>
      <w:proofErr w:type="spellEnd"/>
      <w:r w:rsidRPr="00721EEC">
        <w:rPr>
          <w:iCs/>
          <w:sz w:val="24"/>
          <w:szCs w:val="24"/>
        </w:rPr>
        <w:t xml:space="preserve"> elimineres langsomt med en plasmahalveringstid på 40-50 timer.</w:t>
      </w:r>
      <w:r w:rsidRPr="00E11763">
        <w:rPr>
          <w:iCs/>
          <w:sz w:val="24"/>
          <w:szCs w:val="24"/>
        </w:rPr>
        <w:t xml:space="preserve"> </w:t>
      </w:r>
      <w:proofErr w:type="spellStart"/>
      <w:r w:rsidRPr="00E11763">
        <w:rPr>
          <w:iCs/>
          <w:sz w:val="24"/>
          <w:szCs w:val="24"/>
        </w:rPr>
        <w:t>Postmenopausale</w:t>
      </w:r>
      <w:proofErr w:type="spellEnd"/>
      <w:r w:rsidRPr="00E11763">
        <w:rPr>
          <w:iCs/>
          <w:sz w:val="24"/>
          <w:szCs w:val="24"/>
        </w:rPr>
        <w:t xml:space="preserve"> kvinder </w:t>
      </w:r>
      <w:proofErr w:type="spellStart"/>
      <w:r w:rsidRPr="00E11763">
        <w:rPr>
          <w:iCs/>
          <w:sz w:val="24"/>
          <w:szCs w:val="24"/>
        </w:rPr>
        <w:t>metaboliserer</w:t>
      </w:r>
      <w:proofErr w:type="spellEnd"/>
      <w:r w:rsidRPr="00E11763">
        <w:rPr>
          <w:iCs/>
          <w:sz w:val="24"/>
          <w:szCs w:val="24"/>
        </w:rPr>
        <w:t xml:space="preserve"> </w:t>
      </w:r>
      <w:proofErr w:type="spellStart"/>
      <w:r w:rsidRPr="00E11763">
        <w:rPr>
          <w:iCs/>
          <w:sz w:val="24"/>
          <w:szCs w:val="24"/>
        </w:rPr>
        <w:t>anastrozol</w:t>
      </w:r>
      <w:proofErr w:type="spellEnd"/>
      <w:r w:rsidRPr="00E11763">
        <w:rPr>
          <w:iCs/>
          <w:sz w:val="24"/>
          <w:szCs w:val="24"/>
        </w:rPr>
        <w:t xml:space="preserve"> i udpræget grad, idet mindre end 10 % udskilles </w:t>
      </w:r>
      <w:proofErr w:type="spellStart"/>
      <w:r w:rsidRPr="00E11763">
        <w:rPr>
          <w:iCs/>
          <w:sz w:val="24"/>
          <w:szCs w:val="24"/>
        </w:rPr>
        <w:t>uomdannet</w:t>
      </w:r>
      <w:proofErr w:type="spellEnd"/>
      <w:r w:rsidRPr="00E11763">
        <w:rPr>
          <w:iCs/>
          <w:sz w:val="24"/>
          <w:szCs w:val="24"/>
        </w:rPr>
        <w:t xml:space="preserve"> i urinen inden for 72 timer efter doseringen. </w:t>
      </w:r>
      <w:proofErr w:type="spellStart"/>
      <w:r w:rsidRPr="00E11763">
        <w:rPr>
          <w:iCs/>
          <w:sz w:val="24"/>
          <w:szCs w:val="24"/>
        </w:rPr>
        <w:t>Anastrozol</w:t>
      </w:r>
      <w:proofErr w:type="spellEnd"/>
      <w:r w:rsidRPr="00E11763">
        <w:rPr>
          <w:iCs/>
          <w:sz w:val="24"/>
          <w:szCs w:val="24"/>
        </w:rPr>
        <w:t xml:space="preserve"> </w:t>
      </w:r>
      <w:proofErr w:type="spellStart"/>
      <w:r w:rsidRPr="00E11763">
        <w:rPr>
          <w:iCs/>
          <w:sz w:val="24"/>
          <w:szCs w:val="24"/>
        </w:rPr>
        <w:t>metaboliseres</w:t>
      </w:r>
      <w:proofErr w:type="spellEnd"/>
      <w:r w:rsidRPr="00E11763">
        <w:rPr>
          <w:iCs/>
          <w:sz w:val="24"/>
          <w:szCs w:val="24"/>
        </w:rPr>
        <w:t xml:space="preserve"> ved N-</w:t>
      </w:r>
      <w:proofErr w:type="spellStart"/>
      <w:r w:rsidRPr="00E11763">
        <w:rPr>
          <w:iCs/>
          <w:sz w:val="24"/>
          <w:szCs w:val="24"/>
        </w:rPr>
        <w:t>dealkylering</w:t>
      </w:r>
      <w:proofErr w:type="spellEnd"/>
      <w:r w:rsidRPr="00E11763">
        <w:rPr>
          <w:iCs/>
          <w:sz w:val="24"/>
          <w:szCs w:val="24"/>
        </w:rPr>
        <w:t xml:space="preserve">, </w:t>
      </w:r>
      <w:proofErr w:type="spellStart"/>
      <w:r w:rsidRPr="00E11763">
        <w:rPr>
          <w:iCs/>
          <w:sz w:val="24"/>
          <w:szCs w:val="24"/>
        </w:rPr>
        <w:t>hydroxylering</w:t>
      </w:r>
      <w:proofErr w:type="spellEnd"/>
      <w:r w:rsidRPr="00E11763">
        <w:rPr>
          <w:iCs/>
          <w:sz w:val="24"/>
          <w:szCs w:val="24"/>
        </w:rPr>
        <w:t xml:space="preserve"> og </w:t>
      </w:r>
      <w:proofErr w:type="spellStart"/>
      <w:r w:rsidRPr="00E11763">
        <w:rPr>
          <w:iCs/>
          <w:sz w:val="24"/>
          <w:szCs w:val="24"/>
        </w:rPr>
        <w:t>glukuronidering</w:t>
      </w:r>
      <w:proofErr w:type="spellEnd"/>
      <w:r w:rsidRPr="00E11763">
        <w:rPr>
          <w:iCs/>
          <w:sz w:val="24"/>
          <w:szCs w:val="24"/>
        </w:rPr>
        <w:t xml:space="preserve">. Metabolitterne udskilles primært gennem urinen. </w:t>
      </w:r>
      <w:proofErr w:type="spellStart"/>
      <w:r w:rsidRPr="00E11763">
        <w:rPr>
          <w:iCs/>
          <w:sz w:val="24"/>
          <w:szCs w:val="24"/>
        </w:rPr>
        <w:t>Triazol</w:t>
      </w:r>
      <w:proofErr w:type="spellEnd"/>
      <w:r w:rsidRPr="00E11763">
        <w:rPr>
          <w:iCs/>
          <w:sz w:val="24"/>
          <w:szCs w:val="24"/>
        </w:rPr>
        <w:t xml:space="preserve">, hovedmetabolitten i plasma, hæmmer ikke </w:t>
      </w:r>
      <w:proofErr w:type="spellStart"/>
      <w:r w:rsidRPr="00E11763">
        <w:rPr>
          <w:iCs/>
          <w:sz w:val="24"/>
          <w:szCs w:val="24"/>
        </w:rPr>
        <w:t>aromatase</w:t>
      </w:r>
      <w:proofErr w:type="spellEnd"/>
      <w:r w:rsidRPr="00E11763">
        <w:rPr>
          <w:iCs/>
          <w:sz w:val="24"/>
          <w:szCs w:val="24"/>
        </w:rPr>
        <w:t>.</w:t>
      </w:r>
    </w:p>
    <w:p w:rsidR="002D431C" w:rsidRPr="00E11763" w:rsidRDefault="002D431C" w:rsidP="002D431C">
      <w:pPr>
        <w:ind w:left="851" w:hanging="851"/>
        <w:rPr>
          <w:iCs/>
          <w:sz w:val="24"/>
          <w:szCs w:val="24"/>
        </w:rPr>
      </w:pPr>
    </w:p>
    <w:p w:rsidR="002D431C" w:rsidRPr="00E11763" w:rsidRDefault="002D431C" w:rsidP="002D431C">
      <w:pPr>
        <w:ind w:left="851" w:hanging="851"/>
        <w:rPr>
          <w:iCs/>
          <w:sz w:val="24"/>
          <w:szCs w:val="24"/>
        </w:rPr>
      </w:pPr>
      <w:r w:rsidRPr="002104D8">
        <w:rPr>
          <w:sz w:val="24"/>
          <w:szCs w:val="24"/>
        </w:rPr>
        <w:tab/>
      </w:r>
      <w:r w:rsidRPr="00E11763">
        <w:rPr>
          <w:sz w:val="24"/>
          <w:szCs w:val="24"/>
          <w:u w:val="single"/>
        </w:rPr>
        <w:t>Nedsat nyre- eller leverfunktion</w:t>
      </w:r>
    </w:p>
    <w:p w:rsidR="002D431C" w:rsidRPr="00E11763" w:rsidRDefault="002D431C" w:rsidP="002D431C">
      <w:pPr>
        <w:ind w:left="851" w:hanging="851"/>
        <w:rPr>
          <w:iCs/>
          <w:sz w:val="24"/>
          <w:szCs w:val="24"/>
        </w:rPr>
      </w:pPr>
      <w:r>
        <w:rPr>
          <w:iCs/>
          <w:sz w:val="24"/>
          <w:szCs w:val="24"/>
        </w:rPr>
        <w:tab/>
      </w:r>
      <w:r w:rsidRPr="00E11763">
        <w:rPr>
          <w:iCs/>
          <w:sz w:val="24"/>
          <w:szCs w:val="24"/>
        </w:rPr>
        <w:t xml:space="preserve">Den tilsyneladende </w:t>
      </w:r>
      <w:proofErr w:type="spellStart"/>
      <w:r w:rsidRPr="00E11763">
        <w:rPr>
          <w:iCs/>
          <w:sz w:val="24"/>
          <w:szCs w:val="24"/>
        </w:rPr>
        <w:t>clearance</w:t>
      </w:r>
      <w:proofErr w:type="spellEnd"/>
      <w:r w:rsidRPr="00E11763">
        <w:rPr>
          <w:iCs/>
          <w:sz w:val="24"/>
          <w:szCs w:val="24"/>
        </w:rPr>
        <w:t xml:space="preserve"> (CL/F) af </w:t>
      </w:r>
      <w:proofErr w:type="spellStart"/>
      <w:r w:rsidRPr="00E11763">
        <w:rPr>
          <w:iCs/>
          <w:sz w:val="24"/>
          <w:szCs w:val="24"/>
        </w:rPr>
        <w:t>anastrozol</w:t>
      </w:r>
      <w:proofErr w:type="spellEnd"/>
      <w:r w:rsidRPr="00E11763">
        <w:rPr>
          <w:iCs/>
          <w:sz w:val="24"/>
          <w:szCs w:val="24"/>
        </w:rPr>
        <w:t xml:space="preserve"> efter oral indgift var ca. 30 % lavere hos frivillige med stabil levercirrose end hos tilsvarende kontrolpersoner (forsøg 1033IL/0014). Plasmakoncentrationerne af </w:t>
      </w:r>
      <w:proofErr w:type="spellStart"/>
      <w:r w:rsidRPr="00E11763">
        <w:rPr>
          <w:iCs/>
          <w:sz w:val="24"/>
          <w:szCs w:val="24"/>
        </w:rPr>
        <w:t>anastrozol</w:t>
      </w:r>
      <w:proofErr w:type="spellEnd"/>
      <w:r w:rsidRPr="00E11763">
        <w:rPr>
          <w:iCs/>
          <w:sz w:val="24"/>
          <w:szCs w:val="24"/>
        </w:rPr>
        <w:t xml:space="preserve"> hos frivillige med levercirrose lå inden for det koncentrationsområde, som sås hos normale forsøgspersoner i andre forsøg. Plasmakoncentrationerne af </w:t>
      </w:r>
      <w:proofErr w:type="spellStart"/>
      <w:r w:rsidRPr="00E11763">
        <w:rPr>
          <w:iCs/>
          <w:sz w:val="24"/>
          <w:szCs w:val="24"/>
        </w:rPr>
        <w:t>anastrozol</w:t>
      </w:r>
      <w:proofErr w:type="spellEnd"/>
      <w:r w:rsidRPr="00E11763">
        <w:rPr>
          <w:iCs/>
          <w:sz w:val="24"/>
          <w:szCs w:val="24"/>
        </w:rPr>
        <w:t xml:space="preserve">, observeret under langvarige behandlingsforsøg hos patienter med nedsat leverfunktion, lå inden for det plasmakoncentrationsområde, der blev set hos patienter uden nedsat leverfunktion. </w:t>
      </w:r>
    </w:p>
    <w:p w:rsidR="002D431C" w:rsidRPr="00E11763" w:rsidRDefault="002D431C" w:rsidP="002D431C">
      <w:pPr>
        <w:ind w:left="851" w:hanging="851"/>
        <w:rPr>
          <w:iCs/>
          <w:sz w:val="24"/>
          <w:szCs w:val="24"/>
        </w:rPr>
      </w:pPr>
    </w:p>
    <w:p w:rsidR="002D431C" w:rsidRPr="00E11763" w:rsidRDefault="002D431C" w:rsidP="002D431C">
      <w:pPr>
        <w:ind w:left="851" w:hanging="851"/>
        <w:rPr>
          <w:iCs/>
          <w:sz w:val="24"/>
          <w:szCs w:val="24"/>
        </w:rPr>
      </w:pPr>
      <w:r>
        <w:rPr>
          <w:iCs/>
          <w:sz w:val="24"/>
          <w:szCs w:val="24"/>
        </w:rPr>
        <w:tab/>
      </w:r>
      <w:r w:rsidRPr="00E11763">
        <w:rPr>
          <w:iCs/>
          <w:sz w:val="24"/>
          <w:szCs w:val="24"/>
        </w:rPr>
        <w:t xml:space="preserve">Den tilsyneladende </w:t>
      </w:r>
      <w:proofErr w:type="spellStart"/>
      <w:r w:rsidRPr="00E11763">
        <w:rPr>
          <w:iCs/>
          <w:sz w:val="24"/>
          <w:szCs w:val="24"/>
        </w:rPr>
        <w:t>clearance</w:t>
      </w:r>
      <w:proofErr w:type="spellEnd"/>
      <w:r w:rsidRPr="00E11763">
        <w:rPr>
          <w:iCs/>
          <w:sz w:val="24"/>
          <w:szCs w:val="24"/>
        </w:rPr>
        <w:t xml:space="preserve"> (CL/F) af </w:t>
      </w:r>
      <w:proofErr w:type="spellStart"/>
      <w:r w:rsidRPr="00E11763">
        <w:rPr>
          <w:iCs/>
          <w:sz w:val="24"/>
          <w:szCs w:val="24"/>
        </w:rPr>
        <w:t>anastrozol</w:t>
      </w:r>
      <w:proofErr w:type="spellEnd"/>
      <w:r w:rsidRPr="00E11763">
        <w:rPr>
          <w:iCs/>
          <w:sz w:val="24"/>
          <w:szCs w:val="24"/>
        </w:rPr>
        <w:t xml:space="preserve"> efter oral indgift blev ikke ændret hos frivillige med svært nedsat nyrefunktion (GFR &lt;30 ml/min) i forsøg 1033IL/0018, hvilket stemmer overens med, at </w:t>
      </w:r>
      <w:proofErr w:type="spellStart"/>
      <w:r w:rsidRPr="00E11763">
        <w:rPr>
          <w:iCs/>
          <w:sz w:val="24"/>
          <w:szCs w:val="24"/>
        </w:rPr>
        <w:t>anastrozol</w:t>
      </w:r>
      <w:proofErr w:type="spellEnd"/>
      <w:r w:rsidRPr="00E11763">
        <w:rPr>
          <w:iCs/>
          <w:sz w:val="24"/>
          <w:szCs w:val="24"/>
        </w:rPr>
        <w:t xml:space="preserve"> primært elimineres via </w:t>
      </w:r>
      <w:proofErr w:type="spellStart"/>
      <w:r w:rsidRPr="00E11763">
        <w:rPr>
          <w:iCs/>
          <w:sz w:val="24"/>
          <w:szCs w:val="24"/>
        </w:rPr>
        <w:t>metabolisering</w:t>
      </w:r>
      <w:proofErr w:type="spellEnd"/>
      <w:r w:rsidRPr="00E11763">
        <w:rPr>
          <w:iCs/>
          <w:sz w:val="24"/>
          <w:szCs w:val="24"/>
        </w:rPr>
        <w:t xml:space="preserve">. Plasmakoncentrationerne af </w:t>
      </w:r>
      <w:proofErr w:type="spellStart"/>
      <w:r w:rsidRPr="00E11763">
        <w:rPr>
          <w:iCs/>
          <w:sz w:val="24"/>
          <w:szCs w:val="24"/>
        </w:rPr>
        <w:t>anastrozol</w:t>
      </w:r>
      <w:proofErr w:type="spellEnd"/>
      <w:r w:rsidRPr="00E11763">
        <w:rPr>
          <w:iCs/>
          <w:sz w:val="24"/>
          <w:szCs w:val="24"/>
        </w:rPr>
        <w:t xml:space="preserve">, observeret under langvarige behandlingsforsøg hos patienter med nedsat nyrefunktion, lå inden for det plasmakoncentrationsområde, der blev set hos patienter uden nedsat nyrefunktion. Hos patienter med svært nedsat nyrefunktion skal </w:t>
      </w:r>
      <w:proofErr w:type="spellStart"/>
      <w:r w:rsidRPr="00E11763">
        <w:rPr>
          <w:iCs/>
          <w:sz w:val="24"/>
          <w:szCs w:val="24"/>
        </w:rPr>
        <w:t>anastrozol</w:t>
      </w:r>
      <w:proofErr w:type="spellEnd"/>
      <w:r w:rsidRPr="00E11763">
        <w:rPr>
          <w:iCs/>
          <w:sz w:val="24"/>
          <w:szCs w:val="24"/>
        </w:rPr>
        <w:t xml:space="preserve"> administreres med forsigtighed (se pkt. 4.2 og 4.4).</w:t>
      </w:r>
    </w:p>
    <w:p w:rsidR="002D431C" w:rsidRDefault="002D431C" w:rsidP="002D431C">
      <w:pPr>
        <w:rPr>
          <w:iCs/>
          <w:sz w:val="24"/>
          <w:szCs w:val="24"/>
        </w:rPr>
      </w:pPr>
    </w:p>
    <w:p w:rsidR="002D431C" w:rsidRPr="00E11763" w:rsidRDefault="002D431C" w:rsidP="002D431C">
      <w:pPr>
        <w:ind w:firstLine="851"/>
        <w:rPr>
          <w:iCs/>
          <w:sz w:val="24"/>
          <w:szCs w:val="24"/>
        </w:rPr>
      </w:pPr>
      <w:r w:rsidRPr="00E11763">
        <w:rPr>
          <w:sz w:val="24"/>
          <w:szCs w:val="24"/>
          <w:u w:val="single"/>
        </w:rPr>
        <w:t>Pædiatrisk population</w:t>
      </w:r>
    </w:p>
    <w:p w:rsidR="002D431C" w:rsidRPr="00E11763" w:rsidRDefault="002D431C" w:rsidP="002D431C">
      <w:pPr>
        <w:ind w:left="851" w:hanging="851"/>
        <w:rPr>
          <w:iCs/>
          <w:sz w:val="24"/>
          <w:szCs w:val="24"/>
        </w:rPr>
      </w:pPr>
      <w:r>
        <w:rPr>
          <w:iCs/>
          <w:sz w:val="24"/>
          <w:szCs w:val="24"/>
        </w:rPr>
        <w:tab/>
      </w:r>
      <w:r w:rsidRPr="00E11763">
        <w:rPr>
          <w:iCs/>
          <w:sz w:val="24"/>
          <w:szCs w:val="24"/>
        </w:rPr>
        <w:t xml:space="preserve">Hos drenge (10-17 år) med </w:t>
      </w:r>
      <w:proofErr w:type="spellStart"/>
      <w:r w:rsidRPr="00E11763">
        <w:rPr>
          <w:iCs/>
          <w:sz w:val="24"/>
          <w:szCs w:val="24"/>
        </w:rPr>
        <w:t>pubertal</w:t>
      </w:r>
      <w:proofErr w:type="spellEnd"/>
      <w:r w:rsidRPr="00E11763">
        <w:rPr>
          <w:iCs/>
          <w:sz w:val="24"/>
          <w:szCs w:val="24"/>
        </w:rPr>
        <w:t xml:space="preserve"> </w:t>
      </w:r>
      <w:proofErr w:type="spellStart"/>
      <w:r w:rsidRPr="00E11763">
        <w:rPr>
          <w:iCs/>
          <w:sz w:val="24"/>
          <w:szCs w:val="24"/>
        </w:rPr>
        <w:t>gynækomasti</w:t>
      </w:r>
      <w:proofErr w:type="spellEnd"/>
      <w:r w:rsidRPr="00E11763">
        <w:rPr>
          <w:iCs/>
          <w:sz w:val="24"/>
          <w:szCs w:val="24"/>
        </w:rPr>
        <w:t xml:space="preserve"> blev </w:t>
      </w:r>
      <w:proofErr w:type="spellStart"/>
      <w:r w:rsidRPr="00E11763">
        <w:rPr>
          <w:iCs/>
          <w:sz w:val="24"/>
          <w:szCs w:val="24"/>
        </w:rPr>
        <w:t>anastrozol</w:t>
      </w:r>
      <w:proofErr w:type="spellEnd"/>
      <w:r w:rsidRPr="00E11763">
        <w:rPr>
          <w:iCs/>
          <w:sz w:val="24"/>
          <w:szCs w:val="24"/>
        </w:rPr>
        <w:t xml:space="preserve"> absorberet hurtigt, fordelt i vid udstrækning og elimineret langsomt med en halveringstid på ca. 2 dage. </w:t>
      </w:r>
      <w:proofErr w:type="spellStart"/>
      <w:r w:rsidRPr="00E11763">
        <w:rPr>
          <w:iCs/>
          <w:sz w:val="24"/>
          <w:szCs w:val="24"/>
        </w:rPr>
        <w:t>Anastrozol</w:t>
      </w:r>
      <w:proofErr w:type="spellEnd"/>
      <w:r w:rsidRPr="00E11763">
        <w:rPr>
          <w:iCs/>
          <w:sz w:val="24"/>
          <w:szCs w:val="24"/>
        </w:rPr>
        <w:t xml:space="preserve"> </w:t>
      </w:r>
      <w:proofErr w:type="spellStart"/>
      <w:r w:rsidRPr="00E11763">
        <w:rPr>
          <w:iCs/>
          <w:sz w:val="24"/>
          <w:szCs w:val="24"/>
        </w:rPr>
        <w:t>clearance</w:t>
      </w:r>
      <w:proofErr w:type="spellEnd"/>
      <w:r w:rsidRPr="00E11763">
        <w:rPr>
          <w:iCs/>
          <w:sz w:val="24"/>
          <w:szCs w:val="24"/>
        </w:rPr>
        <w:t xml:space="preserve"> var lavere hos piger (3-10 år) end hos de ældre drenge og eksponeringen højere. </w:t>
      </w:r>
      <w:proofErr w:type="spellStart"/>
      <w:r w:rsidRPr="00E11763">
        <w:rPr>
          <w:iCs/>
          <w:sz w:val="24"/>
          <w:szCs w:val="24"/>
        </w:rPr>
        <w:t>Anastrozol</w:t>
      </w:r>
      <w:proofErr w:type="spellEnd"/>
      <w:r w:rsidRPr="00E11763">
        <w:rPr>
          <w:iCs/>
          <w:sz w:val="24"/>
          <w:szCs w:val="24"/>
        </w:rPr>
        <w:t xml:space="preserve"> blev hos piger fordelt i vid udstrækning og elimineret langsomt.</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5.3</w:t>
      </w:r>
      <w:r w:rsidRPr="00E11763">
        <w:rPr>
          <w:b/>
          <w:sz w:val="24"/>
          <w:szCs w:val="24"/>
        </w:rPr>
        <w:tab/>
        <w:t>Prækliniske sikkerhedsdata</w:t>
      </w:r>
    </w:p>
    <w:p w:rsidR="002D431C" w:rsidRPr="00E11763" w:rsidRDefault="002D431C" w:rsidP="002D431C">
      <w:pPr>
        <w:ind w:left="851" w:hanging="851"/>
        <w:rPr>
          <w:iCs/>
          <w:sz w:val="24"/>
          <w:szCs w:val="24"/>
        </w:rPr>
      </w:pPr>
      <w:r w:rsidRPr="00E11763">
        <w:rPr>
          <w:sz w:val="24"/>
          <w:szCs w:val="24"/>
        </w:rPr>
        <w:tab/>
      </w:r>
      <w:r w:rsidRPr="00E11763">
        <w:rPr>
          <w:iCs/>
          <w:sz w:val="24"/>
          <w:szCs w:val="24"/>
        </w:rPr>
        <w:t xml:space="preserve">De prækliniske data viser ingen særlig risiko for mennesker vurderet ud fra konventionelle undersøgelser af sikkerhedsfarmakologi, toksicitet efter gentagne doser, genotoksicitet, </w:t>
      </w:r>
      <w:proofErr w:type="spellStart"/>
      <w:r w:rsidRPr="00E11763">
        <w:rPr>
          <w:iCs/>
          <w:sz w:val="24"/>
          <w:szCs w:val="24"/>
        </w:rPr>
        <w:t>karcinogenicitet</w:t>
      </w:r>
      <w:proofErr w:type="spellEnd"/>
      <w:r w:rsidRPr="00E11763">
        <w:rPr>
          <w:iCs/>
          <w:sz w:val="24"/>
          <w:szCs w:val="24"/>
        </w:rPr>
        <w:t xml:space="preserve"> og reproduktionstoksicitet.</w:t>
      </w:r>
    </w:p>
    <w:p w:rsidR="002D431C" w:rsidRPr="00E11763" w:rsidRDefault="002D431C" w:rsidP="002D431C">
      <w:pPr>
        <w:ind w:left="851" w:hanging="851"/>
        <w:rPr>
          <w:iCs/>
          <w:sz w:val="24"/>
          <w:szCs w:val="24"/>
        </w:rPr>
      </w:pPr>
    </w:p>
    <w:p w:rsidR="002D431C" w:rsidRPr="00E11763" w:rsidRDefault="002D431C" w:rsidP="002D431C">
      <w:pPr>
        <w:ind w:left="851"/>
        <w:rPr>
          <w:iCs/>
          <w:sz w:val="24"/>
          <w:szCs w:val="24"/>
        </w:rPr>
      </w:pPr>
      <w:r w:rsidRPr="00E11763">
        <w:rPr>
          <w:sz w:val="24"/>
          <w:szCs w:val="24"/>
          <w:u w:val="single"/>
        </w:rPr>
        <w:t>Akut toksicitet</w:t>
      </w:r>
    </w:p>
    <w:p w:rsidR="002D431C" w:rsidRPr="00E11763" w:rsidRDefault="002D431C" w:rsidP="002D431C">
      <w:pPr>
        <w:ind w:left="851"/>
        <w:rPr>
          <w:iCs/>
          <w:sz w:val="24"/>
          <w:szCs w:val="24"/>
        </w:rPr>
      </w:pPr>
      <w:r w:rsidRPr="00E11763">
        <w:rPr>
          <w:iCs/>
          <w:sz w:val="24"/>
          <w:szCs w:val="24"/>
        </w:rPr>
        <w:t xml:space="preserve">I dyreforsøg blev der kun set toksicitet ved høje doser. I akutte toksicitetsforsøg med gnavere var den gennemsnitlige letale dosis af </w:t>
      </w:r>
      <w:proofErr w:type="spellStart"/>
      <w:r w:rsidRPr="00E11763">
        <w:rPr>
          <w:iCs/>
          <w:sz w:val="24"/>
          <w:szCs w:val="24"/>
        </w:rPr>
        <w:t>anastrozol</w:t>
      </w:r>
      <w:proofErr w:type="spellEnd"/>
      <w:r w:rsidRPr="00E11763">
        <w:rPr>
          <w:iCs/>
          <w:sz w:val="24"/>
          <w:szCs w:val="24"/>
        </w:rPr>
        <w:t xml:space="preserve"> større end 100 mg/kg/dag oralt og større end 50 mg/kg/dag </w:t>
      </w:r>
      <w:proofErr w:type="spellStart"/>
      <w:r w:rsidRPr="00E11763">
        <w:rPr>
          <w:iCs/>
          <w:sz w:val="24"/>
          <w:szCs w:val="24"/>
        </w:rPr>
        <w:t>intraperitonealt</w:t>
      </w:r>
      <w:proofErr w:type="spellEnd"/>
      <w:r w:rsidRPr="00E11763">
        <w:rPr>
          <w:iCs/>
          <w:sz w:val="24"/>
          <w:szCs w:val="24"/>
        </w:rPr>
        <w:t>. I et oralt akut toksicitetsforsøg hos hunde var den gennemsnitlige letale dosis større end 45 mg/kg/dag.</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sz w:val="24"/>
          <w:szCs w:val="24"/>
          <w:u w:val="single"/>
        </w:rPr>
        <w:t>Kronisk toksicitet</w:t>
      </w:r>
    </w:p>
    <w:p w:rsidR="002D431C" w:rsidRPr="00E11763" w:rsidRDefault="002D431C" w:rsidP="002D431C">
      <w:pPr>
        <w:ind w:left="851"/>
        <w:rPr>
          <w:iCs/>
          <w:sz w:val="24"/>
          <w:szCs w:val="24"/>
        </w:rPr>
      </w:pPr>
      <w:r w:rsidRPr="00E11763">
        <w:rPr>
          <w:iCs/>
          <w:sz w:val="24"/>
          <w:szCs w:val="24"/>
        </w:rPr>
        <w:t xml:space="preserve">I dyreforsøg forekom der kun bivirkninger ved høje doser. Der blev udført toksicitetsforsøg med multiple doser hos rotter og hunde. Der blev ikke fastlagt et ingen-virkningsniveau for </w:t>
      </w:r>
      <w:proofErr w:type="spellStart"/>
      <w:r w:rsidRPr="00E11763">
        <w:rPr>
          <w:iCs/>
          <w:sz w:val="24"/>
          <w:szCs w:val="24"/>
        </w:rPr>
        <w:t>anastrozol</w:t>
      </w:r>
      <w:proofErr w:type="spellEnd"/>
      <w:r w:rsidRPr="00E11763">
        <w:rPr>
          <w:iCs/>
          <w:sz w:val="24"/>
          <w:szCs w:val="24"/>
        </w:rPr>
        <w:t xml:space="preserve"> i toksicitetsforsøgene, men de virkninger, der blev observeret ved lave doser (1 mg/kg/dag) og middeldoser (hund 3 mg/kg/dag; rotte 5 mg/kg/dag), var enten relateret til </w:t>
      </w:r>
      <w:proofErr w:type="spellStart"/>
      <w:r w:rsidRPr="00E11763">
        <w:rPr>
          <w:iCs/>
          <w:sz w:val="24"/>
          <w:szCs w:val="24"/>
        </w:rPr>
        <w:t>anastrozols</w:t>
      </w:r>
      <w:proofErr w:type="spellEnd"/>
      <w:r w:rsidRPr="00E11763">
        <w:rPr>
          <w:iCs/>
          <w:sz w:val="24"/>
          <w:szCs w:val="24"/>
        </w:rPr>
        <w:t xml:space="preserve"> farmakologiske eller enzym-inducerende egenskaber og var ikke ledsaget af signifikante toksiske eller degenerative ændringer.</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proofErr w:type="spellStart"/>
      <w:r w:rsidRPr="00E11763">
        <w:rPr>
          <w:sz w:val="24"/>
          <w:szCs w:val="24"/>
          <w:u w:val="single"/>
        </w:rPr>
        <w:t>Mutagenicitet</w:t>
      </w:r>
      <w:proofErr w:type="spellEnd"/>
    </w:p>
    <w:p w:rsidR="002D431C" w:rsidRPr="00E11763" w:rsidRDefault="002D431C" w:rsidP="002D431C">
      <w:pPr>
        <w:ind w:left="851"/>
        <w:rPr>
          <w:iCs/>
          <w:sz w:val="24"/>
          <w:szCs w:val="24"/>
        </w:rPr>
      </w:pPr>
      <w:proofErr w:type="spellStart"/>
      <w:r w:rsidRPr="00E11763">
        <w:rPr>
          <w:iCs/>
          <w:sz w:val="24"/>
          <w:szCs w:val="24"/>
        </w:rPr>
        <w:t>Genotoksicitetsstudier</w:t>
      </w:r>
      <w:proofErr w:type="spellEnd"/>
      <w:r w:rsidRPr="00E11763">
        <w:rPr>
          <w:iCs/>
          <w:sz w:val="24"/>
          <w:szCs w:val="24"/>
        </w:rPr>
        <w:t xml:space="preserve"> med </w:t>
      </w:r>
      <w:proofErr w:type="spellStart"/>
      <w:r w:rsidRPr="00E11763">
        <w:rPr>
          <w:iCs/>
          <w:sz w:val="24"/>
          <w:szCs w:val="24"/>
        </w:rPr>
        <w:t>anastrozol</w:t>
      </w:r>
      <w:proofErr w:type="spellEnd"/>
      <w:r w:rsidRPr="00E11763">
        <w:rPr>
          <w:iCs/>
          <w:sz w:val="24"/>
          <w:szCs w:val="24"/>
        </w:rPr>
        <w:t xml:space="preserve"> har vist, at det ikke har nogen mutagen eller </w:t>
      </w:r>
      <w:proofErr w:type="spellStart"/>
      <w:r w:rsidRPr="00E11763">
        <w:rPr>
          <w:iCs/>
          <w:sz w:val="24"/>
          <w:szCs w:val="24"/>
        </w:rPr>
        <w:t>klastogen</w:t>
      </w:r>
      <w:proofErr w:type="spellEnd"/>
      <w:r w:rsidRPr="00E11763">
        <w:rPr>
          <w:iCs/>
          <w:sz w:val="24"/>
          <w:szCs w:val="24"/>
        </w:rPr>
        <w:t xml:space="preserve"> aktivitet.</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sz w:val="24"/>
          <w:szCs w:val="24"/>
          <w:u w:val="single"/>
        </w:rPr>
        <w:t>Reproduktionstoksicitet</w:t>
      </w:r>
    </w:p>
    <w:p w:rsidR="002D431C" w:rsidRPr="00E11763" w:rsidRDefault="002D431C" w:rsidP="002D431C">
      <w:pPr>
        <w:ind w:left="851"/>
        <w:rPr>
          <w:iCs/>
          <w:sz w:val="24"/>
          <w:szCs w:val="24"/>
        </w:rPr>
      </w:pPr>
      <w:r w:rsidRPr="00E11763">
        <w:rPr>
          <w:iCs/>
          <w:sz w:val="24"/>
          <w:szCs w:val="24"/>
        </w:rPr>
        <w:t xml:space="preserve">I et fertilitetsforsøg blev afvænnede hanrotter doseret i 10 uger med 50 eller 400 mg </w:t>
      </w:r>
      <w:proofErr w:type="spellStart"/>
      <w:r w:rsidRPr="00E11763">
        <w:rPr>
          <w:iCs/>
          <w:sz w:val="24"/>
          <w:szCs w:val="24"/>
        </w:rPr>
        <w:t>anastrozol</w:t>
      </w:r>
      <w:proofErr w:type="spellEnd"/>
      <w:r w:rsidRPr="00E11763">
        <w:rPr>
          <w:iCs/>
          <w:sz w:val="24"/>
          <w:szCs w:val="24"/>
        </w:rPr>
        <w:t xml:space="preserve"> per liter gennem drikkevandet. De målte middelplasmakoncentrationer var henholdsvis 44,4 (±14,7) </w:t>
      </w:r>
      <w:proofErr w:type="spellStart"/>
      <w:r w:rsidRPr="00E11763">
        <w:rPr>
          <w:iCs/>
          <w:sz w:val="24"/>
          <w:szCs w:val="24"/>
        </w:rPr>
        <w:t>ng</w:t>
      </w:r>
      <w:proofErr w:type="spellEnd"/>
      <w:r w:rsidRPr="00E11763">
        <w:rPr>
          <w:iCs/>
          <w:sz w:val="24"/>
          <w:szCs w:val="24"/>
        </w:rPr>
        <w:t xml:space="preserve">/ml og 165 (±90) </w:t>
      </w:r>
      <w:proofErr w:type="spellStart"/>
      <w:r w:rsidRPr="00E11763">
        <w:rPr>
          <w:iCs/>
          <w:sz w:val="24"/>
          <w:szCs w:val="24"/>
        </w:rPr>
        <w:t>ng</w:t>
      </w:r>
      <w:proofErr w:type="spellEnd"/>
      <w:r w:rsidRPr="00E11763">
        <w:rPr>
          <w:iCs/>
          <w:sz w:val="24"/>
          <w:szCs w:val="24"/>
        </w:rPr>
        <w:t>/ml. Parringsindekset blev påvirket negativt i begge dosisgrupper, men en reduktion i fertilitet var kun tydelig ved dosisniveauet på 400 mg/l. Reduktionen var forbigående, da alle parrings- og fertilitetsparametre svarede til kontrolgruppeværdierne efter en 9-ugers behandlingsfri periode.</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iCs/>
          <w:sz w:val="24"/>
          <w:szCs w:val="24"/>
        </w:rPr>
        <w:t xml:space="preserve">Oral indgift af </w:t>
      </w:r>
      <w:proofErr w:type="spellStart"/>
      <w:r w:rsidRPr="00E11763">
        <w:rPr>
          <w:iCs/>
          <w:sz w:val="24"/>
          <w:szCs w:val="24"/>
        </w:rPr>
        <w:t>anastrozol</w:t>
      </w:r>
      <w:proofErr w:type="spellEnd"/>
      <w:r w:rsidRPr="00E11763">
        <w:rPr>
          <w:iCs/>
          <w:sz w:val="24"/>
          <w:szCs w:val="24"/>
        </w:rPr>
        <w:t xml:space="preserve"> til hunrotter gav en høj forekomst af </w:t>
      </w:r>
      <w:proofErr w:type="spellStart"/>
      <w:r w:rsidRPr="00E11763">
        <w:rPr>
          <w:iCs/>
          <w:sz w:val="24"/>
          <w:szCs w:val="24"/>
        </w:rPr>
        <w:t>infertilitet</w:t>
      </w:r>
      <w:proofErr w:type="spellEnd"/>
      <w:r w:rsidRPr="00E11763">
        <w:rPr>
          <w:iCs/>
          <w:sz w:val="24"/>
          <w:szCs w:val="24"/>
        </w:rPr>
        <w:t xml:space="preserve"> ved 1 mg/kg/dag og øgede præimplantationstabet ved 0,02 mg/kg/dag. Disse virkninger optrådte ved klinisk relevante doser. En virkning hos mennesker kan ikke udelukkes. Disse virkninger var relateret til stoffets farmakologi og var helt ophævet efter en 5-ugers behandlingsfri periode.</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iCs/>
          <w:sz w:val="24"/>
          <w:szCs w:val="24"/>
        </w:rPr>
        <w:t xml:space="preserve">Oral indgift af </w:t>
      </w:r>
      <w:proofErr w:type="spellStart"/>
      <w:r w:rsidRPr="00E11763">
        <w:rPr>
          <w:iCs/>
          <w:sz w:val="24"/>
          <w:szCs w:val="24"/>
        </w:rPr>
        <w:t>anastrozol</w:t>
      </w:r>
      <w:proofErr w:type="spellEnd"/>
      <w:r w:rsidRPr="00E11763">
        <w:rPr>
          <w:iCs/>
          <w:sz w:val="24"/>
          <w:szCs w:val="24"/>
        </w:rPr>
        <w:t xml:space="preserve"> til gravide rotter og kaniner forårsagede ingen </w:t>
      </w:r>
      <w:proofErr w:type="spellStart"/>
      <w:r w:rsidRPr="00E11763">
        <w:rPr>
          <w:iCs/>
          <w:sz w:val="24"/>
          <w:szCs w:val="24"/>
        </w:rPr>
        <w:t>teratogene</w:t>
      </w:r>
      <w:proofErr w:type="spellEnd"/>
      <w:r w:rsidRPr="00E11763">
        <w:rPr>
          <w:iCs/>
          <w:sz w:val="24"/>
          <w:szCs w:val="24"/>
        </w:rPr>
        <w:t xml:space="preserve"> virkninger ved doser op til henholdsvis 1,0 og 0,2 mg/kg/dag. De virkninger, der sås (forstørret placenta hos rotter og spontane aborter hos kaniner), var relateret til stoffets farmakologi.</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iCs/>
          <w:sz w:val="24"/>
          <w:szCs w:val="24"/>
        </w:rPr>
        <w:t xml:space="preserve">Hos kuld født til rotter, som fik </w:t>
      </w:r>
      <w:proofErr w:type="spellStart"/>
      <w:r w:rsidRPr="00E11763">
        <w:rPr>
          <w:iCs/>
          <w:sz w:val="24"/>
          <w:szCs w:val="24"/>
        </w:rPr>
        <w:t>anastrozol</w:t>
      </w:r>
      <w:proofErr w:type="spellEnd"/>
      <w:r w:rsidRPr="00E11763">
        <w:rPr>
          <w:iCs/>
          <w:sz w:val="24"/>
          <w:szCs w:val="24"/>
        </w:rPr>
        <w:t xml:space="preserve"> 0,02 mg/kg/dag og derover (fra dag 17 i graviditeten til dag 22 </w:t>
      </w:r>
      <w:proofErr w:type="spellStart"/>
      <w:r w:rsidRPr="00E11763">
        <w:rPr>
          <w:iCs/>
          <w:sz w:val="24"/>
          <w:szCs w:val="24"/>
        </w:rPr>
        <w:t>postpartum</w:t>
      </w:r>
      <w:proofErr w:type="spellEnd"/>
      <w:r w:rsidRPr="00E11763">
        <w:rPr>
          <w:iCs/>
          <w:sz w:val="24"/>
          <w:szCs w:val="24"/>
        </w:rPr>
        <w:t xml:space="preserve">), sås nedsat overlevelse. Disse virkninger var relateret til stoffets farmakologiske virkning på fødslen. Der sås ingen indvirkning på adfærd eller reproduktion, som kunne tilskrives behandling af moderen med </w:t>
      </w:r>
      <w:proofErr w:type="spellStart"/>
      <w:r w:rsidRPr="00E11763">
        <w:rPr>
          <w:iCs/>
          <w:sz w:val="24"/>
          <w:szCs w:val="24"/>
        </w:rPr>
        <w:t>anastrozol</w:t>
      </w:r>
      <w:proofErr w:type="spellEnd"/>
      <w:r w:rsidRPr="00E11763">
        <w:rPr>
          <w:iCs/>
          <w:sz w:val="24"/>
          <w:szCs w:val="24"/>
        </w:rPr>
        <w:t>, hos den første generation.</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proofErr w:type="spellStart"/>
      <w:r w:rsidRPr="00E11763">
        <w:rPr>
          <w:sz w:val="24"/>
          <w:szCs w:val="24"/>
          <w:u w:val="single"/>
        </w:rPr>
        <w:t>Karcinogenicitet</w:t>
      </w:r>
      <w:proofErr w:type="spellEnd"/>
    </w:p>
    <w:p w:rsidR="002D431C" w:rsidRPr="00E11763" w:rsidRDefault="002D431C" w:rsidP="002D431C">
      <w:pPr>
        <w:ind w:left="851"/>
        <w:rPr>
          <w:iCs/>
          <w:sz w:val="24"/>
          <w:szCs w:val="24"/>
        </w:rPr>
      </w:pPr>
      <w:r w:rsidRPr="00E11763">
        <w:rPr>
          <w:iCs/>
          <w:sz w:val="24"/>
          <w:szCs w:val="24"/>
        </w:rPr>
        <w:t xml:space="preserve">I et toårigt </w:t>
      </w:r>
      <w:proofErr w:type="spellStart"/>
      <w:r w:rsidRPr="00E11763">
        <w:rPr>
          <w:iCs/>
          <w:sz w:val="24"/>
          <w:szCs w:val="24"/>
        </w:rPr>
        <w:t>onkogenicitetsforsøg</w:t>
      </w:r>
      <w:proofErr w:type="spellEnd"/>
      <w:r w:rsidRPr="00E11763">
        <w:rPr>
          <w:iCs/>
          <w:sz w:val="24"/>
          <w:szCs w:val="24"/>
        </w:rPr>
        <w:t xml:space="preserve"> med rotter blev der kun set en stigning i forekomsten af </w:t>
      </w:r>
      <w:proofErr w:type="spellStart"/>
      <w:r w:rsidRPr="00E11763">
        <w:rPr>
          <w:iCs/>
          <w:sz w:val="24"/>
          <w:szCs w:val="24"/>
        </w:rPr>
        <w:t>hepatiske</w:t>
      </w:r>
      <w:proofErr w:type="spellEnd"/>
      <w:r w:rsidRPr="00E11763">
        <w:rPr>
          <w:iCs/>
          <w:sz w:val="24"/>
          <w:szCs w:val="24"/>
        </w:rPr>
        <w:t xml:space="preserve"> neoplasmer og </w:t>
      </w:r>
      <w:proofErr w:type="spellStart"/>
      <w:r w:rsidRPr="00E11763">
        <w:rPr>
          <w:iCs/>
          <w:sz w:val="24"/>
          <w:szCs w:val="24"/>
        </w:rPr>
        <w:t>uterine</w:t>
      </w:r>
      <w:proofErr w:type="spellEnd"/>
      <w:r w:rsidRPr="00E11763">
        <w:rPr>
          <w:iCs/>
          <w:sz w:val="24"/>
          <w:szCs w:val="24"/>
        </w:rPr>
        <w:t xml:space="preserve"> </w:t>
      </w:r>
      <w:proofErr w:type="spellStart"/>
      <w:r w:rsidRPr="00E11763">
        <w:rPr>
          <w:iCs/>
          <w:sz w:val="24"/>
          <w:szCs w:val="24"/>
        </w:rPr>
        <w:t>stromale</w:t>
      </w:r>
      <w:proofErr w:type="spellEnd"/>
      <w:r w:rsidRPr="00E11763">
        <w:rPr>
          <w:iCs/>
          <w:sz w:val="24"/>
          <w:szCs w:val="24"/>
        </w:rPr>
        <w:t xml:space="preserve"> polypper hos hundyr og </w:t>
      </w:r>
      <w:proofErr w:type="spellStart"/>
      <w:r w:rsidRPr="00E11763">
        <w:rPr>
          <w:iCs/>
          <w:sz w:val="24"/>
          <w:szCs w:val="24"/>
        </w:rPr>
        <w:t>tyroide</w:t>
      </w:r>
      <w:proofErr w:type="spellEnd"/>
      <w:r w:rsidRPr="00E11763">
        <w:rPr>
          <w:iCs/>
          <w:sz w:val="24"/>
          <w:szCs w:val="24"/>
        </w:rPr>
        <w:t xml:space="preserve"> </w:t>
      </w:r>
      <w:proofErr w:type="spellStart"/>
      <w:r w:rsidRPr="00E11763">
        <w:rPr>
          <w:iCs/>
          <w:sz w:val="24"/>
          <w:szCs w:val="24"/>
        </w:rPr>
        <w:t>adenomer</w:t>
      </w:r>
      <w:proofErr w:type="spellEnd"/>
      <w:r w:rsidRPr="00E11763">
        <w:rPr>
          <w:iCs/>
          <w:sz w:val="24"/>
          <w:szCs w:val="24"/>
        </w:rPr>
        <w:t xml:space="preserve"> hos handyr ved den høje dosis (25 mg/kg/dag). Disse ændringer skete ved en dosis, der repræsenterer en 100 gange større eksponering, end der forekommer ved terapeutiske doser </w:t>
      </w:r>
      <w:r w:rsidRPr="00E11763">
        <w:rPr>
          <w:iCs/>
          <w:sz w:val="24"/>
          <w:szCs w:val="24"/>
        </w:rPr>
        <w:lastRenderedPageBreak/>
        <w:t xml:space="preserve">hos mennesker, og anses ikke for at være klinisk relevante ved behandling af patienter med </w:t>
      </w:r>
      <w:proofErr w:type="spellStart"/>
      <w:r w:rsidRPr="00E11763">
        <w:rPr>
          <w:iCs/>
          <w:sz w:val="24"/>
          <w:szCs w:val="24"/>
        </w:rPr>
        <w:t>anastrozol</w:t>
      </w:r>
      <w:proofErr w:type="spellEnd"/>
      <w:r w:rsidRPr="00E11763">
        <w:rPr>
          <w:iCs/>
          <w:sz w:val="24"/>
          <w:szCs w:val="24"/>
        </w:rPr>
        <w:t>.</w:t>
      </w:r>
    </w:p>
    <w:p w:rsidR="002D431C" w:rsidRPr="00E11763" w:rsidRDefault="002D431C" w:rsidP="002D431C">
      <w:pPr>
        <w:ind w:left="851"/>
        <w:rPr>
          <w:iCs/>
          <w:sz w:val="24"/>
          <w:szCs w:val="24"/>
        </w:rPr>
      </w:pPr>
    </w:p>
    <w:p w:rsidR="002D431C" w:rsidRPr="00E11763" w:rsidRDefault="002D431C" w:rsidP="002D431C">
      <w:pPr>
        <w:ind w:left="851"/>
        <w:rPr>
          <w:iCs/>
          <w:sz w:val="24"/>
          <w:szCs w:val="24"/>
        </w:rPr>
      </w:pPr>
      <w:r w:rsidRPr="00E11763">
        <w:rPr>
          <w:iCs/>
          <w:sz w:val="24"/>
          <w:szCs w:val="24"/>
        </w:rPr>
        <w:t xml:space="preserve">Et toårigt </w:t>
      </w:r>
      <w:proofErr w:type="spellStart"/>
      <w:r w:rsidRPr="00E11763">
        <w:rPr>
          <w:iCs/>
          <w:sz w:val="24"/>
          <w:szCs w:val="24"/>
        </w:rPr>
        <w:t>onkogenicitetsforsøg</w:t>
      </w:r>
      <w:proofErr w:type="spellEnd"/>
      <w:r w:rsidRPr="00E11763">
        <w:rPr>
          <w:iCs/>
          <w:sz w:val="24"/>
          <w:szCs w:val="24"/>
        </w:rPr>
        <w:t xml:space="preserve"> med mus resulterede i induktion af benigne ovarietumorer og en ændring i forekomsten af </w:t>
      </w:r>
      <w:proofErr w:type="spellStart"/>
      <w:r w:rsidRPr="00E11763">
        <w:rPr>
          <w:iCs/>
          <w:sz w:val="24"/>
          <w:szCs w:val="24"/>
        </w:rPr>
        <w:t>lymforetikulære</w:t>
      </w:r>
      <w:proofErr w:type="spellEnd"/>
      <w:r w:rsidRPr="00E11763">
        <w:rPr>
          <w:iCs/>
          <w:sz w:val="24"/>
          <w:szCs w:val="24"/>
        </w:rPr>
        <w:t xml:space="preserve"> neoplasmer (færre </w:t>
      </w:r>
      <w:proofErr w:type="spellStart"/>
      <w:r w:rsidRPr="00E11763">
        <w:rPr>
          <w:iCs/>
          <w:sz w:val="24"/>
          <w:szCs w:val="24"/>
        </w:rPr>
        <w:t>histiocytiske</w:t>
      </w:r>
      <w:proofErr w:type="spellEnd"/>
      <w:r w:rsidRPr="00E11763">
        <w:rPr>
          <w:iCs/>
          <w:sz w:val="24"/>
          <w:szCs w:val="24"/>
        </w:rPr>
        <w:t xml:space="preserve"> sarkomer hos hundyr og flere dødsfald som følge af </w:t>
      </w:r>
      <w:proofErr w:type="spellStart"/>
      <w:r w:rsidRPr="00E11763">
        <w:rPr>
          <w:iCs/>
          <w:sz w:val="24"/>
          <w:szCs w:val="24"/>
        </w:rPr>
        <w:t>lymfomer</w:t>
      </w:r>
      <w:proofErr w:type="spellEnd"/>
      <w:r w:rsidRPr="00E11763">
        <w:rPr>
          <w:iCs/>
          <w:sz w:val="24"/>
          <w:szCs w:val="24"/>
        </w:rPr>
        <w:t xml:space="preserve">). Disse ændringer anses for at være musespecifikke virkninger på grund af </w:t>
      </w:r>
      <w:proofErr w:type="spellStart"/>
      <w:r w:rsidRPr="00E11763">
        <w:rPr>
          <w:iCs/>
          <w:sz w:val="24"/>
          <w:szCs w:val="24"/>
        </w:rPr>
        <w:t>aromatasehæmning</w:t>
      </w:r>
      <w:proofErr w:type="spellEnd"/>
      <w:r w:rsidRPr="00E11763">
        <w:rPr>
          <w:iCs/>
          <w:sz w:val="24"/>
          <w:szCs w:val="24"/>
        </w:rPr>
        <w:t xml:space="preserve"> og ikke klinisk relevante ved behandling af patienter med </w:t>
      </w:r>
      <w:proofErr w:type="spellStart"/>
      <w:r w:rsidRPr="00E11763">
        <w:rPr>
          <w:iCs/>
          <w:sz w:val="24"/>
          <w:szCs w:val="24"/>
        </w:rPr>
        <w:t>anastrozol</w:t>
      </w:r>
      <w:proofErr w:type="spellEnd"/>
      <w:r w:rsidRPr="00E11763">
        <w:rPr>
          <w:iCs/>
          <w:sz w:val="24"/>
          <w:szCs w:val="24"/>
        </w:rPr>
        <w:t>.</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6.</w:t>
      </w:r>
      <w:r w:rsidRPr="00E11763">
        <w:rPr>
          <w:b/>
          <w:sz w:val="24"/>
          <w:szCs w:val="24"/>
        </w:rPr>
        <w:tab/>
        <w:t>FARMACEUTISKE OPLYSNINGER</w:t>
      </w:r>
    </w:p>
    <w:p w:rsidR="002D431C" w:rsidRPr="00E11763" w:rsidRDefault="002D431C" w:rsidP="002D431C">
      <w:pPr>
        <w:ind w:left="851" w:hanging="851"/>
        <w:rPr>
          <w:b/>
          <w:sz w:val="24"/>
          <w:szCs w:val="24"/>
        </w:rPr>
      </w:pPr>
    </w:p>
    <w:p w:rsidR="002D431C" w:rsidRPr="00E11763" w:rsidRDefault="002D431C" w:rsidP="002D431C">
      <w:pPr>
        <w:ind w:left="851" w:hanging="851"/>
        <w:rPr>
          <w:b/>
          <w:sz w:val="24"/>
          <w:szCs w:val="24"/>
        </w:rPr>
      </w:pPr>
      <w:r w:rsidRPr="00E11763">
        <w:rPr>
          <w:b/>
          <w:sz w:val="24"/>
          <w:szCs w:val="24"/>
        </w:rPr>
        <w:t>6.1</w:t>
      </w:r>
      <w:r w:rsidRPr="00E11763">
        <w:rPr>
          <w:b/>
          <w:sz w:val="24"/>
          <w:szCs w:val="24"/>
        </w:rPr>
        <w:tab/>
        <w:t>Hjælpestoffer</w:t>
      </w:r>
    </w:p>
    <w:p w:rsidR="002D431C" w:rsidRPr="00E11763" w:rsidRDefault="002D431C" w:rsidP="002D431C">
      <w:pPr>
        <w:ind w:left="851"/>
        <w:rPr>
          <w:sz w:val="24"/>
          <w:szCs w:val="24"/>
          <w:u w:val="single"/>
        </w:rPr>
      </w:pPr>
      <w:r w:rsidRPr="00E11763">
        <w:rPr>
          <w:sz w:val="24"/>
          <w:szCs w:val="24"/>
          <w:u w:val="single"/>
        </w:rPr>
        <w:t>Tabletten indeholder:</w:t>
      </w:r>
    </w:p>
    <w:p w:rsidR="002D431C" w:rsidRPr="00E11763" w:rsidRDefault="002D431C" w:rsidP="002D431C">
      <w:pPr>
        <w:ind w:left="851"/>
        <w:rPr>
          <w:sz w:val="24"/>
          <w:szCs w:val="24"/>
        </w:rPr>
      </w:pPr>
      <w:proofErr w:type="spellStart"/>
      <w:r w:rsidRPr="00E11763">
        <w:rPr>
          <w:sz w:val="24"/>
          <w:szCs w:val="24"/>
        </w:rPr>
        <w:t>Lactosemonohydrat</w:t>
      </w:r>
      <w:proofErr w:type="spellEnd"/>
      <w:r w:rsidRPr="00E11763">
        <w:rPr>
          <w:sz w:val="24"/>
          <w:szCs w:val="24"/>
        </w:rPr>
        <w:t xml:space="preserve"> </w:t>
      </w:r>
    </w:p>
    <w:p w:rsidR="002D431C" w:rsidRPr="00E11763" w:rsidRDefault="002D431C" w:rsidP="002D431C">
      <w:pPr>
        <w:ind w:left="851"/>
        <w:rPr>
          <w:sz w:val="24"/>
          <w:szCs w:val="24"/>
        </w:rPr>
      </w:pPr>
      <w:proofErr w:type="spellStart"/>
      <w:r w:rsidRPr="00E11763">
        <w:rPr>
          <w:sz w:val="24"/>
          <w:szCs w:val="24"/>
        </w:rPr>
        <w:t>Natriumstivelsesglycolat</w:t>
      </w:r>
      <w:proofErr w:type="spellEnd"/>
      <w:r w:rsidRPr="00E11763">
        <w:rPr>
          <w:sz w:val="24"/>
          <w:szCs w:val="24"/>
        </w:rPr>
        <w:t xml:space="preserve"> </w:t>
      </w:r>
    </w:p>
    <w:p w:rsidR="002D431C" w:rsidRPr="00E11763" w:rsidRDefault="002D431C" w:rsidP="002D431C">
      <w:pPr>
        <w:ind w:left="851"/>
        <w:rPr>
          <w:sz w:val="24"/>
          <w:szCs w:val="24"/>
        </w:rPr>
      </w:pPr>
      <w:proofErr w:type="spellStart"/>
      <w:r w:rsidRPr="00E11763">
        <w:rPr>
          <w:sz w:val="24"/>
          <w:szCs w:val="24"/>
        </w:rPr>
        <w:t>Povidon</w:t>
      </w:r>
      <w:proofErr w:type="spellEnd"/>
      <w:r w:rsidRPr="00E11763">
        <w:rPr>
          <w:sz w:val="24"/>
          <w:szCs w:val="24"/>
        </w:rPr>
        <w:t xml:space="preserve"> </w:t>
      </w:r>
    </w:p>
    <w:p w:rsidR="002D431C" w:rsidRPr="00E11763" w:rsidRDefault="002D431C" w:rsidP="002D431C">
      <w:pPr>
        <w:ind w:left="851"/>
        <w:rPr>
          <w:sz w:val="24"/>
          <w:szCs w:val="24"/>
        </w:rPr>
      </w:pPr>
      <w:proofErr w:type="spellStart"/>
      <w:r w:rsidRPr="00E11763">
        <w:rPr>
          <w:sz w:val="24"/>
          <w:szCs w:val="24"/>
        </w:rPr>
        <w:t>Magnesiumstearat</w:t>
      </w:r>
      <w:proofErr w:type="spellEnd"/>
    </w:p>
    <w:p w:rsidR="002D431C" w:rsidRPr="00E11763" w:rsidRDefault="002D431C" w:rsidP="002D431C">
      <w:pPr>
        <w:ind w:left="851"/>
        <w:rPr>
          <w:sz w:val="24"/>
          <w:szCs w:val="24"/>
        </w:rPr>
      </w:pPr>
    </w:p>
    <w:p w:rsidR="002D431C" w:rsidRPr="00E11763" w:rsidRDefault="002D431C" w:rsidP="002D431C">
      <w:pPr>
        <w:ind w:left="851"/>
        <w:rPr>
          <w:sz w:val="24"/>
          <w:szCs w:val="24"/>
          <w:u w:val="single"/>
        </w:rPr>
      </w:pPr>
      <w:r w:rsidRPr="00E11763">
        <w:rPr>
          <w:sz w:val="24"/>
          <w:szCs w:val="24"/>
          <w:u w:val="single"/>
        </w:rPr>
        <w:t>Overtræk:</w:t>
      </w:r>
    </w:p>
    <w:p w:rsidR="002D431C" w:rsidRPr="00E11763" w:rsidRDefault="002D431C" w:rsidP="002D431C">
      <w:pPr>
        <w:ind w:left="851"/>
        <w:rPr>
          <w:sz w:val="24"/>
          <w:szCs w:val="24"/>
        </w:rPr>
      </w:pPr>
      <w:proofErr w:type="spellStart"/>
      <w:r w:rsidRPr="00E11763">
        <w:rPr>
          <w:sz w:val="24"/>
          <w:szCs w:val="24"/>
        </w:rPr>
        <w:t>Hypromellose</w:t>
      </w:r>
      <w:proofErr w:type="spellEnd"/>
      <w:r w:rsidRPr="00E11763">
        <w:rPr>
          <w:sz w:val="24"/>
          <w:szCs w:val="24"/>
        </w:rPr>
        <w:t xml:space="preserve"> </w:t>
      </w:r>
    </w:p>
    <w:p w:rsidR="002D431C" w:rsidRPr="00E11763" w:rsidRDefault="002D431C" w:rsidP="002D431C">
      <w:pPr>
        <w:ind w:left="851"/>
        <w:rPr>
          <w:sz w:val="24"/>
          <w:szCs w:val="24"/>
        </w:rPr>
      </w:pPr>
      <w:r w:rsidRPr="00E11763">
        <w:rPr>
          <w:sz w:val="24"/>
          <w:szCs w:val="24"/>
        </w:rPr>
        <w:t>Titandioxid (E171)</w:t>
      </w:r>
    </w:p>
    <w:p w:rsidR="002D431C" w:rsidRPr="00E11763" w:rsidRDefault="002D431C" w:rsidP="002D431C">
      <w:pPr>
        <w:ind w:left="851"/>
        <w:rPr>
          <w:sz w:val="24"/>
          <w:szCs w:val="24"/>
        </w:rPr>
      </w:pPr>
      <w:proofErr w:type="spellStart"/>
      <w:r w:rsidRPr="00E11763">
        <w:rPr>
          <w:sz w:val="24"/>
          <w:szCs w:val="24"/>
        </w:rPr>
        <w:t>Macrogol</w:t>
      </w:r>
      <w:proofErr w:type="spellEnd"/>
      <w:r w:rsidRPr="00E11763">
        <w:rPr>
          <w:sz w:val="24"/>
          <w:szCs w:val="24"/>
        </w:rPr>
        <w:t xml:space="preserve"> 400</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6.2</w:t>
      </w:r>
      <w:r w:rsidRPr="00E11763">
        <w:rPr>
          <w:b/>
          <w:sz w:val="24"/>
          <w:szCs w:val="24"/>
        </w:rPr>
        <w:tab/>
        <w:t>Uforligeligheder</w:t>
      </w:r>
    </w:p>
    <w:p w:rsidR="002D431C" w:rsidRPr="00E11763" w:rsidRDefault="002D431C" w:rsidP="002D431C">
      <w:pPr>
        <w:ind w:left="851" w:hanging="851"/>
        <w:rPr>
          <w:sz w:val="24"/>
          <w:szCs w:val="24"/>
        </w:rPr>
      </w:pPr>
      <w:r>
        <w:rPr>
          <w:sz w:val="24"/>
          <w:szCs w:val="24"/>
        </w:rPr>
        <w:tab/>
      </w:r>
      <w:r w:rsidRPr="00E11763">
        <w:rPr>
          <w:sz w:val="24"/>
          <w:szCs w:val="24"/>
        </w:rPr>
        <w:t>Ikke relevant.</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6.3</w:t>
      </w:r>
      <w:r w:rsidRPr="00E11763">
        <w:rPr>
          <w:b/>
          <w:sz w:val="24"/>
          <w:szCs w:val="24"/>
        </w:rPr>
        <w:tab/>
        <w:t>Opbevaringstid</w:t>
      </w:r>
    </w:p>
    <w:p w:rsidR="002D431C" w:rsidRPr="00E11763" w:rsidRDefault="002D431C" w:rsidP="002D431C">
      <w:pPr>
        <w:ind w:left="851" w:hanging="851"/>
        <w:rPr>
          <w:sz w:val="24"/>
          <w:szCs w:val="24"/>
        </w:rPr>
      </w:pPr>
      <w:r w:rsidRPr="00E11763">
        <w:rPr>
          <w:sz w:val="24"/>
          <w:szCs w:val="24"/>
        </w:rPr>
        <w:tab/>
        <w:t xml:space="preserve">3 år. </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6.4</w:t>
      </w:r>
      <w:r w:rsidRPr="00E11763">
        <w:rPr>
          <w:b/>
          <w:sz w:val="24"/>
          <w:szCs w:val="24"/>
        </w:rPr>
        <w:tab/>
        <w:t>Særlige opbevaringsforhold</w:t>
      </w:r>
    </w:p>
    <w:p w:rsidR="002D431C" w:rsidRPr="00E11763" w:rsidRDefault="002D431C" w:rsidP="002D431C">
      <w:pPr>
        <w:ind w:left="851" w:hanging="851"/>
        <w:rPr>
          <w:sz w:val="24"/>
          <w:szCs w:val="24"/>
        </w:rPr>
      </w:pPr>
      <w:r w:rsidRPr="00E11763">
        <w:rPr>
          <w:sz w:val="24"/>
          <w:szCs w:val="24"/>
        </w:rPr>
        <w:tab/>
        <w:t>Dette lægemiddel kræver ingen særlige forholdsregler vedrørende opbevaringen</w:t>
      </w:r>
      <w:r>
        <w:rPr>
          <w:sz w:val="24"/>
          <w:szCs w:val="24"/>
        </w:rPr>
        <w:t>.</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6.5</w:t>
      </w:r>
      <w:r w:rsidRPr="00E11763">
        <w:rPr>
          <w:b/>
          <w:sz w:val="24"/>
          <w:szCs w:val="24"/>
        </w:rPr>
        <w:tab/>
        <w:t>Emballagetyper og pakningsstørrelser</w:t>
      </w:r>
    </w:p>
    <w:p w:rsidR="002D431C" w:rsidRPr="00E11763" w:rsidRDefault="002D431C" w:rsidP="002D431C">
      <w:pPr>
        <w:ind w:left="851" w:hanging="851"/>
        <w:rPr>
          <w:sz w:val="24"/>
          <w:szCs w:val="24"/>
        </w:rPr>
      </w:pPr>
      <w:r w:rsidRPr="00E11763">
        <w:rPr>
          <w:sz w:val="24"/>
          <w:szCs w:val="24"/>
        </w:rPr>
        <w:tab/>
      </w:r>
      <w:proofErr w:type="gramStart"/>
      <w:r w:rsidRPr="00E11763">
        <w:rPr>
          <w:sz w:val="24"/>
          <w:szCs w:val="24"/>
        </w:rPr>
        <w:t>PVC / aluminium folie</w:t>
      </w:r>
      <w:proofErr w:type="gramEnd"/>
      <w:r w:rsidRPr="00E11763">
        <w:rPr>
          <w:sz w:val="24"/>
          <w:szCs w:val="24"/>
        </w:rPr>
        <w:t xml:space="preserve"> blisterplader i kartoner af 10, 20, 28, 30,</w:t>
      </w:r>
      <w:r>
        <w:rPr>
          <w:sz w:val="24"/>
          <w:szCs w:val="24"/>
        </w:rPr>
        <w:t xml:space="preserve"> 60,</w:t>
      </w:r>
      <w:r w:rsidRPr="00E11763">
        <w:rPr>
          <w:sz w:val="24"/>
          <w:szCs w:val="24"/>
        </w:rPr>
        <w:t xml:space="preserve"> 84, 98, 100 og 300 tabletter.</w:t>
      </w:r>
    </w:p>
    <w:p w:rsidR="002D431C" w:rsidRPr="00E11763" w:rsidRDefault="002D431C" w:rsidP="002D431C">
      <w:pPr>
        <w:ind w:left="851" w:hanging="851"/>
        <w:rPr>
          <w:sz w:val="24"/>
          <w:szCs w:val="24"/>
        </w:rPr>
      </w:pPr>
    </w:p>
    <w:p w:rsidR="002D431C" w:rsidRPr="00E11763" w:rsidRDefault="002D431C" w:rsidP="002D431C">
      <w:pPr>
        <w:ind w:left="851" w:hanging="851"/>
        <w:rPr>
          <w:sz w:val="24"/>
          <w:szCs w:val="24"/>
        </w:rPr>
      </w:pPr>
      <w:r>
        <w:rPr>
          <w:sz w:val="24"/>
          <w:szCs w:val="24"/>
        </w:rPr>
        <w:tab/>
      </w:r>
      <w:r w:rsidRPr="00E11763">
        <w:rPr>
          <w:sz w:val="24"/>
          <w:szCs w:val="24"/>
        </w:rPr>
        <w:t>Ikke alle pakningsstørrelser er nødvendigvis markedsført.</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6.6</w:t>
      </w:r>
      <w:r w:rsidRPr="00E11763">
        <w:rPr>
          <w:b/>
          <w:sz w:val="24"/>
          <w:szCs w:val="24"/>
        </w:rPr>
        <w:tab/>
        <w:t>Regler for destruktion og anden håndtering</w:t>
      </w:r>
    </w:p>
    <w:p w:rsidR="002D431C" w:rsidRPr="00E11763" w:rsidRDefault="002D431C" w:rsidP="002D431C">
      <w:pPr>
        <w:ind w:left="851" w:hanging="851"/>
        <w:rPr>
          <w:sz w:val="24"/>
          <w:szCs w:val="24"/>
        </w:rPr>
      </w:pPr>
      <w:r w:rsidRPr="00E11763">
        <w:rPr>
          <w:sz w:val="24"/>
          <w:szCs w:val="24"/>
        </w:rPr>
        <w:tab/>
        <w:t>Ikke anvendt lægemiddel samt affald heraf skal bortskaffes i henhold til lokale retningslinjer</w:t>
      </w:r>
    </w:p>
    <w:p w:rsidR="002D431C" w:rsidRPr="00E11763" w:rsidRDefault="002D431C" w:rsidP="002D431C">
      <w:pPr>
        <w:ind w:left="851" w:hanging="851"/>
        <w:jc w:val="both"/>
        <w:rPr>
          <w:sz w:val="24"/>
          <w:szCs w:val="24"/>
        </w:rPr>
      </w:pPr>
    </w:p>
    <w:p w:rsidR="002D431C" w:rsidRPr="00E11763" w:rsidRDefault="002D431C" w:rsidP="002D431C">
      <w:pPr>
        <w:ind w:left="851" w:hanging="851"/>
        <w:rPr>
          <w:b/>
          <w:sz w:val="24"/>
          <w:szCs w:val="24"/>
        </w:rPr>
      </w:pPr>
      <w:r w:rsidRPr="00E11763">
        <w:rPr>
          <w:b/>
          <w:sz w:val="24"/>
          <w:szCs w:val="24"/>
        </w:rPr>
        <w:t>7.</w:t>
      </w:r>
      <w:r w:rsidRPr="00E11763">
        <w:rPr>
          <w:b/>
          <w:sz w:val="24"/>
          <w:szCs w:val="24"/>
        </w:rPr>
        <w:tab/>
        <w:t>INDEHAVER AF MARKEDSFØRINGSTILLADELSEN</w:t>
      </w:r>
    </w:p>
    <w:p w:rsidR="002D431C" w:rsidRPr="00B15F13" w:rsidRDefault="002D431C" w:rsidP="002D431C">
      <w:pPr>
        <w:ind w:left="851" w:hanging="851"/>
        <w:rPr>
          <w:sz w:val="24"/>
          <w:szCs w:val="24"/>
        </w:rPr>
      </w:pPr>
      <w:r w:rsidRPr="00E11763">
        <w:rPr>
          <w:sz w:val="24"/>
          <w:szCs w:val="24"/>
        </w:rPr>
        <w:tab/>
      </w:r>
      <w:r w:rsidRPr="00B15F13">
        <w:rPr>
          <w:sz w:val="24"/>
          <w:szCs w:val="24"/>
        </w:rPr>
        <w:t>Medical Valley Invest AB</w:t>
      </w:r>
    </w:p>
    <w:p w:rsidR="002D431C" w:rsidRPr="00B15F13" w:rsidRDefault="002D431C" w:rsidP="002D431C">
      <w:pPr>
        <w:ind w:left="851"/>
        <w:rPr>
          <w:sz w:val="24"/>
          <w:szCs w:val="24"/>
        </w:rPr>
      </w:pPr>
      <w:proofErr w:type="spellStart"/>
      <w:r w:rsidRPr="00B15F13">
        <w:rPr>
          <w:sz w:val="24"/>
          <w:szCs w:val="24"/>
        </w:rPr>
        <w:t>Brädgårdsvägen</w:t>
      </w:r>
      <w:proofErr w:type="spellEnd"/>
      <w:r w:rsidRPr="00B15F13">
        <w:rPr>
          <w:sz w:val="24"/>
          <w:szCs w:val="24"/>
        </w:rPr>
        <w:t xml:space="preserve"> 28</w:t>
      </w:r>
    </w:p>
    <w:p w:rsidR="002D431C" w:rsidRPr="00B15F13" w:rsidRDefault="002D431C" w:rsidP="002D431C">
      <w:pPr>
        <w:ind w:left="851"/>
        <w:rPr>
          <w:sz w:val="24"/>
          <w:szCs w:val="24"/>
        </w:rPr>
      </w:pPr>
      <w:r w:rsidRPr="00B15F13">
        <w:rPr>
          <w:sz w:val="24"/>
          <w:szCs w:val="24"/>
        </w:rPr>
        <w:t xml:space="preserve">236 32 </w:t>
      </w:r>
      <w:proofErr w:type="spellStart"/>
      <w:r>
        <w:rPr>
          <w:sz w:val="24"/>
          <w:szCs w:val="24"/>
        </w:rPr>
        <w:t>Höllviken</w:t>
      </w:r>
      <w:proofErr w:type="spellEnd"/>
    </w:p>
    <w:p w:rsidR="002D431C" w:rsidRDefault="002D431C" w:rsidP="002D431C">
      <w:pPr>
        <w:ind w:left="851"/>
        <w:rPr>
          <w:sz w:val="24"/>
          <w:szCs w:val="24"/>
        </w:rPr>
      </w:pPr>
      <w:r w:rsidRPr="00B15F13">
        <w:rPr>
          <w:sz w:val="24"/>
          <w:szCs w:val="24"/>
        </w:rPr>
        <w:t>S</w:t>
      </w:r>
      <w:r>
        <w:rPr>
          <w:sz w:val="24"/>
          <w:szCs w:val="24"/>
        </w:rPr>
        <w:t>verige</w:t>
      </w:r>
    </w:p>
    <w:p w:rsidR="002D431C" w:rsidRPr="001E64FA" w:rsidRDefault="002D431C" w:rsidP="002D431C">
      <w:pPr>
        <w:ind w:left="851"/>
        <w:rPr>
          <w:sz w:val="24"/>
          <w:szCs w:val="24"/>
        </w:rPr>
      </w:pPr>
    </w:p>
    <w:p w:rsidR="002D431C" w:rsidRPr="00E11763" w:rsidRDefault="002D431C" w:rsidP="002D431C">
      <w:pPr>
        <w:ind w:left="851" w:hanging="851"/>
        <w:rPr>
          <w:b/>
          <w:sz w:val="24"/>
          <w:szCs w:val="24"/>
        </w:rPr>
      </w:pPr>
      <w:r w:rsidRPr="00E11763">
        <w:rPr>
          <w:b/>
          <w:sz w:val="24"/>
          <w:szCs w:val="24"/>
        </w:rPr>
        <w:t>8.</w:t>
      </w:r>
      <w:r w:rsidRPr="00E11763">
        <w:rPr>
          <w:b/>
          <w:sz w:val="24"/>
          <w:szCs w:val="24"/>
        </w:rPr>
        <w:tab/>
        <w:t>MARKEDSFØRINGSTILLADELSESNUMMER (NUMRE)</w:t>
      </w:r>
    </w:p>
    <w:p w:rsidR="002D431C" w:rsidRPr="00E11763" w:rsidRDefault="002D431C" w:rsidP="002D431C">
      <w:pPr>
        <w:ind w:left="851" w:hanging="851"/>
        <w:rPr>
          <w:sz w:val="24"/>
          <w:szCs w:val="24"/>
        </w:rPr>
      </w:pPr>
      <w:r w:rsidRPr="00E11763">
        <w:rPr>
          <w:sz w:val="24"/>
          <w:szCs w:val="24"/>
        </w:rPr>
        <w:tab/>
        <w:t>50071</w:t>
      </w:r>
    </w:p>
    <w:p w:rsidR="002D431C" w:rsidRPr="00E11763" w:rsidRDefault="002D431C" w:rsidP="002D431C">
      <w:pPr>
        <w:ind w:left="851" w:hanging="851"/>
        <w:jc w:val="both"/>
        <w:rPr>
          <w:sz w:val="24"/>
          <w:szCs w:val="24"/>
        </w:rPr>
      </w:pPr>
    </w:p>
    <w:p w:rsidR="002D431C" w:rsidRPr="00E11763" w:rsidRDefault="002D431C" w:rsidP="002D431C">
      <w:pPr>
        <w:ind w:left="851" w:hanging="851"/>
        <w:rPr>
          <w:b/>
          <w:sz w:val="24"/>
          <w:szCs w:val="24"/>
        </w:rPr>
      </w:pPr>
      <w:r w:rsidRPr="00E11763">
        <w:rPr>
          <w:b/>
          <w:sz w:val="24"/>
          <w:szCs w:val="24"/>
        </w:rPr>
        <w:t>9.</w:t>
      </w:r>
      <w:r w:rsidRPr="00E11763">
        <w:rPr>
          <w:b/>
          <w:sz w:val="24"/>
          <w:szCs w:val="24"/>
        </w:rPr>
        <w:tab/>
        <w:t>DATO FOR FØRSTE MARKEDSFØRINGSTILLADELSE</w:t>
      </w:r>
    </w:p>
    <w:p w:rsidR="002D431C" w:rsidRPr="00E11763" w:rsidRDefault="002D431C" w:rsidP="002D431C">
      <w:pPr>
        <w:ind w:left="851" w:hanging="851"/>
        <w:rPr>
          <w:sz w:val="24"/>
          <w:szCs w:val="24"/>
        </w:rPr>
      </w:pPr>
      <w:r w:rsidRPr="00E11763">
        <w:rPr>
          <w:sz w:val="24"/>
          <w:szCs w:val="24"/>
        </w:rPr>
        <w:tab/>
        <w:t>1</w:t>
      </w:r>
      <w:r>
        <w:rPr>
          <w:sz w:val="24"/>
          <w:szCs w:val="24"/>
        </w:rPr>
        <w:t>7</w:t>
      </w:r>
      <w:r w:rsidRPr="00E11763">
        <w:rPr>
          <w:sz w:val="24"/>
          <w:szCs w:val="24"/>
        </w:rPr>
        <w:t>. april 2013</w:t>
      </w:r>
    </w:p>
    <w:p w:rsidR="002D431C" w:rsidRPr="00E11763" w:rsidRDefault="002D431C" w:rsidP="002D431C">
      <w:pPr>
        <w:ind w:left="851" w:hanging="851"/>
        <w:rPr>
          <w:sz w:val="24"/>
          <w:szCs w:val="24"/>
        </w:rPr>
      </w:pPr>
    </w:p>
    <w:p w:rsidR="002D431C" w:rsidRPr="00E11763" w:rsidRDefault="002D431C" w:rsidP="002D431C">
      <w:pPr>
        <w:ind w:left="851" w:hanging="851"/>
        <w:rPr>
          <w:b/>
          <w:sz w:val="24"/>
          <w:szCs w:val="24"/>
        </w:rPr>
      </w:pPr>
      <w:r w:rsidRPr="00E11763">
        <w:rPr>
          <w:b/>
          <w:sz w:val="24"/>
          <w:szCs w:val="24"/>
        </w:rPr>
        <w:t>10.</w:t>
      </w:r>
      <w:r w:rsidRPr="00E11763">
        <w:rPr>
          <w:b/>
          <w:sz w:val="24"/>
          <w:szCs w:val="24"/>
        </w:rPr>
        <w:tab/>
        <w:t>DATO FOR ÆNDRING AF TEKSTEN</w:t>
      </w:r>
    </w:p>
    <w:p w:rsidR="002D431C" w:rsidRPr="007F677D" w:rsidRDefault="002D431C" w:rsidP="00B147E6">
      <w:pPr>
        <w:ind w:left="851" w:hanging="851"/>
      </w:pPr>
      <w:r w:rsidRPr="00E11763">
        <w:rPr>
          <w:sz w:val="24"/>
          <w:szCs w:val="24"/>
        </w:rPr>
        <w:tab/>
      </w:r>
      <w:r w:rsidR="009B4B92" w:rsidRPr="009B4B92">
        <w:rPr>
          <w:sz w:val="24"/>
          <w:szCs w:val="24"/>
        </w:rPr>
        <w:t>20. maj 2022</w:t>
      </w:r>
    </w:p>
    <w:p w:rsidR="009260DE" w:rsidRPr="002D431C" w:rsidRDefault="009260DE" w:rsidP="002D431C"/>
    <w:sectPr w:rsidR="009260DE" w:rsidRPr="002D431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31C" w:rsidRDefault="002D431C">
      <w:r>
        <w:separator/>
      </w:r>
    </w:p>
  </w:endnote>
  <w:endnote w:type="continuationSeparator" w:id="0">
    <w:p w:rsidR="002D431C" w:rsidRDefault="002D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AA4F07" w:rsidP="00C42586">
    <w:pPr>
      <w:pStyle w:val="Sidefod"/>
      <w:tabs>
        <w:tab w:val="clear" w:pos="4819"/>
        <w:tab w:val="left" w:pos="8505"/>
      </w:tabs>
      <w:rPr>
        <w:i/>
        <w:sz w:val="18"/>
        <w:szCs w:val="18"/>
      </w:rPr>
    </w:pPr>
    <w:proofErr w:type="spellStart"/>
    <w:r w:rsidRPr="00AA4F07">
      <w:rPr>
        <w:i/>
        <w:sz w:val="18"/>
        <w:szCs w:val="18"/>
      </w:rPr>
      <w:t>Anastrozol</w:t>
    </w:r>
    <w:proofErr w:type="spellEnd"/>
    <w:r w:rsidRPr="00AA4F07">
      <w:rPr>
        <w:i/>
        <w:sz w:val="18"/>
        <w:szCs w:val="18"/>
      </w:rPr>
      <w:t xml:space="preserve"> Medical Valley, filmovertrukne tabletter 1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31C" w:rsidRDefault="002D431C">
      <w:r>
        <w:separator/>
      </w:r>
    </w:p>
  </w:footnote>
  <w:footnote w:type="continuationSeparator" w:id="0">
    <w:p w:rsidR="002D431C" w:rsidRDefault="002D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7060D6F"/>
    <w:multiLevelType w:val="hybridMultilevel"/>
    <w:tmpl w:val="F9329C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E737F49"/>
    <w:multiLevelType w:val="hybridMultilevel"/>
    <w:tmpl w:val="C31C8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1C"/>
    <w:rsid w:val="000259B9"/>
    <w:rsid w:val="00041491"/>
    <w:rsid w:val="00050D16"/>
    <w:rsid w:val="00074F2A"/>
    <w:rsid w:val="000A1CA8"/>
    <w:rsid w:val="000A466B"/>
    <w:rsid w:val="000B058C"/>
    <w:rsid w:val="000E4EE6"/>
    <w:rsid w:val="001454E2"/>
    <w:rsid w:val="00206CE8"/>
    <w:rsid w:val="0021526C"/>
    <w:rsid w:val="00252A42"/>
    <w:rsid w:val="00283A2B"/>
    <w:rsid w:val="002B30AD"/>
    <w:rsid w:val="002C2C01"/>
    <w:rsid w:val="002D431C"/>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6109B"/>
    <w:rsid w:val="009B4B92"/>
    <w:rsid w:val="009C7BA3"/>
    <w:rsid w:val="009D1F5A"/>
    <w:rsid w:val="00A61EBB"/>
    <w:rsid w:val="00AA4F07"/>
    <w:rsid w:val="00B003BF"/>
    <w:rsid w:val="00B147E6"/>
    <w:rsid w:val="00B25533"/>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F75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B584E"/>
  <w15:chartTrackingRefBased/>
  <w15:docId w15:val="{AFEC00FF-4304-4BCF-912C-D0AE95A5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D431C"/>
    <w:rPr>
      <w:color w:val="0563C1" w:themeColor="hyperlink"/>
      <w:u w:val="single"/>
    </w:rPr>
  </w:style>
  <w:style w:type="paragraph" w:customStyle="1" w:styleId="Default">
    <w:name w:val="Default"/>
    <w:rsid w:val="002D431C"/>
    <w:pPr>
      <w:autoSpaceDE w:val="0"/>
      <w:autoSpaceDN w:val="0"/>
      <w:adjustRightInd w:val="0"/>
    </w:pPr>
    <w:rPr>
      <w:rFonts w:ascii="Verdana" w:eastAsia="Calibr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15</Pages>
  <Words>4917</Words>
  <Characters>29996</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2021050347_x000d_
SPC pkt. 4.8</dc:description>
  <cp:lastModifiedBy>Betty Winther Andersen</cp:lastModifiedBy>
  <cp:revision>4</cp:revision>
  <cp:lastPrinted>2012-08-22T08:53:00Z</cp:lastPrinted>
  <dcterms:created xsi:type="dcterms:W3CDTF">2022-05-18T12:00:00Z</dcterms:created>
  <dcterms:modified xsi:type="dcterms:W3CDTF">2022-05-18T12:07:00Z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