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0E012" w14:textId="0EF447D1" w:rsidR="009260DE" w:rsidRPr="000262D3" w:rsidRDefault="0021526C" w:rsidP="000262D3">
      <w:pPr>
        <w:rPr>
          <w:bCs/>
          <w:sz w:val="24"/>
          <w:szCs w:val="24"/>
        </w:rPr>
      </w:pPr>
      <w:r w:rsidRPr="000262D3">
        <w:rPr>
          <w:noProof/>
          <w:sz w:val="24"/>
          <w:szCs w:val="24"/>
          <w:lang w:eastAsia="da-DK"/>
        </w:rPr>
        <w:drawing>
          <wp:anchor distT="0" distB="0" distL="114300" distR="114300" simplePos="0" relativeHeight="251658240" behindDoc="0" locked="0" layoutInCell="1" allowOverlap="1" wp14:anchorId="453A905B" wp14:editId="72C0DC2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0262D3">
        <w:rPr>
          <w:sz w:val="24"/>
          <w:szCs w:val="24"/>
        </w:rPr>
        <w:br w:type="textWrapping" w:clear="all"/>
      </w:r>
    </w:p>
    <w:p w14:paraId="0B410110" w14:textId="73E3E343" w:rsidR="009260DE" w:rsidRPr="000262D3" w:rsidRDefault="009260DE" w:rsidP="009260DE">
      <w:pPr>
        <w:pStyle w:val="Titel"/>
        <w:tabs>
          <w:tab w:val="right" w:pos="9356"/>
        </w:tabs>
        <w:jc w:val="left"/>
        <w:rPr>
          <w:b w:val="0"/>
          <w:szCs w:val="24"/>
          <w:lang w:eastAsia="en-US"/>
        </w:rPr>
      </w:pPr>
      <w:r w:rsidRPr="000262D3">
        <w:rPr>
          <w:b w:val="0"/>
          <w:szCs w:val="24"/>
          <w:lang w:eastAsia="en-US"/>
        </w:rPr>
        <w:tab/>
      </w:r>
      <w:r w:rsidR="00C257B4">
        <w:rPr>
          <w:szCs w:val="24"/>
        </w:rPr>
        <w:t>21. april 2026</w:t>
      </w:r>
    </w:p>
    <w:p w14:paraId="57D27337" w14:textId="77777777" w:rsidR="009260DE" w:rsidRPr="000262D3" w:rsidRDefault="009260DE" w:rsidP="009260DE">
      <w:pPr>
        <w:pStyle w:val="Titel"/>
        <w:tabs>
          <w:tab w:val="left" w:pos="8222"/>
        </w:tabs>
        <w:jc w:val="left"/>
        <w:rPr>
          <w:b w:val="0"/>
          <w:szCs w:val="24"/>
        </w:rPr>
      </w:pPr>
    </w:p>
    <w:p w14:paraId="3F9AEBDB" w14:textId="77777777" w:rsidR="009260DE" w:rsidRPr="000262D3" w:rsidRDefault="009260DE" w:rsidP="009260DE">
      <w:pPr>
        <w:pStyle w:val="Titel"/>
        <w:jc w:val="left"/>
        <w:rPr>
          <w:b w:val="0"/>
          <w:szCs w:val="24"/>
        </w:rPr>
      </w:pPr>
    </w:p>
    <w:p w14:paraId="35571976" w14:textId="77777777" w:rsidR="009260DE" w:rsidRPr="000262D3" w:rsidRDefault="009260DE" w:rsidP="009260DE">
      <w:pPr>
        <w:pStyle w:val="Titel"/>
        <w:jc w:val="left"/>
        <w:rPr>
          <w:b w:val="0"/>
          <w:szCs w:val="24"/>
        </w:rPr>
      </w:pPr>
    </w:p>
    <w:p w14:paraId="697882BB" w14:textId="77777777" w:rsidR="009260DE" w:rsidRPr="000262D3" w:rsidRDefault="009260DE" w:rsidP="009260DE">
      <w:pPr>
        <w:jc w:val="center"/>
        <w:rPr>
          <w:b/>
          <w:sz w:val="24"/>
          <w:szCs w:val="24"/>
        </w:rPr>
      </w:pPr>
      <w:r w:rsidRPr="000262D3">
        <w:rPr>
          <w:b/>
          <w:sz w:val="24"/>
          <w:szCs w:val="24"/>
        </w:rPr>
        <w:t>PRODUKTRESUMÉ</w:t>
      </w:r>
    </w:p>
    <w:p w14:paraId="4F3C28FC" w14:textId="77777777" w:rsidR="009260DE" w:rsidRPr="000262D3" w:rsidRDefault="009260DE" w:rsidP="009260DE">
      <w:pPr>
        <w:jc w:val="center"/>
        <w:rPr>
          <w:b/>
          <w:sz w:val="24"/>
          <w:szCs w:val="24"/>
        </w:rPr>
      </w:pPr>
    </w:p>
    <w:p w14:paraId="51FD1859" w14:textId="77777777" w:rsidR="009260DE" w:rsidRPr="000262D3" w:rsidRDefault="009260DE" w:rsidP="009260DE">
      <w:pPr>
        <w:jc w:val="center"/>
        <w:rPr>
          <w:b/>
          <w:sz w:val="24"/>
          <w:szCs w:val="24"/>
        </w:rPr>
      </w:pPr>
      <w:r w:rsidRPr="000262D3">
        <w:rPr>
          <w:b/>
          <w:sz w:val="24"/>
          <w:szCs w:val="24"/>
        </w:rPr>
        <w:t>for</w:t>
      </w:r>
    </w:p>
    <w:p w14:paraId="759BEF23" w14:textId="77777777" w:rsidR="000B058C" w:rsidRPr="000262D3" w:rsidRDefault="000B058C" w:rsidP="009260DE">
      <w:pPr>
        <w:jc w:val="center"/>
        <w:rPr>
          <w:b/>
          <w:sz w:val="24"/>
          <w:szCs w:val="24"/>
        </w:rPr>
      </w:pPr>
    </w:p>
    <w:p w14:paraId="7A3205A0" w14:textId="070B661B" w:rsidR="009260DE" w:rsidRPr="000262D3" w:rsidRDefault="00C257B4" w:rsidP="009260DE">
      <w:pPr>
        <w:jc w:val="center"/>
        <w:rPr>
          <w:b/>
          <w:sz w:val="24"/>
          <w:szCs w:val="24"/>
        </w:rPr>
      </w:pPr>
      <w:r>
        <w:rPr>
          <w:b/>
          <w:sz w:val="24"/>
          <w:szCs w:val="24"/>
        </w:rPr>
        <w:t>Anastrozole "Amarox"</w:t>
      </w:r>
      <w:r w:rsidR="00977942" w:rsidRPr="000262D3">
        <w:rPr>
          <w:b/>
          <w:sz w:val="24"/>
          <w:szCs w:val="24"/>
        </w:rPr>
        <w:t>, filmovertrukne tabletter</w:t>
      </w:r>
    </w:p>
    <w:p w14:paraId="6C0ECB53" w14:textId="77777777" w:rsidR="009260DE" w:rsidRPr="000262D3" w:rsidRDefault="009260DE" w:rsidP="009260DE">
      <w:pPr>
        <w:jc w:val="both"/>
        <w:rPr>
          <w:sz w:val="24"/>
          <w:szCs w:val="24"/>
        </w:rPr>
      </w:pPr>
    </w:p>
    <w:p w14:paraId="0E9B2744" w14:textId="77777777" w:rsidR="009260DE" w:rsidRPr="000262D3" w:rsidRDefault="009260DE" w:rsidP="009260DE">
      <w:pPr>
        <w:jc w:val="both"/>
        <w:rPr>
          <w:sz w:val="24"/>
          <w:szCs w:val="24"/>
        </w:rPr>
      </w:pPr>
    </w:p>
    <w:p w14:paraId="713E15C5" w14:textId="77777777" w:rsidR="009260DE" w:rsidRPr="000262D3" w:rsidRDefault="009260DE" w:rsidP="009260DE">
      <w:pPr>
        <w:tabs>
          <w:tab w:val="left" w:pos="851"/>
        </w:tabs>
        <w:ind w:left="851" w:hanging="851"/>
        <w:rPr>
          <w:b/>
          <w:sz w:val="24"/>
          <w:szCs w:val="24"/>
        </w:rPr>
      </w:pPr>
      <w:r w:rsidRPr="000262D3">
        <w:rPr>
          <w:b/>
          <w:sz w:val="24"/>
          <w:szCs w:val="24"/>
        </w:rPr>
        <w:t>0.</w:t>
      </w:r>
      <w:r w:rsidRPr="000262D3">
        <w:rPr>
          <w:b/>
          <w:sz w:val="24"/>
          <w:szCs w:val="24"/>
        </w:rPr>
        <w:tab/>
        <w:t>D.SP.NR.</w:t>
      </w:r>
    </w:p>
    <w:p w14:paraId="75D61E00" w14:textId="725DF7D8" w:rsidR="009260DE" w:rsidRPr="000262D3" w:rsidRDefault="00977942" w:rsidP="009260DE">
      <w:pPr>
        <w:tabs>
          <w:tab w:val="left" w:pos="851"/>
        </w:tabs>
        <w:ind w:left="851"/>
        <w:rPr>
          <w:sz w:val="24"/>
          <w:szCs w:val="24"/>
        </w:rPr>
      </w:pPr>
      <w:r w:rsidRPr="000262D3">
        <w:rPr>
          <w:sz w:val="24"/>
          <w:szCs w:val="24"/>
        </w:rPr>
        <w:t>34673</w:t>
      </w:r>
    </w:p>
    <w:p w14:paraId="3249D485" w14:textId="77777777" w:rsidR="009260DE" w:rsidRPr="000262D3" w:rsidRDefault="009260DE" w:rsidP="009260DE">
      <w:pPr>
        <w:tabs>
          <w:tab w:val="left" w:pos="851"/>
        </w:tabs>
        <w:ind w:left="851"/>
        <w:rPr>
          <w:sz w:val="24"/>
          <w:szCs w:val="24"/>
        </w:rPr>
      </w:pPr>
    </w:p>
    <w:p w14:paraId="556AC928" w14:textId="77777777" w:rsidR="009260DE" w:rsidRPr="000262D3" w:rsidRDefault="009260DE" w:rsidP="009260DE">
      <w:pPr>
        <w:tabs>
          <w:tab w:val="left" w:pos="851"/>
        </w:tabs>
        <w:ind w:left="851" w:hanging="851"/>
        <w:rPr>
          <w:b/>
          <w:sz w:val="24"/>
          <w:szCs w:val="24"/>
        </w:rPr>
      </w:pPr>
      <w:r w:rsidRPr="000262D3">
        <w:rPr>
          <w:b/>
          <w:sz w:val="24"/>
          <w:szCs w:val="24"/>
        </w:rPr>
        <w:t>1.</w:t>
      </w:r>
      <w:r w:rsidRPr="000262D3">
        <w:rPr>
          <w:b/>
          <w:sz w:val="24"/>
          <w:szCs w:val="24"/>
        </w:rPr>
        <w:tab/>
        <w:t>LÆGEMIDLETS NAVN</w:t>
      </w:r>
    </w:p>
    <w:p w14:paraId="7CB3F15F" w14:textId="78B9DBD6" w:rsidR="009260DE" w:rsidRPr="000262D3" w:rsidRDefault="00C257B4" w:rsidP="009260DE">
      <w:pPr>
        <w:tabs>
          <w:tab w:val="left" w:pos="851"/>
        </w:tabs>
        <w:ind w:left="851"/>
        <w:rPr>
          <w:sz w:val="24"/>
          <w:szCs w:val="24"/>
        </w:rPr>
      </w:pPr>
      <w:r>
        <w:rPr>
          <w:sz w:val="24"/>
          <w:szCs w:val="24"/>
        </w:rPr>
        <w:t>Anastrozole "Amarox"</w:t>
      </w:r>
    </w:p>
    <w:p w14:paraId="1E3FD4A8" w14:textId="77777777" w:rsidR="009260DE" w:rsidRPr="000262D3" w:rsidRDefault="009260DE" w:rsidP="009260DE">
      <w:pPr>
        <w:tabs>
          <w:tab w:val="left" w:pos="851"/>
        </w:tabs>
        <w:ind w:left="851"/>
        <w:rPr>
          <w:sz w:val="24"/>
          <w:szCs w:val="24"/>
        </w:rPr>
      </w:pPr>
    </w:p>
    <w:p w14:paraId="11CDF059" w14:textId="77777777" w:rsidR="009260DE" w:rsidRPr="000262D3" w:rsidRDefault="009260DE" w:rsidP="009260DE">
      <w:pPr>
        <w:tabs>
          <w:tab w:val="left" w:pos="851"/>
        </w:tabs>
        <w:ind w:left="851" w:hanging="851"/>
        <w:rPr>
          <w:b/>
          <w:sz w:val="24"/>
          <w:szCs w:val="24"/>
        </w:rPr>
      </w:pPr>
      <w:r w:rsidRPr="000262D3">
        <w:rPr>
          <w:b/>
          <w:sz w:val="24"/>
          <w:szCs w:val="24"/>
        </w:rPr>
        <w:t>2.</w:t>
      </w:r>
      <w:r w:rsidRPr="000262D3">
        <w:rPr>
          <w:b/>
          <w:sz w:val="24"/>
          <w:szCs w:val="24"/>
        </w:rPr>
        <w:tab/>
        <w:t>KVALITATIV OG KVANTITATIV SAMMENSÆTNING</w:t>
      </w:r>
    </w:p>
    <w:p w14:paraId="148E4596" w14:textId="2D29CB20" w:rsidR="00977942" w:rsidRPr="000262D3" w:rsidRDefault="00977942" w:rsidP="000262D3">
      <w:pPr>
        <w:ind w:left="851"/>
        <w:rPr>
          <w:sz w:val="24"/>
          <w:szCs w:val="24"/>
        </w:rPr>
      </w:pPr>
      <w:r w:rsidRPr="000262D3">
        <w:rPr>
          <w:sz w:val="24"/>
          <w:szCs w:val="24"/>
        </w:rPr>
        <w:t xml:space="preserve">Hver </w:t>
      </w:r>
      <w:r w:rsidR="000262D3" w:rsidRPr="000262D3">
        <w:rPr>
          <w:sz w:val="24"/>
          <w:szCs w:val="24"/>
        </w:rPr>
        <w:t>filmovertrukket</w:t>
      </w:r>
      <w:r w:rsidRPr="000262D3">
        <w:rPr>
          <w:sz w:val="24"/>
          <w:szCs w:val="24"/>
        </w:rPr>
        <w:t xml:space="preserve"> tablet indeholder 1 mg anastrozol.</w:t>
      </w:r>
    </w:p>
    <w:p w14:paraId="31104E68" w14:textId="77777777" w:rsidR="00977942" w:rsidRPr="000262D3" w:rsidRDefault="00977942" w:rsidP="000262D3">
      <w:pPr>
        <w:ind w:left="851"/>
        <w:rPr>
          <w:sz w:val="24"/>
          <w:szCs w:val="24"/>
        </w:rPr>
      </w:pPr>
    </w:p>
    <w:p w14:paraId="599CA720" w14:textId="77777777" w:rsidR="00977942" w:rsidRPr="000262D3" w:rsidRDefault="00977942" w:rsidP="000262D3">
      <w:pPr>
        <w:ind w:left="851"/>
        <w:rPr>
          <w:sz w:val="24"/>
          <w:szCs w:val="24"/>
          <w:u w:val="single"/>
        </w:rPr>
      </w:pPr>
      <w:r w:rsidRPr="000262D3">
        <w:rPr>
          <w:sz w:val="24"/>
          <w:szCs w:val="24"/>
          <w:u w:val="single"/>
        </w:rPr>
        <w:t>Hjælpestoffer, som behandleren skal være opmærksom på:</w:t>
      </w:r>
    </w:p>
    <w:p w14:paraId="69C44B11" w14:textId="4D3FD83E" w:rsidR="00977942" w:rsidRPr="000262D3" w:rsidRDefault="00977942" w:rsidP="000262D3">
      <w:pPr>
        <w:ind w:left="851"/>
        <w:rPr>
          <w:sz w:val="24"/>
          <w:szCs w:val="24"/>
        </w:rPr>
      </w:pPr>
      <w:r w:rsidRPr="000262D3">
        <w:rPr>
          <w:sz w:val="24"/>
          <w:szCs w:val="24"/>
        </w:rPr>
        <w:t>Hver filmovertrukke</w:t>
      </w:r>
      <w:r w:rsidR="000262D3" w:rsidRPr="000262D3">
        <w:rPr>
          <w:sz w:val="24"/>
          <w:szCs w:val="24"/>
        </w:rPr>
        <w:t>t</w:t>
      </w:r>
      <w:r w:rsidRPr="000262D3">
        <w:rPr>
          <w:sz w:val="24"/>
          <w:szCs w:val="24"/>
        </w:rPr>
        <w:t xml:space="preserve"> tablet indeholder 75,52 mg lactosemonohydrat (se pkt. 4.4). </w:t>
      </w:r>
    </w:p>
    <w:p w14:paraId="2A80C037" w14:textId="77777777" w:rsidR="00977942" w:rsidRPr="000262D3" w:rsidRDefault="00977942" w:rsidP="000262D3">
      <w:pPr>
        <w:ind w:left="851"/>
        <w:rPr>
          <w:sz w:val="24"/>
          <w:szCs w:val="24"/>
        </w:rPr>
      </w:pPr>
    </w:p>
    <w:p w14:paraId="285ACD2E" w14:textId="77777777" w:rsidR="00977942" w:rsidRPr="000262D3" w:rsidRDefault="00977942" w:rsidP="000262D3">
      <w:pPr>
        <w:ind w:left="851"/>
        <w:rPr>
          <w:sz w:val="24"/>
          <w:szCs w:val="24"/>
        </w:rPr>
      </w:pPr>
      <w:r w:rsidRPr="000262D3">
        <w:rPr>
          <w:sz w:val="24"/>
          <w:szCs w:val="24"/>
        </w:rPr>
        <w:t>Alle hjælpestoffer er anført under pkt. 6.1.</w:t>
      </w:r>
    </w:p>
    <w:p w14:paraId="68A44BAB" w14:textId="77777777" w:rsidR="009260DE" w:rsidRPr="000262D3" w:rsidRDefault="009260DE" w:rsidP="009260DE">
      <w:pPr>
        <w:tabs>
          <w:tab w:val="left" w:pos="851"/>
        </w:tabs>
        <w:ind w:left="851"/>
        <w:rPr>
          <w:sz w:val="24"/>
          <w:szCs w:val="24"/>
        </w:rPr>
      </w:pPr>
    </w:p>
    <w:p w14:paraId="01F7C22E" w14:textId="77777777" w:rsidR="009260DE" w:rsidRPr="000262D3" w:rsidRDefault="009260DE" w:rsidP="009260DE">
      <w:pPr>
        <w:tabs>
          <w:tab w:val="left" w:pos="851"/>
        </w:tabs>
        <w:ind w:left="851" w:hanging="851"/>
        <w:rPr>
          <w:b/>
          <w:sz w:val="24"/>
          <w:szCs w:val="24"/>
        </w:rPr>
      </w:pPr>
      <w:r w:rsidRPr="000262D3">
        <w:rPr>
          <w:b/>
          <w:sz w:val="24"/>
          <w:szCs w:val="24"/>
        </w:rPr>
        <w:t>3.</w:t>
      </w:r>
      <w:r w:rsidRPr="000262D3">
        <w:rPr>
          <w:b/>
          <w:sz w:val="24"/>
          <w:szCs w:val="24"/>
        </w:rPr>
        <w:tab/>
        <w:t>LÆGEMIDDELFORM</w:t>
      </w:r>
    </w:p>
    <w:p w14:paraId="5C4CEC24" w14:textId="5E4B3EEE" w:rsidR="00977942" w:rsidRPr="000262D3" w:rsidRDefault="00977942" w:rsidP="000262D3">
      <w:pPr>
        <w:ind w:left="851"/>
        <w:rPr>
          <w:sz w:val="24"/>
          <w:szCs w:val="24"/>
        </w:rPr>
      </w:pPr>
      <w:r w:rsidRPr="000262D3">
        <w:rPr>
          <w:sz w:val="24"/>
          <w:szCs w:val="24"/>
        </w:rPr>
        <w:t>Filmovertrukne tabletter</w:t>
      </w:r>
    </w:p>
    <w:p w14:paraId="0E0BF992" w14:textId="32338175" w:rsidR="00977942" w:rsidRPr="000262D3" w:rsidRDefault="00977942" w:rsidP="000262D3">
      <w:pPr>
        <w:ind w:left="851"/>
        <w:rPr>
          <w:sz w:val="24"/>
          <w:szCs w:val="24"/>
        </w:rPr>
      </w:pPr>
    </w:p>
    <w:p w14:paraId="7C721D5E" w14:textId="503A0E81" w:rsidR="00977942" w:rsidRPr="000262D3" w:rsidRDefault="00977942" w:rsidP="000262D3">
      <w:pPr>
        <w:ind w:left="851"/>
        <w:rPr>
          <w:sz w:val="24"/>
          <w:szCs w:val="24"/>
        </w:rPr>
      </w:pPr>
      <w:r w:rsidRPr="000262D3">
        <w:rPr>
          <w:sz w:val="24"/>
          <w:szCs w:val="24"/>
        </w:rPr>
        <w:t xml:space="preserve">Hvid, rund, bikonveks (6,0 mm i længden og 6,0 mm i bredden), </w:t>
      </w:r>
      <w:r w:rsidR="000262D3" w:rsidRPr="000262D3">
        <w:rPr>
          <w:sz w:val="24"/>
          <w:szCs w:val="24"/>
        </w:rPr>
        <w:t>filmovertrukket</w:t>
      </w:r>
      <w:r w:rsidRPr="000262D3">
        <w:rPr>
          <w:sz w:val="24"/>
          <w:szCs w:val="24"/>
        </w:rPr>
        <w:t xml:space="preserve"> tablet, præget med "1" på den ene side og "H" på den anden side.</w:t>
      </w:r>
    </w:p>
    <w:p w14:paraId="0E414494" w14:textId="77777777" w:rsidR="009260DE" w:rsidRPr="000262D3" w:rsidRDefault="009260DE" w:rsidP="009260DE">
      <w:pPr>
        <w:tabs>
          <w:tab w:val="left" w:pos="851"/>
        </w:tabs>
        <w:ind w:left="851"/>
        <w:rPr>
          <w:sz w:val="24"/>
          <w:szCs w:val="24"/>
        </w:rPr>
      </w:pPr>
    </w:p>
    <w:p w14:paraId="78F0A858" w14:textId="77777777" w:rsidR="009260DE" w:rsidRPr="000262D3" w:rsidRDefault="009260DE" w:rsidP="009260DE">
      <w:pPr>
        <w:tabs>
          <w:tab w:val="left" w:pos="851"/>
        </w:tabs>
        <w:ind w:left="851"/>
        <w:rPr>
          <w:sz w:val="24"/>
          <w:szCs w:val="24"/>
        </w:rPr>
      </w:pPr>
    </w:p>
    <w:p w14:paraId="43773C38" w14:textId="77777777" w:rsidR="009260DE" w:rsidRPr="000262D3" w:rsidRDefault="009260DE" w:rsidP="009260DE">
      <w:pPr>
        <w:tabs>
          <w:tab w:val="left" w:pos="851"/>
        </w:tabs>
        <w:ind w:left="851" w:hanging="851"/>
        <w:rPr>
          <w:b/>
          <w:sz w:val="24"/>
          <w:szCs w:val="24"/>
        </w:rPr>
      </w:pPr>
      <w:r w:rsidRPr="000262D3">
        <w:rPr>
          <w:b/>
          <w:sz w:val="24"/>
          <w:szCs w:val="24"/>
        </w:rPr>
        <w:t>4.</w:t>
      </w:r>
      <w:r w:rsidRPr="000262D3">
        <w:rPr>
          <w:b/>
          <w:sz w:val="24"/>
          <w:szCs w:val="24"/>
        </w:rPr>
        <w:tab/>
        <w:t>KLINISKE OPLYSNINGER</w:t>
      </w:r>
    </w:p>
    <w:p w14:paraId="504DFABF" w14:textId="77777777" w:rsidR="009260DE" w:rsidRPr="000262D3" w:rsidRDefault="009260DE" w:rsidP="009260DE">
      <w:pPr>
        <w:tabs>
          <w:tab w:val="left" w:pos="851"/>
        </w:tabs>
        <w:ind w:left="851"/>
        <w:rPr>
          <w:b/>
          <w:sz w:val="24"/>
          <w:szCs w:val="24"/>
        </w:rPr>
      </w:pPr>
    </w:p>
    <w:p w14:paraId="5A995963" w14:textId="77777777" w:rsidR="009260DE" w:rsidRPr="000262D3" w:rsidRDefault="009260DE" w:rsidP="009260DE">
      <w:pPr>
        <w:tabs>
          <w:tab w:val="left" w:pos="851"/>
        </w:tabs>
        <w:ind w:left="851" w:hanging="851"/>
        <w:rPr>
          <w:b/>
          <w:sz w:val="24"/>
          <w:szCs w:val="24"/>
          <w:u w:val="single"/>
        </w:rPr>
      </w:pPr>
      <w:r w:rsidRPr="000262D3">
        <w:rPr>
          <w:b/>
          <w:sz w:val="24"/>
          <w:szCs w:val="24"/>
        </w:rPr>
        <w:t>4.1</w:t>
      </w:r>
      <w:r w:rsidRPr="000262D3">
        <w:rPr>
          <w:b/>
          <w:sz w:val="24"/>
          <w:szCs w:val="24"/>
        </w:rPr>
        <w:tab/>
        <w:t>Terapeutiske indikationer</w:t>
      </w:r>
    </w:p>
    <w:p w14:paraId="41E053FF" w14:textId="766A9F43" w:rsidR="00977942" w:rsidRPr="000262D3" w:rsidRDefault="00C257B4" w:rsidP="000262D3">
      <w:pPr>
        <w:ind w:left="851"/>
        <w:rPr>
          <w:sz w:val="24"/>
          <w:szCs w:val="24"/>
        </w:rPr>
      </w:pPr>
      <w:r>
        <w:rPr>
          <w:sz w:val="24"/>
          <w:szCs w:val="24"/>
        </w:rPr>
        <w:t>Anastrozole "Amarox"</w:t>
      </w:r>
      <w:r w:rsidR="00977942" w:rsidRPr="000262D3">
        <w:rPr>
          <w:sz w:val="24"/>
          <w:szCs w:val="24"/>
        </w:rPr>
        <w:t xml:space="preserve"> er indiceret til:</w:t>
      </w:r>
    </w:p>
    <w:p w14:paraId="5603251E" w14:textId="77777777" w:rsidR="00977942" w:rsidRPr="000262D3" w:rsidRDefault="00977942" w:rsidP="000262D3">
      <w:pPr>
        <w:numPr>
          <w:ilvl w:val="0"/>
          <w:numId w:val="6"/>
        </w:numPr>
        <w:tabs>
          <w:tab w:val="clear" w:pos="567"/>
        </w:tabs>
        <w:ind w:left="1276" w:hanging="425"/>
        <w:rPr>
          <w:sz w:val="24"/>
          <w:szCs w:val="24"/>
        </w:rPr>
      </w:pPr>
      <w:r w:rsidRPr="000262D3">
        <w:rPr>
          <w:sz w:val="24"/>
          <w:szCs w:val="24"/>
        </w:rPr>
        <w:t xml:space="preserve">Behandling af hormonreceptor-positiv fremskreden brystkræft hos postmenopausale kvinder. </w:t>
      </w:r>
    </w:p>
    <w:p w14:paraId="51B3D4AD" w14:textId="77777777" w:rsidR="00977942" w:rsidRPr="000262D3" w:rsidRDefault="00977942" w:rsidP="000262D3">
      <w:pPr>
        <w:numPr>
          <w:ilvl w:val="0"/>
          <w:numId w:val="6"/>
        </w:numPr>
        <w:tabs>
          <w:tab w:val="clear" w:pos="567"/>
        </w:tabs>
        <w:ind w:left="1276" w:hanging="425"/>
        <w:rPr>
          <w:sz w:val="24"/>
          <w:szCs w:val="24"/>
        </w:rPr>
      </w:pPr>
      <w:r w:rsidRPr="000262D3">
        <w:rPr>
          <w:sz w:val="24"/>
          <w:szCs w:val="24"/>
        </w:rPr>
        <w:t xml:space="preserve">Adjuverende behandling af </w:t>
      </w:r>
      <w:r w:rsidRPr="000262D3">
        <w:rPr>
          <w:bCs/>
          <w:sz w:val="24"/>
          <w:szCs w:val="24"/>
        </w:rPr>
        <w:t>hormonreceptor-positiv tidlig invasiv brystkræft</w:t>
      </w:r>
      <w:r w:rsidRPr="000262D3">
        <w:rPr>
          <w:sz w:val="24"/>
          <w:szCs w:val="24"/>
        </w:rPr>
        <w:t xml:space="preserve"> hos </w:t>
      </w:r>
      <w:r w:rsidRPr="000262D3">
        <w:rPr>
          <w:bCs/>
          <w:sz w:val="24"/>
          <w:szCs w:val="24"/>
        </w:rPr>
        <w:t>postmenopausale</w:t>
      </w:r>
      <w:r w:rsidRPr="000262D3">
        <w:rPr>
          <w:sz w:val="24"/>
          <w:szCs w:val="24"/>
        </w:rPr>
        <w:t xml:space="preserve"> kvinder.</w:t>
      </w:r>
    </w:p>
    <w:p w14:paraId="7AF2D672" w14:textId="77777777" w:rsidR="00977942" w:rsidRPr="000262D3" w:rsidRDefault="00977942" w:rsidP="000262D3">
      <w:pPr>
        <w:numPr>
          <w:ilvl w:val="0"/>
          <w:numId w:val="6"/>
        </w:numPr>
        <w:tabs>
          <w:tab w:val="clear" w:pos="567"/>
        </w:tabs>
        <w:ind w:left="1276" w:hanging="425"/>
        <w:rPr>
          <w:bCs/>
          <w:sz w:val="24"/>
          <w:szCs w:val="24"/>
        </w:rPr>
      </w:pPr>
      <w:r w:rsidRPr="000262D3">
        <w:rPr>
          <w:bCs/>
          <w:sz w:val="24"/>
          <w:szCs w:val="24"/>
        </w:rPr>
        <w:t>Adjuverende behandling af hormonreceptor-positiv tidlig invasiv brystkræft hos postmenopausale kvinder, der har fået adjuverende tamoxifen i 2-3 år.</w:t>
      </w:r>
    </w:p>
    <w:p w14:paraId="50FC9CBF" w14:textId="502CB629" w:rsidR="000262D3" w:rsidRDefault="000262D3">
      <w:pPr>
        <w:rPr>
          <w:sz w:val="24"/>
          <w:szCs w:val="24"/>
        </w:rPr>
      </w:pPr>
      <w:r>
        <w:rPr>
          <w:sz w:val="24"/>
          <w:szCs w:val="24"/>
        </w:rPr>
        <w:br w:type="page"/>
      </w:r>
    </w:p>
    <w:p w14:paraId="5E551E3B" w14:textId="77777777" w:rsidR="009260DE" w:rsidRPr="000262D3" w:rsidRDefault="009260DE" w:rsidP="009260DE">
      <w:pPr>
        <w:tabs>
          <w:tab w:val="left" w:pos="851"/>
        </w:tabs>
        <w:ind w:left="851"/>
        <w:rPr>
          <w:sz w:val="24"/>
          <w:szCs w:val="24"/>
        </w:rPr>
      </w:pPr>
    </w:p>
    <w:p w14:paraId="06163A0F" w14:textId="77777777" w:rsidR="009260DE" w:rsidRPr="000262D3" w:rsidRDefault="009260DE" w:rsidP="009260DE">
      <w:pPr>
        <w:tabs>
          <w:tab w:val="left" w:pos="851"/>
        </w:tabs>
        <w:ind w:left="851" w:hanging="851"/>
        <w:rPr>
          <w:b/>
          <w:sz w:val="24"/>
          <w:szCs w:val="24"/>
        </w:rPr>
      </w:pPr>
      <w:r w:rsidRPr="000262D3">
        <w:rPr>
          <w:b/>
          <w:sz w:val="24"/>
          <w:szCs w:val="24"/>
        </w:rPr>
        <w:t>4.2</w:t>
      </w:r>
      <w:r w:rsidRPr="000262D3">
        <w:rPr>
          <w:b/>
          <w:sz w:val="24"/>
          <w:szCs w:val="24"/>
        </w:rPr>
        <w:tab/>
        <w:t xml:space="preserve">Dosering og </w:t>
      </w:r>
      <w:r w:rsidR="002C1EC0" w:rsidRPr="000262D3">
        <w:rPr>
          <w:b/>
          <w:sz w:val="24"/>
          <w:szCs w:val="24"/>
        </w:rPr>
        <w:t>administration</w:t>
      </w:r>
    </w:p>
    <w:p w14:paraId="0BC488A0" w14:textId="77777777" w:rsidR="000262D3" w:rsidRPr="000262D3" w:rsidRDefault="000262D3" w:rsidP="000262D3">
      <w:pPr>
        <w:ind w:left="851"/>
        <w:rPr>
          <w:sz w:val="24"/>
          <w:szCs w:val="24"/>
          <w:u w:val="single"/>
        </w:rPr>
      </w:pPr>
    </w:p>
    <w:p w14:paraId="26A3EA24" w14:textId="07BA2906" w:rsidR="00977942" w:rsidRPr="000262D3" w:rsidRDefault="00977942" w:rsidP="000262D3">
      <w:pPr>
        <w:ind w:left="851"/>
        <w:rPr>
          <w:sz w:val="24"/>
          <w:szCs w:val="24"/>
          <w:u w:val="single"/>
        </w:rPr>
      </w:pPr>
      <w:r w:rsidRPr="000262D3">
        <w:rPr>
          <w:sz w:val="24"/>
          <w:szCs w:val="24"/>
          <w:u w:val="single"/>
        </w:rPr>
        <w:t>Dosering</w:t>
      </w:r>
    </w:p>
    <w:p w14:paraId="795A2A36" w14:textId="30247E86" w:rsidR="00977942" w:rsidRPr="000262D3" w:rsidRDefault="00977942" w:rsidP="000262D3">
      <w:pPr>
        <w:ind w:left="851"/>
        <w:rPr>
          <w:sz w:val="24"/>
          <w:szCs w:val="24"/>
        </w:rPr>
      </w:pPr>
      <w:r w:rsidRPr="000262D3">
        <w:rPr>
          <w:bCs/>
          <w:sz w:val="24"/>
          <w:szCs w:val="24"/>
        </w:rPr>
        <w:t xml:space="preserve">Den anbefalede dosis </w:t>
      </w:r>
      <w:r w:rsidR="00C257B4">
        <w:rPr>
          <w:bCs/>
          <w:sz w:val="24"/>
          <w:szCs w:val="24"/>
        </w:rPr>
        <w:t>Anastrozole "Amarox"</w:t>
      </w:r>
      <w:r w:rsidRPr="000262D3">
        <w:rPr>
          <w:bCs/>
          <w:sz w:val="24"/>
          <w:szCs w:val="24"/>
        </w:rPr>
        <w:t xml:space="preserve"> til voksne, inklusive</w:t>
      </w:r>
      <w:r w:rsidRPr="000262D3">
        <w:rPr>
          <w:sz w:val="24"/>
          <w:szCs w:val="24"/>
        </w:rPr>
        <w:t xml:space="preserve"> ældre</w:t>
      </w:r>
      <w:r w:rsidRPr="000262D3">
        <w:rPr>
          <w:bCs/>
          <w:sz w:val="24"/>
          <w:szCs w:val="24"/>
        </w:rPr>
        <w:t xml:space="preserve">, er én </w:t>
      </w:r>
      <w:r w:rsidRPr="000262D3">
        <w:rPr>
          <w:sz w:val="24"/>
          <w:szCs w:val="24"/>
        </w:rPr>
        <w:t>1</w:t>
      </w:r>
      <w:r w:rsidRPr="000262D3">
        <w:rPr>
          <w:bCs/>
          <w:sz w:val="24"/>
          <w:szCs w:val="24"/>
        </w:rPr>
        <w:t> </w:t>
      </w:r>
      <w:r w:rsidRPr="000262D3">
        <w:rPr>
          <w:sz w:val="24"/>
          <w:szCs w:val="24"/>
        </w:rPr>
        <w:t>mg tablet dagligt.</w:t>
      </w:r>
    </w:p>
    <w:p w14:paraId="1312503B" w14:textId="77777777" w:rsidR="00977942" w:rsidRPr="000262D3" w:rsidRDefault="00977942" w:rsidP="000262D3">
      <w:pPr>
        <w:ind w:left="851"/>
        <w:rPr>
          <w:bCs/>
          <w:sz w:val="24"/>
          <w:szCs w:val="24"/>
        </w:rPr>
      </w:pPr>
      <w:r w:rsidRPr="000262D3">
        <w:rPr>
          <w:bCs/>
          <w:sz w:val="24"/>
          <w:szCs w:val="24"/>
        </w:rPr>
        <w:t>For postmenopausale kvinder med hormonreceptor-positiv tidlig invasiv brystkræft er den anbefalede behandlingsvarighed 5 år.</w:t>
      </w:r>
    </w:p>
    <w:p w14:paraId="409CAF97" w14:textId="77777777" w:rsidR="00977942" w:rsidRPr="000262D3" w:rsidRDefault="00977942" w:rsidP="000262D3">
      <w:pPr>
        <w:ind w:left="851"/>
        <w:rPr>
          <w:bCs/>
          <w:sz w:val="24"/>
          <w:szCs w:val="24"/>
        </w:rPr>
      </w:pPr>
    </w:p>
    <w:p w14:paraId="56090A9F" w14:textId="77777777" w:rsidR="00977942" w:rsidRPr="000262D3" w:rsidRDefault="00977942" w:rsidP="000262D3">
      <w:pPr>
        <w:ind w:left="851"/>
        <w:rPr>
          <w:i/>
          <w:sz w:val="24"/>
          <w:szCs w:val="24"/>
          <w:u w:val="single"/>
        </w:rPr>
      </w:pPr>
      <w:r w:rsidRPr="000262D3">
        <w:rPr>
          <w:i/>
          <w:sz w:val="24"/>
          <w:szCs w:val="24"/>
          <w:u w:val="single"/>
        </w:rPr>
        <w:t>Særlige populationer</w:t>
      </w:r>
    </w:p>
    <w:p w14:paraId="33E95CA4" w14:textId="77777777" w:rsidR="00977942" w:rsidRPr="000262D3" w:rsidRDefault="00977942" w:rsidP="000262D3">
      <w:pPr>
        <w:ind w:left="851"/>
        <w:rPr>
          <w:bCs/>
          <w:i/>
          <w:iCs/>
          <w:sz w:val="24"/>
          <w:szCs w:val="24"/>
        </w:rPr>
      </w:pPr>
      <w:r w:rsidRPr="000262D3">
        <w:rPr>
          <w:i/>
          <w:sz w:val="24"/>
          <w:szCs w:val="24"/>
        </w:rPr>
        <w:t xml:space="preserve">Pædiatrisk </w:t>
      </w:r>
      <w:r w:rsidRPr="000262D3">
        <w:rPr>
          <w:bCs/>
          <w:i/>
          <w:iCs/>
          <w:sz w:val="24"/>
          <w:szCs w:val="24"/>
        </w:rPr>
        <w:t>population</w:t>
      </w:r>
    </w:p>
    <w:p w14:paraId="1A93C21E" w14:textId="15F34834" w:rsidR="00977942" w:rsidRPr="000262D3" w:rsidRDefault="00C257B4" w:rsidP="000262D3">
      <w:pPr>
        <w:ind w:left="851"/>
        <w:rPr>
          <w:sz w:val="24"/>
          <w:szCs w:val="24"/>
        </w:rPr>
      </w:pPr>
      <w:r>
        <w:rPr>
          <w:sz w:val="24"/>
          <w:szCs w:val="24"/>
        </w:rPr>
        <w:t>Anastrozole "Amarox"</w:t>
      </w:r>
      <w:r w:rsidR="00977942" w:rsidRPr="000262D3">
        <w:rPr>
          <w:sz w:val="24"/>
          <w:szCs w:val="24"/>
        </w:rPr>
        <w:t xml:space="preserve"> bør ikke anvendes til børn og unge på grund af utilstrækkelige data vedrørende sikkerhed og virkning (se pkt. 4.4 og 5.1).</w:t>
      </w:r>
    </w:p>
    <w:p w14:paraId="318AB7C4" w14:textId="77777777" w:rsidR="00977942" w:rsidRPr="000262D3" w:rsidRDefault="00977942" w:rsidP="000262D3">
      <w:pPr>
        <w:ind w:left="851"/>
        <w:rPr>
          <w:sz w:val="24"/>
          <w:szCs w:val="24"/>
        </w:rPr>
      </w:pPr>
    </w:p>
    <w:p w14:paraId="31B89CE4" w14:textId="77777777" w:rsidR="00977942" w:rsidRPr="000262D3" w:rsidRDefault="00977942" w:rsidP="000262D3">
      <w:pPr>
        <w:ind w:left="851"/>
        <w:rPr>
          <w:i/>
          <w:sz w:val="24"/>
          <w:szCs w:val="24"/>
        </w:rPr>
      </w:pPr>
      <w:r w:rsidRPr="000262D3">
        <w:rPr>
          <w:i/>
          <w:sz w:val="24"/>
          <w:szCs w:val="24"/>
        </w:rPr>
        <w:t>Nedsat nyrefunktion</w:t>
      </w:r>
    </w:p>
    <w:p w14:paraId="1267A3A2" w14:textId="0CCE086E" w:rsidR="00977942" w:rsidRPr="000262D3" w:rsidRDefault="00977942" w:rsidP="000262D3">
      <w:pPr>
        <w:ind w:left="851"/>
        <w:rPr>
          <w:sz w:val="24"/>
          <w:szCs w:val="24"/>
        </w:rPr>
      </w:pPr>
      <w:r w:rsidRPr="000262D3">
        <w:rPr>
          <w:sz w:val="24"/>
          <w:szCs w:val="24"/>
        </w:rPr>
        <w:t xml:space="preserve">Dosisjustering er ikke nødvendig hos patienter med let til moderat nedsat nyrefunktion. Hos patienter med svært nedsat nyrefunktion skal </w:t>
      </w:r>
      <w:r w:rsidR="00C257B4">
        <w:rPr>
          <w:sz w:val="24"/>
          <w:szCs w:val="24"/>
        </w:rPr>
        <w:t>Anastrozole "Amarox"</w:t>
      </w:r>
      <w:r w:rsidRPr="000262D3">
        <w:rPr>
          <w:sz w:val="24"/>
          <w:szCs w:val="24"/>
        </w:rPr>
        <w:t xml:space="preserve"> anvendes med forsigtighed. (se pkt. 4.4 og 5.2).</w:t>
      </w:r>
    </w:p>
    <w:p w14:paraId="2CFD384C" w14:textId="77777777" w:rsidR="00977942" w:rsidRPr="000262D3" w:rsidRDefault="00977942" w:rsidP="000262D3">
      <w:pPr>
        <w:ind w:left="851"/>
        <w:rPr>
          <w:sz w:val="24"/>
          <w:szCs w:val="24"/>
        </w:rPr>
      </w:pPr>
    </w:p>
    <w:p w14:paraId="0965892A" w14:textId="77777777" w:rsidR="00977942" w:rsidRPr="000262D3" w:rsidRDefault="00977942" w:rsidP="000262D3">
      <w:pPr>
        <w:ind w:left="851"/>
        <w:rPr>
          <w:i/>
          <w:sz w:val="24"/>
          <w:szCs w:val="24"/>
        </w:rPr>
      </w:pPr>
      <w:r w:rsidRPr="000262D3">
        <w:rPr>
          <w:i/>
          <w:sz w:val="24"/>
          <w:szCs w:val="24"/>
        </w:rPr>
        <w:t>Nedsat leverfunktion</w:t>
      </w:r>
    </w:p>
    <w:p w14:paraId="174BC3A9" w14:textId="77777777" w:rsidR="00977942" w:rsidRPr="000262D3" w:rsidRDefault="00977942" w:rsidP="000262D3">
      <w:pPr>
        <w:ind w:left="851"/>
        <w:rPr>
          <w:sz w:val="24"/>
          <w:szCs w:val="24"/>
        </w:rPr>
      </w:pPr>
      <w:r w:rsidRPr="000262D3">
        <w:rPr>
          <w:sz w:val="24"/>
          <w:szCs w:val="24"/>
        </w:rPr>
        <w:t>Dosisjustering er ikke nødvendig hos patienter med let nedsat leverfunktion</w:t>
      </w:r>
      <w:r w:rsidRPr="000262D3">
        <w:rPr>
          <w:bCs/>
          <w:sz w:val="24"/>
          <w:szCs w:val="24"/>
        </w:rPr>
        <w:t xml:space="preserve">. </w:t>
      </w:r>
      <w:r w:rsidRPr="000262D3">
        <w:rPr>
          <w:sz w:val="24"/>
          <w:szCs w:val="24"/>
        </w:rPr>
        <w:t>Der tilrådes, at der udvises forsigtighed hos patienter med moderat til svært nedsat leverfunktion (se pkt. 4.4).</w:t>
      </w:r>
    </w:p>
    <w:p w14:paraId="509DF519" w14:textId="77777777" w:rsidR="00977942" w:rsidRPr="000262D3" w:rsidRDefault="00977942" w:rsidP="000262D3">
      <w:pPr>
        <w:ind w:left="851"/>
        <w:rPr>
          <w:bCs/>
          <w:sz w:val="24"/>
          <w:szCs w:val="24"/>
        </w:rPr>
      </w:pPr>
    </w:p>
    <w:p w14:paraId="56D09D97" w14:textId="77777777" w:rsidR="00977942" w:rsidRPr="000262D3" w:rsidRDefault="00977942" w:rsidP="000262D3">
      <w:pPr>
        <w:ind w:left="851"/>
        <w:rPr>
          <w:sz w:val="24"/>
          <w:szCs w:val="24"/>
          <w:u w:val="single"/>
        </w:rPr>
      </w:pPr>
      <w:r w:rsidRPr="000262D3">
        <w:rPr>
          <w:sz w:val="24"/>
          <w:szCs w:val="24"/>
          <w:u w:val="single"/>
        </w:rPr>
        <w:t>Administration</w:t>
      </w:r>
    </w:p>
    <w:p w14:paraId="1C3A9E12" w14:textId="6BF08EC3" w:rsidR="00977942" w:rsidRPr="000262D3" w:rsidRDefault="00C257B4" w:rsidP="000262D3">
      <w:pPr>
        <w:ind w:left="851"/>
        <w:rPr>
          <w:sz w:val="24"/>
          <w:szCs w:val="24"/>
        </w:rPr>
      </w:pPr>
      <w:r>
        <w:rPr>
          <w:sz w:val="24"/>
          <w:szCs w:val="24"/>
        </w:rPr>
        <w:t>Anastrozole "Amarox"</w:t>
      </w:r>
      <w:r w:rsidR="00977942" w:rsidRPr="000262D3">
        <w:rPr>
          <w:sz w:val="24"/>
          <w:szCs w:val="24"/>
        </w:rPr>
        <w:t xml:space="preserve"> skal indtages oralt. </w:t>
      </w:r>
    </w:p>
    <w:p w14:paraId="1F709705" w14:textId="77777777" w:rsidR="009260DE" w:rsidRPr="000262D3" w:rsidRDefault="009260DE" w:rsidP="000262D3">
      <w:pPr>
        <w:ind w:left="851"/>
        <w:rPr>
          <w:sz w:val="24"/>
          <w:szCs w:val="24"/>
        </w:rPr>
      </w:pPr>
    </w:p>
    <w:p w14:paraId="3D5E5E1A" w14:textId="77777777" w:rsidR="009260DE" w:rsidRPr="000262D3" w:rsidRDefault="009260DE" w:rsidP="009260DE">
      <w:pPr>
        <w:tabs>
          <w:tab w:val="left" w:pos="851"/>
        </w:tabs>
        <w:ind w:left="851" w:hanging="851"/>
        <w:rPr>
          <w:b/>
          <w:sz w:val="24"/>
          <w:szCs w:val="24"/>
        </w:rPr>
      </w:pPr>
      <w:r w:rsidRPr="000262D3">
        <w:rPr>
          <w:b/>
          <w:sz w:val="24"/>
          <w:szCs w:val="24"/>
        </w:rPr>
        <w:t>4.3</w:t>
      </w:r>
      <w:r w:rsidRPr="000262D3">
        <w:rPr>
          <w:b/>
          <w:sz w:val="24"/>
          <w:szCs w:val="24"/>
        </w:rPr>
        <w:tab/>
        <w:t>Kontraindikationer</w:t>
      </w:r>
    </w:p>
    <w:p w14:paraId="2BB087A8" w14:textId="05BF2B22" w:rsidR="00977942" w:rsidRPr="000262D3" w:rsidRDefault="00C257B4" w:rsidP="000262D3">
      <w:pPr>
        <w:ind w:left="851"/>
        <w:rPr>
          <w:sz w:val="24"/>
          <w:szCs w:val="24"/>
        </w:rPr>
      </w:pPr>
      <w:r>
        <w:rPr>
          <w:sz w:val="24"/>
          <w:szCs w:val="24"/>
        </w:rPr>
        <w:t>Anastrozole "Amarox"</w:t>
      </w:r>
      <w:r w:rsidR="00977942" w:rsidRPr="000262D3">
        <w:rPr>
          <w:sz w:val="24"/>
          <w:szCs w:val="24"/>
        </w:rPr>
        <w:t xml:space="preserve"> er kontraindiceret til:</w:t>
      </w:r>
      <w:r w:rsidR="00977942" w:rsidRPr="000262D3">
        <w:rPr>
          <w:bCs/>
          <w:sz w:val="24"/>
          <w:szCs w:val="24"/>
        </w:rPr>
        <w:t xml:space="preserve"> </w:t>
      </w:r>
    </w:p>
    <w:p w14:paraId="2E50F5C6" w14:textId="77777777" w:rsidR="00977942" w:rsidRPr="000262D3" w:rsidRDefault="00977942" w:rsidP="000262D3">
      <w:pPr>
        <w:numPr>
          <w:ilvl w:val="0"/>
          <w:numId w:val="7"/>
        </w:numPr>
        <w:ind w:left="1276" w:hanging="425"/>
        <w:rPr>
          <w:sz w:val="24"/>
          <w:szCs w:val="24"/>
        </w:rPr>
      </w:pPr>
      <w:r w:rsidRPr="000262D3">
        <w:rPr>
          <w:sz w:val="24"/>
          <w:szCs w:val="24"/>
        </w:rPr>
        <w:t>Gravide eller ammende kvinder.</w:t>
      </w:r>
    </w:p>
    <w:p w14:paraId="72F17A2E" w14:textId="77777777" w:rsidR="00977942" w:rsidRPr="000262D3" w:rsidRDefault="00977942" w:rsidP="000262D3">
      <w:pPr>
        <w:numPr>
          <w:ilvl w:val="0"/>
          <w:numId w:val="7"/>
        </w:numPr>
        <w:ind w:left="1276" w:hanging="425"/>
        <w:rPr>
          <w:sz w:val="24"/>
          <w:szCs w:val="24"/>
        </w:rPr>
      </w:pPr>
      <w:r w:rsidRPr="000262D3">
        <w:rPr>
          <w:sz w:val="24"/>
          <w:szCs w:val="24"/>
        </w:rPr>
        <w:t>Patienter med overfølsomhed over for anastrozol eller over for et eller flere af hjælpestofferne anført i pkt. 6.1.</w:t>
      </w:r>
    </w:p>
    <w:p w14:paraId="69ABABB0" w14:textId="77777777" w:rsidR="009260DE" w:rsidRPr="000262D3" w:rsidRDefault="009260DE" w:rsidP="000262D3">
      <w:pPr>
        <w:ind w:left="851"/>
        <w:rPr>
          <w:sz w:val="24"/>
          <w:szCs w:val="24"/>
        </w:rPr>
      </w:pPr>
    </w:p>
    <w:p w14:paraId="79E675D8" w14:textId="77777777" w:rsidR="009260DE" w:rsidRPr="000262D3" w:rsidRDefault="009260DE" w:rsidP="009260DE">
      <w:pPr>
        <w:tabs>
          <w:tab w:val="left" w:pos="851"/>
        </w:tabs>
        <w:ind w:left="851" w:hanging="851"/>
        <w:rPr>
          <w:b/>
          <w:sz w:val="24"/>
          <w:szCs w:val="24"/>
        </w:rPr>
      </w:pPr>
      <w:r w:rsidRPr="000262D3">
        <w:rPr>
          <w:b/>
          <w:sz w:val="24"/>
          <w:szCs w:val="24"/>
        </w:rPr>
        <w:t>4.4</w:t>
      </w:r>
      <w:r w:rsidRPr="000262D3">
        <w:rPr>
          <w:b/>
          <w:sz w:val="24"/>
          <w:szCs w:val="24"/>
        </w:rPr>
        <w:tab/>
        <w:t>Særlige advarsler og forsigtighedsregler vedrørende brugen</w:t>
      </w:r>
    </w:p>
    <w:p w14:paraId="51972B82" w14:textId="77777777" w:rsidR="000262D3" w:rsidRPr="000262D3" w:rsidRDefault="000262D3" w:rsidP="000262D3">
      <w:pPr>
        <w:ind w:left="851"/>
        <w:rPr>
          <w:sz w:val="24"/>
          <w:szCs w:val="24"/>
          <w:u w:val="single"/>
        </w:rPr>
      </w:pPr>
    </w:p>
    <w:p w14:paraId="2C65C7DA" w14:textId="0584C571" w:rsidR="00977942" w:rsidRPr="000262D3" w:rsidRDefault="00977942" w:rsidP="000262D3">
      <w:pPr>
        <w:ind w:left="851"/>
        <w:rPr>
          <w:sz w:val="24"/>
          <w:szCs w:val="24"/>
          <w:u w:val="single"/>
        </w:rPr>
      </w:pPr>
      <w:r w:rsidRPr="000262D3">
        <w:rPr>
          <w:sz w:val="24"/>
          <w:szCs w:val="24"/>
          <w:u w:val="single"/>
        </w:rPr>
        <w:t>Generelt</w:t>
      </w:r>
    </w:p>
    <w:p w14:paraId="57B0C073" w14:textId="5D6B1CAC" w:rsidR="00977942" w:rsidRPr="000262D3" w:rsidRDefault="00C257B4" w:rsidP="000262D3">
      <w:pPr>
        <w:ind w:left="851"/>
        <w:rPr>
          <w:sz w:val="24"/>
          <w:szCs w:val="24"/>
        </w:rPr>
      </w:pPr>
      <w:r>
        <w:rPr>
          <w:sz w:val="24"/>
          <w:szCs w:val="24"/>
        </w:rPr>
        <w:t>Anastrozole "Amarox"</w:t>
      </w:r>
      <w:r w:rsidR="00977942" w:rsidRPr="000262D3">
        <w:rPr>
          <w:sz w:val="24"/>
          <w:szCs w:val="24"/>
        </w:rPr>
        <w:t xml:space="preserve"> bør ikke anvendes til præmenopausale kvinder. Menopausen skal defineres biokemisk </w:t>
      </w:r>
      <w:r w:rsidR="00977942" w:rsidRPr="000262D3">
        <w:rPr>
          <w:bCs/>
          <w:sz w:val="24"/>
          <w:szCs w:val="24"/>
        </w:rPr>
        <w:t>(niveauet af l</w:t>
      </w:r>
      <w:r w:rsidR="00977942" w:rsidRPr="000262D3">
        <w:rPr>
          <w:sz w:val="24"/>
          <w:szCs w:val="24"/>
        </w:rPr>
        <w:t xml:space="preserve">uteiniserende hormon [LH], follikelstimulerende hormon [FSH] og/eller estradiol) hos alle patienter, hvor der hersker tvivl om den menopausale status. Der er ingen data, som understøtter brug af </w:t>
      </w:r>
      <w:r>
        <w:rPr>
          <w:sz w:val="24"/>
          <w:szCs w:val="24"/>
        </w:rPr>
        <w:t>Anastrozole "Amarox"</w:t>
      </w:r>
      <w:r w:rsidR="00977942" w:rsidRPr="000262D3">
        <w:rPr>
          <w:sz w:val="24"/>
          <w:szCs w:val="24"/>
        </w:rPr>
        <w:t xml:space="preserve"> med LHRH-analoger.</w:t>
      </w:r>
    </w:p>
    <w:p w14:paraId="32D3D5D8" w14:textId="77777777" w:rsidR="00977942" w:rsidRPr="000262D3" w:rsidRDefault="00977942" w:rsidP="000262D3">
      <w:pPr>
        <w:ind w:left="851"/>
        <w:rPr>
          <w:sz w:val="24"/>
          <w:szCs w:val="24"/>
        </w:rPr>
      </w:pPr>
    </w:p>
    <w:p w14:paraId="03BF7FB0" w14:textId="043C029D" w:rsidR="00977942" w:rsidRPr="000262D3" w:rsidRDefault="00977942" w:rsidP="000262D3">
      <w:pPr>
        <w:ind w:left="851"/>
        <w:rPr>
          <w:sz w:val="24"/>
          <w:szCs w:val="24"/>
        </w:rPr>
      </w:pPr>
      <w:r w:rsidRPr="000262D3">
        <w:rPr>
          <w:sz w:val="24"/>
          <w:szCs w:val="24"/>
        </w:rPr>
        <w:t xml:space="preserve">Indgivelse af tamoxifen eller østrogenholdig behandling sammen med </w:t>
      </w:r>
      <w:r w:rsidR="00C257B4">
        <w:rPr>
          <w:sz w:val="24"/>
          <w:szCs w:val="24"/>
        </w:rPr>
        <w:t>Anastrozole "Amarox"</w:t>
      </w:r>
      <w:r w:rsidRPr="000262D3">
        <w:rPr>
          <w:sz w:val="24"/>
          <w:szCs w:val="24"/>
        </w:rPr>
        <w:t xml:space="preserve"> bør undgås, da dette kan mindske dets farmakologiske virkning (se pkt. 4.5 og 5.1).</w:t>
      </w:r>
    </w:p>
    <w:p w14:paraId="64922999" w14:textId="77777777" w:rsidR="00977942" w:rsidRPr="000262D3" w:rsidRDefault="00977942" w:rsidP="000262D3">
      <w:pPr>
        <w:ind w:left="851"/>
        <w:rPr>
          <w:sz w:val="24"/>
          <w:szCs w:val="24"/>
        </w:rPr>
      </w:pPr>
    </w:p>
    <w:p w14:paraId="5652C84B" w14:textId="77777777" w:rsidR="00977942" w:rsidRPr="000262D3" w:rsidRDefault="00977942" w:rsidP="000262D3">
      <w:pPr>
        <w:ind w:left="851"/>
        <w:rPr>
          <w:sz w:val="24"/>
          <w:szCs w:val="24"/>
          <w:u w:val="single"/>
        </w:rPr>
      </w:pPr>
      <w:r w:rsidRPr="000262D3">
        <w:rPr>
          <w:sz w:val="24"/>
          <w:szCs w:val="24"/>
          <w:u w:val="single"/>
        </w:rPr>
        <w:t>Virkning på knoglemineraltæthed</w:t>
      </w:r>
    </w:p>
    <w:p w14:paraId="40DACCCC" w14:textId="76495996" w:rsidR="00977942" w:rsidRPr="000262D3" w:rsidRDefault="00977942" w:rsidP="000262D3">
      <w:pPr>
        <w:ind w:left="851"/>
        <w:rPr>
          <w:sz w:val="24"/>
          <w:szCs w:val="24"/>
        </w:rPr>
      </w:pPr>
      <w:r w:rsidRPr="000262D3">
        <w:rPr>
          <w:sz w:val="24"/>
          <w:szCs w:val="24"/>
        </w:rPr>
        <w:t xml:space="preserve">Da </w:t>
      </w:r>
      <w:r w:rsidR="00C257B4">
        <w:rPr>
          <w:sz w:val="24"/>
          <w:szCs w:val="24"/>
        </w:rPr>
        <w:t>Anastrozole "Amarox"</w:t>
      </w:r>
      <w:r w:rsidRPr="000262D3">
        <w:rPr>
          <w:sz w:val="24"/>
          <w:szCs w:val="24"/>
        </w:rPr>
        <w:t xml:space="preserve"> sænker cirkulerende østrogenniveauer, kan det medføre en reduktion i knoglemineraltæthed med deraf følgende øget risiko for fraktur </w:t>
      </w:r>
      <w:r w:rsidRPr="000262D3">
        <w:rPr>
          <w:bCs/>
          <w:sz w:val="24"/>
          <w:szCs w:val="24"/>
        </w:rPr>
        <w:t>(se pkt. 4.8).</w:t>
      </w:r>
    </w:p>
    <w:p w14:paraId="24EF8900" w14:textId="77777777" w:rsidR="00977942" w:rsidRPr="000262D3" w:rsidRDefault="00977942" w:rsidP="000262D3">
      <w:pPr>
        <w:ind w:left="851"/>
        <w:rPr>
          <w:sz w:val="24"/>
          <w:szCs w:val="24"/>
        </w:rPr>
      </w:pPr>
    </w:p>
    <w:p w14:paraId="14678524" w14:textId="27FFB696" w:rsidR="00977942" w:rsidRPr="000262D3" w:rsidRDefault="00977942" w:rsidP="000262D3">
      <w:pPr>
        <w:ind w:left="851"/>
        <w:rPr>
          <w:sz w:val="24"/>
          <w:szCs w:val="24"/>
        </w:rPr>
      </w:pPr>
      <w:r w:rsidRPr="000262D3">
        <w:rPr>
          <w:sz w:val="24"/>
          <w:szCs w:val="24"/>
        </w:rPr>
        <w:lastRenderedPageBreak/>
        <w:t xml:space="preserve">Kvinder med osteoporose eller risiko for osteoporose bør få foretaget en formel vurdering af deres knoglemineraltæthed ved behandlingens start og derefter med regelmæssige mellemrum. Hvis relevant, skal behandling af eller profylakse mod osteoporose påbegyndes og monitoreres nøje. Specifikke behandlinger f.eks. med bisfosfonater, kan standse yderligere knoglemineraltab forårsaget af </w:t>
      </w:r>
      <w:r w:rsidR="00C257B4">
        <w:rPr>
          <w:sz w:val="24"/>
          <w:szCs w:val="24"/>
        </w:rPr>
        <w:t>Anastrozole "Amarox"</w:t>
      </w:r>
      <w:r w:rsidRPr="000262D3">
        <w:rPr>
          <w:sz w:val="24"/>
          <w:szCs w:val="24"/>
        </w:rPr>
        <w:t xml:space="preserve"> hos postmenopausale kvinder og kan overvejes </w:t>
      </w:r>
      <w:r w:rsidRPr="000262D3">
        <w:rPr>
          <w:bCs/>
          <w:sz w:val="24"/>
          <w:szCs w:val="24"/>
        </w:rPr>
        <w:t>(se pkt. 4.8).</w:t>
      </w:r>
    </w:p>
    <w:p w14:paraId="626B7C22" w14:textId="77777777" w:rsidR="00977942" w:rsidRPr="000262D3" w:rsidRDefault="00977942" w:rsidP="000262D3">
      <w:pPr>
        <w:ind w:left="851"/>
        <w:rPr>
          <w:sz w:val="24"/>
          <w:szCs w:val="24"/>
        </w:rPr>
      </w:pPr>
    </w:p>
    <w:p w14:paraId="50861E2F" w14:textId="77777777" w:rsidR="00977942" w:rsidRPr="000262D3" w:rsidRDefault="00977942" w:rsidP="000262D3">
      <w:pPr>
        <w:ind w:left="851"/>
        <w:rPr>
          <w:sz w:val="24"/>
          <w:szCs w:val="24"/>
          <w:u w:val="single"/>
        </w:rPr>
      </w:pPr>
      <w:r w:rsidRPr="000262D3">
        <w:rPr>
          <w:sz w:val="24"/>
          <w:szCs w:val="24"/>
          <w:u w:val="single"/>
        </w:rPr>
        <w:t>Nedsat leverfunktion</w:t>
      </w:r>
    </w:p>
    <w:p w14:paraId="4440D840" w14:textId="3EB7A81C" w:rsidR="00977942" w:rsidRPr="000262D3" w:rsidRDefault="00C257B4" w:rsidP="000262D3">
      <w:pPr>
        <w:ind w:left="851"/>
        <w:rPr>
          <w:sz w:val="24"/>
          <w:szCs w:val="24"/>
        </w:rPr>
      </w:pPr>
      <w:r>
        <w:rPr>
          <w:sz w:val="24"/>
          <w:szCs w:val="24"/>
        </w:rPr>
        <w:t>Anastrozole "Amarox"</w:t>
      </w:r>
      <w:r w:rsidR="00977942" w:rsidRPr="000262D3">
        <w:rPr>
          <w:sz w:val="24"/>
          <w:szCs w:val="24"/>
        </w:rPr>
        <w:t xml:space="preserve"> er ikke blevet undersøgt hos brystkræftpatienter med moderat eller svært nedsat leverfunktion. Eksponering for anastrozol kan være øget hos forsøgspersoner med nedsat leverfunktion (se pkt. 5.2). </w:t>
      </w:r>
      <w:r>
        <w:rPr>
          <w:sz w:val="24"/>
          <w:szCs w:val="24"/>
        </w:rPr>
        <w:t>Anastrozole "Amarox"</w:t>
      </w:r>
      <w:r w:rsidR="00977942" w:rsidRPr="000262D3">
        <w:rPr>
          <w:sz w:val="24"/>
          <w:szCs w:val="24"/>
        </w:rPr>
        <w:t xml:space="preserve"> skal anvendes med forsigtighed hos patienter med moderat og svært nedsat leverfunktion (se pkt. 4.2). Behandlingen bør baseres på en benefit-risk vurdering hos den enkelte patient.</w:t>
      </w:r>
    </w:p>
    <w:p w14:paraId="06B4EDAA" w14:textId="77777777" w:rsidR="00977942" w:rsidRPr="000262D3" w:rsidRDefault="00977942" w:rsidP="000262D3">
      <w:pPr>
        <w:ind w:left="851"/>
        <w:rPr>
          <w:sz w:val="24"/>
          <w:szCs w:val="24"/>
        </w:rPr>
      </w:pPr>
    </w:p>
    <w:p w14:paraId="660E4123" w14:textId="77777777" w:rsidR="00977942" w:rsidRPr="000262D3" w:rsidRDefault="00977942" w:rsidP="000262D3">
      <w:pPr>
        <w:ind w:left="851"/>
        <w:rPr>
          <w:bCs/>
          <w:sz w:val="24"/>
          <w:szCs w:val="24"/>
          <w:u w:val="single"/>
        </w:rPr>
      </w:pPr>
      <w:r w:rsidRPr="000262D3">
        <w:rPr>
          <w:bCs/>
          <w:sz w:val="24"/>
          <w:szCs w:val="24"/>
          <w:u w:val="single"/>
        </w:rPr>
        <w:t>Nedsat nyrefunktion</w:t>
      </w:r>
    </w:p>
    <w:p w14:paraId="4BE5C643" w14:textId="31160E4C" w:rsidR="00977942" w:rsidRPr="000262D3" w:rsidRDefault="00C257B4" w:rsidP="000262D3">
      <w:pPr>
        <w:ind w:left="851"/>
        <w:rPr>
          <w:sz w:val="24"/>
          <w:szCs w:val="24"/>
        </w:rPr>
      </w:pPr>
      <w:r>
        <w:rPr>
          <w:sz w:val="24"/>
          <w:szCs w:val="24"/>
        </w:rPr>
        <w:t>Anastrozole "Amarox"</w:t>
      </w:r>
      <w:r w:rsidR="00977942" w:rsidRPr="000262D3">
        <w:rPr>
          <w:sz w:val="24"/>
          <w:szCs w:val="24"/>
        </w:rPr>
        <w:t xml:space="preserve"> er ikke blevet undersøgt hos brystkræftpatienter med svært nedsat nyrefunktion. Eksponering for anastrozol er ikke øget hos forsøgspersoner med svært nedsat nyrefunktion (GRF &lt;30 ml/min, se</w:t>
      </w:r>
      <w:r w:rsidR="00977942" w:rsidRPr="000262D3">
        <w:rPr>
          <w:bCs/>
          <w:sz w:val="24"/>
          <w:szCs w:val="24"/>
        </w:rPr>
        <w:t xml:space="preserve"> pkt. 5.2). Hos patienter med svært nedsat nyrefunktion skal </w:t>
      </w:r>
      <w:r>
        <w:rPr>
          <w:sz w:val="24"/>
          <w:szCs w:val="24"/>
        </w:rPr>
        <w:t>Anastrozole "Amarox"</w:t>
      </w:r>
      <w:r w:rsidR="00977942" w:rsidRPr="000262D3">
        <w:rPr>
          <w:sz w:val="24"/>
          <w:szCs w:val="24"/>
        </w:rPr>
        <w:t xml:space="preserve"> anvendes med forsigtighed.</w:t>
      </w:r>
    </w:p>
    <w:p w14:paraId="48F3DD6B" w14:textId="77777777" w:rsidR="00977942" w:rsidRPr="000262D3" w:rsidRDefault="00977942" w:rsidP="000262D3">
      <w:pPr>
        <w:ind w:left="851"/>
        <w:rPr>
          <w:sz w:val="24"/>
          <w:szCs w:val="24"/>
        </w:rPr>
      </w:pPr>
    </w:p>
    <w:p w14:paraId="4E822CFC" w14:textId="77777777" w:rsidR="00977942" w:rsidRPr="000262D3" w:rsidRDefault="00977942" w:rsidP="000262D3">
      <w:pPr>
        <w:ind w:left="851"/>
        <w:rPr>
          <w:sz w:val="24"/>
          <w:szCs w:val="24"/>
          <w:u w:val="single"/>
        </w:rPr>
      </w:pPr>
      <w:r w:rsidRPr="000262D3">
        <w:rPr>
          <w:sz w:val="24"/>
          <w:szCs w:val="24"/>
          <w:u w:val="single"/>
        </w:rPr>
        <w:t>Pædiatrisk population</w:t>
      </w:r>
    </w:p>
    <w:p w14:paraId="73049496" w14:textId="4CF25EDE" w:rsidR="00977942" w:rsidRPr="000262D3" w:rsidRDefault="00C257B4" w:rsidP="000262D3">
      <w:pPr>
        <w:ind w:left="851"/>
        <w:rPr>
          <w:sz w:val="24"/>
          <w:szCs w:val="24"/>
        </w:rPr>
      </w:pPr>
      <w:r>
        <w:rPr>
          <w:sz w:val="24"/>
          <w:szCs w:val="24"/>
        </w:rPr>
        <w:t>Anastrozole "Amarox"</w:t>
      </w:r>
      <w:r w:rsidR="00977942" w:rsidRPr="000262D3">
        <w:rPr>
          <w:sz w:val="24"/>
          <w:szCs w:val="24"/>
        </w:rPr>
        <w:t xml:space="preserve"> anbefales ikke til børn og unge, da sikkerhed og virkning ikke er blevet fastlagt for denne patientgruppe (se pkt. 5.1).</w:t>
      </w:r>
    </w:p>
    <w:p w14:paraId="11C544EB" w14:textId="77777777" w:rsidR="00977942" w:rsidRPr="000262D3" w:rsidRDefault="00977942" w:rsidP="000262D3">
      <w:pPr>
        <w:ind w:left="851"/>
        <w:rPr>
          <w:sz w:val="24"/>
          <w:szCs w:val="24"/>
        </w:rPr>
      </w:pPr>
    </w:p>
    <w:p w14:paraId="57F199C0" w14:textId="7098F127" w:rsidR="00977942" w:rsidRPr="000262D3" w:rsidRDefault="00C257B4" w:rsidP="000262D3">
      <w:pPr>
        <w:ind w:left="851"/>
        <w:rPr>
          <w:bCs/>
          <w:sz w:val="24"/>
          <w:szCs w:val="24"/>
        </w:rPr>
      </w:pPr>
      <w:r>
        <w:rPr>
          <w:sz w:val="24"/>
          <w:szCs w:val="24"/>
        </w:rPr>
        <w:t>Anastrozole "Amarox"</w:t>
      </w:r>
      <w:r w:rsidR="00977942" w:rsidRPr="000262D3">
        <w:rPr>
          <w:sz w:val="24"/>
          <w:szCs w:val="24"/>
        </w:rPr>
        <w:t xml:space="preserve"> må ikke anvendes til drenge med væksthormonmangel som </w:t>
      </w:r>
      <w:r w:rsidR="00977942" w:rsidRPr="000262D3">
        <w:rPr>
          <w:bCs/>
          <w:sz w:val="24"/>
          <w:szCs w:val="24"/>
        </w:rPr>
        <w:t>supplement</w:t>
      </w:r>
      <w:r w:rsidR="00977942" w:rsidRPr="000262D3">
        <w:rPr>
          <w:sz w:val="24"/>
          <w:szCs w:val="24"/>
        </w:rPr>
        <w:t xml:space="preserve"> til </w:t>
      </w:r>
      <w:r w:rsidR="00977942" w:rsidRPr="000262D3">
        <w:rPr>
          <w:bCs/>
          <w:sz w:val="24"/>
          <w:szCs w:val="24"/>
        </w:rPr>
        <w:t>behandling</w:t>
      </w:r>
      <w:r w:rsidR="00977942" w:rsidRPr="000262D3">
        <w:rPr>
          <w:sz w:val="24"/>
          <w:szCs w:val="24"/>
        </w:rPr>
        <w:t xml:space="preserve"> med væksthormon. I </w:t>
      </w:r>
      <w:r w:rsidR="00977942" w:rsidRPr="000262D3">
        <w:rPr>
          <w:bCs/>
          <w:sz w:val="24"/>
          <w:szCs w:val="24"/>
        </w:rPr>
        <w:t>det kliniske hovedforsøg</w:t>
      </w:r>
      <w:r w:rsidR="00977942" w:rsidRPr="000262D3">
        <w:rPr>
          <w:sz w:val="24"/>
          <w:szCs w:val="24"/>
        </w:rPr>
        <w:t xml:space="preserve"> blev </w:t>
      </w:r>
      <w:r w:rsidR="00977942" w:rsidRPr="000262D3">
        <w:rPr>
          <w:bCs/>
          <w:sz w:val="24"/>
          <w:szCs w:val="24"/>
        </w:rPr>
        <w:t>der</w:t>
      </w:r>
      <w:r w:rsidR="00977942" w:rsidRPr="000262D3">
        <w:rPr>
          <w:sz w:val="24"/>
          <w:szCs w:val="24"/>
        </w:rPr>
        <w:t xml:space="preserve"> ikke påvist </w:t>
      </w:r>
      <w:r w:rsidR="00977942" w:rsidRPr="000262D3">
        <w:rPr>
          <w:bCs/>
          <w:sz w:val="24"/>
          <w:szCs w:val="24"/>
        </w:rPr>
        <w:t xml:space="preserve">virkning, </w:t>
      </w:r>
      <w:r w:rsidR="00977942" w:rsidRPr="000262D3">
        <w:rPr>
          <w:sz w:val="24"/>
          <w:szCs w:val="24"/>
        </w:rPr>
        <w:t xml:space="preserve">og sikkerheden </w:t>
      </w:r>
      <w:r w:rsidR="00977942" w:rsidRPr="000262D3">
        <w:rPr>
          <w:bCs/>
          <w:sz w:val="24"/>
          <w:szCs w:val="24"/>
        </w:rPr>
        <w:t xml:space="preserve">blev </w:t>
      </w:r>
      <w:r w:rsidR="00977942" w:rsidRPr="000262D3">
        <w:rPr>
          <w:sz w:val="24"/>
          <w:szCs w:val="24"/>
        </w:rPr>
        <w:t xml:space="preserve">ikke </w:t>
      </w:r>
      <w:r w:rsidR="00977942" w:rsidRPr="000262D3">
        <w:rPr>
          <w:bCs/>
          <w:sz w:val="24"/>
          <w:szCs w:val="24"/>
        </w:rPr>
        <w:t>fastlagt</w:t>
      </w:r>
      <w:r w:rsidR="00977942" w:rsidRPr="000262D3">
        <w:rPr>
          <w:sz w:val="24"/>
          <w:szCs w:val="24"/>
        </w:rPr>
        <w:t xml:space="preserve"> (se pkt. 5.1). </w:t>
      </w:r>
      <w:r w:rsidR="00977942" w:rsidRPr="000262D3">
        <w:rPr>
          <w:bCs/>
          <w:sz w:val="24"/>
          <w:szCs w:val="24"/>
        </w:rPr>
        <w:t xml:space="preserve">Da anastrozol reducerer estradiolniveauet, må </w:t>
      </w:r>
      <w:r>
        <w:rPr>
          <w:sz w:val="24"/>
          <w:szCs w:val="24"/>
        </w:rPr>
        <w:t>Anastrozole "Amarox"</w:t>
      </w:r>
      <w:r w:rsidR="00977942" w:rsidRPr="000262D3">
        <w:rPr>
          <w:sz w:val="24"/>
          <w:szCs w:val="24"/>
        </w:rPr>
        <w:t xml:space="preserve"> ikke </w:t>
      </w:r>
      <w:r w:rsidR="00977942" w:rsidRPr="000262D3">
        <w:rPr>
          <w:bCs/>
          <w:sz w:val="24"/>
          <w:szCs w:val="24"/>
        </w:rPr>
        <w:t>bruges hos</w:t>
      </w:r>
      <w:r w:rsidR="00977942" w:rsidRPr="000262D3">
        <w:rPr>
          <w:sz w:val="24"/>
          <w:szCs w:val="24"/>
        </w:rPr>
        <w:t xml:space="preserve"> piger med væksthormonmangel som </w:t>
      </w:r>
      <w:r w:rsidR="00977942" w:rsidRPr="000262D3">
        <w:rPr>
          <w:bCs/>
          <w:sz w:val="24"/>
          <w:szCs w:val="24"/>
        </w:rPr>
        <w:t>supplement</w:t>
      </w:r>
      <w:r w:rsidR="00977942" w:rsidRPr="000262D3">
        <w:rPr>
          <w:sz w:val="24"/>
          <w:szCs w:val="24"/>
        </w:rPr>
        <w:t xml:space="preserve"> til </w:t>
      </w:r>
      <w:r w:rsidR="00977942" w:rsidRPr="000262D3">
        <w:rPr>
          <w:bCs/>
          <w:sz w:val="24"/>
          <w:szCs w:val="24"/>
        </w:rPr>
        <w:t>behandling</w:t>
      </w:r>
      <w:r w:rsidR="00977942" w:rsidRPr="000262D3">
        <w:rPr>
          <w:sz w:val="24"/>
          <w:szCs w:val="24"/>
        </w:rPr>
        <w:t xml:space="preserve"> med væksthormon. </w:t>
      </w:r>
      <w:r w:rsidR="00977942" w:rsidRPr="000262D3">
        <w:rPr>
          <w:bCs/>
          <w:sz w:val="24"/>
          <w:szCs w:val="24"/>
        </w:rPr>
        <w:t>Sikkerhedsdata ved langvarig behandling hos børn og unge</w:t>
      </w:r>
      <w:r w:rsidR="00977942" w:rsidRPr="000262D3">
        <w:rPr>
          <w:sz w:val="24"/>
          <w:szCs w:val="24"/>
        </w:rPr>
        <w:t xml:space="preserve"> er </w:t>
      </w:r>
      <w:r w:rsidR="00977942" w:rsidRPr="000262D3">
        <w:rPr>
          <w:bCs/>
          <w:sz w:val="24"/>
          <w:szCs w:val="24"/>
        </w:rPr>
        <w:t>ikke</w:t>
      </w:r>
      <w:r w:rsidR="00977942" w:rsidRPr="000262D3">
        <w:rPr>
          <w:sz w:val="24"/>
          <w:szCs w:val="24"/>
        </w:rPr>
        <w:t xml:space="preserve"> tilgængelige</w:t>
      </w:r>
      <w:r w:rsidR="00977942" w:rsidRPr="000262D3">
        <w:rPr>
          <w:bCs/>
          <w:sz w:val="24"/>
          <w:szCs w:val="24"/>
        </w:rPr>
        <w:t>.</w:t>
      </w:r>
    </w:p>
    <w:p w14:paraId="6AA4454C" w14:textId="77777777" w:rsidR="00977942" w:rsidRPr="000262D3" w:rsidRDefault="00977942" w:rsidP="000262D3">
      <w:pPr>
        <w:ind w:left="851"/>
        <w:rPr>
          <w:bCs/>
          <w:sz w:val="24"/>
          <w:szCs w:val="24"/>
        </w:rPr>
      </w:pPr>
    </w:p>
    <w:p w14:paraId="3B0359B0" w14:textId="77777777" w:rsidR="00977942" w:rsidRPr="000262D3" w:rsidRDefault="00977942" w:rsidP="000262D3">
      <w:pPr>
        <w:ind w:left="851"/>
        <w:rPr>
          <w:sz w:val="24"/>
          <w:szCs w:val="24"/>
          <w:u w:val="single"/>
        </w:rPr>
      </w:pPr>
      <w:r w:rsidRPr="000262D3">
        <w:rPr>
          <w:sz w:val="24"/>
          <w:szCs w:val="24"/>
          <w:u w:val="single"/>
        </w:rPr>
        <w:t>Overfølsomhed over for lactose</w:t>
      </w:r>
    </w:p>
    <w:p w14:paraId="0A94900E" w14:textId="77777777" w:rsidR="00977942" w:rsidRPr="000262D3" w:rsidRDefault="00977942" w:rsidP="000262D3">
      <w:pPr>
        <w:ind w:left="851"/>
        <w:rPr>
          <w:sz w:val="24"/>
          <w:szCs w:val="24"/>
        </w:rPr>
      </w:pPr>
      <w:r w:rsidRPr="000262D3">
        <w:rPr>
          <w:sz w:val="24"/>
          <w:szCs w:val="24"/>
        </w:rPr>
        <w:t>Dette lægemiddel indeholder lactose og bør ikke anvendes til patienter med hereditær galactoseintolerans, total lactasemangel eller glucose/galactosemalabsorption.</w:t>
      </w:r>
    </w:p>
    <w:p w14:paraId="006717C5" w14:textId="77777777" w:rsidR="00977942" w:rsidRPr="000262D3" w:rsidRDefault="00977942" w:rsidP="000262D3">
      <w:pPr>
        <w:ind w:left="851"/>
        <w:rPr>
          <w:sz w:val="24"/>
          <w:szCs w:val="24"/>
        </w:rPr>
      </w:pPr>
    </w:p>
    <w:p w14:paraId="0E079A44" w14:textId="5EFCF423" w:rsidR="00977942" w:rsidRPr="000262D3" w:rsidRDefault="00C257B4" w:rsidP="000262D3">
      <w:pPr>
        <w:ind w:left="851"/>
        <w:rPr>
          <w:sz w:val="24"/>
          <w:szCs w:val="24"/>
          <w:u w:val="single"/>
        </w:rPr>
      </w:pPr>
      <w:r>
        <w:rPr>
          <w:sz w:val="24"/>
          <w:szCs w:val="24"/>
          <w:u w:val="single"/>
        </w:rPr>
        <w:t>Anastrozole "Amarox"</w:t>
      </w:r>
      <w:r w:rsidR="00977942" w:rsidRPr="000262D3">
        <w:rPr>
          <w:sz w:val="24"/>
          <w:szCs w:val="24"/>
          <w:u w:val="single"/>
        </w:rPr>
        <w:t xml:space="preserve"> indeholder </w:t>
      </w:r>
      <w:r w:rsidR="000262D3" w:rsidRPr="000262D3">
        <w:rPr>
          <w:sz w:val="24"/>
          <w:szCs w:val="24"/>
          <w:u w:val="single"/>
        </w:rPr>
        <w:t>n</w:t>
      </w:r>
      <w:r w:rsidR="00977942" w:rsidRPr="000262D3">
        <w:rPr>
          <w:sz w:val="24"/>
          <w:szCs w:val="24"/>
          <w:u w:val="single"/>
        </w:rPr>
        <w:t>atrium</w:t>
      </w:r>
    </w:p>
    <w:p w14:paraId="54B5D0EF" w14:textId="77777777" w:rsidR="00977942" w:rsidRPr="000262D3" w:rsidRDefault="00977942" w:rsidP="000262D3">
      <w:pPr>
        <w:ind w:left="851"/>
        <w:rPr>
          <w:sz w:val="24"/>
          <w:szCs w:val="24"/>
        </w:rPr>
      </w:pPr>
      <w:r w:rsidRPr="000262D3">
        <w:rPr>
          <w:sz w:val="24"/>
          <w:szCs w:val="24"/>
        </w:rPr>
        <w:t>Dette lægemiddel indeholder mindre end 1 mmol (23 mg) natrium pr. tablet, dvs. det er i det væsentlige natriumfrit.</w:t>
      </w:r>
    </w:p>
    <w:p w14:paraId="5D6CA9D8" w14:textId="77777777" w:rsidR="009260DE" w:rsidRPr="000262D3" w:rsidRDefault="009260DE" w:rsidP="009260DE">
      <w:pPr>
        <w:tabs>
          <w:tab w:val="left" w:pos="851"/>
        </w:tabs>
        <w:ind w:left="851"/>
        <w:rPr>
          <w:sz w:val="24"/>
          <w:szCs w:val="24"/>
        </w:rPr>
      </w:pPr>
    </w:p>
    <w:p w14:paraId="2CBCBDE7" w14:textId="77777777" w:rsidR="009260DE" w:rsidRPr="000262D3" w:rsidRDefault="009260DE" w:rsidP="009260DE">
      <w:pPr>
        <w:tabs>
          <w:tab w:val="left" w:pos="851"/>
        </w:tabs>
        <w:ind w:left="851" w:hanging="851"/>
        <w:rPr>
          <w:b/>
          <w:sz w:val="24"/>
          <w:szCs w:val="24"/>
        </w:rPr>
      </w:pPr>
      <w:r w:rsidRPr="000262D3">
        <w:rPr>
          <w:b/>
          <w:sz w:val="24"/>
          <w:szCs w:val="24"/>
        </w:rPr>
        <w:t>4.5</w:t>
      </w:r>
      <w:r w:rsidRPr="000262D3">
        <w:rPr>
          <w:b/>
          <w:sz w:val="24"/>
          <w:szCs w:val="24"/>
        </w:rPr>
        <w:tab/>
        <w:t>Interaktion med andre lægemidler og andre former for interaktion</w:t>
      </w:r>
    </w:p>
    <w:p w14:paraId="42FE786A" w14:textId="009FC9CA" w:rsidR="00977942" w:rsidRPr="000262D3" w:rsidRDefault="00977942" w:rsidP="000262D3">
      <w:pPr>
        <w:ind w:left="851"/>
        <w:rPr>
          <w:sz w:val="24"/>
          <w:szCs w:val="24"/>
        </w:rPr>
      </w:pPr>
      <w:r w:rsidRPr="00C257B4">
        <w:rPr>
          <w:sz w:val="24"/>
          <w:szCs w:val="24"/>
          <w:lang w:val="en-US"/>
        </w:rPr>
        <w:t xml:space="preserve">Anastrozol hæmmer CYP1A2, 2C8/9 og 3A4 </w:t>
      </w:r>
      <w:r w:rsidRPr="00C257B4">
        <w:rPr>
          <w:i/>
          <w:sz w:val="24"/>
          <w:szCs w:val="24"/>
          <w:lang w:val="en-US"/>
        </w:rPr>
        <w:t>in vitro</w:t>
      </w:r>
      <w:r w:rsidRPr="00C257B4">
        <w:rPr>
          <w:sz w:val="24"/>
          <w:szCs w:val="24"/>
          <w:lang w:val="en-US"/>
        </w:rPr>
        <w:t xml:space="preserve">. </w:t>
      </w:r>
      <w:r w:rsidRPr="000262D3">
        <w:rPr>
          <w:sz w:val="24"/>
          <w:szCs w:val="24"/>
        </w:rPr>
        <w:t>Kliniske studier med phenazon og warfarin viste, at anastrozol ved en dosis på 1 mg ikke signifikant hæmmede metaboliseringen af phenazon og R– og S</w:t>
      </w:r>
      <w:r w:rsidRPr="000262D3">
        <w:rPr>
          <w:sz w:val="24"/>
          <w:szCs w:val="24"/>
        </w:rPr>
        <w:noBreakHyphen/>
        <w:t xml:space="preserve">warfarin, hvilket indicerer, at indgivelse af </w:t>
      </w:r>
      <w:r w:rsidR="00C257B4">
        <w:rPr>
          <w:sz w:val="24"/>
          <w:szCs w:val="24"/>
        </w:rPr>
        <w:t>Anastrozole "Amarox"</w:t>
      </w:r>
      <w:r w:rsidRPr="000262D3">
        <w:rPr>
          <w:sz w:val="24"/>
          <w:szCs w:val="24"/>
        </w:rPr>
        <w:t xml:space="preserve"> sammen med andre lægemidler sandsynligvis ikke resulterer i klinisk signifikante lægemiddelinteraktioner medieret af CYP-enzymer. </w:t>
      </w:r>
    </w:p>
    <w:p w14:paraId="375E5AA4" w14:textId="77777777" w:rsidR="00977942" w:rsidRPr="000262D3" w:rsidRDefault="00977942" w:rsidP="000262D3">
      <w:pPr>
        <w:ind w:left="851"/>
        <w:rPr>
          <w:sz w:val="24"/>
          <w:szCs w:val="24"/>
        </w:rPr>
      </w:pPr>
    </w:p>
    <w:p w14:paraId="39C82124" w14:textId="77777777" w:rsidR="00977942" w:rsidRPr="000262D3" w:rsidRDefault="00977942" w:rsidP="000262D3">
      <w:pPr>
        <w:ind w:left="851"/>
        <w:rPr>
          <w:sz w:val="24"/>
          <w:szCs w:val="24"/>
        </w:rPr>
      </w:pPr>
      <w:r w:rsidRPr="000262D3">
        <w:rPr>
          <w:sz w:val="24"/>
          <w:szCs w:val="24"/>
        </w:rPr>
        <w:t>Enzymerne, som medierer metaboliseringen af anastrozol, er ikke blevet identificeret. Cimetidin, en svag, uspecifik CYP-hæmmer, påvirkede ikke plasmakoncentrationen af anastrozol. Virkningen af stærke CYP-hæmmere er ukendt.</w:t>
      </w:r>
    </w:p>
    <w:p w14:paraId="4DAC3A91" w14:textId="77777777" w:rsidR="00977942" w:rsidRPr="000262D3" w:rsidRDefault="00977942" w:rsidP="000262D3">
      <w:pPr>
        <w:ind w:left="851"/>
        <w:rPr>
          <w:sz w:val="24"/>
          <w:szCs w:val="24"/>
        </w:rPr>
      </w:pPr>
    </w:p>
    <w:p w14:paraId="634FBA5E" w14:textId="4500E347" w:rsidR="00977942" w:rsidRPr="000262D3" w:rsidRDefault="00977942" w:rsidP="000262D3">
      <w:pPr>
        <w:ind w:left="851"/>
        <w:rPr>
          <w:sz w:val="24"/>
          <w:szCs w:val="24"/>
        </w:rPr>
      </w:pPr>
      <w:r w:rsidRPr="000262D3">
        <w:rPr>
          <w:sz w:val="24"/>
          <w:szCs w:val="24"/>
        </w:rPr>
        <w:t xml:space="preserve">En gennemgang af sikkerhedsdatabasen fra de kliniske forsøg viste ikke nogen tegn på klinisk signifikant interaktion hos patienter behandlet med </w:t>
      </w:r>
      <w:r w:rsidR="00C257B4">
        <w:rPr>
          <w:sz w:val="24"/>
          <w:szCs w:val="24"/>
        </w:rPr>
        <w:t>Anastrozole "Amarox"</w:t>
      </w:r>
      <w:r w:rsidRPr="000262D3">
        <w:rPr>
          <w:sz w:val="24"/>
          <w:szCs w:val="24"/>
        </w:rPr>
        <w:t>, der også fik andre almindeligt ordinerede lægemidler. Der var ingen klinisk signifikante interaktioner med bisfosfonater (se pkt. 5.1).</w:t>
      </w:r>
    </w:p>
    <w:p w14:paraId="04ADA55C" w14:textId="77777777" w:rsidR="00977942" w:rsidRPr="000262D3" w:rsidRDefault="00977942" w:rsidP="000262D3">
      <w:pPr>
        <w:ind w:left="851"/>
        <w:rPr>
          <w:sz w:val="24"/>
          <w:szCs w:val="24"/>
        </w:rPr>
      </w:pPr>
    </w:p>
    <w:p w14:paraId="14AD5B8B" w14:textId="225AE2DA" w:rsidR="00977942" w:rsidRPr="000262D3" w:rsidRDefault="00977942" w:rsidP="000262D3">
      <w:pPr>
        <w:ind w:left="851"/>
        <w:rPr>
          <w:sz w:val="24"/>
          <w:szCs w:val="24"/>
        </w:rPr>
      </w:pPr>
      <w:r w:rsidRPr="000262D3">
        <w:rPr>
          <w:sz w:val="24"/>
          <w:szCs w:val="24"/>
        </w:rPr>
        <w:t xml:space="preserve">Indgivelse af tamoxifen eller østrogenholdig behandling sammen med </w:t>
      </w:r>
      <w:r w:rsidR="00C257B4">
        <w:rPr>
          <w:sz w:val="24"/>
          <w:szCs w:val="24"/>
        </w:rPr>
        <w:t>Anastrozole "Amarox"</w:t>
      </w:r>
      <w:r w:rsidRPr="000262D3">
        <w:rPr>
          <w:sz w:val="24"/>
          <w:szCs w:val="24"/>
        </w:rPr>
        <w:t xml:space="preserve"> bør undgås, da dette kan mindske dets farmakologiske virkning (se pkt. 4.4 og 5.1).</w:t>
      </w:r>
    </w:p>
    <w:p w14:paraId="00A65158" w14:textId="77777777" w:rsidR="009260DE" w:rsidRPr="000262D3" w:rsidRDefault="009260DE" w:rsidP="009260DE">
      <w:pPr>
        <w:tabs>
          <w:tab w:val="left" w:pos="851"/>
        </w:tabs>
        <w:ind w:left="851"/>
        <w:rPr>
          <w:sz w:val="24"/>
          <w:szCs w:val="24"/>
        </w:rPr>
      </w:pPr>
    </w:p>
    <w:p w14:paraId="078B4E5A" w14:textId="77777777" w:rsidR="009260DE" w:rsidRPr="000262D3" w:rsidRDefault="009260DE" w:rsidP="009260DE">
      <w:pPr>
        <w:tabs>
          <w:tab w:val="left" w:pos="851"/>
        </w:tabs>
        <w:ind w:left="851" w:hanging="851"/>
        <w:rPr>
          <w:b/>
          <w:sz w:val="24"/>
          <w:szCs w:val="24"/>
        </w:rPr>
      </w:pPr>
      <w:r w:rsidRPr="000262D3">
        <w:rPr>
          <w:b/>
          <w:sz w:val="24"/>
          <w:szCs w:val="24"/>
        </w:rPr>
        <w:t>4.6</w:t>
      </w:r>
      <w:r w:rsidRPr="000262D3">
        <w:rPr>
          <w:b/>
          <w:sz w:val="24"/>
          <w:szCs w:val="24"/>
        </w:rPr>
        <w:tab/>
      </w:r>
      <w:r w:rsidR="0071241E" w:rsidRPr="000262D3">
        <w:rPr>
          <w:b/>
          <w:sz w:val="24"/>
          <w:szCs w:val="24"/>
        </w:rPr>
        <w:t>Fertilitet, g</w:t>
      </w:r>
      <w:r w:rsidRPr="000262D3">
        <w:rPr>
          <w:b/>
          <w:sz w:val="24"/>
          <w:szCs w:val="24"/>
        </w:rPr>
        <w:t>raviditet og amning</w:t>
      </w:r>
    </w:p>
    <w:p w14:paraId="29A6AC6F" w14:textId="77777777" w:rsidR="000262D3" w:rsidRPr="000262D3" w:rsidRDefault="000262D3" w:rsidP="000262D3">
      <w:pPr>
        <w:ind w:left="851"/>
        <w:rPr>
          <w:sz w:val="24"/>
          <w:szCs w:val="24"/>
          <w:u w:val="single"/>
        </w:rPr>
      </w:pPr>
    </w:p>
    <w:p w14:paraId="4EE1680B" w14:textId="79C22F8A" w:rsidR="00977942" w:rsidRPr="000262D3" w:rsidRDefault="00977942" w:rsidP="000262D3">
      <w:pPr>
        <w:ind w:left="851"/>
        <w:rPr>
          <w:sz w:val="24"/>
          <w:szCs w:val="24"/>
          <w:u w:val="single"/>
        </w:rPr>
      </w:pPr>
      <w:r w:rsidRPr="000262D3">
        <w:rPr>
          <w:sz w:val="24"/>
          <w:szCs w:val="24"/>
          <w:u w:val="single"/>
        </w:rPr>
        <w:t xml:space="preserve">Graviditet </w:t>
      </w:r>
    </w:p>
    <w:p w14:paraId="38613F4B" w14:textId="2B7273E7" w:rsidR="00977942" w:rsidRPr="000262D3" w:rsidRDefault="00977942" w:rsidP="000262D3">
      <w:pPr>
        <w:ind w:left="851"/>
        <w:rPr>
          <w:sz w:val="24"/>
          <w:szCs w:val="24"/>
        </w:rPr>
      </w:pPr>
      <w:r w:rsidRPr="000262D3">
        <w:rPr>
          <w:sz w:val="24"/>
          <w:szCs w:val="24"/>
        </w:rPr>
        <w:t xml:space="preserve">Der er ingen data fra anvendelse af </w:t>
      </w:r>
      <w:r w:rsidR="00C257B4">
        <w:rPr>
          <w:sz w:val="24"/>
          <w:szCs w:val="24"/>
        </w:rPr>
        <w:t>Anastrozole "Amarox"</w:t>
      </w:r>
      <w:r w:rsidRPr="000262D3">
        <w:rPr>
          <w:sz w:val="24"/>
          <w:szCs w:val="24"/>
        </w:rPr>
        <w:t xml:space="preserve"> til gravide kvinder. Dyreforsøg har påvist reproduktionstoksicitet (se pkt. 5.3). </w:t>
      </w:r>
      <w:r w:rsidR="00C257B4">
        <w:rPr>
          <w:sz w:val="24"/>
          <w:szCs w:val="24"/>
        </w:rPr>
        <w:t>Anastrozole "Amarox"</w:t>
      </w:r>
      <w:r w:rsidRPr="000262D3">
        <w:rPr>
          <w:sz w:val="24"/>
          <w:szCs w:val="24"/>
        </w:rPr>
        <w:t xml:space="preserve"> er kontraindiceret under graviditet (se pkt. 4.3).</w:t>
      </w:r>
    </w:p>
    <w:p w14:paraId="05C5FD29" w14:textId="77777777" w:rsidR="00977942" w:rsidRPr="000262D3" w:rsidRDefault="00977942" w:rsidP="000262D3">
      <w:pPr>
        <w:ind w:left="851"/>
        <w:rPr>
          <w:sz w:val="24"/>
          <w:szCs w:val="24"/>
        </w:rPr>
      </w:pPr>
    </w:p>
    <w:p w14:paraId="178DCA5D" w14:textId="77777777" w:rsidR="00977942" w:rsidRPr="000262D3" w:rsidRDefault="00977942" w:rsidP="000262D3">
      <w:pPr>
        <w:ind w:left="851"/>
        <w:rPr>
          <w:sz w:val="24"/>
          <w:szCs w:val="24"/>
          <w:u w:val="single"/>
        </w:rPr>
      </w:pPr>
      <w:r w:rsidRPr="000262D3">
        <w:rPr>
          <w:sz w:val="24"/>
          <w:szCs w:val="24"/>
          <w:u w:val="single"/>
        </w:rPr>
        <w:t>Amning</w:t>
      </w:r>
    </w:p>
    <w:p w14:paraId="35991BAA" w14:textId="23645DAB" w:rsidR="00977942" w:rsidRPr="000262D3" w:rsidRDefault="00977942" w:rsidP="000262D3">
      <w:pPr>
        <w:ind w:left="851"/>
        <w:rPr>
          <w:sz w:val="24"/>
          <w:szCs w:val="24"/>
        </w:rPr>
      </w:pPr>
      <w:r w:rsidRPr="000262D3">
        <w:rPr>
          <w:sz w:val="24"/>
          <w:szCs w:val="24"/>
        </w:rPr>
        <w:t xml:space="preserve">Der er ingen data fra anvendelse af </w:t>
      </w:r>
      <w:r w:rsidR="00C257B4">
        <w:rPr>
          <w:sz w:val="24"/>
          <w:szCs w:val="24"/>
        </w:rPr>
        <w:t>Anastrozole "Amarox"</w:t>
      </w:r>
      <w:r w:rsidRPr="000262D3">
        <w:rPr>
          <w:sz w:val="24"/>
          <w:szCs w:val="24"/>
        </w:rPr>
        <w:t xml:space="preserve"> under amning. </w:t>
      </w:r>
      <w:r w:rsidR="00C257B4">
        <w:rPr>
          <w:sz w:val="24"/>
          <w:szCs w:val="24"/>
        </w:rPr>
        <w:t>Anastrozole "Amarox"</w:t>
      </w:r>
      <w:r w:rsidRPr="000262D3">
        <w:rPr>
          <w:sz w:val="24"/>
          <w:szCs w:val="24"/>
        </w:rPr>
        <w:t xml:space="preserve"> er kontraindiceret under amning (se pkt. 4.3).</w:t>
      </w:r>
    </w:p>
    <w:p w14:paraId="4DC72658" w14:textId="77777777" w:rsidR="00977942" w:rsidRPr="000262D3" w:rsidRDefault="00977942" w:rsidP="000262D3">
      <w:pPr>
        <w:ind w:left="851"/>
        <w:rPr>
          <w:sz w:val="24"/>
          <w:szCs w:val="24"/>
        </w:rPr>
      </w:pPr>
    </w:p>
    <w:p w14:paraId="6C16D2C9" w14:textId="77777777" w:rsidR="00977942" w:rsidRPr="000262D3" w:rsidRDefault="00977942" w:rsidP="000262D3">
      <w:pPr>
        <w:ind w:left="851"/>
        <w:rPr>
          <w:sz w:val="24"/>
          <w:szCs w:val="24"/>
          <w:u w:val="single"/>
        </w:rPr>
      </w:pPr>
      <w:r w:rsidRPr="000262D3">
        <w:rPr>
          <w:sz w:val="24"/>
          <w:szCs w:val="24"/>
          <w:u w:val="single"/>
        </w:rPr>
        <w:t>Fertilitet</w:t>
      </w:r>
    </w:p>
    <w:p w14:paraId="42A15A89" w14:textId="6FFD098E" w:rsidR="00977942" w:rsidRPr="000262D3" w:rsidRDefault="00C257B4" w:rsidP="000262D3">
      <w:pPr>
        <w:ind w:left="851"/>
        <w:rPr>
          <w:sz w:val="24"/>
          <w:szCs w:val="24"/>
        </w:rPr>
      </w:pPr>
      <w:r>
        <w:rPr>
          <w:sz w:val="24"/>
          <w:szCs w:val="24"/>
        </w:rPr>
        <w:t>Anastrozole "Amarox"</w:t>
      </w:r>
      <w:r w:rsidR="00977942" w:rsidRPr="000262D3">
        <w:rPr>
          <w:sz w:val="24"/>
          <w:szCs w:val="24"/>
        </w:rPr>
        <w:t xml:space="preserve"> indvirkning på fertiliteten hos mennesker er ikke blevet undersøgt. Dyreforsøg har påvist reproduktionstoksicitet (se pkt. 5.3).</w:t>
      </w:r>
    </w:p>
    <w:p w14:paraId="4BF556F2" w14:textId="77777777" w:rsidR="009260DE" w:rsidRPr="000262D3" w:rsidRDefault="009260DE" w:rsidP="009260DE">
      <w:pPr>
        <w:tabs>
          <w:tab w:val="left" w:pos="851"/>
        </w:tabs>
        <w:ind w:left="851"/>
        <w:rPr>
          <w:sz w:val="24"/>
          <w:szCs w:val="24"/>
        </w:rPr>
      </w:pPr>
    </w:p>
    <w:p w14:paraId="1E15544D" w14:textId="77777777" w:rsidR="009260DE" w:rsidRPr="000262D3" w:rsidRDefault="009260DE" w:rsidP="009260DE">
      <w:pPr>
        <w:tabs>
          <w:tab w:val="left" w:pos="851"/>
        </w:tabs>
        <w:ind w:left="851" w:hanging="851"/>
        <w:rPr>
          <w:b/>
          <w:sz w:val="24"/>
          <w:szCs w:val="24"/>
        </w:rPr>
      </w:pPr>
      <w:r w:rsidRPr="000262D3">
        <w:rPr>
          <w:b/>
          <w:sz w:val="24"/>
          <w:szCs w:val="24"/>
        </w:rPr>
        <w:t>4.7</w:t>
      </w:r>
      <w:r w:rsidRPr="000262D3">
        <w:rPr>
          <w:b/>
          <w:sz w:val="24"/>
          <w:szCs w:val="24"/>
        </w:rPr>
        <w:tab/>
        <w:t xml:space="preserve">Virkning på evnen til at føre motorkøretøj </w:t>
      </w:r>
      <w:r w:rsidR="0071241E" w:rsidRPr="000262D3">
        <w:rPr>
          <w:b/>
          <w:sz w:val="24"/>
          <w:szCs w:val="24"/>
        </w:rPr>
        <w:t>og</w:t>
      </w:r>
      <w:r w:rsidRPr="000262D3">
        <w:rPr>
          <w:b/>
          <w:sz w:val="24"/>
          <w:szCs w:val="24"/>
        </w:rPr>
        <w:t xml:space="preserve"> betjene maskiner</w:t>
      </w:r>
    </w:p>
    <w:p w14:paraId="53D69BA4" w14:textId="77777777" w:rsidR="000262D3" w:rsidRPr="000262D3" w:rsidRDefault="000262D3" w:rsidP="000262D3">
      <w:pPr>
        <w:ind w:left="851"/>
        <w:rPr>
          <w:sz w:val="24"/>
          <w:szCs w:val="24"/>
        </w:rPr>
      </w:pPr>
      <w:r w:rsidRPr="000262D3">
        <w:rPr>
          <w:sz w:val="24"/>
          <w:szCs w:val="24"/>
        </w:rPr>
        <w:t>Ikke mærkning.</w:t>
      </w:r>
    </w:p>
    <w:p w14:paraId="7AB48235" w14:textId="7D1325D2" w:rsidR="00977942" w:rsidRPr="000262D3" w:rsidRDefault="00C257B4" w:rsidP="000262D3">
      <w:pPr>
        <w:ind w:left="851"/>
        <w:rPr>
          <w:sz w:val="24"/>
          <w:szCs w:val="24"/>
        </w:rPr>
      </w:pPr>
      <w:r>
        <w:rPr>
          <w:sz w:val="24"/>
          <w:szCs w:val="24"/>
        </w:rPr>
        <w:t>Anastrozole "Amarox"</w:t>
      </w:r>
      <w:r w:rsidR="00977942" w:rsidRPr="000262D3">
        <w:rPr>
          <w:sz w:val="24"/>
          <w:szCs w:val="24"/>
        </w:rPr>
        <w:t xml:space="preserve"> påvirker ikke eller kun i ubetydelig grad evnen til at føre motorkøretøj og betjene maskiner. Der er imidlertid rapporteret asteni og søvnighed i forbindelse med brug af anastrozol, og der skal udvises forsigtighed, når man skal føre motorkøretøjer eller betjene maskiner, så længe sådanne symptomer forekommer.</w:t>
      </w:r>
    </w:p>
    <w:p w14:paraId="16F67C5B" w14:textId="77777777" w:rsidR="009260DE" w:rsidRPr="000262D3" w:rsidRDefault="009260DE" w:rsidP="009260DE">
      <w:pPr>
        <w:tabs>
          <w:tab w:val="left" w:pos="851"/>
        </w:tabs>
        <w:ind w:left="851"/>
        <w:rPr>
          <w:sz w:val="24"/>
          <w:szCs w:val="24"/>
        </w:rPr>
      </w:pPr>
    </w:p>
    <w:p w14:paraId="090D6D41" w14:textId="77777777" w:rsidR="009260DE" w:rsidRPr="000262D3" w:rsidRDefault="009260DE" w:rsidP="009260DE">
      <w:pPr>
        <w:tabs>
          <w:tab w:val="left" w:pos="851"/>
        </w:tabs>
        <w:ind w:left="851" w:hanging="851"/>
        <w:rPr>
          <w:b/>
          <w:sz w:val="24"/>
          <w:szCs w:val="24"/>
        </w:rPr>
      </w:pPr>
      <w:r w:rsidRPr="000262D3">
        <w:rPr>
          <w:b/>
          <w:sz w:val="24"/>
          <w:szCs w:val="24"/>
        </w:rPr>
        <w:t>4.8</w:t>
      </w:r>
      <w:r w:rsidRPr="000262D3">
        <w:rPr>
          <w:b/>
          <w:sz w:val="24"/>
          <w:szCs w:val="24"/>
        </w:rPr>
        <w:tab/>
        <w:t>Bivirkninger</w:t>
      </w:r>
    </w:p>
    <w:p w14:paraId="19420555" w14:textId="76A32E4B" w:rsidR="00977942" w:rsidRPr="000262D3" w:rsidRDefault="00977942" w:rsidP="000262D3">
      <w:pPr>
        <w:ind w:left="851"/>
        <w:rPr>
          <w:sz w:val="24"/>
          <w:szCs w:val="24"/>
        </w:rPr>
      </w:pPr>
      <w:r w:rsidRPr="000262D3">
        <w:rPr>
          <w:bCs/>
          <w:sz w:val="24"/>
          <w:szCs w:val="24"/>
        </w:rPr>
        <w:t>Følgende tabel giver en oversigt over bivirkninger</w:t>
      </w:r>
      <w:r w:rsidRPr="000262D3">
        <w:rPr>
          <w:b/>
          <w:bCs/>
          <w:sz w:val="24"/>
          <w:szCs w:val="24"/>
        </w:rPr>
        <w:t xml:space="preserve"> </w:t>
      </w:r>
      <w:r w:rsidRPr="000262D3">
        <w:rPr>
          <w:sz w:val="24"/>
          <w:szCs w:val="24"/>
        </w:rPr>
        <w:t>fra kliniske forsøg, post</w:t>
      </w:r>
      <w:r w:rsidRPr="000262D3">
        <w:rPr>
          <w:sz w:val="24"/>
          <w:szCs w:val="24"/>
        </w:rPr>
        <w:noBreakHyphen/>
        <w:t>marketing</w:t>
      </w:r>
      <w:r w:rsidR="000262D3">
        <w:rPr>
          <w:sz w:val="24"/>
          <w:szCs w:val="24"/>
        </w:rPr>
        <w:softHyphen/>
      </w:r>
      <w:r w:rsidRPr="000262D3">
        <w:rPr>
          <w:sz w:val="24"/>
          <w:szCs w:val="24"/>
        </w:rPr>
        <w:t>undersøgelser eller spontane rapporter</w:t>
      </w:r>
      <w:r w:rsidRPr="000262D3">
        <w:rPr>
          <w:bCs/>
          <w:sz w:val="24"/>
          <w:szCs w:val="24"/>
        </w:rPr>
        <w:t>.</w:t>
      </w:r>
      <w:r w:rsidRPr="000262D3">
        <w:rPr>
          <w:sz w:val="24"/>
          <w:szCs w:val="24"/>
        </w:rPr>
        <w:t xml:space="preserve"> Medmindre andet er angivet, er frekvens</w:t>
      </w:r>
      <w:r w:rsidR="000262D3">
        <w:rPr>
          <w:sz w:val="24"/>
          <w:szCs w:val="24"/>
        </w:rPr>
        <w:softHyphen/>
      </w:r>
      <w:r w:rsidRPr="000262D3">
        <w:rPr>
          <w:sz w:val="24"/>
          <w:szCs w:val="24"/>
        </w:rPr>
        <w:t xml:space="preserve">kategorierne beregnet ud fra antallet af utilsigtede hændelser, som blev rapporteret i et stort fase III-studie med 9.366 postmenopausale kvinder med operabel brystkræft, som fik adjuverende behandling i fem år (Anastrozol, Tamoxifen, Alone or in Combination [ATAC] studiet). </w:t>
      </w:r>
    </w:p>
    <w:p w14:paraId="14D359EF" w14:textId="77777777" w:rsidR="00977942" w:rsidRPr="000262D3" w:rsidRDefault="00977942" w:rsidP="000262D3">
      <w:pPr>
        <w:ind w:left="851"/>
        <w:rPr>
          <w:bCs/>
          <w:sz w:val="24"/>
          <w:szCs w:val="24"/>
        </w:rPr>
      </w:pPr>
    </w:p>
    <w:p w14:paraId="0B2DE751" w14:textId="77777777" w:rsidR="00977942" w:rsidRPr="000262D3" w:rsidRDefault="00977942" w:rsidP="000262D3">
      <w:pPr>
        <w:ind w:left="851"/>
        <w:rPr>
          <w:sz w:val="24"/>
          <w:szCs w:val="24"/>
        </w:rPr>
      </w:pPr>
      <w:r w:rsidRPr="000262D3">
        <w:rPr>
          <w:sz w:val="24"/>
          <w:szCs w:val="24"/>
        </w:rPr>
        <w:t>De nedenfor angivne bivirkninger er klassificeret efter frekvens og systemorganklasse (SOC). Frekvensgrupper er defineret i henhold til følgende konvention: meget almindelig (≥ 1/10), almindelig (≥ 1/100 til &lt; 1/10), ikke almindelig (≥ 1/1.000 til &lt; 1/100), sjælden (≥ 1/10.000 til &lt;1/1.000) og meget sjælden (&lt;1/10.000). De hyppigst rapporterede bivirkninger var hovedpine, hedeture, kvalme, udslæt, ledsmerter, stivhed, artrit og asteni.</w:t>
      </w:r>
    </w:p>
    <w:p w14:paraId="72951B37" w14:textId="6D33EF54" w:rsidR="000262D3" w:rsidRDefault="000262D3">
      <w:pPr>
        <w:rPr>
          <w:bCs/>
          <w:sz w:val="24"/>
          <w:szCs w:val="24"/>
        </w:rPr>
      </w:pPr>
      <w:r>
        <w:rPr>
          <w:bCs/>
          <w:sz w:val="24"/>
          <w:szCs w:val="24"/>
        </w:rPr>
        <w:br w:type="page"/>
      </w:r>
    </w:p>
    <w:p w14:paraId="7C7152A3" w14:textId="77777777" w:rsidR="00977942" w:rsidRPr="000262D3" w:rsidRDefault="00977942" w:rsidP="000262D3">
      <w:pPr>
        <w:ind w:left="851"/>
        <w:rPr>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2622"/>
        <w:gridCol w:w="3988"/>
      </w:tblGrid>
      <w:tr w:rsidR="00977942" w:rsidRPr="000262D3" w14:paraId="7F0C3805" w14:textId="77777777" w:rsidTr="000262D3">
        <w:trPr>
          <w:cantSplit/>
          <w:tblHeader/>
        </w:trPr>
        <w:tc>
          <w:tcPr>
            <w:tcW w:w="5000" w:type="pct"/>
            <w:gridSpan w:val="3"/>
            <w:tcBorders>
              <w:top w:val="nil"/>
              <w:left w:val="nil"/>
              <w:bottom w:val="single" w:sz="4" w:space="0" w:color="auto"/>
              <w:right w:val="nil"/>
            </w:tcBorders>
            <w:hideMark/>
          </w:tcPr>
          <w:p w14:paraId="25245CE3" w14:textId="6438CFC8" w:rsidR="00977942" w:rsidRPr="000262D3" w:rsidRDefault="00977942" w:rsidP="000262D3">
            <w:pPr>
              <w:ind w:left="32"/>
              <w:rPr>
                <w:b/>
                <w:bCs/>
                <w:sz w:val="24"/>
                <w:szCs w:val="24"/>
              </w:rPr>
            </w:pPr>
            <w:r w:rsidRPr="000262D3">
              <w:rPr>
                <w:b/>
                <w:bCs/>
                <w:sz w:val="24"/>
                <w:szCs w:val="24"/>
              </w:rPr>
              <w:t>Tabel 1</w:t>
            </w:r>
            <w:r w:rsidR="00F91539">
              <w:rPr>
                <w:b/>
                <w:bCs/>
                <w:sz w:val="24"/>
                <w:szCs w:val="24"/>
              </w:rPr>
              <w:t xml:space="preserve">. </w:t>
            </w:r>
            <w:r w:rsidRPr="000262D3">
              <w:rPr>
                <w:b/>
                <w:bCs/>
                <w:sz w:val="24"/>
                <w:szCs w:val="24"/>
              </w:rPr>
              <w:t>Bivirkninger efter systemorganklasse og frekvens</w:t>
            </w:r>
          </w:p>
        </w:tc>
      </w:tr>
      <w:tr w:rsidR="00977942" w:rsidRPr="000262D3" w14:paraId="046B8CF3" w14:textId="77777777" w:rsidTr="000262D3">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12CE0391" w14:textId="77777777" w:rsidR="00977942" w:rsidRPr="000262D3" w:rsidRDefault="00977942" w:rsidP="000262D3">
            <w:pPr>
              <w:ind w:left="64"/>
              <w:rPr>
                <w:b/>
                <w:bCs/>
                <w:sz w:val="24"/>
                <w:szCs w:val="24"/>
              </w:rPr>
            </w:pPr>
            <w:r w:rsidRPr="000262D3">
              <w:rPr>
                <w:b/>
                <w:bCs/>
                <w:sz w:val="24"/>
                <w:szCs w:val="24"/>
              </w:rPr>
              <w:t>Bivirkninger efter SOC og frekvens</w:t>
            </w:r>
          </w:p>
        </w:tc>
      </w:tr>
      <w:tr w:rsidR="00977942" w:rsidRPr="000262D3" w14:paraId="3BBC0C61" w14:textId="77777777" w:rsidTr="000262D3">
        <w:trPr>
          <w:cantSplit/>
        </w:trPr>
        <w:tc>
          <w:tcPr>
            <w:tcW w:w="1571" w:type="pct"/>
            <w:vMerge w:val="restart"/>
            <w:tcBorders>
              <w:top w:val="single" w:sz="4" w:space="0" w:color="auto"/>
              <w:left w:val="single" w:sz="4" w:space="0" w:color="auto"/>
              <w:bottom w:val="single" w:sz="4" w:space="0" w:color="auto"/>
              <w:right w:val="single" w:sz="4" w:space="0" w:color="auto"/>
            </w:tcBorders>
            <w:hideMark/>
          </w:tcPr>
          <w:p w14:paraId="2D0AED64" w14:textId="77777777" w:rsidR="00977942" w:rsidRPr="000262D3" w:rsidRDefault="00977942" w:rsidP="000262D3">
            <w:pPr>
              <w:ind w:left="64"/>
              <w:rPr>
                <w:sz w:val="24"/>
                <w:szCs w:val="24"/>
              </w:rPr>
            </w:pPr>
            <w:r w:rsidRPr="000262D3">
              <w:rPr>
                <w:sz w:val="24"/>
                <w:szCs w:val="24"/>
              </w:rPr>
              <w:t>Metabolisme og ernæring</w:t>
            </w:r>
          </w:p>
        </w:tc>
        <w:tc>
          <w:tcPr>
            <w:tcW w:w="1360" w:type="pct"/>
            <w:tcBorders>
              <w:top w:val="single" w:sz="4" w:space="0" w:color="auto"/>
              <w:left w:val="single" w:sz="4" w:space="0" w:color="auto"/>
              <w:bottom w:val="single" w:sz="4" w:space="0" w:color="auto"/>
              <w:right w:val="single" w:sz="4" w:space="0" w:color="auto"/>
            </w:tcBorders>
            <w:hideMark/>
          </w:tcPr>
          <w:p w14:paraId="1741E820" w14:textId="77777777" w:rsidR="00977942" w:rsidRPr="000262D3" w:rsidRDefault="00977942" w:rsidP="000262D3">
            <w:pPr>
              <w:ind w:left="64"/>
              <w:rPr>
                <w:sz w:val="24"/>
                <w:szCs w:val="24"/>
              </w:rPr>
            </w:pPr>
            <w:r w:rsidRPr="000262D3">
              <w:rPr>
                <w:sz w:val="24"/>
                <w:szCs w:val="24"/>
              </w:rPr>
              <w:t>Almindelig</w:t>
            </w:r>
          </w:p>
        </w:tc>
        <w:tc>
          <w:tcPr>
            <w:tcW w:w="2069" w:type="pct"/>
            <w:tcBorders>
              <w:top w:val="single" w:sz="4" w:space="0" w:color="auto"/>
              <w:left w:val="single" w:sz="4" w:space="0" w:color="auto"/>
              <w:bottom w:val="single" w:sz="4" w:space="0" w:color="auto"/>
              <w:right w:val="single" w:sz="4" w:space="0" w:color="auto"/>
            </w:tcBorders>
            <w:hideMark/>
          </w:tcPr>
          <w:p w14:paraId="5672E273" w14:textId="77777777" w:rsidR="00977942" w:rsidRPr="000262D3" w:rsidRDefault="00977942" w:rsidP="000262D3">
            <w:pPr>
              <w:ind w:left="64"/>
              <w:rPr>
                <w:sz w:val="24"/>
                <w:szCs w:val="24"/>
              </w:rPr>
            </w:pPr>
            <w:r w:rsidRPr="000262D3">
              <w:rPr>
                <w:sz w:val="24"/>
                <w:szCs w:val="24"/>
              </w:rPr>
              <w:t>Anoreksi</w:t>
            </w:r>
          </w:p>
          <w:p w14:paraId="106632EB" w14:textId="77777777" w:rsidR="00977942" w:rsidRPr="000262D3" w:rsidRDefault="00977942" w:rsidP="000262D3">
            <w:pPr>
              <w:ind w:left="64"/>
              <w:rPr>
                <w:sz w:val="24"/>
                <w:szCs w:val="24"/>
              </w:rPr>
            </w:pPr>
            <w:r w:rsidRPr="000262D3">
              <w:rPr>
                <w:sz w:val="24"/>
                <w:szCs w:val="24"/>
              </w:rPr>
              <w:t>Hyperkolesterolæmi</w:t>
            </w:r>
          </w:p>
        </w:tc>
      </w:tr>
      <w:tr w:rsidR="00977942" w:rsidRPr="000262D3" w14:paraId="03E5922A" w14:textId="77777777" w:rsidTr="000262D3">
        <w:trPr>
          <w:cantSplit/>
        </w:trPr>
        <w:tc>
          <w:tcPr>
            <w:tcW w:w="1571" w:type="pct"/>
            <w:vMerge/>
            <w:tcBorders>
              <w:top w:val="single" w:sz="4" w:space="0" w:color="auto"/>
              <w:left w:val="single" w:sz="4" w:space="0" w:color="auto"/>
              <w:bottom w:val="single" w:sz="4" w:space="0" w:color="auto"/>
              <w:right w:val="single" w:sz="4" w:space="0" w:color="auto"/>
            </w:tcBorders>
            <w:vAlign w:val="center"/>
            <w:hideMark/>
          </w:tcPr>
          <w:p w14:paraId="3833C91E" w14:textId="77777777" w:rsidR="00977942" w:rsidRPr="000262D3" w:rsidRDefault="00977942" w:rsidP="000262D3">
            <w:pPr>
              <w:ind w:left="64"/>
              <w:rPr>
                <w:sz w:val="24"/>
                <w:szCs w:val="24"/>
              </w:rPr>
            </w:pPr>
          </w:p>
        </w:tc>
        <w:tc>
          <w:tcPr>
            <w:tcW w:w="1360" w:type="pct"/>
            <w:tcBorders>
              <w:top w:val="single" w:sz="4" w:space="0" w:color="auto"/>
              <w:left w:val="single" w:sz="4" w:space="0" w:color="auto"/>
              <w:bottom w:val="single" w:sz="4" w:space="0" w:color="auto"/>
              <w:right w:val="single" w:sz="4" w:space="0" w:color="auto"/>
            </w:tcBorders>
            <w:hideMark/>
          </w:tcPr>
          <w:p w14:paraId="35B7629C" w14:textId="77777777" w:rsidR="00977942" w:rsidRPr="000262D3" w:rsidRDefault="00977942" w:rsidP="000262D3">
            <w:pPr>
              <w:ind w:left="64"/>
              <w:rPr>
                <w:sz w:val="24"/>
                <w:szCs w:val="24"/>
              </w:rPr>
            </w:pPr>
            <w:r w:rsidRPr="000262D3">
              <w:rPr>
                <w:sz w:val="24"/>
                <w:szCs w:val="24"/>
              </w:rPr>
              <w:t>Ikke almindelig</w:t>
            </w:r>
          </w:p>
        </w:tc>
        <w:tc>
          <w:tcPr>
            <w:tcW w:w="2069" w:type="pct"/>
            <w:tcBorders>
              <w:top w:val="single" w:sz="4" w:space="0" w:color="auto"/>
              <w:left w:val="single" w:sz="4" w:space="0" w:color="auto"/>
              <w:bottom w:val="single" w:sz="4" w:space="0" w:color="auto"/>
              <w:right w:val="single" w:sz="4" w:space="0" w:color="auto"/>
            </w:tcBorders>
            <w:hideMark/>
          </w:tcPr>
          <w:p w14:paraId="574EC4ED" w14:textId="77777777" w:rsidR="00977942" w:rsidRPr="000262D3" w:rsidRDefault="00977942" w:rsidP="000262D3">
            <w:pPr>
              <w:ind w:left="64"/>
              <w:rPr>
                <w:sz w:val="24"/>
                <w:szCs w:val="24"/>
              </w:rPr>
            </w:pPr>
            <w:r w:rsidRPr="000262D3">
              <w:rPr>
                <w:sz w:val="24"/>
                <w:szCs w:val="24"/>
              </w:rPr>
              <w:t>Hyperkalcæmi (med eller uden stigning i parathyreoideahormon)</w:t>
            </w:r>
          </w:p>
        </w:tc>
      </w:tr>
      <w:tr w:rsidR="00977942" w:rsidRPr="000262D3" w14:paraId="765A89BD" w14:textId="77777777" w:rsidTr="000262D3">
        <w:trPr>
          <w:cantSplit/>
        </w:trPr>
        <w:tc>
          <w:tcPr>
            <w:tcW w:w="1571" w:type="pct"/>
            <w:tcBorders>
              <w:top w:val="single" w:sz="4" w:space="0" w:color="auto"/>
              <w:left w:val="single" w:sz="4" w:space="0" w:color="auto"/>
              <w:bottom w:val="single" w:sz="4" w:space="0" w:color="auto"/>
              <w:right w:val="single" w:sz="4" w:space="0" w:color="auto"/>
            </w:tcBorders>
            <w:hideMark/>
          </w:tcPr>
          <w:p w14:paraId="19251579" w14:textId="77777777" w:rsidR="00977942" w:rsidRPr="000262D3" w:rsidRDefault="00977942" w:rsidP="000262D3">
            <w:pPr>
              <w:ind w:left="64"/>
              <w:rPr>
                <w:sz w:val="24"/>
                <w:szCs w:val="24"/>
              </w:rPr>
            </w:pPr>
            <w:r w:rsidRPr="000262D3">
              <w:rPr>
                <w:sz w:val="24"/>
                <w:szCs w:val="24"/>
              </w:rPr>
              <w:t>Psykiske forstyrrelser</w:t>
            </w:r>
          </w:p>
        </w:tc>
        <w:tc>
          <w:tcPr>
            <w:tcW w:w="1360" w:type="pct"/>
            <w:tcBorders>
              <w:top w:val="single" w:sz="4" w:space="0" w:color="auto"/>
              <w:left w:val="single" w:sz="4" w:space="0" w:color="auto"/>
              <w:bottom w:val="single" w:sz="4" w:space="0" w:color="auto"/>
              <w:right w:val="single" w:sz="4" w:space="0" w:color="auto"/>
            </w:tcBorders>
            <w:hideMark/>
          </w:tcPr>
          <w:p w14:paraId="3EB58FFC" w14:textId="77777777" w:rsidR="00977942" w:rsidRPr="000262D3" w:rsidRDefault="00977942" w:rsidP="000262D3">
            <w:pPr>
              <w:ind w:left="64"/>
              <w:rPr>
                <w:sz w:val="24"/>
                <w:szCs w:val="24"/>
              </w:rPr>
            </w:pPr>
            <w:r w:rsidRPr="000262D3">
              <w:rPr>
                <w:sz w:val="24"/>
                <w:szCs w:val="24"/>
              </w:rPr>
              <w:t xml:space="preserve">Meget almindelig </w:t>
            </w:r>
          </w:p>
        </w:tc>
        <w:tc>
          <w:tcPr>
            <w:tcW w:w="2069" w:type="pct"/>
            <w:tcBorders>
              <w:top w:val="single" w:sz="4" w:space="0" w:color="auto"/>
              <w:left w:val="single" w:sz="4" w:space="0" w:color="auto"/>
              <w:bottom w:val="single" w:sz="4" w:space="0" w:color="auto"/>
              <w:right w:val="single" w:sz="4" w:space="0" w:color="auto"/>
            </w:tcBorders>
            <w:hideMark/>
          </w:tcPr>
          <w:p w14:paraId="566185E5" w14:textId="77777777" w:rsidR="00977942" w:rsidRPr="000262D3" w:rsidRDefault="00977942" w:rsidP="000262D3">
            <w:pPr>
              <w:ind w:left="64"/>
              <w:rPr>
                <w:sz w:val="24"/>
                <w:szCs w:val="24"/>
              </w:rPr>
            </w:pPr>
            <w:r w:rsidRPr="000262D3">
              <w:rPr>
                <w:sz w:val="24"/>
                <w:szCs w:val="24"/>
              </w:rPr>
              <w:t xml:space="preserve">Depression </w:t>
            </w:r>
          </w:p>
        </w:tc>
      </w:tr>
      <w:tr w:rsidR="000262D3" w:rsidRPr="000262D3" w14:paraId="185B27A6" w14:textId="77777777" w:rsidTr="00926C3C">
        <w:trPr>
          <w:cantSplit/>
        </w:trPr>
        <w:tc>
          <w:tcPr>
            <w:tcW w:w="1571" w:type="pct"/>
            <w:vMerge w:val="restart"/>
            <w:tcBorders>
              <w:top w:val="single" w:sz="4" w:space="0" w:color="auto"/>
              <w:left w:val="single" w:sz="4" w:space="0" w:color="auto"/>
              <w:right w:val="single" w:sz="4" w:space="0" w:color="auto"/>
            </w:tcBorders>
            <w:hideMark/>
          </w:tcPr>
          <w:p w14:paraId="0A6318EA" w14:textId="77777777" w:rsidR="000262D3" w:rsidRPr="000262D3" w:rsidRDefault="000262D3" w:rsidP="000262D3">
            <w:pPr>
              <w:ind w:left="64"/>
              <w:rPr>
                <w:sz w:val="24"/>
                <w:szCs w:val="24"/>
              </w:rPr>
            </w:pPr>
            <w:r w:rsidRPr="000262D3">
              <w:rPr>
                <w:sz w:val="24"/>
                <w:szCs w:val="24"/>
              </w:rPr>
              <w:t>Nervesystemet</w:t>
            </w:r>
          </w:p>
        </w:tc>
        <w:tc>
          <w:tcPr>
            <w:tcW w:w="1360" w:type="pct"/>
            <w:tcBorders>
              <w:top w:val="single" w:sz="4" w:space="0" w:color="auto"/>
              <w:left w:val="single" w:sz="4" w:space="0" w:color="auto"/>
              <w:bottom w:val="single" w:sz="4" w:space="0" w:color="auto"/>
              <w:right w:val="single" w:sz="4" w:space="0" w:color="auto"/>
            </w:tcBorders>
            <w:hideMark/>
          </w:tcPr>
          <w:p w14:paraId="16BF8939" w14:textId="77777777" w:rsidR="000262D3" w:rsidRPr="000262D3" w:rsidRDefault="000262D3" w:rsidP="000262D3">
            <w:pPr>
              <w:ind w:left="64"/>
              <w:rPr>
                <w:sz w:val="24"/>
                <w:szCs w:val="24"/>
              </w:rPr>
            </w:pPr>
            <w:r w:rsidRPr="000262D3">
              <w:rPr>
                <w:sz w:val="24"/>
                <w:szCs w:val="24"/>
              </w:rPr>
              <w:t>Meget almindelig</w:t>
            </w:r>
          </w:p>
        </w:tc>
        <w:tc>
          <w:tcPr>
            <w:tcW w:w="2069" w:type="pct"/>
            <w:tcBorders>
              <w:top w:val="single" w:sz="4" w:space="0" w:color="auto"/>
              <w:left w:val="single" w:sz="4" w:space="0" w:color="auto"/>
              <w:bottom w:val="single" w:sz="4" w:space="0" w:color="auto"/>
              <w:right w:val="single" w:sz="4" w:space="0" w:color="auto"/>
            </w:tcBorders>
            <w:hideMark/>
          </w:tcPr>
          <w:p w14:paraId="4D001CBC" w14:textId="77777777" w:rsidR="000262D3" w:rsidRPr="000262D3" w:rsidRDefault="000262D3" w:rsidP="000262D3">
            <w:pPr>
              <w:ind w:left="64"/>
              <w:rPr>
                <w:sz w:val="24"/>
                <w:szCs w:val="24"/>
              </w:rPr>
            </w:pPr>
            <w:r w:rsidRPr="000262D3">
              <w:rPr>
                <w:sz w:val="24"/>
                <w:szCs w:val="24"/>
              </w:rPr>
              <w:t>Hovedpine</w:t>
            </w:r>
          </w:p>
        </w:tc>
      </w:tr>
      <w:tr w:rsidR="000262D3" w:rsidRPr="000262D3" w14:paraId="4999983E" w14:textId="77777777" w:rsidTr="00926C3C">
        <w:trPr>
          <w:cantSplit/>
        </w:trPr>
        <w:tc>
          <w:tcPr>
            <w:tcW w:w="1571" w:type="pct"/>
            <w:vMerge/>
            <w:tcBorders>
              <w:left w:val="single" w:sz="4" w:space="0" w:color="auto"/>
              <w:right w:val="single" w:sz="4" w:space="0" w:color="auto"/>
            </w:tcBorders>
            <w:vAlign w:val="center"/>
            <w:hideMark/>
          </w:tcPr>
          <w:p w14:paraId="7C0CCC7D" w14:textId="77777777" w:rsidR="000262D3" w:rsidRPr="000262D3" w:rsidRDefault="000262D3" w:rsidP="000262D3">
            <w:pPr>
              <w:tabs>
                <w:tab w:val="left" w:pos="851"/>
              </w:tabs>
              <w:ind w:left="64"/>
              <w:rPr>
                <w:sz w:val="24"/>
                <w:szCs w:val="24"/>
              </w:rPr>
            </w:pPr>
          </w:p>
        </w:tc>
        <w:tc>
          <w:tcPr>
            <w:tcW w:w="1360" w:type="pct"/>
            <w:tcBorders>
              <w:top w:val="single" w:sz="4" w:space="0" w:color="auto"/>
              <w:left w:val="single" w:sz="4" w:space="0" w:color="auto"/>
              <w:bottom w:val="single" w:sz="4" w:space="0" w:color="auto"/>
              <w:right w:val="single" w:sz="4" w:space="0" w:color="auto"/>
            </w:tcBorders>
            <w:hideMark/>
          </w:tcPr>
          <w:p w14:paraId="120DD8AA" w14:textId="77777777" w:rsidR="000262D3" w:rsidRPr="000262D3" w:rsidRDefault="000262D3" w:rsidP="000262D3">
            <w:pPr>
              <w:tabs>
                <w:tab w:val="left" w:pos="851"/>
              </w:tabs>
              <w:ind w:left="64"/>
              <w:rPr>
                <w:sz w:val="24"/>
                <w:szCs w:val="24"/>
              </w:rPr>
            </w:pPr>
            <w:r w:rsidRPr="000262D3">
              <w:rPr>
                <w:sz w:val="24"/>
                <w:szCs w:val="24"/>
              </w:rPr>
              <w:t>Almindelig</w:t>
            </w:r>
          </w:p>
        </w:tc>
        <w:tc>
          <w:tcPr>
            <w:tcW w:w="2069" w:type="pct"/>
            <w:tcBorders>
              <w:top w:val="single" w:sz="4" w:space="0" w:color="auto"/>
              <w:left w:val="single" w:sz="4" w:space="0" w:color="auto"/>
              <w:bottom w:val="single" w:sz="4" w:space="0" w:color="auto"/>
              <w:right w:val="single" w:sz="4" w:space="0" w:color="auto"/>
            </w:tcBorders>
            <w:hideMark/>
          </w:tcPr>
          <w:p w14:paraId="383DB1F9" w14:textId="77777777" w:rsidR="000262D3" w:rsidRPr="000262D3" w:rsidRDefault="000262D3" w:rsidP="000262D3">
            <w:pPr>
              <w:tabs>
                <w:tab w:val="left" w:pos="851"/>
              </w:tabs>
              <w:ind w:left="64"/>
              <w:rPr>
                <w:sz w:val="24"/>
                <w:szCs w:val="24"/>
              </w:rPr>
            </w:pPr>
            <w:r w:rsidRPr="000262D3">
              <w:rPr>
                <w:sz w:val="24"/>
                <w:szCs w:val="24"/>
              </w:rPr>
              <w:t>Søvnighed</w:t>
            </w:r>
          </w:p>
          <w:p w14:paraId="31E16A7C" w14:textId="77777777" w:rsidR="000262D3" w:rsidRPr="000262D3" w:rsidRDefault="000262D3" w:rsidP="000262D3">
            <w:pPr>
              <w:tabs>
                <w:tab w:val="left" w:pos="851"/>
              </w:tabs>
              <w:ind w:left="64"/>
              <w:rPr>
                <w:sz w:val="24"/>
                <w:szCs w:val="24"/>
              </w:rPr>
            </w:pPr>
            <w:r w:rsidRPr="000262D3">
              <w:rPr>
                <w:sz w:val="24"/>
                <w:szCs w:val="24"/>
              </w:rPr>
              <w:t>Karpaltunnelsyndrom*</w:t>
            </w:r>
          </w:p>
          <w:p w14:paraId="2FBEE666" w14:textId="227C316D" w:rsidR="000262D3" w:rsidRPr="000262D3" w:rsidRDefault="000262D3" w:rsidP="000262D3">
            <w:pPr>
              <w:tabs>
                <w:tab w:val="left" w:pos="851"/>
              </w:tabs>
              <w:ind w:left="64"/>
              <w:rPr>
                <w:sz w:val="24"/>
                <w:szCs w:val="24"/>
              </w:rPr>
            </w:pPr>
            <w:r w:rsidRPr="000262D3">
              <w:rPr>
                <w:sz w:val="24"/>
                <w:szCs w:val="24"/>
              </w:rPr>
              <w:t>Sensoriske forstyrrelser (inkluderen-de paræstesi, manglende smagssans eller smagsforstyrrelser)</w:t>
            </w:r>
          </w:p>
        </w:tc>
      </w:tr>
      <w:tr w:rsidR="000262D3" w:rsidRPr="000262D3" w14:paraId="0F651442" w14:textId="77777777" w:rsidTr="00926C3C">
        <w:trPr>
          <w:cantSplit/>
        </w:trPr>
        <w:tc>
          <w:tcPr>
            <w:tcW w:w="1571" w:type="pct"/>
            <w:vMerge/>
            <w:tcBorders>
              <w:left w:val="single" w:sz="4" w:space="0" w:color="auto"/>
              <w:bottom w:val="single" w:sz="4" w:space="0" w:color="auto"/>
              <w:right w:val="single" w:sz="4" w:space="0" w:color="auto"/>
            </w:tcBorders>
          </w:tcPr>
          <w:p w14:paraId="24725D6A" w14:textId="77777777" w:rsidR="000262D3" w:rsidRPr="000262D3" w:rsidRDefault="000262D3" w:rsidP="000262D3">
            <w:pPr>
              <w:tabs>
                <w:tab w:val="left" w:pos="851"/>
              </w:tabs>
              <w:ind w:left="64"/>
              <w:rPr>
                <w:sz w:val="24"/>
                <w:szCs w:val="24"/>
              </w:rPr>
            </w:pPr>
          </w:p>
        </w:tc>
        <w:tc>
          <w:tcPr>
            <w:tcW w:w="1360" w:type="pct"/>
            <w:tcBorders>
              <w:top w:val="single" w:sz="4" w:space="0" w:color="auto"/>
              <w:left w:val="single" w:sz="4" w:space="0" w:color="auto"/>
              <w:bottom w:val="single" w:sz="4" w:space="0" w:color="auto"/>
              <w:right w:val="single" w:sz="4" w:space="0" w:color="auto"/>
            </w:tcBorders>
            <w:hideMark/>
          </w:tcPr>
          <w:p w14:paraId="52766BA5" w14:textId="77777777" w:rsidR="000262D3" w:rsidRPr="000262D3" w:rsidRDefault="000262D3" w:rsidP="000262D3">
            <w:pPr>
              <w:tabs>
                <w:tab w:val="left" w:pos="851"/>
              </w:tabs>
              <w:ind w:left="64"/>
              <w:rPr>
                <w:sz w:val="24"/>
                <w:szCs w:val="24"/>
              </w:rPr>
            </w:pPr>
            <w:r w:rsidRPr="000262D3">
              <w:rPr>
                <w:sz w:val="24"/>
                <w:szCs w:val="24"/>
              </w:rPr>
              <w:t>Ikke kendt</w:t>
            </w:r>
          </w:p>
        </w:tc>
        <w:tc>
          <w:tcPr>
            <w:tcW w:w="2069" w:type="pct"/>
            <w:tcBorders>
              <w:top w:val="single" w:sz="4" w:space="0" w:color="auto"/>
              <w:left w:val="single" w:sz="4" w:space="0" w:color="auto"/>
              <w:bottom w:val="single" w:sz="4" w:space="0" w:color="auto"/>
              <w:right w:val="single" w:sz="4" w:space="0" w:color="auto"/>
            </w:tcBorders>
            <w:hideMark/>
          </w:tcPr>
          <w:p w14:paraId="240C855D" w14:textId="77777777" w:rsidR="000262D3" w:rsidRPr="000262D3" w:rsidRDefault="000262D3" w:rsidP="000262D3">
            <w:pPr>
              <w:tabs>
                <w:tab w:val="left" w:pos="851"/>
              </w:tabs>
              <w:ind w:left="64"/>
              <w:rPr>
                <w:sz w:val="24"/>
                <w:szCs w:val="24"/>
              </w:rPr>
            </w:pPr>
            <w:r w:rsidRPr="000262D3">
              <w:rPr>
                <w:sz w:val="24"/>
                <w:szCs w:val="24"/>
              </w:rPr>
              <w:t>Hukommelsessvækkelse</w:t>
            </w:r>
          </w:p>
        </w:tc>
      </w:tr>
      <w:tr w:rsidR="00977942" w:rsidRPr="000262D3" w14:paraId="502DE908" w14:textId="77777777" w:rsidTr="000262D3">
        <w:tc>
          <w:tcPr>
            <w:tcW w:w="1571" w:type="pct"/>
            <w:tcBorders>
              <w:top w:val="single" w:sz="4" w:space="0" w:color="auto"/>
              <w:left w:val="single" w:sz="4" w:space="0" w:color="auto"/>
              <w:bottom w:val="single" w:sz="4" w:space="0" w:color="auto"/>
              <w:right w:val="single" w:sz="4" w:space="0" w:color="auto"/>
            </w:tcBorders>
            <w:hideMark/>
          </w:tcPr>
          <w:p w14:paraId="33C6E8CA" w14:textId="77777777" w:rsidR="00977942" w:rsidRPr="000262D3" w:rsidRDefault="00977942" w:rsidP="000262D3">
            <w:pPr>
              <w:tabs>
                <w:tab w:val="left" w:pos="851"/>
              </w:tabs>
              <w:ind w:left="64"/>
              <w:rPr>
                <w:sz w:val="24"/>
                <w:szCs w:val="24"/>
              </w:rPr>
            </w:pPr>
            <w:r w:rsidRPr="000262D3">
              <w:rPr>
                <w:sz w:val="24"/>
                <w:szCs w:val="24"/>
              </w:rPr>
              <w:t>Øjne</w:t>
            </w:r>
          </w:p>
        </w:tc>
        <w:tc>
          <w:tcPr>
            <w:tcW w:w="1360" w:type="pct"/>
            <w:tcBorders>
              <w:top w:val="single" w:sz="4" w:space="0" w:color="auto"/>
              <w:left w:val="single" w:sz="4" w:space="0" w:color="auto"/>
              <w:bottom w:val="single" w:sz="4" w:space="0" w:color="auto"/>
              <w:right w:val="single" w:sz="4" w:space="0" w:color="auto"/>
            </w:tcBorders>
            <w:hideMark/>
          </w:tcPr>
          <w:p w14:paraId="70DD6BCA" w14:textId="77777777" w:rsidR="00977942" w:rsidRPr="000262D3" w:rsidRDefault="00977942" w:rsidP="000262D3">
            <w:pPr>
              <w:tabs>
                <w:tab w:val="left" w:pos="851"/>
              </w:tabs>
              <w:ind w:left="64"/>
              <w:rPr>
                <w:sz w:val="24"/>
                <w:szCs w:val="24"/>
              </w:rPr>
            </w:pPr>
            <w:r w:rsidRPr="000262D3">
              <w:rPr>
                <w:sz w:val="24"/>
                <w:szCs w:val="24"/>
              </w:rPr>
              <w:t>Ikke kendt</w:t>
            </w:r>
          </w:p>
        </w:tc>
        <w:tc>
          <w:tcPr>
            <w:tcW w:w="2069" w:type="pct"/>
            <w:tcBorders>
              <w:top w:val="single" w:sz="4" w:space="0" w:color="auto"/>
              <w:left w:val="single" w:sz="4" w:space="0" w:color="auto"/>
              <w:bottom w:val="single" w:sz="4" w:space="0" w:color="auto"/>
              <w:right w:val="single" w:sz="4" w:space="0" w:color="auto"/>
            </w:tcBorders>
            <w:hideMark/>
          </w:tcPr>
          <w:p w14:paraId="797D1F7D" w14:textId="77777777" w:rsidR="00977942" w:rsidRPr="000262D3" w:rsidRDefault="00977942" w:rsidP="000262D3">
            <w:pPr>
              <w:tabs>
                <w:tab w:val="left" w:pos="851"/>
              </w:tabs>
              <w:ind w:left="64"/>
              <w:rPr>
                <w:sz w:val="24"/>
                <w:szCs w:val="24"/>
              </w:rPr>
            </w:pPr>
            <w:r w:rsidRPr="000262D3">
              <w:rPr>
                <w:sz w:val="24"/>
                <w:szCs w:val="24"/>
              </w:rPr>
              <w:t>Tørre øjne</w:t>
            </w:r>
          </w:p>
        </w:tc>
      </w:tr>
      <w:tr w:rsidR="00977942" w:rsidRPr="000262D3" w14:paraId="5E378AAA" w14:textId="77777777" w:rsidTr="000262D3">
        <w:tc>
          <w:tcPr>
            <w:tcW w:w="1571" w:type="pct"/>
            <w:tcBorders>
              <w:top w:val="single" w:sz="4" w:space="0" w:color="auto"/>
              <w:left w:val="single" w:sz="4" w:space="0" w:color="auto"/>
              <w:bottom w:val="single" w:sz="4" w:space="0" w:color="auto"/>
              <w:right w:val="single" w:sz="4" w:space="0" w:color="auto"/>
            </w:tcBorders>
          </w:tcPr>
          <w:p w14:paraId="37DA1E81" w14:textId="156D2D78" w:rsidR="00977942" w:rsidRPr="000262D3" w:rsidRDefault="00977942" w:rsidP="000262D3">
            <w:pPr>
              <w:ind w:left="64"/>
              <w:rPr>
                <w:sz w:val="24"/>
                <w:szCs w:val="24"/>
              </w:rPr>
            </w:pPr>
            <w:r w:rsidRPr="000262D3">
              <w:rPr>
                <w:sz w:val="24"/>
                <w:szCs w:val="24"/>
              </w:rPr>
              <w:t>Vaskulære sygdomme</w:t>
            </w:r>
          </w:p>
        </w:tc>
        <w:tc>
          <w:tcPr>
            <w:tcW w:w="1360" w:type="pct"/>
            <w:tcBorders>
              <w:top w:val="single" w:sz="4" w:space="0" w:color="auto"/>
              <w:left w:val="single" w:sz="4" w:space="0" w:color="auto"/>
              <w:bottom w:val="single" w:sz="4" w:space="0" w:color="auto"/>
              <w:right w:val="single" w:sz="4" w:space="0" w:color="auto"/>
            </w:tcBorders>
            <w:hideMark/>
          </w:tcPr>
          <w:p w14:paraId="45D10C29" w14:textId="77777777" w:rsidR="00977942" w:rsidRPr="000262D3" w:rsidRDefault="00977942" w:rsidP="000262D3">
            <w:pPr>
              <w:ind w:left="64"/>
              <w:rPr>
                <w:sz w:val="24"/>
                <w:szCs w:val="24"/>
              </w:rPr>
            </w:pPr>
            <w:r w:rsidRPr="000262D3">
              <w:rPr>
                <w:sz w:val="24"/>
                <w:szCs w:val="24"/>
              </w:rPr>
              <w:t>Meget almindelig</w:t>
            </w:r>
          </w:p>
        </w:tc>
        <w:tc>
          <w:tcPr>
            <w:tcW w:w="2069" w:type="pct"/>
            <w:tcBorders>
              <w:top w:val="single" w:sz="4" w:space="0" w:color="auto"/>
              <w:left w:val="single" w:sz="4" w:space="0" w:color="auto"/>
              <w:bottom w:val="single" w:sz="4" w:space="0" w:color="auto"/>
              <w:right w:val="single" w:sz="4" w:space="0" w:color="auto"/>
            </w:tcBorders>
            <w:hideMark/>
          </w:tcPr>
          <w:p w14:paraId="7FCC5DCD" w14:textId="77777777" w:rsidR="00977942" w:rsidRPr="000262D3" w:rsidRDefault="00977942" w:rsidP="000262D3">
            <w:pPr>
              <w:ind w:left="64"/>
              <w:rPr>
                <w:sz w:val="24"/>
                <w:szCs w:val="24"/>
              </w:rPr>
            </w:pPr>
            <w:r w:rsidRPr="000262D3">
              <w:rPr>
                <w:sz w:val="24"/>
                <w:szCs w:val="24"/>
              </w:rPr>
              <w:t>Hedeture</w:t>
            </w:r>
          </w:p>
        </w:tc>
      </w:tr>
      <w:tr w:rsidR="00977942" w:rsidRPr="000262D3" w14:paraId="43A30C6B" w14:textId="77777777" w:rsidTr="000262D3">
        <w:trPr>
          <w:cantSplit/>
        </w:trPr>
        <w:tc>
          <w:tcPr>
            <w:tcW w:w="1571" w:type="pct"/>
            <w:vMerge w:val="restart"/>
            <w:tcBorders>
              <w:top w:val="single" w:sz="4" w:space="0" w:color="auto"/>
              <w:left w:val="single" w:sz="4" w:space="0" w:color="auto"/>
              <w:bottom w:val="single" w:sz="4" w:space="0" w:color="auto"/>
              <w:right w:val="single" w:sz="4" w:space="0" w:color="auto"/>
            </w:tcBorders>
            <w:hideMark/>
          </w:tcPr>
          <w:p w14:paraId="13CF8C14" w14:textId="2AC75F64" w:rsidR="00977942" w:rsidRPr="000262D3" w:rsidRDefault="00977942" w:rsidP="000262D3">
            <w:pPr>
              <w:ind w:left="64"/>
              <w:rPr>
                <w:sz w:val="24"/>
                <w:szCs w:val="24"/>
              </w:rPr>
            </w:pPr>
            <w:r w:rsidRPr="000262D3">
              <w:rPr>
                <w:sz w:val="24"/>
                <w:szCs w:val="24"/>
              </w:rPr>
              <w:t>Mave-tarm-kanalen</w:t>
            </w:r>
          </w:p>
        </w:tc>
        <w:tc>
          <w:tcPr>
            <w:tcW w:w="1360" w:type="pct"/>
            <w:tcBorders>
              <w:top w:val="single" w:sz="4" w:space="0" w:color="auto"/>
              <w:left w:val="single" w:sz="4" w:space="0" w:color="auto"/>
              <w:bottom w:val="single" w:sz="4" w:space="0" w:color="auto"/>
              <w:right w:val="single" w:sz="4" w:space="0" w:color="auto"/>
            </w:tcBorders>
            <w:hideMark/>
          </w:tcPr>
          <w:p w14:paraId="1C3D9975" w14:textId="77777777" w:rsidR="00977942" w:rsidRPr="000262D3" w:rsidRDefault="00977942" w:rsidP="000262D3">
            <w:pPr>
              <w:ind w:left="64"/>
              <w:rPr>
                <w:sz w:val="24"/>
                <w:szCs w:val="24"/>
              </w:rPr>
            </w:pPr>
            <w:r w:rsidRPr="000262D3">
              <w:rPr>
                <w:sz w:val="24"/>
                <w:szCs w:val="24"/>
              </w:rPr>
              <w:t>Meget almindelig</w:t>
            </w:r>
          </w:p>
        </w:tc>
        <w:tc>
          <w:tcPr>
            <w:tcW w:w="2069" w:type="pct"/>
            <w:tcBorders>
              <w:top w:val="single" w:sz="4" w:space="0" w:color="auto"/>
              <w:left w:val="single" w:sz="4" w:space="0" w:color="auto"/>
              <w:bottom w:val="single" w:sz="4" w:space="0" w:color="auto"/>
              <w:right w:val="single" w:sz="4" w:space="0" w:color="auto"/>
            </w:tcBorders>
            <w:hideMark/>
          </w:tcPr>
          <w:p w14:paraId="0234EE35" w14:textId="77777777" w:rsidR="00977942" w:rsidRPr="000262D3" w:rsidRDefault="00977942" w:rsidP="000262D3">
            <w:pPr>
              <w:ind w:left="64"/>
              <w:rPr>
                <w:sz w:val="24"/>
                <w:szCs w:val="24"/>
              </w:rPr>
            </w:pPr>
            <w:r w:rsidRPr="000262D3">
              <w:rPr>
                <w:sz w:val="24"/>
                <w:szCs w:val="24"/>
              </w:rPr>
              <w:t>Kvalme</w:t>
            </w:r>
          </w:p>
        </w:tc>
      </w:tr>
      <w:tr w:rsidR="00977942" w:rsidRPr="000262D3" w14:paraId="594F4B52" w14:textId="77777777" w:rsidTr="000262D3">
        <w:trPr>
          <w:cantSplit/>
          <w:trHeight w:val="715"/>
        </w:trPr>
        <w:tc>
          <w:tcPr>
            <w:tcW w:w="1571" w:type="pct"/>
            <w:vMerge/>
            <w:tcBorders>
              <w:top w:val="single" w:sz="4" w:space="0" w:color="auto"/>
              <w:left w:val="single" w:sz="4" w:space="0" w:color="auto"/>
              <w:bottom w:val="single" w:sz="4" w:space="0" w:color="auto"/>
              <w:right w:val="single" w:sz="4" w:space="0" w:color="auto"/>
            </w:tcBorders>
            <w:vAlign w:val="center"/>
            <w:hideMark/>
          </w:tcPr>
          <w:p w14:paraId="6120424F" w14:textId="77777777" w:rsidR="00977942" w:rsidRPr="000262D3" w:rsidRDefault="00977942" w:rsidP="000262D3">
            <w:pPr>
              <w:ind w:left="64"/>
              <w:rPr>
                <w:sz w:val="24"/>
                <w:szCs w:val="24"/>
              </w:rPr>
            </w:pPr>
          </w:p>
        </w:tc>
        <w:tc>
          <w:tcPr>
            <w:tcW w:w="1360" w:type="pct"/>
            <w:tcBorders>
              <w:top w:val="single" w:sz="4" w:space="0" w:color="auto"/>
              <w:left w:val="single" w:sz="4" w:space="0" w:color="auto"/>
              <w:bottom w:val="single" w:sz="4" w:space="0" w:color="auto"/>
              <w:right w:val="single" w:sz="4" w:space="0" w:color="auto"/>
            </w:tcBorders>
            <w:hideMark/>
          </w:tcPr>
          <w:p w14:paraId="2D9CAE96" w14:textId="77777777" w:rsidR="00977942" w:rsidRPr="000262D3" w:rsidRDefault="00977942" w:rsidP="000262D3">
            <w:pPr>
              <w:ind w:left="64"/>
              <w:rPr>
                <w:sz w:val="24"/>
                <w:szCs w:val="24"/>
              </w:rPr>
            </w:pPr>
            <w:r w:rsidRPr="000262D3">
              <w:rPr>
                <w:sz w:val="24"/>
                <w:szCs w:val="24"/>
              </w:rPr>
              <w:t>Almindelig</w:t>
            </w:r>
          </w:p>
        </w:tc>
        <w:tc>
          <w:tcPr>
            <w:tcW w:w="2069" w:type="pct"/>
            <w:tcBorders>
              <w:top w:val="single" w:sz="4" w:space="0" w:color="auto"/>
              <w:left w:val="single" w:sz="4" w:space="0" w:color="auto"/>
              <w:bottom w:val="single" w:sz="4" w:space="0" w:color="auto"/>
              <w:right w:val="single" w:sz="4" w:space="0" w:color="auto"/>
            </w:tcBorders>
            <w:hideMark/>
          </w:tcPr>
          <w:p w14:paraId="6EE27AD2" w14:textId="77777777" w:rsidR="00977942" w:rsidRPr="000262D3" w:rsidRDefault="00977942" w:rsidP="000262D3">
            <w:pPr>
              <w:ind w:left="64"/>
              <w:rPr>
                <w:sz w:val="24"/>
                <w:szCs w:val="24"/>
              </w:rPr>
            </w:pPr>
            <w:r w:rsidRPr="000262D3">
              <w:rPr>
                <w:sz w:val="24"/>
                <w:szCs w:val="24"/>
              </w:rPr>
              <w:t>Diarré</w:t>
            </w:r>
          </w:p>
          <w:p w14:paraId="018EAB53" w14:textId="77777777" w:rsidR="00977942" w:rsidRPr="000262D3" w:rsidRDefault="00977942" w:rsidP="000262D3">
            <w:pPr>
              <w:ind w:left="64"/>
              <w:rPr>
                <w:sz w:val="24"/>
                <w:szCs w:val="24"/>
              </w:rPr>
            </w:pPr>
            <w:r w:rsidRPr="000262D3">
              <w:rPr>
                <w:sz w:val="24"/>
                <w:szCs w:val="24"/>
              </w:rPr>
              <w:t>Opkastning</w:t>
            </w:r>
          </w:p>
        </w:tc>
      </w:tr>
      <w:tr w:rsidR="00977942" w:rsidRPr="000262D3" w14:paraId="136F5B38" w14:textId="77777777" w:rsidTr="000262D3">
        <w:trPr>
          <w:cantSplit/>
        </w:trPr>
        <w:tc>
          <w:tcPr>
            <w:tcW w:w="1571" w:type="pct"/>
            <w:vMerge w:val="restart"/>
            <w:tcBorders>
              <w:top w:val="single" w:sz="4" w:space="0" w:color="auto"/>
              <w:left w:val="single" w:sz="4" w:space="0" w:color="auto"/>
              <w:bottom w:val="single" w:sz="4" w:space="0" w:color="auto"/>
              <w:right w:val="single" w:sz="4" w:space="0" w:color="auto"/>
            </w:tcBorders>
            <w:hideMark/>
          </w:tcPr>
          <w:p w14:paraId="52095D29" w14:textId="77777777" w:rsidR="00977942" w:rsidRPr="000262D3" w:rsidRDefault="00977942" w:rsidP="000262D3">
            <w:pPr>
              <w:ind w:left="64"/>
              <w:rPr>
                <w:sz w:val="24"/>
                <w:szCs w:val="24"/>
              </w:rPr>
            </w:pPr>
            <w:r w:rsidRPr="000262D3">
              <w:rPr>
                <w:sz w:val="24"/>
                <w:szCs w:val="24"/>
              </w:rPr>
              <w:t>Lever og galdeveje</w:t>
            </w:r>
          </w:p>
        </w:tc>
        <w:tc>
          <w:tcPr>
            <w:tcW w:w="1360" w:type="pct"/>
            <w:tcBorders>
              <w:top w:val="single" w:sz="4" w:space="0" w:color="auto"/>
              <w:left w:val="single" w:sz="4" w:space="0" w:color="auto"/>
              <w:bottom w:val="single" w:sz="4" w:space="0" w:color="auto"/>
              <w:right w:val="single" w:sz="4" w:space="0" w:color="auto"/>
            </w:tcBorders>
            <w:hideMark/>
          </w:tcPr>
          <w:p w14:paraId="4C47C111" w14:textId="77777777" w:rsidR="00977942" w:rsidRPr="000262D3" w:rsidRDefault="00977942" w:rsidP="000262D3">
            <w:pPr>
              <w:ind w:left="64"/>
              <w:rPr>
                <w:sz w:val="24"/>
                <w:szCs w:val="24"/>
              </w:rPr>
            </w:pPr>
            <w:r w:rsidRPr="000262D3">
              <w:rPr>
                <w:sz w:val="24"/>
                <w:szCs w:val="24"/>
              </w:rPr>
              <w:t>Almindelig</w:t>
            </w:r>
          </w:p>
        </w:tc>
        <w:tc>
          <w:tcPr>
            <w:tcW w:w="2069" w:type="pct"/>
            <w:tcBorders>
              <w:top w:val="single" w:sz="4" w:space="0" w:color="auto"/>
              <w:left w:val="single" w:sz="4" w:space="0" w:color="auto"/>
              <w:bottom w:val="single" w:sz="4" w:space="0" w:color="auto"/>
              <w:right w:val="single" w:sz="4" w:space="0" w:color="auto"/>
            </w:tcBorders>
            <w:hideMark/>
          </w:tcPr>
          <w:p w14:paraId="77C6747A" w14:textId="77777777" w:rsidR="00977942" w:rsidRPr="000262D3" w:rsidRDefault="00977942" w:rsidP="000262D3">
            <w:pPr>
              <w:ind w:left="64"/>
              <w:rPr>
                <w:sz w:val="24"/>
                <w:szCs w:val="24"/>
              </w:rPr>
            </w:pPr>
            <w:r w:rsidRPr="000262D3">
              <w:rPr>
                <w:sz w:val="24"/>
                <w:szCs w:val="24"/>
              </w:rPr>
              <w:t>Stigning i alkalisk fosfatase, alanin-aminotransferase og aspartat-aminotransferase</w:t>
            </w:r>
          </w:p>
        </w:tc>
      </w:tr>
      <w:tr w:rsidR="00977942" w:rsidRPr="000262D3" w14:paraId="2406558B" w14:textId="77777777" w:rsidTr="000262D3">
        <w:trPr>
          <w:cantSplit/>
        </w:trPr>
        <w:tc>
          <w:tcPr>
            <w:tcW w:w="1571" w:type="pct"/>
            <w:vMerge/>
            <w:tcBorders>
              <w:top w:val="single" w:sz="4" w:space="0" w:color="auto"/>
              <w:left w:val="single" w:sz="4" w:space="0" w:color="auto"/>
              <w:bottom w:val="single" w:sz="4" w:space="0" w:color="auto"/>
              <w:right w:val="single" w:sz="4" w:space="0" w:color="auto"/>
            </w:tcBorders>
            <w:vAlign w:val="center"/>
            <w:hideMark/>
          </w:tcPr>
          <w:p w14:paraId="320B203A" w14:textId="77777777" w:rsidR="00977942" w:rsidRPr="000262D3" w:rsidRDefault="00977942" w:rsidP="000262D3">
            <w:pPr>
              <w:ind w:left="64"/>
              <w:rPr>
                <w:sz w:val="24"/>
                <w:szCs w:val="24"/>
              </w:rPr>
            </w:pPr>
          </w:p>
        </w:tc>
        <w:tc>
          <w:tcPr>
            <w:tcW w:w="1360" w:type="pct"/>
            <w:tcBorders>
              <w:top w:val="single" w:sz="4" w:space="0" w:color="auto"/>
              <w:left w:val="single" w:sz="4" w:space="0" w:color="auto"/>
              <w:bottom w:val="single" w:sz="4" w:space="0" w:color="auto"/>
              <w:right w:val="single" w:sz="4" w:space="0" w:color="auto"/>
            </w:tcBorders>
            <w:hideMark/>
          </w:tcPr>
          <w:p w14:paraId="6FE02357" w14:textId="77777777" w:rsidR="00977942" w:rsidRPr="000262D3" w:rsidRDefault="00977942" w:rsidP="000262D3">
            <w:pPr>
              <w:ind w:left="64"/>
              <w:rPr>
                <w:sz w:val="24"/>
                <w:szCs w:val="24"/>
              </w:rPr>
            </w:pPr>
            <w:r w:rsidRPr="000262D3">
              <w:rPr>
                <w:sz w:val="24"/>
                <w:szCs w:val="24"/>
              </w:rPr>
              <w:t>Ikke almindelig</w:t>
            </w:r>
          </w:p>
        </w:tc>
        <w:tc>
          <w:tcPr>
            <w:tcW w:w="2069" w:type="pct"/>
            <w:tcBorders>
              <w:top w:val="single" w:sz="4" w:space="0" w:color="auto"/>
              <w:left w:val="single" w:sz="4" w:space="0" w:color="auto"/>
              <w:bottom w:val="single" w:sz="4" w:space="0" w:color="auto"/>
              <w:right w:val="single" w:sz="4" w:space="0" w:color="auto"/>
            </w:tcBorders>
            <w:hideMark/>
          </w:tcPr>
          <w:p w14:paraId="04B8AB62" w14:textId="77777777" w:rsidR="00977942" w:rsidRPr="000262D3" w:rsidRDefault="00977942" w:rsidP="000262D3">
            <w:pPr>
              <w:ind w:left="64"/>
              <w:rPr>
                <w:sz w:val="24"/>
                <w:szCs w:val="24"/>
              </w:rPr>
            </w:pPr>
            <w:r w:rsidRPr="000262D3">
              <w:rPr>
                <w:sz w:val="24"/>
                <w:szCs w:val="24"/>
              </w:rPr>
              <w:t>Stigning i gamma-GT og bilirubin</w:t>
            </w:r>
          </w:p>
          <w:p w14:paraId="3B937BEF" w14:textId="77777777" w:rsidR="00977942" w:rsidRPr="000262D3" w:rsidRDefault="00977942" w:rsidP="000262D3">
            <w:pPr>
              <w:ind w:left="64"/>
              <w:rPr>
                <w:sz w:val="24"/>
                <w:szCs w:val="24"/>
              </w:rPr>
            </w:pPr>
            <w:r w:rsidRPr="000262D3">
              <w:rPr>
                <w:sz w:val="24"/>
                <w:szCs w:val="24"/>
              </w:rPr>
              <w:t>Hepatitis</w:t>
            </w:r>
          </w:p>
        </w:tc>
      </w:tr>
      <w:tr w:rsidR="00977942" w:rsidRPr="000262D3" w14:paraId="2548A332" w14:textId="77777777" w:rsidTr="000262D3">
        <w:trPr>
          <w:cantSplit/>
        </w:trPr>
        <w:tc>
          <w:tcPr>
            <w:tcW w:w="1571" w:type="pct"/>
            <w:vMerge w:val="restart"/>
            <w:tcBorders>
              <w:top w:val="single" w:sz="4" w:space="0" w:color="auto"/>
              <w:left w:val="single" w:sz="4" w:space="0" w:color="auto"/>
              <w:bottom w:val="single" w:sz="4" w:space="0" w:color="auto"/>
              <w:right w:val="single" w:sz="4" w:space="0" w:color="auto"/>
            </w:tcBorders>
            <w:hideMark/>
          </w:tcPr>
          <w:p w14:paraId="220C878B" w14:textId="77777777" w:rsidR="00977942" w:rsidRPr="000262D3" w:rsidRDefault="00977942" w:rsidP="000262D3">
            <w:pPr>
              <w:ind w:left="64"/>
              <w:rPr>
                <w:sz w:val="24"/>
                <w:szCs w:val="24"/>
              </w:rPr>
            </w:pPr>
            <w:r w:rsidRPr="000262D3">
              <w:rPr>
                <w:sz w:val="24"/>
                <w:szCs w:val="24"/>
              </w:rPr>
              <w:t>Hud og subkutane væv</w:t>
            </w:r>
          </w:p>
        </w:tc>
        <w:tc>
          <w:tcPr>
            <w:tcW w:w="1360" w:type="pct"/>
            <w:tcBorders>
              <w:top w:val="single" w:sz="4" w:space="0" w:color="auto"/>
              <w:left w:val="single" w:sz="4" w:space="0" w:color="auto"/>
              <w:bottom w:val="single" w:sz="4" w:space="0" w:color="auto"/>
              <w:right w:val="single" w:sz="4" w:space="0" w:color="auto"/>
            </w:tcBorders>
            <w:hideMark/>
          </w:tcPr>
          <w:p w14:paraId="55B8B55D" w14:textId="77777777" w:rsidR="00977942" w:rsidRPr="000262D3" w:rsidRDefault="00977942" w:rsidP="000262D3">
            <w:pPr>
              <w:ind w:left="64"/>
              <w:rPr>
                <w:sz w:val="24"/>
                <w:szCs w:val="24"/>
              </w:rPr>
            </w:pPr>
            <w:r w:rsidRPr="000262D3">
              <w:rPr>
                <w:sz w:val="24"/>
                <w:szCs w:val="24"/>
              </w:rPr>
              <w:t>Meget almindelig</w:t>
            </w:r>
          </w:p>
        </w:tc>
        <w:tc>
          <w:tcPr>
            <w:tcW w:w="2069" w:type="pct"/>
            <w:tcBorders>
              <w:top w:val="single" w:sz="4" w:space="0" w:color="auto"/>
              <w:left w:val="single" w:sz="4" w:space="0" w:color="auto"/>
              <w:bottom w:val="single" w:sz="4" w:space="0" w:color="auto"/>
              <w:right w:val="single" w:sz="4" w:space="0" w:color="auto"/>
            </w:tcBorders>
            <w:hideMark/>
          </w:tcPr>
          <w:p w14:paraId="2A1290C5" w14:textId="77777777" w:rsidR="00977942" w:rsidRPr="000262D3" w:rsidRDefault="00977942" w:rsidP="000262D3">
            <w:pPr>
              <w:ind w:left="64"/>
              <w:rPr>
                <w:sz w:val="24"/>
                <w:szCs w:val="24"/>
              </w:rPr>
            </w:pPr>
            <w:r w:rsidRPr="000262D3">
              <w:rPr>
                <w:sz w:val="24"/>
                <w:szCs w:val="24"/>
              </w:rPr>
              <w:t>Kløe</w:t>
            </w:r>
          </w:p>
        </w:tc>
      </w:tr>
      <w:tr w:rsidR="00977942" w:rsidRPr="000262D3" w14:paraId="2699D231" w14:textId="77777777" w:rsidTr="000262D3">
        <w:trPr>
          <w:cantSplit/>
        </w:trPr>
        <w:tc>
          <w:tcPr>
            <w:tcW w:w="1571" w:type="pct"/>
            <w:vMerge/>
            <w:tcBorders>
              <w:top w:val="single" w:sz="4" w:space="0" w:color="auto"/>
              <w:left w:val="single" w:sz="4" w:space="0" w:color="auto"/>
              <w:bottom w:val="single" w:sz="4" w:space="0" w:color="auto"/>
              <w:right w:val="single" w:sz="4" w:space="0" w:color="auto"/>
            </w:tcBorders>
            <w:vAlign w:val="center"/>
            <w:hideMark/>
          </w:tcPr>
          <w:p w14:paraId="6EA96F88" w14:textId="77777777" w:rsidR="00977942" w:rsidRPr="000262D3" w:rsidRDefault="00977942" w:rsidP="000262D3">
            <w:pPr>
              <w:ind w:left="64"/>
              <w:rPr>
                <w:sz w:val="24"/>
                <w:szCs w:val="24"/>
              </w:rPr>
            </w:pPr>
          </w:p>
        </w:tc>
        <w:tc>
          <w:tcPr>
            <w:tcW w:w="1360" w:type="pct"/>
            <w:tcBorders>
              <w:top w:val="single" w:sz="4" w:space="0" w:color="auto"/>
              <w:left w:val="single" w:sz="4" w:space="0" w:color="auto"/>
              <w:bottom w:val="single" w:sz="4" w:space="0" w:color="auto"/>
              <w:right w:val="single" w:sz="4" w:space="0" w:color="auto"/>
            </w:tcBorders>
            <w:hideMark/>
          </w:tcPr>
          <w:p w14:paraId="7528A159" w14:textId="77777777" w:rsidR="00977942" w:rsidRPr="000262D3" w:rsidRDefault="00977942" w:rsidP="000262D3">
            <w:pPr>
              <w:ind w:left="64"/>
              <w:rPr>
                <w:sz w:val="24"/>
                <w:szCs w:val="24"/>
              </w:rPr>
            </w:pPr>
            <w:r w:rsidRPr="000262D3">
              <w:rPr>
                <w:sz w:val="24"/>
                <w:szCs w:val="24"/>
              </w:rPr>
              <w:t>Almindelig</w:t>
            </w:r>
          </w:p>
        </w:tc>
        <w:tc>
          <w:tcPr>
            <w:tcW w:w="2069" w:type="pct"/>
            <w:tcBorders>
              <w:top w:val="single" w:sz="4" w:space="0" w:color="auto"/>
              <w:left w:val="single" w:sz="4" w:space="0" w:color="auto"/>
              <w:bottom w:val="single" w:sz="4" w:space="0" w:color="auto"/>
              <w:right w:val="single" w:sz="4" w:space="0" w:color="auto"/>
            </w:tcBorders>
            <w:hideMark/>
          </w:tcPr>
          <w:p w14:paraId="32C2D7BB" w14:textId="77777777" w:rsidR="00977942" w:rsidRPr="000262D3" w:rsidRDefault="00977942" w:rsidP="000262D3">
            <w:pPr>
              <w:ind w:left="64"/>
              <w:rPr>
                <w:sz w:val="24"/>
                <w:szCs w:val="24"/>
              </w:rPr>
            </w:pPr>
            <w:r w:rsidRPr="000262D3">
              <w:rPr>
                <w:sz w:val="24"/>
                <w:szCs w:val="24"/>
              </w:rPr>
              <w:t>Hårudtynding (alopeci)</w:t>
            </w:r>
          </w:p>
          <w:p w14:paraId="77DAF945" w14:textId="77777777" w:rsidR="00977942" w:rsidRPr="000262D3" w:rsidRDefault="00977942" w:rsidP="000262D3">
            <w:pPr>
              <w:ind w:left="64"/>
              <w:rPr>
                <w:sz w:val="24"/>
                <w:szCs w:val="24"/>
              </w:rPr>
            </w:pPr>
            <w:r w:rsidRPr="000262D3">
              <w:rPr>
                <w:sz w:val="24"/>
                <w:szCs w:val="24"/>
              </w:rPr>
              <w:t>Allergiske reaktioner</w:t>
            </w:r>
          </w:p>
        </w:tc>
      </w:tr>
      <w:tr w:rsidR="00977942" w:rsidRPr="000262D3" w14:paraId="3A74AC67" w14:textId="77777777" w:rsidTr="000262D3">
        <w:trPr>
          <w:cantSplit/>
        </w:trPr>
        <w:tc>
          <w:tcPr>
            <w:tcW w:w="1571" w:type="pct"/>
            <w:vMerge/>
            <w:tcBorders>
              <w:top w:val="single" w:sz="4" w:space="0" w:color="auto"/>
              <w:left w:val="single" w:sz="4" w:space="0" w:color="auto"/>
              <w:bottom w:val="single" w:sz="4" w:space="0" w:color="auto"/>
              <w:right w:val="single" w:sz="4" w:space="0" w:color="auto"/>
            </w:tcBorders>
            <w:vAlign w:val="center"/>
            <w:hideMark/>
          </w:tcPr>
          <w:p w14:paraId="76215AAB" w14:textId="77777777" w:rsidR="00977942" w:rsidRPr="000262D3" w:rsidRDefault="00977942" w:rsidP="000262D3">
            <w:pPr>
              <w:ind w:left="64"/>
              <w:rPr>
                <w:sz w:val="24"/>
                <w:szCs w:val="24"/>
              </w:rPr>
            </w:pPr>
          </w:p>
        </w:tc>
        <w:tc>
          <w:tcPr>
            <w:tcW w:w="1360" w:type="pct"/>
            <w:tcBorders>
              <w:top w:val="single" w:sz="4" w:space="0" w:color="auto"/>
              <w:left w:val="single" w:sz="4" w:space="0" w:color="auto"/>
              <w:bottom w:val="single" w:sz="4" w:space="0" w:color="auto"/>
              <w:right w:val="single" w:sz="4" w:space="0" w:color="auto"/>
            </w:tcBorders>
            <w:hideMark/>
          </w:tcPr>
          <w:p w14:paraId="78A04D26" w14:textId="77777777" w:rsidR="00977942" w:rsidRPr="000262D3" w:rsidRDefault="00977942" w:rsidP="000262D3">
            <w:pPr>
              <w:ind w:left="64"/>
              <w:rPr>
                <w:sz w:val="24"/>
                <w:szCs w:val="24"/>
              </w:rPr>
            </w:pPr>
            <w:r w:rsidRPr="000262D3">
              <w:rPr>
                <w:sz w:val="24"/>
                <w:szCs w:val="24"/>
              </w:rPr>
              <w:t>Ikke almindelig</w:t>
            </w:r>
          </w:p>
        </w:tc>
        <w:tc>
          <w:tcPr>
            <w:tcW w:w="2069" w:type="pct"/>
            <w:tcBorders>
              <w:top w:val="single" w:sz="4" w:space="0" w:color="auto"/>
              <w:left w:val="single" w:sz="4" w:space="0" w:color="auto"/>
              <w:bottom w:val="single" w:sz="4" w:space="0" w:color="auto"/>
              <w:right w:val="single" w:sz="4" w:space="0" w:color="auto"/>
            </w:tcBorders>
            <w:hideMark/>
          </w:tcPr>
          <w:p w14:paraId="38BCB4E6" w14:textId="77777777" w:rsidR="00977942" w:rsidRPr="000262D3" w:rsidRDefault="00977942" w:rsidP="000262D3">
            <w:pPr>
              <w:ind w:left="64"/>
              <w:rPr>
                <w:sz w:val="24"/>
                <w:szCs w:val="24"/>
              </w:rPr>
            </w:pPr>
            <w:r w:rsidRPr="000262D3">
              <w:rPr>
                <w:sz w:val="24"/>
                <w:szCs w:val="24"/>
              </w:rPr>
              <w:t>Urticaria</w:t>
            </w:r>
          </w:p>
        </w:tc>
      </w:tr>
      <w:tr w:rsidR="00977942" w:rsidRPr="000262D3" w14:paraId="3C59BC93" w14:textId="77777777" w:rsidTr="000262D3">
        <w:trPr>
          <w:cantSplit/>
        </w:trPr>
        <w:tc>
          <w:tcPr>
            <w:tcW w:w="1571" w:type="pct"/>
            <w:vMerge/>
            <w:tcBorders>
              <w:top w:val="single" w:sz="4" w:space="0" w:color="auto"/>
              <w:left w:val="single" w:sz="4" w:space="0" w:color="auto"/>
              <w:bottom w:val="single" w:sz="4" w:space="0" w:color="auto"/>
              <w:right w:val="single" w:sz="4" w:space="0" w:color="auto"/>
            </w:tcBorders>
            <w:vAlign w:val="center"/>
            <w:hideMark/>
          </w:tcPr>
          <w:p w14:paraId="2906C4E2" w14:textId="77777777" w:rsidR="00977942" w:rsidRPr="000262D3" w:rsidRDefault="00977942" w:rsidP="000262D3">
            <w:pPr>
              <w:ind w:left="64"/>
              <w:rPr>
                <w:sz w:val="24"/>
                <w:szCs w:val="24"/>
              </w:rPr>
            </w:pPr>
          </w:p>
        </w:tc>
        <w:tc>
          <w:tcPr>
            <w:tcW w:w="1360" w:type="pct"/>
            <w:tcBorders>
              <w:top w:val="single" w:sz="4" w:space="0" w:color="auto"/>
              <w:left w:val="single" w:sz="4" w:space="0" w:color="auto"/>
              <w:bottom w:val="single" w:sz="4" w:space="0" w:color="auto"/>
              <w:right w:val="single" w:sz="4" w:space="0" w:color="auto"/>
            </w:tcBorders>
            <w:hideMark/>
          </w:tcPr>
          <w:p w14:paraId="03BBE74D" w14:textId="77777777" w:rsidR="00977942" w:rsidRPr="000262D3" w:rsidRDefault="00977942" w:rsidP="000262D3">
            <w:pPr>
              <w:ind w:left="64"/>
              <w:rPr>
                <w:sz w:val="24"/>
                <w:szCs w:val="24"/>
              </w:rPr>
            </w:pPr>
            <w:r w:rsidRPr="000262D3">
              <w:rPr>
                <w:sz w:val="24"/>
                <w:szCs w:val="24"/>
              </w:rPr>
              <w:t>Sjælden</w:t>
            </w:r>
          </w:p>
        </w:tc>
        <w:tc>
          <w:tcPr>
            <w:tcW w:w="2069" w:type="pct"/>
            <w:tcBorders>
              <w:top w:val="single" w:sz="4" w:space="0" w:color="auto"/>
              <w:left w:val="single" w:sz="4" w:space="0" w:color="auto"/>
              <w:bottom w:val="single" w:sz="4" w:space="0" w:color="auto"/>
              <w:right w:val="single" w:sz="4" w:space="0" w:color="auto"/>
            </w:tcBorders>
            <w:hideMark/>
          </w:tcPr>
          <w:p w14:paraId="5AA5163D" w14:textId="77777777" w:rsidR="00977942" w:rsidRPr="000262D3" w:rsidRDefault="00977942" w:rsidP="000262D3">
            <w:pPr>
              <w:ind w:left="64"/>
              <w:rPr>
                <w:sz w:val="24"/>
                <w:szCs w:val="24"/>
              </w:rPr>
            </w:pPr>
            <w:r w:rsidRPr="000262D3">
              <w:rPr>
                <w:sz w:val="24"/>
                <w:szCs w:val="24"/>
              </w:rPr>
              <w:t>Erythema multiforme</w:t>
            </w:r>
          </w:p>
          <w:p w14:paraId="0A5314E1" w14:textId="77777777" w:rsidR="00977942" w:rsidRPr="000262D3" w:rsidRDefault="00977942" w:rsidP="000262D3">
            <w:pPr>
              <w:ind w:left="64"/>
              <w:rPr>
                <w:sz w:val="24"/>
                <w:szCs w:val="24"/>
              </w:rPr>
            </w:pPr>
            <w:r w:rsidRPr="000262D3">
              <w:rPr>
                <w:sz w:val="24"/>
                <w:szCs w:val="24"/>
              </w:rPr>
              <w:t xml:space="preserve">Anafylaktoid reaktion </w:t>
            </w:r>
          </w:p>
          <w:p w14:paraId="3054B2BD" w14:textId="77777777" w:rsidR="00977942" w:rsidRPr="000262D3" w:rsidRDefault="00977942" w:rsidP="000262D3">
            <w:pPr>
              <w:ind w:left="64"/>
              <w:rPr>
                <w:sz w:val="24"/>
                <w:szCs w:val="24"/>
              </w:rPr>
            </w:pPr>
            <w:r w:rsidRPr="000262D3">
              <w:rPr>
                <w:sz w:val="24"/>
                <w:szCs w:val="24"/>
              </w:rPr>
              <w:t xml:space="preserve">Kutan vaskulitis (inklusive enkelte rapporteringer om Schönlein-Henoch </w:t>
            </w:r>
            <w:proofErr w:type="gramStart"/>
            <w:r w:rsidRPr="000262D3">
              <w:rPr>
                <w:sz w:val="24"/>
                <w:szCs w:val="24"/>
              </w:rPr>
              <w:t>purpura)*</w:t>
            </w:r>
            <w:proofErr w:type="gramEnd"/>
            <w:r w:rsidRPr="000262D3">
              <w:rPr>
                <w:sz w:val="24"/>
                <w:szCs w:val="24"/>
              </w:rPr>
              <w:t>*</w:t>
            </w:r>
          </w:p>
        </w:tc>
      </w:tr>
      <w:tr w:rsidR="00977942" w:rsidRPr="000262D3" w14:paraId="26D71BE1" w14:textId="77777777" w:rsidTr="000262D3">
        <w:trPr>
          <w:cantSplit/>
        </w:trPr>
        <w:tc>
          <w:tcPr>
            <w:tcW w:w="1571" w:type="pct"/>
            <w:vMerge/>
            <w:tcBorders>
              <w:top w:val="single" w:sz="4" w:space="0" w:color="auto"/>
              <w:left w:val="single" w:sz="4" w:space="0" w:color="auto"/>
              <w:bottom w:val="single" w:sz="4" w:space="0" w:color="auto"/>
              <w:right w:val="single" w:sz="4" w:space="0" w:color="auto"/>
            </w:tcBorders>
            <w:vAlign w:val="center"/>
            <w:hideMark/>
          </w:tcPr>
          <w:p w14:paraId="59A42AEB" w14:textId="77777777" w:rsidR="00977942" w:rsidRPr="000262D3" w:rsidRDefault="00977942" w:rsidP="000262D3">
            <w:pPr>
              <w:ind w:left="64"/>
              <w:rPr>
                <w:sz w:val="24"/>
                <w:szCs w:val="24"/>
              </w:rPr>
            </w:pPr>
          </w:p>
        </w:tc>
        <w:tc>
          <w:tcPr>
            <w:tcW w:w="1360" w:type="pct"/>
            <w:tcBorders>
              <w:top w:val="single" w:sz="4" w:space="0" w:color="auto"/>
              <w:left w:val="single" w:sz="4" w:space="0" w:color="auto"/>
              <w:bottom w:val="single" w:sz="4" w:space="0" w:color="auto"/>
              <w:right w:val="single" w:sz="4" w:space="0" w:color="auto"/>
            </w:tcBorders>
            <w:hideMark/>
          </w:tcPr>
          <w:p w14:paraId="0A0F5935" w14:textId="77777777" w:rsidR="00977942" w:rsidRPr="000262D3" w:rsidRDefault="00977942" w:rsidP="000262D3">
            <w:pPr>
              <w:ind w:left="64"/>
              <w:rPr>
                <w:sz w:val="24"/>
                <w:szCs w:val="24"/>
              </w:rPr>
            </w:pPr>
            <w:r w:rsidRPr="000262D3">
              <w:rPr>
                <w:sz w:val="24"/>
                <w:szCs w:val="24"/>
              </w:rPr>
              <w:t>Meget sjælden</w:t>
            </w:r>
          </w:p>
        </w:tc>
        <w:tc>
          <w:tcPr>
            <w:tcW w:w="2069" w:type="pct"/>
            <w:tcBorders>
              <w:top w:val="single" w:sz="4" w:space="0" w:color="auto"/>
              <w:left w:val="single" w:sz="4" w:space="0" w:color="auto"/>
              <w:bottom w:val="single" w:sz="4" w:space="0" w:color="auto"/>
              <w:right w:val="single" w:sz="4" w:space="0" w:color="auto"/>
            </w:tcBorders>
            <w:hideMark/>
          </w:tcPr>
          <w:p w14:paraId="09DE05F2" w14:textId="77777777" w:rsidR="00977942" w:rsidRPr="000262D3" w:rsidRDefault="00977942" w:rsidP="000262D3">
            <w:pPr>
              <w:ind w:left="64"/>
              <w:rPr>
                <w:sz w:val="24"/>
                <w:szCs w:val="24"/>
              </w:rPr>
            </w:pPr>
            <w:r w:rsidRPr="000262D3">
              <w:rPr>
                <w:sz w:val="24"/>
                <w:szCs w:val="24"/>
              </w:rPr>
              <w:t>Stevens-Johnsons syndrom</w:t>
            </w:r>
          </w:p>
          <w:p w14:paraId="2596D787" w14:textId="77777777" w:rsidR="00977942" w:rsidRPr="000262D3" w:rsidRDefault="00977942" w:rsidP="000262D3">
            <w:pPr>
              <w:ind w:left="64"/>
              <w:rPr>
                <w:sz w:val="24"/>
                <w:szCs w:val="24"/>
              </w:rPr>
            </w:pPr>
            <w:r w:rsidRPr="000262D3">
              <w:rPr>
                <w:sz w:val="24"/>
                <w:szCs w:val="24"/>
              </w:rPr>
              <w:t>Angioødem</w:t>
            </w:r>
          </w:p>
        </w:tc>
      </w:tr>
      <w:tr w:rsidR="00977942" w:rsidRPr="000262D3" w14:paraId="1DC5B4B0" w14:textId="77777777" w:rsidTr="000262D3">
        <w:trPr>
          <w:cantSplit/>
        </w:trPr>
        <w:tc>
          <w:tcPr>
            <w:tcW w:w="1571" w:type="pct"/>
            <w:vMerge/>
            <w:tcBorders>
              <w:top w:val="single" w:sz="4" w:space="0" w:color="auto"/>
              <w:left w:val="single" w:sz="4" w:space="0" w:color="auto"/>
              <w:bottom w:val="single" w:sz="4" w:space="0" w:color="auto"/>
              <w:right w:val="single" w:sz="4" w:space="0" w:color="auto"/>
            </w:tcBorders>
            <w:vAlign w:val="center"/>
            <w:hideMark/>
          </w:tcPr>
          <w:p w14:paraId="2555454E" w14:textId="77777777" w:rsidR="00977942" w:rsidRPr="000262D3" w:rsidRDefault="00977942" w:rsidP="000262D3">
            <w:pPr>
              <w:ind w:left="64"/>
              <w:rPr>
                <w:sz w:val="24"/>
                <w:szCs w:val="24"/>
              </w:rPr>
            </w:pPr>
          </w:p>
        </w:tc>
        <w:tc>
          <w:tcPr>
            <w:tcW w:w="1360" w:type="pct"/>
            <w:tcBorders>
              <w:top w:val="single" w:sz="4" w:space="0" w:color="auto"/>
              <w:left w:val="single" w:sz="4" w:space="0" w:color="auto"/>
              <w:bottom w:val="single" w:sz="4" w:space="0" w:color="auto"/>
              <w:right w:val="single" w:sz="4" w:space="0" w:color="auto"/>
            </w:tcBorders>
            <w:hideMark/>
          </w:tcPr>
          <w:p w14:paraId="53508E83" w14:textId="77777777" w:rsidR="00977942" w:rsidRPr="000262D3" w:rsidRDefault="00977942" w:rsidP="000262D3">
            <w:pPr>
              <w:ind w:left="64"/>
              <w:rPr>
                <w:sz w:val="24"/>
                <w:szCs w:val="24"/>
              </w:rPr>
            </w:pPr>
            <w:r w:rsidRPr="000262D3">
              <w:rPr>
                <w:sz w:val="24"/>
                <w:szCs w:val="24"/>
              </w:rPr>
              <w:t>Ikke kendt</w:t>
            </w:r>
          </w:p>
        </w:tc>
        <w:tc>
          <w:tcPr>
            <w:tcW w:w="2069" w:type="pct"/>
            <w:tcBorders>
              <w:top w:val="single" w:sz="4" w:space="0" w:color="auto"/>
              <w:left w:val="single" w:sz="4" w:space="0" w:color="auto"/>
              <w:bottom w:val="single" w:sz="4" w:space="0" w:color="auto"/>
              <w:right w:val="single" w:sz="4" w:space="0" w:color="auto"/>
            </w:tcBorders>
            <w:hideMark/>
          </w:tcPr>
          <w:p w14:paraId="547814E0" w14:textId="77777777" w:rsidR="00977942" w:rsidRPr="000262D3" w:rsidRDefault="00977942" w:rsidP="000262D3">
            <w:pPr>
              <w:ind w:left="64"/>
              <w:rPr>
                <w:sz w:val="24"/>
                <w:szCs w:val="24"/>
              </w:rPr>
            </w:pPr>
            <w:r w:rsidRPr="000262D3">
              <w:rPr>
                <w:sz w:val="24"/>
                <w:szCs w:val="24"/>
              </w:rPr>
              <w:t>Lægemiddelinduceret lichen planus</w:t>
            </w:r>
          </w:p>
        </w:tc>
      </w:tr>
      <w:tr w:rsidR="000262D3" w:rsidRPr="000262D3" w14:paraId="26FB9FE5" w14:textId="77777777" w:rsidTr="00D80C67">
        <w:trPr>
          <w:cantSplit/>
        </w:trPr>
        <w:tc>
          <w:tcPr>
            <w:tcW w:w="1571" w:type="pct"/>
            <w:vMerge w:val="restart"/>
            <w:tcBorders>
              <w:top w:val="single" w:sz="4" w:space="0" w:color="auto"/>
              <w:left w:val="single" w:sz="4" w:space="0" w:color="auto"/>
              <w:right w:val="single" w:sz="4" w:space="0" w:color="auto"/>
            </w:tcBorders>
            <w:hideMark/>
          </w:tcPr>
          <w:p w14:paraId="44B17936" w14:textId="77777777" w:rsidR="000262D3" w:rsidRPr="000262D3" w:rsidRDefault="000262D3" w:rsidP="000262D3">
            <w:pPr>
              <w:ind w:left="64"/>
              <w:rPr>
                <w:sz w:val="24"/>
                <w:szCs w:val="24"/>
              </w:rPr>
            </w:pPr>
            <w:r w:rsidRPr="000262D3">
              <w:rPr>
                <w:sz w:val="24"/>
                <w:szCs w:val="24"/>
              </w:rPr>
              <w:t>Knogler, led, muskler og bindevæv</w:t>
            </w:r>
          </w:p>
        </w:tc>
        <w:tc>
          <w:tcPr>
            <w:tcW w:w="1360" w:type="pct"/>
            <w:tcBorders>
              <w:top w:val="single" w:sz="4" w:space="0" w:color="auto"/>
              <w:left w:val="single" w:sz="4" w:space="0" w:color="auto"/>
              <w:bottom w:val="single" w:sz="4" w:space="0" w:color="auto"/>
              <w:right w:val="single" w:sz="4" w:space="0" w:color="auto"/>
            </w:tcBorders>
            <w:hideMark/>
          </w:tcPr>
          <w:p w14:paraId="6783EC13" w14:textId="77777777" w:rsidR="000262D3" w:rsidRPr="000262D3" w:rsidRDefault="000262D3" w:rsidP="000262D3">
            <w:pPr>
              <w:ind w:left="64"/>
              <w:rPr>
                <w:sz w:val="24"/>
                <w:szCs w:val="24"/>
              </w:rPr>
            </w:pPr>
            <w:r w:rsidRPr="000262D3">
              <w:rPr>
                <w:sz w:val="24"/>
                <w:szCs w:val="24"/>
              </w:rPr>
              <w:t>Meget almindelig</w:t>
            </w:r>
          </w:p>
        </w:tc>
        <w:tc>
          <w:tcPr>
            <w:tcW w:w="2069" w:type="pct"/>
            <w:tcBorders>
              <w:top w:val="single" w:sz="4" w:space="0" w:color="auto"/>
              <w:left w:val="single" w:sz="4" w:space="0" w:color="auto"/>
              <w:bottom w:val="single" w:sz="4" w:space="0" w:color="auto"/>
              <w:right w:val="single" w:sz="4" w:space="0" w:color="auto"/>
            </w:tcBorders>
            <w:hideMark/>
          </w:tcPr>
          <w:p w14:paraId="4B047E7A" w14:textId="77777777" w:rsidR="000262D3" w:rsidRPr="000262D3" w:rsidRDefault="000262D3" w:rsidP="000262D3">
            <w:pPr>
              <w:ind w:left="64"/>
              <w:rPr>
                <w:sz w:val="24"/>
                <w:szCs w:val="24"/>
              </w:rPr>
            </w:pPr>
            <w:r w:rsidRPr="000262D3">
              <w:rPr>
                <w:sz w:val="24"/>
                <w:szCs w:val="24"/>
              </w:rPr>
              <w:t>Ledsmerter/stivhed</w:t>
            </w:r>
          </w:p>
          <w:p w14:paraId="0674E58A" w14:textId="77777777" w:rsidR="000262D3" w:rsidRPr="000262D3" w:rsidRDefault="000262D3" w:rsidP="000262D3">
            <w:pPr>
              <w:ind w:left="64"/>
              <w:rPr>
                <w:sz w:val="24"/>
                <w:szCs w:val="24"/>
              </w:rPr>
            </w:pPr>
            <w:r w:rsidRPr="000262D3">
              <w:rPr>
                <w:sz w:val="24"/>
                <w:szCs w:val="24"/>
              </w:rPr>
              <w:t>Artrit</w:t>
            </w:r>
          </w:p>
          <w:p w14:paraId="4D96A318" w14:textId="77777777" w:rsidR="000262D3" w:rsidRPr="000262D3" w:rsidRDefault="000262D3" w:rsidP="000262D3">
            <w:pPr>
              <w:ind w:left="64"/>
              <w:rPr>
                <w:sz w:val="24"/>
                <w:szCs w:val="24"/>
              </w:rPr>
            </w:pPr>
            <w:r w:rsidRPr="000262D3">
              <w:rPr>
                <w:sz w:val="24"/>
                <w:szCs w:val="24"/>
              </w:rPr>
              <w:t>Osteoporose</w:t>
            </w:r>
          </w:p>
        </w:tc>
      </w:tr>
      <w:tr w:rsidR="000262D3" w:rsidRPr="000262D3" w14:paraId="578A1B55" w14:textId="77777777" w:rsidTr="00D80C67">
        <w:trPr>
          <w:cantSplit/>
        </w:trPr>
        <w:tc>
          <w:tcPr>
            <w:tcW w:w="1571" w:type="pct"/>
            <w:vMerge/>
            <w:tcBorders>
              <w:left w:val="single" w:sz="4" w:space="0" w:color="auto"/>
              <w:right w:val="single" w:sz="4" w:space="0" w:color="auto"/>
            </w:tcBorders>
            <w:vAlign w:val="center"/>
            <w:hideMark/>
          </w:tcPr>
          <w:p w14:paraId="1E31D54E" w14:textId="77777777" w:rsidR="000262D3" w:rsidRPr="000262D3" w:rsidRDefault="000262D3" w:rsidP="000262D3">
            <w:pPr>
              <w:ind w:left="64"/>
              <w:rPr>
                <w:sz w:val="24"/>
                <w:szCs w:val="24"/>
              </w:rPr>
            </w:pPr>
          </w:p>
        </w:tc>
        <w:tc>
          <w:tcPr>
            <w:tcW w:w="1360" w:type="pct"/>
            <w:tcBorders>
              <w:top w:val="single" w:sz="4" w:space="0" w:color="auto"/>
              <w:left w:val="single" w:sz="4" w:space="0" w:color="auto"/>
              <w:bottom w:val="single" w:sz="4" w:space="0" w:color="auto"/>
              <w:right w:val="single" w:sz="4" w:space="0" w:color="auto"/>
            </w:tcBorders>
            <w:hideMark/>
          </w:tcPr>
          <w:p w14:paraId="78D0E541" w14:textId="77777777" w:rsidR="000262D3" w:rsidRPr="000262D3" w:rsidRDefault="000262D3" w:rsidP="000262D3">
            <w:pPr>
              <w:ind w:left="64"/>
              <w:rPr>
                <w:sz w:val="24"/>
                <w:szCs w:val="24"/>
              </w:rPr>
            </w:pPr>
            <w:r w:rsidRPr="000262D3">
              <w:rPr>
                <w:sz w:val="24"/>
                <w:szCs w:val="24"/>
              </w:rPr>
              <w:t>Almindelig</w:t>
            </w:r>
          </w:p>
        </w:tc>
        <w:tc>
          <w:tcPr>
            <w:tcW w:w="2069" w:type="pct"/>
            <w:tcBorders>
              <w:top w:val="single" w:sz="4" w:space="0" w:color="auto"/>
              <w:left w:val="single" w:sz="4" w:space="0" w:color="auto"/>
              <w:bottom w:val="single" w:sz="4" w:space="0" w:color="auto"/>
              <w:right w:val="single" w:sz="4" w:space="0" w:color="auto"/>
            </w:tcBorders>
            <w:hideMark/>
          </w:tcPr>
          <w:p w14:paraId="00F7D93E" w14:textId="77777777" w:rsidR="000262D3" w:rsidRPr="000262D3" w:rsidRDefault="000262D3" w:rsidP="000262D3">
            <w:pPr>
              <w:ind w:left="64"/>
              <w:rPr>
                <w:sz w:val="24"/>
                <w:szCs w:val="24"/>
              </w:rPr>
            </w:pPr>
            <w:r w:rsidRPr="000262D3">
              <w:rPr>
                <w:sz w:val="24"/>
                <w:szCs w:val="24"/>
              </w:rPr>
              <w:t>Knoglesmerter</w:t>
            </w:r>
          </w:p>
          <w:p w14:paraId="3F55BEEB" w14:textId="77777777" w:rsidR="000262D3" w:rsidRPr="000262D3" w:rsidRDefault="000262D3" w:rsidP="000262D3">
            <w:pPr>
              <w:ind w:left="64"/>
              <w:rPr>
                <w:sz w:val="24"/>
                <w:szCs w:val="24"/>
              </w:rPr>
            </w:pPr>
            <w:r w:rsidRPr="000262D3">
              <w:rPr>
                <w:sz w:val="24"/>
                <w:szCs w:val="24"/>
              </w:rPr>
              <w:t>Myalgi</w:t>
            </w:r>
          </w:p>
        </w:tc>
      </w:tr>
      <w:tr w:rsidR="000262D3" w:rsidRPr="000262D3" w14:paraId="1E52301B" w14:textId="77777777" w:rsidTr="00D80C67">
        <w:trPr>
          <w:cantSplit/>
        </w:trPr>
        <w:tc>
          <w:tcPr>
            <w:tcW w:w="1571" w:type="pct"/>
            <w:vMerge/>
            <w:tcBorders>
              <w:left w:val="single" w:sz="4" w:space="0" w:color="auto"/>
              <w:right w:val="single" w:sz="4" w:space="0" w:color="auto"/>
            </w:tcBorders>
            <w:vAlign w:val="center"/>
            <w:hideMark/>
          </w:tcPr>
          <w:p w14:paraId="684768A3" w14:textId="77777777" w:rsidR="000262D3" w:rsidRPr="000262D3" w:rsidRDefault="000262D3" w:rsidP="000262D3">
            <w:pPr>
              <w:ind w:left="64"/>
              <w:rPr>
                <w:sz w:val="24"/>
                <w:szCs w:val="24"/>
              </w:rPr>
            </w:pPr>
          </w:p>
        </w:tc>
        <w:tc>
          <w:tcPr>
            <w:tcW w:w="1360" w:type="pct"/>
            <w:tcBorders>
              <w:top w:val="single" w:sz="4" w:space="0" w:color="auto"/>
              <w:left w:val="single" w:sz="4" w:space="0" w:color="auto"/>
              <w:bottom w:val="single" w:sz="4" w:space="0" w:color="auto"/>
              <w:right w:val="single" w:sz="4" w:space="0" w:color="auto"/>
            </w:tcBorders>
            <w:hideMark/>
          </w:tcPr>
          <w:p w14:paraId="1686307A" w14:textId="77777777" w:rsidR="000262D3" w:rsidRPr="000262D3" w:rsidRDefault="000262D3" w:rsidP="000262D3">
            <w:pPr>
              <w:ind w:left="64"/>
              <w:rPr>
                <w:sz w:val="24"/>
                <w:szCs w:val="24"/>
              </w:rPr>
            </w:pPr>
            <w:r w:rsidRPr="000262D3">
              <w:rPr>
                <w:sz w:val="24"/>
                <w:szCs w:val="24"/>
              </w:rPr>
              <w:t>Ikke almindelig</w:t>
            </w:r>
          </w:p>
        </w:tc>
        <w:tc>
          <w:tcPr>
            <w:tcW w:w="2069" w:type="pct"/>
            <w:tcBorders>
              <w:top w:val="single" w:sz="4" w:space="0" w:color="auto"/>
              <w:left w:val="single" w:sz="4" w:space="0" w:color="auto"/>
              <w:bottom w:val="single" w:sz="4" w:space="0" w:color="auto"/>
              <w:right w:val="single" w:sz="4" w:space="0" w:color="auto"/>
            </w:tcBorders>
            <w:hideMark/>
          </w:tcPr>
          <w:p w14:paraId="34FE6414" w14:textId="77777777" w:rsidR="000262D3" w:rsidRPr="000262D3" w:rsidRDefault="000262D3" w:rsidP="000262D3">
            <w:pPr>
              <w:ind w:left="64"/>
              <w:rPr>
                <w:sz w:val="24"/>
                <w:szCs w:val="24"/>
              </w:rPr>
            </w:pPr>
            <w:r w:rsidRPr="000262D3">
              <w:rPr>
                <w:sz w:val="24"/>
                <w:szCs w:val="24"/>
              </w:rPr>
              <w:t>Springfinger</w:t>
            </w:r>
          </w:p>
        </w:tc>
      </w:tr>
      <w:tr w:rsidR="000262D3" w:rsidRPr="000262D3" w14:paraId="1BE3FF43" w14:textId="77777777" w:rsidTr="00D80C67">
        <w:trPr>
          <w:cantSplit/>
        </w:trPr>
        <w:tc>
          <w:tcPr>
            <w:tcW w:w="1571" w:type="pct"/>
            <w:vMerge/>
            <w:tcBorders>
              <w:left w:val="single" w:sz="4" w:space="0" w:color="auto"/>
              <w:bottom w:val="single" w:sz="4" w:space="0" w:color="auto"/>
              <w:right w:val="single" w:sz="4" w:space="0" w:color="auto"/>
            </w:tcBorders>
          </w:tcPr>
          <w:p w14:paraId="520C314E" w14:textId="77777777" w:rsidR="000262D3" w:rsidRPr="000262D3" w:rsidRDefault="000262D3" w:rsidP="000262D3">
            <w:pPr>
              <w:ind w:left="64"/>
              <w:rPr>
                <w:sz w:val="24"/>
                <w:szCs w:val="24"/>
              </w:rPr>
            </w:pPr>
          </w:p>
        </w:tc>
        <w:tc>
          <w:tcPr>
            <w:tcW w:w="1360" w:type="pct"/>
            <w:tcBorders>
              <w:top w:val="single" w:sz="4" w:space="0" w:color="auto"/>
              <w:left w:val="single" w:sz="4" w:space="0" w:color="auto"/>
              <w:bottom w:val="single" w:sz="4" w:space="0" w:color="auto"/>
              <w:right w:val="single" w:sz="4" w:space="0" w:color="auto"/>
            </w:tcBorders>
            <w:hideMark/>
          </w:tcPr>
          <w:p w14:paraId="38CC71B3" w14:textId="77777777" w:rsidR="000262D3" w:rsidRPr="000262D3" w:rsidRDefault="000262D3" w:rsidP="000262D3">
            <w:pPr>
              <w:ind w:left="64"/>
              <w:rPr>
                <w:sz w:val="24"/>
                <w:szCs w:val="24"/>
              </w:rPr>
            </w:pPr>
            <w:r w:rsidRPr="000262D3">
              <w:rPr>
                <w:sz w:val="24"/>
                <w:szCs w:val="24"/>
              </w:rPr>
              <w:t>Ikke kendt</w:t>
            </w:r>
          </w:p>
        </w:tc>
        <w:tc>
          <w:tcPr>
            <w:tcW w:w="2069" w:type="pct"/>
            <w:tcBorders>
              <w:top w:val="single" w:sz="4" w:space="0" w:color="auto"/>
              <w:left w:val="single" w:sz="4" w:space="0" w:color="auto"/>
              <w:bottom w:val="single" w:sz="4" w:space="0" w:color="auto"/>
              <w:right w:val="single" w:sz="4" w:space="0" w:color="auto"/>
            </w:tcBorders>
            <w:hideMark/>
          </w:tcPr>
          <w:p w14:paraId="1632BD3E" w14:textId="77777777" w:rsidR="000262D3" w:rsidRPr="000262D3" w:rsidRDefault="000262D3" w:rsidP="000262D3">
            <w:pPr>
              <w:ind w:left="64"/>
              <w:rPr>
                <w:sz w:val="24"/>
                <w:szCs w:val="24"/>
              </w:rPr>
            </w:pPr>
            <w:r w:rsidRPr="000262D3">
              <w:rPr>
                <w:sz w:val="24"/>
                <w:szCs w:val="24"/>
              </w:rPr>
              <w:t xml:space="preserve">Tendinit </w:t>
            </w:r>
          </w:p>
          <w:p w14:paraId="3392A580" w14:textId="77777777" w:rsidR="000262D3" w:rsidRPr="000262D3" w:rsidRDefault="000262D3" w:rsidP="000262D3">
            <w:pPr>
              <w:ind w:left="64"/>
              <w:rPr>
                <w:sz w:val="24"/>
                <w:szCs w:val="24"/>
              </w:rPr>
            </w:pPr>
            <w:r w:rsidRPr="000262D3">
              <w:rPr>
                <w:sz w:val="24"/>
                <w:szCs w:val="24"/>
              </w:rPr>
              <w:t>Seneruptur</w:t>
            </w:r>
          </w:p>
        </w:tc>
      </w:tr>
      <w:tr w:rsidR="00977942" w:rsidRPr="000262D3" w14:paraId="02365429" w14:textId="77777777" w:rsidTr="000262D3">
        <w:tc>
          <w:tcPr>
            <w:tcW w:w="1571" w:type="pct"/>
            <w:tcBorders>
              <w:top w:val="single" w:sz="4" w:space="0" w:color="auto"/>
              <w:left w:val="single" w:sz="4" w:space="0" w:color="auto"/>
              <w:bottom w:val="single" w:sz="4" w:space="0" w:color="auto"/>
              <w:right w:val="single" w:sz="4" w:space="0" w:color="auto"/>
            </w:tcBorders>
            <w:hideMark/>
          </w:tcPr>
          <w:p w14:paraId="14C46610" w14:textId="77777777" w:rsidR="00977942" w:rsidRPr="000262D3" w:rsidRDefault="00977942" w:rsidP="000262D3">
            <w:pPr>
              <w:ind w:left="64"/>
              <w:rPr>
                <w:sz w:val="24"/>
                <w:szCs w:val="24"/>
              </w:rPr>
            </w:pPr>
            <w:r w:rsidRPr="000262D3">
              <w:rPr>
                <w:sz w:val="24"/>
                <w:szCs w:val="24"/>
              </w:rPr>
              <w:t>Det reproduktive system og mammae</w:t>
            </w:r>
          </w:p>
        </w:tc>
        <w:tc>
          <w:tcPr>
            <w:tcW w:w="1360" w:type="pct"/>
            <w:tcBorders>
              <w:top w:val="single" w:sz="4" w:space="0" w:color="auto"/>
              <w:left w:val="single" w:sz="4" w:space="0" w:color="auto"/>
              <w:bottom w:val="single" w:sz="4" w:space="0" w:color="auto"/>
              <w:right w:val="single" w:sz="4" w:space="0" w:color="auto"/>
            </w:tcBorders>
            <w:hideMark/>
          </w:tcPr>
          <w:p w14:paraId="4D8C3A8B" w14:textId="77777777" w:rsidR="00977942" w:rsidRPr="000262D3" w:rsidRDefault="00977942" w:rsidP="000262D3">
            <w:pPr>
              <w:ind w:left="64"/>
              <w:rPr>
                <w:sz w:val="24"/>
                <w:szCs w:val="24"/>
              </w:rPr>
            </w:pPr>
            <w:r w:rsidRPr="000262D3">
              <w:rPr>
                <w:sz w:val="24"/>
                <w:szCs w:val="24"/>
              </w:rPr>
              <w:t>Almindelig</w:t>
            </w:r>
          </w:p>
        </w:tc>
        <w:tc>
          <w:tcPr>
            <w:tcW w:w="2069" w:type="pct"/>
            <w:tcBorders>
              <w:top w:val="single" w:sz="4" w:space="0" w:color="auto"/>
              <w:left w:val="single" w:sz="4" w:space="0" w:color="auto"/>
              <w:bottom w:val="single" w:sz="4" w:space="0" w:color="auto"/>
              <w:right w:val="single" w:sz="4" w:space="0" w:color="auto"/>
            </w:tcBorders>
            <w:hideMark/>
          </w:tcPr>
          <w:p w14:paraId="17AED252" w14:textId="77777777" w:rsidR="00977942" w:rsidRPr="000262D3" w:rsidRDefault="00977942" w:rsidP="000262D3">
            <w:pPr>
              <w:ind w:left="64"/>
              <w:rPr>
                <w:sz w:val="24"/>
                <w:szCs w:val="24"/>
              </w:rPr>
            </w:pPr>
            <w:r w:rsidRPr="000262D3">
              <w:rPr>
                <w:sz w:val="24"/>
                <w:szCs w:val="24"/>
              </w:rPr>
              <w:t>Vaginal tørhed</w:t>
            </w:r>
          </w:p>
          <w:p w14:paraId="28C755E1" w14:textId="77777777" w:rsidR="00977942" w:rsidRPr="000262D3" w:rsidRDefault="00977942" w:rsidP="000262D3">
            <w:pPr>
              <w:ind w:left="64"/>
              <w:rPr>
                <w:sz w:val="24"/>
                <w:szCs w:val="24"/>
              </w:rPr>
            </w:pPr>
            <w:r w:rsidRPr="000262D3">
              <w:rPr>
                <w:sz w:val="24"/>
                <w:szCs w:val="24"/>
              </w:rPr>
              <w:t>Vaginalblødning***</w:t>
            </w:r>
          </w:p>
        </w:tc>
      </w:tr>
      <w:tr w:rsidR="00977942" w:rsidRPr="000262D3" w14:paraId="53BE4E03" w14:textId="77777777" w:rsidTr="000262D3">
        <w:trPr>
          <w:cantSplit/>
          <w:trHeight w:val="648"/>
        </w:trPr>
        <w:tc>
          <w:tcPr>
            <w:tcW w:w="1571" w:type="pct"/>
            <w:tcBorders>
              <w:top w:val="single" w:sz="4" w:space="0" w:color="auto"/>
              <w:left w:val="single" w:sz="4" w:space="0" w:color="auto"/>
              <w:bottom w:val="single" w:sz="4" w:space="0" w:color="auto"/>
              <w:right w:val="single" w:sz="4" w:space="0" w:color="auto"/>
            </w:tcBorders>
            <w:hideMark/>
          </w:tcPr>
          <w:p w14:paraId="79475DF1" w14:textId="76A5C45C" w:rsidR="00977942" w:rsidRPr="000262D3" w:rsidRDefault="00977942" w:rsidP="000262D3">
            <w:pPr>
              <w:ind w:left="64"/>
              <w:rPr>
                <w:sz w:val="24"/>
                <w:szCs w:val="24"/>
              </w:rPr>
            </w:pPr>
            <w:r w:rsidRPr="000262D3">
              <w:rPr>
                <w:sz w:val="24"/>
                <w:szCs w:val="24"/>
              </w:rPr>
              <w:t>Almene symptomer og reaktioner på administrationsstedet</w:t>
            </w:r>
          </w:p>
        </w:tc>
        <w:tc>
          <w:tcPr>
            <w:tcW w:w="1360" w:type="pct"/>
            <w:tcBorders>
              <w:top w:val="single" w:sz="4" w:space="0" w:color="auto"/>
              <w:left w:val="single" w:sz="4" w:space="0" w:color="auto"/>
              <w:bottom w:val="single" w:sz="4" w:space="0" w:color="auto"/>
              <w:right w:val="single" w:sz="4" w:space="0" w:color="auto"/>
            </w:tcBorders>
            <w:hideMark/>
          </w:tcPr>
          <w:p w14:paraId="41EBD778" w14:textId="77777777" w:rsidR="00977942" w:rsidRPr="000262D3" w:rsidRDefault="00977942" w:rsidP="000262D3">
            <w:pPr>
              <w:ind w:left="64"/>
              <w:rPr>
                <w:sz w:val="24"/>
                <w:szCs w:val="24"/>
              </w:rPr>
            </w:pPr>
            <w:r w:rsidRPr="000262D3">
              <w:rPr>
                <w:sz w:val="24"/>
                <w:szCs w:val="24"/>
              </w:rPr>
              <w:t>Meget almindelig</w:t>
            </w:r>
          </w:p>
        </w:tc>
        <w:tc>
          <w:tcPr>
            <w:tcW w:w="2069" w:type="pct"/>
            <w:tcBorders>
              <w:top w:val="single" w:sz="4" w:space="0" w:color="auto"/>
              <w:left w:val="single" w:sz="4" w:space="0" w:color="auto"/>
              <w:bottom w:val="single" w:sz="4" w:space="0" w:color="auto"/>
              <w:right w:val="single" w:sz="4" w:space="0" w:color="auto"/>
            </w:tcBorders>
            <w:hideMark/>
          </w:tcPr>
          <w:p w14:paraId="0FB5FD2D" w14:textId="77777777" w:rsidR="00977942" w:rsidRPr="000262D3" w:rsidRDefault="00977942" w:rsidP="000262D3">
            <w:pPr>
              <w:ind w:left="64"/>
              <w:rPr>
                <w:sz w:val="24"/>
                <w:szCs w:val="24"/>
              </w:rPr>
            </w:pPr>
            <w:r w:rsidRPr="000262D3">
              <w:rPr>
                <w:sz w:val="24"/>
                <w:szCs w:val="24"/>
              </w:rPr>
              <w:t>Asteni</w:t>
            </w:r>
          </w:p>
        </w:tc>
      </w:tr>
    </w:tbl>
    <w:p w14:paraId="46C39870" w14:textId="77777777" w:rsidR="00977942" w:rsidRPr="000262D3" w:rsidRDefault="00977942" w:rsidP="000262D3">
      <w:pPr>
        <w:ind w:left="567" w:hanging="567"/>
        <w:rPr>
          <w:sz w:val="24"/>
          <w:szCs w:val="24"/>
        </w:rPr>
      </w:pPr>
      <w:r w:rsidRPr="000262D3">
        <w:rPr>
          <w:sz w:val="24"/>
          <w:szCs w:val="24"/>
        </w:rPr>
        <w:t>*</w:t>
      </w:r>
      <w:r w:rsidRPr="000262D3">
        <w:rPr>
          <w:sz w:val="24"/>
          <w:szCs w:val="24"/>
        </w:rPr>
        <w:tab/>
        <w:t>Karpaltunnelsyndrom er rapporteret hos flere patienter, som fik behandling med anastrozol i kliniske forsøg, end hos patienter, som blev behandlet med tamoxifen. De fleste af disse hændelser forekom hos patienter med identificerbare risikofaktorer for udvikling af tilstanden.</w:t>
      </w:r>
    </w:p>
    <w:p w14:paraId="58BBE83D" w14:textId="77777777" w:rsidR="00977942" w:rsidRPr="000262D3" w:rsidRDefault="00977942" w:rsidP="000262D3">
      <w:pPr>
        <w:ind w:left="567" w:hanging="567"/>
        <w:rPr>
          <w:sz w:val="24"/>
          <w:szCs w:val="24"/>
        </w:rPr>
      </w:pPr>
      <w:r w:rsidRPr="000262D3">
        <w:rPr>
          <w:sz w:val="24"/>
          <w:szCs w:val="24"/>
        </w:rPr>
        <w:t>**</w:t>
      </w:r>
      <w:r w:rsidRPr="000262D3">
        <w:rPr>
          <w:sz w:val="24"/>
          <w:szCs w:val="24"/>
        </w:rPr>
        <w:tab/>
        <w:t>Da kutan vaskulitis og Schönlein-Henoch purpura ikke blev observeret i ATAC, kan frekvenskategorien for disse hændelser anses for at være ”Sjælden” (≥ 1/10.000 til &lt; 1/1.000) baseret på den værste værdi i punktestimatet.</w:t>
      </w:r>
    </w:p>
    <w:p w14:paraId="3BC9470C" w14:textId="77777777" w:rsidR="00977942" w:rsidRPr="000262D3" w:rsidRDefault="00977942" w:rsidP="000262D3">
      <w:pPr>
        <w:ind w:left="567" w:hanging="567"/>
        <w:rPr>
          <w:sz w:val="24"/>
          <w:szCs w:val="24"/>
        </w:rPr>
      </w:pPr>
      <w:r w:rsidRPr="000262D3">
        <w:rPr>
          <w:sz w:val="24"/>
          <w:szCs w:val="24"/>
        </w:rPr>
        <w:t>***</w:t>
      </w:r>
      <w:r w:rsidRPr="000262D3">
        <w:rPr>
          <w:sz w:val="24"/>
          <w:szCs w:val="24"/>
        </w:rPr>
        <w:tab/>
        <w:t>Vaginalblødning er almindeligt rapporteret, hovedsagelig hos patienter med fremskreden brystkræft i de første få uger efter at have skiftet fra den eksisterende hormonbehandling til behandling med anastrozol. Hvis blødningen fortsætter, bør yderligere evaluering overvejes.</w:t>
      </w:r>
    </w:p>
    <w:p w14:paraId="33B77DDD" w14:textId="77777777" w:rsidR="00977942" w:rsidRPr="000262D3" w:rsidRDefault="00977942" w:rsidP="000262D3">
      <w:pPr>
        <w:ind w:left="851"/>
        <w:rPr>
          <w:sz w:val="24"/>
          <w:szCs w:val="24"/>
        </w:rPr>
      </w:pPr>
    </w:p>
    <w:p w14:paraId="21644D58" w14:textId="77777777" w:rsidR="00977942" w:rsidRPr="000262D3" w:rsidRDefault="00977942" w:rsidP="000262D3">
      <w:pPr>
        <w:ind w:left="851"/>
        <w:rPr>
          <w:sz w:val="24"/>
          <w:szCs w:val="24"/>
        </w:rPr>
      </w:pPr>
      <w:r w:rsidRPr="000262D3">
        <w:rPr>
          <w:sz w:val="24"/>
          <w:szCs w:val="24"/>
        </w:rPr>
        <w:t>Nedenstående tabel viser frekvensen uanset kausalitet af forudspecificerede utilsigtede hændelser i ATAC-forsøget efter en median opfølgning på 68 måneder, rapporteret hos patienter, som får forsøgsbehandling, og op til 14 dage efter ophør af forsøgsbehandling.</w:t>
      </w:r>
    </w:p>
    <w:p w14:paraId="1FF7FC71" w14:textId="77777777" w:rsidR="00977942" w:rsidRPr="000262D3" w:rsidRDefault="00977942" w:rsidP="000262D3">
      <w:pPr>
        <w:ind w:left="851"/>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2541"/>
        <w:gridCol w:w="2481"/>
      </w:tblGrid>
      <w:tr w:rsidR="00977942" w:rsidRPr="000262D3" w14:paraId="0FB16BB3" w14:textId="77777777" w:rsidTr="000262D3">
        <w:trPr>
          <w:cantSplit/>
          <w:tblHeader/>
          <w:jc w:val="center"/>
        </w:trPr>
        <w:tc>
          <w:tcPr>
            <w:tcW w:w="5000" w:type="pct"/>
            <w:gridSpan w:val="3"/>
            <w:tcBorders>
              <w:top w:val="nil"/>
              <w:left w:val="nil"/>
              <w:bottom w:val="single" w:sz="4" w:space="0" w:color="auto"/>
              <w:right w:val="nil"/>
            </w:tcBorders>
            <w:hideMark/>
          </w:tcPr>
          <w:p w14:paraId="079C3BDE" w14:textId="4B0C30FE" w:rsidR="00977942" w:rsidRPr="000262D3" w:rsidRDefault="00977942" w:rsidP="000262D3">
            <w:pPr>
              <w:ind w:left="32"/>
              <w:rPr>
                <w:b/>
                <w:bCs/>
                <w:sz w:val="24"/>
                <w:szCs w:val="24"/>
              </w:rPr>
            </w:pPr>
            <w:r w:rsidRPr="000262D3">
              <w:rPr>
                <w:b/>
                <w:bCs/>
                <w:sz w:val="24"/>
                <w:szCs w:val="24"/>
              </w:rPr>
              <w:t>Tabel 2</w:t>
            </w:r>
            <w:r w:rsidR="00F91539">
              <w:rPr>
                <w:b/>
                <w:bCs/>
                <w:sz w:val="24"/>
                <w:szCs w:val="24"/>
              </w:rPr>
              <w:t xml:space="preserve">. </w:t>
            </w:r>
            <w:r w:rsidRPr="000262D3">
              <w:rPr>
                <w:b/>
                <w:bCs/>
                <w:sz w:val="24"/>
                <w:szCs w:val="24"/>
              </w:rPr>
              <w:t>Forudspecificerede utilsigtede hændelser i ATAC-forsøget</w:t>
            </w:r>
          </w:p>
        </w:tc>
      </w:tr>
      <w:tr w:rsidR="00977942" w:rsidRPr="000262D3" w14:paraId="58FAB168" w14:textId="77777777" w:rsidTr="000262D3">
        <w:trPr>
          <w:cantSplit/>
          <w:tblHeader/>
          <w:jc w:val="center"/>
        </w:trPr>
        <w:tc>
          <w:tcPr>
            <w:tcW w:w="2395" w:type="pct"/>
            <w:tcBorders>
              <w:top w:val="single" w:sz="4" w:space="0" w:color="auto"/>
              <w:left w:val="single" w:sz="4" w:space="0" w:color="auto"/>
              <w:bottom w:val="single" w:sz="4" w:space="0" w:color="auto"/>
              <w:right w:val="single" w:sz="4" w:space="0" w:color="auto"/>
            </w:tcBorders>
            <w:hideMark/>
          </w:tcPr>
          <w:p w14:paraId="247D6069" w14:textId="77777777" w:rsidR="00977942" w:rsidRPr="000262D3" w:rsidRDefault="00977942" w:rsidP="000262D3">
            <w:pPr>
              <w:ind w:left="32"/>
              <w:rPr>
                <w:b/>
                <w:sz w:val="24"/>
                <w:szCs w:val="24"/>
              </w:rPr>
            </w:pPr>
            <w:r w:rsidRPr="000262D3">
              <w:rPr>
                <w:b/>
                <w:bCs/>
                <w:sz w:val="24"/>
                <w:szCs w:val="24"/>
              </w:rPr>
              <w:t>Utilsigtede hændelser</w:t>
            </w:r>
          </w:p>
        </w:tc>
        <w:tc>
          <w:tcPr>
            <w:tcW w:w="1318" w:type="pct"/>
            <w:tcBorders>
              <w:top w:val="single" w:sz="4" w:space="0" w:color="auto"/>
              <w:left w:val="single" w:sz="4" w:space="0" w:color="auto"/>
              <w:bottom w:val="single" w:sz="4" w:space="0" w:color="auto"/>
              <w:right w:val="single" w:sz="4" w:space="0" w:color="auto"/>
            </w:tcBorders>
            <w:hideMark/>
          </w:tcPr>
          <w:p w14:paraId="78E86053" w14:textId="77777777" w:rsidR="00977942" w:rsidRPr="000262D3" w:rsidRDefault="00977942" w:rsidP="000262D3">
            <w:pPr>
              <w:ind w:left="32"/>
              <w:rPr>
                <w:b/>
                <w:sz w:val="24"/>
                <w:szCs w:val="24"/>
              </w:rPr>
            </w:pPr>
            <w:r w:rsidRPr="000262D3">
              <w:rPr>
                <w:b/>
                <w:bCs/>
                <w:sz w:val="24"/>
                <w:szCs w:val="24"/>
              </w:rPr>
              <w:t>Anastrozol</w:t>
            </w:r>
            <w:r w:rsidRPr="000262D3">
              <w:rPr>
                <w:b/>
                <w:sz w:val="24"/>
                <w:szCs w:val="24"/>
              </w:rPr>
              <w:br/>
              <w:t>(N=</w:t>
            </w:r>
            <w:r w:rsidRPr="000262D3">
              <w:rPr>
                <w:b/>
                <w:bCs/>
                <w:sz w:val="24"/>
                <w:szCs w:val="24"/>
              </w:rPr>
              <w:t>3.092</w:t>
            </w:r>
            <w:r w:rsidRPr="000262D3">
              <w:rPr>
                <w:b/>
                <w:sz w:val="24"/>
                <w:szCs w:val="24"/>
              </w:rPr>
              <w:t>)</w:t>
            </w:r>
          </w:p>
        </w:tc>
        <w:tc>
          <w:tcPr>
            <w:tcW w:w="1287" w:type="pct"/>
            <w:tcBorders>
              <w:top w:val="single" w:sz="4" w:space="0" w:color="auto"/>
              <w:left w:val="single" w:sz="4" w:space="0" w:color="auto"/>
              <w:bottom w:val="single" w:sz="4" w:space="0" w:color="auto"/>
              <w:right w:val="single" w:sz="4" w:space="0" w:color="auto"/>
            </w:tcBorders>
            <w:hideMark/>
          </w:tcPr>
          <w:p w14:paraId="05C45B99" w14:textId="77777777" w:rsidR="00977942" w:rsidRPr="000262D3" w:rsidRDefault="00977942" w:rsidP="000262D3">
            <w:pPr>
              <w:ind w:left="32"/>
              <w:rPr>
                <w:b/>
                <w:sz w:val="24"/>
                <w:szCs w:val="24"/>
              </w:rPr>
            </w:pPr>
            <w:r w:rsidRPr="000262D3">
              <w:rPr>
                <w:b/>
                <w:sz w:val="24"/>
                <w:szCs w:val="24"/>
              </w:rPr>
              <w:t>Tamoxifen</w:t>
            </w:r>
            <w:r w:rsidRPr="000262D3">
              <w:rPr>
                <w:b/>
                <w:sz w:val="24"/>
                <w:szCs w:val="24"/>
              </w:rPr>
              <w:br/>
              <w:t>(N=</w:t>
            </w:r>
            <w:r w:rsidRPr="000262D3">
              <w:rPr>
                <w:b/>
                <w:bCs/>
                <w:sz w:val="24"/>
                <w:szCs w:val="24"/>
              </w:rPr>
              <w:t>3.094</w:t>
            </w:r>
            <w:r w:rsidRPr="000262D3">
              <w:rPr>
                <w:b/>
                <w:sz w:val="24"/>
                <w:szCs w:val="24"/>
              </w:rPr>
              <w:t>)</w:t>
            </w:r>
          </w:p>
        </w:tc>
      </w:tr>
      <w:tr w:rsidR="00977942" w:rsidRPr="000262D3" w14:paraId="0A833897"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2474BECC" w14:textId="77777777" w:rsidR="00977942" w:rsidRPr="000262D3" w:rsidRDefault="00977942" w:rsidP="000262D3">
            <w:pPr>
              <w:ind w:left="32"/>
              <w:rPr>
                <w:sz w:val="24"/>
                <w:szCs w:val="24"/>
              </w:rPr>
            </w:pPr>
            <w:r w:rsidRPr="000262D3">
              <w:rPr>
                <w:sz w:val="24"/>
                <w:szCs w:val="24"/>
              </w:rPr>
              <w:t>Hedeture</w:t>
            </w:r>
          </w:p>
        </w:tc>
        <w:tc>
          <w:tcPr>
            <w:tcW w:w="1318" w:type="pct"/>
            <w:tcBorders>
              <w:top w:val="single" w:sz="4" w:space="0" w:color="auto"/>
              <w:left w:val="single" w:sz="4" w:space="0" w:color="auto"/>
              <w:bottom w:val="single" w:sz="4" w:space="0" w:color="auto"/>
              <w:right w:val="single" w:sz="4" w:space="0" w:color="auto"/>
            </w:tcBorders>
            <w:hideMark/>
          </w:tcPr>
          <w:p w14:paraId="2DC84DAF" w14:textId="77777777" w:rsidR="00977942" w:rsidRPr="000262D3" w:rsidRDefault="00977942" w:rsidP="000262D3">
            <w:pPr>
              <w:ind w:left="32"/>
              <w:rPr>
                <w:sz w:val="24"/>
                <w:szCs w:val="24"/>
              </w:rPr>
            </w:pPr>
            <w:r w:rsidRPr="000262D3">
              <w:rPr>
                <w:sz w:val="24"/>
                <w:szCs w:val="24"/>
              </w:rPr>
              <w:t>1.104 (35,7 %)</w:t>
            </w:r>
          </w:p>
        </w:tc>
        <w:tc>
          <w:tcPr>
            <w:tcW w:w="1287" w:type="pct"/>
            <w:tcBorders>
              <w:top w:val="single" w:sz="4" w:space="0" w:color="auto"/>
              <w:left w:val="single" w:sz="4" w:space="0" w:color="auto"/>
              <w:bottom w:val="single" w:sz="4" w:space="0" w:color="auto"/>
              <w:right w:val="single" w:sz="4" w:space="0" w:color="auto"/>
            </w:tcBorders>
            <w:hideMark/>
          </w:tcPr>
          <w:p w14:paraId="7859078A" w14:textId="77777777" w:rsidR="00977942" w:rsidRPr="000262D3" w:rsidRDefault="00977942" w:rsidP="000262D3">
            <w:pPr>
              <w:ind w:left="32"/>
              <w:rPr>
                <w:sz w:val="24"/>
                <w:szCs w:val="24"/>
              </w:rPr>
            </w:pPr>
            <w:r w:rsidRPr="000262D3">
              <w:rPr>
                <w:sz w:val="24"/>
                <w:szCs w:val="24"/>
              </w:rPr>
              <w:t>1.264 (40,9 %)</w:t>
            </w:r>
          </w:p>
        </w:tc>
      </w:tr>
      <w:tr w:rsidR="00977942" w:rsidRPr="000262D3" w14:paraId="284B9E6C"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671EAB48" w14:textId="77777777" w:rsidR="00977942" w:rsidRPr="000262D3" w:rsidRDefault="00977942" w:rsidP="000262D3">
            <w:pPr>
              <w:ind w:left="32"/>
              <w:rPr>
                <w:sz w:val="24"/>
                <w:szCs w:val="24"/>
              </w:rPr>
            </w:pPr>
            <w:r w:rsidRPr="000262D3">
              <w:rPr>
                <w:sz w:val="24"/>
                <w:szCs w:val="24"/>
              </w:rPr>
              <w:t>Ledsmerter/stivhed</w:t>
            </w:r>
          </w:p>
        </w:tc>
        <w:tc>
          <w:tcPr>
            <w:tcW w:w="1318" w:type="pct"/>
            <w:tcBorders>
              <w:top w:val="single" w:sz="4" w:space="0" w:color="auto"/>
              <w:left w:val="single" w:sz="4" w:space="0" w:color="auto"/>
              <w:bottom w:val="single" w:sz="4" w:space="0" w:color="auto"/>
              <w:right w:val="single" w:sz="4" w:space="0" w:color="auto"/>
            </w:tcBorders>
            <w:hideMark/>
          </w:tcPr>
          <w:p w14:paraId="1E9DCC5D" w14:textId="77777777" w:rsidR="00977942" w:rsidRPr="000262D3" w:rsidRDefault="00977942" w:rsidP="000262D3">
            <w:pPr>
              <w:ind w:left="32"/>
              <w:rPr>
                <w:sz w:val="24"/>
                <w:szCs w:val="24"/>
              </w:rPr>
            </w:pPr>
            <w:r w:rsidRPr="000262D3">
              <w:rPr>
                <w:sz w:val="24"/>
                <w:szCs w:val="24"/>
              </w:rPr>
              <w:t>1.100 (35,6 %)</w:t>
            </w:r>
          </w:p>
        </w:tc>
        <w:tc>
          <w:tcPr>
            <w:tcW w:w="1287" w:type="pct"/>
            <w:tcBorders>
              <w:top w:val="single" w:sz="4" w:space="0" w:color="auto"/>
              <w:left w:val="single" w:sz="4" w:space="0" w:color="auto"/>
              <w:bottom w:val="single" w:sz="4" w:space="0" w:color="auto"/>
              <w:right w:val="single" w:sz="4" w:space="0" w:color="auto"/>
            </w:tcBorders>
            <w:hideMark/>
          </w:tcPr>
          <w:p w14:paraId="26B5D225" w14:textId="77777777" w:rsidR="00977942" w:rsidRPr="000262D3" w:rsidRDefault="00977942" w:rsidP="000262D3">
            <w:pPr>
              <w:ind w:left="32"/>
              <w:rPr>
                <w:sz w:val="24"/>
                <w:szCs w:val="24"/>
              </w:rPr>
            </w:pPr>
            <w:r w:rsidRPr="000262D3">
              <w:rPr>
                <w:sz w:val="24"/>
                <w:szCs w:val="24"/>
              </w:rPr>
              <w:t>911 (29,4 %)</w:t>
            </w:r>
          </w:p>
        </w:tc>
      </w:tr>
      <w:tr w:rsidR="00977942" w:rsidRPr="000262D3" w14:paraId="73471674"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78096BEC" w14:textId="77777777" w:rsidR="00977942" w:rsidRPr="000262D3" w:rsidRDefault="00977942" w:rsidP="000262D3">
            <w:pPr>
              <w:ind w:left="32"/>
              <w:rPr>
                <w:sz w:val="24"/>
                <w:szCs w:val="24"/>
              </w:rPr>
            </w:pPr>
            <w:r w:rsidRPr="000262D3">
              <w:rPr>
                <w:sz w:val="24"/>
                <w:szCs w:val="24"/>
              </w:rPr>
              <w:t>Humørsvingninger</w:t>
            </w:r>
          </w:p>
        </w:tc>
        <w:tc>
          <w:tcPr>
            <w:tcW w:w="1318" w:type="pct"/>
            <w:tcBorders>
              <w:top w:val="single" w:sz="4" w:space="0" w:color="auto"/>
              <w:left w:val="single" w:sz="4" w:space="0" w:color="auto"/>
              <w:bottom w:val="single" w:sz="4" w:space="0" w:color="auto"/>
              <w:right w:val="single" w:sz="4" w:space="0" w:color="auto"/>
            </w:tcBorders>
            <w:hideMark/>
          </w:tcPr>
          <w:p w14:paraId="1C7E4302" w14:textId="77777777" w:rsidR="00977942" w:rsidRPr="000262D3" w:rsidRDefault="00977942" w:rsidP="000262D3">
            <w:pPr>
              <w:ind w:left="32"/>
              <w:rPr>
                <w:sz w:val="24"/>
                <w:szCs w:val="24"/>
              </w:rPr>
            </w:pPr>
            <w:r w:rsidRPr="000262D3">
              <w:rPr>
                <w:sz w:val="24"/>
                <w:szCs w:val="24"/>
              </w:rPr>
              <w:t>597 (19,3 %)</w:t>
            </w:r>
          </w:p>
        </w:tc>
        <w:tc>
          <w:tcPr>
            <w:tcW w:w="1287" w:type="pct"/>
            <w:tcBorders>
              <w:top w:val="single" w:sz="4" w:space="0" w:color="auto"/>
              <w:left w:val="single" w:sz="4" w:space="0" w:color="auto"/>
              <w:bottom w:val="single" w:sz="4" w:space="0" w:color="auto"/>
              <w:right w:val="single" w:sz="4" w:space="0" w:color="auto"/>
            </w:tcBorders>
            <w:hideMark/>
          </w:tcPr>
          <w:p w14:paraId="32DD6A63" w14:textId="77777777" w:rsidR="00977942" w:rsidRPr="000262D3" w:rsidRDefault="00977942" w:rsidP="000262D3">
            <w:pPr>
              <w:ind w:left="32"/>
              <w:rPr>
                <w:sz w:val="24"/>
                <w:szCs w:val="24"/>
              </w:rPr>
            </w:pPr>
            <w:r w:rsidRPr="000262D3">
              <w:rPr>
                <w:sz w:val="24"/>
                <w:szCs w:val="24"/>
              </w:rPr>
              <w:t>554 (17,9 %)</w:t>
            </w:r>
          </w:p>
        </w:tc>
      </w:tr>
      <w:tr w:rsidR="00977942" w:rsidRPr="000262D3" w14:paraId="4E313216"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09354CB7" w14:textId="77777777" w:rsidR="00977942" w:rsidRPr="000262D3" w:rsidRDefault="00977942" w:rsidP="000262D3">
            <w:pPr>
              <w:ind w:left="32"/>
              <w:rPr>
                <w:sz w:val="24"/>
                <w:szCs w:val="24"/>
              </w:rPr>
            </w:pPr>
            <w:r w:rsidRPr="000262D3">
              <w:rPr>
                <w:sz w:val="24"/>
                <w:szCs w:val="24"/>
              </w:rPr>
              <w:t>Træthed/asteni</w:t>
            </w:r>
          </w:p>
        </w:tc>
        <w:tc>
          <w:tcPr>
            <w:tcW w:w="1318" w:type="pct"/>
            <w:tcBorders>
              <w:top w:val="single" w:sz="4" w:space="0" w:color="auto"/>
              <w:left w:val="single" w:sz="4" w:space="0" w:color="auto"/>
              <w:bottom w:val="single" w:sz="4" w:space="0" w:color="auto"/>
              <w:right w:val="single" w:sz="4" w:space="0" w:color="auto"/>
            </w:tcBorders>
            <w:hideMark/>
          </w:tcPr>
          <w:p w14:paraId="5CCCC399" w14:textId="77777777" w:rsidR="00977942" w:rsidRPr="000262D3" w:rsidRDefault="00977942" w:rsidP="000262D3">
            <w:pPr>
              <w:ind w:left="32"/>
              <w:rPr>
                <w:sz w:val="24"/>
                <w:szCs w:val="24"/>
              </w:rPr>
            </w:pPr>
            <w:r w:rsidRPr="000262D3">
              <w:rPr>
                <w:sz w:val="24"/>
                <w:szCs w:val="24"/>
              </w:rPr>
              <w:t>575 (18,6 %)</w:t>
            </w:r>
          </w:p>
        </w:tc>
        <w:tc>
          <w:tcPr>
            <w:tcW w:w="1287" w:type="pct"/>
            <w:tcBorders>
              <w:top w:val="single" w:sz="4" w:space="0" w:color="auto"/>
              <w:left w:val="single" w:sz="4" w:space="0" w:color="auto"/>
              <w:bottom w:val="single" w:sz="4" w:space="0" w:color="auto"/>
              <w:right w:val="single" w:sz="4" w:space="0" w:color="auto"/>
            </w:tcBorders>
            <w:hideMark/>
          </w:tcPr>
          <w:p w14:paraId="3678AA7C" w14:textId="77777777" w:rsidR="00977942" w:rsidRPr="000262D3" w:rsidRDefault="00977942" w:rsidP="000262D3">
            <w:pPr>
              <w:ind w:left="32"/>
              <w:rPr>
                <w:sz w:val="24"/>
                <w:szCs w:val="24"/>
              </w:rPr>
            </w:pPr>
            <w:r w:rsidRPr="000262D3">
              <w:rPr>
                <w:sz w:val="24"/>
                <w:szCs w:val="24"/>
              </w:rPr>
              <w:t>544 (17,6 %)</w:t>
            </w:r>
          </w:p>
        </w:tc>
      </w:tr>
      <w:tr w:rsidR="00977942" w:rsidRPr="000262D3" w14:paraId="011602EE"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505B4411" w14:textId="77777777" w:rsidR="00977942" w:rsidRPr="000262D3" w:rsidRDefault="00977942" w:rsidP="000262D3">
            <w:pPr>
              <w:ind w:left="32"/>
              <w:rPr>
                <w:sz w:val="24"/>
                <w:szCs w:val="24"/>
              </w:rPr>
            </w:pPr>
            <w:r w:rsidRPr="000262D3">
              <w:rPr>
                <w:sz w:val="24"/>
                <w:szCs w:val="24"/>
              </w:rPr>
              <w:t>Kvalme og opkastning</w:t>
            </w:r>
          </w:p>
        </w:tc>
        <w:tc>
          <w:tcPr>
            <w:tcW w:w="1318" w:type="pct"/>
            <w:tcBorders>
              <w:top w:val="single" w:sz="4" w:space="0" w:color="auto"/>
              <w:left w:val="single" w:sz="4" w:space="0" w:color="auto"/>
              <w:bottom w:val="single" w:sz="4" w:space="0" w:color="auto"/>
              <w:right w:val="single" w:sz="4" w:space="0" w:color="auto"/>
            </w:tcBorders>
            <w:hideMark/>
          </w:tcPr>
          <w:p w14:paraId="584F245B" w14:textId="77777777" w:rsidR="00977942" w:rsidRPr="000262D3" w:rsidRDefault="00977942" w:rsidP="000262D3">
            <w:pPr>
              <w:ind w:left="32"/>
              <w:rPr>
                <w:sz w:val="24"/>
                <w:szCs w:val="24"/>
              </w:rPr>
            </w:pPr>
            <w:r w:rsidRPr="000262D3">
              <w:rPr>
                <w:sz w:val="24"/>
                <w:szCs w:val="24"/>
              </w:rPr>
              <w:t>393 (12,7 %)</w:t>
            </w:r>
          </w:p>
        </w:tc>
        <w:tc>
          <w:tcPr>
            <w:tcW w:w="1287" w:type="pct"/>
            <w:tcBorders>
              <w:top w:val="single" w:sz="4" w:space="0" w:color="auto"/>
              <w:left w:val="single" w:sz="4" w:space="0" w:color="auto"/>
              <w:bottom w:val="single" w:sz="4" w:space="0" w:color="auto"/>
              <w:right w:val="single" w:sz="4" w:space="0" w:color="auto"/>
            </w:tcBorders>
            <w:hideMark/>
          </w:tcPr>
          <w:p w14:paraId="6F328B47" w14:textId="77777777" w:rsidR="00977942" w:rsidRPr="000262D3" w:rsidRDefault="00977942" w:rsidP="000262D3">
            <w:pPr>
              <w:ind w:left="32"/>
              <w:rPr>
                <w:sz w:val="24"/>
                <w:szCs w:val="24"/>
              </w:rPr>
            </w:pPr>
            <w:r w:rsidRPr="000262D3">
              <w:rPr>
                <w:sz w:val="24"/>
                <w:szCs w:val="24"/>
              </w:rPr>
              <w:t>384 (12,4 %)</w:t>
            </w:r>
          </w:p>
        </w:tc>
      </w:tr>
      <w:tr w:rsidR="00977942" w:rsidRPr="000262D3" w14:paraId="22F7845F"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447B19BC" w14:textId="77777777" w:rsidR="00977942" w:rsidRPr="000262D3" w:rsidRDefault="00977942" w:rsidP="000262D3">
            <w:pPr>
              <w:ind w:left="32"/>
              <w:rPr>
                <w:sz w:val="24"/>
                <w:szCs w:val="24"/>
              </w:rPr>
            </w:pPr>
            <w:r w:rsidRPr="000262D3">
              <w:rPr>
                <w:sz w:val="24"/>
                <w:szCs w:val="24"/>
              </w:rPr>
              <w:t>Frakturer</w:t>
            </w:r>
          </w:p>
        </w:tc>
        <w:tc>
          <w:tcPr>
            <w:tcW w:w="1318" w:type="pct"/>
            <w:tcBorders>
              <w:top w:val="single" w:sz="4" w:space="0" w:color="auto"/>
              <w:left w:val="single" w:sz="4" w:space="0" w:color="auto"/>
              <w:bottom w:val="single" w:sz="4" w:space="0" w:color="auto"/>
              <w:right w:val="single" w:sz="4" w:space="0" w:color="auto"/>
            </w:tcBorders>
            <w:hideMark/>
          </w:tcPr>
          <w:p w14:paraId="419720C2" w14:textId="77777777" w:rsidR="00977942" w:rsidRPr="000262D3" w:rsidRDefault="00977942" w:rsidP="000262D3">
            <w:pPr>
              <w:ind w:left="32"/>
              <w:rPr>
                <w:sz w:val="24"/>
                <w:szCs w:val="24"/>
              </w:rPr>
            </w:pPr>
            <w:r w:rsidRPr="000262D3">
              <w:rPr>
                <w:sz w:val="24"/>
                <w:szCs w:val="24"/>
              </w:rPr>
              <w:t>315 (10,2 %)</w:t>
            </w:r>
          </w:p>
        </w:tc>
        <w:tc>
          <w:tcPr>
            <w:tcW w:w="1287" w:type="pct"/>
            <w:tcBorders>
              <w:top w:val="single" w:sz="4" w:space="0" w:color="auto"/>
              <w:left w:val="single" w:sz="4" w:space="0" w:color="auto"/>
              <w:bottom w:val="single" w:sz="4" w:space="0" w:color="auto"/>
              <w:right w:val="single" w:sz="4" w:space="0" w:color="auto"/>
            </w:tcBorders>
            <w:hideMark/>
          </w:tcPr>
          <w:p w14:paraId="5DD08126" w14:textId="77777777" w:rsidR="00977942" w:rsidRPr="000262D3" w:rsidRDefault="00977942" w:rsidP="000262D3">
            <w:pPr>
              <w:ind w:left="32"/>
              <w:rPr>
                <w:sz w:val="24"/>
                <w:szCs w:val="24"/>
              </w:rPr>
            </w:pPr>
            <w:r w:rsidRPr="000262D3">
              <w:rPr>
                <w:sz w:val="24"/>
                <w:szCs w:val="24"/>
              </w:rPr>
              <w:t>209 (6,8 %)</w:t>
            </w:r>
          </w:p>
        </w:tc>
      </w:tr>
      <w:tr w:rsidR="00977942" w:rsidRPr="000262D3" w14:paraId="2B0266EF"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0C9DE3C4" w14:textId="77777777" w:rsidR="00977942" w:rsidRPr="000262D3" w:rsidRDefault="00977942" w:rsidP="000262D3">
            <w:pPr>
              <w:ind w:left="32"/>
              <w:rPr>
                <w:sz w:val="24"/>
                <w:szCs w:val="24"/>
              </w:rPr>
            </w:pPr>
            <w:r w:rsidRPr="000262D3">
              <w:rPr>
                <w:sz w:val="24"/>
                <w:szCs w:val="24"/>
              </w:rPr>
              <w:t>Frakturer i rygrad, hofte eller håndled/Colles</w:t>
            </w:r>
          </w:p>
        </w:tc>
        <w:tc>
          <w:tcPr>
            <w:tcW w:w="1318" w:type="pct"/>
            <w:tcBorders>
              <w:top w:val="single" w:sz="4" w:space="0" w:color="auto"/>
              <w:left w:val="single" w:sz="4" w:space="0" w:color="auto"/>
              <w:bottom w:val="single" w:sz="4" w:space="0" w:color="auto"/>
              <w:right w:val="single" w:sz="4" w:space="0" w:color="auto"/>
            </w:tcBorders>
            <w:hideMark/>
          </w:tcPr>
          <w:p w14:paraId="203792F9" w14:textId="77777777" w:rsidR="00977942" w:rsidRPr="000262D3" w:rsidRDefault="00977942" w:rsidP="000262D3">
            <w:pPr>
              <w:ind w:left="32"/>
              <w:rPr>
                <w:sz w:val="24"/>
                <w:szCs w:val="24"/>
              </w:rPr>
            </w:pPr>
            <w:r w:rsidRPr="000262D3">
              <w:rPr>
                <w:sz w:val="24"/>
                <w:szCs w:val="24"/>
              </w:rPr>
              <w:t>133 (4,3 %)</w:t>
            </w:r>
          </w:p>
        </w:tc>
        <w:tc>
          <w:tcPr>
            <w:tcW w:w="1287" w:type="pct"/>
            <w:tcBorders>
              <w:top w:val="single" w:sz="4" w:space="0" w:color="auto"/>
              <w:left w:val="single" w:sz="4" w:space="0" w:color="auto"/>
              <w:bottom w:val="single" w:sz="4" w:space="0" w:color="auto"/>
              <w:right w:val="single" w:sz="4" w:space="0" w:color="auto"/>
            </w:tcBorders>
            <w:hideMark/>
          </w:tcPr>
          <w:p w14:paraId="0F0E19DA" w14:textId="77777777" w:rsidR="00977942" w:rsidRPr="000262D3" w:rsidRDefault="00977942" w:rsidP="000262D3">
            <w:pPr>
              <w:ind w:left="32"/>
              <w:rPr>
                <w:sz w:val="24"/>
                <w:szCs w:val="24"/>
              </w:rPr>
            </w:pPr>
            <w:r w:rsidRPr="000262D3">
              <w:rPr>
                <w:sz w:val="24"/>
                <w:szCs w:val="24"/>
              </w:rPr>
              <w:t>91 (2,9 %)</w:t>
            </w:r>
          </w:p>
        </w:tc>
      </w:tr>
      <w:tr w:rsidR="00977942" w:rsidRPr="000262D3" w14:paraId="3E8FED64"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1633B525" w14:textId="77777777" w:rsidR="00977942" w:rsidRPr="000262D3" w:rsidRDefault="00977942" w:rsidP="000262D3">
            <w:pPr>
              <w:ind w:left="32"/>
              <w:rPr>
                <w:sz w:val="24"/>
                <w:szCs w:val="24"/>
              </w:rPr>
            </w:pPr>
            <w:r w:rsidRPr="000262D3">
              <w:rPr>
                <w:sz w:val="24"/>
                <w:szCs w:val="24"/>
              </w:rPr>
              <w:t>Frakturer i håndled/Colles</w:t>
            </w:r>
          </w:p>
        </w:tc>
        <w:tc>
          <w:tcPr>
            <w:tcW w:w="1318" w:type="pct"/>
            <w:tcBorders>
              <w:top w:val="single" w:sz="4" w:space="0" w:color="auto"/>
              <w:left w:val="single" w:sz="4" w:space="0" w:color="auto"/>
              <w:bottom w:val="single" w:sz="4" w:space="0" w:color="auto"/>
              <w:right w:val="single" w:sz="4" w:space="0" w:color="auto"/>
            </w:tcBorders>
            <w:hideMark/>
          </w:tcPr>
          <w:p w14:paraId="58B90982" w14:textId="77777777" w:rsidR="00977942" w:rsidRPr="000262D3" w:rsidRDefault="00977942" w:rsidP="000262D3">
            <w:pPr>
              <w:ind w:left="32"/>
              <w:rPr>
                <w:sz w:val="24"/>
                <w:szCs w:val="24"/>
              </w:rPr>
            </w:pPr>
            <w:r w:rsidRPr="000262D3">
              <w:rPr>
                <w:sz w:val="24"/>
                <w:szCs w:val="24"/>
              </w:rPr>
              <w:t>67 (2,2 %)</w:t>
            </w:r>
          </w:p>
        </w:tc>
        <w:tc>
          <w:tcPr>
            <w:tcW w:w="1287" w:type="pct"/>
            <w:tcBorders>
              <w:top w:val="single" w:sz="4" w:space="0" w:color="auto"/>
              <w:left w:val="single" w:sz="4" w:space="0" w:color="auto"/>
              <w:bottom w:val="single" w:sz="4" w:space="0" w:color="auto"/>
              <w:right w:val="single" w:sz="4" w:space="0" w:color="auto"/>
            </w:tcBorders>
            <w:hideMark/>
          </w:tcPr>
          <w:p w14:paraId="4DAE9B7D" w14:textId="77777777" w:rsidR="00977942" w:rsidRPr="000262D3" w:rsidRDefault="00977942" w:rsidP="000262D3">
            <w:pPr>
              <w:ind w:left="32"/>
              <w:rPr>
                <w:sz w:val="24"/>
                <w:szCs w:val="24"/>
              </w:rPr>
            </w:pPr>
            <w:r w:rsidRPr="000262D3">
              <w:rPr>
                <w:sz w:val="24"/>
                <w:szCs w:val="24"/>
              </w:rPr>
              <w:t>50 (1,6 %)</w:t>
            </w:r>
          </w:p>
        </w:tc>
      </w:tr>
      <w:tr w:rsidR="00977942" w:rsidRPr="000262D3" w14:paraId="694A09F7"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3292ED25" w14:textId="77777777" w:rsidR="00977942" w:rsidRPr="000262D3" w:rsidRDefault="00977942" w:rsidP="000262D3">
            <w:pPr>
              <w:ind w:left="32"/>
              <w:rPr>
                <w:sz w:val="24"/>
                <w:szCs w:val="24"/>
              </w:rPr>
            </w:pPr>
            <w:r w:rsidRPr="000262D3">
              <w:rPr>
                <w:sz w:val="24"/>
                <w:szCs w:val="24"/>
              </w:rPr>
              <w:t>Frakturer i rygraden</w:t>
            </w:r>
          </w:p>
        </w:tc>
        <w:tc>
          <w:tcPr>
            <w:tcW w:w="1318" w:type="pct"/>
            <w:tcBorders>
              <w:top w:val="single" w:sz="4" w:space="0" w:color="auto"/>
              <w:left w:val="single" w:sz="4" w:space="0" w:color="auto"/>
              <w:bottom w:val="single" w:sz="4" w:space="0" w:color="auto"/>
              <w:right w:val="single" w:sz="4" w:space="0" w:color="auto"/>
            </w:tcBorders>
            <w:hideMark/>
          </w:tcPr>
          <w:p w14:paraId="49A079C9" w14:textId="77777777" w:rsidR="00977942" w:rsidRPr="000262D3" w:rsidRDefault="00977942" w:rsidP="000262D3">
            <w:pPr>
              <w:ind w:left="32"/>
              <w:rPr>
                <w:sz w:val="24"/>
                <w:szCs w:val="24"/>
              </w:rPr>
            </w:pPr>
            <w:r w:rsidRPr="000262D3">
              <w:rPr>
                <w:sz w:val="24"/>
                <w:szCs w:val="24"/>
              </w:rPr>
              <w:t>43 (1,4 %)</w:t>
            </w:r>
          </w:p>
        </w:tc>
        <w:tc>
          <w:tcPr>
            <w:tcW w:w="1287" w:type="pct"/>
            <w:tcBorders>
              <w:top w:val="single" w:sz="4" w:space="0" w:color="auto"/>
              <w:left w:val="single" w:sz="4" w:space="0" w:color="auto"/>
              <w:bottom w:val="single" w:sz="4" w:space="0" w:color="auto"/>
              <w:right w:val="single" w:sz="4" w:space="0" w:color="auto"/>
            </w:tcBorders>
            <w:hideMark/>
          </w:tcPr>
          <w:p w14:paraId="2C6CE997" w14:textId="77777777" w:rsidR="00977942" w:rsidRPr="000262D3" w:rsidRDefault="00977942" w:rsidP="000262D3">
            <w:pPr>
              <w:ind w:left="32"/>
              <w:rPr>
                <w:sz w:val="24"/>
                <w:szCs w:val="24"/>
              </w:rPr>
            </w:pPr>
            <w:r w:rsidRPr="000262D3">
              <w:rPr>
                <w:sz w:val="24"/>
                <w:szCs w:val="24"/>
              </w:rPr>
              <w:t>22 (0,7 %)</w:t>
            </w:r>
          </w:p>
        </w:tc>
      </w:tr>
      <w:tr w:rsidR="00977942" w:rsidRPr="000262D3" w14:paraId="65A4D428"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586D26D7" w14:textId="77777777" w:rsidR="00977942" w:rsidRPr="000262D3" w:rsidRDefault="00977942" w:rsidP="000262D3">
            <w:pPr>
              <w:ind w:left="32"/>
              <w:rPr>
                <w:sz w:val="24"/>
                <w:szCs w:val="24"/>
              </w:rPr>
            </w:pPr>
            <w:r w:rsidRPr="000262D3">
              <w:rPr>
                <w:sz w:val="24"/>
                <w:szCs w:val="24"/>
              </w:rPr>
              <w:t>Frakturer i hoften</w:t>
            </w:r>
          </w:p>
        </w:tc>
        <w:tc>
          <w:tcPr>
            <w:tcW w:w="1318" w:type="pct"/>
            <w:tcBorders>
              <w:top w:val="single" w:sz="4" w:space="0" w:color="auto"/>
              <w:left w:val="single" w:sz="4" w:space="0" w:color="auto"/>
              <w:bottom w:val="single" w:sz="4" w:space="0" w:color="auto"/>
              <w:right w:val="single" w:sz="4" w:space="0" w:color="auto"/>
            </w:tcBorders>
            <w:hideMark/>
          </w:tcPr>
          <w:p w14:paraId="6E77E556" w14:textId="77777777" w:rsidR="00977942" w:rsidRPr="000262D3" w:rsidRDefault="00977942" w:rsidP="000262D3">
            <w:pPr>
              <w:ind w:left="32"/>
              <w:rPr>
                <w:sz w:val="24"/>
                <w:szCs w:val="24"/>
              </w:rPr>
            </w:pPr>
            <w:r w:rsidRPr="000262D3">
              <w:rPr>
                <w:sz w:val="24"/>
                <w:szCs w:val="24"/>
              </w:rPr>
              <w:t>28 (0,9 %)</w:t>
            </w:r>
          </w:p>
        </w:tc>
        <w:tc>
          <w:tcPr>
            <w:tcW w:w="1287" w:type="pct"/>
            <w:tcBorders>
              <w:top w:val="single" w:sz="4" w:space="0" w:color="auto"/>
              <w:left w:val="single" w:sz="4" w:space="0" w:color="auto"/>
              <w:bottom w:val="single" w:sz="4" w:space="0" w:color="auto"/>
              <w:right w:val="single" w:sz="4" w:space="0" w:color="auto"/>
            </w:tcBorders>
            <w:hideMark/>
          </w:tcPr>
          <w:p w14:paraId="08A60F47" w14:textId="77777777" w:rsidR="00977942" w:rsidRPr="000262D3" w:rsidRDefault="00977942" w:rsidP="000262D3">
            <w:pPr>
              <w:ind w:left="32"/>
              <w:rPr>
                <w:sz w:val="24"/>
                <w:szCs w:val="24"/>
              </w:rPr>
            </w:pPr>
            <w:r w:rsidRPr="000262D3">
              <w:rPr>
                <w:sz w:val="24"/>
                <w:szCs w:val="24"/>
              </w:rPr>
              <w:t>26 (0,8 %)</w:t>
            </w:r>
          </w:p>
        </w:tc>
      </w:tr>
      <w:tr w:rsidR="00977942" w:rsidRPr="000262D3" w14:paraId="375120AF"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7F6BF9AA" w14:textId="77777777" w:rsidR="00977942" w:rsidRPr="000262D3" w:rsidRDefault="00977942" w:rsidP="000262D3">
            <w:pPr>
              <w:ind w:left="32"/>
              <w:rPr>
                <w:sz w:val="24"/>
                <w:szCs w:val="24"/>
              </w:rPr>
            </w:pPr>
            <w:r w:rsidRPr="000262D3">
              <w:rPr>
                <w:sz w:val="24"/>
                <w:szCs w:val="24"/>
              </w:rPr>
              <w:t>Katarakt</w:t>
            </w:r>
          </w:p>
        </w:tc>
        <w:tc>
          <w:tcPr>
            <w:tcW w:w="1318" w:type="pct"/>
            <w:tcBorders>
              <w:top w:val="single" w:sz="4" w:space="0" w:color="auto"/>
              <w:left w:val="single" w:sz="4" w:space="0" w:color="auto"/>
              <w:bottom w:val="single" w:sz="4" w:space="0" w:color="auto"/>
              <w:right w:val="single" w:sz="4" w:space="0" w:color="auto"/>
            </w:tcBorders>
            <w:hideMark/>
          </w:tcPr>
          <w:p w14:paraId="6C55E79D" w14:textId="77777777" w:rsidR="00977942" w:rsidRPr="000262D3" w:rsidRDefault="00977942" w:rsidP="000262D3">
            <w:pPr>
              <w:ind w:left="32"/>
              <w:rPr>
                <w:sz w:val="24"/>
                <w:szCs w:val="24"/>
              </w:rPr>
            </w:pPr>
            <w:r w:rsidRPr="000262D3">
              <w:rPr>
                <w:sz w:val="24"/>
                <w:szCs w:val="24"/>
              </w:rPr>
              <w:t>182 (5,9 %)</w:t>
            </w:r>
          </w:p>
        </w:tc>
        <w:tc>
          <w:tcPr>
            <w:tcW w:w="1287" w:type="pct"/>
            <w:tcBorders>
              <w:top w:val="single" w:sz="4" w:space="0" w:color="auto"/>
              <w:left w:val="single" w:sz="4" w:space="0" w:color="auto"/>
              <w:bottom w:val="single" w:sz="4" w:space="0" w:color="auto"/>
              <w:right w:val="single" w:sz="4" w:space="0" w:color="auto"/>
            </w:tcBorders>
            <w:hideMark/>
          </w:tcPr>
          <w:p w14:paraId="36A371CA" w14:textId="77777777" w:rsidR="00977942" w:rsidRPr="000262D3" w:rsidRDefault="00977942" w:rsidP="000262D3">
            <w:pPr>
              <w:ind w:left="32"/>
              <w:rPr>
                <w:sz w:val="24"/>
                <w:szCs w:val="24"/>
              </w:rPr>
            </w:pPr>
            <w:r w:rsidRPr="000262D3">
              <w:rPr>
                <w:sz w:val="24"/>
                <w:szCs w:val="24"/>
              </w:rPr>
              <w:t>213 (6,9 %)</w:t>
            </w:r>
          </w:p>
        </w:tc>
      </w:tr>
      <w:tr w:rsidR="00977942" w:rsidRPr="000262D3" w14:paraId="7142C98E"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3E5FAC4C" w14:textId="77777777" w:rsidR="00977942" w:rsidRPr="000262D3" w:rsidRDefault="00977942" w:rsidP="000262D3">
            <w:pPr>
              <w:ind w:left="32"/>
              <w:rPr>
                <w:sz w:val="24"/>
                <w:szCs w:val="24"/>
              </w:rPr>
            </w:pPr>
            <w:r w:rsidRPr="000262D3">
              <w:rPr>
                <w:sz w:val="24"/>
                <w:szCs w:val="24"/>
              </w:rPr>
              <w:t>Vaginalblødning</w:t>
            </w:r>
          </w:p>
        </w:tc>
        <w:tc>
          <w:tcPr>
            <w:tcW w:w="1318" w:type="pct"/>
            <w:tcBorders>
              <w:top w:val="single" w:sz="4" w:space="0" w:color="auto"/>
              <w:left w:val="single" w:sz="4" w:space="0" w:color="auto"/>
              <w:bottom w:val="single" w:sz="4" w:space="0" w:color="auto"/>
              <w:right w:val="single" w:sz="4" w:space="0" w:color="auto"/>
            </w:tcBorders>
            <w:hideMark/>
          </w:tcPr>
          <w:p w14:paraId="7761A776" w14:textId="77777777" w:rsidR="00977942" w:rsidRPr="000262D3" w:rsidRDefault="00977942" w:rsidP="000262D3">
            <w:pPr>
              <w:ind w:left="32"/>
              <w:rPr>
                <w:sz w:val="24"/>
                <w:szCs w:val="24"/>
              </w:rPr>
            </w:pPr>
            <w:r w:rsidRPr="000262D3">
              <w:rPr>
                <w:sz w:val="24"/>
                <w:szCs w:val="24"/>
              </w:rPr>
              <w:t>167 (5,4 %)</w:t>
            </w:r>
          </w:p>
        </w:tc>
        <w:tc>
          <w:tcPr>
            <w:tcW w:w="1287" w:type="pct"/>
            <w:tcBorders>
              <w:top w:val="single" w:sz="4" w:space="0" w:color="auto"/>
              <w:left w:val="single" w:sz="4" w:space="0" w:color="auto"/>
              <w:bottom w:val="single" w:sz="4" w:space="0" w:color="auto"/>
              <w:right w:val="single" w:sz="4" w:space="0" w:color="auto"/>
            </w:tcBorders>
            <w:hideMark/>
          </w:tcPr>
          <w:p w14:paraId="7862617C" w14:textId="77777777" w:rsidR="00977942" w:rsidRPr="000262D3" w:rsidRDefault="00977942" w:rsidP="000262D3">
            <w:pPr>
              <w:ind w:left="32"/>
              <w:rPr>
                <w:sz w:val="24"/>
                <w:szCs w:val="24"/>
              </w:rPr>
            </w:pPr>
            <w:r w:rsidRPr="000262D3">
              <w:rPr>
                <w:sz w:val="24"/>
                <w:szCs w:val="24"/>
              </w:rPr>
              <w:t>317 (10,2 %)</w:t>
            </w:r>
          </w:p>
        </w:tc>
      </w:tr>
      <w:tr w:rsidR="00977942" w:rsidRPr="000262D3" w14:paraId="532AD83D"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2A3B4200" w14:textId="77777777" w:rsidR="00977942" w:rsidRPr="000262D3" w:rsidRDefault="00977942" w:rsidP="000262D3">
            <w:pPr>
              <w:ind w:left="32"/>
              <w:rPr>
                <w:sz w:val="24"/>
                <w:szCs w:val="24"/>
              </w:rPr>
            </w:pPr>
            <w:r w:rsidRPr="000262D3">
              <w:rPr>
                <w:sz w:val="24"/>
                <w:szCs w:val="24"/>
              </w:rPr>
              <w:t>Iskæmisk hjerte-karsygdom</w:t>
            </w:r>
          </w:p>
        </w:tc>
        <w:tc>
          <w:tcPr>
            <w:tcW w:w="1318" w:type="pct"/>
            <w:tcBorders>
              <w:top w:val="single" w:sz="4" w:space="0" w:color="auto"/>
              <w:left w:val="single" w:sz="4" w:space="0" w:color="auto"/>
              <w:bottom w:val="single" w:sz="4" w:space="0" w:color="auto"/>
              <w:right w:val="single" w:sz="4" w:space="0" w:color="auto"/>
            </w:tcBorders>
            <w:hideMark/>
          </w:tcPr>
          <w:p w14:paraId="3E5FC5C1" w14:textId="77777777" w:rsidR="00977942" w:rsidRPr="000262D3" w:rsidRDefault="00977942" w:rsidP="000262D3">
            <w:pPr>
              <w:ind w:left="32"/>
              <w:rPr>
                <w:sz w:val="24"/>
                <w:szCs w:val="24"/>
              </w:rPr>
            </w:pPr>
            <w:r w:rsidRPr="000262D3">
              <w:rPr>
                <w:sz w:val="24"/>
                <w:szCs w:val="24"/>
              </w:rPr>
              <w:t>127 (4,1 %)</w:t>
            </w:r>
          </w:p>
        </w:tc>
        <w:tc>
          <w:tcPr>
            <w:tcW w:w="1287" w:type="pct"/>
            <w:tcBorders>
              <w:top w:val="single" w:sz="4" w:space="0" w:color="auto"/>
              <w:left w:val="single" w:sz="4" w:space="0" w:color="auto"/>
              <w:bottom w:val="single" w:sz="4" w:space="0" w:color="auto"/>
              <w:right w:val="single" w:sz="4" w:space="0" w:color="auto"/>
            </w:tcBorders>
            <w:hideMark/>
          </w:tcPr>
          <w:p w14:paraId="7B324916" w14:textId="77777777" w:rsidR="00977942" w:rsidRPr="000262D3" w:rsidRDefault="00977942" w:rsidP="000262D3">
            <w:pPr>
              <w:ind w:left="32"/>
              <w:rPr>
                <w:sz w:val="24"/>
                <w:szCs w:val="24"/>
              </w:rPr>
            </w:pPr>
            <w:r w:rsidRPr="000262D3">
              <w:rPr>
                <w:sz w:val="24"/>
                <w:szCs w:val="24"/>
              </w:rPr>
              <w:t>104 (3,4 %)</w:t>
            </w:r>
          </w:p>
        </w:tc>
      </w:tr>
      <w:tr w:rsidR="00977942" w:rsidRPr="000262D3" w14:paraId="220F9B69"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2DB670C1" w14:textId="77777777" w:rsidR="00977942" w:rsidRPr="000262D3" w:rsidRDefault="00977942" w:rsidP="000262D3">
            <w:pPr>
              <w:ind w:left="32"/>
              <w:rPr>
                <w:sz w:val="24"/>
                <w:szCs w:val="24"/>
              </w:rPr>
            </w:pPr>
            <w:r w:rsidRPr="000262D3">
              <w:rPr>
                <w:sz w:val="24"/>
                <w:szCs w:val="24"/>
              </w:rPr>
              <w:t>Angina pectoris</w:t>
            </w:r>
          </w:p>
        </w:tc>
        <w:tc>
          <w:tcPr>
            <w:tcW w:w="1318" w:type="pct"/>
            <w:tcBorders>
              <w:top w:val="single" w:sz="4" w:space="0" w:color="auto"/>
              <w:left w:val="single" w:sz="4" w:space="0" w:color="auto"/>
              <w:bottom w:val="single" w:sz="4" w:space="0" w:color="auto"/>
              <w:right w:val="single" w:sz="4" w:space="0" w:color="auto"/>
            </w:tcBorders>
            <w:hideMark/>
          </w:tcPr>
          <w:p w14:paraId="4B1078B9" w14:textId="77777777" w:rsidR="00977942" w:rsidRPr="000262D3" w:rsidRDefault="00977942" w:rsidP="000262D3">
            <w:pPr>
              <w:ind w:left="32"/>
              <w:rPr>
                <w:sz w:val="24"/>
                <w:szCs w:val="24"/>
              </w:rPr>
            </w:pPr>
            <w:r w:rsidRPr="000262D3">
              <w:rPr>
                <w:sz w:val="24"/>
                <w:szCs w:val="24"/>
              </w:rPr>
              <w:t>71 (2,3 %)</w:t>
            </w:r>
          </w:p>
        </w:tc>
        <w:tc>
          <w:tcPr>
            <w:tcW w:w="1287" w:type="pct"/>
            <w:tcBorders>
              <w:top w:val="single" w:sz="4" w:space="0" w:color="auto"/>
              <w:left w:val="single" w:sz="4" w:space="0" w:color="auto"/>
              <w:bottom w:val="single" w:sz="4" w:space="0" w:color="auto"/>
              <w:right w:val="single" w:sz="4" w:space="0" w:color="auto"/>
            </w:tcBorders>
            <w:hideMark/>
          </w:tcPr>
          <w:p w14:paraId="51F43E87" w14:textId="77777777" w:rsidR="00977942" w:rsidRPr="000262D3" w:rsidRDefault="00977942" w:rsidP="000262D3">
            <w:pPr>
              <w:ind w:left="32"/>
              <w:rPr>
                <w:sz w:val="24"/>
                <w:szCs w:val="24"/>
              </w:rPr>
            </w:pPr>
            <w:r w:rsidRPr="000262D3">
              <w:rPr>
                <w:sz w:val="24"/>
                <w:szCs w:val="24"/>
              </w:rPr>
              <w:t>51 (1,6 %)</w:t>
            </w:r>
          </w:p>
        </w:tc>
      </w:tr>
      <w:tr w:rsidR="00977942" w:rsidRPr="000262D3" w14:paraId="620892C9"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4BC9C0DE" w14:textId="77777777" w:rsidR="00977942" w:rsidRPr="000262D3" w:rsidRDefault="00977942" w:rsidP="000262D3">
            <w:pPr>
              <w:ind w:left="32"/>
              <w:rPr>
                <w:sz w:val="24"/>
                <w:szCs w:val="24"/>
              </w:rPr>
            </w:pPr>
            <w:r w:rsidRPr="000262D3">
              <w:rPr>
                <w:sz w:val="24"/>
                <w:szCs w:val="24"/>
              </w:rPr>
              <w:t>Myokardieinfarkt</w:t>
            </w:r>
          </w:p>
        </w:tc>
        <w:tc>
          <w:tcPr>
            <w:tcW w:w="1318" w:type="pct"/>
            <w:tcBorders>
              <w:top w:val="single" w:sz="4" w:space="0" w:color="auto"/>
              <w:left w:val="single" w:sz="4" w:space="0" w:color="auto"/>
              <w:bottom w:val="single" w:sz="4" w:space="0" w:color="auto"/>
              <w:right w:val="single" w:sz="4" w:space="0" w:color="auto"/>
            </w:tcBorders>
            <w:hideMark/>
          </w:tcPr>
          <w:p w14:paraId="15F8E78F" w14:textId="77777777" w:rsidR="00977942" w:rsidRPr="000262D3" w:rsidRDefault="00977942" w:rsidP="000262D3">
            <w:pPr>
              <w:ind w:left="32"/>
              <w:rPr>
                <w:sz w:val="24"/>
                <w:szCs w:val="24"/>
              </w:rPr>
            </w:pPr>
            <w:r w:rsidRPr="000262D3">
              <w:rPr>
                <w:sz w:val="24"/>
                <w:szCs w:val="24"/>
              </w:rPr>
              <w:t>37 (1,2 %)</w:t>
            </w:r>
          </w:p>
        </w:tc>
        <w:tc>
          <w:tcPr>
            <w:tcW w:w="1287" w:type="pct"/>
            <w:tcBorders>
              <w:top w:val="single" w:sz="4" w:space="0" w:color="auto"/>
              <w:left w:val="single" w:sz="4" w:space="0" w:color="auto"/>
              <w:bottom w:val="single" w:sz="4" w:space="0" w:color="auto"/>
              <w:right w:val="single" w:sz="4" w:space="0" w:color="auto"/>
            </w:tcBorders>
            <w:hideMark/>
          </w:tcPr>
          <w:p w14:paraId="08D80370" w14:textId="77777777" w:rsidR="00977942" w:rsidRPr="000262D3" w:rsidRDefault="00977942" w:rsidP="000262D3">
            <w:pPr>
              <w:ind w:left="32"/>
              <w:rPr>
                <w:sz w:val="24"/>
                <w:szCs w:val="24"/>
              </w:rPr>
            </w:pPr>
            <w:r w:rsidRPr="000262D3">
              <w:rPr>
                <w:sz w:val="24"/>
                <w:szCs w:val="24"/>
              </w:rPr>
              <w:t>34 (1,1 %)</w:t>
            </w:r>
          </w:p>
        </w:tc>
      </w:tr>
      <w:tr w:rsidR="00977942" w:rsidRPr="000262D3" w14:paraId="65A62524"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7DF42493" w14:textId="77777777" w:rsidR="00977942" w:rsidRPr="000262D3" w:rsidRDefault="00977942" w:rsidP="000262D3">
            <w:pPr>
              <w:ind w:left="32"/>
              <w:rPr>
                <w:sz w:val="24"/>
                <w:szCs w:val="24"/>
              </w:rPr>
            </w:pPr>
            <w:r w:rsidRPr="000262D3">
              <w:rPr>
                <w:sz w:val="24"/>
                <w:szCs w:val="24"/>
              </w:rPr>
              <w:t>Koronar hjertesygdom</w:t>
            </w:r>
          </w:p>
        </w:tc>
        <w:tc>
          <w:tcPr>
            <w:tcW w:w="1318" w:type="pct"/>
            <w:tcBorders>
              <w:top w:val="single" w:sz="4" w:space="0" w:color="auto"/>
              <w:left w:val="single" w:sz="4" w:space="0" w:color="auto"/>
              <w:bottom w:val="single" w:sz="4" w:space="0" w:color="auto"/>
              <w:right w:val="single" w:sz="4" w:space="0" w:color="auto"/>
            </w:tcBorders>
            <w:hideMark/>
          </w:tcPr>
          <w:p w14:paraId="1A2C0966" w14:textId="77777777" w:rsidR="00977942" w:rsidRPr="000262D3" w:rsidRDefault="00977942" w:rsidP="000262D3">
            <w:pPr>
              <w:ind w:left="32"/>
              <w:rPr>
                <w:sz w:val="24"/>
                <w:szCs w:val="24"/>
              </w:rPr>
            </w:pPr>
            <w:r w:rsidRPr="000262D3">
              <w:rPr>
                <w:sz w:val="24"/>
                <w:szCs w:val="24"/>
              </w:rPr>
              <w:t>25 (0,8 %)</w:t>
            </w:r>
          </w:p>
        </w:tc>
        <w:tc>
          <w:tcPr>
            <w:tcW w:w="1287" w:type="pct"/>
            <w:tcBorders>
              <w:top w:val="single" w:sz="4" w:space="0" w:color="auto"/>
              <w:left w:val="single" w:sz="4" w:space="0" w:color="auto"/>
              <w:bottom w:val="single" w:sz="4" w:space="0" w:color="auto"/>
              <w:right w:val="single" w:sz="4" w:space="0" w:color="auto"/>
            </w:tcBorders>
            <w:hideMark/>
          </w:tcPr>
          <w:p w14:paraId="26715A69" w14:textId="77777777" w:rsidR="00977942" w:rsidRPr="000262D3" w:rsidRDefault="00977942" w:rsidP="000262D3">
            <w:pPr>
              <w:ind w:left="32"/>
              <w:rPr>
                <w:sz w:val="24"/>
                <w:szCs w:val="24"/>
              </w:rPr>
            </w:pPr>
            <w:r w:rsidRPr="000262D3">
              <w:rPr>
                <w:sz w:val="24"/>
                <w:szCs w:val="24"/>
              </w:rPr>
              <w:t>23 (0,7 %)</w:t>
            </w:r>
          </w:p>
        </w:tc>
      </w:tr>
      <w:tr w:rsidR="00977942" w:rsidRPr="000262D3" w14:paraId="176444DA"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31EBBC5B" w14:textId="77777777" w:rsidR="00977942" w:rsidRPr="000262D3" w:rsidRDefault="00977942" w:rsidP="000262D3">
            <w:pPr>
              <w:ind w:left="32"/>
              <w:rPr>
                <w:sz w:val="24"/>
                <w:szCs w:val="24"/>
              </w:rPr>
            </w:pPr>
            <w:r w:rsidRPr="000262D3">
              <w:rPr>
                <w:sz w:val="24"/>
                <w:szCs w:val="24"/>
              </w:rPr>
              <w:t>Myokardieiskæmi</w:t>
            </w:r>
          </w:p>
        </w:tc>
        <w:tc>
          <w:tcPr>
            <w:tcW w:w="1318" w:type="pct"/>
            <w:tcBorders>
              <w:top w:val="single" w:sz="4" w:space="0" w:color="auto"/>
              <w:left w:val="single" w:sz="4" w:space="0" w:color="auto"/>
              <w:bottom w:val="single" w:sz="4" w:space="0" w:color="auto"/>
              <w:right w:val="single" w:sz="4" w:space="0" w:color="auto"/>
            </w:tcBorders>
            <w:hideMark/>
          </w:tcPr>
          <w:p w14:paraId="3BA5C693" w14:textId="77777777" w:rsidR="00977942" w:rsidRPr="000262D3" w:rsidRDefault="00977942" w:rsidP="000262D3">
            <w:pPr>
              <w:ind w:left="32"/>
              <w:rPr>
                <w:sz w:val="24"/>
                <w:szCs w:val="24"/>
              </w:rPr>
            </w:pPr>
            <w:r w:rsidRPr="000262D3">
              <w:rPr>
                <w:sz w:val="24"/>
                <w:szCs w:val="24"/>
              </w:rPr>
              <w:t>22 (0,7 %)</w:t>
            </w:r>
          </w:p>
        </w:tc>
        <w:tc>
          <w:tcPr>
            <w:tcW w:w="1287" w:type="pct"/>
            <w:tcBorders>
              <w:top w:val="single" w:sz="4" w:space="0" w:color="auto"/>
              <w:left w:val="single" w:sz="4" w:space="0" w:color="auto"/>
              <w:bottom w:val="single" w:sz="4" w:space="0" w:color="auto"/>
              <w:right w:val="single" w:sz="4" w:space="0" w:color="auto"/>
            </w:tcBorders>
            <w:hideMark/>
          </w:tcPr>
          <w:p w14:paraId="61BFD53C" w14:textId="77777777" w:rsidR="00977942" w:rsidRPr="000262D3" w:rsidRDefault="00977942" w:rsidP="000262D3">
            <w:pPr>
              <w:ind w:left="32"/>
              <w:rPr>
                <w:sz w:val="24"/>
                <w:szCs w:val="24"/>
              </w:rPr>
            </w:pPr>
            <w:r w:rsidRPr="000262D3">
              <w:rPr>
                <w:sz w:val="24"/>
                <w:szCs w:val="24"/>
              </w:rPr>
              <w:t>14 (0,5 %)</w:t>
            </w:r>
          </w:p>
        </w:tc>
      </w:tr>
      <w:tr w:rsidR="00977942" w:rsidRPr="000262D3" w14:paraId="723941EA"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7CB221CE" w14:textId="77777777" w:rsidR="00977942" w:rsidRPr="000262D3" w:rsidRDefault="00977942" w:rsidP="000262D3">
            <w:pPr>
              <w:ind w:left="32"/>
              <w:rPr>
                <w:sz w:val="24"/>
                <w:szCs w:val="24"/>
              </w:rPr>
            </w:pPr>
            <w:r w:rsidRPr="000262D3">
              <w:rPr>
                <w:sz w:val="24"/>
                <w:szCs w:val="24"/>
              </w:rPr>
              <w:t>Vaginalt udflåd</w:t>
            </w:r>
          </w:p>
        </w:tc>
        <w:tc>
          <w:tcPr>
            <w:tcW w:w="1318" w:type="pct"/>
            <w:tcBorders>
              <w:top w:val="single" w:sz="4" w:space="0" w:color="auto"/>
              <w:left w:val="single" w:sz="4" w:space="0" w:color="auto"/>
              <w:bottom w:val="single" w:sz="4" w:space="0" w:color="auto"/>
              <w:right w:val="single" w:sz="4" w:space="0" w:color="auto"/>
            </w:tcBorders>
            <w:hideMark/>
          </w:tcPr>
          <w:p w14:paraId="58C7C808" w14:textId="77777777" w:rsidR="00977942" w:rsidRPr="000262D3" w:rsidRDefault="00977942" w:rsidP="000262D3">
            <w:pPr>
              <w:ind w:left="32"/>
              <w:rPr>
                <w:sz w:val="24"/>
                <w:szCs w:val="24"/>
              </w:rPr>
            </w:pPr>
            <w:r w:rsidRPr="000262D3">
              <w:rPr>
                <w:sz w:val="24"/>
                <w:szCs w:val="24"/>
              </w:rPr>
              <w:t>109 (3,5 %)</w:t>
            </w:r>
          </w:p>
        </w:tc>
        <w:tc>
          <w:tcPr>
            <w:tcW w:w="1287" w:type="pct"/>
            <w:tcBorders>
              <w:top w:val="single" w:sz="4" w:space="0" w:color="auto"/>
              <w:left w:val="single" w:sz="4" w:space="0" w:color="auto"/>
              <w:bottom w:val="single" w:sz="4" w:space="0" w:color="auto"/>
              <w:right w:val="single" w:sz="4" w:space="0" w:color="auto"/>
            </w:tcBorders>
            <w:hideMark/>
          </w:tcPr>
          <w:p w14:paraId="0351BFD7" w14:textId="77777777" w:rsidR="00977942" w:rsidRPr="000262D3" w:rsidRDefault="00977942" w:rsidP="000262D3">
            <w:pPr>
              <w:ind w:left="32"/>
              <w:rPr>
                <w:sz w:val="24"/>
                <w:szCs w:val="24"/>
              </w:rPr>
            </w:pPr>
            <w:r w:rsidRPr="000262D3">
              <w:rPr>
                <w:sz w:val="24"/>
                <w:szCs w:val="24"/>
              </w:rPr>
              <w:t>408 (13,2 %)</w:t>
            </w:r>
          </w:p>
        </w:tc>
      </w:tr>
      <w:tr w:rsidR="00977942" w:rsidRPr="000262D3" w14:paraId="631E386A"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19A2B1A9" w14:textId="77777777" w:rsidR="00977942" w:rsidRPr="000262D3" w:rsidRDefault="00977942" w:rsidP="000262D3">
            <w:pPr>
              <w:ind w:left="32"/>
              <w:rPr>
                <w:sz w:val="24"/>
                <w:szCs w:val="24"/>
              </w:rPr>
            </w:pPr>
            <w:r w:rsidRPr="000262D3">
              <w:rPr>
                <w:sz w:val="24"/>
                <w:szCs w:val="24"/>
              </w:rPr>
              <w:t>Enhver venøs tromboembolisk hændelse</w:t>
            </w:r>
          </w:p>
        </w:tc>
        <w:tc>
          <w:tcPr>
            <w:tcW w:w="1318" w:type="pct"/>
            <w:tcBorders>
              <w:top w:val="single" w:sz="4" w:space="0" w:color="auto"/>
              <w:left w:val="single" w:sz="4" w:space="0" w:color="auto"/>
              <w:bottom w:val="single" w:sz="4" w:space="0" w:color="auto"/>
              <w:right w:val="single" w:sz="4" w:space="0" w:color="auto"/>
            </w:tcBorders>
            <w:hideMark/>
          </w:tcPr>
          <w:p w14:paraId="11867059" w14:textId="77777777" w:rsidR="00977942" w:rsidRPr="000262D3" w:rsidRDefault="00977942" w:rsidP="000262D3">
            <w:pPr>
              <w:ind w:left="32"/>
              <w:rPr>
                <w:sz w:val="24"/>
                <w:szCs w:val="24"/>
              </w:rPr>
            </w:pPr>
            <w:r w:rsidRPr="000262D3">
              <w:rPr>
                <w:sz w:val="24"/>
                <w:szCs w:val="24"/>
              </w:rPr>
              <w:t>87 (2,8 %)</w:t>
            </w:r>
          </w:p>
        </w:tc>
        <w:tc>
          <w:tcPr>
            <w:tcW w:w="1287" w:type="pct"/>
            <w:tcBorders>
              <w:top w:val="single" w:sz="4" w:space="0" w:color="auto"/>
              <w:left w:val="single" w:sz="4" w:space="0" w:color="auto"/>
              <w:bottom w:val="single" w:sz="4" w:space="0" w:color="auto"/>
              <w:right w:val="single" w:sz="4" w:space="0" w:color="auto"/>
            </w:tcBorders>
            <w:hideMark/>
          </w:tcPr>
          <w:p w14:paraId="6D90B28A" w14:textId="77777777" w:rsidR="00977942" w:rsidRPr="000262D3" w:rsidRDefault="00977942" w:rsidP="000262D3">
            <w:pPr>
              <w:ind w:left="32"/>
              <w:rPr>
                <w:sz w:val="24"/>
                <w:szCs w:val="24"/>
              </w:rPr>
            </w:pPr>
            <w:r w:rsidRPr="000262D3">
              <w:rPr>
                <w:sz w:val="24"/>
                <w:szCs w:val="24"/>
              </w:rPr>
              <w:t>140 (4,5 %)</w:t>
            </w:r>
          </w:p>
        </w:tc>
      </w:tr>
      <w:tr w:rsidR="00977942" w:rsidRPr="000262D3" w14:paraId="030AF3EC"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19672416" w14:textId="77777777" w:rsidR="00977942" w:rsidRPr="000262D3" w:rsidRDefault="00977942" w:rsidP="000262D3">
            <w:pPr>
              <w:ind w:left="32"/>
              <w:rPr>
                <w:sz w:val="24"/>
                <w:szCs w:val="24"/>
              </w:rPr>
            </w:pPr>
            <w:r w:rsidRPr="000262D3">
              <w:rPr>
                <w:sz w:val="24"/>
                <w:szCs w:val="24"/>
              </w:rPr>
              <w:t>Dyb venetrombose, inklusive lungeemboli</w:t>
            </w:r>
          </w:p>
        </w:tc>
        <w:tc>
          <w:tcPr>
            <w:tcW w:w="1318" w:type="pct"/>
            <w:tcBorders>
              <w:top w:val="single" w:sz="4" w:space="0" w:color="auto"/>
              <w:left w:val="single" w:sz="4" w:space="0" w:color="auto"/>
              <w:bottom w:val="single" w:sz="4" w:space="0" w:color="auto"/>
              <w:right w:val="single" w:sz="4" w:space="0" w:color="auto"/>
            </w:tcBorders>
            <w:hideMark/>
          </w:tcPr>
          <w:p w14:paraId="24E010D9" w14:textId="77777777" w:rsidR="00977942" w:rsidRPr="000262D3" w:rsidRDefault="00977942" w:rsidP="000262D3">
            <w:pPr>
              <w:ind w:left="32"/>
              <w:rPr>
                <w:sz w:val="24"/>
                <w:szCs w:val="24"/>
              </w:rPr>
            </w:pPr>
            <w:r w:rsidRPr="000262D3">
              <w:rPr>
                <w:sz w:val="24"/>
                <w:szCs w:val="24"/>
              </w:rPr>
              <w:t>48 (1,6 %)</w:t>
            </w:r>
          </w:p>
        </w:tc>
        <w:tc>
          <w:tcPr>
            <w:tcW w:w="1287" w:type="pct"/>
            <w:tcBorders>
              <w:top w:val="single" w:sz="4" w:space="0" w:color="auto"/>
              <w:left w:val="single" w:sz="4" w:space="0" w:color="auto"/>
              <w:bottom w:val="single" w:sz="4" w:space="0" w:color="auto"/>
              <w:right w:val="single" w:sz="4" w:space="0" w:color="auto"/>
            </w:tcBorders>
            <w:hideMark/>
          </w:tcPr>
          <w:p w14:paraId="42F318CB" w14:textId="77777777" w:rsidR="00977942" w:rsidRPr="000262D3" w:rsidRDefault="00977942" w:rsidP="000262D3">
            <w:pPr>
              <w:ind w:left="32"/>
              <w:rPr>
                <w:sz w:val="24"/>
                <w:szCs w:val="24"/>
              </w:rPr>
            </w:pPr>
            <w:r w:rsidRPr="000262D3">
              <w:rPr>
                <w:sz w:val="24"/>
                <w:szCs w:val="24"/>
              </w:rPr>
              <w:t>74 (2,4 %)</w:t>
            </w:r>
          </w:p>
        </w:tc>
      </w:tr>
      <w:tr w:rsidR="00977942" w:rsidRPr="000262D3" w14:paraId="427AA1DB"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563C65D9" w14:textId="77777777" w:rsidR="00977942" w:rsidRPr="000262D3" w:rsidRDefault="00977942" w:rsidP="000262D3">
            <w:pPr>
              <w:ind w:left="32"/>
              <w:rPr>
                <w:sz w:val="24"/>
                <w:szCs w:val="24"/>
              </w:rPr>
            </w:pPr>
            <w:r w:rsidRPr="000262D3">
              <w:rPr>
                <w:sz w:val="24"/>
                <w:szCs w:val="24"/>
              </w:rPr>
              <w:t>Iskæmiske, cerebrovaskulære hændelser</w:t>
            </w:r>
          </w:p>
        </w:tc>
        <w:tc>
          <w:tcPr>
            <w:tcW w:w="1318" w:type="pct"/>
            <w:tcBorders>
              <w:top w:val="single" w:sz="4" w:space="0" w:color="auto"/>
              <w:left w:val="single" w:sz="4" w:space="0" w:color="auto"/>
              <w:bottom w:val="single" w:sz="4" w:space="0" w:color="auto"/>
              <w:right w:val="single" w:sz="4" w:space="0" w:color="auto"/>
            </w:tcBorders>
            <w:hideMark/>
          </w:tcPr>
          <w:p w14:paraId="661C09C1" w14:textId="77777777" w:rsidR="00977942" w:rsidRPr="000262D3" w:rsidRDefault="00977942" w:rsidP="000262D3">
            <w:pPr>
              <w:ind w:left="32"/>
              <w:rPr>
                <w:sz w:val="24"/>
                <w:szCs w:val="24"/>
              </w:rPr>
            </w:pPr>
            <w:r w:rsidRPr="000262D3">
              <w:rPr>
                <w:sz w:val="24"/>
                <w:szCs w:val="24"/>
              </w:rPr>
              <w:t>62 (2,0 %)</w:t>
            </w:r>
          </w:p>
        </w:tc>
        <w:tc>
          <w:tcPr>
            <w:tcW w:w="1287" w:type="pct"/>
            <w:tcBorders>
              <w:top w:val="single" w:sz="4" w:space="0" w:color="auto"/>
              <w:left w:val="single" w:sz="4" w:space="0" w:color="auto"/>
              <w:bottom w:val="single" w:sz="4" w:space="0" w:color="auto"/>
              <w:right w:val="single" w:sz="4" w:space="0" w:color="auto"/>
            </w:tcBorders>
            <w:hideMark/>
          </w:tcPr>
          <w:p w14:paraId="5CAF0C60" w14:textId="77777777" w:rsidR="00977942" w:rsidRPr="000262D3" w:rsidRDefault="00977942" w:rsidP="000262D3">
            <w:pPr>
              <w:ind w:left="32"/>
              <w:rPr>
                <w:sz w:val="24"/>
                <w:szCs w:val="24"/>
              </w:rPr>
            </w:pPr>
            <w:r w:rsidRPr="000262D3">
              <w:rPr>
                <w:sz w:val="24"/>
                <w:szCs w:val="24"/>
              </w:rPr>
              <w:t>88 (2,8 %)</w:t>
            </w:r>
          </w:p>
        </w:tc>
      </w:tr>
      <w:tr w:rsidR="00977942" w:rsidRPr="000262D3" w14:paraId="7CE61FFC" w14:textId="77777777" w:rsidTr="000262D3">
        <w:trPr>
          <w:cantSplit/>
          <w:jc w:val="center"/>
        </w:trPr>
        <w:tc>
          <w:tcPr>
            <w:tcW w:w="2395" w:type="pct"/>
            <w:tcBorders>
              <w:top w:val="single" w:sz="4" w:space="0" w:color="auto"/>
              <w:left w:val="single" w:sz="4" w:space="0" w:color="auto"/>
              <w:bottom w:val="single" w:sz="4" w:space="0" w:color="auto"/>
              <w:right w:val="single" w:sz="4" w:space="0" w:color="auto"/>
            </w:tcBorders>
            <w:hideMark/>
          </w:tcPr>
          <w:p w14:paraId="75A0265F" w14:textId="77777777" w:rsidR="00977942" w:rsidRPr="000262D3" w:rsidRDefault="00977942" w:rsidP="000262D3">
            <w:pPr>
              <w:ind w:left="32"/>
              <w:rPr>
                <w:sz w:val="24"/>
                <w:szCs w:val="24"/>
              </w:rPr>
            </w:pPr>
            <w:r w:rsidRPr="000262D3">
              <w:rPr>
                <w:sz w:val="24"/>
                <w:szCs w:val="24"/>
              </w:rPr>
              <w:t>Endometriecancer</w:t>
            </w:r>
          </w:p>
        </w:tc>
        <w:tc>
          <w:tcPr>
            <w:tcW w:w="1318" w:type="pct"/>
            <w:tcBorders>
              <w:top w:val="single" w:sz="4" w:space="0" w:color="auto"/>
              <w:left w:val="single" w:sz="4" w:space="0" w:color="auto"/>
              <w:bottom w:val="single" w:sz="4" w:space="0" w:color="auto"/>
              <w:right w:val="single" w:sz="4" w:space="0" w:color="auto"/>
            </w:tcBorders>
            <w:hideMark/>
          </w:tcPr>
          <w:p w14:paraId="1BED0639" w14:textId="77777777" w:rsidR="00977942" w:rsidRPr="000262D3" w:rsidRDefault="00977942" w:rsidP="000262D3">
            <w:pPr>
              <w:ind w:left="32"/>
              <w:rPr>
                <w:sz w:val="24"/>
                <w:szCs w:val="24"/>
              </w:rPr>
            </w:pPr>
            <w:r w:rsidRPr="000262D3">
              <w:rPr>
                <w:sz w:val="24"/>
                <w:szCs w:val="24"/>
              </w:rPr>
              <w:t>4 (0,2 %)</w:t>
            </w:r>
          </w:p>
        </w:tc>
        <w:tc>
          <w:tcPr>
            <w:tcW w:w="1287" w:type="pct"/>
            <w:tcBorders>
              <w:top w:val="single" w:sz="4" w:space="0" w:color="auto"/>
              <w:left w:val="single" w:sz="4" w:space="0" w:color="auto"/>
              <w:bottom w:val="single" w:sz="4" w:space="0" w:color="auto"/>
              <w:right w:val="single" w:sz="4" w:space="0" w:color="auto"/>
            </w:tcBorders>
            <w:hideMark/>
          </w:tcPr>
          <w:p w14:paraId="6F1467FC" w14:textId="77777777" w:rsidR="00977942" w:rsidRPr="000262D3" w:rsidRDefault="00977942" w:rsidP="000262D3">
            <w:pPr>
              <w:ind w:left="32"/>
              <w:rPr>
                <w:sz w:val="24"/>
                <w:szCs w:val="24"/>
              </w:rPr>
            </w:pPr>
            <w:r w:rsidRPr="000262D3">
              <w:rPr>
                <w:sz w:val="24"/>
                <w:szCs w:val="24"/>
              </w:rPr>
              <w:t>13 (0,6 %)</w:t>
            </w:r>
          </w:p>
        </w:tc>
      </w:tr>
    </w:tbl>
    <w:p w14:paraId="2366070D" w14:textId="77777777" w:rsidR="00977942" w:rsidRPr="000262D3" w:rsidRDefault="00977942" w:rsidP="00977942">
      <w:pPr>
        <w:tabs>
          <w:tab w:val="left" w:pos="851"/>
        </w:tabs>
        <w:ind w:left="851"/>
        <w:rPr>
          <w:sz w:val="24"/>
          <w:szCs w:val="24"/>
        </w:rPr>
      </w:pPr>
    </w:p>
    <w:p w14:paraId="1C2944FB" w14:textId="77777777" w:rsidR="00977942" w:rsidRPr="000262D3" w:rsidRDefault="00977942" w:rsidP="000262D3">
      <w:pPr>
        <w:ind w:left="851"/>
        <w:rPr>
          <w:sz w:val="24"/>
          <w:szCs w:val="24"/>
        </w:rPr>
      </w:pPr>
      <w:r w:rsidRPr="000262D3">
        <w:rPr>
          <w:sz w:val="24"/>
          <w:szCs w:val="24"/>
        </w:rPr>
        <w:t>Frakturhyppigheder på 22 per 1.000 patient-år og 15 per 1.000 patient-år blev observeret for henholdsvis anastrozol- og tamoxifen-gruppen efter en median opfølgning på 68 måneder. Den observerede frakturhyppighed for anastrozol ligger i det interval, der er rapporteret i aldersmatchede postmenopausale populationer. Forekomsten af osteoporose var 10,5 % hos patienter behandlet med anastrozol og 7,3 % hos patienter behandlet med tamoxifen.</w:t>
      </w:r>
    </w:p>
    <w:p w14:paraId="7648210E" w14:textId="77777777" w:rsidR="00977942" w:rsidRPr="000262D3" w:rsidRDefault="00977942" w:rsidP="000262D3">
      <w:pPr>
        <w:ind w:left="851"/>
        <w:rPr>
          <w:sz w:val="24"/>
          <w:szCs w:val="24"/>
        </w:rPr>
      </w:pPr>
    </w:p>
    <w:p w14:paraId="4829080D" w14:textId="77777777" w:rsidR="00977942" w:rsidRPr="000262D3" w:rsidRDefault="00977942" w:rsidP="000262D3">
      <w:pPr>
        <w:ind w:left="851"/>
        <w:rPr>
          <w:sz w:val="24"/>
          <w:szCs w:val="24"/>
        </w:rPr>
      </w:pPr>
      <w:r w:rsidRPr="000262D3">
        <w:rPr>
          <w:sz w:val="24"/>
          <w:szCs w:val="24"/>
        </w:rPr>
        <w:t xml:space="preserve">Det er ikke fastslået, om hyppigheden af fraktur og osteoporose set i ATAC hos patienter i anastrozol behandling afspejler en beskyttende virkning af tamoxifen, en specifik virkning af anastrozol eller begge dele. </w:t>
      </w:r>
    </w:p>
    <w:p w14:paraId="6926BF33" w14:textId="77777777" w:rsidR="00977942" w:rsidRPr="000262D3" w:rsidRDefault="00977942" w:rsidP="000262D3">
      <w:pPr>
        <w:ind w:left="851"/>
        <w:rPr>
          <w:sz w:val="24"/>
          <w:szCs w:val="24"/>
        </w:rPr>
      </w:pPr>
    </w:p>
    <w:p w14:paraId="0E81F7A0" w14:textId="77777777" w:rsidR="00977942" w:rsidRPr="000262D3" w:rsidRDefault="00977942" w:rsidP="000262D3">
      <w:pPr>
        <w:ind w:left="851"/>
        <w:rPr>
          <w:sz w:val="24"/>
          <w:szCs w:val="24"/>
          <w:u w:val="single"/>
        </w:rPr>
      </w:pPr>
      <w:r w:rsidRPr="000262D3">
        <w:rPr>
          <w:sz w:val="24"/>
          <w:szCs w:val="24"/>
          <w:u w:val="single"/>
        </w:rPr>
        <w:t>Indberetning af formodede bivirkninger</w:t>
      </w:r>
    </w:p>
    <w:p w14:paraId="2B055E69" w14:textId="77777777" w:rsidR="00977942" w:rsidRPr="000262D3" w:rsidRDefault="00977942" w:rsidP="000262D3">
      <w:pPr>
        <w:ind w:left="851"/>
        <w:rPr>
          <w:sz w:val="24"/>
          <w:szCs w:val="24"/>
        </w:rPr>
      </w:pPr>
      <w:r w:rsidRPr="000262D3">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0803BF36" w14:textId="77777777" w:rsidR="00977942" w:rsidRPr="000262D3" w:rsidRDefault="00977942" w:rsidP="000262D3">
      <w:pPr>
        <w:ind w:left="851"/>
        <w:rPr>
          <w:sz w:val="24"/>
          <w:szCs w:val="24"/>
        </w:rPr>
      </w:pPr>
    </w:p>
    <w:p w14:paraId="12CB1EA9" w14:textId="77777777" w:rsidR="00977942" w:rsidRPr="000262D3" w:rsidRDefault="00977942" w:rsidP="000262D3">
      <w:pPr>
        <w:ind w:left="851"/>
        <w:rPr>
          <w:sz w:val="24"/>
          <w:szCs w:val="24"/>
        </w:rPr>
      </w:pPr>
      <w:r w:rsidRPr="000262D3">
        <w:rPr>
          <w:sz w:val="24"/>
          <w:szCs w:val="24"/>
        </w:rPr>
        <w:t>Lægemiddelstyrelsen</w:t>
      </w:r>
    </w:p>
    <w:p w14:paraId="1563FB09" w14:textId="77777777" w:rsidR="00977942" w:rsidRPr="000262D3" w:rsidRDefault="00977942" w:rsidP="000262D3">
      <w:pPr>
        <w:ind w:left="851"/>
        <w:rPr>
          <w:sz w:val="24"/>
          <w:szCs w:val="24"/>
        </w:rPr>
      </w:pPr>
      <w:r w:rsidRPr="000262D3">
        <w:rPr>
          <w:sz w:val="24"/>
          <w:szCs w:val="24"/>
        </w:rPr>
        <w:t>Axel Heides Gade 1</w:t>
      </w:r>
    </w:p>
    <w:p w14:paraId="37A2403E" w14:textId="77777777" w:rsidR="00977942" w:rsidRPr="000262D3" w:rsidRDefault="00977942" w:rsidP="000262D3">
      <w:pPr>
        <w:ind w:left="851"/>
        <w:rPr>
          <w:sz w:val="24"/>
          <w:szCs w:val="24"/>
        </w:rPr>
      </w:pPr>
      <w:r w:rsidRPr="000262D3">
        <w:rPr>
          <w:sz w:val="24"/>
          <w:szCs w:val="24"/>
        </w:rPr>
        <w:t>DK-2300 København S</w:t>
      </w:r>
    </w:p>
    <w:p w14:paraId="6687584C" w14:textId="77777777" w:rsidR="00977942" w:rsidRPr="000262D3" w:rsidRDefault="00977942" w:rsidP="000262D3">
      <w:pPr>
        <w:ind w:left="851"/>
        <w:rPr>
          <w:sz w:val="24"/>
          <w:szCs w:val="24"/>
        </w:rPr>
      </w:pPr>
      <w:r w:rsidRPr="000262D3">
        <w:rPr>
          <w:sz w:val="24"/>
          <w:szCs w:val="24"/>
        </w:rPr>
        <w:t xml:space="preserve">Websted: </w:t>
      </w:r>
      <w:hyperlink r:id="rId8" w:history="1">
        <w:r w:rsidRPr="000262D3">
          <w:rPr>
            <w:rStyle w:val="Hyperlink"/>
            <w:sz w:val="24"/>
            <w:szCs w:val="24"/>
          </w:rPr>
          <w:t>www.meldenbivirkning.dk</w:t>
        </w:r>
      </w:hyperlink>
    </w:p>
    <w:p w14:paraId="1DA235CF" w14:textId="77777777" w:rsidR="009260DE" w:rsidRPr="000262D3" w:rsidRDefault="009260DE" w:rsidP="00A10294">
      <w:pPr>
        <w:tabs>
          <w:tab w:val="left" w:pos="851"/>
        </w:tabs>
        <w:ind w:left="851"/>
        <w:rPr>
          <w:sz w:val="24"/>
          <w:szCs w:val="24"/>
        </w:rPr>
      </w:pPr>
    </w:p>
    <w:p w14:paraId="72F6FD45" w14:textId="77777777" w:rsidR="009260DE" w:rsidRPr="000262D3" w:rsidRDefault="009260DE" w:rsidP="009260DE">
      <w:pPr>
        <w:tabs>
          <w:tab w:val="left" w:pos="851"/>
        </w:tabs>
        <w:ind w:left="851" w:hanging="851"/>
        <w:rPr>
          <w:b/>
          <w:sz w:val="24"/>
          <w:szCs w:val="24"/>
        </w:rPr>
      </w:pPr>
      <w:r w:rsidRPr="000262D3">
        <w:rPr>
          <w:b/>
          <w:sz w:val="24"/>
          <w:szCs w:val="24"/>
        </w:rPr>
        <w:t>4.9</w:t>
      </w:r>
      <w:r w:rsidRPr="000262D3">
        <w:rPr>
          <w:b/>
          <w:sz w:val="24"/>
          <w:szCs w:val="24"/>
        </w:rPr>
        <w:tab/>
        <w:t>Overdosering</w:t>
      </w:r>
    </w:p>
    <w:p w14:paraId="141C5050" w14:textId="77777777" w:rsidR="00977942" w:rsidRPr="000262D3" w:rsidRDefault="00977942" w:rsidP="000262D3">
      <w:pPr>
        <w:ind w:left="851"/>
        <w:rPr>
          <w:sz w:val="24"/>
          <w:szCs w:val="24"/>
        </w:rPr>
      </w:pPr>
      <w:r w:rsidRPr="000262D3">
        <w:rPr>
          <w:sz w:val="24"/>
          <w:szCs w:val="24"/>
        </w:rPr>
        <w:t>Der er begrænset klinisk erfaring med overdosering. I dyreforsøg udviste anastrozol lav akut toksicitet. Der er blevet udført kliniske forsøg med forskellige doser af anastrozol, hvor op til 60 mg i en enkelt dosis blev givet til raske frivillige mænd, og op til 10 mg dagligt blev givet til postmenopausale kvinder med fremskreden brystkræft. Disse doser var veltolererede. Der er ikke fundet en enkeltdosis anastrozol, der har resulteret i livstruende symptomer. Der findes ingen specifik antidot ved overdosering, og behandlingen skal være symptomatisk.</w:t>
      </w:r>
    </w:p>
    <w:p w14:paraId="1D41D1A0" w14:textId="77777777" w:rsidR="00977942" w:rsidRPr="000262D3" w:rsidRDefault="00977942" w:rsidP="000262D3">
      <w:pPr>
        <w:ind w:left="851"/>
        <w:rPr>
          <w:sz w:val="24"/>
          <w:szCs w:val="24"/>
        </w:rPr>
      </w:pPr>
    </w:p>
    <w:p w14:paraId="0113A253" w14:textId="77777777" w:rsidR="00977942" w:rsidRPr="000262D3" w:rsidRDefault="00977942" w:rsidP="000262D3">
      <w:pPr>
        <w:ind w:left="851"/>
        <w:rPr>
          <w:sz w:val="24"/>
          <w:szCs w:val="24"/>
        </w:rPr>
      </w:pPr>
      <w:r w:rsidRPr="000262D3">
        <w:rPr>
          <w:sz w:val="24"/>
          <w:szCs w:val="24"/>
        </w:rPr>
        <w:t>Ved behandling af en overdosis skal man overveje den mulighed, at patienten kan have taget flere stoffer. Opkastning kan fremkaldes, hvis patienten er ved bevidsthed. Dialyse kan være hensigtsmæssig, fordi anastrozol ikke er proteinbundet i udtalt grad. Generel støttebehandling, herunder hyppig monitorering af vitale tegn og nøje observation af patienten, er indiceret.</w:t>
      </w:r>
    </w:p>
    <w:p w14:paraId="465A299C" w14:textId="77777777" w:rsidR="009260DE" w:rsidRPr="000262D3" w:rsidRDefault="009260DE" w:rsidP="009260DE">
      <w:pPr>
        <w:tabs>
          <w:tab w:val="left" w:pos="851"/>
        </w:tabs>
        <w:ind w:left="851"/>
        <w:rPr>
          <w:sz w:val="24"/>
          <w:szCs w:val="24"/>
        </w:rPr>
      </w:pPr>
    </w:p>
    <w:p w14:paraId="0BFB0D75" w14:textId="77777777" w:rsidR="009260DE" w:rsidRPr="000262D3" w:rsidRDefault="009260DE" w:rsidP="009260DE">
      <w:pPr>
        <w:tabs>
          <w:tab w:val="left" w:pos="851"/>
        </w:tabs>
        <w:ind w:left="851" w:hanging="851"/>
        <w:rPr>
          <w:b/>
          <w:sz w:val="24"/>
          <w:szCs w:val="24"/>
        </w:rPr>
      </w:pPr>
      <w:r w:rsidRPr="000262D3">
        <w:rPr>
          <w:b/>
          <w:sz w:val="24"/>
          <w:szCs w:val="24"/>
        </w:rPr>
        <w:t>4.10</w:t>
      </w:r>
      <w:r w:rsidRPr="000262D3">
        <w:rPr>
          <w:b/>
          <w:sz w:val="24"/>
          <w:szCs w:val="24"/>
        </w:rPr>
        <w:tab/>
        <w:t>Udlevering</w:t>
      </w:r>
    </w:p>
    <w:p w14:paraId="393FF56E" w14:textId="47F17604" w:rsidR="009260DE" w:rsidRPr="000262D3" w:rsidRDefault="00574F8C" w:rsidP="009260DE">
      <w:pPr>
        <w:tabs>
          <w:tab w:val="left" w:pos="851"/>
        </w:tabs>
        <w:ind w:left="851"/>
        <w:rPr>
          <w:sz w:val="24"/>
          <w:szCs w:val="24"/>
        </w:rPr>
      </w:pPr>
      <w:r w:rsidRPr="000262D3">
        <w:rPr>
          <w:sz w:val="24"/>
          <w:szCs w:val="24"/>
        </w:rPr>
        <w:t>B</w:t>
      </w:r>
    </w:p>
    <w:p w14:paraId="65B75214" w14:textId="77777777" w:rsidR="009260DE" w:rsidRPr="000262D3" w:rsidRDefault="009260DE" w:rsidP="009260DE">
      <w:pPr>
        <w:tabs>
          <w:tab w:val="left" w:pos="851"/>
        </w:tabs>
        <w:ind w:left="851"/>
        <w:rPr>
          <w:sz w:val="24"/>
          <w:szCs w:val="24"/>
        </w:rPr>
      </w:pPr>
    </w:p>
    <w:p w14:paraId="44D4B04B" w14:textId="77777777" w:rsidR="009260DE" w:rsidRPr="000262D3" w:rsidRDefault="009260DE" w:rsidP="009260DE">
      <w:pPr>
        <w:tabs>
          <w:tab w:val="left" w:pos="851"/>
        </w:tabs>
        <w:ind w:left="851"/>
        <w:rPr>
          <w:sz w:val="24"/>
          <w:szCs w:val="24"/>
        </w:rPr>
      </w:pPr>
    </w:p>
    <w:p w14:paraId="2E7BFDB8" w14:textId="77777777" w:rsidR="009260DE" w:rsidRPr="000262D3" w:rsidRDefault="009260DE" w:rsidP="009260DE">
      <w:pPr>
        <w:tabs>
          <w:tab w:val="left" w:pos="851"/>
        </w:tabs>
        <w:ind w:left="851" w:hanging="851"/>
        <w:rPr>
          <w:b/>
          <w:sz w:val="24"/>
          <w:szCs w:val="24"/>
        </w:rPr>
      </w:pPr>
      <w:r w:rsidRPr="000262D3">
        <w:rPr>
          <w:b/>
          <w:sz w:val="24"/>
          <w:szCs w:val="24"/>
        </w:rPr>
        <w:t>5.</w:t>
      </w:r>
      <w:r w:rsidRPr="000262D3">
        <w:rPr>
          <w:b/>
          <w:sz w:val="24"/>
          <w:szCs w:val="24"/>
        </w:rPr>
        <w:tab/>
        <w:t>FARMAKOLOGISKE EGENSKABER</w:t>
      </w:r>
    </w:p>
    <w:p w14:paraId="65C158D4" w14:textId="77777777" w:rsidR="009260DE" w:rsidRPr="000262D3" w:rsidRDefault="009260DE" w:rsidP="009260DE">
      <w:pPr>
        <w:tabs>
          <w:tab w:val="left" w:pos="851"/>
        </w:tabs>
        <w:ind w:left="851"/>
        <w:rPr>
          <w:sz w:val="24"/>
          <w:szCs w:val="24"/>
        </w:rPr>
      </w:pPr>
    </w:p>
    <w:p w14:paraId="4579A6D0" w14:textId="77777777" w:rsidR="009260DE" w:rsidRPr="000262D3" w:rsidRDefault="009260DE" w:rsidP="009260DE">
      <w:pPr>
        <w:tabs>
          <w:tab w:val="num" w:pos="851"/>
        </w:tabs>
        <w:ind w:left="851" w:hanging="851"/>
        <w:rPr>
          <w:b/>
          <w:sz w:val="24"/>
          <w:szCs w:val="24"/>
        </w:rPr>
      </w:pPr>
      <w:r w:rsidRPr="000262D3">
        <w:rPr>
          <w:b/>
          <w:sz w:val="24"/>
          <w:szCs w:val="24"/>
        </w:rPr>
        <w:t>5.1</w:t>
      </w:r>
      <w:r w:rsidRPr="000262D3">
        <w:rPr>
          <w:b/>
          <w:sz w:val="24"/>
          <w:szCs w:val="24"/>
        </w:rPr>
        <w:tab/>
        <w:t>Farmakodynamiske egenskaber</w:t>
      </w:r>
    </w:p>
    <w:p w14:paraId="4D62848F" w14:textId="31B66A49" w:rsidR="00977942" w:rsidRPr="000262D3" w:rsidRDefault="00977942" w:rsidP="000262D3">
      <w:pPr>
        <w:ind w:left="851"/>
        <w:rPr>
          <w:sz w:val="24"/>
          <w:szCs w:val="24"/>
        </w:rPr>
      </w:pPr>
      <w:r w:rsidRPr="000262D3">
        <w:rPr>
          <w:sz w:val="24"/>
          <w:szCs w:val="24"/>
        </w:rPr>
        <w:t xml:space="preserve">Farmakoterapeutisk klassifikation: Enzymhæmmere, ATC-kode: L02BG03 </w:t>
      </w:r>
    </w:p>
    <w:p w14:paraId="3BA6C889" w14:textId="77777777" w:rsidR="009260DE" w:rsidRPr="000262D3" w:rsidRDefault="009260DE" w:rsidP="000262D3">
      <w:pPr>
        <w:ind w:left="851"/>
        <w:rPr>
          <w:sz w:val="24"/>
          <w:szCs w:val="24"/>
        </w:rPr>
      </w:pPr>
    </w:p>
    <w:p w14:paraId="42D01899" w14:textId="77777777" w:rsidR="00977942" w:rsidRPr="000262D3" w:rsidRDefault="00977942" w:rsidP="000262D3">
      <w:pPr>
        <w:ind w:left="851"/>
        <w:rPr>
          <w:sz w:val="24"/>
          <w:szCs w:val="24"/>
          <w:u w:val="single"/>
        </w:rPr>
      </w:pPr>
      <w:r w:rsidRPr="000262D3">
        <w:rPr>
          <w:sz w:val="24"/>
          <w:szCs w:val="24"/>
          <w:u w:val="single"/>
        </w:rPr>
        <w:t>Virkningsmekanisme og farmakodynamisk virkning</w:t>
      </w:r>
    </w:p>
    <w:p w14:paraId="444C74C8" w14:textId="77777777" w:rsidR="00977942" w:rsidRPr="000262D3" w:rsidRDefault="00977942" w:rsidP="000262D3">
      <w:pPr>
        <w:ind w:left="851"/>
        <w:rPr>
          <w:sz w:val="24"/>
          <w:szCs w:val="24"/>
        </w:rPr>
      </w:pPr>
      <w:r w:rsidRPr="000262D3">
        <w:rPr>
          <w:sz w:val="24"/>
          <w:szCs w:val="24"/>
        </w:rPr>
        <w:t>Anastrozol er en potent og meget selektiv non-steroid aromatasehæmmer. Hos postmenopausale kvinder produceres estradiol primært fra omdannelse af androstendion til estron ved hjælp af aromatase-enzym-komplekset i perifere væv. Estron omdannes derefter til estradiol. Det er påvist, at nedsat koncentration af cirkulerende estradiol har en gavnlig virkning hos kvinder med brystkræft. Hos postmenopausale kvinder resulterede en daglig dosis på 1 mg anastrozol i estradiolsuppression på mere end 80 %, målt ved en meget følsom analyse.</w:t>
      </w:r>
    </w:p>
    <w:p w14:paraId="4428F645" w14:textId="77777777" w:rsidR="00977942" w:rsidRPr="000262D3" w:rsidRDefault="00977942" w:rsidP="000262D3">
      <w:pPr>
        <w:ind w:left="851"/>
        <w:rPr>
          <w:sz w:val="24"/>
          <w:szCs w:val="24"/>
        </w:rPr>
      </w:pPr>
    </w:p>
    <w:p w14:paraId="727C9832" w14:textId="77777777" w:rsidR="00977942" w:rsidRPr="000262D3" w:rsidRDefault="00977942" w:rsidP="000262D3">
      <w:pPr>
        <w:ind w:left="851"/>
        <w:rPr>
          <w:sz w:val="24"/>
          <w:szCs w:val="24"/>
        </w:rPr>
      </w:pPr>
      <w:r w:rsidRPr="000262D3">
        <w:rPr>
          <w:sz w:val="24"/>
          <w:szCs w:val="24"/>
        </w:rPr>
        <w:t xml:space="preserve">Anastrozol udviser ikke </w:t>
      </w:r>
      <w:proofErr w:type="gramStart"/>
      <w:r w:rsidRPr="000262D3">
        <w:rPr>
          <w:sz w:val="24"/>
          <w:szCs w:val="24"/>
        </w:rPr>
        <w:t>nogen gestagen</w:t>
      </w:r>
      <w:proofErr w:type="gramEnd"/>
      <w:r w:rsidRPr="000262D3">
        <w:rPr>
          <w:sz w:val="24"/>
          <w:szCs w:val="24"/>
        </w:rPr>
        <w:t>, androgen eller østrogen aktivitet.</w:t>
      </w:r>
    </w:p>
    <w:p w14:paraId="30E79BEB" w14:textId="77777777" w:rsidR="00977942" w:rsidRPr="000262D3" w:rsidRDefault="00977942" w:rsidP="000262D3">
      <w:pPr>
        <w:ind w:left="851"/>
        <w:rPr>
          <w:sz w:val="24"/>
          <w:szCs w:val="24"/>
        </w:rPr>
      </w:pPr>
    </w:p>
    <w:p w14:paraId="4055539F" w14:textId="77777777" w:rsidR="00977942" w:rsidRPr="000262D3" w:rsidRDefault="00977942" w:rsidP="000262D3">
      <w:pPr>
        <w:ind w:left="851"/>
        <w:rPr>
          <w:sz w:val="24"/>
          <w:szCs w:val="24"/>
        </w:rPr>
      </w:pPr>
      <w:r w:rsidRPr="000262D3">
        <w:rPr>
          <w:sz w:val="24"/>
          <w:szCs w:val="24"/>
        </w:rPr>
        <w:t xml:space="preserve">Anastrozol doser på op til 10 mg dagligt har ingen indvirkning på udskillelsen af cortisol eller aldosteron, målt før eller efter standard ACTH-test. Der er derfor ikke behov for kortikoid-tilskud. </w:t>
      </w:r>
    </w:p>
    <w:p w14:paraId="2475DF05" w14:textId="53071EF4" w:rsidR="000262D3" w:rsidRDefault="000262D3">
      <w:pPr>
        <w:rPr>
          <w:sz w:val="24"/>
          <w:szCs w:val="24"/>
        </w:rPr>
      </w:pPr>
      <w:r>
        <w:rPr>
          <w:sz w:val="24"/>
          <w:szCs w:val="24"/>
        </w:rPr>
        <w:br w:type="page"/>
      </w:r>
    </w:p>
    <w:p w14:paraId="533B495C" w14:textId="77777777" w:rsidR="00977942" w:rsidRPr="000262D3" w:rsidRDefault="00977942" w:rsidP="000262D3">
      <w:pPr>
        <w:ind w:left="851"/>
        <w:rPr>
          <w:sz w:val="24"/>
          <w:szCs w:val="24"/>
        </w:rPr>
      </w:pPr>
    </w:p>
    <w:p w14:paraId="58F977A4" w14:textId="77777777" w:rsidR="00977942" w:rsidRPr="000262D3" w:rsidRDefault="00977942" w:rsidP="000262D3">
      <w:pPr>
        <w:ind w:left="851"/>
        <w:rPr>
          <w:sz w:val="24"/>
          <w:szCs w:val="24"/>
          <w:u w:val="single"/>
        </w:rPr>
      </w:pPr>
      <w:r w:rsidRPr="000262D3">
        <w:rPr>
          <w:sz w:val="24"/>
          <w:szCs w:val="24"/>
          <w:u w:val="single"/>
        </w:rPr>
        <w:t>Klinisk virkning og sikkerhed</w:t>
      </w:r>
    </w:p>
    <w:p w14:paraId="756FAA96" w14:textId="77777777" w:rsidR="00977942" w:rsidRPr="000262D3" w:rsidRDefault="00977942" w:rsidP="000262D3">
      <w:pPr>
        <w:ind w:left="851"/>
        <w:rPr>
          <w:sz w:val="24"/>
          <w:szCs w:val="24"/>
          <w:u w:val="single"/>
        </w:rPr>
      </w:pPr>
    </w:p>
    <w:p w14:paraId="57F03ECB" w14:textId="77777777" w:rsidR="00977942" w:rsidRPr="000262D3" w:rsidRDefault="00977942" w:rsidP="000262D3">
      <w:pPr>
        <w:ind w:left="851"/>
        <w:rPr>
          <w:i/>
          <w:sz w:val="24"/>
          <w:szCs w:val="24"/>
          <w:u w:val="single"/>
        </w:rPr>
      </w:pPr>
      <w:r w:rsidRPr="000262D3">
        <w:rPr>
          <w:i/>
          <w:sz w:val="24"/>
          <w:szCs w:val="24"/>
          <w:u w:val="single"/>
        </w:rPr>
        <w:t>Fremskreden brystkræft</w:t>
      </w:r>
    </w:p>
    <w:p w14:paraId="36A5C6CA" w14:textId="77777777" w:rsidR="00977942" w:rsidRPr="000262D3" w:rsidRDefault="00977942" w:rsidP="000262D3">
      <w:pPr>
        <w:ind w:left="851"/>
        <w:rPr>
          <w:i/>
          <w:sz w:val="24"/>
          <w:szCs w:val="24"/>
        </w:rPr>
      </w:pPr>
      <w:r w:rsidRPr="000262D3">
        <w:rPr>
          <w:i/>
          <w:sz w:val="24"/>
          <w:szCs w:val="24"/>
        </w:rPr>
        <w:t>Førstelinjebehandling hos postmenopausale kvinder med fremskreden brystkræft</w:t>
      </w:r>
    </w:p>
    <w:p w14:paraId="10C81372" w14:textId="77777777" w:rsidR="00977942" w:rsidRPr="000262D3" w:rsidRDefault="00977942" w:rsidP="000262D3">
      <w:pPr>
        <w:ind w:left="851"/>
        <w:rPr>
          <w:sz w:val="24"/>
          <w:szCs w:val="24"/>
        </w:rPr>
      </w:pPr>
      <w:r w:rsidRPr="000262D3">
        <w:rPr>
          <w:sz w:val="24"/>
          <w:szCs w:val="24"/>
        </w:rPr>
        <w:t xml:space="preserve">To dobbeltblindede, kontrollerede kliniske studier (studie 1033IL/0030 og studie 1033IL/0027) blev udført for at vurdere effekten af anastrozol sammenlignet med tamoxifen som førstelinjebehandling af lokalt fremskreden eller metastatisk brystkræft hos postmenopausale kvinder, enten hormonreceptor-positiv eller med ukendt hormonreceptor-status. I alt 1.021 patienter blev randomiseret til at få 1 mg anastrozol en gang dagligt eller 20 mg tamoxifen en gang dagligt. De primære endepunkter i begge studier var tid til tumorprogression, objektiv tumorresponsrate og sikkerhed. </w:t>
      </w:r>
    </w:p>
    <w:p w14:paraId="669EAAA5" w14:textId="77777777" w:rsidR="00977942" w:rsidRPr="000262D3" w:rsidRDefault="00977942" w:rsidP="000262D3">
      <w:pPr>
        <w:ind w:left="851"/>
        <w:rPr>
          <w:sz w:val="24"/>
          <w:szCs w:val="24"/>
        </w:rPr>
      </w:pPr>
    </w:p>
    <w:p w14:paraId="7005588D" w14:textId="77777777" w:rsidR="00977942" w:rsidRPr="000262D3" w:rsidRDefault="00977942" w:rsidP="000262D3">
      <w:pPr>
        <w:ind w:left="851"/>
        <w:rPr>
          <w:sz w:val="24"/>
          <w:szCs w:val="24"/>
        </w:rPr>
      </w:pPr>
      <w:r w:rsidRPr="000262D3">
        <w:rPr>
          <w:sz w:val="24"/>
          <w:szCs w:val="24"/>
        </w:rPr>
        <w:t>For de primære endepunkter viste studie 1033IL/0030, at anastrozol havde en statistisk signifikant fordel i forhold til tamoxifen for tid til tumorprogression (hazard ratio (HR) 1,42; 95 % konfidensinterval (CI) [1,11-1,82], median tid til progression 11,1 og 5,6 måned for hhv. Anastrozol og tamoxifen, p=0,006). Objektive tumorresponsrater var sammenlignelige for anastrozol og tamoxifen. Studie 1033IL/0027 viste, at objektive tumorresponsrater og tid til tumorprogression var sammenlignelige for anastrozol og tamoxifen. Resultater fra de sekundære endepunkter understøttede resultaterne af de primære effekt-endepunkter. I begge forsøg var der for få dødsfald på tværs af behandlingsgrupperne til at drage nogen konklusioner om forskelle i den overordnede overlevelse.</w:t>
      </w:r>
    </w:p>
    <w:p w14:paraId="1823068C" w14:textId="77777777" w:rsidR="00977942" w:rsidRPr="000262D3" w:rsidRDefault="00977942" w:rsidP="000262D3">
      <w:pPr>
        <w:ind w:left="851"/>
        <w:rPr>
          <w:sz w:val="24"/>
          <w:szCs w:val="24"/>
        </w:rPr>
      </w:pPr>
    </w:p>
    <w:p w14:paraId="12BEDCF0" w14:textId="77777777" w:rsidR="00977942" w:rsidRPr="000262D3" w:rsidRDefault="00977942" w:rsidP="000262D3">
      <w:pPr>
        <w:ind w:left="851"/>
        <w:rPr>
          <w:i/>
          <w:sz w:val="24"/>
          <w:szCs w:val="24"/>
          <w:u w:val="single"/>
        </w:rPr>
      </w:pPr>
      <w:r w:rsidRPr="000262D3">
        <w:rPr>
          <w:i/>
          <w:sz w:val="24"/>
          <w:szCs w:val="24"/>
          <w:u w:val="single"/>
        </w:rPr>
        <w:t>Andenlinjebehandling hos postmenopausale kvinder med fremskreden brystkræft</w:t>
      </w:r>
    </w:p>
    <w:p w14:paraId="3F2E9FE1" w14:textId="77777777" w:rsidR="00977942" w:rsidRPr="000262D3" w:rsidRDefault="00977942" w:rsidP="000262D3">
      <w:pPr>
        <w:ind w:left="851"/>
        <w:rPr>
          <w:sz w:val="24"/>
          <w:szCs w:val="24"/>
        </w:rPr>
      </w:pPr>
      <w:r w:rsidRPr="000262D3">
        <w:rPr>
          <w:sz w:val="24"/>
          <w:szCs w:val="24"/>
        </w:rPr>
        <w:t xml:space="preserve">Anastrozol blev undersøgt i to kontrollerede kliniske forsøg (studie 0004 og studie 0005) hos postmenopausale kvinder med fremskreden brystkræft, der havde sygdomsprogression efter tamoxifenbehandling for enten fremskreden eller tidlig brystkræft. I alt 764 patienter blev randomiseret til at få enten 1 mg eller 10 mg anastrozol en gang dagligt eller megestrolacetat 40 mg fire gange dagligt. Tid til progression og objektive responsrater var de primære effektvariabler. Hyppigheden af længerevarende (mere end 24 uger) stabil sygdom, progressionsrate og overlevelse blev også beregnet. Der var ingen signifikant forskel mellem behandlingsarmene i de to forsøg, hvad angår nogen af effektparametrene.   </w:t>
      </w:r>
    </w:p>
    <w:p w14:paraId="7AB85985" w14:textId="77777777" w:rsidR="00977942" w:rsidRPr="000262D3" w:rsidRDefault="00977942" w:rsidP="000262D3">
      <w:pPr>
        <w:ind w:left="851"/>
        <w:rPr>
          <w:sz w:val="24"/>
          <w:szCs w:val="24"/>
        </w:rPr>
      </w:pPr>
    </w:p>
    <w:p w14:paraId="0D4F3AE8" w14:textId="77777777" w:rsidR="00977942" w:rsidRPr="000262D3" w:rsidRDefault="00977942" w:rsidP="000262D3">
      <w:pPr>
        <w:ind w:left="851"/>
        <w:rPr>
          <w:i/>
          <w:sz w:val="24"/>
          <w:szCs w:val="24"/>
          <w:u w:val="single"/>
        </w:rPr>
      </w:pPr>
      <w:r w:rsidRPr="000262D3">
        <w:rPr>
          <w:i/>
          <w:sz w:val="24"/>
          <w:szCs w:val="24"/>
          <w:u w:val="single"/>
        </w:rPr>
        <w:t>Adjuverende behandling af tidlig invasiv brystkræft hos hormonreceptor-positive patienter</w:t>
      </w:r>
    </w:p>
    <w:p w14:paraId="339385DD" w14:textId="77777777" w:rsidR="00977942" w:rsidRPr="000262D3" w:rsidRDefault="00977942" w:rsidP="000262D3">
      <w:pPr>
        <w:ind w:left="851"/>
        <w:rPr>
          <w:sz w:val="24"/>
          <w:szCs w:val="24"/>
        </w:rPr>
      </w:pPr>
      <w:r w:rsidRPr="000262D3">
        <w:rPr>
          <w:sz w:val="24"/>
          <w:szCs w:val="24"/>
        </w:rPr>
        <w:t xml:space="preserve">I et stort fase III-studie med 9.366 postmenopausale kvinder med operabel brystkræft behandlet i 5 år (se nedenfor) var anastrozol statistisk overlegent i forhold til tamoxifen med hensyn til sygdomsfri overlevelse. Den største fordel blev observeret for sygdomsfri overlevelse til fordel for anastrozol </w:t>
      </w:r>
      <w:r w:rsidRPr="000262D3">
        <w:rPr>
          <w:i/>
          <w:sz w:val="24"/>
          <w:szCs w:val="24"/>
        </w:rPr>
        <w:t>versus</w:t>
      </w:r>
      <w:r w:rsidRPr="000262D3">
        <w:rPr>
          <w:sz w:val="24"/>
          <w:szCs w:val="24"/>
        </w:rPr>
        <w:t xml:space="preserve"> tamoxifen i den prospektivt definerede hormonreceptor-positive population. </w:t>
      </w:r>
    </w:p>
    <w:p w14:paraId="3D832FE0" w14:textId="77777777" w:rsidR="00977942" w:rsidRPr="000262D3" w:rsidRDefault="00977942" w:rsidP="00977942">
      <w:pPr>
        <w:tabs>
          <w:tab w:val="left" w:pos="851"/>
        </w:tabs>
        <w:ind w:left="851"/>
        <w:rPr>
          <w:sz w:val="24"/>
          <w:szCs w:val="24"/>
        </w:rPr>
      </w:pPr>
    </w:p>
    <w:tbl>
      <w:tblPr>
        <w:tblW w:w="0" w:type="auto"/>
        <w:tblLayout w:type="fixed"/>
        <w:tblLook w:val="04A0" w:firstRow="1" w:lastRow="0" w:firstColumn="1" w:lastColumn="0" w:noHBand="0" w:noVBand="1"/>
      </w:tblPr>
      <w:tblGrid>
        <w:gridCol w:w="3085"/>
        <w:gridCol w:w="1485"/>
        <w:gridCol w:w="1634"/>
        <w:gridCol w:w="1530"/>
        <w:gridCol w:w="1583"/>
      </w:tblGrid>
      <w:tr w:rsidR="00977942" w:rsidRPr="000262D3" w14:paraId="131431D9" w14:textId="77777777" w:rsidTr="00977942">
        <w:trPr>
          <w:cantSplit/>
          <w:tblHeader/>
        </w:trPr>
        <w:tc>
          <w:tcPr>
            <w:tcW w:w="9317" w:type="dxa"/>
            <w:gridSpan w:val="5"/>
            <w:tcBorders>
              <w:top w:val="nil"/>
              <w:left w:val="nil"/>
              <w:bottom w:val="single" w:sz="4" w:space="0" w:color="auto"/>
              <w:right w:val="nil"/>
            </w:tcBorders>
            <w:hideMark/>
          </w:tcPr>
          <w:p w14:paraId="6CD06DE1" w14:textId="377B86A1" w:rsidR="00977942" w:rsidRPr="000262D3" w:rsidRDefault="00977942" w:rsidP="000262D3">
            <w:pPr>
              <w:ind w:left="32"/>
              <w:rPr>
                <w:b/>
                <w:sz w:val="24"/>
                <w:szCs w:val="24"/>
              </w:rPr>
            </w:pPr>
            <w:r w:rsidRPr="000262D3">
              <w:rPr>
                <w:b/>
                <w:sz w:val="24"/>
                <w:szCs w:val="24"/>
              </w:rPr>
              <w:t>Tabel 3</w:t>
            </w:r>
            <w:r w:rsidR="00F91539">
              <w:rPr>
                <w:b/>
                <w:sz w:val="24"/>
                <w:szCs w:val="24"/>
              </w:rPr>
              <w:t xml:space="preserve">. </w:t>
            </w:r>
            <w:r w:rsidRPr="000262D3">
              <w:rPr>
                <w:b/>
                <w:sz w:val="24"/>
                <w:szCs w:val="24"/>
              </w:rPr>
              <w:t>Sammendrag af ATAC-endepunkter: Analyse af 5-års behandlings</w:t>
            </w:r>
            <w:r w:rsidR="00F91539">
              <w:rPr>
                <w:b/>
                <w:sz w:val="24"/>
                <w:szCs w:val="24"/>
              </w:rPr>
              <w:softHyphen/>
            </w:r>
            <w:r w:rsidRPr="000262D3">
              <w:rPr>
                <w:b/>
                <w:sz w:val="24"/>
                <w:szCs w:val="24"/>
              </w:rPr>
              <w:t>gennemførelse</w:t>
            </w:r>
          </w:p>
        </w:tc>
      </w:tr>
      <w:tr w:rsidR="00977942" w:rsidRPr="000262D3" w14:paraId="3EBC1429" w14:textId="77777777" w:rsidTr="00977942">
        <w:trPr>
          <w:cantSplit/>
          <w:tblHeader/>
        </w:trPr>
        <w:tc>
          <w:tcPr>
            <w:tcW w:w="3085" w:type="dxa"/>
            <w:tcBorders>
              <w:top w:val="single" w:sz="4" w:space="0" w:color="auto"/>
              <w:left w:val="single" w:sz="4" w:space="0" w:color="auto"/>
              <w:bottom w:val="nil"/>
              <w:right w:val="single" w:sz="4" w:space="0" w:color="auto"/>
            </w:tcBorders>
            <w:hideMark/>
          </w:tcPr>
          <w:p w14:paraId="08C914E6" w14:textId="77777777" w:rsidR="00977942" w:rsidRPr="000262D3" w:rsidRDefault="00977942" w:rsidP="000262D3">
            <w:pPr>
              <w:ind w:left="32"/>
              <w:rPr>
                <w:b/>
                <w:bCs/>
                <w:sz w:val="24"/>
                <w:szCs w:val="24"/>
              </w:rPr>
            </w:pPr>
            <w:r w:rsidRPr="000262D3">
              <w:rPr>
                <w:b/>
                <w:bCs/>
                <w:sz w:val="24"/>
                <w:szCs w:val="24"/>
              </w:rPr>
              <w:t>Effekt-endpoints</w:t>
            </w:r>
          </w:p>
        </w:tc>
        <w:tc>
          <w:tcPr>
            <w:tcW w:w="6232" w:type="dxa"/>
            <w:gridSpan w:val="4"/>
            <w:tcBorders>
              <w:top w:val="single" w:sz="4" w:space="0" w:color="auto"/>
              <w:left w:val="single" w:sz="4" w:space="0" w:color="auto"/>
              <w:bottom w:val="single" w:sz="4" w:space="0" w:color="auto"/>
              <w:right w:val="single" w:sz="4" w:space="0" w:color="auto"/>
            </w:tcBorders>
            <w:hideMark/>
          </w:tcPr>
          <w:p w14:paraId="25335E79" w14:textId="77777777" w:rsidR="00977942" w:rsidRPr="000262D3" w:rsidRDefault="00977942" w:rsidP="000262D3">
            <w:pPr>
              <w:ind w:left="32"/>
              <w:rPr>
                <w:b/>
                <w:bCs/>
                <w:sz w:val="24"/>
                <w:szCs w:val="24"/>
              </w:rPr>
            </w:pPr>
            <w:r w:rsidRPr="000262D3">
              <w:rPr>
                <w:b/>
                <w:bCs/>
                <w:sz w:val="24"/>
                <w:szCs w:val="24"/>
              </w:rPr>
              <w:t>Antal hændelser (frekvens)</w:t>
            </w:r>
          </w:p>
        </w:tc>
      </w:tr>
      <w:tr w:rsidR="00977942" w:rsidRPr="000262D3" w14:paraId="12ABDD17" w14:textId="77777777" w:rsidTr="00977942">
        <w:trPr>
          <w:cantSplit/>
          <w:tblHeader/>
        </w:trPr>
        <w:tc>
          <w:tcPr>
            <w:tcW w:w="3085" w:type="dxa"/>
            <w:tcBorders>
              <w:top w:val="nil"/>
              <w:left w:val="single" w:sz="4" w:space="0" w:color="auto"/>
              <w:bottom w:val="nil"/>
              <w:right w:val="single" w:sz="4" w:space="0" w:color="auto"/>
            </w:tcBorders>
          </w:tcPr>
          <w:p w14:paraId="505E3851" w14:textId="77777777" w:rsidR="00977942" w:rsidRPr="000262D3" w:rsidRDefault="00977942" w:rsidP="000262D3">
            <w:pPr>
              <w:ind w:left="32"/>
              <w:rPr>
                <w:b/>
                <w:bCs/>
                <w:sz w:val="24"/>
                <w:szCs w:val="24"/>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49A369F2" w14:textId="77777777" w:rsidR="00977942" w:rsidRPr="000262D3" w:rsidRDefault="00977942" w:rsidP="000262D3">
            <w:pPr>
              <w:ind w:left="32"/>
              <w:rPr>
                <w:b/>
                <w:bCs/>
                <w:sz w:val="24"/>
                <w:szCs w:val="24"/>
              </w:rPr>
            </w:pPr>
            <w:r w:rsidRPr="000262D3">
              <w:rPr>
                <w:b/>
                <w:bCs/>
                <w:sz w:val="24"/>
                <w:szCs w:val="24"/>
              </w:rPr>
              <w:t>Intent-to-treat-population</w:t>
            </w:r>
          </w:p>
        </w:tc>
        <w:tc>
          <w:tcPr>
            <w:tcW w:w="3113" w:type="dxa"/>
            <w:gridSpan w:val="2"/>
            <w:tcBorders>
              <w:top w:val="single" w:sz="4" w:space="0" w:color="auto"/>
              <w:left w:val="single" w:sz="4" w:space="0" w:color="auto"/>
              <w:bottom w:val="single" w:sz="4" w:space="0" w:color="auto"/>
              <w:right w:val="single" w:sz="4" w:space="0" w:color="auto"/>
            </w:tcBorders>
            <w:hideMark/>
          </w:tcPr>
          <w:p w14:paraId="1D243FAF" w14:textId="77777777" w:rsidR="00977942" w:rsidRPr="000262D3" w:rsidRDefault="00977942" w:rsidP="000262D3">
            <w:pPr>
              <w:ind w:left="32"/>
              <w:rPr>
                <w:b/>
                <w:bCs/>
                <w:sz w:val="24"/>
                <w:szCs w:val="24"/>
              </w:rPr>
            </w:pPr>
            <w:r w:rsidRPr="000262D3">
              <w:rPr>
                <w:b/>
                <w:bCs/>
                <w:sz w:val="24"/>
                <w:szCs w:val="24"/>
              </w:rPr>
              <w:t>Hormonreceptor-positiv tumorstatus</w:t>
            </w:r>
          </w:p>
        </w:tc>
      </w:tr>
      <w:tr w:rsidR="00977942" w:rsidRPr="000262D3" w14:paraId="32808464" w14:textId="77777777" w:rsidTr="00977942">
        <w:trPr>
          <w:cantSplit/>
          <w:tblHeader/>
        </w:trPr>
        <w:tc>
          <w:tcPr>
            <w:tcW w:w="3085" w:type="dxa"/>
            <w:tcBorders>
              <w:top w:val="nil"/>
              <w:left w:val="single" w:sz="4" w:space="0" w:color="auto"/>
              <w:bottom w:val="single" w:sz="4" w:space="0" w:color="auto"/>
              <w:right w:val="single" w:sz="4" w:space="0" w:color="auto"/>
            </w:tcBorders>
          </w:tcPr>
          <w:p w14:paraId="664D7DE4" w14:textId="77777777" w:rsidR="00977942" w:rsidRPr="000262D3" w:rsidRDefault="00977942" w:rsidP="000262D3">
            <w:pPr>
              <w:ind w:left="32"/>
              <w:rPr>
                <w:b/>
                <w:bCs/>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45E3790E" w14:textId="77777777" w:rsidR="00977942" w:rsidRPr="000262D3" w:rsidRDefault="00977942" w:rsidP="000262D3">
            <w:pPr>
              <w:ind w:left="32"/>
              <w:rPr>
                <w:b/>
                <w:bCs/>
                <w:sz w:val="24"/>
                <w:szCs w:val="24"/>
              </w:rPr>
            </w:pPr>
            <w:r w:rsidRPr="000262D3">
              <w:rPr>
                <w:b/>
                <w:bCs/>
                <w:sz w:val="24"/>
                <w:szCs w:val="24"/>
              </w:rPr>
              <w:t>Anastrozol</w:t>
            </w:r>
            <w:r w:rsidRPr="000262D3">
              <w:rPr>
                <w:b/>
                <w:bCs/>
                <w:sz w:val="24"/>
                <w:szCs w:val="24"/>
              </w:rPr>
              <w:br/>
              <w:t>(N=3.125)</w:t>
            </w:r>
          </w:p>
        </w:tc>
        <w:tc>
          <w:tcPr>
            <w:tcW w:w="1634" w:type="dxa"/>
            <w:tcBorders>
              <w:top w:val="single" w:sz="4" w:space="0" w:color="auto"/>
              <w:left w:val="single" w:sz="4" w:space="0" w:color="auto"/>
              <w:bottom w:val="single" w:sz="4" w:space="0" w:color="auto"/>
              <w:right w:val="single" w:sz="4" w:space="0" w:color="auto"/>
            </w:tcBorders>
            <w:hideMark/>
          </w:tcPr>
          <w:p w14:paraId="42A7F723" w14:textId="77777777" w:rsidR="00977942" w:rsidRPr="000262D3" w:rsidRDefault="00977942" w:rsidP="000262D3">
            <w:pPr>
              <w:ind w:left="32"/>
              <w:rPr>
                <w:b/>
                <w:bCs/>
                <w:sz w:val="24"/>
                <w:szCs w:val="24"/>
              </w:rPr>
            </w:pPr>
            <w:r w:rsidRPr="000262D3">
              <w:rPr>
                <w:b/>
                <w:bCs/>
                <w:sz w:val="24"/>
                <w:szCs w:val="24"/>
              </w:rPr>
              <w:t>Tamoxifen</w:t>
            </w:r>
            <w:r w:rsidRPr="000262D3">
              <w:rPr>
                <w:b/>
                <w:bCs/>
                <w:sz w:val="24"/>
                <w:szCs w:val="24"/>
              </w:rPr>
              <w:br/>
              <w:t>(N=3.116)</w:t>
            </w:r>
          </w:p>
        </w:tc>
        <w:tc>
          <w:tcPr>
            <w:tcW w:w="1530" w:type="dxa"/>
            <w:tcBorders>
              <w:top w:val="single" w:sz="4" w:space="0" w:color="auto"/>
              <w:left w:val="single" w:sz="4" w:space="0" w:color="auto"/>
              <w:bottom w:val="single" w:sz="4" w:space="0" w:color="auto"/>
              <w:right w:val="single" w:sz="4" w:space="0" w:color="auto"/>
            </w:tcBorders>
            <w:hideMark/>
          </w:tcPr>
          <w:p w14:paraId="40C0C684" w14:textId="77777777" w:rsidR="00977942" w:rsidRPr="000262D3" w:rsidRDefault="00977942" w:rsidP="000262D3">
            <w:pPr>
              <w:ind w:left="32"/>
              <w:rPr>
                <w:b/>
                <w:bCs/>
                <w:sz w:val="24"/>
                <w:szCs w:val="24"/>
              </w:rPr>
            </w:pPr>
            <w:r w:rsidRPr="000262D3">
              <w:rPr>
                <w:b/>
                <w:bCs/>
                <w:sz w:val="24"/>
                <w:szCs w:val="24"/>
              </w:rPr>
              <w:t>Anastrozol</w:t>
            </w:r>
            <w:r w:rsidRPr="000262D3">
              <w:rPr>
                <w:b/>
                <w:bCs/>
                <w:sz w:val="24"/>
                <w:szCs w:val="24"/>
              </w:rPr>
              <w:br/>
              <w:t>(N=2.618)</w:t>
            </w:r>
          </w:p>
        </w:tc>
        <w:tc>
          <w:tcPr>
            <w:tcW w:w="1583" w:type="dxa"/>
            <w:tcBorders>
              <w:top w:val="single" w:sz="4" w:space="0" w:color="auto"/>
              <w:left w:val="single" w:sz="4" w:space="0" w:color="auto"/>
              <w:bottom w:val="single" w:sz="4" w:space="0" w:color="auto"/>
              <w:right w:val="single" w:sz="4" w:space="0" w:color="auto"/>
            </w:tcBorders>
            <w:hideMark/>
          </w:tcPr>
          <w:p w14:paraId="3E8C96C3" w14:textId="77777777" w:rsidR="00977942" w:rsidRPr="000262D3" w:rsidRDefault="00977942" w:rsidP="000262D3">
            <w:pPr>
              <w:ind w:left="32"/>
              <w:rPr>
                <w:b/>
                <w:bCs/>
                <w:sz w:val="24"/>
                <w:szCs w:val="24"/>
              </w:rPr>
            </w:pPr>
            <w:r w:rsidRPr="000262D3">
              <w:rPr>
                <w:b/>
                <w:bCs/>
                <w:sz w:val="24"/>
                <w:szCs w:val="24"/>
              </w:rPr>
              <w:t>Tamoxifen</w:t>
            </w:r>
            <w:r w:rsidRPr="000262D3">
              <w:rPr>
                <w:b/>
                <w:bCs/>
                <w:sz w:val="24"/>
                <w:szCs w:val="24"/>
              </w:rPr>
              <w:br/>
              <w:t>(N=2.598)</w:t>
            </w:r>
          </w:p>
        </w:tc>
      </w:tr>
      <w:tr w:rsidR="00977942" w:rsidRPr="000262D3" w14:paraId="09096FE9"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0763CA19" w14:textId="77777777" w:rsidR="00977942" w:rsidRPr="000262D3" w:rsidRDefault="00977942" w:rsidP="000262D3">
            <w:pPr>
              <w:ind w:left="32"/>
              <w:rPr>
                <w:b/>
                <w:bCs/>
                <w:sz w:val="24"/>
                <w:szCs w:val="24"/>
              </w:rPr>
            </w:pPr>
            <w:r w:rsidRPr="000262D3">
              <w:rPr>
                <w:b/>
                <w:bCs/>
                <w:sz w:val="24"/>
                <w:szCs w:val="24"/>
              </w:rPr>
              <w:t>Sygdomsfri overlevelse</w:t>
            </w:r>
            <w:r w:rsidRPr="000262D3">
              <w:rPr>
                <w:b/>
                <w:bCs/>
                <w:sz w:val="24"/>
                <w:szCs w:val="24"/>
                <w:vertAlign w:val="superscript"/>
              </w:rPr>
              <w:t>a</w:t>
            </w:r>
          </w:p>
        </w:tc>
        <w:tc>
          <w:tcPr>
            <w:tcW w:w="1485" w:type="dxa"/>
            <w:tcBorders>
              <w:top w:val="single" w:sz="4" w:space="0" w:color="auto"/>
              <w:left w:val="single" w:sz="4" w:space="0" w:color="auto"/>
              <w:bottom w:val="single" w:sz="4" w:space="0" w:color="auto"/>
              <w:right w:val="single" w:sz="4" w:space="0" w:color="auto"/>
            </w:tcBorders>
            <w:hideMark/>
          </w:tcPr>
          <w:p w14:paraId="1A4CC56D" w14:textId="77777777" w:rsidR="00977942" w:rsidRPr="000262D3" w:rsidRDefault="00977942" w:rsidP="000262D3">
            <w:pPr>
              <w:ind w:left="32"/>
              <w:rPr>
                <w:sz w:val="24"/>
                <w:szCs w:val="24"/>
              </w:rPr>
            </w:pPr>
            <w:r w:rsidRPr="000262D3">
              <w:rPr>
                <w:sz w:val="24"/>
                <w:szCs w:val="24"/>
              </w:rPr>
              <w:t>575 (18,4)</w:t>
            </w:r>
          </w:p>
        </w:tc>
        <w:tc>
          <w:tcPr>
            <w:tcW w:w="1634" w:type="dxa"/>
            <w:tcBorders>
              <w:top w:val="single" w:sz="4" w:space="0" w:color="auto"/>
              <w:left w:val="single" w:sz="4" w:space="0" w:color="auto"/>
              <w:bottom w:val="single" w:sz="4" w:space="0" w:color="auto"/>
              <w:right w:val="single" w:sz="4" w:space="0" w:color="auto"/>
            </w:tcBorders>
            <w:hideMark/>
          </w:tcPr>
          <w:p w14:paraId="0E3E9DC0" w14:textId="77777777" w:rsidR="00977942" w:rsidRPr="000262D3" w:rsidRDefault="00977942" w:rsidP="000262D3">
            <w:pPr>
              <w:ind w:left="32"/>
              <w:rPr>
                <w:sz w:val="24"/>
                <w:szCs w:val="24"/>
              </w:rPr>
            </w:pPr>
            <w:r w:rsidRPr="000262D3">
              <w:rPr>
                <w:sz w:val="24"/>
                <w:szCs w:val="24"/>
              </w:rPr>
              <w:t>651 (20,9)</w:t>
            </w:r>
          </w:p>
        </w:tc>
        <w:tc>
          <w:tcPr>
            <w:tcW w:w="1530" w:type="dxa"/>
            <w:tcBorders>
              <w:top w:val="single" w:sz="4" w:space="0" w:color="auto"/>
              <w:left w:val="single" w:sz="4" w:space="0" w:color="auto"/>
              <w:bottom w:val="single" w:sz="4" w:space="0" w:color="auto"/>
              <w:right w:val="single" w:sz="4" w:space="0" w:color="auto"/>
            </w:tcBorders>
            <w:hideMark/>
          </w:tcPr>
          <w:p w14:paraId="1336763E" w14:textId="77777777" w:rsidR="00977942" w:rsidRPr="000262D3" w:rsidRDefault="00977942" w:rsidP="000262D3">
            <w:pPr>
              <w:ind w:left="32"/>
              <w:rPr>
                <w:sz w:val="24"/>
                <w:szCs w:val="24"/>
              </w:rPr>
            </w:pPr>
            <w:r w:rsidRPr="000262D3">
              <w:rPr>
                <w:sz w:val="24"/>
                <w:szCs w:val="24"/>
              </w:rPr>
              <w:t>424 (16,2)</w:t>
            </w:r>
          </w:p>
        </w:tc>
        <w:tc>
          <w:tcPr>
            <w:tcW w:w="1583" w:type="dxa"/>
            <w:tcBorders>
              <w:top w:val="single" w:sz="4" w:space="0" w:color="auto"/>
              <w:left w:val="single" w:sz="4" w:space="0" w:color="auto"/>
              <w:bottom w:val="single" w:sz="4" w:space="0" w:color="auto"/>
              <w:right w:val="single" w:sz="4" w:space="0" w:color="auto"/>
            </w:tcBorders>
            <w:hideMark/>
          </w:tcPr>
          <w:p w14:paraId="2B62D170" w14:textId="77777777" w:rsidR="00977942" w:rsidRPr="000262D3" w:rsidRDefault="00977942" w:rsidP="000262D3">
            <w:pPr>
              <w:ind w:left="32"/>
              <w:rPr>
                <w:sz w:val="24"/>
                <w:szCs w:val="24"/>
              </w:rPr>
            </w:pPr>
            <w:r w:rsidRPr="000262D3">
              <w:rPr>
                <w:sz w:val="24"/>
                <w:szCs w:val="24"/>
              </w:rPr>
              <w:t>497 (19,1)</w:t>
            </w:r>
          </w:p>
        </w:tc>
      </w:tr>
      <w:tr w:rsidR="00977942" w:rsidRPr="000262D3" w14:paraId="491EC759"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4A16F64A" w14:textId="77777777" w:rsidR="00977942" w:rsidRPr="000262D3" w:rsidRDefault="00977942" w:rsidP="000262D3">
            <w:pPr>
              <w:ind w:left="32"/>
              <w:rPr>
                <w:sz w:val="24"/>
                <w:szCs w:val="24"/>
              </w:rPr>
            </w:pPr>
            <w:r w:rsidRPr="000262D3">
              <w:rPr>
                <w:sz w:val="24"/>
                <w:szCs w:val="24"/>
              </w:rPr>
              <w:t>Hazard ratio</w:t>
            </w:r>
          </w:p>
        </w:tc>
        <w:tc>
          <w:tcPr>
            <w:tcW w:w="3119" w:type="dxa"/>
            <w:gridSpan w:val="2"/>
            <w:tcBorders>
              <w:top w:val="single" w:sz="4" w:space="0" w:color="auto"/>
              <w:left w:val="single" w:sz="4" w:space="0" w:color="auto"/>
              <w:bottom w:val="single" w:sz="4" w:space="0" w:color="auto"/>
              <w:right w:val="single" w:sz="4" w:space="0" w:color="auto"/>
            </w:tcBorders>
            <w:hideMark/>
          </w:tcPr>
          <w:p w14:paraId="6DF35B02" w14:textId="77777777" w:rsidR="00977942" w:rsidRPr="000262D3" w:rsidRDefault="00977942" w:rsidP="000262D3">
            <w:pPr>
              <w:ind w:left="32"/>
              <w:rPr>
                <w:sz w:val="24"/>
                <w:szCs w:val="24"/>
              </w:rPr>
            </w:pPr>
            <w:r w:rsidRPr="000262D3">
              <w:rPr>
                <w:sz w:val="24"/>
                <w:szCs w:val="24"/>
              </w:rPr>
              <w:t>0,87</w:t>
            </w:r>
          </w:p>
        </w:tc>
        <w:tc>
          <w:tcPr>
            <w:tcW w:w="3113" w:type="dxa"/>
            <w:gridSpan w:val="2"/>
            <w:tcBorders>
              <w:top w:val="single" w:sz="4" w:space="0" w:color="auto"/>
              <w:left w:val="single" w:sz="4" w:space="0" w:color="auto"/>
              <w:bottom w:val="single" w:sz="4" w:space="0" w:color="auto"/>
              <w:right w:val="single" w:sz="4" w:space="0" w:color="auto"/>
            </w:tcBorders>
            <w:hideMark/>
          </w:tcPr>
          <w:p w14:paraId="2BF74BAC" w14:textId="77777777" w:rsidR="00977942" w:rsidRPr="000262D3" w:rsidRDefault="00977942" w:rsidP="000262D3">
            <w:pPr>
              <w:ind w:left="32"/>
              <w:rPr>
                <w:sz w:val="24"/>
                <w:szCs w:val="24"/>
              </w:rPr>
            </w:pPr>
            <w:r w:rsidRPr="000262D3">
              <w:rPr>
                <w:sz w:val="24"/>
                <w:szCs w:val="24"/>
              </w:rPr>
              <w:t>0,83</w:t>
            </w:r>
          </w:p>
        </w:tc>
      </w:tr>
      <w:tr w:rsidR="00977942" w:rsidRPr="000262D3" w14:paraId="5135D061"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3CD26E35" w14:textId="77777777" w:rsidR="00977942" w:rsidRPr="000262D3" w:rsidRDefault="00977942" w:rsidP="000262D3">
            <w:pPr>
              <w:ind w:left="32"/>
              <w:rPr>
                <w:sz w:val="24"/>
                <w:szCs w:val="24"/>
              </w:rPr>
            </w:pPr>
            <w:r w:rsidRPr="000262D3">
              <w:rPr>
                <w:sz w:val="24"/>
                <w:szCs w:val="24"/>
              </w:rPr>
              <w:t>2-sidet 95 % CI</w:t>
            </w:r>
          </w:p>
        </w:tc>
        <w:tc>
          <w:tcPr>
            <w:tcW w:w="3119" w:type="dxa"/>
            <w:gridSpan w:val="2"/>
            <w:tcBorders>
              <w:top w:val="single" w:sz="4" w:space="0" w:color="auto"/>
              <w:left w:val="single" w:sz="4" w:space="0" w:color="auto"/>
              <w:bottom w:val="single" w:sz="4" w:space="0" w:color="auto"/>
              <w:right w:val="single" w:sz="4" w:space="0" w:color="auto"/>
            </w:tcBorders>
            <w:hideMark/>
          </w:tcPr>
          <w:p w14:paraId="6FDACF07" w14:textId="77777777" w:rsidR="00977942" w:rsidRPr="000262D3" w:rsidRDefault="00977942" w:rsidP="000262D3">
            <w:pPr>
              <w:ind w:left="32"/>
              <w:rPr>
                <w:sz w:val="24"/>
                <w:szCs w:val="24"/>
              </w:rPr>
            </w:pPr>
            <w:r w:rsidRPr="000262D3">
              <w:rPr>
                <w:sz w:val="24"/>
                <w:szCs w:val="24"/>
              </w:rPr>
              <w:t>0,78 til 0,97</w:t>
            </w:r>
          </w:p>
        </w:tc>
        <w:tc>
          <w:tcPr>
            <w:tcW w:w="3113" w:type="dxa"/>
            <w:gridSpan w:val="2"/>
            <w:tcBorders>
              <w:top w:val="single" w:sz="4" w:space="0" w:color="auto"/>
              <w:left w:val="single" w:sz="4" w:space="0" w:color="auto"/>
              <w:bottom w:val="single" w:sz="4" w:space="0" w:color="auto"/>
              <w:right w:val="single" w:sz="4" w:space="0" w:color="auto"/>
            </w:tcBorders>
            <w:hideMark/>
          </w:tcPr>
          <w:p w14:paraId="38452F56" w14:textId="77777777" w:rsidR="00977942" w:rsidRPr="000262D3" w:rsidRDefault="00977942" w:rsidP="000262D3">
            <w:pPr>
              <w:ind w:left="32"/>
              <w:rPr>
                <w:sz w:val="24"/>
                <w:szCs w:val="24"/>
              </w:rPr>
            </w:pPr>
            <w:r w:rsidRPr="000262D3">
              <w:rPr>
                <w:sz w:val="24"/>
                <w:szCs w:val="24"/>
              </w:rPr>
              <w:t>0,73 til 0,94</w:t>
            </w:r>
          </w:p>
        </w:tc>
      </w:tr>
      <w:tr w:rsidR="00977942" w:rsidRPr="000262D3" w14:paraId="339F0052"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188806C9" w14:textId="77777777" w:rsidR="00977942" w:rsidRPr="000262D3" w:rsidRDefault="00977942" w:rsidP="000262D3">
            <w:pPr>
              <w:ind w:left="32"/>
              <w:rPr>
                <w:sz w:val="24"/>
                <w:szCs w:val="24"/>
              </w:rPr>
            </w:pPr>
            <w:r w:rsidRPr="000262D3">
              <w:rPr>
                <w:sz w:val="24"/>
                <w:szCs w:val="24"/>
              </w:rPr>
              <w:t>p-værdi</w:t>
            </w:r>
          </w:p>
        </w:tc>
        <w:tc>
          <w:tcPr>
            <w:tcW w:w="3119" w:type="dxa"/>
            <w:gridSpan w:val="2"/>
            <w:tcBorders>
              <w:top w:val="single" w:sz="4" w:space="0" w:color="auto"/>
              <w:left w:val="single" w:sz="4" w:space="0" w:color="auto"/>
              <w:bottom w:val="single" w:sz="4" w:space="0" w:color="auto"/>
              <w:right w:val="single" w:sz="4" w:space="0" w:color="auto"/>
            </w:tcBorders>
            <w:hideMark/>
          </w:tcPr>
          <w:p w14:paraId="357915ED" w14:textId="77777777" w:rsidR="00977942" w:rsidRPr="000262D3" w:rsidRDefault="00977942" w:rsidP="000262D3">
            <w:pPr>
              <w:ind w:left="32"/>
              <w:rPr>
                <w:sz w:val="24"/>
                <w:szCs w:val="24"/>
              </w:rPr>
            </w:pPr>
            <w:r w:rsidRPr="000262D3">
              <w:rPr>
                <w:sz w:val="24"/>
                <w:szCs w:val="24"/>
              </w:rPr>
              <w:t>0,0127</w:t>
            </w:r>
          </w:p>
        </w:tc>
        <w:tc>
          <w:tcPr>
            <w:tcW w:w="3113" w:type="dxa"/>
            <w:gridSpan w:val="2"/>
            <w:tcBorders>
              <w:top w:val="single" w:sz="4" w:space="0" w:color="auto"/>
              <w:left w:val="single" w:sz="4" w:space="0" w:color="auto"/>
              <w:bottom w:val="single" w:sz="4" w:space="0" w:color="auto"/>
              <w:right w:val="single" w:sz="4" w:space="0" w:color="auto"/>
            </w:tcBorders>
            <w:hideMark/>
          </w:tcPr>
          <w:p w14:paraId="014AF4D3" w14:textId="77777777" w:rsidR="00977942" w:rsidRPr="000262D3" w:rsidRDefault="00977942" w:rsidP="000262D3">
            <w:pPr>
              <w:ind w:left="32"/>
              <w:rPr>
                <w:sz w:val="24"/>
                <w:szCs w:val="24"/>
              </w:rPr>
            </w:pPr>
            <w:r w:rsidRPr="000262D3">
              <w:rPr>
                <w:sz w:val="24"/>
                <w:szCs w:val="24"/>
              </w:rPr>
              <w:t>0,0049</w:t>
            </w:r>
          </w:p>
        </w:tc>
      </w:tr>
      <w:tr w:rsidR="00977942" w:rsidRPr="000262D3" w14:paraId="2AE291EC"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75DC1012" w14:textId="77777777" w:rsidR="00977942" w:rsidRPr="000262D3" w:rsidRDefault="00977942" w:rsidP="000262D3">
            <w:pPr>
              <w:ind w:left="32"/>
              <w:rPr>
                <w:b/>
                <w:bCs/>
                <w:sz w:val="24"/>
                <w:szCs w:val="24"/>
              </w:rPr>
            </w:pPr>
            <w:r w:rsidRPr="000262D3">
              <w:rPr>
                <w:b/>
                <w:bCs/>
                <w:sz w:val="24"/>
                <w:szCs w:val="24"/>
              </w:rPr>
              <w:t>Fjern sygdomsfri overlevelse</w:t>
            </w:r>
            <w:r w:rsidRPr="000262D3">
              <w:rPr>
                <w:b/>
                <w:bCs/>
                <w:sz w:val="24"/>
                <w:szCs w:val="24"/>
                <w:vertAlign w:val="superscript"/>
              </w:rPr>
              <w:t>b</w:t>
            </w:r>
          </w:p>
        </w:tc>
        <w:tc>
          <w:tcPr>
            <w:tcW w:w="1485" w:type="dxa"/>
            <w:tcBorders>
              <w:top w:val="single" w:sz="4" w:space="0" w:color="auto"/>
              <w:left w:val="single" w:sz="4" w:space="0" w:color="auto"/>
              <w:bottom w:val="single" w:sz="4" w:space="0" w:color="auto"/>
              <w:right w:val="single" w:sz="4" w:space="0" w:color="auto"/>
            </w:tcBorders>
            <w:hideMark/>
          </w:tcPr>
          <w:p w14:paraId="1661766B" w14:textId="77777777" w:rsidR="00977942" w:rsidRPr="000262D3" w:rsidRDefault="00977942" w:rsidP="000262D3">
            <w:pPr>
              <w:ind w:left="32"/>
              <w:rPr>
                <w:sz w:val="24"/>
                <w:szCs w:val="24"/>
              </w:rPr>
            </w:pPr>
            <w:r w:rsidRPr="000262D3">
              <w:rPr>
                <w:sz w:val="24"/>
                <w:szCs w:val="24"/>
              </w:rPr>
              <w:t>500 (16,0)</w:t>
            </w:r>
          </w:p>
        </w:tc>
        <w:tc>
          <w:tcPr>
            <w:tcW w:w="1634" w:type="dxa"/>
            <w:tcBorders>
              <w:top w:val="single" w:sz="4" w:space="0" w:color="auto"/>
              <w:left w:val="single" w:sz="4" w:space="0" w:color="auto"/>
              <w:bottom w:val="single" w:sz="4" w:space="0" w:color="auto"/>
              <w:right w:val="single" w:sz="4" w:space="0" w:color="auto"/>
            </w:tcBorders>
            <w:hideMark/>
          </w:tcPr>
          <w:p w14:paraId="3408AA15" w14:textId="77777777" w:rsidR="00977942" w:rsidRPr="000262D3" w:rsidRDefault="00977942" w:rsidP="000262D3">
            <w:pPr>
              <w:ind w:left="32"/>
              <w:rPr>
                <w:sz w:val="24"/>
                <w:szCs w:val="24"/>
              </w:rPr>
            </w:pPr>
            <w:r w:rsidRPr="000262D3">
              <w:rPr>
                <w:sz w:val="24"/>
                <w:szCs w:val="24"/>
              </w:rPr>
              <w:t>530 (17,0)</w:t>
            </w:r>
          </w:p>
        </w:tc>
        <w:tc>
          <w:tcPr>
            <w:tcW w:w="1530" w:type="dxa"/>
            <w:tcBorders>
              <w:top w:val="single" w:sz="4" w:space="0" w:color="auto"/>
              <w:left w:val="single" w:sz="4" w:space="0" w:color="auto"/>
              <w:bottom w:val="single" w:sz="4" w:space="0" w:color="auto"/>
              <w:right w:val="single" w:sz="4" w:space="0" w:color="auto"/>
            </w:tcBorders>
            <w:hideMark/>
          </w:tcPr>
          <w:p w14:paraId="4B71BED8" w14:textId="77777777" w:rsidR="00977942" w:rsidRPr="000262D3" w:rsidRDefault="00977942" w:rsidP="000262D3">
            <w:pPr>
              <w:ind w:left="32"/>
              <w:rPr>
                <w:sz w:val="24"/>
                <w:szCs w:val="24"/>
              </w:rPr>
            </w:pPr>
            <w:r w:rsidRPr="000262D3">
              <w:rPr>
                <w:sz w:val="24"/>
                <w:szCs w:val="24"/>
              </w:rPr>
              <w:t>370 (14,1)</w:t>
            </w:r>
          </w:p>
        </w:tc>
        <w:tc>
          <w:tcPr>
            <w:tcW w:w="1583" w:type="dxa"/>
            <w:tcBorders>
              <w:top w:val="single" w:sz="4" w:space="0" w:color="auto"/>
              <w:left w:val="single" w:sz="4" w:space="0" w:color="auto"/>
              <w:bottom w:val="single" w:sz="4" w:space="0" w:color="auto"/>
              <w:right w:val="single" w:sz="4" w:space="0" w:color="auto"/>
            </w:tcBorders>
            <w:hideMark/>
          </w:tcPr>
          <w:p w14:paraId="65B34ECA" w14:textId="77777777" w:rsidR="00977942" w:rsidRPr="000262D3" w:rsidRDefault="00977942" w:rsidP="000262D3">
            <w:pPr>
              <w:ind w:left="32"/>
              <w:rPr>
                <w:sz w:val="24"/>
                <w:szCs w:val="24"/>
              </w:rPr>
            </w:pPr>
            <w:r w:rsidRPr="000262D3">
              <w:rPr>
                <w:sz w:val="24"/>
                <w:szCs w:val="24"/>
              </w:rPr>
              <w:t>394 (15,2)</w:t>
            </w:r>
          </w:p>
        </w:tc>
      </w:tr>
      <w:tr w:rsidR="00977942" w:rsidRPr="000262D3" w14:paraId="46A2278F"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5104CBD9" w14:textId="77777777" w:rsidR="00977942" w:rsidRPr="000262D3" w:rsidRDefault="00977942" w:rsidP="000262D3">
            <w:pPr>
              <w:ind w:left="32"/>
              <w:rPr>
                <w:sz w:val="24"/>
                <w:szCs w:val="24"/>
              </w:rPr>
            </w:pPr>
            <w:r w:rsidRPr="000262D3">
              <w:rPr>
                <w:sz w:val="24"/>
                <w:szCs w:val="24"/>
              </w:rPr>
              <w:t>Hazard ratio</w:t>
            </w:r>
          </w:p>
        </w:tc>
        <w:tc>
          <w:tcPr>
            <w:tcW w:w="3119" w:type="dxa"/>
            <w:gridSpan w:val="2"/>
            <w:tcBorders>
              <w:top w:val="single" w:sz="4" w:space="0" w:color="auto"/>
              <w:left w:val="single" w:sz="4" w:space="0" w:color="auto"/>
              <w:bottom w:val="single" w:sz="4" w:space="0" w:color="auto"/>
              <w:right w:val="single" w:sz="4" w:space="0" w:color="auto"/>
            </w:tcBorders>
            <w:hideMark/>
          </w:tcPr>
          <w:p w14:paraId="400D17C1" w14:textId="77777777" w:rsidR="00977942" w:rsidRPr="000262D3" w:rsidRDefault="00977942" w:rsidP="000262D3">
            <w:pPr>
              <w:ind w:left="32"/>
              <w:rPr>
                <w:sz w:val="24"/>
                <w:szCs w:val="24"/>
              </w:rPr>
            </w:pPr>
            <w:r w:rsidRPr="000262D3">
              <w:rPr>
                <w:sz w:val="24"/>
                <w:szCs w:val="24"/>
              </w:rPr>
              <w:t>0,94</w:t>
            </w:r>
          </w:p>
        </w:tc>
        <w:tc>
          <w:tcPr>
            <w:tcW w:w="3113" w:type="dxa"/>
            <w:gridSpan w:val="2"/>
            <w:tcBorders>
              <w:top w:val="single" w:sz="4" w:space="0" w:color="auto"/>
              <w:left w:val="single" w:sz="4" w:space="0" w:color="auto"/>
              <w:bottom w:val="single" w:sz="4" w:space="0" w:color="auto"/>
              <w:right w:val="single" w:sz="4" w:space="0" w:color="auto"/>
            </w:tcBorders>
            <w:hideMark/>
          </w:tcPr>
          <w:p w14:paraId="51550B5F" w14:textId="77777777" w:rsidR="00977942" w:rsidRPr="000262D3" w:rsidRDefault="00977942" w:rsidP="000262D3">
            <w:pPr>
              <w:ind w:left="32"/>
              <w:rPr>
                <w:sz w:val="24"/>
                <w:szCs w:val="24"/>
              </w:rPr>
            </w:pPr>
            <w:r w:rsidRPr="000262D3">
              <w:rPr>
                <w:sz w:val="24"/>
                <w:szCs w:val="24"/>
              </w:rPr>
              <w:t>0,93</w:t>
            </w:r>
          </w:p>
        </w:tc>
      </w:tr>
      <w:tr w:rsidR="00977942" w:rsidRPr="000262D3" w14:paraId="142B61D8"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55D46FF1" w14:textId="77777777" w:rsidR="00977942" w:rsidRPr="000262D3" w:rsidRDefault="00977942" w:rsidP="000262D3">
            <w:pPr>
              <w:ind w:left="32"/>
              <w:rPr>
                <w:sz w:val="24"/>
                <w:szCs w:val="24"/>
              </w:rPr>
            </w:pPr>
            <w:r w:rsidRPr="000262D3">
              <w:rPr>
                <w:sz w:val="24"/>
                <w:szCs w:val="24"/>
              </w:rPr>
              <w:t>2-sidet 95 % CI</w:t>
            </w:r>
          </w:p>
        </w:tc>
        <w:tc>
          <w:tcPr>
            <w:tcW w:w="3119" w:type="dxa"/>
            <w:gridSpan w:val="2"/>
            <w:tcBorders>
              <w:top w:val="single" w:sz="4" w:space="0" w:color="auto"/>
              <w:left w:val="single" w:sz="4" w:space="0" w:color="auto"/>
              <w:bottom w:val="single" w:sz="4" w:space="0" w:color="auto"/>
              <w:right w:val="single" w:sz="4" w:space="0" w:color="auto"/>
            </w:tcBorders>
            <w:hideMark/>
          </w:tcPr>
          <w:p w14:paraId="51D745F8" w14:textId="77777777" w:rsidR="00977942" w:rsidRPr="000262D3" w:rsidRDefault="00977942" w:rsidP="000262D3">
            <w:pPr>
              <w:ind w:left="32"/>
              <w:rPr>
                <w:sz w:val="24"/>
                <w:szCs w:val="24"/>
              </w:rPr>
            </w:pPr>
            <w:r w:rsidRPr="000262D3">
              <w:rPr>
                <w:sz w:val="24"/>
                <w:szCs w:val="24"/>
              </w:rPr>
              <w:t>0,83 til 1,06</w:t>
            </w:r>
          </w:p>
        </w:tc>
        <w:tc>
          <w:tcPr>
            <w:tcW w:w="3113" w:type="dxa"/>
            <w:gridSpan w:val="2"/>
            <w:tcBorders>
              <w:top w:val="single" w:sz="4" w:space="0" w:color="auto"/>
              <w:left w:val="single" w:sz="4" w:space="0" w:color="auto"/>
              <w:bottom w:val="single" w:sz="4" w:space="0" w:color="auto"/>
              <w:right w:val="single" w:sz="4" w:space="0" w:color="auto"/>
            </w:tcBorders>
            <w:hideMark/>
          </w:tcPr>
          <w:p w14:paraId="4AA417A1" w14:textId="77777777" w:rsidR="00977942" w:rsidRPr="000262D3" w:rsidRDefault="00977942" w:rsidP="000262D3">
            <w:pPr>
              <w:ind w:left="32"/>
              <w:rPr>
                <w:sz w:val="24"/>
                <w:szCs w:val="24"/>
              </w:rPr>
            </w:pPr>
            <w:r w:rsidRPr="000262D3">
              <w:rPr>
                <w:sz w:val="24"/>
                <w:szCs w:val="24"/>
              </w:rPr>
              <w:t>0,80 til 1,07</w:t>
            </w:r>
          </w:p>
        </w:tc>
      </w:tr>
      <w:tr w:rsidR="00977942" w:rsidRPr="000262D3" w14:paraId="0E7642E7"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5F555397" w14:textId="77777777" w:rsidR="00977942" w:rsidRPr="000262D3" w:rsidRDefault="00977942" w:rsidP="000262D3">
            <w:pPr>
              <w:ind w:left="32"/>
              <w:rPr>
                <w:sz w:val="24"/>
                <w:szCs w:val="24"/>
              </w:rPr>
            </w:pPr>
            <w:r w:rsidRPr="000262D3">
              <w:rPr>
                <w:sz w:val="24"/>
                <w:szCs w:val="24"/>
              </w:rPr>
              <w:t>p-værdi</w:t>
            </w:r>
          </w:p>
        </w:tc>
        <w:tc>
          <w:tcPr>
            <w:tcW w:w="3119" w:type="dxa"/>
            <w:gridSpan w:val="2"/>
            <w:tcBorders>
              <w:top w:val="single" w:sz="4" w:space="0" w:color="auto"/>
              <w:left w:val="single" w:sz="4" w:space="0" w:color="auto"/>
              <w:bottom w:val="single" w:sz="4" w:space="0" w:color="auto"/>
              <w:right w:val="single" w:sz="4" w:space="0" w:color="auto"/>
            </w:tcBorders>
            <w:hideMark/>
          </w:tcPr>
          <w:p w14:paraId="6774A391" w14:textId="77777777" w:rsidR="00977942" w:rsidRPr="000262D3" w:rsidRDefault="00977942" w:rsidP="000262D3">
            <w:pPr>
              <w:ind w:left="32"/>
              <w:rPr>
                <w:sz w:val="24"/>
                <w:szCs w:val="24"/>
              </w:rPr>
            </w:pPr>
            <w:r w:rsidRPr="000262D3">
              <w:rPr>
                <w:sz w:val="24"/>
                <w:szCs w:val="24"/>
              </w:rPr>
              <w:t>0,2850</w:t>
            </w:r>
          </w:p>
        </w:tc>
        <w:tc>
          <w:tcPr>
            <w:tcW w:w="3113" w:type="dxa"/>
            <w:gridSpan w:val="2"/>
            <w:tcBorders>
              <w:top w:val="single" w:sz="4" w:space="0" w:color="auto"/>
              <w:left w:val="single" w:sz="4" w:space="0" w:color="auto"/>
              <w:bottom w:val="single" w:sz="4" w:space="0" w:color="auto"/>
              <w:right w:val="single" w:sz="4" w:space="0" w:color="auto"/>
            </w:tcBorders>
            <w:hideMark/>
          </w:tcPr>
          <w:p w14:paraId="00B3D81B" w14:textId="77777777" w:rsidR="00977942" w:rsidRPr="000262D3" w:rsidRDefault="00977942" w:rsidP="000262D3">
            <w:pPr>
              <w:ind w:left="32"/>
              <w:rPr>
                <w:sz w:val="24"/>
                <w:szCs w:val="24"/>
              </w:rPr>
            </w:pPr>
            <w:r w:rsidRPr="000262D3">
              <w:rPr>
                <w:sz w:val="24"/>
                <w:szCs w:val="24"/>
              </w:rPr>
              <w:t>0,2838</w:t>
            </w:r>
          </w:p>
        </w:tc>
      </w:tr>
      <w:tr w:rsidR="00977942" w:rsidRPr="000262D3" w14:paraId="4494F13A"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69F14925" w14:textId="77777777" w:rsidR="00977942" w:rsidRPr="000262D3" w:rsidRDefault="00977942" w:rsidP="000262D3">
            <w:pPr>
              <w:rPr>
                <w:b/>
                <w:bCs/>
                <w:sz w:val="24"/>
                <w:szCs w:val="24"/>
              </w:rPr>
            </w:pPr>
            <w:r w:rsidRPr="000262D3">
              <w:rPr>
                <w:b/>
                <w:bCs/>
                <w:sz w:val="24"/>
                <w:szCs w:val="24"/>
              </w:rPr>
              <w:t>Tid til recidiv</w:t>
            </w:r>
            <w:r w:rsidRPr="000262D3">
              <w:rPr>
                <w:b/>
                <w:bCs/>
                <w:sz w:val="24"/>
                <w:szCs w:val="24"/>
                <w:vertAlign w:val="superscript"/>
              </w:rPr>
              <w:t>c</w:t>
            </w:r>
          </w:p>
        </w:tc>
        <w:tc>
          <w:tcPr>
            <w:tcW w:w="1485" w:type="dxa"/>
            <w:tcBorders>
              <w:top w:val="single" w:sz="4" w:space="0" w:color="auto"/>
              <w:left w:val="single" w:sz="4" w:space="0" w:color="auto"/>
              <w:bottom w:val="single" w:sz="4" w:space="0" w:color="auto"/>
              <w:right w:val="single" w:sz="4" w:space="0" w:color="auto"/>
            </w:tcBorders>
            <w:hideMark/>
          </w:tcPr>
          <w:p w14:paraId="689002BE" w14:textId="77777777" w:rsidR="00977942" w:rsidRPr="000262D3" w:rsidRDefault="00977942" w:rsidP="000262D3">
            <w:pPr>
              <w:rPr>
                <w:sz w:val="24"/>
                <w:szCs w:val="24"/>
              </w:rPr>
            </w:pPr>
            <w:r w:rsidRPr="000262D3">
              <w:rPr>
                <w:sz w:val="24"/>
                <w:szCs w:val="24"/>
              </w:rPr>
              <w:t>402 (12,9)</w:t>
            </w:r>
          </w:p>
        </w:tc>
        <w:tc>
          <w:tcPr>
            <w:tcW w:w="1634" w:type="dxa"/>
            <w:tcBorders>
              <w:top w:val="single" w:sz="4" w:space="0" w:color="auto"/>
              <w:left w:val="single" w:sz="4" w:space="0" w:color="auto"/>
              <w:bottom w:val="single" w:sz="4" w:space="0" w:color="auto"/>
              <w:right w:val="single" w:sz="4" w:space="0" w:color="auto"/>
            </w:tcBorders>
            <w:hideMark/>
          </w:tcPr>
          <w:p w14:paraId="77C62390" w14:textId="77777777" w:rsidR="00977942" w:rsidRPr="000262D3" w:rsidRDefault="00977942" w:rsidP="000262D3">
            <w:pPr>
              <w:rPr>
                <w:sz w:val="24"/>
                <w:szCs w:val="24"/>
              </w:rPr>
            </w:pPr>
            <w:r w:rsidRPr="000262D3">
              <w:rPr>
                <w:sz w:val="24"/>
                <w:szCs w:val="24"/>
              </w:rPr>
              <w:t>498 (16,0)</w:t>
            </w:r>
          </w:p>
        </w:tc>
        <w:tc>
          <w:tcPr>
            <w:tcW w:w="1530" w:type="dxa"/>
            <w:tcBorders>
              <w:top w:val="single" w:sz="4" w:space="0" w:color="auto"/>
              <w:left w:val="single" w:sz="4" w:space="0" w:color="auto"/>
              <w:bottom w:val="single" w:sz="4" w:space="0" w:color="auto"/>
              <w:right w:val="single" w:sz="4" w:space="0" w:color="auto"/>
            </w:tcBorders>
            <w:hideMark/>
          </w:tcPr>
          <w:p w14:paraId="074F44C6" w14:textId="77777777" w:rsidR="00977942" w:rsidRPr="000262D3" w:rsidRDefault="00977942" w:rsidP="000262D3">
            <w:pPr>
              <w:ind w:left="851"/>
              <w:rPr>
                <w:sz w:val="24"/>
                <w:szCs w:val="24"/>
              </w:rPr>
            </w:pPr>
            <w:r w:rsidRPr="000262D3">
              <w:rPr>
                <w:sz w:val="24"/>
                <w:szCs w:val="24"/>
              </w:rPr>
              <w:t>282 (10,8)</w:t>
            </w:r>
          </w:p>
        </w:tc>
        <w:tc>
          <w:tcPr>
            <w:tcW w:w="1583" w:type="dxa"/>
            <w:tcBorders>
              <w:top w:val="single" w:sz="4" w:space="0" w:color="auto"/>
              <w:left w:val="single" w:sz="4" w:space="0" w:color="auto"/>
              <w:bottom w:val="single" w:sz="4" w:space="0" w:color="auto"/>
              <w:right w:val="single" w:sz="4" w:space="0" w:color="auto"/>
            </w:tcBorders>
            <w:hideMark/>
          </w:tcPr>
          <w:p w14:paraId="070E2458" w14:textId="77777777" w:rsidR="00977942" w:rsidRPr="000262D3" w:rsidRDefault="00977942" w:rsidP="000262D3">
            <w:pPr>
              <w:ind w:left="851"/>
              <w:rPr>
                <w:sz w:val="24"/>
                <w:szCs w:val="24"/>
              </w:rPr>
            </w:pPr>
            <w:r w:rsidRPr="000262D3">
              <w:rPr>
                <w:sz w:val="24"/>
                <w:szCs w:val="24"/>
              </w:rPr>
              <w:t>370 (14,2)</w:t>
            </w:r>
          </w:p>
        </w:tc>
      </w:tr>
      <w:tr w:rsidR="00977942" w:rsidRPr="000262D3" w14:paraId="3E9B5D24"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20F70CD2" w14:textId="77777777" w:rsidR="00977942" w:rsidRPr="000262D3" w:rsidRDefault="00977942" w:rsidP="000262D3">
            <w:pPr>
              <w:rPr>
                <w:sz w:val="24"/>
                <w:szCs w:val="24"/>
              </w:rPr>
            </w:pPr>
            <w:r w:rsidRPr="000262D3">
              <w:rPr>
                <w:sz w:val="24"/>
                <w:szCs w:val="24"/>
              </w:rPr>
              <w:t>Hazard ratio</w:t>
            </w:r>
          </w:p>
        </w:tc>
        <w:tc>
          <w:tcPr>
            <w:tcW w:w="3119" w:type="dxa"/>
            <w:gridSpan w:val="2"/>
            <w:tcBorders>
              <w:top w:val="single" w:sz="4" w:space="0" w:color="auto"/>
              <w:left w:val="single" w:sz="4" w:space="0" w:color="auto"/>
              <w:bottom w:val="single" w:sz="4" w:space="0" w:color="auto"/>
              <w:right w:val="single" w:sz="4" w:space="0" w:color="auto"/>
            </w:tcBorders>
            <w:hideMark/>
          </w:tcPr>
          <w:p w14:paraId="40B3AA75" w14:textId="77777777" w:rsidR="00977942" w:rsidRPr="000262D3" w:rsidRDefault="00977942" w:rsidP="000262D3">
            <w:pPr>
              <w:rPr>
                <w:sz w:val="24"/>
                <w:szCs w:val="24"/>
              </w:rPr>
            </w:pPr>
            <w:r w:rsidRPr="000262D3">
              <w:rPr>
                <w:sz w:val="24"/>
                <w:szCs w:val="24"/>
              </w:rPr>
              <w:t>0,79</w:t>
            </w:r>
          </w:p>
        </w:tc>
        <w:tc>
          <w:tcPr>
            <w:tcW w:w="3113" w:type="dxa"/>
            <w:gridSpan w:val="2"/>
            <w:tcBorders>
              <w:top w:val="single" w:sz="4" w:space="0" w:color="auto"/>
              <w:left w:val="single" w:sz="4" w:space="0" w:color="auto"/>
              <w:bottom w:val="single" w:sz="4" w:space="0" w:color="auto"/>
              <w:right w:val="single" w:sz="4" w:space="0" w:color="auto"/>
            </w:tcBorders>
            <w:hideMark/>
          </w:tcPr>
          <w:p w14:paraId="479F1FFF" w14:textId="77777777" w:rsidR="00977942" w:rsidRPr="000262D3" w:rsidRDefault="00977942" w:rsidP="000262D3">
            <w:pPr>
              <w:ind w:left="851"/>
              <w:rPr>
                <w:sz w:val="24"/>
                <w:szCs w:val="24"/>
              </w:rPr>
            </w:pPr>
            <w:r w:rsidRPr="000262D3">
              <w:rPr>
                <w:sz w:val="24"/>
                <w:szCs w:val="24"/>
              </w:rPr>
              <w:t>0,74</w:t>
            </w:r>
          </w:p>
        </w:tc>
      </w:tr>
      <w:tr w:rsidR="00977942" w:rsidRPr="000262D3" w14:paraId="2F0611E7"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6951104F" w14:textId="77777777" w:rsidR="00977942" w:rsidRPr="000262D3" w:rsidRDefault="00977942" w:rsidP="000262D3">
            <w:pPr>
              <w:rPr>
                <w:sz w:val="24"/>
                <w:szCs w:val="24"/>
              </w:rPr>
            </w:pPr>
            <w:r w:rsidRPr="000262D3">
              <w:rPr>
                <w:sz w:val="24"/>
                <w:szCs w:val="24"/>
              </w:rPr>
              <w:t>2-sidet 95 % CI</w:t>
            </w:r>
          </w:p>
        </w:tc>
        <w:tc>
          <w:tcPr>
            <w:tcW w:w="3119" w:type="dxa"/>
            <w:gridSpan w:val="2"/>
            <w:tcBorders>
              <w:top w:val="single" w:sz="4" w:space="0" w:color="auto"/>
              <w:left w:val="single" w:sz="4" w:space="0" w:color="auto"/>
              <w:bottom w:val="single" w:sz="4" w:space="0" w:color="auto"/>
              <w:right w:val="single" w:sz="4" w:space="0" w:color="auto"/>
            </w:tcBorders>
            <w:hideMark/>
          </w:tcPr>
          <w:p w14:paraId="65EB858E" w14:textId="77777777" w:rsidR="00977942" w:rsidRPr="000262D3" w:rsidRDefault="00977942" w:rsidP="000262D3">
            <w:pPr>
              <w:rPr>
                <w:sz w:val="24"/>
                <w:szCs w:val="24"/>
              </w:rPr>
            </w:pPr>
            <w:r w:rsidRPr="000262D3">
              <w:rPr>
                <w:sz w:val="24"/>
                <w:szCs w:val="24"/>
              </w:rPr>
              <w:t>0,70 til 0,90</w:t>
            </w:r>
          </w:p>
        </w:tc>
        <w:tc>
          <w:tcPr>
            <w:tcW w:w="3113" w:type="dxa"/>
            <w:gridSpan w:val="2"/>
            <w:tcBorders>
              <w:top w:val="single" w:sz="4" w:space="0" w:color="auto"/>
              <w:left w:val="single" w:sz="4" w:space="0" w:color="auto"/>
              <w:bottom w:val="single" w:sz="4" w:space="0" w:color="auto"/>
              <w:right w:val="single" w:sz="4" w:space="0" w:color="auto"/>
            </w:tcBorders>
            <w:hideMark/>
          </w:tcPr>
          <w:p w14:paraId="176F9725" w14:textId="77777777" w:rsidR="00977942" w:rsidRPr="000262D3" w:rsidRDefault="00977942" w:rsidP="000262D3">
            <w:pPr>
              <w:ind w:left="851"/>
              <w:rPr>
                <w:sz w:val="24"/>
                <w:szCs w:val="24"/>
              </w:rPr>
            </w:pPr>
            <w:r w:rsidRPr="000262D3">
              <w:rPr>
                <w:sz w:val="24"/>
                <w:szCs w:val="24"/>
              </w:rPr>
              <w:t>0,64 til 0,87</w:t>
            </w:r>
          </w:p>
        </w:tc>
      </w:tr>
      <w:tr w:rsidR="00977942" w:rsidRPr="000262D3" w14:paraId="6E630011"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16E98BE2" w14:textId="77777777" w:rsidR="00977942" w:rsidRPr="000262D3" w:rsidRDefault="00977942" w:rsidP="000262D3">
            <w:pPr>
              <w:rPr>
                <w:sz w:val="24"/>
                <w:szCs w:val="24"/>
              </w:rPr>
            </w:pPr>
            <w:r w:rsidRPr="000262D3">
              <w:rPr>
                <w:sz w:val="24"/>
                <w:szCs w:val="24"/>
              </w:rPr>
              <w:t>p-værdi</w:t>
            </w:r>
          </w:p>
        </w:tc>
        <w:tc>
          <w:tcPr>
            <w:tcW w:w="3119" w:type="dxa"/>
            <w:gridSpan w:val="2"/>
            <w:tcBorders>
              <w:top w:val="single" w:sz="4" w:space="0" w:color="auto"/>
              <w:left w:val="single" w:sz="4" w:space="0" w:color="auto"/>
              <w:bottom w:val="single" w:sz="4" w:space="0" w:color="auto"/>
              <w:right w:val="single" w:sz="4" w:space="0" w:color="auto"/>
            </w:tcBorders>
            <w:hideMark/>
          </w:tcPr>
          <w:p w14:paraId="18A82316" w14:textId="77777777" w:rsidR="00977942" w:rsidRPr="000262D3" w:rsidRDefault="00977942" w:rsidP="000262D3">
            <w:pPr>
              <w:rPr>
                <w:sz w:val="24"/>
                <w:szCs w:val="24"/>
              </w:rPr>
            </w:pPr>
            <w:r w:rsidRPr="000262D3">
              <w:rPr>
                <w:sz w:val="24"/>
                <w:szCs w:val="24"/>
              </w:rPr>
              <w:t>0,0005</w:t>
            </w:r>
          </w:p>
        </w:tc>
        <w:tc>
          <w:tcPr>
            <w:tcW w:w="3113" w:type="dxa"/>
            <w:gridSpan w:val="2"/>
            <w:tcBorders>
              <w:top w:val="single" w:sz="4" w:space="0" w:color="auto"/>
              <w:left w:val="single" w:sz="4" w:space="0" w:color="auto"/>
              <w:bottom w:val="single" w:sz="4" w:space="0" w:color="auto"/>
              <w:right w:val="single" w:sz="4" w:space="0" w:color="auto"/>
            </w:tcBorders>
            <w:hideMark/>
          </w:tcPr>
          <w:p w14:paraId="0556CF7F" w14:textId="77777777" w:rsidR="00977942" w:rsidRPr="000262D3" w:rsidRDefault="00977942" w:rsidP="000262D3">
            <w:pPr>
              <w:ind w:left="851"/>
              <w:rPr>
                <w:sz w:val="24"/>
                <w:szCs w:val="24"/>
              </w:rPr>
            </w:pPr>
            <w:r w:rsidRPr="000262D3">
              <w:rPr>
                <w:sz w:val="24"/>
                <w:szCs w:val="24"/>
              </w:rPr>
              <w:t>0,0002</w:t>
            </w:r>
          </w:p>
        </w:tc>
      </w:tr>
      <w:tr w:rsidR="00977942" w:rsidRPr="000262D3" w14:paraId="78E3193B"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67069092" w14:textId="77777777" w:rsidR="00977942" w:rsidRPr="000262D3" w:rsidRDefault="00977942" w:rsidP="000262D3">
            <w:pPr>
              <w:ind w:left="32"/>
              <w:rPr>
                <w:b/>
                <w:bCs/>
                <w:sz w:val="24"/>
                <w:szCs w:val="24"/>
              </w:rPr>
            </w:pPr>
            <w:r w:rsidRPr="000262D3">
              <w:rPr>
                <w:b/>
                <w:bCs/>
                <w:sz w:val="24"/>
                <w:szCs w:val="24"/>
              </w:rPr>
              <w:t>Tid til fjernt recidiv</w:t>
            </w:r>
            <w:r w:rsidRPr="000262D3">
              <w:rPr>
                <w:b/>
                <w:bCs/>
                <w:sz w:val="24"/>
                <w:szCs w:val="24"/>
                <w:vertAlign w:val="superscript"/>
              </w:rPr>
              <w:t>d</w:t>
            </w:r>
          </w:p>
        </w:tc>
        <w:tc>
          <w:tcPr>
            <w:tcW w:w="1485" w:type="dxa"/>
            <w:tcBorders>
              <w:top w:val="single" w:sz="4" w:space="0" w:color="auto"/>
              <w:left w:val="single" w:sz="4" w:space="0" w:color="auto"/>
              <w:bottom w:val="single" w:sz="4" w:space="0" w:color="auto"/>
              <w:right w:val="single" w:sz="4" w:space="0" w:color="auto"/>
            </w:tcBorders>
            <w:hideMark/>
          </w:tcPr>
          <w:p w14:paraId="01E52FBF" w14:textId="77777777" w:rsidR="00977942" w:rsidRPr="000262D3" w:rsidRDefault="00977942" w:rsidP="000262D3">
            <w:pPr>
              <w:ind w:left="32"/>
              <w:rPr>
                <w:sz w:val="24"/>
                <w:szCs w:val="24"/>
              </w:rPr>
            </w:pPr>
            <w:r w:rsidRPr="000262D3">
              <w:rPr>
                <w:sz w:val="24"/>
                <w:szCs w:val="24"/>
              </w:rPr>
              <w:t>324 (10,4)</w:t>
            </w:r>
          </w:p>
        </w:tc>
        <w:tc>
          <w:tcPr>
            <w:tcW w:w="1634" w:type="dxa"/>
            <w:tcBorders>
              <w:top w:val="single" w:sz="4" w:space="0" w:color="auto"/>
              <w:left w:val="single" w:sz="4" w:space="0" w:color="auto"/>
              <w:bottom w:val="single" w:sz="4" w:space="0" w:color="auto"/>
              <w:right w:val="single" w:sz="4" w:space="0" w:color="auto"/>
            </w:tcBorders>
            <w:hideMark/>
          </w:tcPr>
          <w:p w14:paraId="50656BC8" w14:textId="77777777" w:rsidR="00977942" w:rsidRPr="000262D3" w:rsidRDefault="00977942" w:rsidP="000262D3">
            <w:pPr>
              <w:ind w:left="32"/>
              <w:rPr>
                <w:sz w:val="24"/>
                <w:szCs w:val="24"/>
              </w:rPr>
            </w:pPr>
            <w:r w:rsidRPr="000262D3">
              <w:rPr>
                <w:sz w:val="24"/>
                <w:szCs w:val="24"/>
              </w:rPr>
              <w:t>375 (12,0)</w:t>
            </w:r>
          </w:p>
        </w:tc>
        <w:tc>
          <w:tcPr>
            <w:tcW w:w="1530" w:type="dxa"/>
            <w:tcBorders>
              <w:top w:val="single" w:sz="4" w:space="0" w:color="auto"/>
              <w:left w:val="single" w:sz="4" w:space="0" w:color="auto"/>
              <w:bottom w:val="single" w:sz="4" w:space="0" w:color="auto"/>
              <w:right w:val="single" w:sz="4" w:space="0" w:color="auto"/>
            </w:tcBorders>
            <w:hideMark/>
          </w:tcPr>
          <w:p w14:paraId="5DE4B6BE" w14:textId="77777777" w:rsidR="00977942" w:rsidRPr="000262D3" w:rsidRDefault="00977942" w:rsidP="000262D3">
            <w:pPr>
              <w:ind w:left="851"/>
              <w:rPr>
                <w:sz w:val="24"/>
                <w:szCs w:val="24"/>
              </w:rPr>
            </w:pPr>
            <w:r w:rsidRPr="000262D3">
              <w:rPr>
                <w:sz w:val="24"/>
                <w:szCs w:val="24"/>
              </w:rPr>
              <w:t>226 (8,6)</w:t>
            </w:r>
          </w:p>
        </w:tc>
        <w:tc>
          <w:tcPr>
            <w:tcW w:w="1583" w:type="dxa"/>
            <w:tcBorders>
              <w:top w:val="single" w:sz="4" w:space="0" w:color="auto"/>
              <w:left w:val="single" w:sz="4" w:space="0" w:color="auto"/>
              <w:bottom w:val="single" w:sz="4" w:space="0" w:color="auto"/>
              <w:right w:val="single" w:sz="4" w:space="0" w:color="auto"/>
            </w:tcBorders>
            <w:hideMark/>
          </w:tcPr>
          <w:p w14:paraId="2A4374C3" w14:textId="77777777" w:rsidR="00977942" w:rsidRPr="000262D3" w:rsidRDefault="00977942" w:rsidP="000262D3">
            <w:pPr>
              <w:ind w:left="851"/>
              <w:rPr>
                <w:sz w:val="24"/>
                <w:szCs w:val="24"/>
              </w:rPr>
            </w:pPr>
            <w:r w:rsidRPr="000262D3">
              <w:rPr>
                <w:sz w:val="24"/>
                <w:szCs w:val="24"/>
              </w:rPr>
              <w:t>265 (10,2)</w:t>
            </w:r>
          </w:p>
        </w:tc>
      </w:tr>
      <w:tr w:rsidR="00977942" w:rsidRPr="000262D3" w14:paraId="7AEFBEA0"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3B4BD5B5" w14:textId="77777777" w:rsidR="00977942" w:rsidRPr="000262D3" w:rsidRDefault="00977942" w:rsidP="000262D3">
            <w:pPr>
              <w:ind w:left="32"/>
              <w:rPr>
                <w:sz w:val="24"/>
                <w:szCs w:val="24"/>
              </w:rPr>
            </w:pPr>
            <w:r w:rsidRPr="000262D3">
              <w:rPr>
                <w:sz w:val="24"/>
                <w:szCs w:val="24"/>
              </w:rPr>
              <w:t>Hazard ratio</w:t>
            </w:r>
          </w:p>
        </w:tc>
        <w:tc>
          <w:tcPr>
            <w:tcW w:w="3119" w:type="dxa"/>
            <w:gridSpan w:val="2"/>
            <w:tcBorders>
              <w:top w:val="single" w:sz="4" w:space="0" w:color="auto"/>
              <w:left w:val="single" w:sz="4" w:space="0" w:color="auto"/>
              <w:bottom w:val="single" w:sz="4" w:space="0" w:color="auto"/>
              <w:right w:val="single" w:sz="4" w:space="0" w:color="auto"/>
            </w:tcBorders>
            <w:hideMark/>
          </w:tcPr>
          <w:p w14:paraId="67526289" w14:textId="77777777" w:rsidR="00977942" w:rsidRPr="000262D3" w:rsidRDefault="00977942" w:rsidP="000262D3">
            <w:pPr>
              <w:ind w:left="32"/>
              <w:rPr>
                <w:sz w:val="24"/>
                <w:szCs w:val="24"/>
              </w:rPr>
            </w:pPr>
            <w:r w:rsidRPr="000262D3">
              <w:rPr>
                <w:sz w:val="24"/>
                <w:szCs w:val="24"/>
              </w:rPr>
              <w:t>0,86</w:t>
            </w:r>
          </w:p>
        </w:tc>
        <w:tc>
          <w:tcPr>
            <w:tcW w:w="3113" w:type="dxa"/>
            <w:gridSpan w:val="2"/>
            <w:tcBorders>
              <w:top w:val="single" w:sz="4" w:space="0" w:color="auto"/>
              <w:left w:val="single" w:sz="4" w:space="0" w:color="auto"/>
              <w:bottom w:val="single" w:sz="4" w:space="0" w:color="auto"/>
              <w:right w:val="single" w:sz="4" w:space="0" w:color="auto"/>
            </w:tcBorders>
            <w:hideMark/>
          </w:tcPr>
          <w:p w14:paraId="5E9AFD2E" w14:textId="77777777" w:rsidR="00977942" w:rsidRPr="000262D3" w:rsidRDefault="00977942" w:rsidP="000262D3">
            <w:pPr>
              <w:ind w:left="851"/>
              <w:rPr>
                <w:sz w:val="24"/>
                <w:szCs w:val="24"/>
              </w:rPr>
            </w:pPr>
            <w:r w:rsidRPr="000262D3">
              <w:rPr>
                <w:sz w:val="24"/>
                <w:szCs w:val="24"/>
              </w:rPr>
              <w:t>0,84</w:t>
            </w:r>
          </w:p>
        </w:tc>
      </w:tr>
      <w:tr w:rsidR="00977942" w:rsidRPr="000262D3" w14:paraId="3095C53F"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5A70F610" w14:textId="77777777" w:rsidR="00977942" w:rsidRPr="000262D3" w:rsidRDefault="00977942" w:rsidP="000262D3">
            <w:pPr>
              <w:ind w:left="32"/>
              <w:rPr>
                <w:sz w:val="24"/>
                <w:szCs w:val="24"/>
              </w:rPr>
            </w:pPr>
            <w:r w:rsidRPr="000262D3">
              <w:rPr>
                <w:sz w:val="24"/>
                <w:szCs w:val="24"/>
              </w:rPr>
              <w:t>2-sidet 95 % CI</w:t>
            </w:r>
          </w:p>
        </w:tc>
        <w:tc>
          <w:tcPr>
            <w:tcW w:w="3119" w:type="dxa"/>
            <w:gridSpan w:val="2"/>
            <w:tcBorders>
              <w:top w:val="single" w:sz="4" w:space="0" w:color="auto"/>
              <w:left w:val="single" w:sz="4" w:space="0" w:color="auto"/>
              <w:bottom w:val="single" w:sz="4" w:space="0" w:color="auto"/>
              <w:right w:val="single" w:sz="4" w:space="0" w:color="auto"/>
            </w:tcBorders>
            <w:hideMark/>
          </w:tcPr>
          <w:p w14:paraId="3A9C9A0E" w14:textId="77777777" w:rsidR="00977942" w:rsidRPr="000262D3" w:rsidRDefault="00977942" w:rsidP="000262D3">
            <w:pPr>
              <w:ind w:left="32"/>
              <w:rPr>
                <w:sz w:val="24"/>
                <w:szCs w:val="24"/>
              </w:rPr>
            </w:pPr>
            <w:r w:rsidRPr="000262D3">
              <w:rPr>
                <w:sz w:val="24"/>
                <w:szCs w:val="24"/>
              </w:rPr>
              <w:t>0,74 til 0,99</w:t>
            </w:r>
          </w:p>
        </w:tc>
        <w:tc>
          <w:tcPr>
            <w:tcW w:w="3113" w:type="dxa"/>
            <w:gridSpan w:val="2"/>
            <w:tcBorders>
              <w:top w:val="single" w:sz="4" w:space="0" w:color="auto"/>
              <w:left w:val="single" w:sz="4" w:space="0" w:color="auto"/>
              <w:bottom w:val="single" w:sz="4" w:space="0" w:color="auto"/>
              <w:right w:val="single" w:sz="4" w:space="0" w:color="auto"/>
            </w:tcBorders>
            <w:hideMark/>
          </w:tcPr>
          <w:p w14:paraId="24CEE78D" w14:textId="77777777" w:rsidR="00977942" w:rsidRPr="000262D3" w:rsidRDefault="00977942" w:rsidP="000262D3">
            <w:pPr>
              <w:ind w:left="851"/>
              <w:rPr>
                <w:sz w:val="24"/>
                <w:szCs w:val="24"/>
              </w:rPr>
            </w:pPr>
            <w:r w:rsidRPr="000262D3">
              <w:rPr>
                <w:sz w:val="24"/>
                <w:szCs w:val="24"/>
              </w:rPr>
              <w:t>0,70 til 1,00</w:t>
            </w:r>
          </w:p>
        </w:tc>
      </w:tr>
      <w:tr w:rsidR="00977942" w:rsidRPr="000262D3" w14:paraId="0D17F617"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7CBCBE20" w14:textId="77777777" w:rsidR="00977942" w:rsidRPr="000262D3" w:rsidRDefault="00977942" w:rsidP="000262D3">
            <w:pPr>
              <w:ind w:left="32"/>
              <w:rPr>
                <w:sz w:val="24"/>
                <w:szCs w:val="24"/>
              </w:rPr>
            </w:pPr>
            <w:r w:rsidRPr="000262D3">
              <w:rPr>
                <w:sz w:val="24"/>
                <w:szCs w:val="24"/>
              </w:rPr>
              <w:t>p-værdi</w:t>
            </w:r>
          </w:p>
        </w:tc>
        <w:tc>
          <w:tcPr>
            <w:tcW w:w="3119" w:type="dxa"/>
            <w:gridSpan w:val="2"/>
            <w:tcBorders>
              <w:top w:val="single" w:sz="4" w:space="0" w:color="auto"/>
              <w:left w:val="single" w:sz="4" w:space="0" w:color="auto"/>
              <w:bottom w:val="single" w:sz="4" w:space="0" w:color="auto"/>
              <w:right w:val="single" w:sz="4" w:space="0" w:color="auto"/>
            </w:tcBorders>
            <w:hideMark/>
          </w:tcPr>
          <w:p w14:paraId="6FD6D353" w14:textId="77777777" w:rsidR="00977942" w:rsidRPr="000262D3" w:rsidRDefault="00977942" w:rsidP="000262D3">
            <w:pPr>
              <w:ind w:left="32"/>
              <w:rPr>
                <w:sz w:val="24"/>
                <w:szCs w:val="24"/>
              </w:rPr>
            </w:pPr>
            <w:r w:rsidRPr="000262D3">
              <w:rPr>
                <w:sz w:val="24"/>
                <w:szCs w:val="24"/>
              </w:rPr>
              <w:t>0,0427</w:t>
            </w:r>
          </w:p>
        </w:tc>
        <w:tc>
          <w:tcPr>
            <w:tcW w:w="3113" w:type="dxa"/>
            <w:gridSpan w:val="2"/>
            <w:tcBorders>
              <w:top w:val="single" w:sz="4" w:space="0" w:color="auto"/>
              <w:left w:val="single" w:sz="4" w:space="0" w:color="auto"/>
              <w:bottom w:val="single" w:sz="4" w:space="0" w:color="auto"/>
              <w:right w:val="single" w:sz="4" w:space="0" w:color="auto"/>
            </w:tcBorders>
            <w:hideMark/>
          </w:tcPr>
          <w:p w14:paraId="1F76012E" w14:textId="77777777" w:rsidR="00977942" w:rsidRPr="000262D3" w:rsidRDefault="00977942" w:rsidP="000262D3">
            <w:pPr>
              <w:ind w:left="851"/>
              <w:rPr>
                <w:sz w:val="24"/>
                <w:szCs w:val="24"/>
              </w:rPr>
            </w:pPr>
            <w:r w:rsidRPr="000262D3">
              <w:rPr>
                <w:sz w:val="24"/>
                <w:szCs w:val="24"/>
              </w:rPr>
              <w:t>0,0559</w:t>
            </w:r>
          </w:p>
        </w:tc>
      </w:tr>
      <w:tr w:rsidR="00977942" w:rsidRPr="000262D3" w14:paraId="54964BFE"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6B48828E" w14:textId="77777777" w:rsidR="00977942" w:rsidRPr="000262D3" w:rsidRDefault="00977942" w:rsidP="000262D3">
            <w:pPr>
              <w:ind w:left="32"/>
              <w:rPr>
                <w:b/>
                <w:bCs/>
                <w:sz w:val="24"/>
                <w:szCs w:val="24"/>
              </w:rPr>
            </w:pPr>
            <w:r w:rsidRPr="000262D3">
              <w:rPr>
                <w:b/>
                <w:bCs/>
                <w:sz w:val="24"/>
                <w:szCs w:val="24"/>
              </w:rPr>
              <w:t>Ny kontralateral brystkræft</w:t>
            </w:r>
          </w:p>
        </w:tc>
        <w:tc>
          <w:tcPr>
            <w:tcW w:w="1485" w:type="dxa"/>
            <w:tcBorders>
              <w:top w:val="single" w:sz="4" w:space="0" w:color="auto"/>
              <w:left w:val="single" w:sz="4" w:space="0" w:color="auto"/>
              <w:bottom w:val="single" w:sz="4" w:space="0" w:color="auto"/>
              <w:right w:val="single" w:sz="4" w:space="0" w:color="auto"/>
            </w:tcBorders>
            <w:hideMark/>
          </w:tcPr>
          <w:p w14:paraId="57C57640" w14:textId="77777777" w:rsidR="00977942" w:rsidRPr="000262D3" w:rsidRDefault="00977942" w:rsidP="000262D3">
            <w:pPr>
              <w:ind w:left="32"/>
              <w:rPr>
                <w:sz w:val="24"/>
                <w:szCs w:val="24"/>
              </w:rPr>
            </w:pPr>
            <w:r w:rsidRPr="000262D3">
              <w:rPr>
                <w:sz w:val="24"/>
                <w:szCs w:val="24"/>
              </w:rPr>
              <w:t>35 (1,1)</w:t>
            </w:r>
          </w:p>
        </w:tc>
        <w:tc>
          <w:tcPr>
            <w:tcW w:w="1634" w:type="dxa"/>
            <w:tcBorders>
              <w:top w:val="single" w:sz="4" w:space="0" w:color="auto"/>
              <w:left w:val="single" w:sz="4" w:space="0" w:color="auto"/>
              <w:bottom w:val="single" w:sz="4" w:space="0" w:color="auto"/>
              <w:right w:val="single" w:sz="4" w:space="0" w:color="auto"/>
            </w:tcBorders>
            <w:hideMark/>
          </w:tcPr>
          <w:p w14:paraId="4D56480C" w14:textId="77777777" w:rsidR="00977942" w:rsidRPr="000262D3" w:rsidRDefault="00977942" w:rsidP="000262D3">
            <w:pPr>
              <w:ind w:left="32"/>
              <w:rPr>
                <w:sz w:val="24"/>
                <w:szCs w:val="24"/>
              </w:rPr>
            </w:pPr>
            <w:r w:rsidRPr="000262D3">
              <w:rPr>
                <w:sz w:val="24"/>
                <w:szCs w:val="24"/>
              </w:rPr>
              <w:t>59 (1,9)</w:t>
            </w:r>
          </w:p>
        </w:tc>
        <w:tc>
          <w:tcPr>
            <w:tcW w:w="1530" w:type="dxa"/>
            <w:tcBorders>
              <w:top w:val="single" w:sz="4" w:space="0" w:color="auto"/>
              <w:left w:val="single" w:sz="4" w:space="0" w:color="auto"/>
              <w:bottom w:val="single" w:sz="4" w:space="0" w:color="auto"/>
              <w:right w:val="single" w:sz="4" w:space="0" w:color="auto"/>
            </w:tcBorders>
            <w:hideMark/>
          </w:tcPr>
          <w:p w14:paraId="0216C330" w14:textId="77777777" w:rsidR="00977942" w:rsidRPr="000262D3" w:rsidRDefault="00977942" w:rsidP="000262D3">
            <w:pPr>
              <w:ind w:left="851"/>
              <w:rPr>
                <w:sz w:val="24"/>
                <w:szCs w:val="24"/>
              </w:rPr>
            </w:pPr>
            <w:r w:rsidRPr="000262D3">
              <w:rPr>
                <w:sz w:val="24"/>
                <w:szCs w:val="24"/>
              </w:rPr>
              <w:t>26 (1,0)</w:t>
            </w:r>
          </w:p>
        </w:tc>
        <w:tc>
          <w:tcPr>
            <w:tcW w:w="1583" w:type="dxa"/>
            <w:tcBorders>
              <w:top w:val="single" w:sz="4" w:space="0" w:color="auto"/>
              <w:left w:val="single" w:sz="4" w:space="0" w:color="auto"/>
              <w:bottom w:val="single" w:sz="4" w:space="0" w:color="auto"/>
              <w:right w:val="single" w:sz="4" w:space="0" w:color="auto"/>
            </w:tcBorders>
            <w:hideMark/>
          </w:tcPr>
          <w:p w14:paraId="3E4ABF36" w14:textId="77777777" w:rsidR="00977942" w:rsidRPr="000262D3" w:rsidRDefault="00977942" w:rsidP="000262D3">
            <w:pPr>
              <w:ind w:left="851"/>
              <w:rPr>
                <w:sz w:val="24"/>
                <w:szCs w:val="24"/>
              </w:rPr>
            </w:pPr>
            <w:r w:rsidRPr="000262D3">
              <w:rPr>
                <w:sz w:val="24"/>
                <w:szCs w:val="24"/>
              </w:rPr>
              <w:t>54 (2,1)</w:t>
            </w:r>
          </w:p>
        </w:tc>
      </w:tr>
      <w:tr w:rsidR="00977942" w:rsidRPr="000262D3" w14:paraId="73AF72C4"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24EE23CB" w14:textId="77777777" w:rsidR="00977942" w:rsidRPr="000262D3" w:rsidRDefault="00977942" w:rsidP="000262D3">
            <w:pPr>
              <w:ind w:left="32"/>
              <w:rPr>
                <w:sz w:val="24"/>
                <w:szCs w:val="24"/>
              </w:rPr>
            </w:pPr>
            <w:r w:rsidRPr="000262D3">
              <w:rPr>
                <w:sz w:val="24"/>
                <w:szCs w:val="24"/>
              </w:rPr>
              <w:t>Odds ratio</w:t>
            </w:r>
          </w:p>
        </w:tc>
        <w:tc>
          <w:tcPr>
            <w:tcW w:w="3119" w:type="dxa"/>
            <w:gridSpan w:val="2"/>
            <w:tcBorders>
              <w:top w:val="single" w:sz="4" w:space="0" w:color="auto"/>
              <w:left w:val="single" w:sz="4" w:space="0" w:color="auto"/>
              <w:bottom w:val="single" w:sz="4" w:space="0" w:color="auto"/>
              <w:right w:val="single" w:sz="4" w:space="0" w:color="auto"/>
            </w:tcBorders>
            <w:hideMark/>
          </w:tcPr>
          <w:p w14:paraId="5EDFF863" w14:textId="77777777" w:rsidR="00977942" w:rsidRPr="000262D3" w:rsidRDefault="00977942" w:rsidP="000262D3">
            <w:pPr>
              <w:ind w:left="32"/>
              <w:rPr>
                <w:sz w:val="24"/>
                <w:szCs w:val="24"/>
              </w:rPr>
            </w:pPr>
            <w:r w:rsidRPr="000262D3">
              <w:rPr>
                <w:sz w:val="24"/>
                <w:szCs w:val="24"/>
              </w:rPr>
              <w:t>0,59</w:t>
            </w:r>
          </w:p>
        </w:tc>
        <w:tc>
          <w:tcPr>
            <w:tcW w:w="3113" w:type="dxa"/>
            <w:gridSpan w:val="2"/>
            <w:tcBorders>
              <w:top w:val="single" w:sz="4" w:space="0" w:color="auto"/>
              <w:left w:val="single" w:sz="4" w:space="0" w:color="auto"/>
              <w:bottom w:val="single" w:sz="4" w:space="0" w:color="auto"/>
              <w:right w:val="single" w:sz="4" w:space="0" w:color="auto"/>
            </w:tcBorders>
            <w:hideMark/>
          </w:tcPr>
          <w:p w14:paraId="5148DF68" w14:textId="77777777" w:rsidR="00977942" w:rsidRPr="000262D3" w:rsidRDefault="00977942" w:rsidP="000262D3">
            <w:pPr>
              <w:ind w:left="851"/>
              <w:rPr>
                <w:sz w:val="24"/>
                <w:szCs w:val="24"/>
              </w:rPr>
            </w:pPr>
            <w:r w:rsidRPr="000262D3">
              <w:rPr>
                <w:sz w:val="24"/>
                <w:szCs w:val="24"/>
              </w:rPr>
              <w:t>0,47</w:t>
            </w:r>
          </w:p>
        </w:tc>
      </w:tr>
      <w:tr w:rsidR="00977942" w:rsidRPr="000262D3" w14:paraId="42508A3F"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2CD2CF2D" w14:textId="77777777" w:rsidR="00977942" w:rsidRPr="000262D3" w:rsidRDefault="00977942" w:rsidP="000262D3">
            <w:pPr>
              <w:ind w:left="32"/>
              <w:rPr>
                <w:sz w:val="24"/>
                <w:szCs w:val="24"/>
              </w:rPr>
            </w:pPr>
            <w:r w:rsidRPr="000262D3">
              <w:rPr>
                <w:sz w:val="24"/>
                <w:szCs w:val="24"/>
              </w:rPr>
              <w:t>2-sidet 95 % CI</w:t>
            </w:r>
          </w:p>
        </w:tc>
        <w:tc>
          <w:tcPr>
            <w:tcW w:w="3119" w:type="dxa"/>
            <w:gridSpan w:val="2"/>
            <w:tcBorders>
              <w:top w:val="single" w:sz="4" w:space="0" w:color="auto"/>
              <w:left w:val="single" w:sz="4" w:space="0" w:color="auto"/>
              <w:bottom w:val="single" w:sz="4" w:space="0" w:color="auto"/>
              <w:right w:val="single" w:sz="4" w:space="0" w:color="auto"/>
            </w:tcBorders>
            <w:hideMark/>
          </w:tcPr>
          <w:p w14:paraId="2E62C27F" w14:textId="77777777" w:rsidR="00977942" w:rsidRPr="000262D3" w:rsidRDefault="00977942" w:rsidP="000262D3">
            <w:pPr>
              <w:ind w:left="32"/>
              <w:rPr>
                <w:sz w:val="24"/>
                <w:szCs w:val="24"/>
              </w:rPr>
            </w:pPr>
            <w:r w:rsidRPr="000262D3">
              <w:rPr>
                <w:sz w:val="24"/>
                <w:szCs w:val="24"/>
              </w:rPr>
              <w:t>0,39 til 0,89</w:t>
            </w:r>
          </w:p>
        </w:tc>
        <w:tc>
          <w:tcPr>
            <w:tcW w:w="3113" w:type="dxa"/>
            <w:gridSpan w:val="2"/>
            <w:tcBorders>
              <w:top w:val="single" w:sz="4" w:space="0" w:color="auto"/>
              <w:left w:val="single" w:sz="4" w:space="0" w:color="auto"/>
              <w:bottom w:val="single" w:sz="4" w:space="0" w:color="auto"/>
              <w:right w:val="single" w:sz="4" w:space="0" w:color="auto"/>
            </w:tcBorders>
            <w:hideMark/>
          </w:tcPr>
          <w:p w14:paraId="1DCC511D" w14:textId="77777777" w:rsidR="00977942" w:rsidRPr="000262D3" w:rsidRDefault="00977942" w:rsidP="000262D3">
            <w:pPr>
              <w:ind w:left="851"/>
              <w:rPr>
                <w:sz w:val="24"/>
                <w:szCs w:val="24"/>
              </w:rPr>
            </w:pPr>
            <w:r w:rsidRPr="000262D3">
              <w:rPr>
                <w:sz w:val="24"/>
                <w:szCs w:val="24"/>
              </w:rPr>
              <w:t>0,30 til 0,76</w:t>
            </w:r>
          </w:p>
        </w:tc>
      </w:tr>
      <w:tr w:rsidR="00977942" w:rsidRPr="000262D3" w14:paraId="0318CE05"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26D45C05" w14:textId="77777777" w:rsidR="00977942" w:rsidRPr="000262D3" w:rsidRDefault="00977942" w:rsidP="000262D3">
            <w:pPr>
              <w:ind w:left="32"/>
              <w:rPr>
                <w:sz w:val="24"/>
                <w:szCs w:val="24"/>
              </w:rPr>
            </w:pPr>
            <w:r w:rsidRPr="000262D3">
              <w:rPr>
                <w:sz w:val="24"/>
                <w:szCs w:val="24"/>
              </w:rPr>
              <w:t>p-værdi</w:t>
            </w:r>
          </w:p>
        </w:tc>
        <w:tc>
          <w:tcPr>
            <w:tcW w:w="3119" w:type="dxa"/>
            <w:gridSpan w:val="2"/>
            <w:tcBorders>
              <w:top w:val="single" w:sz="4" w:space="0" w:color="auto"/>
              <w:left w:val="single" w:sz="4" w:space="0" w:color="auto"/>
              <w:bottom w:val="single" w:sz="4" w:space="0" w:color="auto"/>
              <w:right w:val="single" w:sz="4" w:space="0" w:color="auto"/>
            </w:tcBorders>
            <w:hideMark/>
          </w:tcPr>
          <w:p w14:paraId="3BDAEA15" w14:textId="77777777" w:rsidR="00977942" w:rsidRPr="000262D3" w:rsidRDefault="00977942" w:rsidP="000262D3">
            <w:pPr>
              <w:ind w:left="32"/>
              <w:rPr>
                <w:sz w:val="24"/>
                <w:szCs w:val="24"/>
              </w:rPr>
            </w:pPr>
            <w:r w:rsidRPr="000262D3">
              <w:rPr>
                <w:sz w:val="24"/>
                <w:szCs w:val="24"/>
              </w:rPr>
              <w:t>0,0131</w:t>
            </w:r>
          </w:p>
        </w:tc>
        <w:tc>
          <w:tcPr>
            <w:tcW w:w="3113" w:type="dxa"/>
            <w:gridSpan w:val="2"/>
            <w:tcBorders>
              <w:top w:val="single" w:sz="4" w:space="0" w:color="auto"/>
              <w:left w:val="single" w:sz="4" w:space="0" w:color="auto"/>
              <w:bottom w:val="single" w:sz="4" w:space="0" w:color="auto"/>
              <w:right w:val="single" w:sz="4" w:space="0" w:color="auto"/>
            </w:tcBorders>
            <w:hideMark/>
          </w:tcPr>
          <w:p w14:paraId="5852FF4B" w14:textId="77777777" w:rsidR="00977942" w:rsidRPr="000262D3" w:rsidRDefault="00977942" w:rsidP="000262D3">
            <w:pPr>
              <w:ind w:left="851"/>
              <w:rPr>
                <w:sz w:val="24"/>
                <w:szCs w:val="24"/>
              </w:rPr>
            </w:pPr>
            <w:r w:rsidRPr="000262D3">
              <w:rPr>
                <w:sz w:val="24"/>
                <w:szCs w:val="24"/>
              </w:rPr>
              <w:t>0,0018</w:t>
            </w:r>
          </w:p>
        </w:tc>
      </w:tr>
      <w:tr w:rsidR="00977942" w:rsidRPr="000262D3" w14:paraId="1DF0EBBB"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69A44D43" w14:textId="77777777" w:rsidR="00977942" w:rsidRPr="000262D3" w:rsidRDefault="00977942" w:rsidP="000262D3">
            <w:pPr>
              <w:ind w:left="32"/>
              <w:rPr>
                <w:b/>
                <w:bCs/>
                <w:sz w:val="24"/>
                <w:szCs w:val="24"/>
              </w:rPr>
            </w:pPr>
            <w:r w:rsidRPr="000262D3">
              <w:rPr>
                <w:b/>
                <w:bCs/>
                <w:sz w:val="24"/>
                <w:szCs w:val="24"/>
              </w:rPr>
              <w:t>Samlet overlevelse</w:t>
            </w:r>
            <w:r w:rsidRPr="000262D3">
              <w:rPr>
                <w:b/>
                <w:bCs/>
                <w:sz w:val="24"/>
                <w:szCs w:val="24"/>
                <w:vertAlign w:val="superscript"/>
              </w:rPr>
              <w:t>e</w:t>
            </w:r>
          </w:p>
        </w:tc>
        <w:tc>
          <w:tcPr>
            <w:tcW w:w="1485" w:type="dxa"/>
            <w:tcBorders>
              <w:top w:val="single" w:sz="4" w:space="0" w:color="auto"/>
              <w:left w:val="single" w:sz="4" w:space="0" w:color="auto"/>
              <w:bottom w:val="single" w:sz="4" w:space="0" w:color="auto"/>
              <w:right w:val="single" w:sz="4" w:space="0" w:color="auto"/>
            </w:tcBorders>
            <w:hideMark/>
          </w:tcPr>
          <w:p w14:paraId="5F34ED10" w14:textId="77777777" w:rsidR="00977942" w:rsidRPr="000262D3" w:rsidRDefault="00977942" w:rsidP="000262D3">
            <w:pPr>
              <w:ind w:left="32"/>
              <w:rPr>
                <w:sz w:val="24"/>
                <w:szCs w:val="24"/>
              </w:rPr>
            </w:pPr>
            <w:r w:rsidRPr="000262D3">
              <w:rPr>
                <w:sz w:val="24"/>
                <w:szCs w:val="24"/>
              </w:rPr>
              <w:t>411 (13,2)</w:t>
            </w:r>
          </w:p>
        </w:tc>
        <w:tc>
          <w:tcPr>
            <w:tcW w:w="1634" w:type="dxa"/>
            <w:tcBorders>
              <w:top w:val="single" w:sz="4" w:space="0" w:color="auto"/>
              <w:left w:val="single" w:sz="4" w:space="0" w:color="auto"/>
              <w:bottom w:val="single" w:sz="4" w:space="0" w:color="auto"/>
              <w:right w:val="single" w:sz="4" w:space="0" w:color="auto"/>
            </w:tcBorders>
            <w:hideMark/>
          </w:tcPr>
          <w:p w14:paraId="0C777AF9" w14:textId="77777777" w:rsidR="00977942" w:rsidRPr="000262D3" w:rsidRDefault="00977942" w:rsidP="000262D3">
            <w:pPr>
              <w:ind w:left="32"/>
              <w:rPr>
                <w:sz w:val="24"/>
                <w:szCs w:val="24"/>
              </w:rPr>
            </w:pPr>
            <w:r w:rsidRPr="000262D3">
              <w:rPr>
                <w:sz w:val="24"/>
                <w:szCs w:val="24"/>
              </w:rPr>
              <w:t>420 (13,5)</w:t>
            </w:r>
          </w:p>
        </w:tc>
        <w:tc>
          <w:tcPr>
            <w:tcW w:w="1530" w:type="dxa"/>
            <w:tcBorders>
              <w:top w:val="single" w:sz="4" w:space="0" w:color="auto"/>
              <w:left w:val="single" w:sz="4" w:space="0" w:color="auto"/>
              <w:bottom w:val="single" w:sz="4" w:space="0" w:color="auto"/>
              <w:right w:val="single" w:sz="4" w:space="0" w:color="auto"/>
            </w:tcBorders>
            <w:hideMark/>
          </w:tcPr>
          <w:p w14:paraId="5EB5551B" w14:textId="77777777" w:rsidR="00977942" w:rsidRPr="000262D3" w:rsidRDefault="00977942" w:rsidP="000262D3">
            <w:pPr>
              <w:ind w:left="851"/>
              <w:rPr>
                <w:sz w:val="24"/>
                <w:szCs w:val="24"/>
              </w:rPr>
            </w:pPr>
            <w:r w:rsidRPr="000262D3">
              <w:rPr>
                <w:sz w:val="24"/>
                <w:szCs w:val="24"/>
              </w:rPr>
              <w:t>296 (11,3)</w:t>
            </w:r>
          </w:p>
        </w:tc>
        <w:tc>
          <w:tcPr>
            <w:tcW w:w="1583" w:type="dxa"/>
            <w:tcBorders>
              <w:top w:val="single" w:sz="4" w:space="0" w:color="auto"/>
              <w:left w:val="single" w:sz="4" w:space="0" w:color="auto"/>
              <w:bottom w:val="single" w:sz="4" w:space="0" w:color="auto"/>
              <w:right w:val="single" w:sz="4" w:space="0" w:color="auto"/>
            </w:tcBorders>
            <w:hideMark/>
          </w:tcPr>
          <w:p w14:paraId="6D8EE4EB" w14:textId="77777777" w:rsidR="00977942" w:rsidRPr="000262D3" w:rsidRDefault="00977942" w:rsidP="000262D3">
            <w:pPr>
              <w:ind w:left="851"/>
              <w:rPr>
                <w:sz w:val="24"/>
                <w:szCs w:val="24"/>
              </w:rPr>
            </w:pPr>
            <w:r w:rsidRPr="000262D3">
              <w:rPr>
                <w:sz w:val="24"/>
                <w:szCs w:val="24"/>
              </w:rPr>
              <w:t>301 (11,6)</w:t>
            </w:r>
          </w:p>
        </w:tc>
      </w:tr>
      <w:tr w:rsidR="00977942" w:rsidRPr="000262D3" w14:paraId="1739FB4B"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3E902F30" w14:textId="77777777" w:rsidR="00977942" w:rsidRPr="000262D3" w:rsidRDefault="00977942" w:rsidP="000262D3">
            <w:pPr>
              <w:ind w:left="32"/>
              <w:rPr>
                <w:sz w:val="24"/>
                <w:szCs w:val="24"/>
              </w:rPr>
            </w:pPr>
            <w:r w:rsidRPr="000262D3">
              <w:rPr>
                <w:sz w:val="24"/>
                <w:szCs w:val="24"/>
              </w:rPr>
              <w:t>Hazard ratio</w:t>
            </w:r>
          </w:p>
        </w:tc>
        <w:tc>
          <w:tcPr>
            <w:tcW w:w="3119" w:type="dxa"/>
            <w:gridSpan w:val="2"/>
            <w:tcBorders>
              <w:top w:val="single" w:sz="4" w:space="0" w:color="auto"/>
              <w:left w:val="single" w:sz="4" w:space="0" w:color="auto"/>
              <w:bottom w:val="single" w:sz="4" w:space="0" w:color="auto"/>
              <w:right w:val="single" w:sz="4" w:space="0" w:color="auto"/>
            </w:tcBorders>
            <w:hideMark/>
          </w:tcPr>
          <w:p w14:paraId="3C6F1E80" w14:textId="77777777" w:rsidR="00977942" w:rsidRPr="000262D3" w:rsidRDefault="00977942" w:rsidP="000262D3">
            <w:pPr>
              <w:ind w:left="32"/>
              <w:rPr>
                <w:sz w:val="24"/>
                <w:szCs w:val="24"/>
              </w:rPr>
            </w:pPr>
            <w:r w:rsidRPr="000262D3">
              <w:rPr>
                <w:sz w:val="24"/>
                <w:szCs w:val="24"/>
              </w:rPr>
              <w:t>0,97</w:t>
            </w:r>
          </w:p>
        </w:tc>
        <w:tc>
          <w:tcPr>
            <w:tcW w:w="3113" w:type="dxa"/>
            <w:gridSpan w:val="2"/>
            <w:tcBorders>
              <w:top w:val="single" w:sz="4" w:space="0" w:color="auto"/>
              <w:left w:val="single" w:sz="4" w:space="0" w:color="auto"/>
              <w:bottom w:val="single" w:sz="4" w:space="0" w:color="auto"/>
              <w:right w:val="single" w:sz="4" w:space="0" w:color="auto"/>
            </w:tcBorders>
            <w:hideMark/>
          </w:tcPr>
          <w:p w14:paraId="0DF1FB15" w14:textId="77777777" w:rsidR="00977942" w:rsidRPr="000262D3" w:rsidRDefault="00977942" w:rsidP="000262D3">
            <w:pPr>
              <w:ind w:left="851"/>
              <w:rPr>
                <w:sz w:val="24"/>
                <w:szCs w:val="24"/>
              </w:rPr>
            </w:pPr>
            <w:r w:rsidRPr="000262D3">
              <w:rPr>
                <w:sz w:val="24"/>
                <w:szCs w:val="24"/>
              </w:rPr>
              <w:t>0,97</w:t>
            </w:r>
          </w:p>
        </w:tc>
      </w:tr>
      <w:tr w:rsidR="00977942" w:rsidRPr="000262D3" w14:paraId="1B67EDA5"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266A3B99" w14:textId="77777777" w:rsidR="00977942" w:rsidRPr="000262D3" w:rsidRDefault="00977942" w:rsidP="000262D3">
            <w:pPr>
              <w:ind w:left="32"/>
              <w:rPr>
                <w:sz w:val="24"/>
                <w:szCs w:val="24"/>
              </w:rPr>
            </w:pPr>
            <w:r w:rsidRPr="000262D3">
              <w:rPr>
                <w:sz w:val="24"/>
                <w:szCs w:val="24"/>
              </w:rPr>
              <w:t>2-sidet 95 % CI</w:t>
            </w:r>
          </w:p>
        </w:tc>
        <w:tc>
          <w:tcPr>
            <w:tcW w:w="3119" w:type="dxa"/>
            <w:gridSpan w:val="2"/>
            <w:tcBorders>
              <w:top w:val="single" w:sz="4" w:space="0" w:color="auto"/>
              <w:left w:val="single" w:sz="4" w:space="0" w:color="auto"/>
              <w:bottom w:val="single" w:sz="4" w:space="0" w:color="auto"/>
              <w:right w:val="single" w:sz="4" w:space="0" w:color="auto"/>
            </w:tcBorders>
            <w:hideMark/>
          </w:tcPr>
          <w:p w14:paraId="547D1DC5" w14:textId="77777777" w:rsidR="00977942" w:rsidRPr="000262D3" w:rsidRDefault="00977942" w:rsidP="000262D3">
            <w:pPr>
              <w:ind w:left="32"/>
              <w:rPr>
                <w:sz w:val="24"/>
                <w:szCs w:val="24"/>
              </w:rPr>
            </w:pPr>
            <w:r w:rsidRPr="000262D3">
              <w:rPr>
                <w:sz w:val="24"/>
                <w:szCs w:val="24"/>
              </w:rPr>
              <w:t>0,85 til 1,12</w:t>
            </w:r>
          </w:p>
        </w:tc>
        <w:tc>
          <w:tcPr>
            <w:tcW w:w="3113" w:type="dxa"/>
            <w:gridSpan w:val="2"/>
            <w:tcBorders>
              <w:top w:val="single" w:sz="4" w:space="0" w:color="auto"/>
              <w:left w:val="single" w:sz="4" w:space="0" w:color="auto"/>
              <w:bottom w:val="single" w:sz="4" w:space="0" w:color="auto"/>
              <w:right w:val="single" w:sz="4" w:space="0" w:color="auto"/>
            </w:tcBorders>
            <w:hideMark/>
          </w:tcPr>
          <w:p w14:paraId="5EEBE974" w14:textId="77777777" w:rsidR="00977942" w:rsidRPr="000262D3" w:rsidRDefault="00977942" w:rsidP="000262D3">
            <w:pPr>
              <w:ind w:left="851"/>
              <w:rPr>
                <w:sz w:val="24"/>
                <w:szCs w:val="24"/>
              </w:rPr>
            </w:pPr>
            <w:r w:rsidRPr="000262D3">
              <w:rPr>
                <w:sz w:val="24"/>
                <w:szCs w:val="24"/>
              </w:rPr>
              <w:t>0,83 til 1,14</w:t>
            </w:r>
          </w:p>
        </w:tc>
      </w:tr>
      <w:tr w:rsidR="00977942" w:rsidRPr="000262D3" w14:paraId="50BBE5B7" w14:textId="77777777" w:rsidTr="00977942">
        <w:trPr>
          <w:cantSplit/>
        </w:trPr>
        <w:tc>
          <w:tcPr>
            <w:tcW w:w="3085" w:type="dxa"/>
            <w:tcBorders>
              <w:top w:val="single" w:sz="4" w:space="0" w:color="auto"/>
              <w:left w:val="single" w:sz="4" w:space="0" w:color="auto"/>
              <w:bottom w:val="single" w:sz="4" w:space="0" w:color="auto"/>
              <w:right w:val="single" w:sz="4" w:space="0" w:color="auto"/>
            </w:tcBorders>
            <w:hideMark/>
          </w:tcPr>
          <w:p w14:paraId="7D1498FF" w14:textId="77777777" w:rsidR="00977942" w:rsidRPr="000262D3" w:rsidRDefault="00977942" w:rsidP="000262D3">
            <w:pPr>
              <w:ind w:left="32"/>
              <w:rPr>
                <w:sz w:val="24"/>
                <w:szCs w:val="24"/>
              </w:rPr>
            </w:pPr>
            <w:r w:rsidRPr="000262D3">
              <w:rPr>
                <w:sz w:val="24"/>
                <w:szCs w:val="24"/>
              </w:rPr>
              <w:t>p-værdi</w:t>
            </w:r>
          </w:p>
        </w:tc>
        <w:tc>
          <w:tcPr>
            <w:tcW w:w="3119" w:type="dxa"/>
            <w:gridSpan w:val="2"/>
            <w:tcBorders>
              <w:top w:val="single" w:sz="4" w:space="0" w:color="auto"/>
              <w:left w:val="single" w:sz="4" w:space="0" w:color="auto"/>
              <w:bottom w:val="single" w:sz="4" w:space="0" w:color="auto"/>
              <w:right w:val="single" w:sz="4" w:space="0" w:color="auto"/>
            </w:tcBorders>
            <w:hideMark/>
          </w:tcPr>
          <w:p w14:paraId="1A3E6879" w14:textId="77777777" w:rsidR="00977942" w:rsidRPr="000262D3" w:rsidRDefault="00977942" w:rsidP="000262D3">
            <w:pPr>
              <w:ind w:left="32"/>
              <w:rPr>
                <w:sz w:val="24"/>
                <w:szCs w:val="24"/>
              </w:rPr>
            </w:pPr>
            <w:r w:rsidRPr="000262D3">
              <w:rPr>
                <w:sz w:val="24"/>
                <w:szCs w:val="24"/>
              </w:rPr>
              <w:t>0,7142</w:t>
            </w:r>
          </w:p>
        </w:tc>
        <w:tc>
          <w:tcPr>
            <w:tcW w:w="3113" w:type="dxa"/>
            <w:gridSpan w:val="2"/>
            <w:tcBorders>
              <w:top w:val="single" w:sz="4" w:space="0" w:color="auto"/>
              <w:left w:val="single" w:sz="4" w:space="0" w:color="auto"/>
              <w:bottom w:val="single" w:sz="4" w:space="0" w:color="auto"/>
              <w:right w:val="single" w:sz="4" w:space="0" w:color="auto"/>
            </w:tcBorders>
            <w:hideMark/>
          </w:tcPr>
          <w:p w14:paraId="673AAAEB" w14:textId="77777777" w:rsidR="00977942" w:rsidRPr="000262D3" w:rsidRDefault="00977942" w:rsidP="000262D3">
            <w:pPr>
              <w:ind w:left="851"/>
              <w:rPr>
                <w:sz w:val="24"/>
                <w:szCs w:val="24"/>
              </w:rPr>
            </w:pPr>
            <w:r w:rsidRPr="000262D3">
              <w:rPr>
                <w:sz w:val="24"/>
                <w:szCs w:val="24"/>
              </w:rPr>
              <w:t>0,7339</w:t>
            </w:r>
          </w:p>
        </w:tc>
      </w:tr>
    </w:tbl>
    <w:p w14:paraId="53689058" w14:textId="4EED6223" w:rsidR="00977942" w:rsidRPr="000262D3" w:rsidRDefault="00977942" w:rsidP="000262D3">
      <w:pPr>
        <w:ind w:left="284" w:hanging="284"/>
        <w:rPr>
          <w:bCs/>
          <w:sz w:val="24"/>
          <w:szCs w:val="24"/>
        </w:rPr>
      </w:pPr>
      <w:r w:rsidRPr="000262D3">
        <w:rPr>
          <w:bCs/>
          <w:sz w:val="24"/>
          <w:szCs w:val="24"/>
        </w:rPr>
        <w:t xml:space="preserve">a </w:t>
      </w:r>
      <w:r w:rsidR="000262D3" w:rsidRPr="000262D3">
        <w:rPr>
          <w:bCs/>
          <w:sz w:val="24"/>
          <w:szCs w:val="24"/>
        </w:rPr>
        <w:tab/>
      </w:r>
      <w:r w:rsidRPr="000262D3">
        <w:rPr>
          <w:bCs/>
          <w:sz w:val="24"/>
          <w:szCs w:val="24"/>
        </w:rPr>
        <w:t>Sygdomsfri overlevelse inkluderer alle recidiverende hændelser og defineres som den første forekomst af loko-regionalt recidiv, kontralateral ny brystkræft, fjernt recidiv eller død (uanset årsag).</w:t>
      </w:r>
    </w:p>
    <w:p w14:paraId="6D766B43" w14:textId="03DAB841" w:rsidR="00977942" w:rsidRPr="000262D3" w:rsidRDefault="00977942" w:rsidP="000262D3">
      <w:pPr>
        <w:ind w:left="284" w:hanging="284"/>
        <w:rPr>
          <w:bCs/>
          <w:sz w:val="24"/>
          <w:szCs w:val="24"/>
        </w:rPr>
      </w:pPr>
      <w:r w:rsidRPr="000262D3">
        <w:rPr>
          <w:bCs/>
          <w:sz w:val="24"/>
          <w:szCs w:val="24"/>
        </w:rPr>
        <w:t xml:space="preserve">b </w:t>
      </w:r>
      <w:r w:rsidR="000262D3" w:rsidRPr="000262D3">
        <w:rPr>
          <w:bCs/>
          <w:sz w:val="24"/>
          <w:szCs w:val="24"/>
        </w:rPr>
        <w:tab/>
      </w:r>
      <w:r w:rsidRPr="000262D3">
        <w:rPr>
          <w:bCs/>
          <w:sz w:val="24"/>
          <w:szCs w:val="24"/>
        </w:rPr>
        <w:t>Fjern sygdomsfri overlevelse defineres som den første forekomst af fjernt recidiv eller død (uanset årsag).</w:t>
      </w:r>
    </w:p>
    <w:p w14:paraId="72FDEDBC" w14:textId="78DB396D" w:rsidR="00977942" w:rsidRPr="000262D3" w:rsidRDefault="00977942" w:rsidP="000262D3">
      <w:pPr>
        <w:ind w:left="284" w:hanging="284"/>
        <w:rPr>
          <w:bCs/>
          <w:sz w:val="24"/>
          <w:szCs w:val="24"/>
        </w:rPr>
      </w:pPr>
      <w:r w:rsidRPr="000262D3">
        <w:rPr>
          <w:bCs/>
          <w:sz w:val="24"/>
          <w:szCs w:val="24"/>
        </w:rPr>
        <w:t xml:space="preserve">c </w:t>
      </w:r>
      <w:r w:rsidR="000262D3" w:rsidRPr="000262D3">
        <w:rPr>
          <w:bCs/>
          <w:sz w:val="24"/>
          <w:szCs w:val="24"/>
        </w:rPr>
        <w:tab/>
      </w:r>
      <w:r w:rsidRPr="000262D3">
        <w:rPr>
          <w:bCs/>
          <w:sz w:val="24"/>
          <w:szCs w:val="24"/>
        </w:rPr>
        <w:t>Tid til recidiv defineres som den første forekomst af loko-regionalt recidiv, kontralateral ny brystkræft, fjernt recidiv eller død på grund af brystkræft.</w:t>
      </w:r>
    </w:p>
    <w:p w14:paraId="12964401" w14:textId="0D37040F" w:rsidR="00977942" w:rsidRPr="000262D3" w:rsidRDefault="00977942" w:rsidP="000262D3">
      <w:pPr>
        <w:ind w:left="284" w:hanging="284"/>
        <w:rPr>
          <w:bCs/>
          <w:sz w:val="24"/>
          <w:szCs w:val="24"/>
        </w:rPr>
      </w:pPr>
      <w:r w:rsidRPr="000262D3">
        <w:rPr>
          <w:bCs/>
          <w:sz w:val="24"/>
          <w:szCs w:val="24"/>
        </w:rPr>
        <w:t xml:space="preserve">d </w:t>
      </w:r>
      <w:r w:rsidR="000262D3" w:rsidRPr="000262D3">
        <w:rPr>
          <w:bCs/>
          <w:sz w:val="24"/>
          <w:szCs w:val="24"/>
        </w:rPr>
        <w:tab/>
      </w:r>
      <w:r w:rsidRPr="000262D3">
        <w:rPr>
          <w:bCs/>
          <w:sz w:val="24"/>
          <w:szCs w:val="24"/>
        </w:rPr>
        <w:t>Tid til fjernt recidiv defineres som den første forekomst af fjernt recidiv eller død på grund af brystkræft.</w:t>
      </w:r>
    </w:p>
    <w:p w14:paraId="29BB93D6" w14:textId="12A377DD" w:rsidR="00977942" w:rsidRPr="000262D3" w:rsidRDefault="00977942" w:rsidP="000262D3">
      <w:pPr>
        <w:ind w:left="284" w:hanging="284"/>
        <w:rPr>
          <w:sz w:val="24"/>
          <w:szCs w:val="24"/>
        </w:rPr>
      </w:pPr>
      <w:r w:rsidRPr="000262D3">
        <w:rPr>
          <w:sz w:val="24"/>
          <w:szCs w:val="24"/>
        </w:rPr>
        <w:t xml:space="preserve">e </w:t>
      </w:r>
      <w:r w:rsidR="000262D3" w:rsidRPr="000262D3">
        <w:rPr>
          <w:sz w:val="24"/>
          <w:szCs w:val="24"/>
        </w:rPr>
        <w:tab/>
      </w:r>
      <w:r w:rsidRPr="000262D3">
        <w:rPr>
          <w:sz w:val="24"/>
          <w:szCs w:val="24"/>
        </w:rPr>
        <w:t>Antal (%) patienter, der døde.</w:t>
      </w:r>
    </w:p>
    <w:p w14:paraId="1C23386F" w14:textId="77777777" w:rsidR="00977942" w:rsidRPr="000262D3" w:rsidRDefault="00977942" w:rsidP="00977942">
      <w:pPr>
        <w:tabs>
          <w:tab w:val="left" w:pos="851"/>
        </w:tabs>
        <w:ind w:left="851"/>
        <w:rPr>
          <w:sz w:val="24"/>
          <w:szCs w:val="24"/>
        </w:rPr>
      </w:pPr>
    </w:p>
    <w:p w14:paraId="0E38BCF0" w14:textId="77777777" w:rsidR="00977942" w:rsidRPr="000262D3" w:rsidRDefault="00977942" w:rsidP="000262D3">
      <w:pPr>
        <w:ind w:left="851"/>
        <w:rPr>
          <w:sz w:val="24"/>
          <w:szCs w:val="24"/>
        </w:rPr>
      </w:pPr>
      <w:r w:rsidRPr="000262D3">
        <w:rPr>
          <w:sz w:val="24"/>
          <w:szCs w:val="24"/>
        </w:rPr>
        <w:t>Kombination af anastrozol og tamoxifen udviste ikke nogen effektfordele sammenlignet med tamoxifen hverken hos den totale population eller hos hormonreceptor-positiv-populationen. Denne behandlingsarm blev ekskluderet fra forsøget.</w:t>
      </w:r>
    </w:p>
    <w:p w14:paraId="31B50906" w14:textId="77777777" w:rsidR="00977942" w:rsidRPr="000262D3" w:rsidRDefault="00977942" w:rsidP="000262D3">
      <w:pPr>
        <w:ind w:left="851"/>
        <w:rPr>
          <w:sz w:val="24"/>
          <w:szCs w:val="24"/>
        </w:rPr>
      </w:pPr>
    </w:p>
    <w:p w14:paraId="0927E9C0" w14:textId="77777777" w:rsidR="00977942" w:rsidRPr="000262D3" w:rsidRDefault="00977942" w:rsidP="000262D3">
      <w:pPr>
        <w:ind w:left="851"/>
        <w:rPr>
          <w:sz w:val="24"/>
          <w:szCs w:val="24"/>
        </w:rPr>
      </w:pPr>
      <w:r w:rsidRPr="000262D3">
        <w:rPr>
          <w:sz w:val="24"/>
          <w:szCs w:val="24"/>
        </w:rPr>
        <w:t xml:space="preserve">Med en opdateret opfølgning ved en median på 10 år blev det påvist, at langvarig sammenligning af behandlingsvirkningerne af anastrozol i forhold til tamoxifen var i overensstemmelse med tidligere analyser.  </w:t>
      </w:r>
    </w:p>
    <w:p w14:paraId="5B3F1190" w14:textId="77777777" w:rsidR="00977942" w:rsidRPr="000262D3" w:rsidRDefault="00977942" w:rsidP="000262D3">
      <w:pPr>
        <w:ind w:left="851"/>
        <w:rPr>
          <w:sz w:val="24"/>
          <w:szCs w:val="24"/>
        </w:rPr>
      </w:pPr>
    </w:p>
    <w:p w14:paraId="1D919E9A" w14:textId="77777777" w:rsidR="00977942" w:rsidRPr="000262D3" w:rsidRDefault="00977942" w:rsidP="000262D3">
      <w:pPr>
        <w:ind w:left="851"/>
        <w:rPr>
          <w:i/>
          <w:sz w:val="24"/>
          <w:szCs w:val="24"/>
          <w:u w:val="single"/>
        </w:rPr>
      </w:pPr>
      <w:r w:rsidRPr="000262D3">
        <w:rPr>
          <w:i/>
          <w:sz w:val="24"/>
          <w:szCs w:val="24"/>
          <w:u w:val="single"/>
        </w:rPr>
        <w:t>Adjuverende behandling af tidlig invasiv brystkræft hos hormonreceptor-positive patienter, som behandles med adjuverende tamoxifen</w:t>
      </w:r>
    </w:p>
    <w:p w14:paraId="767E32E3" w14:textId="77777777" w:rsidR="00977942" w:rsidRPr="000262D3" w:rsidRDefault="00977942" w:rsidP="000262D3">
      <w:pPr>
        <w:ind w:left="851"/>
        <w:rPr>
          <w:i/>
          <w:sz w:val="24"/>
          <w:szCs w:val="24"/>
        </w:rPr>
      </w:pPr>
    </w:p>
    <w:p w14:paraId="62733077" w14:textId="77777777" w:rsidR="00977942" w:rsidRPr="000262D3" w:rsidRDefault="00977942" w:rsidP="000262D3">
      <w:pPr>
        <w:ind w:left="851"/>
        <w:rPr>
          <w:sz w:val="24"/>
          <w:szCs w:val="24"/>
        </w:rPr>
      </w:pPr>
      <w:r w:rsidRPr="000262D3">
        <w:rPr>
          <w:sz w:val="24"/>
          <w:szCs w:val="24"/>
        </w:rPr>
        <w:t xml:space="preserve">I et fase III-forsøg (Austrian Breast and Colorectal Cancer Study Group [ABCSG] 8) indgik 2.579 postmenopausale kvinder med hormonreceptor-positiv tidlig brystkræft, der var blevet opereret med eller uden strålebehandling og uden kemoterapi (se nedenfor). Skift til anastrozol efter 2 års adjuverende behandling med tamoxifen var statistisk overlegen i sygdomsfri overlevelse sammenlignet med at forblive på tamoxifen efter en median opfølgning på 24 måneder. </w:t>
      </w:r>
    </w:p>
    <w:p w14:paraId="781724C3" w14:textId="77777777" w:rsidR="00977942" w:rsidRPr="000262D3" w:rsidRDefault="00977942" w:rsidP="000262D3">
      <w:pPr>
        <w:ind w:left="851"/>
        <w:rPr>
          <w:sz w:val="24"/>
          <w:szCs w:val="24"/>
        </w:rPr>
      </w:pPr>
    </w:p>
    <w:tbl>
      <w:tblPr>
        <w:tblW w:w="5000" w:type="pct"/>
        <w:tblLook w:val="04A0" w:firstRow="1" w:lastRow="0" w:firstColumn="1" w:lastColumn="0" w:noHBand="0" w:noVBand="1"/>
      </w:tblPr>
      <w:tblGrid>
        <w:gridCol w:w="3628"/>
        <w:gridCol w:w="2932"/>
        <w:gridCol w:w="3078"/>
      </w:tblGrid>
      <w:tr w:rsidR="00977942" w:rsidRPr="000262D3" w14:paraId="7741ABD8" w14:textId="77777777" w:rsidTr="000262D3">
        <w:trPr>
          <w:cantSplit/>
          <w:tblHeader/>
        </w:trPr>
        <w:tc>
          <w:tcPr>
            <w:tcW w:w="5000" w:type="pct"/>
            <w:gridSpan w:val="3"/>
            <w:tcBorders>
              <w:top w:val="nil"/>
              <w:left w:val="nil"/>
              <w:bottom w:val="single" w:sz="4" w:space="0" w:color="auto"/>
              <w:right w:val="nil"/>
            </w:tcBorders>
            <w:hideMark/>
          </w:tcPr>
          <w:p w14:paraId="2AEA3D62" w14:textId="4243C9FE" w:rsidR="00977942" w:rsidRPr="000262D3" w:rsidRDefault="00977942" w:rsidP="000262D3">
            <w:pPr>
              <w:ind w:left="32"/>
              <w:rPr>
                <w:b/>
                <w:sz w:val="24"/>
                <w:szCs w:val="24"/>
              </w:rPr>
            </w:pPr>
            <w:r w:rsidRPr="000262D3">
              <w:rPr>
                <w:b/>
                <w:sz w:val="24"/>
                <w:szCs w:val="24"/>
              </w:rPr>
              <w:t>Tabel 4</w:t>
            </w:r>
            <w:r w:rsidR="00F91539">
              <w:rPr>
                <w:b/>
                <w:sz w:val="24"/>
                <w:szCs w:val="24"/>
              </w:rPr>
              <w:t xml:space="preserve">. </w:t>
            </w:r>
            <w:r w:rsidRPr="000262D3">
              <w:rPr>
                <w:b/>
                <w:sz w:val="24"/>
                <w:szCs w:val="24"/>
              </w:rPr>
              <w:t>ABCSG 8 forsøgsendepunkt og resultatoversigt</w:t>
            </w:r>
          </w:p>
        </w:tc>
      </w:tr>
      <w:tr w:rsidR="00977942" w:rsidRPr="000262D3" w14:paraId="3ACB2DB5" w14:textId="77777777" w:rsidTr="000262D3">
        <w:trPr>
          <w:cantSplit/>
          <w:tblHeader/>
        </w:trPr>
        <w:tc>
          <w:tcPr>
            <w:tcW w:w="1882" w:type="pct"/>
            <w:tcBorders>
              <w:top w:val="single" w:sz="4" w:space="0" w:color="auto"/>
              <w:left w:val="single" w:sz="4" w:space="0" w:color="auto"/>
              <w:bottom w:val="nil"/>
              <w:right w:val="single" w:sz="4" w:space="0" w:color="auto"/>
            </w:tcBorders>
            <w:hideMark/>
          </w:tcPr>
          <w:p w14:paraId="2D6A761B" w14:textId="77777777" w:rsidR="00977942" w:rsidRPr="000262D3" w:rsidRDefault="00977942" w:rsidP="000262D3">
            <w:pPr>
              <w:ind w:left="32"/>
              <w:rPr>
                <w:b/>
                <w:bCs/>
                <w:sz w:val="24"/>
                <w:szCs w:val="24"/>
              </w:rPr>
            </w:pPr>
            <w:r w:rsidRPr="000262D3">
              <w:rPr>
                <w:b/>
                <w:bCs/>
                <w:sz w:val="24"/>
                <w:szCs w:val="24"/>
              </w:rPr>
              <w:t>Effekt-endpoints</w:t>
            </w:r>
          </w:p>
        </w:tc>
        <w:tc>
          <w:tcPr>
            <w:tcW w:w="3118" w:type="pct"/>
            <w:gridSpan w:val="2"/>
            <w:tcBorders>
              <w:top w:val="single" w:sz="4" w:space="0" w:color="auto"/>
              <w:left w:val="single" w:sz="4" w:space="0" w:color="auto"/>
              <w:bottom w:val="single" w:sz="4" w:space="0" w:color="auto"/>
              <w:right w:val="single" w:sz="4" w:space="0" w:color="auto"/>
            </w:tcBorders>
            <w:hideMark/>
          </w:tcPr>
          <w:p w14:paraId="6841AE5E" w14:textId="77777777" w:rsidR="00977942" w:rsidRPr="000262D3" w:rsidRDefault="00977942" w:rsidP="000262D3">
            <w:pPr>
              <w:ind w:left="32"/>
              <w:rPr>
                <w:b/>
                <w:bCs/>
                <w:sz w:val="24"/>
                <w:szCs w:val="24"/>
              </w:rPr>
            </w:pPr>
            <w:r w:rsidRPr="000262D3">
              <w:rPr>
                <w:b/>
                <w:bCs/>
                <w:sz w:val="24"/>
                <w:szCs w:val="24"/>
              </w:rPr>
              <w:t>Antal hændelser (frekvens)</w:t>
            </w:r>
          </w:p>
        </w:tc>
      </w:tr>
      <w:tr w:rsidR="00977942" w:rsidRPr="000262D3" w14:paraId="7D4DC440" w14:textId="77777777" w:rsidTr="000262D3">
        <w:trPr>
          <w:cantSplit/>
          <w:tblHeader/>
        </w:trPr>
        <w:tc>
          <w:tcPr>
            <w:tcW w:w="1882" w:type="pct"/>
            <w:tcBorders>
              <w:top w:val="nil"/>
              <w:left w:val="single" w:sz="4" w:space="0" w:color="auto"/>
              <w:bottom w:val="single" w:sz="4" w:space="0" w:color="auto"/>
              <w:right w:val="single" w:sz="4" w:space="0" w:color="auto"/>
            </w:tcBorders>
          </w:tcPr>
          <w:p w14:paraId="1FA53F44" w14:textId="77777777" w:rsidR="00977942" w:rsidRPr="000262D3" w:rsidRDefault="00977942" w:rsidP="000262D3">
            <w:pPr>
              <w:ind w:left="32"/>
              <w:rPr>
                <w:b/>
                <w:bCs/>
                <w:sz w:val="24"/>
                <w:szCs w:val="24"/>
              </w:rPr>
            </w:pPr>
          </w:p>
        </w:tc>
        <w:tc>
          <w:tcPr>
            <w:tcW w:w="1521" w:type="pct"/>
            <w:tcBorders>
              <w:top w:val="single" w:sz="4" w:space="0" w:color="auto"/>
              <w:left w:val="single" w:sz="4" w:space="0" w:color="auto"/>
              <w:bottom w:val="single" w:sz="4" w:space="0" w:color="auto"/>
              <w:right w:val="single" w:sz="4" w:space="0" w:color="auto"/>
            </w:tcBorders>
            <w:hideMark/>
          </w:tcPr>
          <w:p w14:paraId="2178C442" w14:textId="77777777" w:rsidR="00977942" w:rsidRPr="000262D3" w:rsidRDefault="00977942" w:rsidP="000262D3">
            <w:pPr>
              <w:ind w:left="32"/>
              <w:rPr>
                <w:b/>
                <w:bCs/>
                <w:sz w:val="24"/>
                <w:szCs w:val="24"/>
              </w:rPr>
            </w:pPr>
            <w:r w:rsidRPr="000262D3">
              <w:rPr>
                <w:b/>
                <w:bCs/>
                <w:sz w:val="24"/>
                <w:szCs w:val="24"/>
              </w:rPr>
              <w:t>Anastrozol</w:t>
            </w:r>
            <w:r w:rsidRPr="000262D3">
              <w:rPr>
                <w:b/>
                <w:bCs/>
                <w:sz w:val="24"/>
                <w:szCs w:val="24"/>
              </w:rPr>
              <w:br/>
              <w:t>(N=1.297)</w:t>
            </w:r>
          </w:p>
        </w:tc>
        <w:tc>
          <w:tcPr>
            <w:tcW w:w="1597" w:type="pct"/>
            <w:tcBorders>
              <w:top w:val="single" w:sz="4" w:space="0" w:color="auto"/>
              <w:left w:val="single" w:sz="4" w:space="0" w:color="auto"/>
              <w:bottom w:val="single" w:sz="4" w:space="0" w:color="auto"/>
              <w:right w:val="single" w:sz="4" w:space="0" w:color="auto"/>
            </w:tcBorders>
            <w:hideMark/>
          </w:tcPr>
          <w:p w14:paraId="310DE66D" w14:textId="77777777" w:rsidR="00977942" w:rsidRPr="000262D3" w:rsidRDefault="00977942" w:rsidP="000262D3">
            <w:pPr>
              <w:ind w:left="32"/>
              <w:rPr>
                <w:b/>
                <w:bCs/>
                <w:sz w:val="24"/>
                <w:szCs w:val="24"/>
              </w:rPr>
            </w:pPr>
            <w:r w:rsidRPr="000262D3">
              <w:rPr>
                <w:b/>
                <w:bCs/>
                <w:sz w:val="24"/>
                <w:szCs w:val="24"/>
              </w:rPr>
              <w:t>Tamoxifen</w:t>
            </w:r>
            <w:r w:rsidRPr="000262D3">
              <w:rPr>
                <w:b/>
                <w:bCs/>
                <w:sz w:val="24"/>
                <w:szCs w:val="24"/>
              </w:rPr>
              <w:br/>
              <w:t>(N=1.282)</w:t>
            </w:r>
          </w:p>
        </w:tc>
      </w:tr>
      <w:tr w:rsidR="00977942" w:rsidRPr="000262D3" w14:paraId="6376FF9A"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2B6ED798" w14:textId="77777777" w:rsidR="00977942" w:rsidRPr="000262D3" w:rsidRDefault="00977942" w:rsidP="000262D3">
            <w:pPr>
              <w:ind w:left="32"/>
              <w:rPr>
                <w:b/>
                <w:bCs/>
                <w:sz w:val="24"/>
                <w:szCs w:val="24"/>
              </w:rPr>
            </w:pPr>
            <w:r w:rsidRPr="000262D3">
              <w:rPr>
                <w:b/>
                <w:bCs/>
                <w:sz w:val="24"/>
                <w:szCs w:val="24"/>
              </w:rPr>
              <w:t>Sygdomsfri overlevelse</w:t>
            </w:r>
          </w:p>
        </w:tc>
        <w:tc>
          <w:tcPr>
            <w:tcW w:w="1521" w:type="pct"/>
            <w:tcBorders>
              <w:top w:val="single" w:sz="4" w:space="0" w:color="auto"/>
              <w:left w:val="single" w:sz="4" w:space="0" w:color="auto"/>
              <w:bottom w:val="single" w:sz="4" w:space="0" w:color="auto"/>
              <w:right w:val="single" w:sz="4" w:space="0" w:color="auto"/>
            </w:tcBorders>
            <w:hideMark/>
          </w:tcPr>
          <w:p w14:paraId="56519DF0" w14:textId="77777777" w:rsidR="00977942" w:rsidRPr="000262D3" w:rsidRDefault="00977942" w:rsidP="000262D3">
            <w:pPr>
              <w:ind w:left="32"/>
              <w:rPr>
                <w:sz w:val="24"/>
                <w:szCs w:val="24"/>
              </w:rPr>
            </w:pPr>
            <w:r w:rsidRPr="000262D3">
              <w:rPr>
                <w:sz w:val="24"/>
                <w:szCs w:val="24"/>
              </w:rPr>
              <w:t>65 (5,0)</w:t>
            </w:r>
          </w:p>
        </w:tc>
        <w:tc>
          <w:tcPr>
            <w:tcW w:w="1597" w:type="pct"/>
            <w:tcBorders>
              <w:top w:val="single" w:sz="4" w:space="0" w:color="auto"/>
              <w:left w:val="single" w:sz="4" w:space="0" w:color="auto"/>
              <w:bottom w:val="single" w:sz="4" w:space="0" w:color="auto"/>
              <w:right w:val="single" w:sz="4" w:space="0" w:color="auto"/>
            </w:tcBorders>
            <w:hideMark/>
          </w:tcPr>
          <w:p w14:paraId="1424D11D" w14:textId="77777777" w:rsidR="00977942" w:rsidRPr="000262D3" w:rsidRDefault="00977942" w:rsidP="000262D3">
            <w:pPr>
              <w:ind w:left="32"/>
              <w:rPr>
                <w:sz w:val="24"/>
                <w:szCs w:val="24"/>
              </w:rPr>
            </w:pPr>
            <w:r w:rsidRPr="000262D3">
              <w:rPr>
                <w:sz w:val="24"/>
                <w:szCs w:val="24"/>
              </w:rPr>
              <w:t>93 (7,3)</w:t>
            </w:r>
          </w:p>
        </w:tc>
      </w:tr>
      <w:tr w:rsidR="00977942" w:rsidRPr="000262D3" w14:paraId="3DBF0281"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6738AE61" w14:textId="77777777" w:rsidR="00977942" w:rsidRPr="000262D3" w:rsidRDefault="00977942" w:rsidP="000262D3">
            <w:pPr>
              <w:ind w:left="32"/>
              <w:rPr>
                <w:sz w:val="24"/>
                <w:szCs w:val="24"/>
              </w:rPr>
            </w:pPr>
            <w:r w:rsidRPr="000262D3">
              <w:rPr>
                <w:sz w:val="24"/>
                <w:szCs w:val="24"/>
              </w:rPr>
              <w:t>Hazard ratio</w:t>
            </w:r>
          </w:p>
        </w:tc>
        <w:tc>
          <w:tcPr>
            <w:tcW w:w="3118" w:type="pct"/>
            <w:gridSpan w:val="2"/>
            <w:tcBorders>
              <w:top w:val="single" w:sz="4" w:space="0" w:color="auto"/>
              <w:left w:val="single" w:sz="4" w:space="0" w:color="auto"/>
              <w:bottom w:val="single" w:sz="4" w:space="0" w:color="auto"/>
              <w:right w:val="single" w:sz="4" w:space="0" w:color="auto"/>
            </w:tcBorders>
            <w:hideMark/>
          </w:tcPr>
          <w:p w14:paraId="0486AD9D" w14:textId="77777777" w:rsidR="00977942" w:rsidRPr="000262D3" w:rsidRDefault="00977942" w:rsidP="000262D3">
            <w:pPr>
              <w:ind w:left="32"/>
              <w:rPr>
                <w:sz w:val="24"/>
                <w:szCs w:val="24"/>
              </w:rPr>
            </w:pPr>
            <w:r w:rsidRPr="000262D3">
              <w:rPr>
                <w:sz w:val="24"/>
                <w:szCs w:val="24"/>
              </w:rPr>
              <w:t>0,67</w:t>
            </w:r>
          </w:p>
        </w:tc>
      </w:tr>
      <w:tr w:rsidR="00977942" w:rsidRPr="000262D3" w14:paraId="1E74D722"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63CFD79E" w14:textId="77777777" w:rsidR="00977942" w:rsidRPr="000262D3" w:rsidRDefault="00977942" w:rsidP="000262D3">
            <w:pPr>
              <w:ind w:left="32"/>
              <w:rPr>
                <w:sz w:val="24"/>
                <w:szCs w:val="24"/>
              </w:rPr>
            </w:pPr>
            <w:r w:rsidRPr="000262D3">
              <w:rPr>
                <w:sz w:val="24"/>
                <w:szCs w:val="24"/>
              </w:rPr>
              <w:t>2-sidet 95 % CI</w:t>
            </w:r>
          </w:p>
        </w:tc>
        <w:tc>
          <w:tcPr>
            <w:tcW w:w="3118" w:type="pct"/>
            <w:gridSpan w:val="2"/>
            <w:tcBorders>
              <w:top w:val="single" w:sz="4" w:space="0" w:color="auto"/>
              <w:left w:val="single" w:sz="4" w:space="0" w:color="auto"/>
              <w:bottom w:val="single" w:sz="4" w:space="0" w:color="auto"/>
              <w:right w:val="single" w:sz="4" w:space="0" w:color="auto"/>
            </w:tcBorders>
            <w:hideMark/>
          </w:tcPr>
          <w:p w14:paraId="378FB08D" w14:textId="77777777" w:rsidR="00977942" w:rsidRPr="000262D3" w:rsidRDefault="00977942" w:rsidP="000262D3">
            <w:pPr>
              <w:ind w:left="32"/>
              <w:rPr>
                <w:sz w:val="24"/>
                <w:szCs w:val="24"/>
              </w:rPr>
            </w:pPr>
            <w:r w:rsidRPr="000262D3">
              <w:rPr>
                <w:sz w:val="24"/>
                <w:szCs w:val="24"/>
              </w:rPr>
              <w:t>0,49 til 0,92</w:t>
            </w:r>
          </w:p>
        </w:tc>
      </w:tr>
      <w:tr w:rsidR="00977942" w:rsidRPr="000262D3" w14:paraId="56FEFCFA"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036DF8E4" w14:textId="77777777" w:rsidR="00977942" w:rsidRPr="000262D3" w:rsidRDefault="00977942" w:rsidP="000262D3">
            <w:pPr>
              <w:ind w:left="32"/>
              <w:rPr>
                <w:sz w:val="24"/>
                <w:szCs w:val="24"/>
              </w:rPr>
            </w:pPr>
            <w:r w:rsidRPr="000262D3">
              <w:rPr>
                <w:sz w:val="24"/>
                <w:szCs w:val="24"/>
              </w:rPr>
              <w:t>p-værdi</w:t>
            </w:r>
          </w:p>
        </w:tc>
        <w:tc>
          <w:tcPr>
            <w:tcW w:w="3118" w:type="pct"/>
            <w:gridSpan w:val="2"/>
            <w:tcBorders>
              <w:top w:val="single" w:sz="4" w:space="0" w:color="auto"/>
              <w:left w:val="single" w:sz="4" w:space="0" w:color="auto"/>
              <w:bottom w:val="single" w:sz="4" w:space="0" w:color="auto"/>
              <w:right w:val="single" w:sz="4" w:space="0" w:color="auto"/>
            </w:tcBorders>
            <w:hideMark/>
          </w:tcPr>
          <w:p w14:paraId="2CF1E585" w14:textId="77777777" w:rsidR="00977942" w:rsidRPr="000262D3" w:rsidRDefault="00977942" w:rsidP="000262D3">
            <w:pPr>
              <w:ind w:left="32"/>
              <w:rPr>
                <w:sz w:val="24"/>
                <w:szCs w:val="24"/>
              </w:rPr>
            </w:pPr>
            <w:r w:rsidRPr="000262D3">
              <w:rPr>
                <w:sz w:val="24"/>
                <w:szCs w:val="24"/>
              </w:rPr>
              <w:t>0,014</w:t>
            </w:r>
          </w:p>
        </w:tc>
      </w:tr>
      <w:tr w:rsidR="00977942" w:rsidRPr="000262D3" w14:paraId="07C7B82D"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0F3BDE9C" w14:textId="77777777" w:rsidR="00977942" w:rsidRPr="000262D3" w:rsidRDefault="00977942" w:rsidP="000262D3">
            <w:pPr>
              <w:ind w:left="32"/>
              <w:rPr>
                <w:b/>
                <w:bCs/>
                <w:sz w:val="24"/>
                <w:szCs w:val="24"/>
              </w:rPr>
            </w:pPr>
            <w:r w:rsidRPr="000262D3">
              <w:rPr>
                <w:b/>
                <w:bCs/>
                <w:sz w:val="24"/>
                <w:szCs w:val="24"/>
              </w:rPr>
              <w:t>Tid til et vilkårligt recidiv</w:t>
            </w:r>
          </w:p>
        </w:tc>
        <w:tc>
          <w:tcPr>
            <w:tcW w:w="1521" w:type="pct"/>
            <w:tcBorders>
              <w:top w:val="single" w:sz="4" w:space="0" w:color="auto"/>
              <w:left w:val="single" w:sz="4" w:space="0" w:color="auto"/>
              <w:bottom w:val="single" w:sz="4" w:space="0" w:color="auto"/>
              <w:right w:val="single" w:sz="4" w:space="0" w:color="auto"/>
            </w:tcBorders>
            <w:hideMark/>
          </w:tcPr>
          <w:p w14:paraId="06D7CDB5" w14:textId="77777777" w:rsidR="00977942" w:rsidRPr="000262D3" w:rsidRDefault="00977942" w:rsidP="000262D3">
            <w:pPr>
              <w:ind w:left="32"/>
              <w:rPr>
                <w:sz w:val="24"/>
                <w:szCs w:val="24"/>
              </w:rPr>
            </w:pPr>
            <w:r w:rsidRPr="000262D3">
              <w:rPr>
                <w:sz w:val="24"/>
                <w:szCs w:val="24"/>
              </w:rPr>
              <w:t>36 (2,8)</w:t>
            </w:r>
          </w:p>
        </w:tc>
        <w:tc>
          <w:tcPr>
            <w:tcW w:w="1597" w:type="pct"/>
            <w:tcBorders>
              <w:top w:val="single" w:sz="4" w:space="0" w:color="auto"/>
              <w:left w:val="single" w:sz="4" w:space="0" w:color="auto"/>
              <w:bottom w:val="single" w:sz="4" w:space="0" w:color="auto"/>
              <w:right w:val="single" w:sz="4" w:space="0" w:color="auto"/>
            </w:tcBorders>
            <w:hideMark/>
          </w:tcPr>
          <w:p w14:paraId="1FFB53BA" w14:textId="77777777" w:rsidR="00977942" w:rsidRPr="000262D3" w:rsidRDefault="00977942" w:rsidP="000262D3">
            <w:pPr>
              <w:ind w:left="32"/>
              <w:rPr>
                <w:sz w:val="24"/>
                <w:szCs w:val="24"/>
              </w:rPr>
            </w:pPr>
            <w:r w:rsidRPr="000262D3">
              <w:rPr>
                <w:sz w:val="24"/>
                <w:szCs w:val="24"/>
              </w:rPr>
              <w:t>66 (5,1)</w:t>
            </w:r>
          </w:p>
        </w:tc>
      </w:tr>
      <w:tr w:rsidR="00977942" w:rsidRPr="000262D3" w14:paraId="1BDD68C5"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13F15344" w14:textId="77777777" w:rsidR="00977942" w:rsidRPr="000262D3" w:rsidRDefault="00977942" w:rsidP="000262D3">
            <w:pPr>
              <w:ind w:left="32"/>
              <w:rPr>
                <w:sz w:val="24"/>
                <w:szCs w:val="24"/>
              </w:rPr>
            </w:pPr>
            <w:r w:rsidRPr="000262D3">
              <w:rPr>
                <w:sz w:val="24"/>
                <w:szCs w:val="24"/>
              </w:rPr>
              <w:t>Hazard ratio</w:t>
            </w:r>
          </w:p>
        </w:tc>
        <w:tc>
          <w:tcPr>
            <w:tcW w:w="3118" w:type="pct"/>
            <w:gridSpan w:val="2"/>
            <w:tcBorders>
              <w:top w:val="single" w:sz="4" w:space="0" w:color="auto"/>
              <w:left w:val="single" w:sz="4" w:space="0" w:color="auto"/>
              <w:bottom w:val="single" w:sz="4" w:space="0" w:color="auto"/>
              <w:right w:val="single" w:sz="4" w:space="0" w:color="auto"/>
            </w:tcBorders>
            <w:hideMark/>
          </w:tcPr>
          <w:p w14:paraId="2C142508" w14:textId="77777777" w:rsidR="00977942" w:rsidRPr="000262D3" w:rsidRDefault="00977942" w:rsidP="000262D3">
            <w:pPr>
              <w:ind w:left="32"/>
              <w:rPr>
                <w:sz w:val="24"/>
                <w:szCs w:val="24"/>
              </w:rPr>
            </w:pPr>
            <w:r w:rsidRPr="000262D3">
              <w:rPr>
                <w:sz w:val="24"/>
                <w:szCs w:val="24"/>
              </w:rPr>
              <w:t>0,53</w:t>
            </w:r>
          </w:p>
        </w:tc>
      </w:tr>
      <w:tr w:rsidR="00977942" w:rsidRPr="000262D3" w14:paraId="68B32F8E"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1808FE46" w14:textId="77777777" w:rsidR="00977942" w:rsidRPr="000262D3" w:rsidRDefault="00977942" w:rsidP="000262D3">
            <w:pPr>
              <w:ind w:left="32"/>
              <w:rPr>
                <w:sz w:val="24"/>
                <w:szCs w:val="24"/>
              </w:rPr>
            </w:pPr>
            <w:r w:rsidRPr="000262D3">
              <w:rPr>
                <w:sz w:val="24"/>
                <w:szCs w:val="24"/>
              </w:rPr>
              <w:t>2-sidet 95 % CI</w:t>
            </w:r>
          </w:p>
        </w:tc>
        <w:tc>
          <w:tcPr>
            <w:tcW w:w="3118" w:type="pct"/>
            <w:gridSpan w:val="2"/>
            <w:tcBorders>
              <w:top w:val="single" w:sz="4" w:space="0" w:color="auto"/>
              <w:left w:val="single" w:sz="4" w:space="0" w:color="auto"/>
              <w:bottom w:val="single" w:sz="4" w:space="0" w:color="auto"/>
              <w:right w:val="single" w:sz="4" w:space="0" w:color="auto"/>
            </w:tcBorders>
            <w:hideMark/>
          </w:tcPr>
          <w:p w14:paraId="2C0F7974" w14:textId="77777777" w:rsidR="00977942" w:rsidRPr="000262D3" w:rsidRDefault="00977942" w:rsidP="000262D3">
            <w:pPr>
              <w:ind w:left="32"/>
              <w:rPr>
                <w:sz w:val="24"/>
                <w:szCs w:val="24"/>
              </w:rPr>
            </w:pPr>
            <w:r w:rsidRPr="000262D3">
              <w:rPr>
                <w:sz w:val="24"/>
                <w:szCs w:val="24"/>
              </w:rPr>
              <w:t>0,35 til 0,79</w:t>
            </w:r>
          </w:p>
        </w:tc>
      </w:tr>
      <w:tr w:rsidR="00977942" w:rsidRPr="000262D3" w14:paraId="442854A6"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3D344150" w14:textId="77777777" w:rsidR="00977942" w:rsidRPr="000262D3" w:rsidRDefault="00977942" w:rsidP="000262D3">
            <w:pPr>
              <w:ind w:left="32"/>
              <w:rPr>
                <w:sz w:val="24"/>
                <w:szCs w:val="24"/>
              </w:rPr>
            </w:pPr>
            <w:r w:rsidRPr="000262D3">
              <w:rPr>
                <w:sz w:val="24"/>
                <w:szCs w:val="24"/>
              </w:rPr>
              <w:t>p-værdi</w:t>
            </w:r>
          </w:p>
        </w:tc>
        <w:tc>
          <w:tcPr>
            <w:tcW w:w="3118" w:type="pct"/>
            <w:gridSpan w:val="2"/>
            <w:tcBorders>
              <w:top w:val="single" w:sz="4" w:space="0" w:color="auto"/>
              <w:left w:val="single" w:sz="4" w:space="0" w:color="auto"/>
              <w:bottom w:val="single" w:sz="4" w:space="0" w:color="auto"/>
              <w:right w:val="single" w:sz="4" w:space="0" w:color="auto"/>
            </w:tcBorders>
            <w:hideMark/>
          </w:tcPr>
          <w:p w14:paraId="18BA7507" w14:textId="77777777" w:rsidR="00977942" w:rsidRPr="000262D3" w:rsidRDefault="00977942" w:rsidP="000262D3">
            <w:pPr>
              <w:ind w:left="32"/>
              <w:rPr>
                <w:sz w:val="24"/>
                <w:szCs w:val="24"/>
              </w:rPr>
            </w:pPr>
            <w:r w:rsidRPr="000262D3">
              <w:rPr>
                <w:sz w:val="24"/>
                <w:szCs w:val="24"/>
              </w:rPr>
              <w:t>0,002</w:t>
            </w:r>
          </w:p>
        </w:tc>
      </w:tr>
      <w:tr w:rsidR="00977942" w:rsidRPr="000262D3" w14:paraId="5B16D175"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5A444C9B" w14:textId="77777777" w:rsidR="00977942" w:rsidRPr="000262D3" w:rsidRDefault="00977942" w:rsidP="000262D3">
            <w:pPr>
              <w:ind w:left="32"/>
              <w:rPr>
                <w:b/>
                <w:bCs/>
                <w:sz w:val="24"/>
                <w:szCs w:val="24"/>
              </w:rPr>
            </w:pPr>
            <w:r w:rsidRPr="000262D3">
              <w:rPr>
                <w:b/>
                <w:bCs/>
                <w:sz w:val="24"/>
                <w:szCs w:val="24"/>
              </w:rPr>
              <w:t>Tid til fjernt recidiv</w:t>
            </w:r>
          </w:p>
        </w:tc>
        <w:tc>
          <w:tcPr>
            <w:tcW w:w="1521" w:type="pct"/>
            <w:tcBorders>
              <w:top w:val="single" w:sz="4" w:space="0" w:color="auto"/>
              <w:left w:val="single" w:sz="4" w:space="0" w:color="auto"/>
              <w:bottom w:val="single" w:sz="4" w:space="0" w:color="auto"/>
              <w:right w:val="single" w:sz="4" w:space="0" w:color="auto"/>
            </w:tcBorders>
            <w:hideMark/>
          </w:tcPr>
          <w:p w14:paraId="093BAA28" w14:textId="77777777" w:rsidR="00977942" w:rsidRPr="000262D3" w:rsidRDefault="00977942" w:rsidP="000262D3">
            <w:pPr>
              <w:ind w:left="32"/>
              <w:rPr>
                <w:sz w:val="24"/>
                <w:szCs w:val="24"/>
              </w:rPr>
            </w:pPr>
            <w:r w:rsidRPr="000262D3">
              <w:rPr>
                <w:sz w:val="24"/>
                <w:szCs w:val="24"/>
              </w:rPr>
              <w:t>22 (1,7)</w:t>
            </w:r>
          </w:p>
        </w:tc>
        <w:tc>
          <w:tcPr>
            <w:tcW w:w="1597" w:type="pct"/>
            <w:tcBorders>
              <w:top w:val="single" w:sz="4" w:space="0" w:color="auto"/>
              <w:left w:val="single" w:sz="4" w:space="0" w:color="auto"/>
              <w:bottom w:val="single" w:sz="4" w:space="0" w:color="auto"/>
              <w:right w:val="single" w:sz="4" w:space="0" w:color="auto"/>
            </w:tcBorders>
            <w:hideMark/>
          </w:tcPr>
          <w:p w14:paraId="50FB7DD2" w14:textId="77777777" w:rsidR="00977942" w:rsidRPr="000262D3" w:rsidRDefault="00977942" w:rsidP="000262D3">
            <w:pPr>
              <w:ind w:left="32"/>
              <w:rPr>
                <w:sz w:val="24"/>
                <w:szCs w:val="24"/>
              </w:rPr>
            </w:pPr>
            <w:r w:rsidRPr="000262D3">
              <w:rPr>
                <w:sz w:val="24"/>
                <w:szCs w:val="24"/>
              </w:rPr>
              <w:t>41 (3,2)</w:t>
            </w:r>
          </w:p>
        </w:tc>
      </w:tr>
      <w:tr w:rsidR="00977942" w:rsidRPr="000262D3" w14:paraId="7ED907AA"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156E4C20" w14:textId="77777777" w:rsidR="00977942" w:rsidRPr="000262D3" w:rsidRDefault="00977942" w:rsidP="000262D3">
            <w:pPr>
              <w:ind w:left="32"/>
              <w:rPr>
                <w:sz w:val="24"/>
                <w:szCs w:val="24"/>
              </w:rPr>
            </w:pPr>
            <w:r w:rsidRPr="000262D3">
              <w:rPr>
                <w:sz w:val="24"/>
                <w:szCs w:val="24"/>
              </w:rPr>
              <w:t>Hazard ratio</w:t>
            </w:r>
          </w:p>
        </w:tc>
        <w:tc>
          <w:tcPr>
            <w:tcW w:w="3118" w:type="pct"/>
            <w:gridSpan w:val="2"/>
            <w:tcBorders>
              <w:top w:val="single" w:sz="4" w:space="0" w:color="auto"/>
              <w:left w:val="single" w:sz="4" w:space="0" w:color="auto"/>
              <w:bottom w:val="single" w:sz="4" w:space="0" w:color="auto"/>
              <w:right w:val="single" w:sz="4" w:space="0" w:color="auto"/>
            </w:tcBorders>
            <w:hideMark/>
          </w:tcPr>
          <w:p w14:paraId="436B1A34" w14:textId="77777777" w:rsidR="00977942" w:rsidRPr="000262D3" w:rsidRDefault="00977942" w:rsidP="000262D3">
            <w:pPr>
              <w:ind w:left="32"/>
              <w:rPr>
                <w:sz w:val="24"/>
                <w:szCs w:val="24"/>
              </w:rPr>
            </w:pPr>
            <w:r w:rsidRPr="000262D3">
              <w:rPr>
                <w:sz w:val="24"/>
                <w:szCs w:val="24"/>
              </w:rPr>
              <w:t>0,52</w:t>
            </w:r>
          </w:p>
        </w:tc>
      </w:tr>
      <w:tr w:rsidR="00977942" w:rsidRPr="000262D3" w14:paraId="5365AC5E"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67080F99" w14:textId="77777777" w:rsidR="00977942" w:rsidRPr="000262D3" w:rsidRDefault="00977942" w:rsidP="000262D3">
            <w:pPr>
              <w:ind w:left="32"/>
              <w:rPr>
                <w:sz w:val="24"/>
                <w:szCs w:val="24"/>
              </w:rPr>
            </w:pPr>
            <w:r w:rsidRPr="000262D3">
              <w:rPr>
                <w:sz w:val="24"/>
                <w:szCs w:val="24"/>
              </w:rPr>
              <w:t>2-sidet 95 % CI</w:t>
            </w:r>
          </w:p>
        </w:tc>
        <w:tc>
          <w:tcPr>
            <w:tcW w:w="3118" w:type="pct"/>
            <w:gridSpan w:val="2"/>
            <w:tcBorders>
              <w:top w:val="single" w:sz="4" w:space="0" w:color="auto"/>
              <w:left w:val="single" w:sz="4" w:space="0" w:color="auto"/>
              <w:bottom w:val="single" w:sz="4" w:space="0" w:color="auto"/>
              <w:right w:val="single" w:sz="4" w:space="0" w:color="auto"/>
            </w:tcBorders>
            <w:hideMark/>
          </w:tcPr>
          <w:p w14:paraId="3B4B50C0" w14:textId="77777777" w:rsidR="00977942" w:rsidRPr="000262D3" w:rsidRDefault="00977942" w:rsidP="000262D3">
            <w:pPr>
              <w:ind w:left="32"/>
              <w:rPr>
                <w:sz w:val="24"/>
                <w:szCs w:val="24"/>
              </w:rPr>
            </w:pPr>
            <w:r w:rsidRPr="000262D3">
              <w:rPr>
                <w:sz w:val="24"/>
                <w:szCs w:val="24"/>
              </w:rPr>
              <w:t>0,31 til 0,88</w:t>
            </w:r>
          </w:p>
        </w:tc>
      </w:tr>
      <w:tr w:rsidR="00977942" w:rsidRPr="000262D3" w14:paraId="27FB28FB"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7E926B16" w14:textId="77777777" w:rsidR="00977942" w:rsidRPr="000262D3" w:rsidRDefault="00977942" w:rsidP="000262D3">
            <w:pPr>
              <w:ind w:left="32"/>
              <w:rPr>
                <w:sz w:val="24"/>
                <w:szCs w:val="24"/>
              </w:rPr>
            </w:pPr>
            <w:r w:rsidRPr="000262D3">
              <w:rPr>
                <w:sz w:val="24"/>
                <w:szCs w:val="24"/>
              </w:rPr>
              <w:t>p-værdi</w:t>
            </w:r>
          </w:p>
        </w:tc>
        <w:tc>
          <w:tcPr>
            <w:tcW w:w="3118" w:type="pct"/>
            <w:gridSpan w:val="2"/>
            <w:tcBorders>
              <w:top w:val="single" w:sz="4" w:space="0" w:color="auto"/>
              <w:left w:val="single" w:sz="4" w:space="0" w:color="auto"/>
              <w:bottom w:val="single" w:sz="4" w:space="0" w:color="auto"/>
              <w:right w:val="single" w:sz="4" w:space="0" w:color="auto"/>
            </w:tcBorders>
            <w:hideMark/>
          </w:tcPr>
          <w:p w14:paraId="52231C22" w14:textId="77777777" w:rsidR="00977942" w:rsidRPr="000262D3" w:rsidRDefault="00977942" w:rsidP="000262D3">
            <w:pPr>
              <w:ind w:left="32"/>
              <w:rPr>
                <w:sz w:val="24"/>
                <w:szCs w:val="24"/>
              </w:rPr>
            </w:pPr>
            <w:r w:rsidRPr="000262D3">
              <w:rPr>
                <w:sz w:val="24"/>
                <w:szCs w:val="24"/>
              </w:rPr>
              <w:t>0,015</w:t>
            </w:r>
          </w:p>
        </w:tc>
      </w:tr>
      <w:tr w:rsidR="00977942" w:rsidRPr="000262D3" w14:paraId="7E96D0D5"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695FFCD9" w14:textId="77777777" w:rsidR="00977942" w:rsidRPr="000262D3" w:rsidRDefault="00977942" w:rsidP="000262D3">
            <w:pPr>
              <w:ind w:left="32"/>
              <w:rPr>
                <w:b/>
                <w:bCs/>
                <w:sz w:val="24"/>
                <w:szCs w:val="24"/>
              </w:rPr>
            </w:pPr>
            <w:r w:rsidRPr="000262D3">
              <w:rPr>
                <w:b/>
                <w:bCs/>
                <w:sz w:val="24"/>
                <w:szCs w:val="24"/>
              </w:rPr>
              <w:t>Ny kontralateral brystkræft</w:t>
            </w:r>
          </w:p>
        </w:tc>
        <w:tc>
          <w:tcPr>
            <w:tcW w:w="1521" w:type="pct"/>
            <w:tcBorders>
              <w:top w:val="single" w:sz="4" w:space="0" w:color="auto"/>
              <w:left w:val="single" w:sz="4" w:space="0" w:color="auto"/>
              <w:bottom w:val="single" w:sz="4" w:space="0" w:color="auto"/>
              <w:right w:val="single" w:sz="4" w:space="0" w:color="auto"/>
            </w:tcBorders>
            <w:hideMark/>
          </w:tcPr>
          <w:p w14:paraId="2273FE9B" w14:textId="77777777" w:rsidR="00977942" w:rsidRPr="000262D3" w:rsidRDefault="00977942" w:rsidP="000262D3">
            <w:pPr>
              <w:ind w:left="32"/>
              <w:rPr>
                <w:sz w:val="24"/>
                <w:szCs w:val="24"/>
              </w:rPr>
            </w:pPr>
            <w:r w:rsidRPr="000262D3">
              <w:rPr>
                <w:sz w:val="24"/>
                <w:szCs w:val="24"/>
              </w:rPr>
              <w:t>7 (0,5)</w:t>
            </w:r>
          </w:p>
        </w:tc>
        <w:tc>
          <w:tcPr>
            <w:tcW w:w="1597" w:type="pct"/>
            <w:tcBorders>
              <w:top w:val="single" w:sz="4" w:space="0" w:color="auto"/>
              <w:left w:val="single" w:sz="4" w:space="0" w:color="auto"/>
              <w:bottom w:val="single" w:sz="4" w:space="0" w:color="auto"/>
              <w:right w:val="single" w:sz="4" w:space="0" w:color="auto"/>
            </w:tcBorders>
            <w:hideMark/>
          </w:tcPr>
          <w:p w14:paraId="56FB37C1" w14:textId="77777777" w:rsidR="00977942" w:rsidRPr="000262D3" w:rsidRDefault="00977942" w:rsidP="000262D3">
            <w:pPr>
              <w:ind w:left="32"/>
              <w:rPr>
                <w:sz w:val="24"/>
                <w:szCs w:val="24"/>
              </w:rPr>
            </w:pPr>
            <w:r w:rsidRPr="000262D3">
              <w:rPr>
                <w:sz w:val="24"/>
                <w:szCs w:val="24"/>
              </w:rPr>
              <w:t>15 (1,2)</w:t>
            </w:r>
          </w:p>
        </w:tc>
      </w:tr>
      <w:tr w:rsidR="00977942" w:rsidRPr="000262D3" w14:paraId="4A31CB2B"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7AD686E4" w14:textId="77777777" w:rsidR="00977942" w:rsidRPr="000262D3" w:rsidRDefault="00977942" w:rsidP="000262D3">
            <w:pPr>
              <w:ind w:left="32"/>
              <w:rPr>
                <w:sz w:val="24"/>
                <w:szCs w:val="24"/>
              </w:rPr>
            </w:pPr>
            <w:r w:rsidRPr="000262D3">
              <w:rPr>
                <w:sz w:val="24"/>
                <w:szCs w:val="24"/>
              </w:rPr>
              <w:t>Odds ratio</w:t>
            </w:r>
          </w:p>
        </w:tc>
        <w:tc>
          <w:tcPr>
            <w:tcW w:w="3118" w:type="pct"/>
            <w:gridSpan w:val="2"/>
            <w:tcBorders>
              <w:top w:val="single" w:sz="4" w:space="0" w:color="auto"/>
              <w:left w:val="single" w:sz="4" w:space="0" w:color="auto"/>
              <w:bottom w:val="single" w:sz="4" w:space="0" w:color="auto"/>
              <w:right w:val="single" w:sz="4" w:space="0" w:color="auto"/>
            </w:tcBorders>
            <w:hideMark/>
          </w:tcPr>
          <w:p w14:paraId="1301E16D" w14:textId="77777777" w:rsidR="00977942" w:rsidRPr="000262D3" w:rsidRDefault="00977942" w:rsidP="000262D3">
            <w:pPr>
              <w:ind w:left="32"/>
              <w:rPr>
                <w:sz w:val="24"/>
                <w:szCs w:val="24"/>
              </w:rPr>
            </w:pPr>
            <w:r w:rsidRPr="000262D3">
              <w:rPr>
                <w:sz w:val="24"/>
                <w:szCs w:val="24"/>
              </w:rPr>
              <w:t>0,46</w:t>
            </w:r>
          </w:p>
        </w:tc>
      </w:tr>
      <w:tr w:rsidR="00977942" w:rsidRPr="000262D3" w14:paraId="31D33FD6"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734C0FC7" w14:textId="77777777" w:rsidR="00977942" w:rsidRPr="000262D3" w:rsidRDefault="00977942" w:rsidP="000262D3">
            <w:pPr>
              <w:ind w:left="32"/>
              <w:rPr>
                <w:sz w:val="24"/>
                <w:szCs w:val="24"/>
              </w:rPr>
            </w:pPr>
            <w:r w:rsidRPr="000262D3">
              <w:rPr>
                <w:sz w:val="24"/>
                <w:szCs w:val="24"/>
              </w:rPr>
              <w:t>2-sidet 95 % CI</w:t>
            </w:r>
          </w:p>
        </w:tc>
        <w:tc>
          <w:tcPr>
            <w:tcW w:w="3118" w:type="pct"/>
            <w:gridSpan w:val="2"/>
            <w:tcBorders>
              <w:top w:val="single" w:sz="4" w:space="0" w:color="auto"/>
              <w:left w:val="single" w:sz="4" w:space="0" w:color="auto"/>
              <w:bottom w:val="single" w:sz="4" w:space="0" w:color="auto"/>
              <w:right w:val="single" w:sz="4" w:space="0" w:color="auto"/>
            </w:tcBorders>
            <w:hideMark/>
          </w:tcPr>
          <w:p w14:paraId="4806395B" w14:textId="77777777" w:rsidR="00977942" w:rsidRPr="000262D3" w:rsidRDefault="00977942" w:rsidP="000262D3">
            <w:pPr>
              <w:ind w:left="32"/>
              <w:rPr>
                <w:sz w:val="24"/>
                <w:szCs w:val="24"/>
              </w:rPr>
            </w:pPr>
            <w:r w:rsidRPr="000262D3">
              <w:rPr>
                <w:sz w:val="24"/>
                <w:szCs w:val="24"/>
              </w:rPr>
              <w:t>0,19 til 1,13</w:t>
            </w:r>
          </w:p>
        </w:tc>
      </w:tr>
      <w:tr w:rsidR="00977942" w:rsidRPr="000262D3" w14:paraId="1C4D2ACF"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1044BE2D" w14:textId="77777777" w:rsidR="00977942" w:rsidRPr="000262D3" w:rsidRDefault="00977942" w:rsidP="000262D3">
            <w:pPr>
              <w:ind w:left="32"/>
              <w:rPr>
                <w:sz w:val="24"/>
                <w:szCs w:val="24"/>
              </w:rPr>
            </w:pPr>
            <w:r w:rsidRPr="000262D3">
              <w:rPr>
                <w:sz w:val="24"/>
                <w:szCs w:val="24"/>
              </w:rPr>
              <w:t>p-værdi</w:t>
            </w:r>
          </w:p>
        </w:tc>
        <w:tc>
          <w:tcPr>
            <w:tcW w:w="3118" w:type="pct"/>
            <w:gridSpan w:val="2"/>
            <w:tcBorders>
              <w:top w:val="single" w:sz="4" w:space="0" w:color="auto"/>
              <w:left w:val="single" w:sz="4" w:space="0" w:color="auto"/>
              <w:bottom w:val="single" w:sz="4" w:space="0" w:color="auto"/>
              <w:right w:val="single" w:sz="4" w:space="0" w:color="auto"/>
            </w:tcBorders>
            <w:hideMark/>
          </w:tcPr>
          <w:p w14:paraId="38407820" w14:textId="77777777" w:rsidR="00977942" w:rsidRPr="000262D3" w:rsidRDefault="00977942" w:rsidP="000262D3">
            <w:pPr>
              <w:ind w:left="32"/>
              <w:rPr>
                <w:sz w:val="24"/>
                <w:szCs w:val="24"/>
              </w:rPr>
            </w:pPr>
            <w:r w:rsidRPr="000262D3">
              <w:rPr>
                <w:sz w:val="24"/>
                <w:szCs w:val="24"/>
              </w:rPr>
              <w:t>0,090</w:t>
            </w:r>
          </w:p>
        </w:tc>
      </w:tr>
      <w:tr w:rsidR="00977942" w:rsidRPr="000262D3" w14:paraId="6F0CE2F8"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5770101A" w14:textId="77777777" w:rsidR="00977942" w:rsidRPr="000262D3" w:rsidRDefault="00977942" w:rsidP="000262D3">
            <w:pPr>
              <w:ind w:left="32"/>
              <w:rPr>
                <w:b/>
                <w:bCs/>
                <w:sz w:val="24"/>
                <w:szCs w:val="24"/>
              </w:rPr>
            </w:pPr>
            <w:r w:rsidRPr="000262D3">
              <w:rPr>
                <w:b/>
                <w:bCs/>
                <w:sz w:val="24"/>
                <w:szCs w:val="24"/>
              </w:rPr>
              <w:t>Samlet overlevelse</w:t>
            </w:r>
            <w:r w:rsidRPr="000262D3">
              <w:rPr>
                <w:b/>
                <w:bCs/>
                <w:sz w:val="24"/>
                <w:szCs w:val="24"/>
                <w:vertAlign w:val="superscript"/>
              </w:rPr>
              <w:t xml:space="preserve"> </w:t>
            </w:r>
          </w:p>
        </w:tc>
        <w:tc>
          <w:tcPr>
            <w:tcW w:w="1521" w:type="pct"/>
            <w:tcBorders>
              <w:top w:val="single" w:sz="4" w:space="0" w:color="auto"/>
              <w:left w:val="single" w:sz="4" w:space="0" w:color="auto"/>
              <w:bottom w:val="single" w:sz="4" w:space="0" w:color="auto"/>
              <w:right w:val="single" w:sz="4" w:space="0" w:color="auto"/>
            </w:tcBorders>
            <w:hideMark/>
          </w:tcPr>
          <w:p w14:paraId="0126AB89" w14:textId="77777777" w:rsidR="00977942" w:rsidRPr="000262D3" w:rsidRDefault="00977942" w:rsidP="000262D3">
            <w:pPr>
              <w:ind w:left="32"/>
              <w:rPr>
                <w:sz w:val="24"/>
                <w:szCs w:val="24"/>
              </w:rPr>
            </w:pPr>
            <w:r w:rsidRPr="000262D3">
              <w:rPr>
                <w:sz w:val="24"/>
                <w:szCs w:val="24"/>
              </w:rPr>
              <w:t>43 (3,3)</w:t>
            </w:r>
          </w:p>
        </w:tc>
        <w:tc>
          <w:tcPr>
            <w:tcW w:w="1597" w:type="pct"/>
            <w:tcBorders>
              <w:top w:val="single" w:sz="4" w:space="0" w:color="auto"/>
              <w:left w:val="single" w:sz="4" w:space="0" w:color="auto"/>
              <w:bottom w:val="single" w:sz="4" w:space="0" w:color="auto"/>
              <w:right w:val="single" w:sz="4" w:space="0" w:color="auto"/>
            </w:tcBorders>
            <w:hideMark/>
          </w:tcPr>
          <w:p w14:paraId="438F6470" w14:textId="77777777" w:rsidR="00977942" w:rsidRPr="000262D3" w:rsidRDefault="00977942" w:rsidP="000262D3">
            <w:pPr>
              <w:ind w:left="32"/>
              <w:rPr>
                <w:sz w:val="24"/>
                <w:szCs w:val="24"/>
              </w:rPr>
            </w:pPr>
            <w:r w:rsidRPr="000262D3">
              <w:rPr>
                <w:sz w:val="24"/>
                <w:szCs w:val="24"/>
              </w:rPr>
              <w:t>45 (3,5)</w:t>
            </w:r>
          </w:p>
        </w:tc>
      </w:tr>
      <w:tr w:rsidR="00977942" w:rsidRPr="000262D3" w14:paraId="3299C854"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5C6C37EE" w14:textId="77777777" w:rsidR="00977942" w:rsidRPr="000262D3" w:rsidRDefault="00977942" w:rsidP="000262D3">
            <w:pPr>
              <w:ind w:left="32"/>
              <w:rPr>
                <w:sz w:val="24"/>
                <w:szCs w:val="24"/>
              </w:rPr>
            </w:pPr>
            <w:r w:rsidRPr="000262D3">
              <w:rPr>
                <w:sz w:val="24"/>
                <w:szCs w:val="24"/>
              </w:rPr>
              <w:t>Hazard ratio</w:t>
            </w:r>
          </w:p>
        </w:tc>
        <w:tc>
          <w:tcPr>
            <w:tcW w:w="3118" w:type="pct"/>
            <w:gridSpan w:val="2"/>
            <w:tcBorders>
              <w:top w:val="single" w:sz="4" w:space="0" w:color="auto"/>
              <w:left w:val="single" w:sz="4" w:space="0" w:color="auto"/>
              <w:bottom w:val="single" w:sz="4" w:space="0" w:color="auto"/>
              <w:right w:val="single" w:sz="4" w:space="0" w:color="auto"/>
            </w:tcBorders>
            <w:hideMark/>
          </w:tcPr>
          <w:p w14:paraId="3EAA9EC5" w14:textId="77777777" w:rsidR="00977942" w:rsidRPr="000262D3" w:rsidRDefault="00977942" w:rsidP="000262D3">
            <w:pPr>
              <w:ind w:left="32"/>
              <w:rPr>
                <w:sz w:val="24"/>
                <w:szCs w:val="24"/>
              </w:rPr>
            </w:pPr>
            <w:r w:rsidRPr="000262D3">
              <w:rPr>
                <w:sz w:val="24"/>
                <w:szCs w:val="24"/>
              </w:rPr>
              <w:t>0,96</w:t>
            </w:r>
          </w:p>
        </w:tc>
      </w:tr>
      <w:tr w:rsidR="00977942" w:rsidRPr="000262D3" w14:paraId="0ABF8E8B"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50A71369" w14:textId="77777777" w:rsidR="00977942" w:rsidRPr="000262D3" w:rsidRDefault="00977942" w:rsidP="000262D3">
            <w:pPr>
              <w:ind w:left="32"/>
              <w:rPr>
                <w:sz w:val="24"/>
                <w:szCs w:val="24"/>
              </w:rPr>
            </w:pPr>
            <w:r w:rsidRPr="000262D3">
              <w:rPr>
                <w:sz w:val="24"/>
                <w:szCs w:val="24"/>
              </w:rPr>
              <w:t>2-sidet 95 % CI</w:t>
            </w:r>
          </w:p>
        </w:tc>
        <w:tc>
          <w:tcPr>
            <w:tcW w:w="3118" w:type="pct"/>
            <w:gridSpan w:val="2"/>
            <w:tcBorders>
              <w:top w:val="single" w:sz="4" w:space="0" w:color="auto"/>
              <w:left w:val="single" w:sz="4" w:space="0" w:color="auto"/>
              <w:bottom w:val="single" w:sz="4" w:space="0" w:color="auto"/>
              <w:right w:val="single" w:sz="4" w:space="0" w:color="auto"/>
            </w:tcBorders>
            <w:hideMark/>
          </w:tcPr>
          <w:p w14:paraId="34A07544" w14:textId="77777777" w:rsidR="00977942" w:rsidRPr="000262D3" w:rsidRDefault="00977942" w:rsidP="000262D3">
            <w:pPr>
              <w:ind w:left="32"/>
              <w:rPr>
                <w:sz w:val="24"/>
                <w:szCs w:val="24"/>
              </w:rPr>
            </w:pPr>
            <w:r w:rsidRPr="000262D3">
              <w:rPr>
                <w:sz w:val="24"/>
                <w:szCs w:val="24"/>
              </w:rPr>
              <w:t>0,63 til 1,46</w:t>
            </w:r>
          </w:p>
        </w:tc>
      </w:tr>
      <w:tr w:rsidR="00977942" w:rsidRPr="000262D3" w14:paraId="3C6D1580" w14:textId="77777777" w:rsidTr="000262D3">
        <w:trPr>
          <w:cantSplit/>
        </w:trPr>
        <w:tc>
          <w:tcPr>
            <w:tcW w:w="1882" w:type="pct"/>
            <w:tcBorders>
              <w:top w:val="single" w:sz="4" w:space="0" w:color="auto"/>
              <w:left w:val="single" w:sz="4" w:space="0" w:color="auto"/>
              <w:bottom w:val="single" w:sz="4" w:space="0" w:color="auto"/>
              <w:right w:val="single" w:sz="4" w:space="0" w:color="auto"/>
            </w:tcBorders>
            <w:hideMark/>
          </w:tcPr>
          <w:p w14:paraId="71CC1FFE" w14:textId="77777777" w:rsidR="00977942" w:rsidRPr="000262D3" w:rsidRDefault="00977942" w:rsidP="000262D3">
            <w:pPr>
              <w:ind w:left="32"/>
              <w:rPr>
                <w:sz w:val="24"/>
                <w:szCs w:val="24"/>
              </w:rPr>
            </w:pPr>
            <w:r w:rsidRPr="000262D3">
              <w:rPr>
                <w:sz w:val="24"/>
                <w:szCs w:val="24"/>
              </w:rPr>
              <w:t>p-værdi</w:t>
            </w:r>
          </w:p>
        </w:tc>
        <w:tc>
          <w:tcPr>
            <w:tcW w:w="3118" w:type="pct"/>
            <w:gridSpan w:val="2"/>
            <w:tcBorders>
              <w:top w:val="single" w:sz="4" w:space="0" w:color="auto"/>
              <w:left w:val="single" w:sz="4" w:space="0" w:color="auto"/>
              <w:bottom w:val="single" w:sz="4" w:space="0" w:color="auto"/>
              <w:right w:val="single" w:sz="4" w:space="0" w:color="auto"/>
            </w:tcBorders>
            <w:hideMark/>
          </w:tcPr>
          <w:p w14:paraId="3EF447A3" w14:textId="77777777" w:rsidR="00977942" w:rsidRPr="000262D3" w:rsidRDefault="00977942" w:rsidP="000262D3">
            <w:pPr>
              <w:ind w:left="32"/>
              <w:rPr>
                <w:sz w:val="24"/>
                <w:szCs w:val="24"/>
              </w:rPr>
            </w:pPr>
            <w:r w:rsidRPr="000262D3">
              <w:rPr>
                <w:sz w:val="24"/>
                <w:szCs w:val="24"/>
              </w:rPr>
              <w:t>0,840</w:t>
            </w:r>
          </w:p>
        </w:tc>
      </w:tr>
    </w:tbl>
    <w:p w14:paraId="3FDEAECF" w14:textId="77777777" w:rsidR="00977942" w:rsidRPr="000262D3" w:rsidRDefault="00977942" w:rsidP="00977942">
      <w:pPr>
        <w:tabs>
          <w:tab w:val="left" w:pos="851"/>
        </w:tabs>
        <w:ind w:left="851"/>
        <w:rPr>
          <w:sz w:val="24"/>
          <w:szCs w:val="24"/>
        </w:rPr>
      </w:pPr>
    </w:p>
    <w:p w14:paraId="5CE516D6" w14:textId="77777777" w:rsidR="00977942" w:rsidRPr="000262D3" w:rsidRDefault="00977942" w:rsidP="000262D3">
      <w:pPr>
        <w:ind w:left="851"/>
        <w:rPr>
          <w:sz w:val="24"/>
          <w:szCs w:val="24"/>
        </w:rPr>
      </w:pPr>
      <w:r w:rsidRPr="000262D3">
        <w:rPr>
          <w:sz w:val="24"/>
          <w:szCs w:val="24"/>
        </w:rPr>
        <w:t xml:space="preserve">To andre tilsvarende forsøg (GABG/ARNO 95 og ITA), hvor patienter i et af dem var blevet opereret og havde fået kemoterapi, samt en kombineret analyse af ABCSG 8 og GABG/ARNO 95 underbyggede disse resultater. </w:t>
      </w:r>
    </w:p>
    <w:p w14:paraId="5BA9EF33" w14:textId="77777777" w:rsidR="00977942" w:rsidRPr="000262D3" w:rsidRDefault="00977942" w:rsidP="000262D3">
      <w:pPr>
        <w:ind w:left="851"/>
        <w:rPr>
          <w:sz w:val="24"/>
          <w:szCs w:val="24"/>
        </w:rPr>
      </w:pPr>
    </w:p>
    <w:p w14:paraId="214A611A" w14:textId="77777777" w:rsidR="00977942" w:rsidRPr="000262D3" w:rsidRDefault="00977942" w:rsidP="000262D3">
      <w:pPr>
        <w:ind w:left="851"/>
        <w:rPr>
          <w:sz w:val="24"/>
          <w:szCs w:val="24"/>
        </w:rPr>
      </w:pPr>
      <w:r w:rsidRPr="000262D3">
        <w:rPr>
          <w:sz w:val="24"/>
          <w:szCs w:val="24"/>
        </w:rPr>
        <w:t>Anastrozol’ sikkerhedsprofil i disse 3 forsøg stemte overens med den kendte sikkerhedsprofil, som var fastslået hos postmenopausale kvinder med hormonreceptor-positiv tidlig brystkræft.</w:t>
      </w:r>
    </w:p>
    <w:p w14:paraId="45A6520D" w14:textId="247A3CA5" w:rsidR="000262D3" w:rsidRDefault="000262D3">
      <w:pPr>
        <w:rPr>
          <w:sz w:val="24"/>
          <w:szCs w:val="24"/>
        </w:rPr>
      </w:pPr>
      <w:r>
        <w:rPr>
          <w:sz w:val="24"/>
          <w:szCs w:val="24"/>
        </w:rPr>
        <w:br w:type="page"/>
      </w:r>
    </w:p>
    <w:p w14:paraId="007540D7" w14:textId="77777777" w:rsidR="000262D3" w:rsidRPr="000262D3" w:rsidRDefault="000262D3" w:rsidP="000262D3">
      <w:pPr>
        <w:ind w:left="851"/>
        <w:rPr>
          <w:sz w:val="24"/>
          <w:szCs w:val="24"/>
        </w:rPr>
      </w:pPr>
    </w:p>
    <w:p w14:paraId="3D7BF9AA" w14:textId="77777777" w:rsidR="00977942" w:rsidRPr="000262D3" w:rsidRDefault="00977942" w:rsidP="000262D3">
      <w:pPr>
        <w:ind w:left="851"/>
        <w:rPr>
          <w:i/>
          <w:sz w:val="24"/>
          <w:szCs w:val="24"/>
          <w:u w:val="single"/>
        </w:rPr>
      </w:pPr>
      <w:r w:rsidRPr="000262D3">
        <w:rPr>
          <w:i/>
          <w:sz w:val="24"/>
          <w:szCs w:val="24"/>
          <w:u w:val="single"/>
        </w:rPr>
        <w:t>Knoglemineraltæthed (BMD)</w:t>
      </w:r>
    </w:p>
    <w:p w14:paraId="5825B2B7" w14:textId="77777777" w:rsidR="00977942" w:rsidRPr="000262D3" w:rsidRDefault="00977942" w:rsidP="000262D3">
      <w:pPr>
        <w:ind w:left="851"/>
        <w:rPr>
          <w:sz w:val="24"/>
          <w:szCs w:val="24"/>
        </w:rPr>
      </w:pPr>
      <w:r w:rsidRPr="000262D3">
        <w:rPr>
          <w:sz w:val="24"/>
          <w:szCs w:val="24"/>
        </w:rPr>
        <w:t xml:space="preserve">I et fase III/IV-studie (Study of anastrozol with the Bisphosphonate Risedronate [SABRE]) blev 234 postmenopausale kvinder med hormonreceptor-positiv tidlig brystkræft, planlagt til behandling med anastrozol 1 mg/dag, stratificeret til lav, moderat og høj risikogruppe i henhold til deres eksisterende risiko for fraktur på grund af øget knogleskørhed. Den primære effektparameter var analyse af knogledensiteten i columna lumbalis ved hjælp af DXA-scanning. Alle patienter fik vitamin D og calcium. Patienter i lavrisikogruppen fik anastrozol alene (N=42), patienter med moderat risiko blev randomiseret til anastrozol plus risedronat 35 mg en gang om ugen (N=77) eller anastrozol plus placebo (N=77), og patienter i højrisikogruppen fik anastrozol plus risedronat 35 mg en gang om ugen (N=38). Det primære endepunkt var ændring fra baseline i knogledensitet i columna lumbalis efter 12 måneder.   </w:t>
      </w:r>
    </w:p>
    <w:p w14:paraId="39460D05" w14:textId="77777777" w:rsidR="00977942" w:rsidRPr="000262D3" w:rsidRDefault="00977942" w:rsidP="000262D3">
      <w:pPr>
        <w:ind w:left="851"/>
        <w:rPr>
          <w:sz w:val="24"/>
          <w:szCs w:val="24"/>
        </w:rPr>
      </w:pPr>
    </w:p>
    <w:p w14:paraId="4F6E39EE" w14:textId="77777777" w:rsidR="00977942" w:rsidRPr="000262D3" w:rsidRDefault="00977942" w:rsidP="000262D3">
      <w:pPr>
        <w:ind w:left="851"/>
        <w:rPr>
          <w:sz w:val="24"/>
          <w:szCs w:val="24"/>
        </w:rPr>
      </w:pPr>
      <w:r w:rsidRPr="000262D3">
        <w:rPr>
          <w:sz w:val="24"/>
          <w:szCs w:val="24"/>
        </w:rPr>
        <w:t>12</w:t>
      </w:r>
      <w:r w:rsidRPr="000262D3">
        <w:rPr>
          <w:sz w:val="24"/>
          <w:szCs w:val="24"/>
        </w:rPr>
        <w:noBreakHyphen/>
        <w:t>måneders hovedanalyse viste, at patienter med eksisterende moderat til høj risiko for fraktur ikke havde et fald i knogledensitet (vurderet ud fra knogledensitet i columna lumbalis ved hjælp af DXA-scanning), når de blev behandlet med anastrozol 1 mg/dag i kombination med risedronat 35 mg en gang om ugen. Et fald i BMD, som ikke var statistisk signifikant, blev desuden konstateret i lavrisikogruppen, som blev behandlet med anastrozol 1 mg/dag alene. Disse fund afspejledes i den sekundære effektvariabel med ændring i total hofte-BMD i forhold til baseline efter 12 måneder.</w:t>
      </w:r>
    </w:p>
    <w:p w14:paraId="52B13361" w14:textId="77777777" w:rsidR="00977942" w:rsidRPr="000262D3" w:rsidRDefault="00977942" w:rsidP="000262D3">
      <w:pPr>
        <w:ind w:left="851"/>
        <w:rPr>
          <w:sz w:val="24"/>
          <w:szCs w:val="24"/>
        </w:rPr>
      </w:pPr>
    </w:p>
    <w:p w14:paraId="730CFADC" w14:textId="77777777" w:rsidR="00977942" w:rsidRPr="000262D3" w:rsidRDefault="00977942" w:rsidP="000262D3">
      <w:pPr>
        <w:ind w:left="851"/>
        <w:rPr>
          <w:sz w:val="24"/>
          <w:szCs w:val="24"/>
        </w:rPr>
      </w:pPr>
      <w:r w:rsidRPr="000262D3">
        <w:rPr>
          <w:sz w:val="24"/>
          <w:szCs w:val="24"/>
        </w:rPr>
        <w:t>Dette studie påviste, at bisfosfonater kan overvejes til behandling af et muligt knoglemineraltab hos postmenopausale kvinder med tidlig brystkræft, som planlægges behandlet med anastrozol.</w:t>
      </w:r>
    </w:p>
    <w:p w14:paraId="5400B5F8" w14:textId="77777777" w:rsidR="00977942" w:rsidRPr="000262D3" w:rsidRDefault="00977942" w:rsidP="000262D3">
      <w:pPr>
        <w:ind w:left="851"/>
        <w:rPr>
          <w:sz w:val="24"/>
          <w:szCs w:val="24"/>
        </w:rPr>
      </w:pPr>
    </w:p>
    <w:p w14:paraId="3A51C23C" w14:textId="77777777" w:rsidR="00977942" w:rsidRPr="000262D3" w:rsidRDefault="00977942" w:rsidP="000262D3">
      <w:pPr>
        <w:ind w:left="851"/>
        <w:rPr>
          <w:bCs/>
          <w:iCs/>
          <w:sz w:val="24"/>
          <w:szCs w:val="24"/>
          <w:u w:val="single"/>
        </w:rPr>
      </w:pPr>
      <w:r w:rsidRPr="000262D3">
        <w:rPr>
          <w:sz w:val="24"/>
          <w:szCs w:val="24"/>
          <w:u w:val="single"/>
        </w:rPr>
        <w:t>Pædiatrisk</w:t>
      </w:r>
      <w:r w:rsidRPr="000262D3">
        <w:rPr>
          <w:bCs/>
          <w:iCs/>
          <w:sz w:val="24"/>
          <w:szCs w:val="24"/>
          <w:u w:val="single"/>
        </w:rPr>
        <w:t xml:space="preserve"> population</w:t>
      </w:r>
    </w:p>
    <w:p w14:paraId="6D955B26" w14:textId="77777777" w:rsidR="00977942" w:rsidRPr="000262D3" w:rsidRDefault="00977942" w:rsidP="000262D3">
      <w:pPr>
        <w:ind w:left="851"/>
        <w:rPr>
          <w:sz w:val="24"/>
          <w:szCs w:val="24"/>
        </w:rPr>
      </w:pPr>
      <w:r w:rsidRPr="000262D3">
        <w:rPr>
          <w:sz w:val="24"/>
          <w:szCs w:val="24"/>
        </w:rPr>
        <w:t>Anastrozol er ikke indiceret til brug hos børn og unge. Virkningen er ikke fastslået i de undersøgte pædiatriske populationer (se nedenfor). Antallet af behandlede børn var for begrænset til at drage nogen pålidelige konklusioner om sikkerheden. Der findes ingen data om de potentielle langtidsvirkninger af anastrozol-behandling hos børn og unge (se pkt. 5.3).</w:t>
      </w:r>
    </w:p>
    <w:p w14:paraId="15D6BB77" w14:textId="77777777" w:rsidR="00977942" w:rsidRPr="000262D3" w:rsidRDefault="00977942" w:rsidP="000262D3">
      <w:pPr>
        <w:ind w:left="851"/>
        <w:rPr>
          <w:sz w:val="24"/>
          <w:szCs w:val="24"/>
        </w:rPr>
      </w:pPr>
    </w:p>
    <w:p w14:paraId="69E2850B" w14:textId="77777777" w:rsidR="00977942" w:rsidRPr="000262D3" w:rsidRDefault="00977942" w:rsidP="000262D3">
      <w:pPr>
        <w:ind w:left="851"/>
        <w:rPr>
          <w:sz w:val="24"/>
          <w:szCs w:val="24"/>
        </w:rPr>
      </w:pPr>
      <w:r w:rsidRPr="000262D3">
        <w:rPr>
          <w:sz w:val="24"/>
          <w:szCs w:val="24"/>
        </w:rPr>
        <w:t>Det Europæiske Lægemiddelagentur har dispenseret fra kravet om fremlæggelse af resultaterne af studier med anastrozol hos alle undergrupper af den pædiatriske population, som er små af vækst på grund af væksthormonmangel (GHD), testotoksikose, gynækomasti og McCune-Albright-syndromet (se pkt. 4.2).</w:t>
      </w:r>
    </w:p>
    <w:p w14:paraId="3216D568" w14:textId="77777777" w:rsidR="00977942" w:rsidRPr="000262D3" w:rsidRDefault="00977942" w:rsidP="000262D3">
      <w:pPr>
        <w:ind w:left="851"/>
        <w:rPr>
          <w:sz w:val="24"/>
          <w:szCs w:val="24"/>
        </w:rPr>
      </w:pPr>
    </w:p>
    <w:p w14:paraId="3105CB87" w14:textId="77777777" w:rsidR="00977942" w:rsidRPr="000262D3" w:rsidRDefault="00977942" w:rsidP="000262D3">
      <w:pPr>
        <w:ind w:left="851"/>
        <w:rPr>
          <w:i/>
          <w:sz w:val="24"/>
          <w:szCs w:val="24"/>
        </w:rPr>
      </w:pPr>
      <w:r w:rsidRPr="000262D3">
        <w:rPr>
          <w:i/>
          <w:sz w:val="24"/>
          <w:szCs w:val="24"/>
        </w:rPr>
        <w:t>Lille af vækst på grund af væksthormonmangel</w:t>
      </w:r>
    </w:p>
    <w:p w14:paraId="465DBE3A" w14:textId="77777777" w:rsidR="00977942" w:rsidRPr="000262D3" w:rsidRDefault="00977942" w:rsidP="000262D3">
      <w:pPr>
        <w:ind w:left="851"/>
        <w:rPr>
          <w:sz w:val="24"/>
          <w:szCs w:val="24"/>
        </w:rPr>
      </w:pPr>
      <w:r w:rsidRPr="000262D3">
        <w:rPr>
          <w:sz w:val="24"/>
          <w:szCs w:val="24"/>
        </w:rPr>
        <w:t>I et randomiseret, dobbeltblindet, multicenter-studie blev 52 drenge i puberteten (i alderen 11 til og med 16 år) med GHD behandlet i 12 til 36 måneder med anastrozol 1 mg/dag eller placebo i kombination med væksthormon. Kun 14 forsøgspersoner på anastrozol fuldførte 36 måneder.</w:t>
      </w:r>
    </w:p>
    <w:p w14:paraId="15579C27" w14:textId="77777777" w:rsidR="00977942" w:rsidRPr="000262D3" w:rsidRDefault="00977942" w:rsidP="000262D3">
      <w:pPr>
        <w:ind w:left="851"/>
        <w:rPr>
          <w:sz w:val="24"/>
          <w:szCs w:val="24"/>
        </w:rPr>
      </w:pPr>
    </w:p>
    <w:p w14:paraId="5D0E38EB" w14:textId="77777777" w:rsidR="00977942" w:rsidRPr="000262D3" w:rsidRDefault="00977942" w:rsidP="000262D3">
      <w:pPr>
        <w:ind w:left="851"/>
        <w:rPr>
          <w:sz w:val="24"/>
          <w:szCs w:val="24"/>
        </w:rPr>
      </w:pPr>
      <w:r w:rsidRPr="000262D3">
        <w:rPr>
          <w:sz w:val="24"/>
          <w:szCs w:val="24"/>
        </w:rPr>
        <w:t xml:space="preserve">Der blev ikke observeret nogen statistisk signifikant forskel </w:t>
      </w:r>
      <w:r w:rsidRPr="000262D3">
        <w:rPr>
          <w:i/>
          <w:sz w:val="24"/>
          <w:szCs w:val="24"/>
        </w:rPr>
        <w:t>versus</w:t>
      </w:r>
      <w:r w:rsidRPr="000262D3">
        <w:rPr>
          <w:sz w:val="24"/>
          <w:szCs w:val="24"/>
        </w:rPr>
        <w:t xml:space="preserve"> placebo for de vækstrelaterede parametre forventet voksenhøjde, højde, højde-standardafvigelse og væksthastighed. Data om sluthøjde var ikke tilgængelige. Det behandlede antal børn var for lavt til at drage nogen pålidelige konklusioner om sikkerheden, men der var en øget forekomst af frakturer og en tendens til reduceret knoglemineraltæthed i anastrozol-armen sammenlignet med placebo-armen.</w:t>
      </w:r>
    </w:p>
    <w:p w14:paraId="05AA646B" w14:textId="77777777" w:rsidR="00977942" w:rsidRPr="000262D3" w:rsidRDefault="00977942" w:rsidP="000262D3">
      <w:pPr>
        <w:ind w:left="851"/>
        <w:rPr>
          <w:sz w:val="24"/>
          <w:szCs w:val="24"/>
        </w:rPr>
      </w:pPr>
    </w:p>
    <w:p w14:paraId="74DB1690" w14:textId="77777777" w:rsidR="00977942" w:rsidRPr="000262D3" w:rsidRDefault="00977942" w:rsidP="000262D3">
      <w:pPr>
        <w:ind w:left="851"/>
        <w:rPr>
          <w:i/>
          <w:sz w:val="24"/>
          <w:szCs w:val="24"/>
        </w:rPr>
      </w:pPr>
      <w:r w:rsidRPr="000262D3">
        <w:rPr>
          <w:i/>
          <w:sz w:val="24"/>
          <w:szCs w:val="24"/>
        </w:rPr>
        <w:t>Testotoksikose</w:t>
      </w:r>
    </w:p>
    <w:p w14:paraId="13FD8D46" w14:textId="77777777" w:rsidR="00977942" w:rsidRPr="000262D3" w:rsidRDefault="00977942" w:rsidP="000262D3">
      <w:pPr>
        <w:ind w:left="851"/>
        <w:rPr>
          <w:sz w:val="24"/>
          <w:szCs w:val="24"/>
        </w:rPr>
      </w:pPr>
      <w:r w:rsidRPr="000262D3">
        <w:rPr>
          <w:sz w:val="24"/>
          <w:szCs w:val="24"/>
        </w:rPr>
        <w:t>I et open-label, ikke-komparativt, multicenter-studie evalueredes 14 drenge (i alderen 2</w:t>
      </w:r>
      <w:r w:rsidRPr="000262D3">
        <w:rPr>
          <w:sz w:val="24"/>
          <w:szCs w:val="24"/>
        </w:rPr>
        <w:noBreakHyphen/>
        <w:t>9 år) med familiær mandlig pubertas praecox, også kendt som testotoksikose, behandlet med anastrozol og bicalutamid i kombination. Det primære formål var at vurdere effekten og sikkerheden af dette kombinationsregime over 12 måneder. 13 ud af de 14 indrullerede patienter fuldførte 12 måneders kombinationsbehandling (en patient var tabt for opfølgning). Der var ingen signifikant forskel i vækstrate efter 12 måneders behandling set i forhold til vækstraten i 6-måneders perioden før indrullering i forsøget.</w:t>
      </w:r>
    </w:p>
    <w:p w14:paraId="01216CC2" w14:textId="77777777" w:rsidR="00977942" w:rsidRPr="000262D3" w:rsidRDefault="00977942" w:rsidP="000262D3">
      <w:pPr>
        <w:ind w:left="851"/>
        <w:rPr>
          <w:sz w:val="24"/>
          <w:szCs w:val="24"/>
        </w:rPr>
      </w:pPr>
    </w:p>
    <w:p w14:paraId="7A55F609" w14:textId="77777777" w:rsidR="00977942" w:rsidRPr="000262D3" w:rsidRDefault="00977942" w:rsidP="000262D3">
      <w:pPr>
        <w:ind w:left="851"/>
        <w:rPr>
          <w:i/>
          <w:sz w:val="24"/>
          <w:szCs w:val="24"/>
        </w:rPr>
      </w:pPr>
      <w:r w:rsidRPr="000262D3">
        <w:rPr>
          <w:i/>
          <w:sz w:val="24"/>
          <w:szCs w:val="24"/>
        </w:rPr>
        <w:t>Gynækomasti</w:t>
      </w:r>
    </w:p>
    <w:p w14:paraId="4ECCB3E0" w14:textId="77777777" w:rsidR="00977942" w:rsidRPr="000262D3" w:rsidRDefault="00977942" w:rsidP="000262D3">
      <w:pPr>
        <w:ind w:left="851"/>
        <w:rPr>
          <w:sz w:val="24"/>
          <w:szCs w:val="24"/>
        </w:rPr>
      </w:pPr>
      <w:r w:rsidRPr="000262D3">
        <w:rPr>
          <w:sz w:val="24"/>
          <w:szCs w:val="24"/>
        </w:rPr>
        <w:t>Forsøg 0006 var et randomiseret, dobbeltblindet, multicenter-studie med 82 drenge i puberteten (i alderen 11 til og med 18 år) med gynækomasti af over 12 måneders varighed behandlet med anastrozol 1 mg/dag eller placebo dagligt i op til 6 måneder. Der blev ikke observeret nogen signifikant forskel i antal patienter, der havde en 50 % eller større reduktion i total brystvolumen efter 6 måneders behandling, mellem gruppen behandlet med anastrozol 1 mg og placebogruppen.</w:t>
      </w:r>
    </w:p>
    <w:p w14:paraId="1E1D8074" w14:textId="77777777" w:rsidR="00977942" w:rsidRPr="000262D3" w:rsidRDefault="00977942" w:rsidP="000262D3">
      <w:pPr>
        <w:ind w:left="851"/>
        <w:rPr>
          <w:sz w:val="24"/>
          <w:szCs w:val="24"/>
        </w:rPr>
      </w:pPr>
    </w:p>
    <w:p w14:paraId="6CD5A114" w14:textId="77777777" w:rsidR="00977942" w:rsidRPr="000262D3" w:rsidRDefault="00977942" w:rsidP="000262D3">
      <w:pPr>
        <w:ind w:left="851"/>
        <w:rPr>
          <w:sz w:val="24"/>
          <w:szCs w:val="24"/>
        </w:rPr>
      </w:pPr>
      <w:r w:rsidRPr="000262D3">
        <w:rPr>
          <w:sz w:val="24"/>
          <w:szCs w:val="24"/>
        </w:rPr>
        <w:t>Forsøg 0001 var et open-label, farmakokinetisk studie med anastrozol 1 mg/dag hos 36 drenge i puberteten med gynækomasti af mindre end 12 måneders varighed. Det sekundære formål var at evaluere den andel af patienter, som havde reduktion i forhold til baseline i det beregnede volumen, som skyldtes gynækomasti i begge bryster, kombineret med mindst 50 % reduktion mellem dag 1 og efter 6 måneders forsøgsbehandling, samt patienttolerabilitet og -sikkerhed. Der sås et fald i det samlede brystvolumen på 50 % eller derover hos 56 % (20/36) af drengene efter 6 måneder.</w:t>
      </w:r>
    </w:p>
    <w:p w14:paraId="5A916C48" w14:textId="77777777" w:rsidR="00977942" w:rsidRPr="000262D3" w:rsidRDefault="00977942" w:rsidP="000262D3">
      <w:pPr>
        <w:ind w:left="851"/>
        <w:rPr>
          <w:sz w:val="24"/>
          <w:szCs w:val="24"/>
        </w:rPr>
      </w:pPr>
    </w:p>
    <w:p w14:paraId="17F3F547" w14:textId="77777777" w:rsidR="00977942" w:rsidRPr="000262D3" w:rsidRDefault="00977942" w:rsidP="000262D3">
      <w:pPr>
        <w:ind w:left="851"/>
        <w:rPr>
          <w:i/>
          <w:sz w:val="24"/>
          <w:szCs w:val="24"/>
        </w:rPr>
      </w:pPr>
      <w:r w:rsidRPr="000262D3">
        <w:rPr>
          <w:i/>
          <w:sz w:val="24"/>
          <w:szCs w:val="24"/>
        </w:rPr>
        <w:t>McCune-Albright syndrom</w:t>
      </w:r>
    </w:p>
    <w:p w14:paraId="05156695" w14:textId="77777777" w:rsidR="00977942" w:rsidRPr="000262D3" w:rsidRDefault="00977942" w:rsidP="000262D3">
      <w:pPr>
        <w:ind w:left="851"/>
        <w:rPr>
          <w:sz w:val="24"/>
          <w:szCs w:val="24"/>
        </w:rPr>
      </w:pPr>
      <w:r w:rsidRPr="000262D3">
        <w:rPr>
          <w:sz w:val="24"/>
          <w:szCs w:val="24"/>
        </w:rPr>
        <w:t>Forsøg 0046 var et internationalt, multicenter, open-label, eksploratorisk forsøg med anastrozol hos 28 piger (i alderen 2 til ≤ 10 år) med McCune-Albright syndrom (MAS). Det primære formål var at evaluere sikkerheden og virkningen af anastrozol 1 mg/dag hos patienter med MAS. Virkningen af forsøgsbehandlingen var baseret på den andel af patienter, som opfyldte de fastlagte kriterier vedrørende vaginalblødning, knoglealder og væksthastighed. Der blev ikke observeret nogen statistisk signifikant ændring i frekvensen af dage med vaginalblødning. Der blev ikke observeret nogen klinisk signifikante ændringer i Tanner-stadieinddeling, middel ovarievolumen eller middel uterusvolumen. Der blev ikke observeret nogen statistisk signifikant ændring i stigningsraten i knoglealder ved behandling sammenlignet med raten ved baseline. Væksthastigheden (i cm/år) blev reduceret signifikant (p&lt;0,05) fra før behandling til måned 0 og til måned 12, og fra før behandling til de sidste 6 måneder (måned 7 til måned 12).</w:t>
      </w:r>
    </w:p>
    <w:p w14:paraId="58FCB8CD" w14:textId="77777777" w:rsidR="00977942" w:rsidRPr="000262D3" w:rsidRDefault="00977942" w:rsidP="009260DE">
      <w:pPr>
        <w:tabs>
          <w:tab w:val="left" w:pos="851"/>
        </w:tabs>
        <w:ind w:left="851"/>
        <w:rPr>
          <w:sz w:val="24"/>
          <w:szCs w:val="24"/>
        </w:rPr>
      </w:pPr>
    </w:p>
    <w:p w14:paraId="08680112" w14:textId="77777777" w:rsidR="009260DE" w:rsidRPr="000262D3" w:rsidRDefault="009260DE" w:rsidP="009260DE">
      <w:pPr>
        <w:tabs>
          <w:tab w:val="left" w:pos="851"/>
        </w:tabs>
        <w:ind w:left="851" w:hanging="851"/>
        <w:rPr>
          <w:b/>
          <w:sz w:val="24"/>
          <w:szCs w:val="24"/>
        </w:rPr>
      </w:pPr>
      <w:r w:rsidRPr="000262D3">
        <w:rPr>
          <w:b/>
          <w:sz w:val="24"/>
          <w:szCs w:val="24"/>
        </w:rPr>
        <w:t>5.2</w:t>
      </w:r>
      <w:r w:rsidRPr="000262D3">
        <w:rPr>
          <w:b/>
          <w:sz w:val="24"/>
          <w:szCs w:val="24"/>
        </w:rPr>
        <w:tab/>
        <w:t>Farmakokinetiske egenskaber</w:t>
      </w:r>
    </w:p>
    <w:p w14:paraId="48C2D14E" w14:textId="77777777" w:rsidR="000262D3" w:rsidRPr="000262D3" w:rsidRDefault="000262D3" w:rsidP="000262D3">
      <w:pPr>
        <w:ind w:left="851"/>
        <w:rPr>
          <w:bCs/>
          <w:iCs/>
          <w:sz w:val="24"/>
          <w:szCs w:val="24"/>
          <w:u w:val="single"/>
        </w:rPr>
      </w:pPr>
    </w:p>
    <w:p w14:paraId="4F7A8639" w14:textId="18A68ED9" w:rsidR="00977942" w:rsidRPr="000262D3" w:rsidRDefault="00977942" w:rsidP="000262D3">
      <w:pPr>
        <w:ind w:left="851"/>
        <w:rPr>
          <w:bCs/>
          <w:iCs/>
          <w:sz w:val="24"/>
          <w:szCs w:val="24"/>
          <w:u w:val="single"/>
        </w:rPr>
      </w:pPr>
      <w:r w:rsidRPr="000262D3">
        <w:rPr>
          <w:bCs/>
          <w:iCs/>
          <w:sz w:val="24"/>
          <w:szCs w:val="24"/>
          <w:u w:val="single"/>
        </w:rPr>
        <w:t>Absorption</w:t>
      </w:r>
    </w:p>
    <w:p w14:paraId="2A7C1219" w14:textId="50529410" w:rsidR="00977942" w:rsidRPr="000262D3" w:rsidRDefault="00977942" w:rsidP="000262D3">
      <w:pPr>
        <w:ind w:left="851"/>
        <w:rPr>
          <w:sz w:val="24"/>
          <w:szCs w:val="24"/>
        </w:rPr>
      </w:pPr>
      <w:r w:rsidRPr="000262D3">
        <w:rPr>
          <w:bCs/>
          <w:iCs/>
          <w:sz w:val="24"/>
          <w:szCs w:val="24"/>
        </w:rPr>
        <w:t>Absorption</w:t>
      </w:r>
      <w:r w:rsidRPr="000262D3">
        <w:rPr>
          <w:sz w:val="24"/>
          <w:szCs w:val="24"/>
        </w:rPr>
        <w:t xml:space="preserve"> af anastrozol </w:t>
      </w:r>
      <w:r w:rsidRPr="000262D3">
        <w:rPr>
          <w:bCs/>
          <w:iCs/>
          <w:sz w:val="24"/>
          <w:szCs w:val="24"/>
        </w:rPr>
        <w:t xml:space="preserve">sker hurtigt, </w:t>
      </w:r>
      <w:r w:rsidRPr="000262D3">
        <w:rPr>
          <w:sz w:val="24"/>
          <w:szCs w:val="24"/>
        </w:rPr>
        <w:t xml:space="preserve">og maksimale </w:t>
      </w:r>
      <w:r w:rsidRPr="000262D3">
        <w:rPr>
          <w:bCs/>
          <w:iCs/>
          <w:sz w:val="24"/>
          <w:szCs w:val="24"/>
        </w:rPr>
        <w:t>plasmakoncentrationer nås normalt</w:t>
      </w:r>
      <w:r w:rsidRPr="000262D3">
        <w:rPr>
          <w:sz w:val="24"/>
          <w:szCs w:val="24"/>
        </w:rPr>
        <w:t xml:space="preserve"> inden for </w:t>
      </w:r>
      <w:r w:rsidRPr="000262D3">
        <w:rPr>
          <w:bCs/>
          <w:iCs/>
          <w:sz w:val="24"/>
          <w:szCs w:val="24"/>
        </w:rPr>
        <w:t>to</w:t>
      </w:r>
      <w:r w:rsidRPr="000262D3">
        <w:rPr>
          <w:sz w:val="24"/>
          <w:szCs w:val="24"/>
        </w:rPr>
        <w:t xml:space="preserve"> timer efter </w:t>
      </w:r>
      <w:r w:rsidRPr="000262D3">
        <w:rPr>
          <w:bCs/>
          <w:iCs/>
          <w:sz w:val="24"/>
          <w:szCs w:val="24"/>
        </w:rPr>
        <w:t xml:space="preserve">dosering (under </w:t>
      </w:r>
      <w:r w:rsidRPr="000262D3">
        <w:rPr>
          <w:sz w:val="24"/>
          <w:szCs w:val="24"/>
        </w:rPr>
        <w:t xml:space="preserve">faste). Fødeindtagelse </w:t>
      </w:r>
      <w:r w:rsidRPr="000262D3">
        <w:rPr>
          <w:bCs/>
          <w:iCs/>
          <w:sz w:val="24"/>
          <w:szCs w:val="24"/>
        </w:rPr>
        <w:t xml:space="preserve">sænker </w:t>
      </w:r>
      <w:r w:rsidRPr="000262D3">
        <w:rPr>
          <w:sz w:val="24"/>
          <w:szCs w:val="24"/>
        </w:rPr>
        <w:t>absorptions</w:t>
      </w:r>
      <w:r w:rsidR="000262D3">
        <w:rPr>
          <w:sz w:val="24"/>
          <w:szCs w:val="24"/>
        </w:rPr>
        <w:softHyphen/>
      </w:r>
      <w:r w:rsidRPr="000262D3">
        <w:rPr>
          <w:sz w:val="24"/>
          <w:szCs w:val="24"/>
        </w:rPr>
        <w:t xml:space="preserve">hastigheden </w:t>
      </w:r>
      <w:r w:rsidRPr="000262D3">
        <w:rPr>
          <w:bCs/>
          <w:iCs/>
          <w:sz w:val="24"/>
          <w:szCs w:val="24"/>
        </w:rPr>
        <w:t>en smule, men ikke absorptionsfraktionen. Den lille ændring i absor</w:t>
      </w:r>
      <w:r w:rsidR="000262D3" w:rsidRPr="000262D3">
        <w:rPr>
          <w:bCs/>
          <w:iCs/>
          <w:sz w:val="24"/>
          <w:szCs w:val="24"/>
        </w:rPr>
        <w:t>p</w:t>
      </w:r>
      <w:r w:rsidRPr="000262D3">
        <w:rPr>
          <w:bCs/>
          <w:iCs/>
          <w:sz w:val="24"/>
          <w:szCs w:val="24"/>
        </w:rPr>
        <w:t>tions</w:t>
      </w:r>
      <w:r w:rsidR="000262D3">
        <w:rPr>
          <w:bCs/>
          <w:iCs/>
          <w:sz w:val="24"/>
          <w:szCs w:val="24"/>
        </w:rPr>
        <w:softHyphen/>
      </w:r>
      <w:r w:rsidRPr="000262D3">
        <w:rPr>
          <w:bCs/>
          <w:iCs/>
          <w:sz w:val="24"/>
          <w:szCs w:val="24"/>
        </w:rPr>
        <w:t xml:space="preserve">hastigheden </w:t>
      </w:r>
      <w:r w:rsidRPr="000262D3">
        <w:rPr>
          <w:sz w:val="24"/>
          <w:szCs w:val="24"/>
        </w:rPr>
        <w:t xml:space="preserve">forventes ikke at resultere i </w:t>
      </w:r>
      <w:r w:rsidRPr="000262D3">
        <w:rPr>
          <w:bCs/>
          <w:iCs/>
          <w:sz w:val="24"/>
          <w:szCs w:val="24"/>
        </w:rPr>
        <w:t xml:space="preserve">en </w:t>
      </w:r>
      <w:r w:rsidRPr="000262D3">
        <w:rPr>
          <w:sz w:val="24"/>
          <w:szCs w:val="24"/>
        </w:rPr>
        <w:t xml:space="preserve">klinisk </w:t>
      </w:r>
      <w:r w:rsidRPr="000262D3">
        <w:rPr>
          <w:bCs/>
          <w:iCs/>
          <w:sz w:val="24"/>
          <w:szCs w:val="24"/>
        </w:rPr>
        <w:t xml:space="preserve">signifikant virkning på </w:t>
      </w:r>
      <w:r w:rsidRPr="000262D3">
        <w:rPr>
          <w:sz w:val="24"/>
          <w:szCs w:val="24"/>
        </w:rPr>
        <w:t>steady-state</w:t>
      </w:r>
      <w:r w:rsidRPr="000262D3">
        <w:rPr>
          <w:bCs/>
          <w:iCs/>
          <w:sz w:val="24"/>
          <w:szCs w:val="24"/>
        </w:rPr>
        <w:t>-plasmakoncentrationen ved dosering</w:t>
      </w:r>
      <w:r w:rsidRPr="000262D3">
        <w:rPr>
          <w:sz w:val="24"/>
          <w:szCs w:val="24"/>
        </w:rPr>
        <w:t xml:space="preserve"> af anastrozol</w:t>
      </w:r>
      <w:r w:rsidRPr="000262D3">
        <w:rPr>
          <w:bCs/>
          <w:iCs/>
          <w:sz w:val="24"/>
          <w:szCs w:val="24"/>
        </w:rPr>
        <w:t>-tabletter én gang dagligt. Ca.</w:t>
      </w:r>
      <w:r w:rsidRPr="000262D3">
        <w:rPr>
          <w:sz w:val="24"/>
          <w:szCs w:val="24"/>
        </w:rPr>
        <w:t xml:space="preserve"> 90</w:t>
      </w:r>
      <w:r w:rsidRPr="000262D3">
        <w:rPr>
          <w:bCs/>
          <w:iCs/>
          <w:sz w:val="24"/>
          <w:szCs w:val="24"/>
        </w:rPr>
        <w:noBreakHyphen/>
      </w:r>
      <w:r w:rsidRPr="000262D3">
        <w:rPr>
          <w:sz w:val="24"/>
          <w:szCs w:val="24"/>
        </w:rPr>
        <w:t>95</w:t>
      </w:r>
      <w:r w:rsidRPr="000262D3">
        <w:rPr>
          <w:bCs/>
          <w:iCs/>
          <w:sz w:val="24"/>
          <w:szCs w:val="24"/>
        </w:rPr>
        <w:t xml:space="preserve"> % af anastrozol </w:t>
      </w:r>
      <w:r w:rsidRPr="000262D3">
        <w:rPr>
          <w:sz w:val="24"/>
          <w:szCs w:val="24"/>
        </w:rPr>
        <w:t>steady-state</w:t>
      </w:r>
      <w:r w:rsidRPr="000262D3">
        <w:rPr>
          <w:bCs/>
          <w:iCs/>
          <w:sz w:val="24"/>
          <w:szCs w:val="24"/>
        </w:rPr>
        <w:t>-</w:t>
      </w:r>
      <w:r w:rsidRPr="000262D3">
        <w:rPr>
          <w:sz w:val="24"/>
          <w:szCs w:val="24"/>
        </w:rPr>
        <w:t xml:space="preserve">koncentrationen i </w:t>
      </w:r>
      <w:r w:rsidRPr="000262D3">
        <w:rPr>
          <w:bCs/>
          <w:iCs/>
          <w:sz w:val="24"/>
          <w:szCs w:val="24"/>
        </w:rPr>
        <w:t>plasma nås efter 7 døgndoser,</w:t>
      </w:r>
      <w:r w:rsidRPr="000262D3">
        <w:rPr>
          <w:sz w:val="24"/>
          <w:szCs w:val="24"/>
        </w:rPr>
        <w:t xml:space="preserve"> og </w:t>
      </w:r>
      <w:r w:rsidRPr="000262D3">
        <w:rPr>
          <w:bCs/>
          <w:iCs/>
          <w:sz w:val="24"/>
          <w:szCs w:val="24"/>
        </w:rPr>
        <w:t>akkumulationener 3</w:t>
      </w:r>
      <w:r w:rsidRPr="000262D3">
        <w:rPr>
          <w:bCs/>
          <w:iCs/>
          <w:sz w:val="24"/>
          <w:szCs w:val="24"/>
        </w:rPr>
        <w:noBreakHyphen/>
        <w:t>4 gange. Der er ikke tegn på, at de</w:t>
      </w:r>
      <w:r w:rsidRPr="000262D3">
        <w:rPr>
          <w:sz w:val="24"/>
          <w:szCs w:val="24"/>
        </w:rPr>
        <w:t xml:space="preserve"> farmakokinetiske parametre </w:t>
      </w:r>
      <w:r w:rsidRPr="000262D3">
        <w:rPr>
          <w:bCs/>
          <w:iCs/>
          <w:sz w:val="24"/>
          <w:szCs w:val="24"/>
        </w:rPr>
        <w:t>for anastrozol er tids- eller dosisafhængige.</w:t>
      </w:r>
    </w:p>
    <w:p w14:paraId="74CF174E" w14:textId="77777777" w:rsidR="00977942" w:rsidRPr="000262D3" w:rsidRDefault="00977942" w:rsidP="000262D3">
      <w:pPr>
        <w:ind w:left="851"/>
        <w:rPr>
          <w:sz w:val="24"/>
          <w:szCs w:val="24"/>
        </w:rPr>
      </w:pPr>
    </w:p>
    <w:p w14:paraId="47BDFD74" w14:textId="77777777" w:rsidR="00977942" w:rsidRPr="000262D3" w:rsidRDefault="00977942" w:rsidP="000262D3">
      <w:pPr>
        <w:ind w:left="851"/>
        <w:rPr>
          <w:bCs/>
          <w:iCs/>
          <w:sz w:val="24"/>
          <w:szCs w:val="24"/>
        </w:rPr>
      </w:pPr>
      <w:r w:rsidRPr="000262D3">
        <w:rPr>
          <w:bCs/>
          <w:iCs/>
          <w:sz w:val="24"/>
          <w:szCs w:val="24"/>
        </w:rPr>
        <w:t>Anastrozol farmakokinetik er uafhængig</w:t>
      </w:r>
      <w:r w:rsidRPr="000262D3">
        <w:rPr>
          <w:sz w:val="24"/>
          <w:szCs w:val="24"/>
        </w:rPr>
        <w:t xml:space="preserve"> af </w:t>
      </w:r>
      <w:r w:rsidRPr="000262D3">
        <w:rPr>
          <w:bCs/>
          <w:iCs/>
          <w:sz w:val="24"/>
          <w:szCs w:val="24"/>
        </w:rPr>
        <w:t>alder hos postmenopausale kvinder.</w:t>
      </w:r>
    </w:p>
    <w:p w14:paraId="5EB11731" w14:textId="77777777" w:rsidR="00977942" w:rsidRPr="000262D3" w:rsidRDefault="00977942" w:rsidP="000262D3">
      <w:pPr>
        <w:ind w:left="851"/>
        <w:rPr>
          <w:bCs/>
          <w:iCs/>
          <w:sz w:val="24"/>
          <w:szCs w:val="24"/>
        </w:rPr>
      </w:pPr>
    </w:p>
    <w:p w14:paraId="4AD39AA7" w14:textId="77777777" w:rsidR="00977942" w:rsidRPr="000262D3" w:rsidRDefault="00977942" w:rsidP="000262D3">
      <w:pPr>
        <w:ind w:left="851"/>
        <w:rPr>
          <w:bCs/>
          <w:iCs/>
          <w:sz w:val="24"/>
          <w:szCs w:val="24"/>
          <w:u w:val="single"/>
        </w:rPr>
      </w:pPr>
      <w:r w:rsidRPr="000262D3">
        <w:rPr>
          <w:bCs/>
          <w:iCs/>
          <w:sz w:val="24"/>
          <w:szCs w:val="24"/>
          <w:u w:val="single"/>
        </w:rPr>
        <w:t>Fordeling</w:t>
      </w:r>
    </w:p>
    <w:p w14:paraId="32E0C911" w14:textId="77777777" w:rsidR="00977942" w:rsidRPr="000262D3" w:rsidRDefault="00977942" w:rsidP="000262D3">
      <w:pPr>
        <w:ind w:left="851"/>
        <w:rPr>
          <w:sz w:val="24"/>
          <w:szCs w:val="24"/>
        </w:rPr>
      </w:pPr>
      <w:r w:rsidRPr="000262D3">
        <w:rPr>
          <w:bCs/>
          <w:iCs/>
          <w:sz w:val="24"/>
          <w:szCs w:val="24"/>
        </w:rPr>
        <w:t>Anastrozol</w:t>
      </w:r>
      <w:r w:rsidRPr="000262D3">
        <w:rPr>
          <w:sz w:val="24"/>
          <w:szCs w:val="24"/>
        </w:rPr>
        <w:t xml:space="preserve"> er </w:t>
      </w:r>
      <w:r w:rsidRPr="000262D3">
        <w:rPr>
          <w:bCs/>
          <w:iCs/>
          <w:sz w:val="24"/>
          <w:szCs w:val="24"/>
        </w:rPr>
        <w:t xml:space="preserve">kun 40 % </w:t>
      </w:r>
      <w:r w:rsidRPr="000262D3">
        <w:rPr>
          <w:sz w:val="24"/>
          <w:szCs w:val="24"/>
        </w:rPr>
        <w:t xml:space="preserve">bundet til </w:t>
      </w:r>
      <w:r w:rsidRPr="000262D3">
        <w:rPr>
          <w:bCs/>
          <w:iCs/>
          <w:sz w:val="24"/>
          <w:szCs w:val="24"/>
        </w:rPr>
        <w:t>plasmaproteiner</w:t>
      </w:r>
      <w:r w:rsidRPr="000262D3">
        <w:rPr>
          <w:sz w:val="24"/>
          <w:szCs w:val="24"/>
        </w:rPr>
        <w:t>.</w:t>
      </w:r>
    </w:p>
    <w:p w14:paraId="748E6731" w14:textId="77777777" w:rsidR="00977942" w:rsidRPr="000262D3" w:rsidRDefault="00977942" w:rsidP="000262D3">
      <w:pPr>
        <w:ind w:left="851"/>
        <w:rPr>
          <w:sz w:val="24"/>
          <w:szCs w:val="24"/>
        </w:rPr>
      </w:pPr>
    </w:p>
    <w:p w14:paraId="1619B0B9" w14:textId="77777777" w:rsidR="00977942" w:rsidRPr="000262D3" w:rsidRDefault="00977942" w:rsidP="000262D3">
      <w:pPr>
        <w:ind w:left="851"/>
        <w:rPr>
          <w:sz w:val="24"/>
          <w:szCs w:val="24"/>
          <w:u w:val="single"/>
        </w:rPr>
      </w:pPr>
      <w:r w:rsidRPr="000262D3">
        <w:rPr>
          <w:sz w:val="24"/>
          <w:szCs w:val="24"/>
          <w:u w:val="single"/>
        </w:rPr>
        <w:t>Elimination</w:t>
      </w:r>
    </w:p>
    <w:p w14:paraId="729D6EAA" w14:textId="77777777" w:rsidR="00977942" w:rsidRPr="000262D3" w:rsidRDefault="00977942" w:rsidP="000262D3">
      <w:pPr>
        <w:ind w:left="851"/>
        <w:rPr>
          <w:sz w:val="24"/>
          <w:szCs w:val="24"/>
        </w:rPr>
      </w:pPr>
      <w:r w:rsidRPr="000262D3">
        <w:rPr>
          <w:bCs/>
          <w:iCs/>
          <w:sz w:val="24"/>
          <w:szCs w:val="24"/>
        </w:rPr>
        <w:t>Anastrozol elimineres langsomt med en plasmahalveringstid på 40</w:t>
      </w:r>
      <w:r w:rsidRPr="000262D3">
        <w:rPr>
          <w:bCs/>
          <w:iCs/>
          <w:sz w:val="24"/>
          <w:szCs w:val="24"/>
        </w:rPr>
        <w:noBreakHyphen/>
        <w:t>50 timer. Postmenopausale kvinder metaboliserer anastrozol i udpræget</w:t>
      </w:r>
      <w:r w:rsidRPr="000262D3">
        <w:rPr>
          <w:sz w:val="24"/>
          <w:szCs w:val="24"/>
        </w:rPr>
        <w:t xml:space="preserve"> grad</w:t>
      </w:r>
      <w:r w:rsidRPr="000262D3">
        <w:rPr>
          <w:bCs/>
          <w:iCs/>
          <w:sz w:val="24"/>
          <w:szCs w:val="24"/>
        </w:rPr>
        <w:t xml:space="preserve">, idet </w:t>
      </w:r>
      <w:r w:rsidRPr="000262D3">
        <w:rPr>
          <w:sz w:val="24"/>
          <w:szCs w:val="24"/>
        </w:rPr>
        <w:t>mindre end 10</w:t>
      </w:r>
      <w:r w:rsidRPr="000262D3">
        <w:rPr>
          <w:bCs/>
          <w:iCs/>
          <w:sz w:val="24"/>
          <w:szCs w:val="24"/>
        </w:rPr>
        <w:t> %</w:t>
      </w:r>
      <w:r w:rsidRPr="000262D3">
        <w:rPr>
          <w:sz w:val="24"/>
          <w:szCs w:val="24"/>
        </w:rPr>
        <w:t xml:space="preserve"> udskilles </w:t>
      </w:r>
      <w:r w:rsidRPr="000262D3">
        <w:rPr>
          <w:bCs/>
          <w:iCs/>
          <w:sz w:val="24"/>
          <w:szCs w:val="24"/>
        </w:rPr>
        <w:t>uomdannet</w:t>
      </w:r>
      <w:r w:rsidRPr="000262D3">
        <w:rPr>
          <w:sz w:val="24"/>
          <w:szCs w:val="24"/>
        </w:rPr>
        <w:t xml:space="preserve"> i urinen </w:t>
      </w:r>
      <w:r w:rsidRPr="000262D3">
        <w:rPr>
          <w:bCs/>
          <w:iCs/>
          <w:sz w:val="24"/>
          <w:szCs w:val="24"/>
        </w:rPr>
        <w:t>inden for</w:t>
      </w:r>
      <w:r w:rsidRPr="000262D3">
        <w:rPr>
          <w:sz w:val="24"/>
          <w:szCs w:val="24"/>
        </w:rPr>
        <w:t xml:space="preserve"> 72</w:t>
      </w:r>
      <w:r w:rsidRPr="000262D3">
        <w:rPr>
          <w:bCs/>
          <w:iCs/>
          <w:sz w:val="24"/>
          <w:szCs w:val="24"/>
        </w:rPr>
        <w:t> </w:t>
      </w:r>
      <w:r w:rsidRPr="000262D3">
        <w:rPr>
          <w:sz w:val="24"/>
          <w:szCs w:val="24"/>
        </w:rPr>
        <w:t xml:space="preserve">timer efter </w:t>
      </w:r>
      <w:r w:rsidRPr="000262D3">
        <w:rPr>
          <w:bCs/>
          <w:iCs/>
          <w:sz w:val="24"/>
          <w:szCs w:val="24"/>
        </w:rPr>
        <w:t xml:space="preserve">doseringen. Anastrozol metaboliseres </w:t>
      </w:r>
      <w:r w:rsidRPr="000262D3">
        <w:rPr>
          <w:sz w:val="24"/>
          <w:szCs w:val="24"/>
        </w:rPr>
        <w:t xml:space="preserve">ved N-dealkylering, hydroxylering og </w:t>
      </w:r>
      <w:r w:rsidRPr="000262D3">
        <w:rPr>
          <w:bCs/>
          <w:iCs/>
          <w:sz w:val="24"/>
          <w:szCs w:val="24"/>
        </w:rPr>
        <w:t>glukuronidering.</w:t>
      </w:r>
      <w:r w:rsidRPr="000262D3">
        <w:rPr>
          <w:sz w:val="24"/>
          <w:szCs w:val="24"/>
        </w:rPr>
        <w:t xml:space="preserve"> Metabolitterne udskilles primært </w:t>
      </w:r>
      <w:r w:rsidRPr="000262D3">
        <w:rPr>
          <w:bCs/>
          <w:iCs/>
          <w:sz w:val="24"/>
          <w:szCs w:val="24"/>
        </w:rPr>
        <w:t>gennem</w:t>
      </w:r>
      <w:r w:rsidRPr="000262D3">
        <w:rPr>
          <w:sz w:val="24"/>
          <w:szCs w:val="24"/>
        </w:rPr>
        <w:t xml:space="preserve"> urinen. </w:t>
      </w:r>
      <w:r w:rsidRPr="000262D3">
        <w:rPr>
          <w:bCs/>
          <w:iCs/>
          <w:sz w:val="24"/>
          <w:szCs w:val="24"/>
        </w:rPr>
        <w:t>Triazol, hovedmetabolitten</w:t>
      </w:r>
      <w:r w:rsidRPr="000262D3">
        <w:rPr>
          <w:sz w:val="24"/>
          <w:szCs w:val="24"/>
        </w:rPr>
        <w:t xml:space="preserve"> i plasma</w:t>
      </w:r>
      <w:r w:rsidRPr="000262D3">
        <w:rPr>
          <w:bCs/>
          <w:iCs/>
          <w:sz w:val="24"/>
          <w:szCs w:val="24"/>
        </w:rPr>
        <w:t>, hæmmer</w:t>
      </w:r>
      <w:r w:rsidRPr="000262D3">
        <w:rPr>
          <w:sz w:val="24"/>
          <w:szCs w:val="24"/>
        </w:rPr>
        <w:t xml:space="preserve"> ikke aromatase.</w:t>
      </w:r>
    </w:p>
    <w:p w14:paraId="1CAB5836" w14:textId="77777777" w:rsidR="00977942" w:rsidRPr="000262D3" w:rsidRDefault="00977942" w:rsidP="000262D3">
      <w:pPr>
        <w:ind w:left="851"/>
        <w:rPr>
          <w:bCs/>
          <w:iCs/>
          <w:sz w:val="24"/>
          <w:szCs w:val="24"/>
        </w:rPr>
      </w:pPr>
    </w:p>
    <w:p w14:paraId="7463CB2F" w14:textId="77777777" w:rsidR="00977942" w:rsidRPr="000262D3" w:rsidRDefault="00977942" w:rsidP="000262D3">
      <w:pPr>
        <w:ind w:left="851"/>
        <w:rPr>
          <w:bCs/>
          <w:i/>
          <w:iCs/>
          <w:sz w:val="24"/>
          <w:szCs w:val="24"/>
          <w:u w:val="single"/>
        </w:rPr>
      </w:pPr>
      <w:r w:rsidRPr="000262D3">
        <w:rPr>
          <w:bCs/>
          <w:i/>
          <w:iCs/>
          <w:sz w:val="24"/>
          <w:szCs w:val="24"/>
          <w:u w:val="single"/>
        </w:rPr>
        <w:t xml:space="preserve">Nedsat nyre- eller leverfunktion </w:t>
      </w:r>
    </w:p>
    <w:p w14:paraId="3376B36D" w14:textId="77777777" w:rsidR="00977942" w:rsidRPr="000262D3" w:rsidRDefault="00977942" w:rsidP="000262D3">
      <w:pPr>
        <w:ind w:left="851"/>
        <w:rPr>
          <w:bCs/>
          <w:iCs/>
          <w:sz w:val="24"/>
          <w:szCs w:val="24"/>
        </w:rPr>
      </w:pPr>
      <w:r w:rsidRPr="000262D3">
        <w:rPr>
          <w:bCs/>
          <w:iCs/>
          <w:sz w:val="24"/>
          <w:szCs w:val="24"/>
        </w:rPr>
        <w:t>Den tilsyneladende clearance (CL/F) af anastrozol efter oral indgift var ca. 30 % lavere hos frivillige med stabil levercirrose end hos tilsvarende kontrolpersoner (forsøg 1033IL/0014). Plasmakoncentrationerne af anastrozol hos frivillige med levercirrose lå inden for det koncentrationsområde, som sås hos normale forsøgspersoner i andre forsøg. Plasmakoncentrationerne af anastrozol, observeret under langvarige behandlingsforsøg hos patienter med nedsat leverfunktion, lå inden for det plasmakoncentrationsområde, der blev set hos patienter uden nedsat leverfunktion.</w:t>
      </w:r>
    </w:p>
    <w:p w14:paraId="6BCE1F0F" w14:textId="77777777" w:rsidR="00977942" w:rsidRPr="000262D3" w:rsidRDefault="00977942" w:rsidP="000262D3">
      <w:pPr>
        <w:ind w:left="851"/>
        <w:rPr>
          <w:bCs/>
          <w:iCs/>
          <w:sz w:val="24"/>
          <w:szCs w:val="24"/>
        </w:rPr>
      </w:pPr>
    </w:p>
    <w:p w14:paraId="5D8A60B5" w14:textId="77777777" w:rsidR="00977942" w:rsidRPr="000262D3" w:rsidRDefault="00977942" w:rsidP="000262D3">
      <w:pPr>
        <w:ind w:left="851"/>
        <w:rPr>
          <w:bCs/>
          <w:iCs/>
          <w:sz w:val="24"/>
          <w:szCs w:val="24"/>
        </w:rPr>
      </w:pPr>
      <w:r w:rsidRPr="000262D3">
        <w:rPr>
          <w:bCs/>
          <w:iCs/>
          <w:sz w:val="24"/>
          <w:szCs w:val="24"/>
        </w:rPr>
        <w:t xml:space="preserve">Den tilsyneladende clearance (CL/F) af anastrozol efter oral indgift blev ikke ændret hos frivillige med svært nedsat nyrefunktion (GFR &lt;30 ml/min) i forsøg 1033IL/0018, hvilket stemmer overens med, at anastrozol primært elimineres via metabolisering. Plasmakoncentrationerne af anastrozol, observeret under langvarige behandlingsforsøg hos patienter med nedsat nyrefunktion, lå inden for det plasmakoncentrationsområde, der blev set hos patienter uden nedsat nyrefunktion. Hos patienter med svært nedsat nyrefunktion skal </w:t>
      </w:r>
      <w:r w:rsidRPr="000262D3">
        <w:rPr>
          <w:sz w:val="24"/>
          <w:szCs w:val="24"/>
        </w:rPr>
        <w:t>anastrozol</w:t>
      </w:r>
      <w:r w:rsidRPr="000262D3">
        <w:rPr>
          <w:bCs/>
          <w:iCs/>
          <w:sz w:val="24"/>
          <w:szCs w:val="24"/>
        </w:rPr>
        <w:t xml:space="preserve"> administreres med forsigtighed (se pkt. 4.2 og 4.4).</w:t>
      </w:r>
    </w:p>
    <w:p w14:paraId="20ACED14" w14:textId="77777777" w:rsidR="00977942" w:rsidRPr="000262D3" w:rsidRDefault="00977942" w:rsidP="000262D3">
      <w:pPr>
        <w:ind w:left="851"/>
        <w:rPr>
          <w:bCs/>
          <w:i/>
          <w:iCs/>
          <w:sz w:val="24"/>
          <w:szCs w:val="24"/>
        </w:rPr>
      </w:pPr>
    </w:p>
    <w:p w14:paraId="250FCC45" w14:textId="77777777" w:rsidR="00977942" w:rsidRPr="000262D3" w:rsidRDefault="00977942" w:rsidP="000262D3">
      <w:pPr>
        <w:ind w:left="851"/>
        <w:rPr>
          <w:bCs/>
          <w:i/>
          <w:iCs/>
          <w:sz w:val="24"/>
          <w:szCs w:val="24"/>
          <w:u w:val="single"/>
        </w:rPr>
      </w:pPr>
      <w:r w:rsidRPr="000262D3">
        <w:rPr>
          <w:bCs/>
          <w:i/>
          <w:iCs/>
          <w:sz w:val="24"/>
          <w:szCs w:val="24"/>
          <w:u w:val="single"/>
        </w:rPr>
        <w:t>Pædiatrisk population</w:t>
      </w:r>
    </w:p>
    <w:p w14:paraId="6A1C28CA" w14:textId="77777777" w:rsidR="00977942" w:rsidRPr="000262D3" w:rsidRDefault="00977942" w:rsidP="000262D3">
      <w:pPr>
        <w:ind w:left="851"/>
        <w:rPr>
          <w:bCs/>
          <w:iCs/>
          <w:sz w:val="24"/>
          <w:szCs w:val="24"/>
        </w:rPr>
      </w:pPr>
      <w:r w:rsidRPr="000262D3">
        <w:rPr>
          <w:bCs/>
          <w:iCs/>
          <w:sz w:val="24"/>
          <w:szCs w:val="24"/>
        </w:rPr>
        <w:t>Hos drenge (10</w:t>
      </w:r>
      <w:r w:rsidRPr="000262D3">
        <w:rPr>
          <w:bCs/>
          <w:iCs/>
          <w:sz w:val="24"/>
          <w:szCs w:val="24"/>
        </w:rPr>
        <w:noBreakHyphen/>
        <w:t>17 år) med pubertal gynækomasti blev anastrozol absorberet hurtigt, fordelt i vid udstrækning og elimineret langsomt med en halveringstid på ca. 2 dage. Anastrozolclearance var lavere hos piger (3</w:t>
      </w:r>
      <w:r w:rsidRPr="000262D3">
        <w:rPr>
          <w:bCs/>
          <w:iCs/>
          <w:sz w:val="24"/>
          <w:szCs w:val="24"/>
        </w:rPr>
        <w:noBreakHyphen/>
        <w:t>10 år) end hos de ældre drenge og eksponeringen højere. Anastrozol blev hos piger fordelt i vid udstrækning og elimineret langsomt.</w:t>
      </w:r>
    </w:p>
    <w:p w14:paraId="5AA51CD2" w14:textId="77777777" w:rsidR="009260DE" w:rsidRPr="000262D3" w:rsidRDefault="009260DE" w:rsidP="009260DE">
      <w:pPr>
        <w:tabs>
          <w:tab w:val="left" w:pos="851"/>
        </w:tabs>
        <w:ind w:left="851"/>
        <w:rPr>
          <w:sz w:val="24"/>
          <w:szCs w:val="24"/>
        </w:rPr>
      </w:pPr>
    </w:p>
    <w:p w14:paraId="0B4F9489" w14:textId="77777777" w:rsidR="009260DE" w:rsidRPr="000262D3" w:rsidRDefault="009260DE" w:rsidP="009260DE">
      <w:pPr>
        <w:tabs>
          <w:tab w:val="left" w:pos="851"/>
        </w:tabs>
        <w:ind w:left="851" w:hanging="851"/>
        <w:rPr>
          <w:b/>
          <w:sz w:val="24"/>
          <w:szCs w:val="24"/>
        </w:rPr>
      </w:pPr>
      <w:r w:rsidRPr="000262D3">
        <w:rPr>
          <w:b/>
          <w:sz w:val="24"/>
          <w:szCs w:val="24"/>
        </w:rPr>
        <w:t>5.3</w:t>
      </w:r>
      <w:r w:rsidRPr="000262D3">
        <w:rPr>
          <w:b/>
          <w:sz w:val="24"/>
          <w:szCs w:val="24"/>
        </w:rPr>
        <w:tab/>
      </w:r>
      <w:r w:rsidR="00BD7931" w:rsidRPr="000262D3">
        <w:rPr>
          <w:b/>
          <w:sz w:val="24"/>
          <w:szCs w:val="24"/>
        </w:rPr>
        <w:t>Non-</w:t>
      </w:r>
      <w:r w:rsidRPr="000262D3">
        <w:rPr>
          <w:b/>
          <w:sz w:val="24"/>
          <w:szCs w:val="24"/>
        </w:rPr>
        <w:t>kliniske sikkerhedsdata</w:t>
      </w:r>
    </w:p>
    <w:p w14:paraId="34D6A400" w14:textId="77777777" w:rsidR="00574F8C" w:rsidRPr="000262D3" w:rsidRDefault="00574F8C" w:rsidP="000262D3">
      <w:pPr>
        <w:ind w:left="851"/>
        <w:rPr>
          <w:sz w:val="24"/>
          <w:szCs w:val="24"/>
        </w:rPr>
      </w:pPr>
      <w:r w:rsidRPr="000262D3">
        <w:rPr>
          <w:sz w:val="24"/>
          <w:szCs w:val="24"/>
        </w:rPr>
        <w:t>Prækliniske data viser ingen speciel risiko for mennesker vurderet ud fra konventionelle studier af sikkerhedsfarmakologi, toksicitet efter gentagne doser, genotoksicitet, karcinogenicitet samt reproduktionstoksicitet.</w:t>
      </w:r>
    </w:p>
    <w:p w14:paraId="295E6BE5" w14:textId="77777777" w:rsidR="00574F8C" w:rsidRPr="000262D3" w:rsidRDefault="00574F8C" w:rsidP="000262D3">
      <w:pPr>
        <w:ind w:left="851"/>
        <w:rPr>
          <w:sz w:val="24"/>
          <w:szCs w:val="24"/>
        </w:rPr>
      </w:pPr>
    </w:p>
    <w:p w14:paraId="265DE624" w14:textId="77777777" w:rsidR="00574F8C" w:rsidRPr="000262D3" w:rsidRDefault="00574F8C" w:rsidP="000262D3">
      <w:pPr>
        <w:ind w:left="851"/>
        <w:rPr>
          <w:sz w:val="24"/>
          <w:szCs w:val="24"/>
          <w:u w:val="single"/>
        </w:rPr>
      </w:pPr>
      <w:r w:rsidRPr="000262D3">
        <w:rPr>
          <w:sz w:val="24"/>
          <w:szCs w:val="24"/>
          <w:u w:val="single"/>
        </w:rPr>
        <w:t>Akut toksicitet</w:t>
      </w:r>
    </w:p>
    <w:p w14:paraId="7B52C486" w14:textId="77777777" w:rsidR="00574F8C" w:rsidRPr="000262D3" w:rsidRDefault="00574F8C" w:rsidP="000262D3">
      <w:pPr>
        <w:ind w:left="851"/>
        <w:rPr>
          <w:sz w:val="24"/>
          <w:szCs w:val="24"/>
        </w:rPr>
      </w:pPr>
      <w:r w:rsidRPr="000262D3">
        <w:rPr>
          <w:sz w:val="24"/>
          <w:szCs w:val="24"/>
        </w:rPr>
        <w:t xml:space="preserve">I dyreforsøg blev der kun set toksicitet ved høje doser. I akutte toksicitetsforsøg med gnavere var den gennemsnitlige letale dosis af anastrozol større end 100 mg/kg/dag oralt og større end 50 mg/kg/dag intraperitonealt. I et oralt akut toksicitetsforsøg hos hunde var den gennemsnitlige letale dosis større end 45 mg/kg/dag. </w:t>
      </w:r>
    </w:p>
    <w:p w14:paraId="314A3387" w14:textId="77777777" w:rsidR="00574F8C" w:rsidRPr="000262D3" w:rsidRDefault="00574F8C" w:rsidP="000262D3">
      <w:pPr>
        <w:ind w:left="851"/>
        <w:rPr>
          <w:sz w:val="24"/>
          <w:szCs w:val="24"/>
        </w:rPr>
      </w:pPr>
    </w:p>
    <w:p w14:paraId="06A79CC9" w14:textId="77777777" w:rsidR="00574F8C" w:rsidRPr="000262D3" w:rsidRDefault="00574F8C" w:rsidP="000262D3">
      <w:pPr>
        <w:ind w:left="851"/>
        <w:rPr>
          <w:sz w:val="24"/>
          <w:szCs w:val="24"/>
          <w:u w:val="single"/>
        </w:rPr>
      </w:pPr>
      <w:r w:rsidRPr="000262D3">
        <w:rPr>
          <w:sz w:val="24"/>
          <w:szCs w:val="24"/>
          <w:u w:val="single"/>
        </w:rPr>
        <w:t>Kronisk toksicitet</w:t>
      </w:r>
    </w:p>
    <w:p w14:paraId="67367D38" w14:textId="77777777" w:rsidR="00574F8C" w:rsidRPr="000262D3" w:rsidRDefault="00574F8C" w:rsidP="000262D3">
      <w:pPr>
        <w:ind w:left="851"/>
        <w:rPr>
          <w:sz w:val="24"/>
          <w:szCs w:val="24"/>
        </w:rPr>
      </w:pPr>
      <w:r w:rsidRPr="000262D3">
        <w:rPr>
          <w:sz w:val="24"/>
          <w:szCs w:val="24"/>
        </w:rPr>
        <w:t xml:space="preserve">I dyreforsøg forekom der kun bivirkninger ved høje doser. Der blev udført toksicitetsforsøg med multiple doser hos rotter og hunde. Der blev ikke fastlagt et ingen-virkningsniveau for anastrozol i toksicitetsforsøgene, men de virkninger, der blev observeret ved lave doser (1 mg/kg/dag) og middeldoser (hund 3 mg/kg/dag; rotte 5 mg/kg/dag), var enten relateret til anastrozols farmakologiske eller enzym-inducerende egenskaber og var ikke ledsaget af signifikante toksiske eller degenerative ændringer. </w:t>
      </w:r>
    </w:p>
    <w:p w14:paraId="306EC202" w14:textId="77777777" w:rsidR="00574F8C" w:rsidRPr="000262D3" w:rsidRDefault="00574F8C" w:rsidP="000262D3">
      <w:pPr>
        <w:ind w:left="851"/>
        <w:rPr>
          <w:sz w:val="24"/>
          <w:szCs w:val="24"/>
        </w:rPr>
      </w:pPr>
    </w:p>
    <w:p w14:paraId="24159973" w14:textId="77777777" w:rsidR="00574F8C" w:rsidRPr="000262D3" w:rsidRDefault="00574F8C" w:rsidP="000262D3">
      <w:pPr>
        <w:ind w:left="851"/>
        <w:rPr>
          <w:sz w:val="24"/>
          <w:szCs w:val="24"/>
          <w:u w:val="single"/>
        </w:rPr>
      </w:pPr>
      <w:r w:rsidRPr="000262D3">
        <w:rPr>
          <w:sz w:val="24"/>
          <w:szCs w:val="24"/>
          <w:u w:val="single"/>
        </w:rPr>
        <w:t xml:space="preserve">Mutagenicitet </w:t>
      </w:r>
    </w:p>
    <w:p w14:paraId="6BAC98A2" w14:textId="77777777" w:rsidR="00574F8C" w:rsidRPr="000262D3" w:rsidRDefault="00574F8C" w:rsidP="000262D3">
      <w:pPr>
        <w:ind w:left="851"/>
        <w:rPr>
          <w:sz w:val="24"/>
          <w:szCs w:val="24"/>
        </w:rPr>
      </w:pPr>
      <w:r w:rsidRPr="000262D3">
        <w:rPr>
          <w:sz w:val="24"/>
          <w:szCs w:val="24"/>
        </w:rPr>
        <w:t>Genotoksicitetsstudier med anastrozol har vist, at det ikke har nogen mutagen eller klastogen aktivitet.</w:t>
      </w:r>
    </w:p>
    <w:p w14:paraId="5768601B" w14:textId="77777777" w:rsidR="00574F8C" w:rsidRPr="000262D3" w:rsidRDefault="00574F8C" w:rsidP="000262D3">
      <w:pPr>
        <w:ind w:left="851"/>
        <w:rPr>
          <w:sz w:val="24"/>
          <w:szCs w:val="24"/>
        </w:rPr>
      </w:pPr>
    </w:p>
    <w:p w14:paraId="5A3BE351" w14:textId="77777777" w:rsidR="00574F8C" w:rsidRPr="000262D3" w:rsidRDefault="00574F8C" w:rsidP="000262D3">
      <w:pPr>
        <w:ind w:left="851"/>
        <w:rPr>
          <w:sz w:val="24"/>
          <w:szCs w:val="24"/>
          <w:u w:val="single"/>
        </w:rPr>
      </w:pPr>
      <w:r w:rsidRPr="000262D3">
        <w:rPr>
          <w:sz w:val="24"/>
          <w:szCs w:val="24"/>
          <w:u w:val="single"/>
        </w:rPr>
        <w:t>Reproduktionstoksicitet</w:t>
      </w:r>
    </w:p>
    <w:p w14:paraId="468C8FC3" w14:textId="77777777" w:rsidR="00574F8C" w:rsidRPr="000262D3" w:rsidRDefault="00574F8C" w:rsidP="000262D3">
      <w:pPr>
        <w:ind w:left="851"/>
        <w:rPr>
          <w:sz w:val="24"/>
          <w:szCs w:val="24"/>
        </w:rPr>
      </w:pPr>
      <w:r w:rsidRPr="000262D3">
        <w:rPr>
          <w:sz w:val="24"/>
          <w:szCs w:val="24"/>
        </w:rPr>
        <w:t>I et fertilitetsforsøg blev afvænnede hanrotter doseret i 10 uger med 50 eller 400 mg anastrozol per liter gennem drikkevandet. De målte middelplasmakoncentrationer var henholdsvis 44,4 (±14,7) ng/ml og 165 (±90) ng/ml. Parringsindekset blev påvirket negativt i begge dosisgrupper, men en reduktion i fertilitet var kun tydelig ved dosisniveauet på 400 mg/l. Reduktionen var forbigående, da alle parrings- og fertilitetsparametre svarede til kontrolgruppeværdierne efter en 9-ugers behandlingsfri periode.</w:t>
      </w:r>
    </w:p>
    <w:p w14:paraId="197416EA" w14:textId="77777777" w:rsidR="00574F8C" w:rsidRPr="000262D3" w:rsidRDefault="00574F8C" w:rsidP="000262D3">
      <w:pPr>
        <w:ind w:left="851"/>
        <w:rPr>
          <w:sz w:val="24"/>
          <w:szCs w:val="24"/>
        </w:rPr>
      </w:pPr>
    </w:p>
    <w:p w14:paraId="159FD824" w14:textId="77777777" w:rsidR="00574F8C" w:rsidRPr="000262D3" w:rsidRDefault="00574F8C" w:rsidP="000262D3">
      <w:pPr>
        <w:ind w:left="851"/>
        <w:rPr>
          <w:sz w:val="24"/>
          <w:szCs w:val="24"/>
        </w:rPr>
      </w:pPr>
      <w:r w:rsidRPr="000262D3">
        <w:rPr>
          <w:sz w:val="24"/>
          <w:szCs w:val="24"/>
        </w:rPr>
        <w:t>Oral indgift af anastrozol til hunrotter gav en høj forekomst af infertilitet ved 1 mg/kg/dag og øgede præimplantationstabet ved 0,02 mg/kg/dag. Disse virkninger optrådte ved klinisk relevante doser. En virkning hos mennesker kan ikke udelukkes. Disse virkninger var relateret til stoffets farmakologi og var helt ophævet efter en 5</w:t>
      </w:r>
      <w:r w:rsidRPr="000262D3">
        <w:rPr>
          <w:sz w:val="24"/>
          <w:szCs w:val="24"/>
        </w:rPr>
        <w:noBreakHyphen/>
        <w:t>ugers behandlingsfri periode.</w:t>
      </w:r>
    </w:p>
    <w:p w14:paraId="30339B58" w14:textId="77777777" w:rsidR="00574F8C" w:rsidRPr="000262D3" w:rsidRDefault="00574F8C" w:rsidP="000262D3">
      <w:pPr>
        <w:ind w:left="851"/>
        <w:rPr>
          <w:sz w:val="24"/>
          <w:szCs w:val="24"/>
        </w:rPr>
      </w:pPr>
    </w:p>
    <w:p w14:paraId="46DB56A2" w14:textId="77777777" w:rsidR="00574F8C" w:rsidRPr="000262D3" w:rsidRDefault="00574F8C" w:rsidP="000262D3">
      <w:pPr>
        <w:ind w:left="851"/>
        <w:rPr>
          <w:sz w:val="24"/>
          <w:szCs w:val="24"/>
        </w:rPr>
      </w:pPr>
      <w:r w:rsidRPr="000262D3">
        <w:rPr>
          <w:sz w:val="24"/>
          <w:szCs w:val="24"/>
        </w:rPr>
        <w:t>Oral indgift af anastrozol til gravide rotter og kaniner forårsagede ingen teratogene virkninger ved doser op til henholdsvis 1,0 og 0,2 mg/kg/dag. De virkninger, der sås (forstørret placenta hos rotter og spontane aborter hos kaniner), var relateret til stoffets farmakologi.</w:t>
      </w:r>
    </w:p>
    <w:p w14:paraId="6797729F" w14:textId="77777777" w:rsidR="00574F8C" w:rsidRPr="000262D3" w:rsidRDefault="00574F8C" w:rsidP="000262D3">
      <w:pPr>
        <w:ind w:left="851"/>
        <w:rPr>
          <w:sz w:val="24"/>
          <w:szCs w:val="24"/>
        </w:rPr>
      </w:pPr>
    </w:p>
    <w:p w14:paraId="38151B93" w14:textId="77777777" w:rsidR="00574F8C" w:rsidRPr="000262D3" w:rsidRDefault="00574F8C" w:rsidP="000262D3">
      <w:pPr>
        <w:ind w:left="851"/>
        <w:rPr>
          <w:sz w:val="24"/>
          <w:szCs w:val="24"/>
        </w:rPr>
      </w:pPr>
      <w:r w:rsidRPr="000262D3">
        <w:rPr>
          <w:sz w:val="24"/>
          <w:szCs w:val="24"/>
        </w:rPr>
        <w:t>Hos kuld født til rotter, som fik anastrozol 0,02 mg/kg/dag og derover (fra dag 17 i graviditeten til dag 22 postpartum), sås nedsat overlevelse. Disse virkninger var relateret til stoffets farmakologiske virkning på fødslen. Der sås ingen indvirkning på adfærd eller reproduktion, som kunne tilskrives behandling af moderen med anastrozol, hos den første generation.</w:t>
      </w:r>
    </w:p>
    <w:p w14:paraId="1CCF99C4" w14:textId="77777777" w:rsidR="00574F8C" w:rsidRPr="000262D3" w:rsidRDefault="00574F8C" w:rsidP="000262D3">
      <w:pPr>
        <w:ind w:left="851"/>
        <w:rPr>
          <w:sz w:val="24"/>
          <w:szCs w:val="24"/>
        </w:rPr>
      </w:pPr>
    </w:p>
    <w:p w14:paraId="634AB2FE" w14:textId="77777777" w:rsidR="00574F8C" w:rsidRPr="000262D3" w:rsidRDefault="00574F8C" w:rsidP="000262D3">
      <w:pPr>
        <w:ind w:left="851"/>
        <w:rPr>
          <w:sz w:val="24"/>
          <w:szCs w:val="24"/>
          <w:u w:val="single"/>
        </w:rPr>
      </w:pPr>
      <w:r w:rsidRPr="000262D3">
        <w:rPr>
          <w:sz w:val="24"/>
          <w:szCs w:val="24"/>
          <w:u w:val="single"/>
        </w:rPr>
        <w:t>Karcinogenicitet</w:t>
      </w:r>
    </w:p>
    <w:p w14:paraId="43C19C5B" w14:textId="77777777" w:rsidR="00574F8C" w:rsidRPr="000262D3" w:rsidRDefault="00574F8C" w:rsidP="000262D3">
      <w:pPr>
        <w:ind w:left="851"/>
        <w:rPr>
          <w:sz w:val="24"/>
          <w:szCs w:val="24"/>
        </w:rPr>
      </w:pPr>
      <w:r w:rsidRPr="000262D3">
        <w:rPr>
          <w:sz w:val="24"/>
          <w:szCs w:val="24"/>
        </w:rPr>
        <w:t>I et toårigt onkogenicitetsforsøg med rotter blev der kun set en stigning i forekomsten af hepatiske neoplasmer og uterine stromale polypper hos hundyr og tyroide adenomer hos handyr ved den høje dosis (25 mg/kg/dag). Disse ændringer skete ved en dosis, der repræsenterer en 100 gange større eksponering, end der forekommer ved terapeutiske doser hos mennesker, og anses ikke for at være klinisk relevante ved behandling af patienter med anastrozol.</w:t>
      </w:r>
    </w:p>
    <w:p w14:paraId="75981FFA" w14:textId="77777777" w:rsidR="00574F8C" w:rsidRPr="000262D3" w:rsidRDefault="00574F8C" w:rsidP="000262D3">
      <w:pPr>
        <w:ind w:left="851"/>
        <w:rPr>
          <w:sz w:val="24"/>
          <w:szCs w:val="24"/>
        </w:rPr>
      </w:pPr>
    </w:p>
    <w:p w14:paraId="680FC09D" w14:textId="77777777" w:rsidR="00574F8C" w:rsidRPr="000262D3" w:rsidRDefault="00574F8C" w:rsidP="000262D3">
      <w:pPr>
        <w:ind w:left="851"/>
        <w:rPr>
          <w:sz w:val="24"/>
          <w:szCs w:val="24"/>
        </w:rPr>
      </w:pPr>
      <w:r w:rsidRPr="000262D3">
        <w:rPr>
          <w:sz w:val="24"/>
          <w:szCs w:val="24"/>
        </w:rPr>
        <w:t>Et toårigt onkogenicitetsforsøg med mus resulterede i induktion af benigne ovarietumorer og en ændring i forekomsten af lymforetikulære neoplasmer (færre histiocytiske sarkomer hos hundyr og flere dødsfald som følge af lymfomer). Disse ændringer anses for at være musespecifikke virkninger på grund af aromatasehæmning og ikke klinisk relevante ved behandling af patienter med anastrozol.</w:t>
      </w:r>
    </w:p>
    <w:p w14:paraId="73399F17" w14:textId="0B070245" w:rsidR="000262D3" w:rsidRDefault="000262D3">
      <w:pPr>
        <w:rPr>
          <w:sz w:val="24"/>
          <w:szCs w:val="24"/>
        </w:rPr>
      </w:pPr>
      <w:r>
        <w:rPr>
          <w:sz w:val="24"/>
          <w:szCs w:val="24"/>
        </w:rPr>
        <w:br w:type="page"/>
      </w:r>
    </w:p>
    <w:p w14:paraId="26EEC1C6" w14:textId="77777777" w:rsidR="009260DE" w:rsidRPr="000262D3" w:rsidRDefault="009260DE" w:rsidP="009260DE">
      <w:pPr>
        <w:tabs>
          <w:tab w:val="left" w:pos="851"/>
        </w:tabs>
        <w:ind w:left="851"/>
        <w:rPr>
          <w:sz w:val="24"/>
          <w:szCs w:val="24"/>
        </w:rPr>
      </w:pPr>
    </w:p>
    <w:p w14:paraId="049926E0" w14:textId="77777777" w:rsidR="009260DE" w:rsidRPr="000262D3" w:rsidRDefault="009260DE" w:rsidP="009260DE">
      <w:pPr>
        <w:tabs>
          <w:tab w:val="left" w:pos="851"/>
        </w:tabs>
        <w:ind w:left="851"/>
        <w:rPr>
          <w:sz w:val="24"/>
          <w:szCs w:val="24"/>
        </w:rPr>
      </w:pPr>
    </w:p>
    <w:p w14:paraId="02751A0C" w14:textId="77777777" w:rsidR="009260DE" w:rsidRPr="000262D3" w:rsidRDefault="009260DE" w:rsidP="009260DE">
      <w:pPr>
        <w:tabs>
          <w:tab w:val="left" w:pos="851"/>
        </w:tabs>
        <w:ind w:left="851" w:hanging="851"/>
        <w:rPr>
          <w:b/>
          <w:sz w:val="24"/>
          <w:szCs w:val="24"/>
        </w:rPr>
      </w:pPr>
      <w:r w:rsidRPr="000262D3">
        <w:rPr>
          <w:b/>
          <w:sz w:val="24"/>
          <w:szCs w:val="24"/>
        </w:rPr>
        <w:t>6.</w:t>
      </w:r>
      <w:r w:rsidRPr="000262D3">
        <w:rPr>
          <w:b/>
          <w:sz w:val="24"/>
          <w:szCs w:val="24"/>
        </w:rPr>
        <w:tab/>
        <w:t>FARMACEUTISKE OPLYSNINGER</w:t>
      </w:r>
    </w:p>
    <w:p w14:paraId="6174FA73" w14:textId="77777777" w:rsidR="009260DE" w:rsidRPr="000262D3" w:rsidRDefault="009260DE" w:rsidP="009260DE">
      <w:pPr>
        <w:tabs>
          <w:tab w:val="left" w:pos="851"/>
        </w:tabs>
        <w:ind w:left="851"/>
        <w:rPr>
          <w:sz w:val="24"/>
          <w:szCs w:val="24"/>
        </w:rPr>
      </w:pPr>
    </w:p>
    <w:p w14:paraId="5FB9018B" w14:textId="77777777" w:rsidR="009260DE" w:rsidRPr="000262D3" w:rsidRDefault="009260DE" w:rsidP="009260DE">
      <w:pPr>
        <w:tabs>
          <w:tab w:val="left" w:pos="851"/>
        </w:tabs>
        <w:ind w:left="851" w:hanging="851"/>
        <w:rPr>
          <w:b/>
          <w:sz w:val="24"/>
          <w:szCs w:val="24"/>
        </w:rPr>
      </w:pPr>
      <w:r w:rsidRPr="000262D3">
        <w:rPr>
          <w:b/>
          <w:sz w:val="24"/>
          <w:szCs w:val="24"/>
        </w:rPr>
        <w:t>6.1</w:t>
      </w:r>
      <w:r w:rsidRPr="000262D3">
        <w:rPr>
          <w:b/>
          <w:sz w:val="24"/>
          <w:szCs w:val="24"/>
        </w:rPr>
        <w:tab/>
        <w:t>Hjælpestoffer</w:t>
      </w:r>
    </w:p>
    <w:p w14:paraId="4AE50CE6" w14:textId="77777777" w:rsidR="000262D3" w:rsidRPr="000262D3" w:rsidRDefault="000262D3" w:rsidP="000262D3">
      <w:pPr>
        <w:ind w:left="851"/>
        <w:rPr>
          <w:sz w:val="24"/>
          <w:szCs w:val="24"/>
          <w:u w:val="single"/>
        </w:rPr>
      </w:pPr>
    </w:p>
    <w:p w14:paraId="5A18A662" w14:textId="36328354" w:rsidR="00574F8C" w:rsidRPr="000262D3" w:rsidRDefault="00574F8C" w:rsidP="000262D3">
      <w:pPr>
        <w:ind w:left="851"/>
        <w:rPr>
          <w:sz w:val="24"/>
          <w:szCs w:val="24"/>
          <w:u w:val="single"/>
        </w:rPr>
      </w:pPr>
      <w:r w:rsidRPr="000262D3">
        <w:rPr>
          <w:sz w:val="24"/>
          <w:szCs w:val="24"/>
          <w:u w:val="single"/>
        </w:rPr>
        <w:t>Tabletkernen</w:t>
      </w:r>
    </w:p>
    <w:p w14:paraId="7EB3EB38" w14:textId="77777777" w:rsidR="00574F8C" w:rsidRPr="000262D3" w:rsidRDefault="00574F8C" w:rsidP="000262D3">
      <w:pPr>
        <w:ind w:left="851"/>
        <w:rPr>
          <w:sz w:val="24"/>
          <w:szCs w:val="24"/>
        </w:rPr>
      </w:pPr>
      <w:r w:rsidRPr="000262D3">
        <w:rPr>
          <w:sz w:val="24"/>
          <w:szCs w:val="24"/>
        </w:rPr>
        <w:t>Lactosemonohydrat</w:t>
      </w:r>
    </w:p>
    <w:p w14:paraId="5753B994" w14:textId="77777777" w:rsidR="00574F8C" w:rsidRPr="000262D3" w:rsidRDefault="00574F8C" w:rsidP="000262D3">
      <w:pPr>
        <w:ind w:left="851"/>
        <w:rPr>
          <w:sz w:val="24"/>
          <w:szCs w:val="24"/>
        </w:rPr>
      </w:pPr>
      <w:r w:rsidRPr="000262D3">
        <w:rPr>
          <w:sz w:val="24"/>
          <w:szCs w:val="24"/>
        </w:rPr>
        <w:t>Povidon</w:t>
      </w:r>
    </w:p>
    <w:p w14:paraId="420354E2" w14:textId="77777777" w:rsidR="00574F8C" w:rsidRPr="000262D3" w:rsidRDefault="00574F8C" w:rsidP="000262D3">
      <w:pPr>
        <w:ind w:left="851"/>
        <w:rPr>
          <w:sz w:val="24"/>
          <w:szCs w:val="24"/>
        </w:rPr>
      </w:pPr>
      <w:r w:rsidRPr="000262D3">
        <w:rPr>
          <w:sz w:val="24"/>
          <w:szCs w:val="24"/>
        </w:rPr>
        <w:t>Natriumstivelsesglycolat (Type A)</w:t>
      </w:r>
    </w:p>
    <w:p w14:paraId="14DC2E15" w14:textId="77777777" w:rsidR="00574F8C" w:rsidRPr="000262D3" w:rsidRDefault="00574F8C" w:rsidP="000262D3">
      <w:pPr>
        <w:ind w:left="851"/>
        <w:rPr>
          <w:sz w:val="24"/>
          <w:szCs w:val="24"/>
        </w:rPr>
      </w:pPr>
      <w:r w:rsidRPr="000262D3">
        <w:rPr>
          <w:sz w:val="24"/>
          <w:szCs w:val="24"/>
        </w:rPr>
        <w:t>Magnesiumstearat</w:t>
      </w:r>
    </w:p>
    <w:p w14:paraId="5DE09625" w14:textId="77777777" w:rsidR="00574F8C" w:rsidRPr="000262D3" w:rsidRDefault="00574F8C" w:rsidP="000262D3">
      <w:pPr>
        <w:ind w:left="851"/>
        <w:rPr>
          <w:sz w:val="24"/>
          <w:szCs w:val="24"/>
          <w:u w:val="single"/>
        </w:rPr>
      </w:pPr>
    </w:p>
    <w:p w14:paraId="0BED0454" w14:textId="77777777" w:rsidR="00574F8C" w:rsidRPr="000262D3" w:rsidRDefault="00574F8C" w:rsidP="000262D3">
      <w:pPr>
        <w:ind w:left="851"/>
        <w:rPr>
          <w:sz w:val="24"/>
          <w:szCs w:val="24"/>
          <w:u w:val="single"/>
        </w:rPr>
      </w:pPr>
      <w:r w:rsidRPr="000262D3">
        <w:rPr>
          <w:sz w:val="24"/>
          <w:szCs w:val="24"/>
          <w:u w:val="single"/>
        </w:rPr>
        <w:t>Tabletovertrækket</w:t>
      </w:r>
    </w:p>
    <w:p w14:paraId="1ECBB9CC" w14:textId="77777777" w:rsidR="00574F8C" w:rsidRPr="000262D3" w:rsidRDefault="00574F8C" w:rsidP="000262D3">
      <w:pPr>
        <w:ind w:left="851"/>
        <w:rPr>
          <w:sz w:val="24"/>
          <w:szCs w:val="24"/>
        </w:rPr>
      </w:pPr>
      <w:r w:rsidRPr="000262D3">
        <w:rPr>
          <w:sz w:val="24"/>
          <w:szCs w:val="24"/>
        </w:rPr>
        <w:t>Hypromellose (E 464)</w:t>
      </w:r>
    </w:p>
    <w:p w14:paraId="08A39231" w14:textId="77777777" w:rsidR="00574F8C" w:rsidRPr="000262D3" w:rsidRDefault="00574F8C" w:rsidP="000262D3">
      <w:pPr>
        <w:ind w:left="851"/>
        <w:rPr>
          <w:sz w:val="24"/>
          <w:szCs w:val="24"/>
        </w:rPr>
      </w:pPr>
      <w:r w:rsidRPr="000262D3">
        <w:rPr>
          <w:sz w:val="24"/>
          <w:szCs w:val="24"/>
        </w:rPr>
        <w:t xml:space="preserve">Macrogol </w:t>
      </w:r>
    </w:p>
    <w:p w14:paraId="062C156E" w14:textId="77777777" w:rsidR="00574F8C" w:rsidRPr="000262D3" w:rsidRDefault="00574F8C" w:rsidP="000262D3">
      <w:pPr>
        <w:ind w:left="851"/>
        <w:rPr>
          <w:sz w:val="24"/>
          <w:szCs w:val="24"/>
        </w:rPr>
      </w:pPr>
      <w:r w:rsidRPr="000262D3">
        <w:rPr>
          <w:sz w:val="24"/>
          <w:szCs w:val="24"/>
        </w:rPr>
        <w:t>Titandioxid (E 171)</w:t>
      </w:r>
    </w:p>
    <w:p w14:paraId="7481A464" w14:textId="77777777" w:rsidR="009260DE" w:rsidRPr="000262D3" w:rsidRDefault="009260DE" w:rsidP="009260DE">
      <w:pPr>
        <w:tabs>
          <w:tab w:val="left" w:pos="851"/>
        </w:tabs>
        <w:ind w:left="851"/>
        <w:rPr>
          <w:sz w:val="24"/>
          <w:szCs w:val="24"/>
        </w:rPr>
      </w:pPr>
    </w:p>
    <w:p w14:paraId="2C8C9447" w14:textId="77777777" w:rsidR="009260DE" w:rsidRPr="000262D3" w:rsidRDefault="009260DE" w:rsidP="009260DE">
      <w:pPr>
        <w:tabs>
          <w:tab w:val="left" w:pos="851"/>
        </w:tabs>
        <w:ind w:left="851" w:hanging="851"/>
        <w:rPr>
          <w:b/>
          <w:sz w:val="24"/>
          <w:szCs w:val="24"/>
        </w:rPr>
      </w:pPr>
      <w:r w:rsidRPr="000262D3">
        <w:rPr>
          <w:b/>
          <w:sz w:val="24"/>
          <w:szCs w:val="24"/>
        </w:rPr>
        <w:t>6.2</w:t>
      </w:r>
      <w:r w:rsidRPr="000262D3">
        <w:rPr>
          <w:b/>
          <w:sz w:val="24"/>
          <w:szCs w:val="24"/>
        </w:rPr>
        <w:tab/>
        <w:t>Uforligeligheder</w:t>
      </w:r>
    </w:p>
    <w:p w14:paraId="6906C99B" w14:textId="77777777" w:rsidR="00574F8C" w:rsidRPr="000262D3" w:rsidRDefault="00574F8C" w:rsidP="000262D3">
      <w:pPr>
        <w:ind w:left="851"/>
        <w:rPr>
          <w:sz w:val="24"/>
          <w:szCs w:val="24"/>
        </w:rPr>
      </w:pPr>
      <w:r w:rsidRPr="000262D3">
        <w:rPr>
          <w:sz w:val="24"/>
          <w:szCs w:val="24"/>
        </w:rPr>
        <w:t>Ikke relevant.</w:t>
      </w:r>
    </w:p>
    <w:p w14:paraId="1E21FE10" w14:textId="77777777" w:rsidR="009260DE" w:rsidRPr="000262D3" w:rsidRDefault="009260DE" w:rsidP="009260DE">
      <w:pPr>
        <w:tabs>
          <w:tab w:val="left" w:pos="851"/>
        </w:tabs>
        <w:ind w:left="851"/>
        <w:rPr>
          <w:sz w:val="24"/>
          <w:szCs w:val="24"/>
        </w:rPr>
      </w:pPr>
    </w:p>
    <w:p w14:paraId="191C624A" w14:textId="77777777" w:rsidR="009260DE" w:rsidRPr="000262D3" w:rsidRDefault="009260DE" w:rsidP="009260DE">
      <w:pPr>
        <w:tabs>
          <w:tab w:val="left" w:pos="851"/>
        </w:tabs>
        <w:ind w:left="851" w:hanging="851"/>
        <w:rPr>
          <w:b/>
          <w:sz w:val="24"/>
          <w:szCs w:val="24"/>
        </w:rPr>
      </w:pPr>
      <w:r w:rsidRPr="000262D3">
        <w:rPr>
          <w:b/>
          <w:sz w:val="24"/>
          <w:szCs w:val="24"/>
        </w:rPr>
        <w:t>6.3</w:t>
      </w:r>
      <w:r w:rsidRPr="000262D3">
        <w:rPr>
          <w:b/>
          <w:sz w:val="24"/>
          <w:szCs w:val="24"/>
        </w:rPr>
        <w:tab/>
        <w:t>Opbevaringstid</w:t>
      </w:r>
    </w:p>
    <w:p w14:paraId="7BE63C49" w14:textId="77777777" w:rsidR="00574F8C" w:rsidRPr="000262D3" w:rsidRDefault="00574F8C" w:rsidP="000262D3">
      <w:pPr>
        <w:ind w:left="851"/>
        <w:rPr>
          <w:sz w:val="24"/>
          <w:szCs w:val="24"/>
        </w:rPr>
      </w:pPr>
      <w:r w:rsidRPr="000262D3">
        <w:rPr>
          <w:sz w:val="24"/>
          <w:szCs w:val="24"/>
        </w:rPr>
        <w:t>3 år</w:t>
      </w:r>
    </w:p>
    <w:p w14:paraId="44AB8B9A" w14:textId="77777777" w:rsidR="009260DE" w:rsidRPr="000262D3" w:rsidRDefault="009260DE" w:rsidP="009260DE">
      <w:pPr>
        <w:tabs>
          <w:tab w:val="left" w:pos="851"/>
        </w:tabs>
        <w:ind w:left="851"/>
        <w:rPr>
          <w:sz w:val="24"/>
          <w:szCs w:val="24"/>
        </w:rPr>
      </w:pPr>
    </w:p>
    <w:p w14:paraId="0417703C" w14:textId="77777777" w:rsidR="009260DE" w:rsidRPr="000262D3" w:rsidRDefault="009260DE" w:rsidP="009260DE">
      <w:pPr>
        <w:tabs>
          <w:tab w:val="left" w:pos="851"/>
        </w:tabs>
        <w:ind w:left="851" w:hanging="851"/>
        <w:rPr>
          <w:b/>
          <w:sz w:val="24"/>
          <w:szCs w:val="24"/>
        </w:rPr>
      </w:pPr>
      <w:r w:rsidRPr="000262D3">
        <w:rPr>
          <w:b/>
          <w:sz w:val="24"/>
          <w:szCs w:val="24"/>
        </w:rPr>
        <w:t>6.4</w:t>
      </w:r>
      <w:r w:rsidRPr="000262D3">
        <w:rPr>
          <w:b/>
          <w:sz w:val="24"/>
          <w:szCs w:val="24"/>
        </w:rPr>
        <w:tab/>
        <w:t>Særlige opbevaringsforhold</w:t>
      </w:r>
    </w:p>
    <w:p w14:paraId="25ECF836" w14:textId="77777777" w:rsidR="00574F8C" w:rsidRPr="000262D3" w:rsidRDefault="00574F8C" w:rsidP="000262D3">
      <w:pPr>
        <w:ind w:left="851"/>
        <w:rPr>
          <w:sz w:val="24"/>
          <w:szCs w:val="24"/>
        </w:rPr>
      </w:pPr>
      <w:r w:rsidRPr="000262D3">
        <w:rPr>
          <w:sz w:val="24"/>
          <w:szCs w:val="24"/>
        </w:rPr>
        <w:t>Denne medicin kræver ingen særlige opbevaringsbetingelser.</w:t>
      </w:r>
    </w:p>
    <w:p w14:paraId="3F2762A9" w14:textId="77777777" w:rsidR="009260DE" w:rsidRPr="000262D3" w:rsidRDefault="009260DE" w:rsidP="009260DE">
      <w:pPr>
        <w:tabs>
          <w:tab w:val="left" w:pos="851"/>
        </w:tabs>
        <w:ind w:left="851"/>
        <w:rPr>
          <w:sz w:val="24"/>
          <w:szCs w:val="24"/>
        </w:rPr>
      </w:pPr>
    </w:p>
    <w:p w14:paraId="6500CCDA" w14:textId="77777777" w:rsidR="009260DE" w:rsidRPr="000262D3" w:rsidRDefault="009260DE" w:rsidP="009260DE">
      <w:pPr>
        <w:tabs>
          <w:tab w:val="left" w:pos="851"/>
        </w:tabs>
        <w:ind w:left="851" w:hanging="851"/>
        <w:rPr>
          <w:b/>
          <w:sz w:val="24"/>
          <w:szCs w:val="24"/>
        </w:rPr>
      </w:pPr>
      <w:r w:rsidRPr="000262D3">
        <w:rPr>
          <w:b/>
          <w:sz w:val="24"/>
          <w:szCs w:val="24"/>
        </w:rPr>
        <w:t>6.5</w:t>
      </w:r>
      <w:r w:rsidRPr="000262D3">
        <w:rPr>
          <w:b/>
          <w:sz w:val="24"/>
          <w:szCs w:val="24"/>
        </w:rPr>
        <w:tab/>
        <w:t>Emballagetype og pakningsstørrelser</w:t>
      </w:r>
    </w:p>
    <w:p w14:paraId="1CC8D210" w14:textId="77777777" w:rsidR="00574F8C" w:rsidRPr="000262D3" w:rsidRDefault="00574F8C" w:rsidP="000262D3">
      <w:pPr>
        <w:ind w:left="851"/>
        <w:rPr>
          <w:sz w:val="24"/>
          <w:szCs w:val="24"/>
        </w:rPr>
      </w:pPr>
      <w:r w:rsidRPr="000262D3">
        <w:rPr>
          <w:sz w:val="24"/>
          <w:szCs w:val="24"/>
        </w:rPr>
        <w:t>PVC/aluminium blister i en pakning indeholdende 28 tabletter.</w:t>
      </w:r>
    </w:p>
    <w:p w14:paraId="56ED4CC8" w14:textId="77777777" w:rsidR="009260DE" w:rsidRPr="000262D3" w:rsidRDefault="009260DE" w:rsidP="009260DE">
      <w:pPr>
        <w:tabs>
          <w:tab w:val="left" w:pos="851"/>
        </w:tabs>
        <w:ind w:left="851"/>
        <w:rPr>
          <w:sz w:val="24"/>
          <w:szCs w:val="24"/>
        </w:rPr>
      </w:pPr>
    </w:p>
    <w:p w14:paraId="68A77EFA" w14:textId="77777777" w:rsidR="009260DE" w:rsidRPr="000262D3" w:rsidRDefault="009260DE" w:rsidP="009260DE">
      <w:pPr>
        <w:tabs>
          <w:tab w:val="left" w:pos="851"/>
        </w:tabs>
        <w:ind w:left="851" w:hanging="851"/>
        <w:rPr>
          <w:b/>
          <w:sz w:val="24"/>
          <w:szCs w:val="24"/>
        </w:rPr>
      </w:pPr>
      <w:r w:rsidRPr="000262D3">
        <w:rPr>
          <w:b/>
          <w:sz w:val="24"/>
          <w:szCs w:val="24"/>
        </w:rPr>
        <w:t>6.6</w:t>
      </w:r>
      <w:r w:rsidRPr="000262D3">
        <w:rPr>
          <w:b/>
          <w:sz w:val="24"/>
          <w:szCs w:val="24"/>
        </w:rPr>
        <w:tab/>
        <w:t xml:space="preserve">Regler for </w:t>
      </w:r>
      <w:r w:rsidR="00BD7931" w:rsidRPr="000262D3">
        <w:rPr>
          <w:b/>
          <w:sz w:val="24"/>
          <w:szCs w:val="24"/>
        </w:rPr>
        <w:t>bortskaffelse</w:t>
      </w:r>
      <w:r w:rsidRPr="000262D3">
        <w:rPr>
          <w:b/>
          <w:sz w:val="24"/>
          <w:szCs w:val="24"/>
        </w:rPr>
        <w:t xml:space="preserve"> og anden håndtering</w:t>
      </w:r>
    </w:p>
    <w:p w14:paraId="0D1C59BD" w14:textId="77777777" w:rsidR="00574F8C" w:rsidRPr="000262D3" w:rsidRDefault="00574F8C" w:rsidP="000262D3">
      <w:pPr>
        <w:ind w:left="851"/>
        <w:rPr>
          <w:sz w:val="24"/>
          <w:szCs w:val="24"/>
        </w:rPr>
      </w:pPr>
      <w:r w:rsidRPr="000262D3">
        <w:rPr>
          <w:sz w:val="24"/>
          <w:szCs w:val="24"/>
        </w:rPr>
        <w:t>Ikke anvendt lægemiddel samt affald heraf skal bortskaffes i henhold til lokale retningslinjer.</w:t>
      </w:r>
    </w:p>
    <w:p w14:paraId="4E221189" w14:textId="77777777" w:rsidR="009260DE" w:rsidRPr="000262D3" w:rsidRDefault="009260DE" w:rsidP="000730CA">
      <w:pPr>
        <w:tabs>
          <w:tab w:val="left" w:pos="851"/>
        </w:tabs>
        <w:ind w:left="851"/>
        <w:rPr>
          <w:sz w:val="24"/>
          <w:szCs w:val="24"/>
        </w:rPr>
      </w:pPr>
    </w:p>
    <w:p w14:paraId="0C0788C5" w14:textId="77777777" w:rsidR="009260DE" w:rsidRPr="000262D3" w:rsidRDefault="009260DE" w:rsidP="009260DE">
      <w:pPr>
        <w:tabs>
          <w:tab w:val="left" w:pos="851"/>
        </w:tabs>
        <w:ind w:left="851" w:hanging="851"/>
        <w:rPr>
          <w:b/>
          <w:sz w:val="24"/>
          <w:szCs w:val="24"/>
        </w:rPr>
      </w:pPr>
      <w:r w:rsidRPr="000262D3">
        <w:rPr>
          <w:b/>
          <w:sz w:val="24"/>
          <w:szCs w:val="24"/>
        </w:rPr>
        <w:t>7.</w:t>
      </w:r>
      <w:r w:rsidRPr="000262D3">
        <w:rPr>
          <w:b/>
          <w:sz w:val="24"/>
          <w:szCs w:val="24"/>
        </w:rPr>
        <w:tab/>
        <w:t>INDEHAVER AF MARKEDSFØRINGSTILLADELSEN</w:t>
      </w:r>
    </w:p>
    <w:p w14:paraId="61A5C43F" w14:textId="2C77A4CD" w:rsidR="00574F8C" w:rsidRPr="000262D3" w:rsidRDefault="00574F8C" w:rsidP="000262D3">
      <w:pPr>
        <w:ind w:left="851"/>
        <w:rPr>
          <w:sz w:val="24"/>
          <w:szCs w:val="24"/>
        </w:rPr>
      </w:pPr>
      <w:r w:rsidRPr="000262D3">
        <w:rPr>
          <w:sz w:val="24"/>
          <w:szCs w:val="24"/>
        </w:rPr>
        <w:t>Amarox Pharma B.V.</w:t>
      </w:r>
    </w:p>
    <w:p w14:paraId="2F669D00" w14:textId="77777777" w:rsidR="00574F8C" w:rsidRPr="00C257B4" w:rsidRDefault="00574F8C" w:rsidP="000262D3">
      <w:pPr>
        <w:ind w:left="851"/>
        <w:rPr>
          <w:sz w:val="24"/>
          <w:szCs w:val="24"/>
          <w:lang w:val="en-US"/>
        </w:rPr>
      </w:pPr>
      <w:r w:rsidRPr="00C257B4">
        <w:rPr>
          <w:sz w:val="24"/>
          <w:szCs w:val="24"/>
          <w:lang w:val="en-US"/>
        </w:rPr>
        <w:t>Rouboslaan 32</w:t>
      </w:r>
    </w:p>
    <w:p w14:paraId="0EA1C2FF" w14:textId="77777777" w:rsidR="00574F8C" w:rsidRPr="00C257B4" w:rsidRDefault="00574F8C" w:rsidP="000262D3">
      <w:pPr>
        <w:ind w:left="851"/>
        <w:rPr>
          <w:sz w:val="24"/>
          <w:szCs w:val="24"/>
          <w:lang w:val="en-US"/>
        </w:rPr>
      </w:pPr>
      <w:r w:rsidRPr="00C257B4">
        <w:rPr>
          <w:sz w:val="24"/>
          <w:szCs w:val="24"/>
          <w:lang w:val="en-US"/>
        </w:rPr>
        <w:t>2252 TR Voorschoten</w:t>
      </w:r>
    </w:p>
    <w:p w14:paraId="6EC27ABD" w14:textId="045B6DE8" w:rsidR="00574F8C" w:rsidRPr="00C257B4" w:rsidRDefault="00574F8C" w:rsidP="000262D3">
      <w:pPr>
        <w:ind w:left="851"/>
        <w:rPr>
          <w:sz w:val="24"/>
          <w:szCs w:val="24"/>
          <w:lang w:val="en-US"/>
        </w:rPr>
      </w:pPr>
      <w:r w:rsidRPr="00C257B4">
        <w:rPr>
          <w:sz w:val="24"/>
          <w:szCs w:val="24"/>
          <w:lang w:val="en-US"/>
        </w:rPr>
        <w:t>Holland</w:t>
      </w:r>
    </w:p>
    <w:p w14:paraId="35EB9727" w14:textId="77777777" w:rsidR="00574F8C" w:rsidRPr="00C257B4" w:rsidRDefault="00574F8C" w:rsidP="000262D3">
      <w:pPr>
        <w:ind w:left="851"/>
        <w:rPr>
          <w:sz w:val="24"/>
          <w:szCs w:val="24"/>
          <w:lang w:val="en-US"/>
        </w:rPr>
      </w:pPr>
    </w:p>
    <w:p w14:paraId="2A127BA0" w14:textId="77777777" w:rsidR="00574F8C" w:rsidRPr="00C257B4" w:rsidRDefault="00574F8C" w:rsidP="000262D3">
      <w:pPr>
        <w:ind w:left="851"/>
        <w:rPr>
          <w:sz w:val="24"/>
          <w:szCs w:val="24"/>
          <w:lang w:val="en-US"/>
        </w:rPr>
      </w:pPr>
      <w:r w:rsidRPr="00C257B4">
        <w:rPr>
          <w:b/>
          <w:sz w:val="24"/>
          <w:szCs w:val="24"/>
          <w:lang w:val="en-US"/>
        </w:rPr>
        <w:t>Repræsentant</w:t>
      </w:r>
    </w:p>
    <w:p w14:paraId="221D7567" w14:textId="77777777" w:rsidR="00574F8C" w:rsidRPr="00C257B4" w:rsidRDefault="00574F8C" w:rsidP="000262D3">
      <w:pPr>
        <w:ind w:left="851"/>
        <w:rPr>
          <w:sz w:val="24"/>
          <w:szCs w:val="24"/>
          <w:lang w:val="en-US"/>
        </w:rPr>
      </w:pPr>
      <w:r w:rsidRPr="00C257B4">
        <w:rPr>
          <w:sz w:val="24"/>
          <w:szCs w:val="24"/>
          <w:lang w:val="en-US"/>
        </w:rPr>
        <w:t>Newbury Pharmaceuticals AB</w:t>
      </w:r>
    </w:p>
    <w:p w14:paraId="5F2DC6CF" w14:textId="77777777" w:rsidR="00574F8C" w:rsidRPr="000262D3" w:rsidRDefault="00574F8C" w:rsidP="000262D3">
      <w:pPr>
        <w:ind w:left="851"/>
        <w:rPr>
          <w:sz w:val="24"/>
          <w:szCs w:val="24"/>
        </w:rPr>
      </w:pPr>
      <w:r w:rsidRPr="000262D3">
        <w:rPr>
          <w:sz w:val="24"/>
          <w:szCs w:val="24"/>
        </w:rPr>
        <w:t>Medicon Village</w:t>
      </w:r>
    </w:p>
    <w:p w14:paraId="7A30DD98" w14:textId="77777777" w:rsidR="00574F8C" w:rsidRPr="000262D3" w:rsidRDefault="00574F8C" w:rsidP="000262D3">
      <w:pPr>
        <w:ind w:left="851"/>
        <w:rPr>
          <w:sz w:val="24"/>
          <w:szCs w:val="24"/>
        </w:rPr>
      </w:pPr>
      <w:r w:rsidRPr="000262D3">
        <w:rPr>
          <w:sz w:val="24"/>
          <w:szCs w:val="24"/>
        </w:rPr>
        <w:t>Scheele Torget 1</w:t>
      </w:r>
    </w:p>
    <w:p w14:paraId="3FB20DB9" w14:textId="77777777" w:rsidR="00574F8C" w:rsidRPr="000262D3" w:rsidRDefault="00574F8C" w:rsidP="000262D3">
      <w:pPr>
        <w:ind w:left="851"/>
        <w:rPr>
          <w:sz w:val="24"/>
          <w:szCs w:val="24"/>
        </w:rPr>
      </w:pPr>
      <w:r w:rsidRPr="000262D3">
        <w:rPr>
          <w:sz w:val="24"/>
          <w:szCs w:val="24"/>
        </w:rPr>
        <w:t>223 81 Lund</w:t>
      </w:r>
    </w:p>
    <w:p w14:paraId="2CC555A3" w14:textId="77777777" w:rsidR="00574F8C" w:rsidRPr="000262D3" w:rsidRDefault="00574F8C" w:rsidP="000262D3">
      <w:pPr>
        <w:ind w:left="851"/>
        <w:rPr>
          <w:sz w:val="24"/>
          <w:szCs w:val="24"/>
        </w:rPr>
      </w:pPr>
      <w:r w:rsidRPr="000262D3">
        <w:rPr>
          <w:sz w:val="24"/>
          <w:szCs w:val="24"/>
        </w:rPr>
        <w:t>Sverige</w:t>
      </w:r>
    </w:p>
    <w:p w14:paraId="07F528BA" w14:textId="77777777" w:rsidR="00641C65" w:rsidRPr="000262D3" w:rsidRDefault="00641C65" w:rsidP="009260DE">
      <w:pPr>
        <w:tabs>
          <w:tab w:val="left" w:pos="851"/>
        </w:tabs>
        <w:ind w:left="851"/>
        <w:rPr>
          <w:sz w:val="24"/>
          <w:szCs w:val="24"/>
        </w:rPr>
      </w:pPr>
    </w:p>
    <w:p w14:paraId="6328296E" w14:textId="77777777" w:rsidR="009260DE" w:rsidRPr="000262D3" w:rsidRDefault="009260DE" w:rsidP="009260DE">
      <w:pPr>
        <w:tabs>
          <w:tab w:val="left" w:pos="851"/>
        </w:tabs>
        <w:ind w:left="851" w:hanging="851"/>
        <w:rPr>
          <w:b/>
          <w:sz w:val="24"/>
          <w:szCs w:val="24"/>
        </w:rPr>
      </w:pPr>
      <w:r w:rsidRPr="000262D3">
        <w:rPr>
          <w:b/>
          <w:sz w:val="24"/>
          <w:szCs w:val="24"/>
        </w:rPr>
        <w:t>8.</w:t>
      </w:r>
      <w:r w:rsidRPr="000262D3">
        <w:rPr>
          <w:b/>
          <w:sz w:val="24"/>
          <w:szCs w:val="24"/>
        </w:rPr>
        <w:tab/>
        <w:t>MARKEDSFØRINGSTILLADELSESNUMMER (</w:t>
      </w:r>
      <w:r w:rsidR="00BF6243" w:rsidRPr="000262D3">
        <w:rPr>
          <w:b/>
          <w:sz w:val="24"/>
          <w:szCs w:val="24"/>
        </w:rPr>
        <w:t>-</w:t>
      </w:r>
      <w:r w:rsidRPr="000262D3">
        <w:rPr>
          <w:b/>
          <w:sz w:val="24"/>
          <w:szCs w:val="24"/>
        </w:rPr>
        <w:t>NUMRE)</w:t>
      </w:r>
    </w:p>
    <w:p w14:paraId="16CA5434" w14:textId="3F1C65CA" w:rsidR="009260DE" w:rsidRPr="000262D3" w:rsidRDefault="00574F8C" w:rsidP="009260DE">
      <w:pPr>
        <w:tabs>
          <w:tab w:val="left" w:pos="851"/>
        </w:tabs>
        <w:ind w:left="851"/>
        <w:rPr>
          <w:sz w:val="24"/>
          <w:szCs w:val="24"/>
        </w:rPr>
      </w:pPr>
      <w:r w:rsidRPr="000262D3">
        <w:rPr>
          <w:sz w:val="24"/>
          <w:szCs w:val="24"/>
        </w:rPr>
        <w:t>74263</w:t>
      </w:r>
    </w:p>
    <w:p w14:paraId="6B0D104D" w14:textId="77777777" w:rsidR="009260DE" w:rsidRPr="000262D3" w:rsidRDefault="009260DE" w:rsidP="009260DE">
      <w:pPr>
        <w:tabs>
          <w:tab w:val="left" w:pos="851"/>
        </w:tabs>
        <w:ind w:left="851"/>
        <w:jc w:val="both"/>
        <w:rPr>
          <w:sz w:val="24"/>
          <w:szCs w:val="24"/>
        </w:rPr>
      </w:pPr>
    </w:p>
    <w:p w14:paraId="6F3749C3" w14:textId="77777777" w:rsidR="009260DE" w:rsidRPr="000262D3" w:rsidRDefault="009260DE" w:rsidP="009260DE">
      <w:pPr>
        <w:tabs>
          <w:tab w:val="left" w:pos="851"/>
        </w:tabs>
        <w:ind w:left="851" w:hanging="851"/>
        <w:rPr>
          <w:b/>
          <w:sz w:val="24"/>
          <w:szCs w:val="24"/>
        </w:rPr>
      </w:pPr>
      <w:r w:rsidRPr="000262D3">
        <w:rPr>
          <w:b/>
          <w:sz w:val="24"/>
          <w:szCs w:val="24"/>
        </w:rPr>
        <w:t>9.</w:t>
      </w:r>
      <w:r w:rsidRPr="000262D3">
        <w:rPr>
          <w:b/>
          <w:sz w:val="24"/>
          <w:szCs w:val="24"/>
        </w:rPr>
        <w:tab/>
        <w:t>DATO FOR FØRSTE MARKEDSFØRINGSTILLADELSE</w:t>
      </w:r>
    </w:p>
    <w:p w14:paraId="3715BE58" w14:textId="5F3A7B53" w:rsidR="009260DE" w:rsidRPr="000262D3" w:rsidRDefault="00F91539" w:rsidP="009260DE">
      <w:pPr>
        <w:tabs>
          <w:tab w:val="left" w:pos="851"/>
        </w:tabs>
        <w:ind w:left="851"/>
        <w:rPr>
          <w:sz w:val="24"/>
          <w:szCs w:val="24"/>
        </w:rPr>
      </w:pPr>
      <w:r>
        <w:rPr>
          <w:sz w:val="24"/>
          <w:szCs w:val="24"/>
        </w:rPr>
        <w:t>21. april 2026</w:t>
      </w:r>
    </w:p>
    <w:p w14:paraId="5833FD39" w14:textId="77777777" w:rsidR="009260DE" w:rsidRPr="000262D3" w:rsidRDefault="009260DE" w:rsidP="009260DE">
      <w:pPr>
        <w:tabs>
          <w:tab w:val="left" w:pos="851"/>
        </w:tabs>
        <w:ind w:left="851"/>
        <w:rPr>
          <w:sz w:val="24"/>
          <w:szCs w:val="24"/>
        </w:rPr>
      </w:pPr>
    </w:p>
    <w:p w14:paraId="5D8669F1" w14:textId="77777777" w:rsidR="009260DE" w:rsidRPr="000262D3" w:rsidRDefault="009260DE" w:rsidP="009260DE">
      <w:pPr>
        <w:tabs>
          <w:tab w:val="left" w:pos="851"/>
        </w:tabs>
        <w:ind w:left="851" w:hanging="851"/>
        <w:rPr>
          <w:b/>
          <w:sz w:val="24"/>
          <w:szCs w:val="24"/>
        </w:rPr>
      </w:pPr>
      <w:r w:rsidRPr="000262D3">
        <w:rPr>
          <w:b/>
          <w:sz w:val="24"/>
          <w:szCs w:val="24"/>
        </w:rPr>
        <w:t>10.</w:t>
      </w:r>
      <w:r w:rsidRPr="000262D3">
        <w:rPr>
          <w:b/>
          <w:sz w:val="24"/>
          <w:szCs w:val="24"/>
        </w:rPr>
        <w:tab/>
        <w:t>DATO FOR ÆNDRING AF TEKSTEN</w:t>
      </w:r>
    </w:p>
    <w:p w14:paraId="089B3485" w14:textId="05266183" w:rsidR="009260DE" w:rsidRPr="000262D3" w:rsidRDefault="00574F8C" w:rsidP="009260DE">
      <w:pPr>
        <w:tabs>
          <w:tab w:val="left" w:pos="851"/>
        </w:tabs>
        <w:ind w:left="851"/>
        <w:rPr>
          <w:sz w:val="24"/>
          <w:szCs w:val="24"/>
        </w:rPr>
      </w:pPr>
      <w:r w:rsidRPr="000262D3">
        <w:rPr>
          <w:sz w:val="24"/>
          <w:szCs w:val="24"/>
        </w:rPr>
        <w:t>-</w:t>
      </w:r>
    </w:p>
    <w:sectPr w:rsidR="009260DE" w:rsidRPr="000262D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DD66" w14:textId="77777777" w:rsidR="001B7487" w:rsidRDefault="001B7487">
      <w:r>
        <w:separator/>
      </w:r>
    </w:p>
  </w:endnote>
  <w:endnote w:type="continuationSeparator" w:id="0">
    <w:p w14:paraId="140CE3C0" w14:textId="77777777" w:rsidR="001B7487" w:rsidRDefault="001B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29F3" w14:textId="77777777" w:rsidR="000259B9" w:rsidRDefault="000259B9">
    <w:pPr>
      <w:pStyle w:val="Sidefod"/>
      <w:pBdr>
        <w:bottom w:val="single" w:sz="6" w:space="1" w:color="auto"/>
      </w:pBdr>
    </w:pPr>
  </w:p>
  <w:p w14:paraId="35771CFB" w14:textId="77777777" w:rsidR="000259B9" w:rsidRDefault="000259B9" w:rsidP="00C42586">
    <w:pPr>
      <w:pStyle w:val="Sidefod"/>
      <w:tabs>
        <w:tab w:val="clear" w:pos="4819"/>
        <w:tab w:val="left" w:pos="8505"/>
      </w:tabs>
      <w:rPr>
        <w:i/>
        <w:sz w:val="18"/>
        <w:szCs w:val="18"/>
      </w:rPr>
    </w:pPr>
  </w:p>
  <w:p w14:paraId="359F8A86" w14:textId="0DF7B504"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C257B4">
      <w:rPr>
        <w:i/>
        <w:noProof/>
        <w:sz w:val="18"/>
        <w:szCs w:val="18"/>
      </w:rPr>
      <w:t>Anastrozole Amarox, filmovertrukne tabletter 1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F38D" w14:textId="77777777" w:rsidR="001B7487" w:rsidRDefault="001B7487">
      <w:r>
        <w:separator/>
      </w:r>
    </w:p>
  </w:footnote>
  <w:footnote w:type="continuationSeparator" w:id="0">
    <w:p w14:paraId="13A176EB" w14:textId="77777777" w:rsidR="001B7487" w:rsidRDefault="001B7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D5046A1"/>
    <w:multiLevelType w:val="hybridMultilevel"/>
    <w:tmpl w:val="A4FE2230"/>
    <w:lvl w:ilvl="0" w:tplc="04060001">
      <w:start w:val="1"/>
      <w:numFmt w:val="bullet"/>
      <w:lvlText w:val=""/>
      <w:lvlJc w:val="left"/>
      <w:pPr>
        <w:ind w:left="1571" w:hanging="360"/>
      </w:pPr>
      <w:rPr>
        <w:rFonts w:ascii="Symbol" w:hAnsi="Symbol" w:hint="default"/>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7705419F"/>
    <w:multiLevelType w:val="hybridMultilevel"/>
    <w:tmpl w:val="794A7538"/>
    <w:lvl w:ilvl="0" w:tplc="CBE2384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714071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280512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464521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7752045">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950123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0383295">
    <w:abstractNumId w:val="6"/>
  </w:num>
  <w:num w:numId="7" w16cid:durableId="833037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87"/>
    <w:rsid w:val="000259B9"/>
    <w:rsid w:val="000262D3"/>
    <w:rsid w:val="00041491"/>
    <w:rsid w:val="00050D16"/>
    <w:rsid w:val="000730CA"/>
    <w:rsid w:val="00074F2A"/>
    <w:rsid w:val="000A1CA8"/>
    <w:rsid w:val="000A466B"/>
    <w:rsid w:val="000B058C"/>
    <w:rsid w:val="000D68B0"/>
    <w:rsid w:val="000E4EE6"/>
    <w:rsid w:val="00134A6E"/>
    <w:rsid w:val="001454E2"/>
    <w:rsid w:val="001B7487"/>
    <w:rsid w:val="00206CE8"/>
    <w:rsid w:val="0021526C"/>
    <w:rsid w:val="00283A2B"/>
    <w:rsid w:val="002B30AD"/>
    <w:rsid w:val="002C1EC0"/>
    <w:rsid w:val="002C2C01"/>
    <w:rsid w:val="003A29AE"/>
    <w:rsid w:val="003A32D7"/>
    <w:rsid w:val="003B4074"/>
    <w:rsid w:val="003C769A"/>
    <w:rsid w:val="003D3A90"/>
    <w:rsid w:val="003F1838"/>
    <w:rsid w:val="003F5AEB"/>
    <w:rsid w:val="004251C1"/>
    <w:rsid w:val="0045746C"/>
    <w:rsid w:val="0049104B"/>
    <w:rsid w:val="004E3B12"/>
    <w:rsid w:val="00532310"/>
    <w:rsid w:val="00565F0F"/>
    <w:rsid w:val="00574F8C"/>
    <w:rsid w:val="00594A86"/>
    <w:rsid w:val="00596D86"/>
    <w:rsid w:val="00637F5A"/>
    <w:rsid w:val="00641C65"/>
    <w:rsid w:val="006560B1"/>
    <w:rsid w:val="006756DD"/>
    <w:rsid w:val="00697D3D"/>
    <w:rsid w:val="0071241E"/>
    <w:rsid w:val="00737275"/>
    <w:rsid w:val="00740EEC"/>
    <w:rsid w:val="0078011A"/>
    <w:rsid w:val="00782AF4"/>
    <w:rsid w:val="00790EE7"/>
    <w:rsid w:val="007B6649"/>
    <w:rsid w:val="0082576E"/>
    <w:rsid w:val="0089346F"/>
    <w:rsid w:val="00907F75"/>
    <w:rsid w:val="009260DE"/>
    <w:rsid w:val="0093258A"/>
    <w:rsid w:val="00977942"/>
    <w:rsid w:val="009C7BA3"/>
    <w:rsid w:val="009D1F5A"/>
    <w:rsid w:val="00A10294"/>
    <w:rsid w:val="00B003BF"/>
    <w:rsid w:val="00B26C75"/>
    <w:rsid w:val="00B373D7"/>
    <w:rsid w:val="00B55271"/>
    <w:rsid w:val="00BD7931"/>
    <w:rsid w:val="00BF6243"/>
    <w:rsid w:val="00C257B4"/>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91539"/>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CB6F0"/>
  <w15:chartTrackingRefBased/>
  <w15:docId w15:val="{B684A110-1E4B-4AA2-9CC2-C1E17A70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977942"/>
    <w:rPr>
      <w:color w:val="0563C1" w:themeColor="hyperlink"/>
      <w:u w:val="single"/>
    </w:rPr>
  </w:style>
  <w:style w:type="character" w:styleId="Ulstomtale">
    <w:name w:val="Unresolved Mention"/>
    <w:basedOn w:val="Standardskrifttypeiafsnit"/>
    <w:uiPriority w:val="99"/>
    <w:semiHidden/>
    <w:unhideWhenUsed/>
    <w:rsid w:val="00977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587">
      <w:bodyDiv w:val="1"/>
      <w:marLeft w:val="0"/>
      <w:marRight w:val="0"/>
      <w:marTop w:val="0"/>
      <w:marBottom w:val="0"/>
      <w:divBdr>
        <w:top w:val="none" w:sz="0" w:space="0" w:color="auto"/>
        <w:left w:val="none" w:sz="0" w:space="0" w:color="auto"/>
        <w:bottom w:val="none" w:sz="0" w:space="0" w:color="auto"/>
        <w:right w:val="none" w:sz="0" w:space="0" w:color="auto"/>
      </w:divBdr>
    </w:div>
    <w:div w:id="65954217">
      <w:bodyDiv w:val="1"/>
      <w:marLeft w:val="0"/>
      <w:marRight w:val="0"/>
      <w:marTop w:val="0"/>
      <w:marBottom w:val="0"/>
      <w:divBdr>
        <w:top w:val="none" w:sz="0" w:space="0" w:color="auto"/>
        <w:left w:val="none" w:sz="0" w:space="0" w:color="auto"/>
        <w:bottom w:val="none" w:sz="0" w:space="0" w:color="auto"/>
        <w:right w:val="none" w:sz="0" w:space="0" w:color="auto"/>
      </w:divBdr>
    </w:div>
    <w:div w:id="15087123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7626117">
      <w:bodyDiv w:val="1"/>
      <w:marLeft w:val="0"/>
      <w:marRight w:val="0"/>
      <w:marTop w:val="0"/>
      <w:marBottom w:val="0"/>
      <w:divBdr>
        <w:top w:val="none" w:sz="0" w:space="0" w:color="auto"/>
        <w:left w:val="none" w:sz="0" w:space="0" w:color="auto"/>
        <w:bottom w:val="none" w:sz="0" w:space="0" w:color="auto"/>
        <w:right w:val="none" w:sz="0" w:space="0" w:color="auto"/>
      </w:divBdr>
    </w:div>
    <w:div w:id="238757334">
      <w:bodyDiv w:val="1"/>
      <w:marLeft w:val="0"/>
      <w:marRight w:val="0"/>
      <w:marTop w:val="0"/>
      <w:marBottom w:val="0"/>
      <w:divBdr>
        <w:top w:val="none" w:sz="0" w:space="0" w:color="auto"/>
        <w:left w:val="none" w:sz="0" w:space="0" w:color="auto"/>
        <w:bottom w:val="none" w:sz="0" w:space="0" w:color="auto"/>
        <w:right w:val="none" w:sz="0" w:space="0" w:color="auto"/>
      </w:divBdr>
    </w:div>
    <w:div w:id="243607471">
      <w:bodyDiv w:val="1"/>
      <w:marLeft w:val="0"/>
      <w:marRight w:val="0"/>
      <w:marTop w:val="0"/>
      <w:marBottom w:val="0"/>
      <w:divBdr>
        <w:top w:val="none" w:sz="0" w:space="0" w:color="auto"/>
        <w:left w:val="none" w:sz="0" w:space="0" w:color="auto"/>
        <w:bottom w:val="none" w:sz="0" w:space="0" w:color="auto"/>
        <w:right w:val="none" w:sz="0" w:space="0" w:color="auto"/>
      </w:divBdr>
    </w:div>
    <w:div w:id="286130467">
      <w:bodyDiv w:val="1"/>
      <w:marLeft w:val="0"/>
      <w:marRight w:val="0"/>
      <w:marTop w:val="0"/>
      <w:marBottom w:val="0"/>
      <w:divBdr>
        <w:top w:val="none" w:sz="0" w:space="0" w:color="auto"/>
        <w:left w:val="none" w:sz="0" w:space="0" w:color="auto"/>
        <w:bottom w:val="none" w:sz="0" w:space="0" w:color="auto"/>
        <w:right w:val="none" w:sz="0" w:space="0" w:color="auto"/>
      </w:divBdr>
    </w:div>
    <w:div w:id="322852498">
      <w:bodyDiv w:val="1"/>
      <w:marLeft w:val="0"/>
      <w:marRight w:val="0"/>
      <w:marTop w:val="0"/>
      <w:marBottom w:val="0"/>
      <w:divBdr>
        <w:top w:val="none" w:sz="0" w:space="0" w:color="auto"/>
        <w:left w:val="none" w:sz="0" w:space="0" w:color="auto"/>
        <w:bottom w:val="none" w:sz="0" w:space="0" w:color="auto"/>
        <w:right w:val="none" w:sz="0" w:space="0" w:color="auto"/>
      </w:divBdr>
    </w:div>
    <w:div w:id="367024987">
      <w:bodyDiv w:val="1"/>
      <w:marLeft w:val="0"/>
      <w:marRight w:val="0"/>
      <w:marTop w:val="0"/>
      <w:marBottom w:val="0"/>
      <w:divBdr>
        <w:top w:val="none" w:sz="0" w:space="0" w:color="auto"/>
        <w:left w:val="none" w:sz="0" w:space="0" w:color="auto"/>
        <w:bottom w:val="none" w:sz="0" w:space="0" w:color="auto"/>
        <w:right w:val="none" w:sz="0" w:space="0" w:color="auto"/>
      </w:divBdr>
    </w:div>
    <w:div w:id="445582172">
      <w:bodyDiv w:val="1"/>
      <w:marLeft w:val="0"/>
      <w:marRight w:val="0"/>
      <w:marTop w:val="0"/>
      <w:marBottom w:val="0"/>
      <w:divBdr>
        <w:top w:val="none" w:sz="0" w:space="0" w:color="auto"/>
        <w:left w:val="none" w:sz="0" w:space="0" w:color="auto"/>
        <w:bottom w:val="none" w:sz="0" w:space="0" w:color="auto"/>
        <w:right w:val="none" w:sz="0" w:space="0" w:color="auto"/>
      </w:divBdr>
    </w:div>
    <w:div w:id="462846651">
      <w:bodyDiv w:val="1"/>
      <w:marLeft w:val="0"/>
      <w:marRight w:val="0"/>
      <w:marTop w:val="0"/>
      <w:marBottom w:val="0"/>
      <w:divBdr>
        <w:top w:val="none" w:sz="0" w:space="0" w:color="auto"/>
        <w:left w:val="none" w:sz="0" w:space="0" w:color="auto"/>
        <w:bottom w:val="none" w:sz="0" w:space="0" w:color="auto"/>
        <w:right w:val="none" w:sz="0" w:space="0" w:color="auto"/>
      </w:divBdr>
    </w:div>
    <w:div w:id="489177109">
      <w:bodyDiv w:val="1"/>
      <w:marLeft w:val="0"/>
      <w:marRight w:val="0"/>
      <w:marTop w:val="0"/>
      <w:marBottom w:val="0"/>
      <w:divBdr>
        <w:top w:val="none" w:sz="0" w:space="0" w:color="auto"/>
        <w:left w:val="none" w:sz="0" w:space="0" w:color="auto"/>
        <w:bottom w:val="none" w:sz="0" w:space="0" w:color="auto"/>
        <w:right w:val="none" w:sz="0" w:space="0" w:color="auto"/>
      </w:divBdr>
    </w:div>
    <w:div w:id="637536894">
      <w:bodyDiv w:val="1"/>
      <w:marLeft w:val="0"/>
      <w:marRight w:val="0"/>
      <w:marTop w:val="0"/>
      <w:marBottom w:val="0"/>
      <w:divBdr>
        <w:top w:val="none" w:sz="0" w:space="0" w:color="auto"/>
        <w:left w:val="none" w:sz="0" w:space="0" w:color="auto"/>
        <w:bottom w:val="none" w:sz="0" w:space="0" w:color="auto"/>
        <w:right w:val="none" w:sz="0" w:space="0" w:color="auto"/>
      </w:divBdr>
    </w:div>
    <w:div w:id="709767790">
      <w:bodyDiv w:val="1"/>
      <w:marLeft w:val="0"/>
      <w:marRight w:val="0"/>
      <w:marTop w:val="0"/>
      <w:marBottom w:val="0"/>
      <w:divBdr>
        <w:top w:val="none" w:sz="0" w:space="0" w:color="auto"/>
        <w:left w:val="none" w:sz="0" w:space="0" w:color="auto"/>
        <w:bottom w:val="none" w:sz="0" w:space="0" w:color="auto"/>
        <w:right w:val="none" w:sz="0" w:space="0" w:color="auto"/>
      </w:divBdr>
    </w:div>
    <w:div w:id="832064745">
      <w:bodyDiv w:val="1"/>
      <w:marLeft w:val="0"/>
      <w:marRight w:val="0"/>
      <w:marTop w:val="0"/>
      <w:marBottom w:val="0"/>
      <w:divBdr>
        <w:top w:val="none" w:sz="0" w:space="0" w:color="auto"/>
        <w:left w:val="none" w:sz="0" w:space="0" w:color="auto"/>
        <w:bottom w:val="none" w:sz="0" w:space="0" w:color="auto"/>
        <w:right w:val="none" w:sz="0" w:space="0" w:color="auto"/>
      </w:divBdr>
    </w:div>
    <w:div w:id="833302035">
      <w:bodyDiv w:val="1"/>
      <w:marLeft w:val="0"/>
      <w:marRight w:val="0"/>
      <w:marTop w:val="0"/>
      <w:marBottom w:val="0"/>
      <w:divBdr>
        <w:top w:val="none" w:sz="0" w:space="0" w:color="auto"/>
        <w:left w:val="none" w:sz="0" w:space="0" w:color="auto"/>
        <w:bottom w:val="none" w:sz="0" w:space="0" w:color="auto"/>
        <w:right w:val="none" w:sz="0" w:space="0" w:color="auto"/>
      </w:divBdr>
    </w:div>
    <w:div w:id="959460673">
      <w:bodyDiv w:val="1"/>
      <w:marLeft w:val="0"/>
      <w:marRight w:val="0"/>
      <w:marTop w:val="0"/>
      <w:marBottom w:val="0"/>
      <w:divBdr>
        <w:top w:val="none" w:sz="0" w:space="0" w:color="auto"/>
        <w:left w:val="none" w:sz="0" w:space="0" w:color="auto"/>
        <w:bottom w:val="none" w:sz="0" w:space="0" w:color="auto"/>
        <w:right w:val="none" w:sz="0" w:space="0" w:color="auto"/>
      </w:divBdr>
    </w:div>
    <w:div w:id="1050764540">
      <w:bodyDiv w:val="1"/>
      <w:marLeft w:val="0"/>
      <w:marRight w:val="0"/>
      <w:marTop w:val="0"/>
      <w:marBottom w:val="0"/>
      <w:divBdr>
        <w:top w:val="none" w:sz="0" w:space="0" w:color="auto"/>
        <w:left w:val="none" w:sz="0" w:space="0" w:color="auto"/>
        <w:bottom w:val="none" w:sz="0" w:space="0" w:color="auto"/>
        <w:right w:val="none" w:sz="0" w:space="0" w:color="auto"/>
      </w:divBdr>
    </w:div>
    <w:div w:id="1122115970">
      <w:bodyDiv w:val="1"/>
      <w:marLeft w:val="0"/>
      <w:marRight w:val="0"/>
      <w:marTop w:val="0"/>
      <w:marBottom w:val="0"/>
      <w:divBdr>
        <w:top w:val="none" w:sz="0" w:space="0" w:color="auto"/>
        <w:left w:val="none" w:sz="0" w:space="0" w:color="auto"/>
        <w:bottom w:val="none" w:sz="0" w:space="0" w:color="auto"/>
        <w:right w:val="none" w:sz="0" w:space="0" w:color="auto"/>
      </w:divBdr>
    </w:div>
    <w:div w:id="1133910735">
      <w:bodyDiv w:val="1"/>
      <w:marLeft w:val="0"/>
      <w:marRight w:val="0"/>
      <w:marTop w:val="0"/>
      <w:marBottom w:val="0"/>
      <w:divBdr>
        <w:top w:val="none" w:sz="0" w:space="0" w:color="auto"/>
        <w:left w:val="none" w:sz="0" w:space="0" w:color="auto"/>
        <w:bottom w:val="none" w:sz="0" w:space="0" w:color="auto"/>
        <w:right w:val="none" w:sz="0" w:space="0" w:color="auto"/>
      </w:divBdr>
    </w:div>
    <w:div w:id="1149445892">
      <w:bodyDiv w:val="1"/>
      <w:marLeft w:val="0"/>
      <w:marRight w:val="0"/>
      <w:marTop w:val="0"/>
      <w:marBottom w:val="0"/>
      <w:divBdr>
        <w:top w:val="none" w:sz="0" w:space="0" w:color="auto"/>
        <w:left w:val="none" w:sz="0" w:space="0" w:color="auto"/>
        <w:bottom w:val="none" w:sz="0" w:space="0" w:color="auto"/>
        <w:right w:val="none" w:sz="0" w:space="0" w:color="auto"/>
      </w:divBdr>
    </w:div>
    <w:div w:id="1213420542">
      <w:bodyDiv w:val="1"/>
      <w:marLeft w:val="0"/>
      <w:marRight w:val="0"/>
      <w:marTop w:val="0"/>
      <w:marBottom w:val="0"/>
      <w:divBdr>
        <w:top w:val="none" w:sz="0" w:space="0" w:color="auto"/>
        <w:left w:val="none" w:sz="0" w:space="0" w:color="auto"/>
        <w:bottom w:val="none" w:sz="0" w:space="0" w:color="auto"/>
        <w:right w:val="none" w:sz="0" w:space="0" w:color="auto"/>
      </w:divBdr>
    </w:div>
    <w:div w:id="1224607504">
      <w:bodyDiv w:val="1"/>
      <w:marLeft w:val="0"/>
      <w:marRight w:val="0"/>
      <w:marTop w:val="0"/>
      <w:marBottom w:val="0"/>
      <w:divBdr>
        <w:top w:val="none" w:sz="0" w:space="0" w:color="auto"/>
        <w:left w:val="none" w:sz="0" w:space="0" w:color="auto"/>
        <w:bottom w:val="none" w:sz="0" w:space="0" w:color="auto"/>
        <w:right w:val="none" w:sz="0" w:space="0" w:color="auto"/>
      </w:divBdr>
    </w:div>
    <w:div w:id="1282492403">
      <w:bodyDiv w:val="1"/>
      <w:marLeft w:val="0"/>
      <w:marRight w:val="0"/>
      <w:marTop w:val="0"/>
      <w:marBottom w:val="0"/>
      <w:divBdr>
        <w:top w:val="none" w:sz="0" w:space="0" w:color="auto"/>
        <w:left w:val="none" w:sz="0" w:space="0" w:color="auto"/>
        <w:bottom w:val="none" w:sz="0" w:space="0" w:color="auto"/>
        <w:right w:val="none" w:sz="0" w:space="0" w:color="auto"/>
      </w:divBdr>
    </w:div>
    <w:div w:id="1307516980">
      <w:bodyDiv w:val="1"/>
      <w:marLeft w:val="0"/>
      <w:marRight w:val="0"/>
      <w:marTop w:val="0"/>
      <w:marBottom w:val="0"/>
      <w:divBdr>
        <w:top w:val="none" w:sz="0" w:space="0" w:color="auto"/>
        <w:left w:val="none" w:sz="0" w:space="0" w:color="auto"/>
        <w:bottom w:val="none" w:sz="0" w:space="0" w:color="auto"/>
        <w:right w:val="none" w:sz="0" w:space="0" w:color="auto"/>
      </w:divBdr>
    </w:div>
    <w:div w:id="1340307897">
      <w:bodyDiv w:val="1"/>
      <w:marLeft w:val="0"/>
      <w:marRight w:val="0"/>
      <w:marTop w:val="0"/>
      <w:marBottom w:val="0"/>
      <w:divBdr>
        <w:top w:val="none" w:sz="0" w:space="0" w:color="auto"/>
        <w:left w:val="none" w:sz="0" w:space="0" w:color="auto"/>
        <w:bottom w:val="none" w:sz="0" w:space="0" w:color="auto"/>
        <w:right w:val="none" w:sz="0" w:space="0" w:color="auto"/>
      </w:divBdr>
    </w:div>
    <w:div w:id="1360428325">
      <w:bodyDiv w:val="1"/>
      <w:marLeft w:val="0"/>
      <w:marRight w:val="0"/>
      <w:marTop w:val="0"/>
      <w:marBottom w:val="0"/>
      <w:divBdr>
        <w:top w:val="none" w:sz="0" w:space="0" w:color="auto"/>
        <w:left w:val="none" w:sz="0" w:space="0" w:color="auto"/>
        <w:bottom w:val="none" w:sz="0" w:space="0" w:color="auto"/>
        <w:right w:val="none" w:sz="0" w:space="0" w:color="auto"/>
      </w:divBdr>
    </w:div>
    <w:div w:id="1421632954">
      <w:bodyDiv w:val="1"/>
      <w:marLeft w:val="0"/>
      <w:marRight w:val="0"/>
      <w:marTop w:val="0"/>
      <w:marBottom w:val="0"/>
      <w:divBdr>
        <w:top w:val="none" w:sz="0" w:space="0" w:color="auto"/>
        <w:left w:val="none" w:sz="0" w:space="0" w:color="auto"/>
        <w:bottom w:val="none" w:sz="0" w:space="0" w:color="auto"/>
        <w:right w:val="none" w:sz="0" w:space="0" w:color="auto"/>
      </w:divBdr>
    </w:div>
    <w:div w:id="1440219623">
      <w:bodyDiv w:val="1"/>
      <w:marLeft w:val="0"/>
      <w:marRight w:val="0"/>
      <w:marTop w:val="0"/>
      <w:marBottom w:val="0"/>
      <w:divBdr>
        <w:top w:val="none" w:sz="0" w:space="0" w:color="auto"/>
        <w:left w:val="none" w:sz="0" w:space="0" w:color="auto"/>
        <w:bottom w:val="none" w:sz="0" w:space="0" w:color="auto"/>
        <w:right w:val="none" w:sz="0" w:space="0" w:color="auto"/>
      </w:divBdr>
    </w:div>
    <w:div w:id="1502425666">
      <w:bodyDiv w:val="1"/>
      <w:marLeft w:val="0"/>
      <w:marRight w:val="0"/>
      <w:marTop w:val="0"/>
      <w:marBottom w:val="0"/>
      <w:divBdr>
        <w:top w:val="none" w:sz="0" w:space="0" w:color="auto"/>
        <w:left w:val="none" w:sz="0" w:space="0" w:color="auto"/>
        <w:bottom w:val="none" w:sz="0" w:space="0" w:color="auto"/>
        <w:right w:val="none" w:sz="0" w:space="0" w:color="auto"/>
      </w:divBdr>
    </w:div>
    <w:div w:id="1584605657">
      <w:bodyDiv w:val="1"/>
      <w:marLeft w:val="0"/>
      <w:marRight w:val="0"/>
      <w:marTop w:val="0"/>
      <w:marBottom w:val="0"/>
      <w:divBdr>
        <w:top w:val="none" w:sz="0" w:space="0" w:color="auto"/>
        <w:left w:val="none" w:sz="0" w:space="0" w:color="auto"/>
        <w:bottom w:val="none" w:sz="0" w:space="0" w:color="auto"/>
        <w:right w:val="none" w:sz="0" w:space="0" w:color="auto"/>
      </w:divBdr>
    </w:div>
    <w:div w:id="1684361933">
      <w:bodyDiv w:val="1"/>
      <w:marLeft w:val="0"/>
      <w:marRight w:val="0"/>
      <w:marTop w:val="0"/>
      <w:marBottom w:val="0"/>
      <w:divBdr>
        <w:top w:val="none" w:sz="0" w:space="0" w:color="auto"/>
        <w:left w:val="none" w:sz="0" w:space="0" w:color="auto"/>
        <w:bottom w:val="none" w:sz="0" w:space="0" w:color="auto"/>
        <w:right w:val="none" w:sz="0" w:space="0" w:color="auto"/>
      </w:divBdr>
    </w:div>
    <w:div w:id="1691447658">
      <w:bodyDiv w:val="1"/>
      <w:marLeft w:val="0"/>
      <w:marRight w:val="0"/>
      <w:marTop w:val="0"/>
      <w:marBottom w:val="0"/>
      <w:divBdr>
        <w:top w:val="none" w:sz="0" w:space="0" w:color="auto"/>
        <w:left w:val="none" w:sz="0" w:space="0" w:color="auto"/>
        <w:bottom w:val="none" w:sz="0" w:space="0" w:color="auto"/>
        <w:right w:val="none" w:sz="0" w:space="0" w:color="auto"/>
      </w:divBdr>
    </w:div>
    <w:div w:id="1709838296">
      <w:bodyDiv w:val="1"/>
      <w:marLeft w:val="0"/>
      <w:marRight w:val="0"/>
      <w:marTop w:val="0"/>
      <w:marBottom w:val="0"/>
      <w:divBdr>
        <w:top w:val="none" w:sz="0" w:space="0" w:color="auto"/>
        <w:left w:val="none" w:sz="0" w:space="0" w:color="auto"/>
        <w:bottom w:val="none" w:sz="0" w:space="0" w:color="auto"/>
        <w:right w:val="none" w:sz="0" w:space="0" w:color="auto"/>
      </w:divBdr>
    </w:div>
    <w:div w:id="1807700997">
      <w:bodyDiv w:val="1"/>
      <w:marLeft w:val="0"/>
      <w:marRight w:val="0"/>
      <w:marTop w:val="0"/>
      <w:marBottom w:val="0"/>
      <w:divBdr>
        <w:top w:val="none" w:sz="0" w:space="0" w:color="auto"/>
        <w:left w:val="none" w:sz="0" w:space="0" w:color="auto"/>
        <w:bottom w:val="none" w:sz="0" w:space="0" w:color="auto"/>
        <w:right w:val="none" w:sz="0" w:space="0" w:color="auto"/>
      </w:divBdr>
    </w:div>
    <w:div w:id="1842039275">
      <w:bodyDiv w:val="1"/>
      <w:marLeft w:val="0"/>
      <w:marRight w:val="0"/>
      <w:marTop w:val="0"/>
      <w:marBottom w:val="0"/>
      <w:divBdr>
        <w:top w:val="none" w:sz="0" w:space="0" w:color="auto"/>
        <w:left w:val="none" w:sz="0" w:space="0" w:color="auto"/>
        <w:bottom w:val="none" w:sz="0" w:space="0" w:color="auto"/>
        <w:right w:val="none" w:sz="0" w:space="0" w:color="auto"/>
      </w:divBdr>
    </w:div>
    <w:div w:id="1842045466">
      <w:bodyDiv w:val="1"/>
      <w:marLeft w:val="0"/>
      <w:marRight w:val="0"/>
      <w:marTop w:val="0"/>
      <w:marBottom w:val="0"/>
      <w:divBdr>
        <w:top w:val="none" w:sz="0" w:space="0" w:color="auto"/>
        <w:left w:val="none" w:sz="0" w:space="0" w:color="auto"/>
        <w:bottom w:val="none" w:sz="0" w:space="0" w:color="auto"/>
        <w:right w:val="none" w:sz="0" w:space="0" w:color="auto"/>
      </w:divBdr>
    </w:div>
    <w:div w:id="1872451705">
      <w:bodyDiv w:val="1"/>
      <w:marLeft w:val="0"/>
      <w:marRight w:val="0"/>
      <w:marTop w:val="0"/>
      <w:marBottom w:val="0"/>
      <w:divBdr>
        <w:top w:val="none" w:sz="0" w:space="0" w:color="auto"/>
        <w:left w:val="none" w:sz="0" w:space="0" w:color="auto"/>
        <w:bottom w:val="none" w:sz="0" w:space="0" w:color="auto"/>
        <w:right w:val="none" w:sz="0" w:space="0" w:color="auto"/>
      </w:divBdr>
    </w:div>
    <w:div w:id="1962221040">
      <w:bodyDiv w:val="1"/>
      <w:marLeft w:val="0"/>
      <w:marRight w:val="0"/>
      <w:marTop w:val="0"/>
      <w:marBottom w:val="0"/>
      <w:divBdr>
        <w:top w:val="none" w:sz="0" w:space="0" w:color="auto"/>
        <w:left w:val="none" w:sz="0" w:space="0" w:color="auto"/>
        <w:bottom w:val="none" w:sz="0" w:space="0" w:color="auto"/>
        <w:right w:val="none" w:sz="0" w:space="0" w:color="auto"/>
      </w:divBdr>
    </w:div>
    <w:div w:id="1962952391">
      <w:bodyDiv w:val="1"/>
      <w:marLeft w:val="0"/>
      <w:marRight w:val="0"/>
      <w:marTop w:val="0"/>
      <w:marBottom w:val="0"/>
      <w:divBdr>
        <w:top w:val="none" w:sz="0" w:space="0" w:color="auto"/>
        <w:left w:val="none" w:sz="0" w:space="0" w:color="auto"/>
        <w:bottom w:val="none" w:sz="0" w:space="0" w:color="auto"/>
        <w:right w:val="none" w:sz="0" w:space="0" w:color="auto"/>
      </w:divBdr>
    </w:div>
    <w:div w:id="1982612218">
      <w:bodyDiv w:val="1"/>
      <w:marLeft w:val="0"/>
      <w:marRight w:val="0"/>
      <w:marTop w:val="0"/>
      <w:marBottom w:val="0"/>
      <w:divBdr>
        <w:top w:val="none" w:sz="0" w:space="0" w:color="auto"/>
        <w:left w:val="none" w:sz="0" w:space="0" w:color="auto"/>
        <w:bottom w:val="none" w:sz="0" w:space="0" w:color="auto"/>
        <w:right w:val="none" w:sz="0" w:space="0" w:color="auto"/>
      </w:divBdr>
    </w:div>
    <w:div w:id="2006014600">
      <w:bodyDiv w:val="1"/>
      <w:marLeft w:val="0"/>
      <w:marRight w:val="0"/>
      <w:marTop w:val="0"/>
      <w:marBottom w:val="0"/>
      <w:divBdr>
        <w:top w:val="none" w:sz="0" w:space="0" w:color="auto"/>
        <w:left w:val="none" w:sz="0" w:space="0" w:color="auto"/>
        <w:bottom w:val="none" w:sz="0" w:space="0" w:color="auto"/>
        <w:right w:val="none" w:sz="0" w:space="0" w:color="auto"/>
      </w:divBdr>
    </w:div>
    <w:div w:id="2092041416">
      <w:bodyDiv w:val="1"/>
      <w:marLeft w:val="0"/>
      <w:marRight w:val="0"/>
      <w:marTop w:val="0"/>
      <w:marBottom w:val="0"/>
      <w:divBdr>
        <w:top w:val="none" w:sz="0" w:space="0" w:color="auto"/>
        <w:left w:val="none" w:sz="0" w:space="0" w:color="auto"/>
        <w:bottom w:val="none" w:sz="0" w:space="0" w:color="auto"/>
        <w:right w:val="none" w:sz="0" w:space="0" w:color="auto"/>
      </w:divBdr>
    </w:div>
    <w:div w:id="213772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37</TotalTime>
  <Pages>16</Pages>
  <Words>4726</Words>
  <Characters>30387</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35043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2025064099, MT</dc:description>
  <cp:lastModifiedBy>Gitte Jørgensen</cp:lastModifiedBy>
  <cp:revision>5</cp:revision>
  <cp:lastPrinted>2012-08-22T08:53:00Z</cp:lastPrinted>
  <dcterms:created xsi:type="dcterms:W3CDTF">2026-04-14T11:37:00Z</dcterms:created>
  <dcterms:modified xsi:type="dcterms:W3CDTF">2026-04-21T07:28:00Z</dcterms:modified>
</cp:coreProperties>
</file>