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E40C4" w14:textId="77777777" w:rsidR="009260DE" w:rsidRPr="002F3582" w:rsidRDefault="0021526C" w:rsidP="009260DE">
      <w:pPr>
        <w:rPr>
          <w:sz w:val="24"/>
          <w:szCs w:val="24"/>
        </w:rPr>
      </w:pPr>
      <w:r w:rsidRPr="002F3582">
        <w:rPr>
          <w:noProof/>
          <w:sz w:val="24"/>
          <w:szCs w:val="24"/>
          <w:lang w:eastAsia="da-DK"/>
        </w:rPr>
        <w:drawing>
          <wp:anchor distT="0" distB="0" distL="114300" distR="114300" simplePos="0" relativeHeight="251658240" behindDoc="0" locked="0" layoutInCell="1" allowOverlap="1" wp14:anchorId="20F96C67" wp14:editId="1BC06AE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F3582">
        <w:rPr>
          <w:sz w:val="24"/>
          <w:szCs w:val="24"/>
        </w:rPr>
        <w:br w:type="textWrapping" w:clear="all"/>
      </w:r>
    </w:p>
    <w:p w14:paraId="3A76D759" w14:textId="5D07955F" w:rsidR="009260DE" w:rsidRPr="002F3582" w:rsidRDefault="009260DE" w:rsidP="009260DE">
      <w:pPr>
        <w:pStyle w:val="Titel"/>
        <w:tabs>
          <w:tab w:val="right" w:pos="9356"/>
        </w:tabs>
        <w:jc w:val="left"/>
        <w:rPr>
          <w:b w:val="0"/>
          <w:szCs w:val="24"/>
          <w:lang w:eastAsia="en-US"/>
        </w:rPr>
      </w:pPr>
      <w:r w:rsidRPr="002F3582">
        <w:rPr>
          <w:b w:val="0"/>
          <w:szCs w:val="24"/>
          <w:lang w:eastAsia="en-US"/>
        </w:rPr>
        <w:tab/>
      </w:r>
      <w:r w:rsidR="00E83043">
        <w:rPr>
          <w:szCs w:val="24"/>
        </w:rPr>
        <w:t>2</w:t>
      </w:r>
      <w:r w:rsidR="00A87F93">
        <w:rPr>
          <w:szCs w:val="24"/>
        </w:rPr>
        <w:t>9. februar 2024</w:t>
      </w:r>
    </w:p>
    <w:p w14:paraId="7C303597" w14:textId="77777777" w:rsidR="009260DE" w:rsidRPr="002F3582" w:rsidRDefault="009260DE" w:rsidP="009260DE">
      <w:pPr>
        <w:pStyle w:val="Titel"/>
        <w:tabs>
          <w:tab w:val="left" w:pos="8222"/>
        </w:tabs>
        <w:jc w:val="left"/>
        <w:rPr>
          <w:b w:val="0"/>
          <w:szCs w:val="24"/>
        </w:rPr>
      </w:pPr>
    </w:p>
    <w:p w14:paraId="6084CDE7" w14:textId="4E872607" w:rsidR="009260DE" w:rsidRPr="002F3582" w:rsidRDefault="009260DE" w:rsidP="009260DE">
      <w:pPr>
        <w:pStyle w:val="Titel"/>
        <w:jc w:val="left"/>
        <w:rPr>
          <w:b w:val="0"/>
          <w:szCs w:val="24"/>
        </w:rPr>
      </w:pPr>
    </w:p>
    <w:p w14:paraId="61DBEE0F" w14:textId="77777777" w:rsidR="009260DE" w:rsidRPr="002F3582" w:rsidRDefault="009260DE" w:rsidP="009260DE">
      <w:pPr>
        <w:pStyle w:val="Titel"/>
        <w:jc w:val="left"/>
        <w:rPr>
          <w:b w:val="0"/>
          <w:szCs w:val="24"/>
        </w:rPr>
      </w:pPr>
    </w:p>
    <w:p w14:paraId="4D4898CE" w14:textId="77777777" w:rsidR="009260DE" w:rsidRPr="002F3582" w:rsidRDefault="009260DE" w:rsidP="009260DE">
      <w:pPr>
        <w:jc w:val="center"/>
        <w:rPr>
          <w:b/>
          <w:sz w:val="24"/>
          <w:szCs w:val="24"/>
        </w:rPr>
      </w:pPr>
      <w:r w:rsidRPr="002F3582">
        <w:rPr>
          <w:b/>
          <w:sz w:val="24"/>
          <w:szCs w:val="24"/>
        </w:rPr>
        <w:t>PRODUKTRESUMÉ</w:t>
      </w:r>
    </w:p>
    <w:p w14:paraId="751AEB21" w14:textId="77777777" w:rsidR="009260DE" w:rsidRPr="002F3582" w:rsidRDefault="009260DE" w:rsidP="009260DE">
      <w:pPr>
        <w:jc w:val="center"/>
        <w:rPr>
          <w:b/>
          <w:sz w:val="24"/>
          <w:szCs w:val="24"/>
        </w:rPr>
      </w:pPr>
    </w:p>
    <w:p w14:paraId="24BB3817" w14:textId="77777777" w:rsidR="009260DE" w:rsidRPr="002F3582" w:rsidRDefault="009260DE" w:rsidP="009260DE">
      <w:pPr>
        <w:jc w:val="center"/>
        <w:rPr>
          <w:b/>
          <w:sz w:val="24"/>
          <w:szCs w:val="24"/>
        </w:rPr>
      </w:pPr>
      <w:r w:rsidRPr="002F3582">
        <w:rPr>
          <w:b/>
          <w:sz w:val="24"/>
          <w:szCs w:val="24"/>
        </w:rPr>
        <w:t>for</w:t>
      </w:r>
    </w:p>
    <w:p w14:paraId="3D63A1CC" w14:textId="77777777" w:rsidR="000B058C" w:rsidRPr="002F3582" w:rsidRDefault="000B058C" w:rsidP="009260DE">
      <w:pPr>
        <w:jc w:val="center"/>
        <w:rPr>
          <w:b/>
          <w:sz w:val="24"/>
          <w:szCs w:val="24"/>
        </w:rPr>
      </w:pPr>
    </w:p>
    <w:p w14:paraId="3242E7FA" w14:textId="47461328" w:rsidR="009260DE" w:rsidRPr="002F3582" w:rsidRDefault="00DB0217" w:rsidP="009260DE">
      <w:pPr>
        <w:jc w:val="center"/>
        <w:rPr>
          <w:b/>
          <w:sz w:val="24"/>
          <w:szCs w:val="24"/>
        </w:rPr>
      </w:pPr>
      <w:proofErr w:type="spellStart"/>
      <w:r w:rsidRPr="002F3582">
        <w:rPr>
          <w:b/>
          <w:sz w:val="24"/>
          <w:szCs w:val="24"/>
        </w:rPr>
        <w:t>Anidulafungin</w:t>
      </w:r>
      <w:proofErr w:type="spellEnd"/>
      <w:r w:rsidRPr="002F3582">
        <w:rPr>
          <w:b/>
          <w:sz w:val="24"/>
          <w:szCs w:val="24"/>
        </w:rPr>
        <w:t xml:space="preserve"> "</w:t>
      </w:r>
      <w:proofErr w:type="spellStart"/>
      <w:r w:rsidRPr="002F3582">
        <w:rPr>
          <w:b/>
          <w:sz w:val="24"/>
          <w:szCs w:val="24"/>
        </w:rPr>
        <w:t>Reig</w:t>
      </w:r>
      <w:proofErr w:type="spellEnd"/>
      <w:r w:rsidRPr="002F3582">
        <w:rPr>
          <w:b/>
          <w:sz w:val="24"/>
          <w:szCs w:val="24"/>
        </w:rPr>
        <w:t xml:space="preserve"> </w:t>
      </w:r>
      <w:proofErr w:type="spellStart"/>
      <w:r w:rsidRPr="002F3582">
        <w:rPr>
          <w:b/>
          <w:sz w:val="24"/>
          <w:szCs w:val="24"/>
        </w:rPr>
        <w:t>Jofre</w:t>
      </w:r>
      <w:proofErr w:type="spellEnd"/>
      <w:r w:rsidRPr="002F3582">
        <w:rPr>
          <w:b/>
          <w:sz w:val="24"/>
          <w:szCs w:val="24"/>
        </w:rPr>
        <w:t xml:space="preserve">", pulver </w:t>
      </w:r>
      <w:r w:rsidR="006C4FD2" w:rsidRPr="002F3582">
        <w:rPr>
          <w:b/>
          <w:sz w:val="24"/>
          <w:szCs w:val="24"/>
        </w:rPr>
        <w:t>til koncentrat til infusionsvæske, opløsning</w:t>
      </w:r>
    </w:p>
    <w:p w14:paraId="4BCA25A1" w14:textId="77777777" w:rsidR="009260DE" w:rsidRPr="002F3582" w:rsidRDefault="009260DE" w:rsidP="009260DE">
      <w:pPr>
        <w:jc w:val="both"/>
        <w:rPr>
          <w:sz w:val="24"/>
          <w:szCs w:val="24"/>
        </w:rPr>
      </w:pPr>
    </w:p>
    <w:p w14:paraId="25127A17" w14:textId="77777777" w:rsidR="009260DE" w:rsidRPr="007B4B68" w:rsidRDefault="009260DE" w:rsidP="00977B2E">
      <w:pPr>
        <w:ind w:left="851" w:hanging="851"/>
        <w:jc w:val="both"/>
        <w:rPr>
          <w:sz w:val="24"/>
          <w:szCs w:val="24"/>
        </w:rPr>
      </w:pPr>
    </w:p>
    <w:p w14:paraId="50E28DB6" w14:textId="77777777" w:rsidR="009260DE" w:rsidRPr="007B4B68" w:rsidRDefault="009260DE" w:rsidP="00977B2E">
      <w:pPr>
        <w:tabs>
          <w:tab w:val="left" w:pos="851"/>
        </w:tabs>
        <w:ind w:left="851" w:hanging="851"/>
        <w:rPr>
          <w:b/>
          <w:sz w:val="24"/>
          <w:szCs w:val="24"/>
        </w:rPr>
      </w:pPr>
      <w:r w:rsidRPr="007B4B68">
        <w:rPr>
          <w:b/>
          <w:sz w:val="24"/>
          <w:szCs w:val="24"/>
        </w:rPr>
        <w:t>0.</w:t>
      </w:r>
      <w:r w:rsidRPr="007B4B68">
        <w:rPr>
          <w:b/>
          <w:sz w:val="24"/>
          <w:szCs w:val="24"/>
        </w:rPr>
        <w:tab/>
        <w:t>D.SP.NR.</w:t>
      </w:r>
    </w:p>
    <w:p w14:paraId="1E63524A" w14:textId="2C77A6BC" w:rsidR="009260DE" w:rsidRPr="007B4B68" w:rsidRDefault="006C4FD2" w:rsidP="00977B2E">
      <w:pPr>
        <w:tabs>
          <w:tab w:val="left" w:pos="851"/>
        </w:tabs>
        <w:ind w:left="851"/>
        <w:rPr>
          <w:sz w:val="24"/>
          <w:szCs w:val="24"/>
        </w:rPr>
      </w:pPr>
      <w:r w:rsidRPr="007B4B68">
        <w:rPr>
          <w:sz w:val="24"/>
          <w:szCs w:val="24"/>
        </w:rPr>
        <w:t>31611</w:t>
      </w:r>
    </w:p>
    <w:p w14:paraId="6358AC2F" w14:textId="77777777" w:rsidR="009260DE" w:rsidRPr="007B4B68" w:rsidRDefault="009260DE" w:rsidP="00977B2E">
      <w:pPr>
        <w:tabs>
          <w:tab w:val="left" w:pos="851"/>
        </w:tabs>
        <w:ind w:left="851" w:hanging="851"/>
        <w:rPr>
          <w:sz w:val="24"/>
          <w:szCs w:val="24"/>
        </w:rPr>
      </w:pPr>
    </w:p>
    <w:p w14:paraId="5BD275F7" w14:textId="77777777" w:rsidR="009260DE" w:rsidRPr="007B4B68" w:rsidRDefault="009260DE" w:rsidP="00977B2E">
      <w:pPr>
        <w:tabs>
          <w:tab w:val="left" w:pos="851"/>
        </w:tabs>
        <w:ind w:left="851" w:hanging="851"/>
        <w:rPr>
          <w:b/>
          <w:sz w:val="24"/>
          <w:szCs w:val="24"/>
        </w:rPr>
      </w:pPr>
      <w:r w:rsidRPr="007B4B68">
        <w:rPr>
          <w:b/>
          <w:sz w:val="24"/>
          <w:szCs w:val="24"/>
        </w:rPr>
        <w:t>1.</w:t>
      </w:r>
      <w:r w:rsidRPr="007B4B68">
        <w:rPr>
          <w:b/>
          <w:sz w:val="24"/>
          <w:szCs w:val="24"/>
        </w:rPr>
        <w:tab/>
        <w:t>LÆGEMIDLETS NAVN</w:t>
      </w:r>
    </w:p>
    <w:p w14:paraId="34047E57" w14:textId="3EF0AEED" w:rsidR="009260DE" w:rsidRPr="007B4B68" w:rsidRDefault="006C4FD2" w:rsidP="00977B2E">
      <w:pPr>
        <w:tabs>
          <w:tab w:val="left" w:pos="851"/>
        </w:tabs>
        <w:ind w:left="851"/>
        <w:rPr>
          <w:sz w:val="24"/>
          <w:szCs w:val="24"/>
        </w:rPr>
      </w:pPr>
      <w:proofErr w:type="spellStart"/>
      <w:r w:rsidRPr="007B4B68">
        <w:rPr>
          <w:sz w:val="24"/>
          <w:szCs w:val="24"/>
        </w:rPr>
        <w:t>Anidulafungin</w:t>
      </w:r>
      <w:proofErr w:type="spellEnd"/>
      <w:r w:rsidRPr="007B4B68">
        <w:rPr>
          <w:sz w:val="24"/>
          <w:szCs w:val="24"/>
        </w:rPr>
        <w:t xml:space="preserve"> "</w:t>
      </w:r>
      <w:proofErr w:type="spellStart"/>
      <w:r w:rsidRPr="007B4B68">
        <w:rPr>
          <w:sz w:val="24"/>
          <w:szCs w:val="24"/>
        </w:rPr>
        <w:t>Reig</w:t>
      </w:r>
      <w:proofErr w:type="spellEnd"/>
      <w:r w:rsidRPr="007B4B68">
        <w:rPr>
          <w:sz w:val="24"/>
          <w:szCs w:val="24"/>
        </w:rPr>
        <w:t xml:space="preserve"> </w:t>
      </w:r>
      <w:proofErr w:type="spellStart"/>
      <w:r w:rsidRPr="007B4B68">
        <w:rPr>
          <w:sz w:val="24"/>
          <w:szCs w:val="24"/>
        </w:rPr>
        <w:t>Jofre</w:t>
      </w:r>
      <w:proofErr w:type="spellEnd"/>
      <w:r w:rsidRPr="007B4B68">
        <w:rPr>
          <w:sz w:val="24"/>
          <w:szCs w:val="24"/>
        </w:rPr>
        <w:t>"</w:t>
      </w:r>
    </w:p>
    <w:p w14:paraId="2B6FA1E1" w14:textId="77777777" w:rsidR="009260DE" w:rsidRPr="007B4B68" w:rsidRDefault="009260DE" w:rsidP="00977B2E">
      <w:pPr>
        <w:tabs>
          <w:tab w:val="left" w:pos="851"/>
        </w:tabs>
        <w:ind w:left="851" w:hanging="851"/>
        <w:rPr>
          <w:sz w:val="24"/>
          <w:szCs w:val="24"/>
        </w:rPr>
      </w:pPr>
    </w:p>
    <w:p w14:paraId="74A1F925" w14:textId="77777777" w:rsidR="009260DE" w:rsidRPr="007B4B68" w:rsidRDefault="009260DE" w:rsidP="00977B2E">
      <w:pPr>
        <w:tabs>
          <w:tab w:val="left" w:pos="851"/>
        </w:tabs>
        <w:ind w:left="851" w:hanging="851"/>
        <w:rPr>
          <w:b/>
          <w:sz w:val="24"/>
          <w:szCs w:val="24"/>
        </w:rPr>
      </w:pPr>
      <w:r w:rsidRPr="007B4B68">
        <w:rPr>
          <w:b/>
          <w:sz w:val="24"/>
          <w:szCs w:val="24"/>
        </w:rPr>
        <w:t>2.</w:t>
      </w:r>
      <w:r w:rsidRPr="007B4B68">
        <w:rPr>
          <w:b/>
          <w:sz w:val="24"/>
          <w:szCs w:val="24"/>
        </w:rPr>
        <w:tab/>
        <w:t>KVALITATIV OG KVANTITATIV SAMMENSÆTNING</w:t>
      </w:r>
    </w:p>
    <w:p w14:paraId="5760A197" w14:textId="77777777" w:rsidR="009B6DCC" w:rsidRPr="007B4B68" w:rsidRDefault="009B6DCC" w:rsidP="00FD4045">
      <w:pPr>
        <w:suppressAutoHyphens/>
        <w:ind w:left="851"/>
        <w:rPr>
          <w:sz w:val="24"/>
          <w:szCs w:val="24"/>
        </w:rPr>
      </w:pPr>
      <w:r w:rsidRPr="007B4B68">
        <w:rPr>
          <w:sz w:val="24"/>
          <w:szCs w:val="24"/>
        </w:rPr>
        <w:t xml:space="preserve">Hvert hætteglas indeholder 100 mg </w:t>
      </w:r>
      <w:proofErr w:type="spellStart"/>
      <w:r w:rsidRPr="007B4B68">
        <w:rPr>
          <w:sz w:val="24"/>
          <w:szCs w:val="24"/>
        </w:rPr>
        <w:t>anidulafungin</w:t>
      </w:r>
      <w:proofErr w:type="spellEnd"/>
      <w:r w:rsidRPr="007B4B68">
        <w:rPr>
          <w:sz w:val="24"/>
          <w:szCs w:val="24"/>
        </w:rPr>
        <w:t>.</w:t>
      </w:r>
    </w:p>
    <w:p w14:paraId="4F465247" w14:textId="2EB8C086" w:rsidR="009B6DCC" w:rsidRPr="007B4B68" w:rsidRDefault="009B6DCC" w:rsidP="00FD4045">
      <w:pPr>
        <w:suppressAutoHyphens/>
        <w:ind w:left="851"/>
        <w:rPr>
          <w:sz w:val="24"/>
          <w:szCs w:val="24"/>
        </w:rPr>
      </w:pPr>
      <w:r w:rsidRPr="007B4B68">
        <w:rPr>
          <w:sz w:val="24"/>
          <w:szCs w:val="24"/>
        </w:rPr>
        <w:t xml:space="preserve">Den </w:t>
      </w:r>
      <w:proofErr w:type="spellStart"/>
      <w:r w:rsidRPr="007B4B68">
        <w:rPr>
          <w:sz w:val="24"/>
          <w:szCs w:val="24"/>
        </w:rPr>
        <w:t>rekonstituerede</w:t>
      </w:r>
      <w:proofErr w:type="spellEnd"/>
      <w:r w:rsidRPr="007B4B68">
        <w:rPr>
          <w:sz w:val="24"/>
          <w:szCs w:val="24"/>
        </w:rPr>
        <w:t xml:space="preserve"> opløsning indeholder 3,33 mg/ml </w:t>
      </w:r>
      <w:proofErr w:type="spellStart"/>
      <w:r w:rsidRPr="007B4B68">
        <w:rPr>
          <w:sz w:val="24"/>
          <w:szCs w:val="24"/>
        </w:rPr>
        <w:t>anidulafungin</w:t>
      </w:r>
      <w:proofErr w:type="spellEnd"/>
      <w:r w:rsidRPr="007B4B68">
        <w:rPr>
          <w:sz w:val="24"/>
          <w:szCs w:val="24"/>
        </w:rPr>
        <w:t>, og den fortyndede opløsning</w:t>
      </w:r>
      <w:r w:rsidR="0049087F" w:rsidRPr="007B4B68">
        <w:rPr>
          <w:sz w:val="24"/>
          <w:szCs w:val="24"/>
        </w:rPr>
        <w:t xml:space="preserve"> </w:t>
      </w:r>
      <w:r w:rsidRPr="007B4B68">
        <w:rPr>
          <w:sz w:val="24"/>
          <w:szCs w:val="24"/>
        </w:rPr>
        <w:t xml:space="preserve">indeholder 0,77 mg/ml </w:t>
      </w:r>
      <w:proofErr w:type="spellStart"/>
      <w:r w:rsidRPr="007B4B68">
        <w:rPr>
          <w:sz w:val="24"/>
          <w:szCs w:val="24"/>
        </w:rPr>
        <w:t>anidulafungin</w:t>
      </w:r>
      <w:proofErr w:type="spellEnd"/>
      <w:r w:rsidRPr="007B4B68">
        <w:rPr>
          <w:sz w:val="24"/>
          <w:szCs w:val="24"/>
        </w:rPr>
        <w:t>.</w:t>
      </w:r>
    </w:p>
    <w:p w14:paraId="57CF5C9C" w14:textId="77777777" w:rsidR="009B6DCC" w:rsidRPr="007B4B68" w:rsidRDefault="009B6DCC" w:rsidP="00FD4045">
      <w:pPr>
        <w:suppressAutoHyphens/>
        <w:ind w:left="851"/>
        <w:rPr>
          <w:sz w:val="24"/>
          <w:szCs w:val="24"/>
        </w:rPr>
      </w:pPr>
    </w:p>
    <w:p w14:paraId="19F1248C" w14:textId="77777777" w:rsidR="00E67648" w:rsidRDefault="009B6DCC" w:rsidP="00FD4045">
      <w:pPr>
        <w:suppressAutoHyphens/>
        <w:ind w:left="851"/>
        <w:rPr>
          <w:sz w:val="24"/>
          <w:szCs w:val="24"/>
        </w:rPr>
      </w:pPr>
      <w:r w:rsidRPr="007B4B68">
        <w:rPr>
          <w:sz w:val="24"/>
          <w:szCs w:val="24"/>
          <w:u w:val="single"/>
        </w:rPr>
        <w:t>Hjælpestof, som behandleren skal være opmærksom på:</w:t>
      </w:r>
      <w:r w:rsidRPr="007B4B68">
        <w:rPr>
          <w:sz w:val="24"/>
          <w:szCs w:val="24"/>
        </w:rPr>
        <w:t xml:space="preserve"> </w:t>
      </w:r>
    </w:p>
    <w:p w14:paraId="4920BF50" w14:textId="0A41D0BA" w:rsidR="009B6DCC" w:rsidRPr="007B4B68" w:rsidRDefault="009B6DCC" w:rsidP="00FD4045">
      <w:pPr>
        <w:suppressAutoHyphens/>
        <w:ind w:left="851"/>
        <w:rPr>
          <w:sz w:val="24"/>
          <w:szCs w:val="24"/>
        </w:rPr>
      </w:pPr>
      <w:proofErr w:type="spellStart"/>
      <w:r w:rsidRPr="007B4B68">
        <w:rPr>
          <w:sz w:val="24"/>
          <w:szCs w:val="24"/>
        </w:rPr>
        <w:t>Fructose</w:t>
      </w:r>
      <w:proofErr w:type="spellEnd"/>
      <w:r w:rsidRPr="007B4B68">
        <w:rPr>
          <w:sz w:val="24"/>
          <w:szCs w:val="24"/>
        </w:rPr>
        <w:t xml:space="preserve"> 102,5 mg pr. hætteglas</w:t>
      </w:r>
    </w:p>
    <w:p w14:paraId="08583675" w14:textId="77777777" w:rsidR="009B6DCC" w:rsidRPr="007B4B68" w:rsidRDefault="009B6DCC" w:rsidP="00FD4045">
      <w:pPr>
        <w:suppressAutoHyphens/>
        <w:ind w:left="851"/>
        <w:rPr>
          <w:sz w:val="24"/>
          <w:szCs w:val="24"/>
        </w:rPr>
      </w:pPr>
    </w:p>
    <w:p w14:paraId="3B2DEA8A" w14:textId="77777777" w:rsidR="009B6DCC" w:rsidRPr="007B4B68" w:rsidRDefault="009B6DCC" w:rsidP="00FD4045">
      <w:pPr>
        <w:suppressAutoHyphens/>
        <w:ind w:left="851"/>
        <w:rPr>
          <w:sz w:val="24"/>
          <w:szCs w:val="24"/>
        </w:rPr>
      </w:pPr>
      <w:r w:rsidRPr="007B4B68">
        <w:rPr>
          <w:sz w:val="24"/>
          <w:szCs w:val="24"/>
        </w:rPr>
        <w:t>Alle hjælpestoffer er anført under pkt. 6.1.</w:t>
      </w:r>
    </w:p>
    <w:p w14:paraId="1F96F659" w14:textId="77777777" w:rsidR="009260DE" w:rsidRPr="007B4B68" w:rsidRDefault="009260DE" w:rsidP="00977B2E">
      <w:pPr>
        <w:tabs>
          <w:tab w:val="left" w:pos="851"/>
        </w:tabs>
        <w:ind w:left="851" w:hanging="851"/>
        <w:rPr>
          <w:sz w:val="24"/>
          <w:szCs w:val="24"/>
        </w:rPr>
      </w:pPr>
    </w:p>
    <w:p w14:paraId="7D758A7F" w14:textId="77777777" w:rsidR="009260DE" w:rsidRPr="007B4B68" w:rsidRDefault="009260DE" w:rsidP="00977B2E">
      <w:pPr>
        <w:tabs>
          <w:tab w:val="left" w:pos="851"/>
        </w:tabs>
        <w:ind w:left="851" w:hanging="851"/>
        <w:rPr>
          <w:b/>
          <w:sz w:val="24"/>
          <w:szCs w:val="24"/>
        </w:rPr>
      </w:pPr>
      <w:r w:rsidRPr="007B4B68">
        <w:rPr>
          <w:b/>
          <w:sz w:val="24"/>
          <w:szCs w:val="24"/>
        </w:rPr>
        <w:t>3.</w:t>
      </w:r>
      <w:r w:rsidRPr="007B4B68">
        <w:rPr>
          <w:b/>
          <w:sz w:val="24"/>
          <w:szCs w:val="24"/>
        </w:rPr>
        <w:tab/>
        <w:t>LÆGEMIDDELFORM</w:t>
      </w:r>
    </w:p>
    <w:p w14:paraId="74E0D19B" w14:textId="4BCF2EF9" w:rsidR="009B6DCC" w:rsidRPr="007B4B68" w:rsidRDefault="009B6DCC" w:rsidP="00FD4045">
      <w:pPr>
        <w:tabs>
          <w:tab w:val="left" w:pos="-720"/>
        </w:tabs>
        <w:suppressAutoHyphens/>
        <w:ind w:left="851"/>
        <w:rPr>
          <w:spacing w:val="-3"/>
          <w:sz w:val="24"/>
          <w:szCs w:val="24"/>
        </w:rPr>
      </w:pPr>
      <w:r w:rsidRPr="007B4B68">
        <w:rPr>
          <w:spacing w:val="-3"/>
          <w:sz w:val="24"/>
          <w:szCs w:val="24"/>
        </w:rPr>
        <w:t>Pulver til koncentrat til infusionsvæske, opløsning</w:t>
      </w:r>
    </w:p>
    <w:p w14:paraId="6FD623FD" w14:textId="77777777" w:rsidR="009B6DCC" w:rsidRPr="007B4B68" w:rsidRDefault="009B6DCC" w:rsidP="00FD4045">
      <w:pPr>
        <w:tabs>
          <w:tab w:val="left" w:pos="-720"/>
        </w:tabs>
        <w:suppressAutoHyphens/>
        <w:ind w:left="851"/>
        <w:rPr>
          <w:spacing w:val="-3"/>
          <w:sz w:val="24"/>
          <w:szCs w:val="24"/>
        </w:rPr>
      </w:pPr>
      <w:r w:rsidRPr="007B4B68">
        <w:rPr>
          <w:spacing w:val="-3"/>
          <w:sz w:val="24"/>
          <w:szCs w:val="24"/>
        </w:rPr>
        <w:t>Hvidt til råhvidt pulver.</w:t>
      </w:r>
    </w:p>
    <w:p w14:paraId="052F8458" w14:textId="77777777" w:rsidR="009B6DCC" w:rsidRPr="007B4B68" w:rsidRDefault="009B6DCC" w:rsidP="00FD4045">
      <w:pPr>
        <w:tabs>
          <w:tab w:val="left" w:pos="-720"/>
        </w:tabs>
        <w:suppressAutoHyphens/>
        <w:ind w:left="851"/>
        <w:rPr>
          <w:sz w:val="24"/>
          <w:szCs w:val="24"/>
        </w:rPr>
      </w:pPr>
      <w:r w:rsidRPr="007B4B68">
        <w:rPr>
          <w:spacing w:val="-3"/>
          <w:sz w:val="24"/>
          <w:szCs w:val="24"/>
        </w:rPr>
        <w:t xml:space="preserve">pH i den </w:t>
      </w:r>
      <w:proofErr w:type="spellStart"/>
      <w:r w:rsidRPr="007B4B68">
        <w:rPr>
          <w:spacing w:val="-3"/>
          <w:sz w:val="24"/>
          <w:szCs w:val="24"/>
        </w:rPr>
        <w:t>rekonstituerede</w:t>
      </w:r>
      <w:proofErr w:type="spellEnd"/>
      <w:r w:rsidRPr="007B4B68">
        <w:rPr>
          <w:spacing w:val="-3"/>
          <w:sz w:val="24"/>
          <w:szCs w:val="24"/>
        </w:rPr>
        <w:t xml:space="preserve"> opløsning er 3,5-5,5.</w:t>
      </w:r>
    </w:p>
    <w:p w14:paraId="747164DA" w14:textId="77777777" w:rsidR="009260DE" w:rsidRPr="007B4B68" w:rsidRDefault="009260DE" w:rsidP="00977B2E">
      <w:pPr>
        <w:tabs>
          <w:tab w:val="left" w:pos="851"/>
        </w:tabs>
        <w:ind w:left="851" w:hanging="851"/>
        <w:rPr>
          <w:sz w:val="24"/>
          <w:szCs w:val="24"/>
        </w:rPr>
      </w:pPr>
    </w:p>
    <w:p w14:paraId="3D36E865" w14:textId="77777777" w:rsidR="009260DE" w:rsidRPr="007B4B68" w:rsidRDefault="009260DE" w:rsidP="00977B2E">
      <w:pPr>
        <w:tabs>
          <w:tab w:val="left" w:pos="851"/>
        </w:tabs>
        <w:ind w:left="851" w:hanging="851"/>
        <w:rPr>
          <w:sz w:val="24"/>
          <w:szCs w:val="24"/>
        </w:rPr>
      </w:pPr>
    </w:p>
    <w:p w14:paraId="7E7E456D" w14:textId="77777777" w:rsidR="009260DE" w:rsidRPr="007B4B68" w:rsidRDefault="009260DE" w:rsidP="00977B2E">
      <w:pPr>
        <w:tabs>
          <w:tab w:val="left" w:pos="851"/>
        </w:tabs>
        <w:ind w:left="851" w:hanging="851"/>
        <w:rPr>
          <w:b/>
          <w:sz w:val="24"/>
          <w:szCs w:val="24"/>
        </w:rPr>
      </w:pPr>
      <w:r w:rsidRPr="007B4B68">
        <w:rPr>
          <w:b/>
          <w:sz w:val="24"/>
          <w:szCs w:val="24"/>
        </w:rPr>
        <w:t>4.</w:t>
      </w:r>
      <w:r w:rsidRPr="007B4B68">
        <w:rPr>
          <w:b/>
          <w:sz w:val="24"/>
          <w:szCs w:val="24"/>
        </w:rPr>
        <w:tab/>
        <w:t>KLINISKE OPLYSNINGER</w:t>
      </w:r>
    </w:p>
    <w:p w14:paraId="4D3A6587" w14:textId="77777777" w:rsidR="009260DE" w:rsidRPr="007B4B68" w:rsidRDefault="009260DE" w:rsidP="00977B2E">
      <w:pPr>
        <w:tabs>
          <w:tab w:val="left" w:pos="851"/>
        </w:tabs>
        <w:ind w:left="851" w:hanging="851"/>
        <w:rPr>
          <w:b/>
          <w:sz w:val="24"/>
          <w:szCs w:val="24"/>
        </w:rPr>
      </w:pPr>
    </w:p>
    <w:p w14:paraId="5455BA7E" w14:textId="77777777" w:rsidR="009260DE" w:rsidRPr="007B4B68" w:rsidRDefault="009260DE" w:rsidP="00977B2E">
      <w:pPr>
        <w:tabs>
          <w:tab w:val="left" w:pos="851"/>
        </w:tabs>
        <w:ind w:left="851" w:hanging="851"/>
        <w:rPr>
          <w:b/>
          <w:sz w:val="24"/>
          <w:szCs w:val="24"/>
          <w:u w:val="single"/>
        </w:rPr>
      </w:pPr>
      <w:r w:rsidRPr="007B4B68">
        <w:rPr>
          <w:b/>
          <w:sz w:val="24"/>
          <w:szCs w:val="24"/>
        </w:rPr>
        <w:t>4.1</w:t>
      </w:r>
      <w:r w:rsidRPr="007B4B68">
        <w:rPr>
          <w:b/>
          <w:sz w:val="24"/>
          <w:szCs w:val="24"/>
        </w:rPr>
        <w:tab/>
        <w:t>Terapeutiske indikationer</w:t>
      </w:r>
    </w:p>
    <w:p w14:paraId="6CAA6906" w14:textId="77777777" w:rsidR="00A87F93" w:rsidRPr="007B4B68" w:rsidRDefault="00A87F93" w:rsidP="00A87F93">
      <w:pPr>
        <w:ind w:left="851"/>
        <w:rPr>
          <w:sz w:val="24"/>
          <w:szCs w:val="24"/>
        </w:rPr>
      </w:pPr>
      <w:r w:rsidRPr="007B4B68">
        <w:rPr>
          <w:sz w:val="24"/>
          <w:szCs w:val="24"/>
        </w:rPr>
        <w:t xml:space="preserve">Behandling af invasiv </w:t>
      </w:r>
      <w:proofErr w:type="spellStart"/>
      <w:r w:rsidRPr="007B4B68">
        <w:rPr>
          <w:sz w:val="24"/>
          <w:szCs w:val="24"/>
        </w:rPr>
        <w:t>candidiasis</w:t>
      </w:r>
      <w:proofErr w:type="spellEnd"/>
      <w:r w:rsidRPr="007B4B68">
        <w:rPr>
          <w:sz w:val="24"/>
          <w:szCs w:val="24"/>
        </w:rPr>
        <w:t xml:space="preserve"> hos voksne </w:t>
      </w:r>
      <w:r w:rsidRPr="00A65E5F">
        <w:rPr>
          <w:sz w:val="24"/>
          <w:szCs w:val="24"/>
        </w:rPr>
        <w:t>og pædiatriske patienter i alderen 1 måned til &lt; 18 år</w:t>
      </w:r>
      <w:r w:rsidRPr="00A65E5F">
        <w:t xml:space="preserve"> </w:t>
      </w:r>
      <w:r w:rsidRPr="007B4B68">
        <w:rPr>
          <w:sz w:val="24"/>
          <w:szCs w:val="24"/>
        </w:rPr>
        <w:t>(se pkt. 4.4 og 5.1).</w:t>
      </w:r>
    </w:p>
    <w:p w14:paraId="7413E5EF" w14:textId="77777777" w:rsidR="009260DE" w:rsidRPr="007B4B68" w:rsidRDefault="009260DE" w:rsidP="00977B2E">
      <w:pPr>
        <w:tabs>
          <w:tab w:val="left" w:pos="851"/>
        </w:tabs>
        <w:ind w:left="851" w:hanging="851"/>
        <w:rPr>
          <w:sz w:val="24"/>
          <w:szCs w:val="24"/>
        </w:rPr>
      </w:pPr>
    </w:p>
    <w:p w14:paraId="3A690A45" w14:textId="2EED515C" w:rsidR="009260DE" w:rsidRPr="007B4B68" w:rsidRDefault="009260DE" w:rsidP="00977B2E">
      <w:pPr>
        <w:tabs>
          <w:tab w:val="left" w:pos="851"/>
        </w:tabs>
        <w:ind w:left="851" w:hanging="851"/>
        <w:rPr>
          <w:b/>
          <w:sz w:val="24"/>
          <w:szCs w:val="24"/>
        </w:rPr>
      </w:pPr>
      <w:r w:rsidRPr="007B4B68">
        <w:rPr>
          <w:b/>
          <w:sz w:val="24"/>
          <w:szCs w:val="24"/>
        </w:rPr>
        <w:t>4.2</w:t>
      </w:r>
      <w:r w:rsidRPr="007B4B68">
        <w:rPr>
          <w:b/>
          <w:sz w:val="24"/>
          <w:szCs w:val="24"/>
        </w:rPr>
        <w:tab/>
      </w:r>
      <w:r w:rsidR="00A87F93" w:rsidRPr="007B4B68">
        <w:rPr>
          <w:b/>
          <w:sz w:val="24"/>
          <w:szCs w:val="24"/>
        </w:rPr>
        <w:t>Dosering og</w:t>
      </w:r>
      <w:r w:rsidR="00A87F93">
        <w:rPr>
          <w:b/>
          <w:sz w:val="24"/>
          <w:szCs w:val="24"/>
        </w:rPr>
        <w:t xml:space="preserve"> administration</w:t>
      </w:r>
    </w:p>
    <w:p w14:paraId="69494453" w14:textId="30EC6176" w:rsidR="009B6DCC" w:rsidRPr="007B4B68" w:rsidRDefault="009B6DCC" w:rsidP="00FD4045">
      <w:pPr>
        <w:ind w:left="851"/>
        <w:rPr>
          <w:noProof/>
          <w:sz w:val="24"/>
          <w:szCs w:val="24"/>
        </w:rPr>
      </w:pPr>
      <w:r w:rsidRPr="007B4B68">
        <w:rPr>
          <w:noProof/>
          <w:sz w:val="24"/>
          <w:szCs w:val="24"/>
        </w:rPr>
        <w:t xml:space="preserve">Behandling med </w:t>
      </w:r>
      <w:proofErr w:type="spellStart"/>
      <w:r w:rsidRPr="007B4B68">
        <w:rPr>
          <w:sz w:val="24"/>
          <w:szCs w:val="24"/>
        </w:rPr>
        <w:t>Anidulafungin</w:t>
      </w:r>
      <w:proofErr w:type="spellEnd"/>
      <w:r w:rsidRPr="007B4B68">
        <w:rPr>
          <w:sz w:val="24"/>
          <w:szCs w:val="24"/>
        </w:rPr>
        <w:t xml:space="preserve"> </w:t>
      </w:r>
      <w:r w:rsidR="002F3582" w:rsidRPr="007B4B68">
        <w:rPr>
          <w:sz w:val="24"/>
          <w:szCs w:val="24"/>
        </w:rPr>
        <w:t>"</w:t>
      </w:r>
      <w:proofErr w:type="spellStart"/>
      <w:r w:rsidR="002F3582" w:rsidRPr="007B4B68">
        <w:rPr>
          <w:sz w:val="24"/>
          <w:szCs w:val="24"/>
        </w:rPr>
        <w:t>Reig</w:t>
      </w:r>
      <w:proofErr w:type="spellEnd"/>
      <w:r w:rsidR="002F3582" w:rsidRPr="007B4B68">
        <w:rPr>
          <w:sz w:val="24"/>
          <w:szCs w:val="24"/>
        </w:rPr>
        <w:t xml:space="preserve"> </w:t>
      </w:r>
      <w:proofErr w:type="spellStart"/>
      <w:r w:rsidR="002F3582" w:rsidRPr="007B4B68">
        <w:rPr>
          <w:sz w:val="24"/>
          <w:szCs w:val="24"/>
        </w:rPr>
        <w:t>Jofre</w:t>
      </w:r>
      <w:proofErr w:type="spellEnd"/>
      <w:r w:rsidR="002F3582" w:rsidRPr="007B4B68">
        <w:rPr>
          <w:sz w:val="24"/>
          <w:szCs w:val="24"/>
        </w:rPr>
        <w:t>"</w:t>
      </w:r>
      <w:r w:rsidRPr="007B4B68">
        <w:rPr>
          <w:sz w:val="24"/>
          <w:szCs w:val="24"/>
        </w:rPr>
        <w:t xml:space="preserve"> </w:t>
      </w:r>
      <w:r w:rsidRPr="007B4B68">
        <w:rPr>
          <w:noProof/>
          <w:sz w:val="24"/>
          <w:szCs w:val="24"/>
        </w:rPr>
        <w:t>bør initieres af en læge med erfaring i behandling af invasive svampeinfektioner.</w:t>
      </w:r>
    </w:p>
    <w:p w14:paraId="3ACF143F" w14:textId="5313D272" w:rsidR="00E67648" w:rsidRDefault="00E67648">
      <w:pPr>
        <w:rPr>
          <w:noProof/>
          <w:sz w:val="24"/>
          <w:szCs w:val="24"/>
          <w:u w:val="single"/>
        </w:rPr>
      </w:pPr>
      <w:r>
        <w:rPr>
          <w:noProof/>
          <w:sz w:val="24"/>
          <w:szCs w:val="24"/>
          <w:u w:val="single"/>
        </w:rPr>
        <w:br w:type="page"/>
      </w:r>
    </w:p>
    <w:p w14:paraId="3A7D331C" w14:textId="77777777" w:rsidR="009B6DCC" w:rsidRPr="007B4B68" w:rsidRDefault="009B6DCC" w:rsidP="00FD4045">
      <w:pPr>
        <w:ind w:left="851"/>
        <w:rPr>
          <w:noProof/>
          <w:sz w:val="24"/>
          <w:szCs w:val="24"/>
          <w:u w:val="single"/>
        </w:rPr>
      </w:pPr>
    </w:p>
    <w:p w14:paraId="35488489" w14:textId="77777777" w:rsidR="009B6DCC" w:rsidRPr="007B4B68" w:rsidRDefault="009B6DCC" w:rsidP="00FD4045">
      <w:pPr>
        <w:ind w:left="851"/>
        <w:rPr>
          <w:noProof/>
          <w:sz w:val="24"/>
          <w:szCs w:val="24"/>
          <w:u w:val="single"/>
        </w:rPr>
      </w:pPr>
      <w:r w:rsidRPr="007B4B68">
        <w:rPr>
          <w:noProof/>
          <w:sz w:val="24"/>
          <w:szCs w:val="24"/>
          <w:u w:val="single"/>
        </w:rPr>
        <w:t>Dosering</w:t>
      </w:r>
    </w:p>
    <w:p w14:paraId="3A1158D5" w14:textId="77777777" w:rsidR="009B6DCC" w:rsidRPr="007B4B68" w:rsidRDefault="009B6DCC" w:rsidP="00FD4045">
      <w:pPr>
        <w:ind w:left="851"/>
        <w:rPr>
          <w:noProof/>
          <w:sz w:val="24"/>
          <w:szCs w:val="24"/>
        </w:rPr>
      </w:pPr>
    </w:p>
    <w:p w14:paraId="70CB405D" w14:textId="2BC598B3" w:rsidR="009B6DCC" w:rsidRPr="007B4B68" w:rsidRDefault="009B6DCC" w:rsidP="00FD4045">
      <w:pPr>
        <w:ind w:left="851"/>
        <w:rPr>
          <w:iCs/>
          <w:noProof/>
          <w:sz w:val="24"/>
          <w:szCs w:val="24"/>
        </w:rPr>
      </w:pPr>
      <w:r w:rsidRPr="007B4B68">
        <w:rPr>
          <w:iCs/>
          <w:noProof/>
          <w:sz w:val="24"/>
          <w:szCs w:val="24"/>
        </w:rPr>
        <w:t>Før behandling initieres, bør der tages prøver med henblik på svampedyrkning. Behandlingen kan</w:t>
      </w:r>
      <w:r w:rsidR="0049087F" w:rsidRPr="007B4B68">
        <w:rPr>
          <w:iCs/>
          <w:noProof/>
          <w:sz w:val="24"/>
          <w:szCs w:val="24"/>
        </w:rPr>
        <w:t xml:space="preserve"> </w:t>
      </w:r>
      <w:r w:rsidRPr="007B4B68">
        <w:rPr>
          <w:iCs/>
          <w:noProof/>
          <w:sz w:val="24"/>
          <w:szCs w:val="24"/>
        </w:rPr>
        <w:t>initieres før dyrkningsresultat foreligger, og behandlingen kan herefter justeres, når resultaterne</w:t>
      </w:r>
      <w:r w:rsidR="0049087F" w:rsidRPr="007B4B68">
        <w:rPr>
          <w:iCs/>
          <w:noProof/>
          <w:sz w:val="24"/>
          <w:szCs w:val="24"/>
        </w:rPr>
        <w:t xml:space="preserve"> </w:t>
      </w:r>
      <w:r w:rsidRPr="007B4B68">
        <w:rPr>
          <w:iCs/>
          <w:noProof/>
          <w:sz w:val="24"/>
          <w:szCs w:val="24"/>
        </w:rPr>
        <w:t>foreligger.</w:t>
      </w:r>
    </w:p>
    <w:p w14:paraId="407123ED" w14:textId="77777777" w:rsidR="009B6DCC" w:rsidRPr="007B4B68" w:rsidRDefault="009B6DCC" w:rsidP="00FD4045">
      <w:pPr>
        <w:ind w:left="851"/>
        <w:rPr>
          <w:iCs/>
          <w:noProof/>
          <w:sz w:val="24"/>
          <w:szCs w:val="24"/>
        </w:rPr>
      </w:pPr>
    </w:p>
    <w:p w14:paraId="4A658CFB" w14:textId="77777777" w:rsidR="00A87F93" w:rsidRPr="00A65E5F" w:rsidRDefault="00A87F93" w:rsidP="00A87F93">
      <w:pPr>
        <w:ind w:firstLine="851"/>
        <w:rPr>
          <w:i/>
          <w:noProof/>
          <w:sz w:val="24"/>
          <w:szCs w:val="24"/>
        </w:rPr>
      </w:pPr>
      <w:r w:rsidRPr="00A65E5F">
        <w:rPr>
          <w:i/>
          <w:noProof/>
          <w:sz w:val="24"/>
          <w:szCs w:val="24"/>
        </w:rPr>
        <w:t>Voksen population (dosering og behandlingsvarighed)</w:t>
      </w:r>
    </w:p>
    <w:p w14:paraId="34DE550C" w14:textId="77777777" w:rsidR="00A87F93" w:rsidRPr="007B4B68" w:rsidRDefault="00A87F93" w:rsidP="00A87F93">
      <w:pPr>
        <w:ind w:left="851"/>
        <w:rPr>
          <w:iCs/>
          <w:noProof/>
          <w:sz w:val="24"/>
          <w:szCs w:val="24"/>
        </w:rPr>
      </w:pPr>
      <w:r w:rsidRPr="007B4B68">
        <w:rPr>
          <w:iCs/>
          <w:noProof/>
          <w:sz w:val="24"/>
          <w:szCs w:val="24"/>
        </w:rPr>
        <w:t>En enkelt initialdosis på 200 mg bør administreres på dag 1. Herefter gives 100 mg dagligt.</w:t>
      </w:r>
    </w:p>
    <w:p w14:paraId="50717B5C" w14:textId="77777777" w:rsidR="00A87F93" w:rsidRPr="007B4B68" w:rsidRDefault="00A87F93" w:rsidP="00A87F93">
      <w:pPr>
        <w:ind w:left="851"/>
        <w:rPr>
          <w:iCs/>
          <w:noProof/>
          <w:sz w:val="24"/>
          <w:szCs w:val="24"/>
        </w:rPr>
      </w:pPr>
      <w:r w:rsidRPr="007B4B68">
        <w:rPr>
          <w:iCs/>
          <w:noProof/>
          <w:sz w:val="24"/>
          <w:szCs w:val="24"/>
        </w:rPr>
        <w:t>Behandlingens varighed afhænger af patientens kliniske respons.</w:t>
      </w:r>
    </w:p>
    <w:p w14:paraId="38F636AE" w14:textId="77777777" w:rsidR="009B6DCC" w:rsidRPr="007B4B68" w:rsidRDefault="009B6DCC" w:rsidP="00FD4045">
      <w:pPr>
        <w:ind w:left="851"/>
        <w:rPr>
          <w:iCs/>
          <w:noProof/>
          <w:sz w:val="24"/>
          <w:szCs w:val="24"/>
        </w:rPr>
      </w:pPr>
    </w:p>
    <w:p w14:paraId="2B044809" w14:textId="77777777" w:rsidR="00A87F93" w:rsidRPr="007B4B68" w:rsidRDefault="00A87F93" w:rsidP="00A87F93">
      <w:pPr>
        <w:ind w:left="851"/>
        <w:rPr>
          <w:iCs/>
          <w:noProof/>
          <w:sz w:val="24"/>
          <w:szCs w:val="24"/>
        </w:rPr>
      </w:pPr>
      <w:r w:rsidRPr="007B4B68">
        <w:rPr>
          <w:iCs/>
          <w:noProof/>
          <w:sz w:val="24"/>
          <w:szCs w:val="24"/>
        </w:rPr>
        <w:t>Svampebehandling bør sædvanligvis fortsættes i mindst 14 dage efter sidste positive dyrkning.</w:t>
      </w:r>
    </w:p>
    <w:p w14:paraId="210EF4E6" w14:textId="77777777" w:rsidR="009B6DCC" w:rsidRPr="007B4B68" w:rsidRDefault="009B6DCC" w:rsidP="00FD4045">
      <w:pPr>
        <w:ind w:left="851"/>
        <w:rPr>
          <w:iCs/>
          <w:noProof/>
          <w:sz w:val="24"/>
          <w:szCs w:val="24"/>
        </w:rPr>
      </w:pPr>
    </w:p>
    <w:p w14:paraId="55D5EFD9" w14:textId="77777777" w:rsidR="009B6DCC" w:rsidRPr="007B4B68" w:rsidRDefault="009B6DCC" w:rsidP="00FD4045">
      <w:pPr>
        <w:ind w:left="851"/>
        <w:rPr>
          <w:iCs/>
          <w:noProof/>
          <w:sz w:val="24"/>
          <w:szCs w:val="24"/>
        </w:rPr>
      </w:pPr>
      <w:r w:rsidRPr="007B4B68">
        <w:rPr>
          <w:iCs/>
          <w:noProof/>
          <w:sz w:val="24"/>
          <w:szCs w:val="24"/>
        </w:rPr>
        <w:t>Data for anvendelse af doser på 100 mg i mere end 35 dage er utilstrækkelige.</w:t>
      </w:r>
    </w:p>
    <w:p w14:paraId="0B5F3EF0" w14:textId="77777777" w:rsidR="009B6DCC" w:rsidRPr="007B4B68" w:rsidRDefault="009B6DCC" w:rsidP="00FD4045">
      <w:pPr>
        <w:ind w:left="851"/>
        <w:rPr>
          <w:iCs/>
          <w:noProof/>
          <w:sz w:val="24"/>
          <w:szCs w:val="24"/>
        </w:rPr>
      </w:pPr>
    </w:p>
    <w:p w14:paraId="5FFE2E44" w14:textId="77777777" w:rsidR="009B6DCC" w:rsidRPr="007B4B68" w:rsidRDefault="009B6DCC" w:rsidP="00FD4045">
      <w:pPr>
        <w:ind w:left="851"/>
        <w:rPr>
          <w:i/>
          <w:noProof/>
          <w:sz w:val="24"/>
          <w:szCs w:val="24"/>
        </w:rPr>
      </w:pPr>
      <w:r w:rsidRPr="007B4B68">
        <w:rPr>
          <w:i/>
          <w:noProof/>
          <w:sz w:val="24"/>
          <w:szCs w:val="24"/>
        </w:rPr>
        <w:t>Patienter med nedsat nyre- og leverfunktion</w:t>
      </w:r>
    </w:p>
    <w:p w14:paraId="3541BF92" w14:textId="77777777" w:rsidR="009B6DCC" w:rsidRPr="007B4B68" w:rsidRDefault="009B6DCC" w:rsidP="00FD4045">
      <w:pPr>
        <w:ind w:left="851"/>
        <w:rPr>
          <w:iCs/>
          <w:noProof/>
          <w:sz w:val="24"/>
          <w:szCs w:val="24"/>
        </w:rPr>
      </w:pPr>
      <w:r w:rsidRPr="007B4B68">
        <w:rPr>
          <w:iCs/>
          <w:noProof/>
          <w:sz w:val="24"/>
          <w:szCs w:val="24"/>
        </w:rPr>
        <w:t>Dosisjustering er ikke nødvendig hos patienter med let, moderat eller svært nedsat leverfunktion.</w:t>
      </w:r>
    </w:p>
    <w:p w14:paraId="76BCF86E" w14:textId="01A19FAA" w:rsidR="009B6DCC" w:rsidRPr="007B4B68" w:rsidRDefault="009B6DCC" w:rsidP="00FD4045">
      <w:pPr>
        <w:ind w:left="851"/>
        <w:rPr>
          <w:iCs/>
          <w:noProof/>
          <w:sz w:val="24"/>
          <w:szCs w:val="24"/>
        </w:rPr>
      </w:pPr>
      <w:r w:rsidRPr="007B4B68">
        <w:rPr>
          <w:iCs/>
          <w:noProof/>
          <w:sz w:val="24"/>
          <w:szCs w:val="24"/>
        </w:rPr>
        <w:t>Dosisjustering er ikke nødvendig hos patienter med alle grader af nedsat nyrefunktion, herunder</w:t>
      </w:r>
      <w:r w:rsidR="0049087F" w:rsidRPr="007B4B68">
        <w:rPr>
          <w:iCs/>
          <w:noProof/>
          <w:sz w:val="24"/>
          <w:szCs w:val="24"/>
        </w:rPr>
        <w:t xml:space="preserve"> </w:t>
      </w:r>
      <w:r w:rsidRPr="007B4B68">
        <w:rPr>
          <w:iCs/>
          <w:noProof/>
          <w:sz w:val="24"/>
          <w:szCs w:val="24"/>
        </w:rPr>
        <w:t xml:space="preserve">patienter i dialyse. Anidulafungin </w:t>
      </w:r>
      <w:r w:rsidR="002F3582" w:rsidRPr="007B4B68">
        <w:rPr>
          <w:iCs/>
          <w:noProof/>
          <w:sz w:val="24"/>
          <w:szCs w:val="24"/>
        </w:rPr>
        <w:t>"Reig Jofre"</w:t>
      </w:r>
      <w:r w:rsidRPr="007B4B68">
        <w:rPr>
          <w:iCs/>
          <w:noProof/>
          <w:sz w:val="24"/>
          <w:szCs w:val="24"/>
        </w:rPr>
        <w:t xml:space="preserve"> kan gives uden hensyntagen til tidspunkt for dialyse (se pkt. 5.2).</w:t>
      </w:r>
    </w:p>
    <w:p w14:paraId="4A9383AE" w14:textId="77777777" w:rsidR="009B6DCC" w:rsidRPr="007B4B68" w:rsidRDefault="009B6DCC" w:rsidP="00FD4045">
      <w:pPr>
        <w:ind w:left="851"/>
        <w:rPr>
          <w:iCs/>
          <w:noProof/>
          <w:sz w:val="24"/>
          <w:szCs w:val="24"/>
        </w:rPr>
      </w:pPr>
    </w:p>
    <w:p w14:paraId="182F7D76" w14:textId="77777777" w:rsidR="009B6DCC" w:rsidRPr="007B4B68" w:rsidRDefault="009B6DCC" w:rsidP="00FD4045">
      <w:pPr>
        <w:ind w:left="851"/>
        <w:rPr>
          <w:i/>
          <w:noProof/>
          <w:sz w:val="24"/>
          <w:szCs w:val="24"/>
        </w:rPr>
      </w:pPr>
      <w:r w:rsidRPr="007B4B68">
        <w:rPr>
          <w:i/>
          <w:noProof/>
          <w:sz w:val="24"/>
          <w:szCs w:val="24"/>
        </w:rPr>
        <w:t>Andre særlige populationer</w:t>
      </w:r>
    </w:p>
    <w:p w14:paraId="461F6DB4" w14:textId="5C44727B" w:rsidR="009B6DCC" w:rsidRPr="007B4B68" w:rsidRDefault="009B6DCC" w:rsidP="00FD4045">
      <w:pPr>
        <w:ind w:left="851"/>
        <w:rPr>
          <w:iCs/>
          <w:noProof/>
          <w:sz w:val="24"/>
          <w:szCs w:val="24"/>
        </w:rPr>
      </w:pPr>
      <w:r w:rsidRPr="007B4B68">
        <w:rPr>
          <w:iCs/>
          <w:noProof/>
          <w:sz w:val="24"/>
          <w:szCs w:val="24"/>
        </w:rPr>
        <w:t>Dosisjustering på grund af køn, vægt, race, hiv-status og alder er ikke nødvendig hos voksne patienter</w:t>
      </w:r>
      <w:r w:rsidR="0049087F" w:rsidRPr="007B4B68">
        <w:rPr>
          <w:iCs/>
          <w:noProof/>
          <w:sz w:val="24"/>
          <w:szCs w:val="24"/>
        </w:rPr>
        <w:t xml:space="preserve"> </w:t>
      </w:r>
      <w:r w:rsidRPr="007B4B68">
        <w:rPr>
          <w:iCs/>
          <w:noProof/>
          <w:sz w:val="24"/>
          <w:szCs w:val="24"/>
        </w:rPr>
        <w:t>(se pkt. 5.2).</w:t>
      </w:r>
    </w:p>
    <w:p w14:paraId="08941AFC" w14:textId="77777777" w:rsidR="000841BA" w:rsidRPr="007B4B68" w:rsidRDefault="000841BA" w:rsidP="00FD4045">
      <w:pPr>
        <w:ind w:left="851"/>
        <w:rPr>
          <w:i/>
          <w:iCs/>
          <w:sz w:val="24"/>
          <w:szCs w:val="24"/>
          <w:u w:val="single"/>
        </w:rPr>
      </w:pPr>
    </w:p>
    <w:p w14:paraId="0507ED3E" w14:textId="77777777" w:rsidR="00A87F93" w:rsidRPr="00A65E5F" w:rsidRDefault="00A87F93" w:rsidP="00A87F93">
      <w:pPr>
        <w:ind w:firstLine="851"/>
        <w:rPr>
          <w:i/>
          <w:iCs/>
          <w:sz w:val="24"/>
          <w:szCs w:val="24"/>
          <w:u w:val="single"/>
        </w:rPr>
      </w:pPr>
      <w:r w:rsidRPr="007B4B68">
        <w:rPr>
          <w:i/>
          <w:iCs/>
          <w:sz w:val="24"/>
          <w:szCs w:val="24"/>
          <w:u w:val="single"/>
        </w:rPr>
        <w:t>Pædiatrisk population</w:t>
      </w:r>
      <w:r w:rsidRPr="00A65E5F">
        <w:rPr>
          <w:i/>
          <w:iCs/>
          <w:szCs w:val="22"/>
          <w:u w:val="single"/>
        </w:rPr>
        <w:t xml:space="preserve"> </w:t>
      </w:r>
      <w:r w:rsidRPr="00A65E5F">
        <w:rPr>
          <w:i/>
          <w:iCs/>
          <w:sz w:val="24"/>
          <w:szCs w:val="24"/>
          <w:u w:val="single"/>
        </w:rPr>
        <w:t>(1 måned til &lt; 18 år) (dosering og behandlingsvarighed)</w:t>
      </w:r>
    </w:p>
    <w:p w14:paraId="1C252816" w14:textId="77777777" w:rsidR="00A87F93" w:rsidRPr="00A65E5F" w:rsidRDefault="00A87F93" w:rsidP="00A87F93">
      <w:pPr>
        <w:ind w:left="851"/>
        <w:rPr>
          <w:sz w:val="24"/>
          <w:szCs w:val="24"/>
        </w:rPr>
      </w:pPr>
      <w:r w:rsidRPr="00A65E5F">
        <w:rPr>
          <w:sz w:val="24"/>
          <w:szCs w:val="24"/>
        </w:rPr>
        <w:t xml:space="preserve">En enkelt støddosis på 3,0 mg/kg (må ikke overstige 200 mg) bør administreres på dag 1. Herefter gives en vedligeholdelsesdosis på 1,5 mg/kg (må ikke overstige 100 mg) dagligt. </w:t>
      </w:r>
    </w:p>
    <w:p w14:paraId="587F8F2F" w14:textId="77777777" w:rsidR="00A87F93" w:rsidRPr="00A65E5F" w:rsidRDefault="00A87F93" w:rsidP="00A87F93">
      <w:pPr>
        <w:rPr>
          <w:sz w:val="24"/>
          <w:szCs w:val="24"/>
        </w:rPr>
      </w:pPr>
    </w:p>
    <w:p w14:paraId="30A4EAF2" w14:textId="77777777" w:rsidR="00A87F93" w:rsidRPr="00A65E5F" w:rsidRDefault="00A87F93" w:rsidP="00A87F93">
      <w:pPr>
        <w:ind w:firstLine="851"/>
        <w:rPr>
          <w:sz w:val="24"/>
          <w:szCs w:val="24"/>
        </w:rPr>
      </w:pPr>
      <w:r w:rsidRPr="00A65E5F">
        <w:rPr>
          <w:sz w:val="24"/>
          <w:szCs w:val="24"/>
        </w:rPr>
        <w:t xml:space="preserve">Behandlingsvarigheden afhænger af patientens kliniske respons. </w:t>
      </w:r>
    </w:p>
    <w:p w14:paraId="41D61CD5" w14:textId="77777777" w:rsidR="00A87F93" w:rsidRPr="00A65E5F" w:rsidRDefault="00A87F93" w:rsidP="00A87F93">
      <w:pPr>
        <w:rPr>
          <w:sz w:val="24"/>
          <w:szCs w:val="24"/>
        </w:rPr>
      </w:pPr>
    </w:p>
    <w:p w14:paraId="4E1CE5D4" w14:textId="77777777" w:rsidR="00A87F93" w:rsidRPr="00A65E5F" w:rsidRDefault="00A87F93" w:rsidP="00A87F93">
      <w:pPr>
        <w:ind w:left="851"/>
        <w:rPr>
          <w:sz w:val="24"/>
          <w:szCs w:val="24"/>
        </w:rPr>
      </w:pPr>
      <w:proofErr w:type="spellStart"/>
      <w:r w:rsidRPr="00A65E5F">
        <w:rPr>
          <w:sz w:val="24"/>
          <w:szCs w:val="24"/>
        </w:rPr>
        <w:t>Antifungal</w:t>
      </w:r>
      <w:proofErr w:type="spellEnd"/>
      <w:r w:rsidRPr="00A65E5F">
        <w:rPr>
          <w:sz w:val="24"/>
          <w:szCs w:val="24"/>
        </w:rPr>
        <w:t xml:space="preserve"> behandling bør generelt fortsættes i mindst 14 dage efter sidste positive dyrkning. </w:t>
      </w:r>
    </w:p>
    <w:p w14:paraId="45A9D6AC" w14:textId="77777777" w:rsidR="00A87F93" w:rsidRPr="00A65E5F" w:rsidRDefault="00A87F93" w:rsidP="00A87F93">
      <w:pPr>
        <w:rPr>
          <w:sz w:val="24"/>
          <w:szCs w:val="24"/>
        </w:rPr>
      </w:pPr>
    </w:p>
    <w:p w14:paraId="1F9D6A77" w14:textId="77777777" w:rsidR="00A87F93" w:rsidRPr="00A65E5F" w:rsidRDefault="00A87F93" w:rsidP="00A87F93">
      <w:pPr>
        <w:ind w:left="851"/>
        <w:rPr>
          <w:sz w:val="24"/>
          <w:szCs w:val="24"/>
        </w:rPr>
      </w:pPr>
      <w:proofErr w:type="spellStart"/>
      <w:r w:rsidRPr="00A65E5F">
        <w:rPr>
          <w:sz w:val="24"/>
          <w:szCs w:val="24"/>
        </w:rPr>
        <w:t>Anidulafungin</w:t>
      </w:r>
      <w:proofErr w:type="spellEnd"/>
      <w:r w:rsidRPr="00A65E5F">
        <w:rPr>
          <w:sz w:val="24"/>
          <w:szCs w:val="24"/>
        </w:rPr>
        <w:t xml:space="preserve"> </w:t>
      </w:r>
      <w:proofErr w:type="spellStart"/>
      <w:r w:rsidRPr="00A65E5F">
        <w:rPr>
          <w:sz w:val="24"/>
          <w:szCs w:val="24"/>
        </w:rPr>
        <w:t>Reig</w:t>
      </w:r>
      <w:proofErr w:type="spellEnd"/>
      <w:r w:rsidRPr="00A65E5F">
        <w:rPr>
          <w:sz w:val="24"/>
          <w:szCs w:val="24"/>
        </w:rPr>
        <w:t xml:space="preserve"> </w:t>
      </w:r>
      <w:proofErr w:type="spellStart"/>
      <w:r w:rsidRPr="00A65E5F">
        <w:rPr>
          <w:sz w:val="24"/>
          <w:szCs w:val="24"/>
        </w:rPr>
        <w:t>Jofre</w:t>
      </w:r>
      <w:r w:rsidRPr="00A65E5F">
        <w:rPr>
          <w:iCs/>
          <w:sz w:val="24"/>
          <w:szCs w:val="24"/>
        </w:rPr>
        <w:t>s</w:t>
      </w:r>
      <w:proofErr w:type="spellEnd"/>
      <w:r w:rsidRPr="00A65E5F">
        <w:rPr>
          <w:sz w:val="24"/>
          <w:szCs w:val="24"/>
        </w:rPr>
        <w:t xml:space="preserve"> sikkerhed og virkning er ikke klarlagt hos nyfødte (&lt; 1 måned gamle) (se pkt. 4.4).</w:t>
      </w:r>
    </w:p>
    <w:p w14:paraId="750A12DF" w14:textId="77777777" w:rsidR="00A87F93" w:rsidRPr="007B4B68" w:rsidRDefault="00A87F93" w:rsidP="00A87F93">
      <w:pPr>
        <w:ind w:left="851"/>
        <w:rPr>
          <w:sz w:val="24"/>
          <w:szCs w:val="24"/>
          <w:u w:val="single"/>
        </w:rPr>
      </w:pPr>
    </w:p>
    <w:p w14:paraId="1E82E555" w14:textId="77777777" w:rsidR="00A87F93" w:rsidRPr="007B4B68" w:rsidRDefault="00A87F93" w:rsidP="00A87F93">
      <w:pPr>
        <w:ind w:left="851"/>
        <w:rPr>
          <w:sz w:val="24"/>
          <w:szCs w:val="24"/>
          <w:u w:val="single"/>
        </w:rPr>
      </w:pPr>
      <w:r w:rsidRPr="007B4B68">
        <w:rPr>
          <w:sz w:val="24"/>
          <w:szCs w:val="24"/>
          <w:u w:val="single"/>
        </w:rPr>
        <w:t>Administration</w:t>
      </w:r>
    </w:p>
    <w:p w14:paraId="1EA4AC26" w14:textId="77777777" w:rsidR="00A87F93" w:rsidRPr="007B4B68" w:rsidRDefault="00A87F93" w:rsidP="00A87F93">
      <w:pPr>
        <w:ind w:left="851"/>
        <w:rPr>
          <w:iCs/>
          <w:noProof/>
          <w:sz w:val="24"/>
          <w:szCs w:val="24"/>
        </w:rPr>
      </w:pPr>
      <w:r w:rsidRPr="007B4B68">
        <w:rPr>
          <w:iCs/>
          <w:noProof/>
          <w:sz w:val="24"/>
          <w:szCs w:val="24"/>
        </w:rPr>
        <w:t>Kun til intravenøs anvendelse.</w:t>
      </w:r>
    </w:p>
    <w:p w14:paraId="2E6CDF1C" w14:textId="77777777" w:rsidR="00A87F93" w:rsidRPr="007B4B68" w:rsidRDefault="00A87F93" w:rsidP="00A87F93">
      <w:pPr>
        <w:ind w:left="851"/>
        <w:rPr>
          <w:iCs/>
          <w:noProof/>
          <w:sz w:val="24"/>
          <w:szCs w:val="24"/>
        </w:rPr>
      </w:pPr>
    </w:p>
    <w:p w14:paraId="21B7FC95" w14:textId="77777777" w:rsidR="00A87F93" w:rsidRPr="007B4B68" w:rsidRDefault="00A87F93" w:rsidP="00A87F93">
      <w:pPr>
        <w:ind w:left="851"/>
        <w:rPr>
          <w:iCs/>
          <w:noProof/>
          <w:sz w:val="24"/>
          <w:szCs w:val="24"/>
        </w:rPr>
      </w:pPr>
      <w:proofErr w:type="spellStart"/>
      <w:r w:rsidRPr="007B4B68">
        <w:rPr>
          <w:sz w:val="24"/>
          <w:szCs w:val="24"/>
        </w:rPr>
        <w:t>Anidulafungin</w:t>
      </w:r>
      <w:proofErr w:type="spellEnd"/>
      <w:r w:rsidRPr="007B4B68">
        <w:rPr>
          <w:sz w:val="24"/>
          <w:szCs w:val="24"/>
        </w:rPr>
        <w:t xml:space="preserve"> "</w:t>
      </w:r>
      <w:proofErr w:type="spellStart"/>
      <w:r w:rsidRPr="007B4B68">
        <w:rPr>
          <w:sz w:val="24"/>
          <w:szCs w:val="24"/>
        </w:rPr>
        <w:t>Reig</w:t>
      </w:r>
      <w:proofErr w:type="spellEnd"/>
      <w:r w:rsidRPr="007B4B68">
        <w:rPr>
          <w:sz w:val="24"/>
          <w:szCs w:val="24"/>
        </w:rPr>
        <w:t xml:space="preserve"> </w:t>
      </w:r>
      <w:proofErr w:type="spellStart"/>
      <w:r w:rsidRPr="007B4B68">
        <w:rPr>
          <w:sz w:val="24"/>
          <w:szCs w:val="24"/>
        </w:rPr>
        <w:t>Jofre</w:t>
      </w:r>
      <w:proofErr w:type="spellEnd"/>
      <w:r w:rsidRPr="007B4B68">
        <w:rPr>
          <w:sz w:val="24"/>
          <w:szCs w:val="24"/>
        </w:rPr>
        <w:t xml:space="preserve">" </w:t>
      </w:r>
      <w:r w:rsidRPr="007B4B68">
        <w:rPr>
          <w:iCs/>
          <w:noProof/>
          <w:sz w:val="24"/>
          <w:szCs w:val="24"/>
        </w:rPr>
        <w:t xml:space="preserve">skal rekonstitueres med vand til injektionsvæsker til en koncentration på 3,33 mg/ml, og derefter fortyndes til en koncentration på 0,77 mg/ml. </w:t>
      </w:r>
      <w:r w:rsidRPr="00A65E5F">
        <w:rPr>
          <w:iCs/>
          <w:noProof/>
          <w:sz w:val="24"/>
          <w:szCs w:val="24"/>
        </w:rPr>
        <w:t>for den endelige infusionsvæske. Den mængde infusionsvæske, der er påkrævet til administration af dosen til en pædiatrisk patient varierer afhængigt af barnets vægt.</w:t>
      </w:r>
      <w:r w:rsidRPr="00A65E5F">
        <w:rPr>
          <w:iCs/>
          <w:noProof/>
          <w:szCs w:val="22"/>
        </w:rPr>
        <w:t xml:space="preserve"> </w:t>
      </w:r>
      <w:r w:rsidRPr="007B4B68">
        <w:rPr>
          <w:iCs/>
          <w:noProof/>
          <w:sz w:val="24"/>
          <w:szCs w:val="24"/>
        </w:rPr>
        <w:t>For instruktioner om rekonstitution af lægemidlet før administration, se pkt. 6.6.</w:t>
      </w:r>
    </w:p>
    <w:p w14:paraId="2A619794" w14:textId="77777777" w:rsidR="00A87F93" w:rsidRPr="007B4B68" w:rsidRDefault="00A87F93" w:rsidP="00A87F93">
      <w:pPr>
        <w:ind w:left="851"/>
        <w:rPr>
          <w:iCs/>
          <w:noProof/>
          <w:sz w:val="24"/>
          <w:szCs w:val="24"/>
        </w:rPr>
      </w:pPr>
    </w:p>
    <w:p w14:paraId="7D00CC1F" w14:textId="77777777" w:rsidR="00A87F93" w:rsidRPr="007B4B68" w:rsidRDefault="00A87F93" w:rsidP="00A87F93">
      <w:pPr>
        <w:ind w:left="851"/>
        <w:rPr>
          <w:iCs/>
          <w:noProof/>
          <w:sz w:val="24"/>
          <w:szCs w:val="24"/>
        </w:rPr>
      </w:pPr>
      <w:r w:rsidRPr="007B4B68">
        <w:rPr>
          <w:iCs/>
          <w:noProof/>
          <w:sz w:val="24"/>
          <w:szCs w:val="24"/>
        </w:rPr>
        <w:t xml:space="preserve">Det anbefales, at </w:t>
      </w:r>
      <w:proofErr w:type="spellStart"/>
      <w:r w:rsidRPr="007B4B68">
        <w:rPr>
          <w:sz w:val="24"/>
          <w:szCs w:val="24"/>
        </w:rPr>
        <w:t>Anidulafungin</w:t>
      </w:r>
      <w:proofErr w:type="spellEnd"/>
      <w:r w:rsidRPr="007B4B68">
        <w:rPr>
          <w:sz w:val="24"/>
          <w:szCs w:val="24"/>
        </w:rPr>
        <w:t xml:space="preserve"> "</w:t>
      </w:r>
      <w:proofErr w:type="spellStart"/>
      <w:r w:rsidRPr="007B4B68">
        <w:rPr>
          <w:sz w:val="24"/>
          <w:szCs w:val="24"/>
        </w:rPr>
        <w:t>Reig</w:t>
      </w:r>
      <w:proofErr w:type="spellEnd"/>
      <w:r w:rsidRPr="007B4B68">
        <w:rPr>
          <w:sz w:val="24"/>
          <w:szCs w:val="24"/>
        </w:rPr>
        <w:t xml:space="preserve"> </w:t>
      </w:r>
      <w:proofErr w:type="spellStart"/>
      <w:r w:rsidRPr="007B4B68">
        <w:rPr>
          <w:sz w:val="24"/>
          <w:szCs w:val="24"/>
        </w:rPr>
        <w:t>Jofre</w:t>
      </w:r>
      <w:proofErr w:type="spellEnd"/>
      <w:r w:rsidRPr="007B4B68">
        <w:rPr>
          <w:sz w:val="24"/>
          <w:szCs w:val="24"/>
        </w:rPr>
        <w:t xml:space="preserve">" </w:t>
      </w:r>
      <w:r w:rsidRPr="007B4B68">
        <w:rPr>
          <w:iCs/>
          <w:noProof/>
          <w:sz w:val="24"/>
          <w:szCs w:val="24"/>
        </w:rPr>
        <w:t>administreres med en infusionshastighed, der ikke overstiger 1,1 mg/minut (svarende til 1,4 ml/minut efter rekonstitution og fortynding jvf. instruktionerne). Infusionsrelaterede reaktioner er sjældne, når infusionshastigheden ikke overstiger 1,1 mg/minut (se pkt. 4.4).</w:t>
      </w:r>
    </w:p>
    <w:p w14:paraId="22A3CCC8" w14:textId="77777777" w:rsidR="00A87F93" w:rsidRPr="007B4B68" w:rsidRDefault="00A87F93" w:rsidP="00A87F93">
      <w:pPr>
        <w:ind w:left="851"/>
        <w:rPr>
          <w:iCs/>
          <w:noProof/>
          <w:sz w:val="24"/>
          <w:szCs w:val="24"/>
        </w:rPr>
      </w:pPr>
    </w:p>
    <w:p w14:paraId="00F3D087" w14:textId="77777777" w:rsidR="00A87F93" w:rsidRPr="007B4B68" w:rsidRDefault="00A87F93" w:rsidP="00A87F93">
      <w:pPr>
        <w:ind w:left="851"/>
        <w:rPr>
          <w:iCs/>
          <w:noProof/>
          <w:sz w:val="24"/>
          <w:szCs w:val="24"/>
        </w:rPr>
      </w:pPr>
      <w:proofErr w:type="spellStart"/>
      <w:r w:rsidRPr="007B4B68">
        <w:rPr>
          <w:sz w:val="24"/>
          <w:szCs w:val="24"/>
        </w:rPr>
        <w:t>Anidulafungin</w:t>
      </w:r>
      <w:proofErr w:type="spellEnd"/>
      <w:r w:rsidRPr="007B4B68">
        <w:rPr>
          <w:sz w:val="24"/>
          <w:szCs w:val="24"/>
        </w:rPr>
        <w:t xml:space="preserve"> "</w:t>
      </w:r>
      <w:proofErr w:type="spellStart"/>
      <w:r w:rsidRPr="007B4B68">
        <w:rPr>
          <w:sz w:val="24"/>
          <w:szCs w:val="24"/>
        </w:rPr>
        <w:t>Reig</w:t>
      </w:r>
      <w:proofErr w:type="spellEnd"/>
      <w:r w:rsidRPr="007B4B68">
        <w:rPr>
          <w:sz w:val="24"/>
          <w:szCs w:val="24"/>
        </w:rPr>
        <w:t xml:space="preserve"> </w:t>
      </w:r>
      <w:proofErr w:type="spellStart"/>
      <w:r w:rsidRPr="007B4B68">
        <w:rPr>
          <w:sz w:val="24"/>
          <w:szCs w:val="24"/>
        </w:rPr>
        <w:t>Jofre</w:t>
      </w:r>
      <w:proofErr w:type="spellEnd"/>
      <w:r w:rsidRPr="007B4B68">
        <w:rPr>
          <w:sz w:val="24"/>
          <w:szCs w:val="24"/>
        </w:rPr>
        <w:t xml:space="preserve">" </w:t>
      </w:r>
      <w:r w:rsidRPr="007B4B68">
        <w:rPr>
          <w:iCs/>
          <w:noProof/>
          <w:sz w:val="24"/>
          <w:szCs w:val="24"/>
        </w:rPr>
        <w:t>må ikke administreres som bolusinjektion.</w:t>
      </w:r>
    </w:p>
    <w:p w14:paraId="4143AF37" w14:textId="77777777" w:rsidR="009260DE" w:rsidRPr="007B4B68" w:rsidRDefault="009260DE" w:rsidP="00977B2E">
      <w:pPr>
        <w:tabs>
          <w:tab w:val="left" w:pos="851"/>
        </w:tabs>
        <w:ind w:left="851" w:hanging="851"/>
        <w:rPr>
          <w:sz w:val="24"/>
          <w:szCs w:val="24"/>
        </w:rPr>
      </w:pPr>
    </w:p>
    <w:p w14:paraId="5CA59DEE" w14:textId="77777777" w:rsidR="009260DE" w:rsidRPr="007B4B68" w:rsidRDefault="009260DE" w:rsidP="00977B2E">
      <w:pPr>
        <w:tabs>
          <w:tab w:val="left" w:pos="851"/>
        </w:tabs>
        <w:ind w:left="851" w:hanging="851"/>
        <w:rPr>
          <w:b/>
          <w:sz w:val="24"/>
          <w:szCs w:val="24"/>
        </w:rPr>
      </w:pPr>
      <w:r w:rsidRPr="007B4B68">
        <w:rPr>
          <w:b/>
          <w:sz w:val="24"/>
          <w:szCs w:val="24"/>
        </w:rPr>
        <w:t>4.3</w:t>
      </w:r>
      <w:r w:rsidRPr="007B4B68">
        <w:rPr>
          <w:b/>
          <w:sz w:val="24"/>
          <w:szCs w:val="24"/>
        </w:rPr>
        <w:tab/>
        <w:t>Kontraindikationer</w:t>
      </w:r>
    </w:p>
    <w:p w14:paraId="58FF7E8A" w14:textId="77777777" w:rsidR="009B6DCC" w:rsidRPr="007B4B68" w:rsidRDefault="009B6DCC" w:rsidP="00FD4045">
      <w:pPr>
        <w:ind w:left="851"/>
        <w:rPr>
          <w:sz w:val="24"/>
          <w:szCs w:val="24"/>
        </w:rPr>
      </w:pPr>
      <w:r w:rsidRPr="007B4B68">
        <w:rPr>
          <w:sz w:val="24"/>
          <w:szCs w:val="24"/>
        </w:rPr>
        <w:t>Overfølsomhed over for det aktive stof eller over for et eller flere af hjælpestofferne anført i pkt. 6.1.</w:t>
      </w:r>
    </w:p>
    <w:p w14:paraId="5CA64D12" w14:textId="77777777" w:rsidR="009B6DCC" w:rsidRPr="007B4B68" w:rsidRDefault="009B6DCC" w:rsidP="00FD4045">
      <w:pPr>
        <w:ind w:left="851"/>
        <w:rPr>
          <w:sz w:val="24"/>
          <w:szCs w:val="24"/>
        </w:rPr>
      </w:pPr>
      <w:r w:rsidRPr="007B4B68">
        <w:rPr>
          <w:sz w:val="24"/>
          <w:szCs w:val="24"/>
        </w:rPr>
        <w:t xml:space="preserve">Overfølsomhed over for andre lægemidler af </w:t>
      </w:r>
      <w:proofErr w:type="spellStart"/>
      <w:r w:rsidRPr="007B4B68">
        <w:rPr>
          <w:sz w:val="24"/>
          <w:szCs w:val="24"/>
        </w:rPr>
        <w:t>echinocandin</w:t>
      </w:r>
      <w:proofErr w:type="spellEnd"/>
      <w:r w:rsidRPr="007B4B68">
        <w:rPr>
          <w:sz w:val="24"/>
          <w:szCs w:val="24"/>
        </w:rPr>
        <w:t>-klassen.</w:t>
      </w:r>
    </w:p>
    <w:p w14:paraId="58639090" w14:textId="77777777" w:rsidR="009260DE" w:rsidRPr="007B4B68" w:rsidRDefault="009260DE" w:rsidP="00977B2E">
      <w:pPr>
        <w:tabs>
          <w:tab w:val="left" w:pos="851"/>
        </w:tabs>
        <w:ind w:left="851" w:hanging="851"/>
        <w:rPr>
          <w:sz w:val="24"/>
          <w:szCs w:val="24"/>
        </w:rPr>
      </w:pPr>
    </w:p>
    <w:p w14:paraId="7EADBED3" w14:textId="77777777" w:rsidR="009260DE" w:rsidRPr="007B4B68" w:rsidRDefault="009260DE" w:rsidP="00977B2E">
      <w:pPr>
        <w:tabs>
          <w:tab w:val="left" w:pos="851"/>
        </w:tabs>
        <w:ind w:left="851" w:hanging="851"/>
        <w:rPr>
          <w:b/>
          <w:sz w:val="24"/>
          <w:szCs w:val="24"/>
        </w:rPr>
      </w:pPr>
      <w:r w:rsidRPr="007B4B68">
        <w:rPr>
          <w:b/>
          <w:sz w:val="24"/>
          <w:szCs w:val="24"/>
        </w:rPr>
        <w:lastRenderedPageBreak/>
        <w:t>4.4</w:t>
      </w:r>
      <w:r w:rsidRPr="007B4B68">
        <w:rPr>
          <w:b/>
          <w:sz w:val="24"/>
          <w:szCs w:val="24"/>
        </w:rPr>
        <w:tab/>
        <w:t>Særlige advarsler og forsigtighedsregler vedrørende brugen</w:t>
      </w:r>
    </w:p>
    <w:p w14:paraId="1362362C" w14:textId="0A9B1A08" w:rsidR="00C5280D" w:rsidRPr="007B4B68" w:rsidRDefault="00C5280D" w:rsidP="00FD4045">
      <w:pPr>
        <w:ind w:left="851"/>
        <w:rPr>
          <w:iCs/>
          <w:noProof/>
          <w:sz w:val="24"/>
          <w:szCs w:val="24"/>
        </w:rPr>
      </w:pPr>
      <w:proofErr w:type="spellStart"/>
      <w:r w:rsidRPr="007B4B68">
        <w:rPr>
          <w:sz w:val="24"/>
          <w:szCs w:val="24"/>
        </w:rPr>
        <w:t>Anidulafungin</w:t>
      </w:r>
      <w:proofErr w:type="spellEnd"/>
      <w:r w:rsidRPr="007B4B68">
        <w:rPr>
          <w:sz w:val="24"/>
          <w:szCs w:val="24"/>
        </w:rPr>
        <w:t xml:space="preserve"> </w:t>
      </w:r>
      <w:r w:rsidR="002F3582" w:rsidRPr="007B4B68">
        <w:rPr>
          <w:sz w:val="24"/>
          <w:szCs w:val="24"/>
        </w:rPr>
        <w:t>"</w:t>
      </w:r>
      <w:proofErr w:type="spellStart"/>
      <w:r w:rsidR="002F3582" w:rsidRPr="007B4B68">
        <w:rPr>
          <w:sz w:val="24"/>
          <w:szCs w:val="24"/>
        </w:rPr>
        <w:t>Reig</w:t>
      </w:r>
      <w:proofErr w:type="spellEnd"/>
      <w:r w:rsidR="002F3582" w:rsidRPr="007B4B68">
        <w:rPr>
          <w:sz w:val="24"/>
          <w:szCs w:val="24"/>
        </w:rPr>
        <w:t xml:space="preserve"> </w:t>
      </w:r>
      <w:proofErr w:type="spellStart"/>
      <w:r w:rsidR="002F3582" w:rsidRPr="007B4B68">
        <w:rPr>
          <w:sz w:val="24"/>
          <w:szCs w:val="24"/>
        </w:rPr>
        <w:t>Jofre</w:t>
      </w:r>
      <w:proofErr w:type="spellEnd"/>
      <w:r w:rsidR="002F3582" w:rsidRPr="007B4B68">
        <w:rPr>
          <w:sz w:val="24"/>
          <w:szCs w:val="24"/>
        </w:rPr>
        <w:t>"</w:t>
      </w:r>
      <w:r w:rsidRPr="007B4B68">
        <w:rPr>
          <w:sz w:val="24"/>
          <w:szCs w:val="24"/>
        </w:rPr>
        <w:t xml:space="preserve"> </w:t>
      </w:r>
      <w:r w:rsidRPr="007B4B68">
        <w:rPr>
          <w:iCs/>
          <w:noProof/>
          <w:sz w:val="24"/>
          <w:szCs w:val="24"/>
        </w:rPr>
        <w:t xml:space="preserve">er ikke blevet undersøgt hos patienter med </w:t>
      </w:r>
      <w:r w:rsidRPr="007B4B68">
        <w:rPr>
          <w:i/>
          <w:iCs/>
          <w:noProof/>
          <w:sz w:val="24"/>
          <w:szCs w:val="24"/>
        </w:rPr>
        <w:t>Candida endocarditis</w:t>
      </w:r>
      <w:r w:rsidRPr="007B4B68">
        <w:rPr>
          <w:iCs/>
          <w:noProof/>
          <w:sz w:val="24"/>
          <w:szCs w:val="24"/>
        </w:rPr>
        <w:t>, osteomyelitis eller</w:t>
      </w:r>
      <w:r w:rsidR="000841BA" w:rsidRPr="007B4B68">
        <w:rPr>
          <w:iCs/>
          <w:noProof/>
          <w:sz w:val="24"/>
          <w:szCs w:val="24"/>
        </w:rPr>
        <w:t xml:space="preserve"> </w:t>
      </w:r>
      <w:r w:rsidRPr="007B4B68">
        <w:rPr>
          <w:iCs/>
          <w:noProof/>
          <w:sz w:val="24"/>
          <w:szCs w:val="24"/>
        </w:rPr>
        <w:t>menigitis.</w:t>
      </w:r>
    </w:p>
    <w:p w14:paraId="39C4EFC1" w14:textId="77777777" w:rsidR="00C5280D" w:rsidRPr="007B4B68" w:rsidRDefault="00C5280D" w:rsidP="00FD4045">
      <w:pPr>
        <w:ind w:left="851"/>
        <w:rPr>
          <w:iCs/>
          <w:noProof/>
          <w:sz w:val="24"/>
          <w:szCs w:val="24"/>
        </w:rPr>
      </w:pPr>
    </w:p>
    <w:p w14:paraId="4A2A1D53" w14:textId="77777777" w:rsidR="00A87F93" w:rsidRDefault="00C5280D" w:rsidP="00FD4045">
      <w:pPr>
        <w:ind w:left="851"/>
        <w:rPr>
          <w:iCs/>
          <w:noProof/>
          <w:sz w:val="24"/>
          <w:szCs w:val="24"/>
        </w:rPr>
      </w:pPr>
      <w:r w:rsidRPr="007B4B68">
        <w:rPr>
          <w:iCs/>
          <w:noProof/>
          <w:sz w:val="24"/>
          <w:szCs w:val="24"/>
        </w:rPr>
        <w:t xml:space="preserve">Effekten af </w:t>
      </w:r>
      <w:proofErr w:type="spellStart"/>
      <w:r w:rsidRPr="007B4B68">
        <w:rPr>
          <w:sz w:val="24"/>
          <w:szCs w:val="24"/>
        </w:rPr>
        <w:t>Anidulafungin</w:t>
      </w:r>
      <w:proofErr w:type="spellEnd"/>
      <w:r w:rsidRPr="007B4B68">
        <w:rPr>
          <w:sz w:val="24"/>
          <w:szCs w:val="24"/>
        </w:rPr>
        <w:t xml:space="preserve"> </w:t>
      </w:r>
      <w:r w:rsidR="002F3582" w:rsidRPr="007B4B68">
        <w:rPr>
          <w:sz w:val="24"/>
          <w:szCs w:val="24"/>
        </w:rPr>
        <w:t>"</w:t>
      </w:r>
      <w:proofErr w:type="spellStart"/>
      <w:r w:rsidR="002F3582" w:rsidRPr="007B4B68">
        <w:rPr>
          <w:sz w:val="24"/>
          <w:szCs w:val="24"/>
        </w:rPr>
        <w:t>Reig</w:t>
      </w:r>
      <w:proofErr w:type="spellEnd"/>
      <w:r w:rsidR="002F3582" w:rsidRPr="007B4B68">
        <w:rPr>
          <w:sz w:val="24"/>
          <w:szCs w:val="24"/>
        </w:rPr>
        <w:t xml:space="preserve"> </w:t>
      </w:r>
      <w:proofErr w:type="spellStart"/>
      <w:r w:rsidR="002F3582" w:rsidRPr="007B4B68">
        <w:rPr>
          <w:sz w:val="24"/>
          <w:szCs w:val="24"/>
        </w:rPr>
        <w:t>Jofre</w:t>
      </w:r>
      <w:proofErr w:type="spellEnd"/>
      <w:r w:rsidR="002F3582" w:rsidRPr="007B4B68">
        <w:rPr>
          <w:sz w:val="24"/>
          <w:szCs w:val="24"/>
        </w:rPr>
        <w:t>"</w:t>
      </w:r>
      <w:r w:rsidRPr="007B4B68">
        <w:rPr>
          <w:sz w:val="24"/>
          <w:szCs w:val="24"/>
        </w:rPr>
        <w:t xml:space="preserve"> </w:t>
      </w:r>
      <w:r w:rsidRPr="007B4B68">
        <w:rPr>
          <w:iCs/>
          <w:noProof/>
          <w:sz w:val="24"/>
          <w:szCs w:val="24"/>
        </w:rPr>
        <w:t xml:space="preserve">er kun blevet vurderet hos et begrænset antal </w:t>
      </w:r>
    </w:p>
    <w:p w14:paraId="532E9AAD" w14:textId="4CB3D67A" w:rsidR="00C5280D" w:rsidRDefault="00C5280D" w:rsidP="00FD4045">
      <w:pPr>
        <w:ind w:left="851"/>
        <w:rPr>
          <w:iCs/>
          <w:noProof/>
          <w:sz w:val="24"/>
          <w:szCs w:val="24"/>
        </w:rPr>
      </w:pPr>
      <w:r w:rsidRPr="007B4B68">
        <w:rPr>
          <w:iCs/>
          <w:noProof/>
          <w:sz w:val="24"/>
          <w:szCs w:val="24"/>
        </w:rPr>
        <w:t>neutropene patienter (se pkt. 5.1).</w:t>
      </w:r>
    </w:p>
    <w:p w14:paraId="2A37D5E5" w14:textId="3B158849" w:rsidR="00A87F93" w:rsidRDefault="00A87F93" w:rsidP="00FD4045">
      <w:pPr>
        <w:ind w:left="851"/>
        <w:rPr>
          <w:iCs/>
          <w:noProof/>
          <w:sz w:val="24"/>
          <w:szCs w:val="24"/>
        </w:rPr>
      </w:pPr>
    </w:p>
    <w:p w14:paraId="6A21DCE0" w14:textId="77777777" w:rsidR="00A87F93" w:rsidRPr="00A65E5F" w:rsidRDefault="00A87F93" w:rsidP="00A87F93">
      <w:pPr>
        <w:ind w:firstLine="851"/>
        <w:rPr>
          <w:iCs/>
          <w:noProof/>
          <w:sz w:val="24"/>
          <w:szCs w:val="24"/>
          <w:u w:val="single"/>
        </w:rPr>
      </w:pPr>
      <w:r w:rsidRPr="00A65E5F">
        <w:rPr>
          <w:iCs/>
          <w:noProof/>
          <w:sz w:val="24"/>
          <w:szCs w:val="24"/>
          <w:u w:val="single"/>
        </w:rPr>
        <w:t xml:space="preserve">Pædiatrisk population </w:t>
      </w:r>
    </w:p>
    <w:p w14:paraId="30235BF0" w14:textId="77777777" w:rsidR="00A87F93" w:rsidRPr="00A65E5F" w:rsidRDefault="00A87F93" w:rsidP="00A87F93">
      <w:pPr>
        <w:rPr>
          <w:iCs/>
          <w:noProof/>
          <w:sz w:val="24"/>
          <w:szCs w:val="24"/>
        </w:rPr>
      </w:pPr>
    </w:p>
    <w:p w14:paraId="578AC281" w14:textId="77777777" w:rsidR="00A87F93" w:rsidRPr="00A65E5F" w:rsidRDefault="00A87F93" w:rsidP="00A87F93">
      <w:pPr>
        <w:ind w:left="851"/>
        <w:rPr>
          <w:iCs/>
          <w:noProof/>
          <w:sz w:val="24"/>
          <w:szCs w:val="24"/>
        </w:rPr>
      </w:pPr>
      <w:r w:rsidRPr="00A65E5F">
        <w:rPr>
          <w:iCs/>
          <w:noProof/>
          <w:sz w:val="24"/>
          <w:szCs w:val="24"/>
        </w:rPr>
        <w:t xml:space="preserve">Det anbefales ikke at behandle nyfødte (&lt; 1 måned gammel) med </w:t>
      </w:r>
      <w:proofErr w:type="spellStart"/>
      <w:r w:rsidRPr="00A65E5F">
        <w:rPr>
          <w:sz w:val="24"/>
          <w:szCs w:val="24"/>
        </w:rPr>
        <w:t>Anidulafungin</w:t>
      </w:r>
      <w:proofErr w:type="spellEnd"/>
      <w:r w:rsidRPr="00A65E5F">
        <w:rPr>
          <w:sz w:val="24"/>
          <w:szCs w:val="24"/>
        </w:rPr>
        <w:t xml:space="preserve"> </w:t>
      </w:r>
      <w:proofErr w:type="spellStart"/>
      <w:r w:rsidRPr="00A65E5F">
        <w:rPr>
          <w:sz w:val="24"/>
          <w:szCs w:val="24"/>
        </w:rPr>
        <w:t>Reig</w:t>
      </w:r>
      <w:proofErr w:type="spellEnd"/>
      <w:r w:rsidRPr="00A65E5F">
        <w:rPr>
          <w:sz w:val="24"/>
          <w:szCs w:val="24"/>
        </w:rPr>
        <w:t xml:space="preserve"> </w:t>
      </w:r>
      <w:proofErr w:type="spellStart"/>
      <w:r w:rsidRPr="00A65E5F">
        <w:rPr>
          <w:sz w:val="24"/>
          <w:szCs w:val="24"/>
        </w:rPr>
        <w:t>Jofre</w:t>
      </w:r>
      <w:proofErr w:type="spellEnd"/>
      <w:r w:rsidRPr="00A65E5F">
        <w:rPr>
          <w:iCs/>
          <w:noProof/>
          <w:sz w:val="24"/>
          <w:szCs w:val="24"/>
        </w:rPr>
        <w:t xml:space="preserve">. Behandling af nyfødte kræver overvejelse til dækning af dissemineret candidiasis, herunder centralnervesystemet. Non-kliniske infektionsmodeller angiver, at højere anidulafungindoser er nødvendige for at opnå tiistrækkelig penetration af centralnervesystemet (se pkt. 5.3), hvilket medfører højere polysorbat 80doser, et formuleringshjælpestof. Højere polysorbatdoser er forbundet med potentielt livstruende toksicitet hos nyfødte, som rapporteret i litteraturen. </w:t>
      </w:r>
    </w:p>
    <w:p w14:paraId="0154B12C" w14:textId="77777777" w:rsidR="00A87F93" w:rsidRPr="00A65E5F" w:rsidRDefault="00A87F93" w:rsidP="00A87F93">
      <w:pPr>
        <w:rPr>
          <w:iCs/>
          <w:noProof/>
          <w:sz w:val="24"/>
          <w:szCs w:val="24"/>
        </w:rPr>
      </w:pPr>
    </w:p>
    <w:p w14:paraId="291DA473" w14:textId="77777777" w:rsidR="00A87F93" w:rsidRPr="00A65E5F" w:rsidRDefault="00A87F93" w:rsidP="00A87F93">
      <w:pPr>
        <w:ind w:left="851"/>
        <w:rPr>
          <w:b/>
          <w:bCs/>
          <w:iCs/>
          <w:noProof/>
          <w:sz w:val="24"/>
          <w:szCs w:val="24"/>
        </w:rPr>
      </w:pPr>
      <w:r w:rsidRPr="00A65E5F">
        <w:rPr>
          <w:b/>
          <w:bCs/>
          <w:iCs/>
          <w:noProof/>
          <w:sz w:val="24"/>
          <w:szCs w:val="24"/>
        </w:rPr>
        <w:t>Der foreligger ingen kliniske data, der understøtter virkningen og sikkerheden af højere anidulafungindoser end anbefalet i 4.2.</w:t>
      </w:r>
    </w:p>
    <w:p w14:paraId="3DF0B757" w14:textId="77777777" w:rsidR="00C5280D" w:rsidRPr="007B4B68" w:rsidRDefault="00C5280D" w:rsidP="00FD4045">
      <w:pPr>
        <w:ind w:left="851"/>
        <w:rPr>
          <w:iCs/>
          <w:noProof/>
          <w:sz w:val="24"/>
          <w:szCs w:val="24"/>
        </w:rPr>
      </w:pPr>
    </w:p>
    <w:p w14:paraId="56B64BF0" w14:textId="77777777" w:rsidR="00C5280D" w:rsidRPr="007B4B68" w:rsidRDefault="00C5280D" w:rsidP="00FD4045">
      <w:pPr>
        <w:ind w:left="851"/>
        <w:rPr>
          <w:iCs/>
          <w:noProof/>
          <w:sz w:val="24"/>
          <w:szCs w:val="24"/>
          <w:u w:val="single"/>
        </w:rPr>
      </w:pPr>
      <w:r w:rsidRPr="007B4B68">
        <w:rPr>
          <w:iCs/>
          <w:noProof/>
          <w:sz w:val="24"/>
          <w:szCs w:val="24"/>
          <w:u w:val="single"/>
        </w:rPr>
        <w:t>Leverpåvirkning</w:t>
      </w:r>
    </w:p>
    <w:p w14:paraId="505DBB0C" w14:textId="68CB3ED2" w:rsidR="00C5280D" w:rsidRPr="007B4B68" w:rsidRDefault="00C5280D" w:rsidP="00FD4045">
      <w:pPr>
        <w:ind w:left="851"/>
        <w:rPr>
          <w:iCs/>
          <w:noProof/>
          <w:sz w:val="24"/>
          <w:szCs w:val="24"/>
        </w:rPr>
      </w:pPr>
      <w:r w:rsidRPr="007B4B68">
        <w:rPr>
          <w:iCs/>
          <w:noProof/>
          <w:sz w:val="24"/>
          <w:szCs w:val="24"/>
        </w:rPr>
        <w:t>Hos raske forsøgspersoner og patienter, der er behandlet med anidulafungin, er der set en stigning i</w:t>
      </w:r>
      <w:r w:rsidR="000841BA" w:rsidRPr="007B4B68">
        <w:rPr>
          <w:iCs/>
          <w:noProof/>
          <w:sz w:val="24"/>
          <w:szCs w:val="24"/>
        </w:rPr>
        <w:t xml:space="preserve"> </w:t>
      </w:r>
      <w:r w:rsidRPr="007B4B68">
        <w:rPr>
          <w:iCs/>
          <w:noProof/>
          <w:sz w:val="24"/>
          <w:szCs w:val="24"/>
        </w:rPr>
        <w:t>leverenzymer. Hos visse patienter med alvorligt tilgrundliggende sygdom, som samtidigt fik flere</w:t>
      </w:r>
      <w:r w:rsidR="000841BA" w:rsidRPr="007B4B68">
        <w:rPr>
          <w:iCs/>
          <w:noProof/>
          <w:sz w:val="24"/>
          <w:szCs w:val="24"/>
        </w:rPr>
        <w:t xml:space="preserve"> </w:t>
      </w:r>
      <w:r w:rsidRPr="007B4B68">
        <w:rPr>
          <w:iCs/>
          <w:noProof/>
          <w:sz w:val="24"/>
          <w:szCs w:val="24"/>
        </w:rPr>
        <w:t>slags medicin sammen med anidulafungin, forekom klinisk signifikant leverpåvirkning. Tilfælde af</w:t>
      </w:r>
      <w:r w:rsidR="000841BA" w:rsidRPr="007B4B68">
        <w:rPr>
          <w:iCs/>
          <w:noProof/>
          <w:sz w:val="24"/>
          <w:szCs w:val="24"/>
        </w:rPr>
        <w:t xml:space="preserve"> </w:t>
      </w:r>
      <w:r w:rsidRPr="007B4B68">
        <w:rPr>
          <w:iCs/>
          <w:noProof/>
          <w:sz w:val="24"/>
          <w:szCs w:val="24"/>
        </w:rPr>
        <w:t>signifikant leverdysfunktion, hepatitis og leversvigt var ikke almindelige i kliniske studier. Patienter</w:t>
      </w:r>
      <w:r w:rsidR="000841BA" w:rsidRPr="007B4B68">
        <w:rPr>
          <w:iCs/>
          <w:noProof/>
          <w:sz w:val="24"/>
          <w:szCs w:val="24"/>
        </w:rPr>
        <w:t xml:space="preserve"> </w:t>
      </w:r>
      <w:r w:rsidRPr="007B4B68">
        <w:rPr>
          <w:iCs/>
          <w:noProof/>
          <w:sz w:val="24"/>
          <w:szCs w:val="24"/>
        </w:rPr>
        <w:t>med stigning i leverenzymer under behandling med anidulafungin skal monitoreres for tegn på</w:t>
      </w:r>
      <w:r w:rsidR="000841BA" w:rsidRPr="007B4B68">
        <w:rPr>
          <w:iCs/>
          <w:noProof/>
          <w:sz w:val="24"/>
          <w:szCs w:val="24"/>
        </w:rPr>
        <w:t xml:space="preserve"> </w:t>
      </w:r>
      <w:r w:rsidRPr="007B4B68">
        <w:rPr>
          <w:iCs/>
          <w:noProof/>
          <w:sz w:val="24"/>
          <w:szCs w:val="24"/>
        </w:rPr>
        <w:t>forværring af leverfunktionen og risk/benefit-forholdet ved fortsat anidulafungin-behandling vurderes.</w:t>
      </w:r>
    </w:p>
    <w:p w14:paraId="36DD9E7E" w14:textId="77777777" w:rsidR="00C5280D" w:rsidRPr="007B4B68" w:rsidRDefault="00C5280D" w:rsidP="00FD4045">
      <w:pPr>
        <w:ind w:left="851"/>
        <w:rPr>
          <w:iCs/>
          <w:noProof/>
          <w:sz w:val="24"/>
          <w:szCs w:val="24"/>
        </w:rPr>
      </w:pPr>
    </w:p>
    <w:p w14:paraId="6F160729" w14:textId="77777777" w:rsidR="00C5280D" w:rsidRPr="007B4B68" w:rsidRDefault="00C5280D" w:rsidP="00FD4045">
      <w:pPr>
        <w:ind w:left="851"/>
        <w:rPr>
          <w:iCs/>
          <w:noProof/>
          <w:sz w:val="24"/>
          <w:szCs w:val="24"/>
          <w:u w:val="single"/>
        </w:rPr>
      </w:pPr>
      <w:r w:rsidRPr="007B4B68">
        <w:rPr>
          <w:iCs/>
          <w:noProof/>
          <w:sz w:val="24"/>
          <w:szCs w:val="24"/>
          <w:u w:val="single"/>
        </w:rPr>
        <w:t>Anafylaktiske reaktioner</w:t>
      </w:r>
    </w:p>
    <w:p w14:paraId="500DD3F6" w14:textId="290C897C" w:rsidR="00C5280D" w:rsidRPr="007B4B68" w:rsidRDefault="00C5280D" w:rsidP="00FD4045">
      <w:pPr>
        <w:ind w:left="851"/>
        <w:rPr>
          <w:iCs/>
          <w:noProof/>
          <w:sz w:val="24"/>
          <w:szCs w:val="24"/>
        </w:rPr>
      </w:pPr>
      <w:r w:rsidRPr="007B4B68">
        <w:rPr>
          <w:iCs/>
          <w:noProof/>
          <w:sz w:val="24"/>
          <w:szCs w:val="24"/>
        </w:rPr>
        <w:t>Anafylaktiske reaktioner, herunder shock, er rapporteret efter brug af anidulafungin. Hvis disse</w:t>
      </w:r>
      <w:r w:rsidR="000841BA" w:rsidRPr="007B4B68">
        <w:rPr>
          <w:iCs/>
          <w:noProof/>
          <w:sz w:val="24"/>
          <w:szCs w:val="24"/>
        </w:rPr>
        <w:t xml:space="preserve"> </w:t>
      </w:r>
      <w:r w:rsidRPr="007B4B68">
        <w:rPr>
          <w:iCs/>
          <w:noProof/>
          <w:sz w:val="24"/>
          <w:szCs w:val="24"/>
        </w:rPr>
        <w:t>reaktioner opstår, skal anidulafungin seponeres og passende behandling iværksættes.</w:t>
      </w:r>
    </w:p>
    <w:p w14:paraId="3D895B82" w14:textId="77777777" w:rsidR="00C5280D" w:rsidRPr="007B4B68" w:rsidRDefault="00C5280D" w:rsidP="00FD4045">
      <w:pPr>
        <w:ind w:left="851"/>
        <w:rPr>
          <w:iCs/>
          <w:noProof/>
          <w:sz w:val="24"/>
          <w:szCs w:val="24"/>
        </w:rPr>
      </w:pPr>
    </w:p>
    <w:p w14:paraId="59886D95" w14:textId="77777777" w:rsidR="00C5280D" w:rsidRPr="007B4B68" w:rsidRDefault="00C5280D" w:rsidP="00FD4045">
      <w:pPr>
        <w:ind w:left="851"/>
        <w:rPr>
          <w:iCs/>
          <w:noProof/>
          <w:sz w:val="24"/>
          <w:szCs w:val="24"/>
          <w:u w:val="single"/>
        </w:rPr>
      </w:pPr>
      <w:r w:rsidRPr="007B4B68">
        <w:rPr>
          <w:iCs/>
          <w:noProof/>
          <w:sz w:val="24"/>
          <w:szCs w:val="24"/>
          <w:u w:val="single"/>
        </w:rPr>
        <w:t>Infusionsrelaterede reaktioner</w:t>
      </w:r>
    </w:p>
    <w:p w14:paraId="055BAF71" w14:textId="1458AF42" w:rsidR="00C5280D" w:rsidRPr="007B4B68" w:rsidRDefault="00C5280D" w:rsidP="00FD4045">
      <w:pPr>
        <w:ind w:left="851"/>
        <w:rPr>
          <w:iCs/>
          <w:noProof/>
          <w:sz w:val="24"/>
          <w:szCs w:val="24"/>
        </w:rPr>
      </w:pPr>
      <w:r w:rsidRPr="007B4B68">
        <w:rPr>
          <w:iCs/>
          <w:noProof/>
          <w:sz w:val="24"/>
          <w:szCs w:val="24"/>
        </w:rPr>
        <w:t>Der er rapporteret infusionsrelaterede reaktioner efter brug af anidulafungin, herunder udslæt,</w:t>
      </w:r>
      <w:r w:rsidR="000841BA" w:rsidRPr="007B4B68">
        <w:rPr>
          <w:iCs/>
          <w:noProof/>
          <w:sz w:val="24"/>
          <w:szCs w:val="24"/>
        </w:rPr>
        <w:t xml:space="preserve"> </w:t>
      </w:r>
      <w:r w:rsidRPr="007B4B68">
        <w:rPr>
          <w:iCs/>
          <w:noProof/>
          <w:sz w:val="24"/>
          <w:szCs w:val="24"/>
        </w:rPr>
        <w:t>urticaria, flushing, pruritus, dyspnø, bronkospasmer og hypotension. Infusionsrelaterede bivirkninger</w:t>
      </w:r>
      <w:r w:rsidR="000841BA" w:rsidRPr="007B4B68">
        <w:rPr>
          <w:iCs/>
          <w:noProof/>
          <w:sz w:val="24"/>
          <w:szCs w:val="24"/>
        </w:rPr>
        <w:t xml:space="preserve"> </w:t>
      </w:r>
      <w:r w:rsidRPr="007B4B68">
        <w:rPr>
          <w:iCs/>
          <w:noProof/>
          <w:sz w:val="24"/>
          <w:szCs w:val="24"/>
        </w:rPr>
        <w:t>er sjældne, hvis infusionshastigheden ikke overstiger 1,1 mg/minut (se pkt. 4.8).</w:t>
      </w:r>
    </w:p>
    <w:p w14:paraId="47486B09" w14:textId="4D095D3F" w:rsidR="00C5280D" w:rsidRPr="007B4B68" w:rsidRDefault="00C5280D" w:rsidP="00FD4045">
      <w:pPr>
        <w:ind w:left="851"/>
        <w:rPr>
          <w:iCs/>
          <w:noProof/>
          <w:sz w:val="24"/>
          <w:szCs w:val="24"/>
        </w:rPr>
      </w:pPr>
      <w:r w:rsidRPr="007B4B68">
        <w:rPr>
          <w:iCs/>
          <w:noProof/>
          <w:sz w:val="24"/>
          <w:szCs w:val="24"/>
        </w:rPr>
        <w:t>I et præ-klinisk dyreforsøg med rotter er der set eksacerbation af infusionsrelaterede reaktioner ved</w:t>
      </w:r>
      <w:r w:rsidR="000841BA" w:rsidRPr="007B4B68">
        <w:rPr>
          <w:iCs/>
          <w:noProof/>
          <w:sz w:val="24"/>
          <w:szCs w:val="24"/>
        </w:rPr>
        <w:t xml:space="preserve"> </w:t>
      </w:r>
      <w:r w:rsidRPr="007B4B68">
        <w:rPr>
          <w:iCs/>
          <w:noProof/>
          <w:sz w:val="24"/>
          <w:szCs w:val="24"/>
        </w:rPr>
        <w:t>samtidig anvendelse af anæstetika (se pkt. 5.3). Den kliniske betydning heraf kendes ikke. Alligevel</w:t>
      </w:r>
      <w:r w:rsidR="000841BA" w:rsidRPr="007B4B68">
        <w:rPr>
          <w:iCs/>
          <w:noProof/>
          <w:sz w:val="24"/>
          <w:szCs w:val="24"/>
        </w:rPr>
        <w:t xml:space="preserve"> </w:t>
      </w:r>
      <w:r w:rsidRPr="007B4B68">
        <w:rPr>
          <w:iCs/>
          <w:noProof/>
          <w:sz w:val="24"/>
          <w:szCs w:val="24"/>
        </w:rPr>
        <w:t>tilrådes forsigtighed, når anidulafungin anvendes sammen med anæstetika.</w:t>
      </w:r>
    </w:p>
    <w:p w14:paraId="403F0B71" w14:textId="77777777" w:rsidR="00C5280D" w:rsidRPr="007B4B68" w:rsidRDefault="00C5280D" w:rsidP="00FD4045">
      <w:pPr>
        <w:ind w:left="851"/>
        <w:rPr>
          <w:iCs/>
          <w:noProof/>
          <w:sz w:val="24"/>
          <w:szCs w:val="24"/>
        </w:rPr>
      </w:pPr>
    </w:p>
    <w:p w14:paraId="4DA6B95A" w14:textId="77777777" w:rsidR="00C5280D" w:rsidRPr="007B4B68" w:rsidRDefault="00C5280D" w:rsidP="00FD4045">
      <w:pPr>
        <w:ind w:left="851"/>
        <w:rPr>
          <w:iCs/>
          <w:noProof/>
          <w:sz w:val="24"/>
          <w:szCs w:val="24"/>
          <w:u w:val="single"/>
        </w:rPr>
      </w:pPr>
      <w:r w:rsidRPr="007B4B68">
        <w:rPr>
          <w:iCs/>
          <w:noProof/>
          <w:sz w:val="24"/>
          <w:szCs w:val="24"/>
          <w:u w:val="single"/>
        </w:rPr>
        <w:t>Fructoseindhold</w:t>
      </w:r>
    </w:p>
    <w:p w14:paraId="35A8BDE8" w14:textId="77777777" w:rsidR="00A87F93" w:rsidRPr="00A65E5F" w:rsidRDefault="00A87F93" w:rsidP="00A87F93">
      <w:pPr>
        <w:ind w:left="851"/>
        <w:rPr>
          <w:iCs/>
          <w:noProof/>
          <w:sz w:val="24"/>
          <w:szCs w:val="24"/>
        </w:rPr>
      </w:pPr>
      <w:proofErr w:type="spellStart"/>
      <w:r w:rsidRPr="00A65E5F">
        <w:rPr>
          <w:sz w:val="24"/>
          <w:szCs w:val="24"/>
        </w:rPr>
        <w:t>Anidulafungin</w:t>
      </w:r>
      <w:proofErr w:type="spellEnd"/>
      <w:r w:rsidRPr="00A65E5F">
        <w:rPr>
          <w:sz w:val="24"/>
          <w:szCs w:val="24"/>
        </w:rPr>
        <w:t xml:space="preserve"> </w:t>
      </w:r>
      <w:proofErr w:type="spellStart"/>
      <w:r w:rsidRPr="00A65E5F">
        <w:rPr>
          <w:sz w:val="24"/>
          <w:szCs w:val="24"/>
        </w:rPr>
        <w:t>Reig</w:t>
      </w:r>
      <w:proofErr w:type="spellEnd"/>
      <w:r w:rsidRPr="00A65E5F">
        <w:rPr>
          <w:sz w:val="24"/>
          <w:szCs w:val="24"/>
        </w:rPr>
        <w:t xml:space="preserve"> </w:t>
      </w:r>
      <w:proofErr w:type="spellStart"/>
      <w:r w:rsidRPr="00A65E5F">
        <w:rPr>
          <w:sz w:val="24"/>
          <w:szCs w:val="24"/>
        </w:rPr>
        <w:t>Jofre</w:t>
      </w:r>
      <w:proofErr w:type="spellEnd"/>
      <w:r w:rsidRPr="00A65E5F">
        <w:rPr>
          <w:iCs/>
          <w:noProof/>
          <w:sz w:val="24"/>
          <w:szCs w:val="24"/>
        </w:rPr>
        <w:t xml:space="preserve"> indeholder </w:t>
      </w:r>
      <w:r>
        <w:rPr>
          <w:iCs/>
          <w:noProof/>
          <w:sz w:val="24"/>
          <w:szCs w:val="24"/>
        </w:rPr>
        <w:t xml:space="preserve">102.5 mg </w:t>
      </w:r>
      <w:r w:rsidRPr="00A65E5F">
        <w:rPr>
          <w:iCs/>
          <w:noProof/>
          <w:sz w:val="24"/>
          <w:szCs w:val="24"/>
        </w:rPr>
        <w:t>fructose</w:t>
      </w:r>
      <w:r>
        <w:rPr>
          <w:iCs/>
          <w:noProof/>
          <w:sz w:val="24"/>
          <w:szCs w:val="24"/>
        </w:rPr>
        <w:t xml:space="preserve"> pr. </w:t>
      </w:r>
      <w:r w:rsidRPr="007B4B68">
        <w:rPr>
          <w:sz w:val="24"/>
          <w:szCs w:val="24"/>
        </w:rPr>
        <w:t>hætteglas</w:t>
      </w:r>
      <w:r w:rsidRPr="00A65E5F">
        <w:rPr>
          <w:iCs/>
          <w:noProof/>
          <w:sz w:val="24"/>
          <w:szCs w:val="24"/>
        </w:rPr>
        <w:t xml:space="preserve">. </w:t>
      </w:r>
      <w:r>
        <w:rPr>
          <w:iCs/>
          <w:noProof/>
          <w:sz w:val="24"/>
          <w:szCs w:val="24"/>
        </w:rPr>
        <w:t>Den additive virkning af samtidigt administrerede produkter indeholdende fructose (eller sorbitol) og di</w:t>
      </w:r>
      <w:r w:rsidRPr="007B4B68">
        <w:rPr>
          <w:iCs/>
          <w:noProof/>
          <w:sz w:val="24"/>
          <w:szCs w:val="24"/>
        </w:rPr>
        <w:t>æ</w:t>
      </w:r>
      <w:r>
        <w:rPr>
          <w:iCs/>
          <w:noProof/>
          <w:sz w:val="24"/>
          <w:szCs w:val="24"/>
        </w:rPr>
        <w:t>tindtagelse af fructose (eller sorbitol) b</w:t>
      </w:r>
      <w:r w:rsidRPr="00AF417F">
        <w:rPr>
          <w:iCs/>
          <w:noProof/>
          <w:sz w:val="24"/>
          <w:szCs w:val="24"/>
        </w:rPr>
        <w:t>ø</w:t>
      </w:r>
      <w:r>
        <w:rPr>
          <w:iCs/>
          <w:noProof/>
          <w:sz w:val="24"/>
          <w:szCs w:val="24"/>
        </w:rPr>
        <w:t>r tages i betragtning.</w:t>
      </w:r>
    </w:p>
    <w:p w14:paraId="258A4C38" w14:textId="77777777" w:rsidR="00A87F93" w:rsidRPr="00A65E5F" w:rsidRDefault="00A87F93" w:rsidP="00A87F93">
      <w:pPr>
        <w:rPr>
          <w:iCs/>
          <w:noProof/>
          <w:sz w:val="24"/>
          <w:szCs w:val="24"/>
        </w:rPr>
      </w:pPr>
    </w:p>
    <w:p w14:paraId="459AB924" w14:textId="77777777" w:rsidR="00A87F93" w:rsidRPr="00A65E5F" w:rsidRDefault="00A87F93" w:rsidP="00A87F93">
      <w:pPr>
        <w:ind w:left="851"/>
        <w:rPr>
          <w:iCs/>
          <w:noProof/>
          <w:sz w:val="24"/>
          <w:szCs w:val="24"/>
        </w:rPr>
      </w:pPr>
      <w:r w:rsidRPr="00A65E5F">
        <w:rPr>
          <w:iCs/>
          <w:noProof/>
          <w:sz w:val="24"/>
          <w:szCs w:val="24"/>
        </w:rPr>
        <w:t xml:space="preserve">Denne medicin bør ikke anvendes til patienter med hereditær fructoseintolerans, medmindre det er strengt nødvendigt. </w:t>
      </w:r>
    </w:p>
    <w:p w14:paraId="5BBD67C7" w14:textId="77777777" w:rsidR="00A87F93" w:rsidRPr="00A65E5F" w:rsidRDefault="00A87F93" w:rsidP="00A87F93">
      <w:pPr>
        <w:rPr>
          <w:iCs/>
          <w:noProof/>
          <w:sz w:val="24"/>
          <w:szCs w:val="24"/>
        </w:rPr>
      </w:pPr>
    </w:p>
    <w:p w14:paraId="0C4324FF" w14:textId="77777777" w:rsidR="00A87F93" w:rsidRPr="00A65E5F" w:rsidRDefault="00A87F93" w:rsidP="00A87F93">
      <w:pPr>
        <w:ind w:left="851"/>
        <w:rPr>
          <w:iCs/>
          <w:noProof/>
          <w:sz w:val="24"/>
          <w:szCs w:val="24"/>
        </w:rPr>
      </w:pPr>
      <w:r w:rsidRPr="00A65E5F">
        <w:rPr>
          <w:iCs/>
          <w:noProof/>
          <w:sz w:val="24"/>
          <w:szCs w:val="24"/>
        </w:rPr>
        <w:t xml:space="preserve">Babyer og småbørn (under 2 år) kan have hereditær fructoseintolerans (HFI) uden at være diagnosticeret med det. Lægemidler (indeholdende fructose) givet intravenøst kan være livstruende og bør ikke administreres i denne population, medmindre der er et overvældende klinisk behov, og der ikke findes nogen alternativer. </w:t>
      </w:r>
    </w:p>
    <w:p w14:paraId="06EF0D1A" w14:textId="77777777" w:rsidR="00A87F93" w:rsidRPr="00A65E5F" w:rsidRDefault="00A87F93" w:rsidP="00A87F93">
      <w:pPr>
        <w:rPr>
          <w:iCs/>
          <w:noProof/>
          <w:sz w:val="24"/>
          <w:szCs w:val="24"/>
        </w:rPr>
      </w:pPr>
    </w:p>
    <w:p w14:paraId="1BD65658" w14:textId="77777777" w:rsidR="00A87F93" w:rsidRPr="00A65E5F" w:rsidRDefault="00A87F93" w:rsidP="00A87F93">
      <w:pPr>
        <w:ind w:left="851"/>
        <w:rPr>
          <w:iCs/>
          <w:noProof/>
          <w:sz w:val="24"/>
          <w:szCs w:val="24"/>
        </w:rPr>
      </w:pPr>
      <w:r w:rsidRPr="00A65E5F">
        <w:rPr>
          <w:iCs/>
          <w:noProof/>
          <w:sz w:val="24"/>
          <w:szCs w:val="24"/>
        </w:rPr>
        <w:t>Detaljeret anamnese med henblik på symptomer på HFI skal foretages, før patienten kan anvende lægemidlet.</w:t>
      </w:r>
    </w:p>
    <w:p w14:paraId="08BB34C8" w14:textId="77777777" w:rsidR="00A87F93" w:rsidRPr="00A65E5F" w:rsidRDefault="00A87F93" w:rsidP="00A87F93">
      <w:pPr>
        <w:ind w:left="851"/>
        <w:rPr>
          <w:sz w:val="24"/>
          <w:szCs w:val="24"/>
        </w:rPr>
      </w:pPr>
    </w:p>
    <w:p w14:paraId="10E482B9" w14:textId="77777777" w:rsidR="00A87F93" w:rsidRPr="00A65E5F" w:rsidRDefault="00A87F93" w:rsidP="00A87F93">
      <w:pPr>
        <w:ind w:firstLine="851"/>
        <w:rPr>
          <w:sz w:val="24"/>
          <w:szCs w:val="24"/>
          <w:u w:val="single"/>
        </w:rPr>
      </w:pPr>
      <w:r w:rsidRPr="00A65E5F">
        <w:rPr>
          <w:sz w:val="24"/>
          <w:szCs w:val="24"/>
          <w:u w:val="single"/>
        </w:rPr>
        <w:t xml:space="preserve">Natriumindhold </w:t>
      </w:r>
    </w:p>
    <w:p w14:paraId="2977B12D" w14:textId="77777777" w:rsidR="00A87F93" w:rsidRPr="00A65E5F" w:rsidRDefault="00A87F93" w:rsidP="00A87F93">
      <w:pPr>
        <w:ind w:left="851"/>
        <w:rPr>
          <w:sz w:val="24"/>
          <w:szCs w:val="24"/>
        </w:rPr>
      </w:pPr>
      <w:proofErr w:type="spellStart"/>
      <w:r w:rsidRPr="00A65E5F">
        <w:rPr>
          <w:sz w:val="24"/>
          <w:szCs w:val="24"/>
        </w:rPr>
        <w:t>Anidulafungin</w:t>
      </w:r>
      <w:proofErr w:type="spellEnd"/>
      <w:r w:rsidRPr="00A65E5F">
        <w:rPr>
          <w:sz w:val="24"/>
          <w:szCs w:val="24"/>
        </w:rPr>
        <w:t xml:space="preserve"> </w:t>
      </w:r>
      <w:proofErr w:type="spellStart"/>
      <w:r w:rsidRPr="00A65E5F">
        <w:rPr>
          <w:sz w:val="24"/>
          <w:szCs w:val="24"/>
        </w:rPr>
        <w:t>Reig</w:t>
      </w:r>
      <w:proofErr w:type="spellEnd"/>
      <w:r w:rsidRPr="00A65E5F">
        <w:rPr>
          <w:sz w:val="24"/>
          <w:szCs w:val="24"/>
        </w:rPr>
        <w:t xml:space="preserve"> </w:t>
      </w:r>
      <w:proofErr w:type="spellStart"/>
      <w:r w:rsidRPr="00A65E5F">
        <w:rPr>
          <w:sz w:val="24"/>
          <w:szCs w:val="24"/>
        </w:rPr>
        <w:t>Jofre</w:t>
      </w:r>
      <w:proofErr w:type="spellEnd"/>
      <w:r w:rsidRPr="00A65E5F">
        <w:rPr>
          <w:sz w:val="24"/>
          <w:szCs w:val="24"/>
        </w:rPr>
        <w:t xml:space="preserve"> indeholder mindre end 1 mmol (23 mg) natrium pr. hætteglas. Patienter, der er på en diæt med lavt natriumindhold, kan oplyses om, at dette lægemiddel i det væsentlige er natriumfrit. </w:t>
      </w:r>
    </w:p>
    <w:p w14:paraId="6FD4C723" w14:textId="77777777" w:rsidR="00A87F93" w:rsidRPr="00A65E5F" w:rsidRDefault="00A87F93" w:rsidP="00A87F93">
      <w:pPr>
        <w:rPr>
          <w:sz w:val="24"/>
          <w:szCs w:val="24"/>
        </w:rPr>
      </w:pPr>
    </w:p>
    <w:p w14:paraId="50E887F8" w14:textId="77777777" w:rsidR="00A87F93" w:rsidRPr="00A65E5F" w:rsidRDefault="00A87F93" w:rsidP="00A87F93">
      <w:pPr>
        <w:ind w:left="851"/>
        <w:rPr>
          <w:sz w:val="24"/>
          <w:szCs w:val="24"/>
        </w:rPr>
      </w:pPr>
      <w:proofErr w:type="spellStart"/>
      <w:r w:rsidRPr="00A65E5F">
        <w:rPr>
          <w:sz w:val="24"/>
          <w:szCs w:val="24"/>
        </w:rPr>
        <w:t>Anidulafungin</w:t>
      </w:r>
      <w:proofErr w:type="spellEnd"/>
      <w:r w:rsidRPr="00A65E5F">
        <w:rPr>
          <w:sz w:val="24"/>
          <w:szCs w:val="24"/>
        </w:rPr>
        <w:t xml:space="preserve"> </w:t>
      </w:r>
      <w:proofErr w:type="spellStart"/>
      <w:r w:rsidRPr="00A65E5F">
        <w:rPr>
          <w:sz w:val="24"/>
          <w:szCs w:val="24"/>
        </w:rPr>
        <w:t>Reig</w:t>
      </w:r>
      <w:proofErr w:type="spellEnd"/>
      <w:r w:rsidRPr="00A65E5F">
        <w:rPr>
          <w:sz w:val="24"/>
          <w:szCs w:val="24"/>
        </w:rPr>
        <w:t xml:space="preserve"> </w:t>
      </w:r>
      <w:proofErr w:type="spellStart"/>
      <w:r w:rsidRPr="00A65E5F">
        <w:rPr>
          <w:sz w:val="24"/>
          <w:szCs w:val="24"/>
        </w:rPr>
        <w:t>Jofre</w:t>
      </w:r>
      <w:proofErr w:type="spellEnd"/>
      <w:r w:rsidRPr="00A65E5F">
        <w:rPr>
          <w:sz w:val="24"/>
          <w:szCs w:val="24"/>
        </w:rPr>
        <w:t xml:space="preserve"> kan fortyndes med opløsninger, der indeholder natrium (se pkt. 6.6), og der bør tages højde for dette, hvad angår den totale mængde natrium, som patienten får fra alle kilder.</w:t>
      </w:r>
    </w:p>
    <w:p w14:paraId="14345D97" w14:textId="77777777" w:rsidR="009260DE" w:rsidRPr="007B4B68" w:rsidRDefault="009260DE" w:rsidP="00977B2E">
      <w:pPr>
        <w:tabs>
          <w:tab w:val="left" w:pos="851"/>
        </w:tabs>
        <w:ind w:left="851" w:hanging="851"/>
        <w:rPr>
          <w:sz w:val="24"/>
          <w:szCs w:val="24"/>
        </w:rPr>
      </w:pPr>
    </w:p>
    <w:p w14:paraId="37F71C0F" w14:textId="77777777" w:rsidR="009260DE" w:rsidRPr="007B4B68" w:rsidRDefault="009260DE" w:rsidP="00977B2E">
      <w:pPr>
        <w:tabs>
          <w:tab w:val="left" w:pos="851"/>
        </w:tabs>
        <w:ind w:left="851" w:hanging="851"/>
        <w:rPr>
          <w:b/>
          <w:sz w:val="24"/>
          <w:szCs w:val="24"/>
        </w:rPr>
      </w:pPr>
      <w:r w:rsidRPr="007B4B68">
        <w:rPr>
          <w:b/>
          <w:sz w:val="24"/>
          <w:szCs w:val="24"/>
        </w:rPr>
        <w:t>4.5</w:t>
      </w:r>
      <w:r w:rsidRPr="007B4B68">
        <w:rPr>
          <w:b/>
          <w:sz w:val="24"/>
          <w:szCs w:val="24"/>
        </w:rPr>
        <w:tab/>
        <w:t>Interaktion med andre lægemidler og andre former for interaktion</w:t>
      </w:r>
    </w:p>
    <w:p w14:paraId="6D6B6492" w14:textId="6F4D3AB8" w:rsidR="00C5280D" w:rsidRPr="007B4B68" w:rsidRDefault="00C5280D" w:rsidP="00FD4045">
      <w:pPr>
        <w:ind w:left="851"/>
        <w:rPr>
          <w:noProof/>
          <w:sz w:val="24"/>
          <w:szCs w:val="24"/>
        </w:rPr>
      </w:pPr>
      <w:r w:rsidRPr="007B4B68">
        <w:rPr>
          <w:noProof/>
          <w:sz w:val="24"/>
          <w:szCs w:val="24"/>
        </w:rPr>
        <w:t xml:space="preserve">Anidulafungin er ikke et klinisk betydende substrat, en induktor eller hæmmer af cytochrom P450-isoenzymerne (1A2, 2B6, 2C8, 2C9, 2C19, 2D6, 3A). </w:t>
      </w:r>
      <w:r w:rsidRPr="007B4B68">
        <w:rPr>
          <w:i/>
          <w:iCs/>
          <w:noProof/>
          <w:sz w:val="24"/>
          <w:szCs w:val="24"/>
        </w:rPr>
        <w:t>In vitro-</w:t>
      </w:r>
      <w:r w:rsidRPr="007B4B68">
        <w:rPr>
          <w:noProof/>
          <w:sz w:val="24"/>
          <w:szCs w:val="24"/>
        </w:rPr>
        <w:t>forsøg udelukker ikke fuldt ud mulige</w:t>
      </w:r>
      <w:r w:rsidR="00800EB3" w:rsidRPr="007B4B68">
        <w:rPr>
          <w:noProof/>
          <w:sz w:val="24"/>
          <w:szCs w:val="24"/>
        </w:rPr>
        <w:t xml:space="preserve"> </w:t>
      </w:r>
      <w:r w:rsidRPr="007B4B68">
        <w:rPr>
          <w:i/>
          <w:iCs/>
          <w:noProof/>
          <w:sz w:val="24"/>
          <w:szCs w:val="24"/>
        </w:rPr>
        <w:t>in vivo</w:t>
      </w:r>
      <w:r w:rsidRPr="007B4B68">
        <w:rPr>
          <w:noProof/>
          <w:sz w:val="24"/>
          <w:szCs w:val="24"/>
        </w:rPr>
        <w:t>-interaktioner.</w:t>
      </w:r>
    </w:p>
    <w:p w14:paraId="4BFE1B17" w14:textId="77777777" w:rsidR="00C5280D" w:rsidRPr="007B4B68" w:rsidRDefault="00C5280D" w:rsidP="00FD4045">
      <w:pPr>
        <w:ind w:left="851"/>
        <w:rPr>
          <w:noProof/>
          <w:sz w:val="24"/>
          <w:szCs w:val="24"/>
        </w:rPr>
      </w:pPr>
    </w:p>
    <w:p w14:paraId="06627CB0" w14:textId="3CAF7713" w:rsidR="00C5280D" w:rsidRPr="007B4B68" w:rsidRDefault="00C5280D" w:rsidP="00FD4045">
      <w:pPr>
        <w:ind w:left="851"/>
        <w:rPr>
          <w:noProof/>
          <w:sz w:val="24"/>
          <w:szCs w:val="24"/>
        </w:rPr>
      </w:pPr>
      <w:r w:rsidRPr="007B4B68">
        <w:rPr>
          <w:noProof/>
          <w:sz w:val="24"/>
          <w:szCs w:val="24"/>
        </w:rPr>
        <w:t>Der er udført interaktionsundersøgelser med andulafungin og andre lægemidler, som det sandsynligvis</w:t>
      </w:r>
      <w:r w:rsidR="00800EB3" w:rsidRPr="007B4B68">
        <w:rPr>
          <w:noProof/>
          <w:sz w:val="24"/>
          <w:szCs w:val="24"/>
        </w:rPr>
        <w:t xml:space="preserve"> </w:t>
      </w:r>
      <w:r w:rsidRPr="007B4B68">
        <w:rPr>
          <w:noProof/>
          <w:sz w:val="24"/>
          <w:szCs w:val="24"/>
        </w:rPr>
        <w:t>vil blive anvendt sammen med. Dosisjustering er ikke nødvendig for hverken anidulafungin eller</w:t>
      </w:r>
      <w:r w:rsidR="00800EB3" w:rsidRPr="007B4B68">
        <w:rPr>
          <w:noProof/>
          <w:sz w:val="24"/>
          <w:szCs w:val="24"/>
        </w:rPr>
        <w:t xml:space="preserve"> </w:t>
      </w:r>
      <w:r w:rsidRPr="007B4B68">
        <w:rPr>
          <w:noProof/>
          <w:sz w:val="24"/>
          <w:szCs w:val="24"/>
        </w:rPr>
        <w:t>ciclosporin, voriconazol eller tacrolimus, når disse anvendes samtidig. Dosisjustering er ikke</w:t>
      </w:r>
      <w:r w:rsidR="00800EB3" w:rsidRPr="007B4B68">
        <w:rPr>
          <w:noProof/>
          <w:sz w:val="24"/>
          <w:szCs w:val="24"/>
        </w:rPr>
        <w:t xml:space="preserve"> </w:t>
      </w:r>
      <w:r w:rsidRPr="007B4B68">
        <w:rPr>
          <w:noProof/>
          <w:sz w:val="24"/>
          <w:szCs w:val="24"/>
        </w:rPr>
        <w:t>nødvendig for anidulafungin, når det anvendes samtidigt med amphotericin B eller rifampicin.</w:t>
      </w:r>
    </w:p>
    <w:p w14:paraId="0B561394" w14:textId="77777777" w:rsidR="00C5280D" w:rsidRPr="007B4B68" w:rsidRDefault="00C5280D" w:rsidP="00FD4045">
      <w:pPr>
        <w:ind w:left="851"/>
        <w:rPr>
          <w:noProof/>
          <w:sz w:val="24"/>
          <w:szCs w:val="24"/>
        </w:rPr>
      </w:pPr>
    </w:p>
    <w:p w14:paraId="0039CB9E" w14:textId="77777777" w:rsidR="00C5280D" w:rsidRPr="007B4B68" w:rsidRDefault="00C5280D" w:rsidP="00FD4045">
      <w:pPr>
        <w:ind w:left="851"/>
        <w:rPr>
          <w:noProof/>
          <w:sz w:val="24"/>
          <w:szCs w:val="24"/>
          <w:u w:val="single"/>
        </w:rPr>
      </w:pPr>
      <w:r w:rsidRPr="007B4B68">
        <w:rPr>
          <w:noProof/>
          <w:sz w:val="24"/>
          <w:szCs w:val="24"/>
          <w:u w:val="single"/>
        </w:rPr>
        <w:t>Pædiatrisk population</w:t>
      </w:r>
    </w:p>
    <w:p w14:paraId="44451E60" w14:textId="77777777" w:rsidR="00C5280D" w:rsidRPr="007B4B68" w:rsidRDefault="00C5280D" w:rsidP="00FD4045">
      <w:pPr>
        <w:ind w:left="851"/>
        <w:rPr>
          <w:noProof/>
          <w:sz w:val="24"/>
          <w:szCs w:val="24"/>
        </w:rPr>
      </w:pPr>
      <w:r w:rsidRPr="007B4B68">
        <w:rPr>
          <w:noProof/>
          <w:sz w:val="24"/>
          <w:szCs w:val="24"/>
        </w:rPr>
        <w:t>Interaktionsstudier er kun udført hos voksne.</w:t>
      </w:r>
    </w:p>
    <w:p w14:paraId="70404D78" w14:textId="701E8EE3" w:rsidR="00E67648" w:rsidRDefault="00E67648">
      <w:pPr>
        <w:rPr>
          <w:sz w:val="24"/>
          <w:szCs w:val="24"/>
        </w:rPr>
      </w:pPr>
      <w:r>
        <w:rPr>
          <w:sz w:val="24"/>
          <w:szCs w:val="24"/>
        </w:rPr>
        <w:br w:type="page"/>
      </w:r>
    </w:p>
    <w:p w14:paraId="5F5C92DF" w14:textId="77777777" w:rsidR="009260DE" w:rsidRPr="007B4B68" w:rsidRDefault="009260DE" w:rsidP="00977B2E">
      <w:pPr>
        <w:tabs>
          <w:tab w:val="left" w:pos="851"/>
        </w:tabs>
        <w:ind w:left="851" w:hanging="851"/>
        <w:rPr>
          <w:sz w:val="24"/>
          <w:szCs w:val="24"/>
        </w:rPr>
      </w:pPr>
    </w:p>
    <w:p w14:paraId="6DE8E2D0" w14:textId="28E88808" w:rsidR="009260DE" w:rsidRPr="007B4B68" w:rsidRDefault="009260DE" w:rsidP="00977B2E">
      <w:pPr>
        <w:tabs>
          <w:tab w:val="left" w:pos="851"/>
        </w:tabs>
        <w:ind w:left="851" w:hanging="851"/>
        <w:rPr>
          <w:b/>
          <w:sz w:val="24"/>
          <w:szCs w:val="24"/>
        </w:rPr>
      </w:pPr>
      <w:r w:rsidRPr="007B4B68">
        <w:rPr>
          <w:b/>
          <w:sz w:val="24"/>
          <w:szCs w:val="24"/>
        </w:rPr>
        <w:t>4.6</w:t>
      </w:r>
      <w:r w:rsidRPr="007B4B68">
        <w:rPr>
          <w:b/>
          <w:sz w:val="24"/>
          <w:szCs w:val="24"/>
        </w:rPr>
        <w:tab/>
      </w:r>
      <w:r w:rsidR="00A87F93">
        <w:rPr>
          <w:b/>
          <w:sz w:val="24"/>
          <w:szCs w:val="24"/>
        </w:rPr>
        <w:t>Fertilitet, g</w:t>
      </w:r>
      <w:r w:rsidRPr="007B4B68">
        <w:rPr>
          <w:b/>
          <w:sz w:val="24"/>
          <w:szCs w:val="24"/>
        </w:rPr>
        <w:t>raviditet og amning</w:t>
      </w:r>
    </w:p>
    <w:p w14:paraId="3C8113DD" w14:textId="77777777" w:rsidR="00800EB3" w:rsidRPr="007B4B68" w:rsidRDefault="00800EB3" w:rsidP="00FD4045">
      <w:pPr>
        <w:ind w:left="851"/>
        <w:rPr>
          <w:noProof/>
          <w:sz w:val="24"/>
          <w:szCs w:val="24"/>
          <w:u w:val="single"/>
        </w:rPr>
      </w:pPr>
    </w:p>
    <w:p w14:paraId="16560000" w14:textId="3277E460" w:rsidR="00C5280D" w:rsidRPr="007B4B68" w:rsidRDefault="00C5280D" w:rsidP="00FD4045">
      <w:pPr>
        <w:ind w:left="851"/>
        <w:rPr>
          <w:noProof/>
          <w:sz w:val="24"/>
          <w:szCs w:val="24"/>
          <w:u w:val="single"/>
        </w:rPr>
      </w:pPr>
      <w:r w:rsidRPr="007B4B68">
        <w:rPr>
          <w:noProof/>
          <w:sz w:val="24"/>
          <w:szCs w:val="24"/>
          <w:u w:val="single"/>
        </w:rPr>
        <w:t>Graviditet</w:t>
      </w:r>
    </w:p>
    <w:p w14:paraId="042460FB" w14:textId="439826F7" w:rsidR="00C5280D" w:rsidRPr="007B4B68" w:rsidRDefault="00C5280D" w:rsidP="00FD4045">
      <w:pPr>
        <w:ind w:left="851"/>
        <w:rPr>
          <w:noProof/>
          <w:sz w:val="24"/>
          <w:szCs w:val="24"/>
        </w:rPr>
      </w:pPr>
      <w:r w:rsidRPr="007B4B68">
        <w:rPr>
          <w:noProof/>
          <w:sz w:val="24"/>
          <w:szCs w:val="24"/>
        </w:rPr>
        <w:t>Der er ingen data fra anvendelse af anidulafungin til gravide kvinder. Dyreforsøg har påvist</w:t>
      </w:r>
      <w:r w:rsidR="00800EB3" w:rsidRPr="007B4B68">
        <w:rPr>
          <w:noProof/>
          <w:sz w:val="24"/>
          <w:szCs w:val="24"/>
        </w:rPr>
        <w:t xml:space="preserve"> </w:t>
      </w:r>
      <w:r w:rsidRPr="007B4B68">
        <w:rPr>
          <w:noProof/>
          <w:sz w:val="24"/>
          <w:szCs w:val="24"/>
        </w:rPr>
        <w:t>reproduktionstoksicitet (se pkt. 5.3).</w:t>
      </w:r>
    </w:p>
    <w:p w14:paraId="02A9383B" w14:textId="77777777" w:rsidR="00C5280D" w:rsidRPr="007B4B68" w:rsidRDefault="00C5280D" w:rsidP="00FD4045">
      <w:pPr>
        <w:ind w:left="851"/>
        <w:rPr>
          <w:sz w:val="24"/>
          <w:szCs w:val="24"/>
        </w:rPr>
      </w:pPr>
    </w:p>
    <w:p w14:paraId="72774D86" w14:textId="242FEA9A" w:rsidR="00C5280D" w:rsidRPr="007B4B68" w:rsidRDefault="00C5280D" w:rsidP="00FD4045">
      <w:pPr>
        <w:ind w:left="851"/>
        <w:rPr>
          <w:noProof/>
          <w:sz w:val="24"/>
          <w:szCs w:val="24"/>
        </w:rPr>
      </w:pPr>
      <w:proofErr w:type="spellStart"/>
      <w:r w:rsidRPr="007B4B68">
        <w:rPr>
          <w:sz w:val="24"/>
          <w:szCs w:val="24"/>
        </w:rPr>
        <w:t>Anidulafungin</w:t>
      </w:r>
      <w:proofErr w:type="spellEnd"/>
      <w:r w:rsidRPr="007B4B68">
        <w:rPr>
          <w:sz w:val="24"/>
          <w:szCs w:val="24"/>
        </w:rPr>
        <w:t xml:space="preserve"> </w:t>
      </w:r>
      <w:r w:rsidR="002F3582" w:rsidRPr="007B4B68">
        <w:rPr>
          <w:sz w:val="24"/>
          <w:szCs w:val="24"/>
        </w:rPr>
        <w:t>"</w:t>
      </w:r>
      <w:proofErr w:type="spellStart"/>
      <w:r w:rsidR="002F3582" w:rsidRPr="007B4B68">
        <w:rPr>
          <w:sz w:val="24"/>
          <w:szCs w:val="24"/>
        </w:rPr>
        <w:t>Reig</w:t>
      </w:r>
      <w:proofErr w:type="spellEnd"/>
      <w:r w:rsidR="002F3582" w:rsidRPr="007B4B68">
        <w:rPr>
          <w:sz w:val="24"/>
          <w:szCs w:val="24"/>
        </w:rPr>
        <w:t xml:space="preserve"> </w:t>
      </w:r>
      <w:proofErr w:type="spellStart"/>
      <w:r w:rsidR="002F3582" w:rsidRPr="007B4B68">
        <w:rPr>
          <w:sz w:val="24"/>
          <w:szCs w:val="24"/>
        </w:rPr>
        <w:t>Jofre</w:t>
      </w:r>
      <w:proofErr w:type="spellEnd"/>
      <w:r w:rsidR="002F3582" w:rsidRPr="007B4B68">
        <w:rPr>
          <w:sz w:val="24"/>
          <w:szCs w:val="24"/>
        </w:rPr>
        <w:t>"</w:t>
      </w:r>
      <w:r w:rsidRPr="007B4B68">
        <w:rPr>
          <w:sz w:val="24"/>
          <w:szCs w:val="24"/>
        </w:rPr>
        <w:t xml:space="preserve"> </w:t>
      </w:r>
      <w:r w:rsidRPr="007B4B68">
        <w:rPr>
          <w:noProof/>
          <w:sz w:val="24"/>
          <w:szCs w:val="24"/>
        </w:rPr>
        <w:t>bør ikke anvendes under graviditeten medmindre fordelen for moderen er større end den</w:t>
      </w:r>
      <w:r w:rsidR="00800EB3" w:rsidRPr="007B4B68">
        <w:rPr>
          <w:noProof/>
          <w:sz w:val="24"/>
          <w:szCs w:val="24"/>
        </w:rPr>
        <w:t xml:space="preserve"> </w:t>
      </w:r>
      <w:r w:rsidRPr="007B4B68">
        <w:rPr>
          <w:noProof/>
          <w:sz w:val="24"/>
          <w:szCs w:val="24"/>
        </w:rPr>
        <w:t>potentielle risiko for fostret.</w:t>
      </w:r>
    </w:p>
    <w:p w14:paraId="65E5F262" w14:textId="77777777" w:rsidR="00C5280D" w:rsidRPr="007B4B68" w:rsidRDefault="00C5280D" w:rsidP="00FD4045">
      <w:pPr>
        <w:ind w:left="851"/>
        <w:rPr>
          <w:noProof/>
          <w:sz w:val="24"/>
          <w:szCs w:val="24"/>
        </w:rPr>
      </w:pPr>
    </w:p>
    <w:p w14:paraId="4190783C" w14:textId="77777777" w:rsidR="00C5280D" w:rsidRPr="007B4B68" w:rsidRDefault="00C5280D" w:rsidP="00FD4045">
      <w:pPr>
        <w:ind w:left="851"/>
        <w:rPr>
          <w:noProof/>
          <w:sz w:val="24"/>
          <w:szCs w:val="24"/>
          <w:u w:val="single"/>
        </w:rPr>
      </w:pPr>
      <w:r w:rsidRPr="007B4B68">
        <w:rPr>
          <w:noProof/>
          <w:sz w:val="24"/>
          <w:szCs w:val="24"/>
          <w:u w:val="single"/>
        </w:rPr>
        <w:t>Amning</w:t>
      </w:r>
    </w:p>
    <w:p w14:paraId="5E617F72" w14:textId="77777777" w:rsidR="00C5280D" w:rsidRPr="007B4B68" w:rsidRDefault="00C5280D" w:rsidP="00FD4045">
      <w:pPr>
        <w:ind w:left="851"/>
        <w:rPr>
          <w:noProof/>
          <w:sz w:val="24"/>
          <w:szCs w:val="24"/>
        </w:rPr>
      </w:pPr>
      <w:r w:rsidRPr="007B4B68">
        <w:rPr>
          <w:noProof/>
          <w:sz w:val="24"/>
          <w:szCs w:val="24"/>
        </w:rPr>
        <w:t>Det er ukendt, om anidulafungin udskilles i human mælk. De tilgængelige</w:t>
      </w:r>
    </w:p>
    <w:p w14:paraId="5D631699" w14:textId="77777777" w:rsidR="00C5280D" w:rsidRPr="007B4B68" w:rsidRDefault="00C5280D" w:rsidP="00FD4045">
      <w:pPr>
        <w:ind w:left="851"/>
        <w:rPr>
          <w:noProof/>
          <w:sz w:val="24"/>
          <w:szCs w:val="24"/>
        </w:rPr>
      </w:pPr>
      <w:r w:rsidRPr="007B4B68">
        <w:rPr>
          <w:noProof/>
          <w:sz w:val="24"/>
          <w:szCs w:val="24"/>
        </w:rPr>
        <w:t>farmakodynamiske/toksikologiske data fra dyreforsøg viser, at anidulafungin udskilles i mælk.</w:t>
      </w:r>
    </w:p>
    <w:p w14:paraId="3D66D1C9" w14:textId="77777777" w:rsidR="00C5280D" w:rsidRPr="007B4B68" w:rsidRDefault="00C5280D" w:rsidP="00FD4045">
      <w:pPr>
        <w:ind w:left="851"/>
        <w:rPr>
          <w:noProof/>
          <w:sz w:val="24"/>
          <w:szCs w:val="24"/>
        </w:rPr>
      </w:pPr>
    </w:p>
    <w:p w14:paraId="3B9F282B" w14:textId="592D6306" w:rsidR="00C5280D" w:rsidRPr="007B4B68" w:rsidRDefault="00C5280D" w:rsidP="00FD4045">
      <w:pPr>
        <w:ind w:left="851"/>
        <w:rPr>
          <w:noProof/>
          <w:sz w:val="24"/>
          <w:szCs w:val="24"/>
        </w:rPr>
      </w:pPr>
      <w:r w:rsidRPr="007B4B68">
        <w:rPr>
          <w:noProof/>
          <w:sz w:val="24"/>
          <w:szCs w:val="24"/>
        </w:rPr>
        <w:t>En risiko for det ammede barn kan ikke udelukkes. Det skal besluttes, om amning skal ophøre, eller</w:t>
      </w:r>
      <w:r w:rsidR="00800EB3" w:rsidRPr="007B4B68">
        <w:rPr>
          <w:noProof/>
          <w:sz w:val="24"/>
          <w:szCs w:val="24"/>
        </w:rPr>
        <w:t xml:space="preserve"> </w:t>
      </w:r>
      <w:r w:rsidRPr="007B4B68">
        <w:rPr>
          <w:noProof/>
          <w:sz w:val="24"/>
          <w:szCs w:val="24"/>
        </w:rPr>
        <w:t xml:space="preserve">behandling med </w:t>
      </w:r>
      <w:proofErr w:type="spellStart"/>
      <w:r w:rsidRPr="007B4B68">
        <w:rPr>
          <w:sz w:val="24"/>
          <w:szCs w:val="24"/>
        </w:rPr>
        <w:t>Anidulafungin</w:t>
      </w:r>
      <w:proofErr w:type="spellEnd"/>
      <w:r w:rsidRPr="007B4B68">
        <w:rPr>
          <w:sz w:val="24"/>
          <w:szCs w:val="24"/>
        </w:rPr>
        <w:t xml:space="preserve"> </w:t>
      </w:r>
      <w:r w:rsidR="002F3582" w:rsidRPr="007B4B68">
        <w:rPr>
          <w:sz w:val="24"/>
          <w:szCs w:val="24"/>
        </w:rPr>
        <w:t>"</w:t>
      </w:r>
      <w:proofErr w:type="spellStart"/>
      <w:r w:rsidR="002F3582" w:rsidRPr="007B4B68">
        <w:rPr>
          <w:sz w:val="24"/>
          <w:szCs w:val="24"/>
        </w:rPr>
        <w:t>Reig</w:t>
      </w:r>
      <w:proofErr w:type="spellEnd"/>
      <w:r w:rsidR="002F3582" w:rsidRPr="007B4B68">
        <w:rPr>
          <w:sz w:val="24"/>
          <w:szCs w:val="24"/>
        </w:rPr>
        <w:t xml:space="preserve"> </w:t>
      </w:r>
      <w:proofErr w:type="spellStart"/>
      <w:r w:rsidR="002F3582" w:rsidRPr="007B4B68">
        <w:rPr>
          <w:sz w:val="24"/>
          <w:szCs w:val="24"/>
        </w:rPr>
        <w:t>Jofre</w:t>
      </w:r>
      <w:proofErr w:type="spellEnd"/>
      <w:r w:rsidR="002F3582" w:rsidRPr="007B4B68">
        <w:rPr>
          <w:sz w:val="24"/>
          <w:szCs w:val="24"/>
        </w:rPr>
        <w:t>"</w:t>
      </w:r>
      <w:r w:rsidRPr="007B4B68">
        <w:rPr>
          <w:sz w:val="24"/>
          <w:szCs w:val="24"/>
        </w:rPr>
        <w:t xml:space="preserve"> </w:t>
      </w:r>
      <w:r w:rsidRPr="007B4B68">
        <w:rPr>
          <w:noProof/>
          <w:sz w:val="24"/>
          <w:szCs w:val="24"/>
        </w:rPr>
        <w:t>seponeres, idet der tages højde for fordelene ved amning for barnet i</w:t>
      </w:r>
      <w:r w:rsidR="00800EB3" w:rsidRPr="007B4B68">
        <w:rPr>
          <w:noProof/>
          <w:sz w:val="24"/>
          <w:szCs w:val="24"/>
        </w:rPr>
        <w:t xml:space="preserve"> </w:t>
      </w:r>
      <w:r w:rsidRPr="007B4B68">
        <w:rPr>
          <w:noProof/>
          <w:sz w:val="24"/>
          <w:szCs w:val="24"/>
        </w:rPr>
        <w:t>forhold til de terapeutiske fordele for moderen.</w:t>
      </w:r>
    </w:p>
    <w:p w14:paraId="63D4BFC1" w14:textId="77777777" w:rsidR="00C5280D" w:rsidRPr="007B4B68" w:rsidRDefault="00C5280D" w:rsidP="00FD4045">
      <w:pPr>
        <w:ind w:left="851"/>
        <w:rPr>
          <w:noProof/>
          <w:sz w:val="24"/>
          <w:szCs w:val="24"/>
        </w:rPr>
      </w:pPr>
    </w:p>
    <w:p w14:paraId="73CD298D" w14:textId="77777777" w:rsidR="00C5280D" w:rsidRPr="007B4B68" w:rsidRDefault="00C5280D" w:rsidP="00FD4045">
      <w:pPr>
        <w:ind w:left="851"/>
        <w:rPr>
          <w:noProof/>
          <w:sz w:val="24"/>
          <w:szCs w:val="24"/>
          <w:u w:val="single"/>
        </w:rPr>
      </w:pPr>
      <w:r w:rsidRPr="007B4B68">
        <w:rPr>
          <w:noProof/>
          <w:sz w:val="24"/>
          <w:szCs w:val="24"/>
          <w:u w:val="single"/>
        </w:rPr>
        <w:t>Fertilitet</w:t>
      </w:r>
    </w:p>
    <w:p w14:paraId="20BFE948" w14:textId="77777777" w:rsidR="00C5280D" w:rsidRPr="007B4B68" w:rsidRDefault="00C5280D" w:rsidP="00FD4045">
      <w:pPr>
        <w:ind w:left="851"/>
        <w:rPr>
          <w:noProof/>
          <w:sz w:val="24"/>
          <w:szCs w:val="24"/>
        </w:rPr>
      </w:pPr>
      <w:r w:rsidRPr="007B4B68">
        <w:rPr>
          <w:noProof/>
          <w:sz w:val="24"/>
          <w:szCs w:val="24"/>
        </w:rPr>
        <w:t>Der blev ikke set påvirkning af han- og hunrotters fertilitet i studier med anidulafungin (se pkt. 5.3).</w:t>
      </w:r>
    </w:p>
    <w:p w14:paraId="5CAAF73B" w14:textId="77777777" w:rsidR="009260DE" w:rsidRPr="007B4B68" w:rsidRDefault="009260DE" w:rsidP="00977B2E">
      <w:pPr>
        <w:tabs>
          <w:tab w:val="left" w:pos="851"/>
        </w:tabs>
        <w:ind w:left="851" w:hanging="851"/>
        <w:rPr>
          <w:sz w:val="24"/>
          <w:szCs w:val="24"/>
        </w:rPr>
      </w:pPr>
    </w:p>
    <w:p w14:paraId="25DB7CAF" w14:textId="50D17A30" w:rsidR="009260DE" w:rsidRPr="007B4B68" w:rsidRDefault="009260DE" w:rsidP="00977B2E">
      <w:pPr>
        <w:tabs>
          <w:tab w:val="left" w:pos="851"/>
        </w:tabs>
        <w:ind w:left="851" w:hanging="851"/>
        <w:rPr>
          <w:b/>
          <w:sz w:val="24"/>
          <w:szCs w:val="24"/>
        </w:rPr>
      </w:pPr>
      <w:r w:rsidRPr="007B4B68">
        <w:rPr>
          <w:b/>
          <w:sz w:val="24"/>
          <w:szCs w:val="24"/>
        </w:rPr>
        <w:t>4.7</w:t>
      </w:r>
      <w:r w:rsidRPr="007B4B68">
        <w:rPr>
          <w:b/>
          <w:sz w:val="24"/>
          <w:szCs w:val="24"/>
        </w:rPr>
        <w:tab/>
      </w:r>
      <w:bookmarkStart w:id="0" w:name="_Hlk143255910"/>
      <w:r w:rsidR="00A86667" w:rsidRPr="00F31B64">
        <w:rPr>
          <w:b/>
          <w:sz w:val="24"/>
          <w:szCs w:val="24"/>
        </w:rPr>
        <w:t xml:space="preserve">Virkning på evnen til at føre motorkøretøj </w:t>
      </w:r>
      <w:r w:rsidR="00A86667" w:rsidRPr="00F31B64">
        <w:rPr>
          <w:b/>
          <w:noProof/>
          <w:sz w:val="24"/>
          <w:szCs w:val="24"/>
        </w:rPr>
        <w:t>og</w:t>
      </w:r>
      <w:r w:rsidR="00A86667" w:rsidRPr="00F31B64">
        <w:rPr>
          <w:b/>
          <w:sz w:val="24"/>
          <w:szCs w:val="24"/>
        </w:rPr>
        <w:t xml:space="preserve"> betjene maskiner</w:t>
      </w:r>
      <w:bookmarkEnd w:id="0"/>
    </w:p>
    <w:p w14:paraId="20188914" w14:textId="77777777" w:rsidR="00C5280D" w:rsidRPr="007B4B68" w:rsidRDefault="00C5280D" w:rsidP="00FD4045">
      <w:pPr>
        <w:ind w:left="851"/>
        <w:rPr>
          <w:sz w:val="24"/>
          <w:szCs w:val="24"/>
        </w:rPr>
      </w:pPr>
      <w:r w:rsidRPr="007B4B68">
        <w:rPr>
          <w:sz w:val="24"/>
          <w:szCs w:val="24"/>
        </w:rPr>
        <w:t>Ikke relevant.</w:t>
      </w:r>
    </w:p>
    <w:p w14:paraId="0A82D3E5" w14:textId="77777777" w:rsidR="009260DE" w:rsidRPr="007B4B68" w:rsidRDefault="009260DE" w:rsidP="00977B2E">
      <w:pPr>
        <w:tabs>
          <w:tab w:val="left" w:pos="851"/>
        </w:tabs>
        <w:ind w:left="851" w:hanging="851"/>
        <w:rPr>
          <w:sz w:val="24"/>
          <w:szCs w:val="24"/>
        </w:rPr>
      </w:pPr>
    </w:p>
    <w:p w14:paraId="5807A55F" w14:textId="77777777" w:rsidR="009260DE" w:rsidRPr="007B4B68" w:rsidRDefault="009260DE" w:rsidP="00977B2E">
      <w:pPr>
        <w:tabs>
          <w:tab w:val="left" w:pos="851"/>
        </w:tabs>
        <w:ind w:left="851" w:hanging="851"/>
        <w:rPr>
          <w:b/>
          <w:sz w:val="24"/>
          <w:szCs w:val="24"/>
        </w:rPr>
      </w:pPr>
      <w:r w:rsidRPr="007B4B68">
        <w:rPr>
          <w:b/>
          <w:sz w:val="24"/>
          <w:szCs w:val="24"/>
        </w:rPr>
        <w:t>4.8</w:t>
      </w:r>
      <w:r w:rsidRPr="007B4B68">
        <w:rPr>
          <w:b/>
          <w:sz w:val="24"/>
          <w:szCs w:val="24"/>
        </w:rPr>
        <w:tab/>
        <w:t>Bivirkninger</w:t>
      </w:r>
    </w:p>
    <w:p w14:paraId="5C857527" w14:textId="77777777" w:rsidR="00800EB3" w:rsidRPr="007B4B68" w:rsidRDefault="00800EB3" w:rsidP="00FD4045">
      <w:pPr>
        <w:ind w:left="851"/>
        <w:rPr>
          <w:iCs/>
          <w:noProof/>
          <w:sz w:val="24"/>
          <w:szCs w:val="24"/>
          <w:u w:val="single"/>
        </w:rPr>
      </w:pPr>
    </w:p>
    <w:p w14:paraId="289C0BF9" w14:textId="3D3CB200" w:rsidR="00C5280D" w:rsidRPr="007B4B68" w:rsidRDefault="00C5280D" w:rsidP="00FD4045">
      <w:pPr>
        <w:ind w:left="851"/>
        <w:rPr>
          <w:iCs/>
          <w:noProof/>
          <w:sz w:val="24"/>
          <w:szCs w:val="24"/>
          <w:u w:val="single"/>
        </w:rPr>
      </w:pPr>
      <w:r w:rsidRPr="007B4B68">
        <w:rPr>
          <w:iCs/>
          <w:noProof/>
          <w:sz w:val="24"/>
          <w:szCs w:val="24"/>
          <w:u w:val="single"/>
        </w:rPr>
        <w:t>Sikkerhedsprofil</w:t>
      </w:r>
    </w:p>
    <w:p w14:paraId="32B290F1" w14:textId="5C9B8DE7" w:rsidR="00C5280D" w:rsidRPr="007B4B68" w:rsidRDefault="00C5280D" w:rsidP="00FD4045">
      <w:pPr>
        <w:ind w:left="851"/>
        <w:rPr>
          <w:iCs/>
          <w:noProof/>
          <w:sz w:val="24"/>
          <w:szCs w:val="24"/>
        </w:rPr>
      </w:pPr>
      <w:r w:rsidRPr="007B4B68">
        <w:rPr>
          <w:iCs/>
          <w:noProof/>
          <w:sz w:val="24"/>
          <w:szCs w:val="24"/>
        </w:rPr>
        <w:t>Der er rapporteret infusionsrelaterede bivirkninger med anidulafungin i kliniske studier, herunder</w:t>
      </w:r>
      <w:r w:rsidR="00800EB3" w:rsidRPr="007B4B68">
        <w:rPr>
          <w:iCs/>
          <w:noProof/>
          <w:sz w:val="24"/>
          <w:szCs w:val="24"/>
        </w:rPr>
        <w:t xml:space="preserve"> </w:t>
      </w:r>
      <w:r w:rsidRPr="007B4B68">
        <w:rPr>
          <w:iCs/>
          <w:noProof/>
          <w:sz w:val="24"/>
          <w:szCs w:val="24"/>
        </w:rPr>
        <w:t>udslæt, pruritus, dyspnø, bronkospasme, hypotension (almindelige bivirkninger), ansigtsrødme, hedeture, og urticaria (ikke almindelige</w:t>
      </w:r>
      <w:r w:rsidR="00800EB3" w:rsidRPr="007B4B68">
        <w:rPr>
          <w:iCs/>
          <w:noProof/>
          <w:sz w:val="24"/>
          <w:szCs w:val="24"/>
        </w:rPr>
        <w:t xml:space="preserve"> </w:t>
      </w:r>
      <w:r w:rsidRPr="007B4B68">
        <w:rPr>
          <w:iCs/>
          <w:noProof/>
          <w:sz w:val="24"/>
          <w:szCs w:val="24"/>
        </w:rPr>
        <w:t>bivirkninger), som anført i tabel 1 (se pkt. 4.4).</w:t>
      </w:r>
    </w:p>
    <w:p w14:paraId="076F47FE" w14:textId="77777777" w:rsidR="00C5280D" w:rsidRPr="007B4B68" w:rsidRDefault="00C5280D" w:rsidP="00FD4045">
      <w:pPr>
        <w:ind w:left="851"/>
        <w:rPr>
          <w:iCs/>
          <w:noProof/>
          <w:sz w:val="24"/>
          <w:szCs w:val="24"/>
        </w:rPr>
      </w:pPr>
    </w:p>
    <w:p w14:paraId="532997F7" w14:textId="77777777" w:rsidR="00C5280D" w:rsidRPr="007B4B68" w:rsidRDefault="00C5280D" w:rsidP="00FD4045">
      <w:pPr>
        <w:ind w:left="851"/>
        <w:rPr>
          <w:iCs/>
          <w:noProof/>
          <w:sz w:val="24"/>
          <w:szCs w:val="24"/>
          <w:u w:val="single"/>
        </w:rPr>
      </w:pPr>
      <w:r w:rsidRPr="007B4B68">
        <w:rPr>
          <w:iCs/>
          <w:noProof/>
          <w:sz w:val="24"/>
          <w:szCs w:val="24"/>
          <w:u w:val="single"/>
        </w:rPr>
        <w:t>Tabel over bivirkninger</w:t>
      </w:r>
    </w:p>
    <w:p w14:paraId="6101F44E" w14:textId="22497113" w:rsidR="00C5280D" w:rsidRPr="007B4B68" w:rsidRDefault="00C5280D" w:rsidP="00FD4045">
      <w:pPr>
        <w:ind w:left="851"/>
        <w:rPr>
          <w:iCs/>
          <w:noProof/>
          <w:sz w:val="24"/>
          <w:szCs w:val="24"/>
        </w:rPr>
      </w:pPr>
      <w:r w:rsidRPr="007B4B68">
        <w:rPr>
          <w:iCs/>
          <w:noProof/>
          <w:sz w:val="24"/>
          <w:szCs w:val="24"/>
        </w:rPr>
        <w:t>Tabellen nedenfor omfatter alle bivirkninger uanset årsag hos 840 forsøgspersoner, som fik 100 mg</w:t>
      </w:r>
      <w:r w:rsidR="00800EB3" w:rsidRPr="007B4B68">
        <w:rPr>
          <w:iCs/>
          <w:noProof/>
          <w:sz w:val="24"/>
          <w:szCs w:val="24"/>
        </w:rPr>
        <w:t xml:space="preserve"> </w:t>
      </w:r>
      <w:r w:rsidRPr="007B4B68">
        <w:rPr>
          <w:iCs/>
          <w:noProof/>
          <w:sz w:val="24"/>
          <w:szCs w:val="24"/>
        </w:rPr>
        <w:t>anidulafungin. Bivirkningerne er opført i henhold til MedDRA og opdelt i henhold til følgende</w:t>
      </w:r>
      <w:r w:rsidR="00800EB3" w:rsidRPr="007B4B68">
        <w:rPr>
          <w:iCs/>
          <w:noProof/>
          <w:sz w:val="24"/>
          <w:szCs w:val="24"/>
        </w:rPr>
        <w:t xml:space="preserve"> </w:t>
      </w:r>
      <w:r w:rsidRPr="007B4B68">
        <w:rPr>
          <w:iCs/>
          <w:noProof/>
          <w:sz w:val="24"/>
          <w:szCs w:val="24"/>
        </w:rPr>
        <w:t>frekvens: meget almindelig (≥1/10), almindelig (≥1/100 til &lt;1/10), ikke almindelig (≥1/1.000 til</w:t>
      </w:r>
      <w:r w:rsidR="00800EB3" w:rsidRPr="007B4B68">
        <w:rPr>
          <w:iCs/>
          <w:noProof/>
          <w:sz w:val="24"/>
          <w:szCs w:val="24"/>
        </w:rPr>
        <w:t xml:space="preserve"> </w:t>
      </w:r>
      <w:r w:rsidRPr="007B4B68">
        <w:rPr>
          <w:iCs/>
          <w:noProof/>
          <w:sz w:val="24"/>
          <w:szCs w:val="24"/>
        </w:rPr>
        <w:t>&lt;1/100), sjælden (≥1/10.000 til &lt;1/1.000), meget sjælden (&lt;1/10.000) samt fra spontan rapportering</w:t>
      </w:r>
      <w:r w:rsidR="00800EB3" w:rsidRPr="007B4B68">
        <w:rPr>
          <w:iCs/>
          <w:noProof/>
          <w:sz w:val="24"/>
          <w:szCs w:val="24"/>
        </w:rPr>
        <w:t xml:space="preserve"> </w:t>
      </w:r>
      <w:r w:rsidRPr="007B4B68">
        <w:rPr>
          <w:iCs/>
          <w:noProof/>
          <w:sz w:val="24"/>
          <w:szCs w:val="24"/>
        </w:rPr>
        <w:t>angivet med frekvensen ikke kendt (kan ikke estimeres ud fra forhåndenværende data). Inden for hver</w:t>
      </w:r>
      <w:r w:rsidR="00800EB3" w:rsidRPr="007B4B68">
        <w:rPr>
          <w:iCs/>
          <w:noProof/>
          <w:sz w:val="24"/>
          <w:szCs w:val="24"/>
        </w:rPr>
        <w:t xml:space="preserve"> </w:t>
      </w:r>
      <w:r w:rsidRPr="007B4B68">
        <w:rPr>
          <w:iCs/>
          <w:noProof/>
          <w:sz w:val="24"/>
          <w:szCs w:val="24"/>
        </w:rPr>
        <w:t>frekvensgruppe er bivirkningerne opstillet efter, hvor alvorlige de er. De alvorligste bivirkninger er</w:t>
      </w:r>
      <w:r w:rsidR="00800EB3" w:rsidRPr="007B4B68">
        <w:rPr>
          <w:iCs/>
          <w:noProof/>
          <w:sz w:val="24"/>
          <w:szCs w:val="24"/>
        </w:rPr>
        <w:t xml:space="preserve"> </w:t>
      </w:r>
      <w:r w:rsidRPr="007B4B68">
        <w:rPr>
          <w:iCs/>
          <w:noProof/>
          <w:sz w:val="24"/>
          <w:szCs w:val="24"/>
        </w:rPr>
        <w:t>anført først.</w:t>
      </w:r>
    </w:p>
    <w:p w14:paraId="611D871F" w14:textId="7D7B7150" w:rsidR="00E67648" w:rsidRDefault="00E67648">
      <w:pPr>
        <w:rPr>
          <w:noProof/>
          <w:sz w:val="24"/>
          <w:szCs w:val="24"/>
          <w:u w:val="single"/>
        </w:rPr>
      </w:pPr>
      <w:r>
        <w:rPr>
          <w:noProof/>
          <w:sz w:val="24"/>
          <w:szCs w:val="24"/>
          <w:u w:val="single"/>
        </w:rPr>
        <w:br w:type="page"/>
      </w:r>
    </w:p>
    <w:p w14:paraId="03B71762" w14:textId="77777777" w:rsidR="00C5280D" w:rsidRPr="007B4B68" w:rsidRDefault="00C5280D" w:rsidP="00FD4045">
      <w:pPr>
        <w:autoSpaceDE w:val="0"/>
        <w:autoSpaceDN w:val="0"/>
        <w:adjustRightInd w:val="0"/>
        <w:ind w:left="851"/>
        <w:rPr>
          <w:noProof/>
          <w:sz w:val="24"/>
          <w:szCs w:val="24"/>
          <w:u w:val="single"/>
        </w:rPr>
      </w:pPr>
    </w:p>
    <w:p w14:paraId="090662F7" w14:textId="77777777" w:rsidR="00A87F93" w:rsidRPr="007B4B68" w:rsidRDefault="00A87F93" w:rsidP="00A87F93">
      <w:pPr>
        <w:autoSpaceDE w:val="0"/>
        <w:autoSpaceDN w:val="0"/>
        <w:adjustRightInd w:val="0"/>
        <w:ind w:left="851"/>
        <w:rPr>
          <w:noProof/>
          <w:sz w:val="24"/>
          <w:szCs w:val="24"/>
          <w:u w:val="single"/>
        </w:rPr>
      </w:pPr>
      <w:r>
        <w:rPr>
          <w:b/>
          <w:bCs/>
          <w:sz w:val="24"/>
          <w:szCs w:val="24"/>
          <w:lang w:eastAsia="sv-SE"/>
        </w:rPr>
        <w:t>Skema</w:t>
      </w:r>
      <w:r w:rsidRPr="007B4B68">
        <w:rPr>
          <w:b/>
          <w:bCs/>
          <w:sz w:val="24"/>
          <w:szCs w:val="24"/>
          <w:lang w:eastAsia="sv-SE"/>
        </w:rPr>
        <w:t xml:space="preserve"> 1. </w:t>
      </w:r>
      <w:r>
        <w:rPr>
          <w:b/>
          <w:bCs/>
          <w:sz w:val="24"/>
          <w:szCs w:val="24"/>
          <w:lang w:eastAsia="sv-SE"/>
        </w:rPr>
        <w:t xml:space="preserve">Skema </w:t>
      </w:r>
      <w:r w:rsidRPr="007B4B68">
        <w:rPr>
          <w:b/>
          <w:bCs/>
          <w:sz w:val="24"/>
          <w:szCs w:val="24"/>
          <w:lang w:eastAsia="sv-SE"/>
        </w:rPr>
        <w:t>over bivirkninger</w:t>
      </w:r>
    </w:p>
    <w:p w14:paraId="5469BC34" w14:textId="77777777" w:rsidR="00C5280D" w:rsidRPr="007B4B68" w:rsidRDefault="00C5280D" w:rsidP="00977B2E">
      <w:pPr>
        <w:autoSpaceDE w:val="0"/>
        <w:autoSpaceDN w:val="0"/>
        <w:adjustRightInd w:val="0"/>
        <w:ind w:left="851" w:hanging="851"/>
        <w:rPr>
          <w:noProof/>
          <w:sz w:val="24"/>
          <w:szCs w:val="24"/>
          <w:u w:val="single"/>
        </w:rPr>
      </w:pPr>
    </w:p>
    <w:tbl>
      <w:tblPr>
        <w:tblW w:w="51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209"/>
        <w:gridCol w:w="1985"/>
        <w:gridCol w:w="1699"/>
        <w:gridCol w:w="1136"/>
        <w:gridCol w:w="996"/>
        <w:gridCol w:w="1349"/>
      </w:tblGrid>
      <w:tr w:rsidR="00B4113F" w:rsidRPr="007B4B68" w14:paraId="11D45C4E" w14:textId="77777777" w:rsidTr="00B4113F">
        <w:tc>
          <w:tcPr>
            <w:tcW w:w="811" w:type="pct"/>
            <w:tcBorders>
              <w:top w:val="single" w:sz="4" w:space="0" w:color="auto"/>
              <w:left w:val="single" w:sz="4" w:space="0" w:color="auto"/>
              <w:bottom w:val="single" w:sz="4" w:space="0" w:color="auto"/>
              <w:right w:val="single" w:sz="4" w:space="0" w:color="auto"/>
            </w:tcBorders>
            <w:hideMark/>
          </w:tcPr>
          <w:p w14:paraId="7765FFCA" w14:textId="77777777" w:rsidR="00C5280D" w:rsidRPr="007B4B68" w:rsidRDefault="00C5280D" w:rsidP="00FD4045">
            <w:pPr>
              <w:rPr>
                <w:b/>
                <w:iCs/>
                <w:noProof/>
                <w:sz w:val="20"/>
                <w:u w:val="single"/>
              </w:rPr>
            </w:pPr>
            <w:r w:rsidRPr="007B4B68">
              <w:rPr>
                <w:b/>
                <w:sz w:val="20"/>
                <w:lang w:eastAsia="sv-SE"/>
              </w:rPr>
              <w:t>Organklasse</w:t>
            </w:r>
          </w:p>
        </w:tc>
        <w:tc>
          <w:tcPr>
            <w:tcW w:w="604" w:type="pct"/>
            <w:tcBorders>
              <w:top w:val="single" w:sz="4" w:space="0" w:color="auto"/>
              <w:left w:val="single" w:sz="4" w:space="0" w:color="auto"/>
              <w:bottom w:val="single" w:sz="4" w:space="0" w:color="auto"/>
              <w:right w:val="single" w:sz="4" w:space="0" w:color="auto"/>
            </w:tcBorders>
            <w:hideMark/>
          </w:tcPr>
          <w:p w14:paraId="1F12CD9D" w14:textId="77777777" w:rsidR="00C5280D" w:rsidRPr="007B4B68" w:rsidRDefault="00C5280D" w:rsidP="00FD4045">
            <w:pPr>
              <w:rPr>
                <w:b/>
                <w:sz w:val="20"/>
                <w:lang w:eastAsia="sv-SE"/>
              </w:rPr>
            </w:pPr>
            <w:r w:rsidRPr="007B4B68">
              <w:rPr>
                <w:b/>
                <w:sz w:val="20"/>
                <w:lang w:eastAsia="sv-SE"/>
              </w:rPr>
              <w:t>Meget</w:t>
            </w:r>
          </w:p>
          <w:p w14:paraId="144BDFE2" w14:textId="2CDED8A5" w:rsidR="00C5280D" w:rsidRPr="007B4B68" w:rsidRDefault="00C5280D" w:rsidP="00FD4045">
            <w:pPr>
              <w:rPr>
                <w:b/>
                <w:sz w:val="20"/>
                <w:lang w:eastAsia="sv-SE"/>
              </w:rPr>
            </w:pPr>
            <w:r w:rsidRPr="007B4B68">
              <w:rPr>
                <w:b/>
                <w:sz w:val="20"/>
                <w:lang w:eastAsia="sv-SE"/>
              </w:rPr>
              <w:t>almindelig</w:t>
            </w:r>
          </w:p>
          <w:p w14:paraId="3DD8976D" w14:textId="77777777" w:rsidR="00C5280D" w:rsidRPr="007B4B68" w:rsidRDefault="00C5280D" w:rsidP="00FD4045">
            <w:pPr>
              <w:rPr>
                <w:b/>
                <w:iCs/>
                <w:noProof/>
                <w:sz w:val="20"/>
                <w:u w:val="single"/>
              </w:rPr>
            </w:pPr>
            <w:r w:rsidRPr="007B4B68">
              <w:rPr>
                <w:b/>
                <w:sz w:val="20"/>
                <w:lang w:eastAsia="sv-SE"/>
              </w:rPr>
              <w:t>≥ 1/10</w:t>
            </w:r>
          </w:p>
        </w:tc>
        <w:tc>
          <w:tcPr>
            <w:tcW w:w="993" w:type="pct"/>
            <w:tcBorders>
              <w:top w:val="single" w:sz="4" w:space="0" w:color="auto"/>
              <w:left w:val="single" w:sz="4" w:space="0" w:color="auto"/>
              <w:bottom w:val="single" w:sz="4" w:space="0" w:color="auto"/>
              <w:right w:val="single" w:sz="4" w:space="0" w:color="auto"/>
            </w:tcBorders>
            <w:hideMark/>
          </w:tcPr>
          <w:p w14:paraId="3935FE86" w14:textId="77777777" w:rsidR="00C5280D" w:rsidRPr="007B4B68" w:rsidRDefault="00C5280D" w:rsidP="00FD4045">
            <w:pPr>
              <w:rPr>
                <w:b/>
                <w:sz w:val="20"/>
                <w:lang w:eastAsia="sv-SE"/>
              </w:rPr>
            </w:pPr>
            <w:r w:rsidRPr="007B4B68">
              <w:rPr>
                <w:b/>
                <w:sz w:val="20"/>
                <w:lang w:eastAsia="sv-SE"/>
              </w:rPr>
              <w:t>Almindelig</w:t>
            </w:r>
          </w:p>
          <w:p w14:paraId="7A4D1F8B" w14:textId="580E03DB" w:rsidR="00C5280D" w:rsidRPr="007B4B68" w:rsidRDefault="00C5280D" w:rsidP="00B4113F">
            <w:pPr>
              <w:rPr>
                <w:b/>
                <w:iCs/>
                <w:noProof/>
                <w:sz w:val="20"/>
                <w:u w:val="single"/>
              </w:rPr>
            </w:pPr>
            <w:r w:rsidRPr="007B4B68">
              <w:rPr>
                <w:b/>
                <w:sz w:val="20"/>
                <w:lang w:eastAsia="sv-SE"/>
              </w:rPr>
              <w:t>≥ 1/100</w:t>
            </w:r>
            <w:r w:rsidR="00B4113F" w:rsidRPr="007B4B68">
              <w:rPr>
                <w:b/>
                <w:sz w:val="20"/>
                <w:lang w:eastAsia="sv-SE"/>
              </w:rPr>
              <w:t xml:space="preserve"> </w:t>
            </w:r>
            <w:r w:rsidRPr="007B4B68">
              <w:rPr>
                <w:b/>
                <w:sz w:val="20"/>
                <w:lang w:eastAsia="sv-SE"/>
              </w:rPr>
              <w:t>til</w:t>
            </w:r>
            <w:r w:rsidR="00B4113F" w:rsidRPr="007B4B68">
              <w:rPr>
                <w:b/>
                <w:sz w:val="20"/>
                <w:lang w:eastAsia="sv-SE"/>
              </w:rPr>
              <w:t xml:space="preserve"> </w:t>
            </w:r>
            <w:r w:rsidRPr="007B4B68">
              <w:rPr>
                <w:b/>
                <w:sz w:val="20"/>
                <w:lang w:eastAsia="sv-SE"/>
              </w:rPr>
              <w:t>&lt; 1/10</w:t>
            </w:r>
          </w:p>
        </w:tc>
        <w:tc>
          <w:tcPr>
            <w:tcW w:w="850" w:type="pct"/>
            <w:tcBorders>
              <w:top w:val="single" w:sz="4" w:space="0" w:color="auto"/>
              <w:left w:val="single" w:sz="4" w:space="0" w:color="auto"/>
              <w:bottom w:val="single" w:sz="4" w:space="0" w:color="auto"/>
              <w:right w:val="single" w:sz="4" w:space="0" w:color="auto"/>
            </w:tcBorders>
            <w:hideMark/>
          </w:tcPr>
          <w:p w14:paraId="7BC02076" w14:textId="77777777" w:rsidR="00C5280D" w:rsidRPr="007B4B68" w:rsidRDefault="00C5280D" w:rsidP="00FD4045">
            <w:pPr>
              <w:rPr>
                <w:b/>
                <w:sz w:val="20"/>
                <w:lang w:eastAsia="sv-SE"/>
              </w:rPr>
            </w:pPr>
            <w:r w:rsidRPr="007B4B68">
              <w:rPr>
                <w:b/>
                <w:sz w:val="20"/>
                <w:lang w:eastAsia="sv-SE"/>
              </w:rPr>
              <w:t>Ikke almindelig</w:t>
            </w:r>
          </w:p>
          <w:p w14:paraId="14AA5092" w14:textId="77777777" w:rsidR="00C5280D" w:rsidRPr="007B4B68" w:rsidRDefault="00C5280D" w:rsidP="00FD4045">
            <w:pPr>
              <w:rPr>
                <w:b/>
                <w:sz w:val="20"/>
                <w:lang w:eastAsia="sv-SE"/>
              </w:rPr>
            </w:pPr>
            <w:r w:rsidRPr="007B4B68">
              <w:rPr>
                <w:b/>
                <w:sz w:val="20"/>
                <w:lang w:eastAsia="sv-SE"/>
              </w:rPr>
              <w:t>≥ 1/1.000</w:t>
            </w:r>
          </w:p>
          <w:p w14:paraId="64E1B4B3" w14:textId="77777777" w:rsidR="00C5280D" w:rsidRPr="007B4B68" w:rsidRDefault="00C5280D" w:rsidP="00FD4045">
            <w:pPr>
              <w:rPr>
                <w:b/>
                <w:sz w:val="20"/>
                <w:lang w:eastAsia="sv-SE"/>
              </w:rPr>
            </w:pPr>
            <w:r w:rsidRPr="007B4B68">
              <w:rPr>
                <w:b/>
                <w:sz w:val="20"/>
                <w:lang w:eastAsia="sv-SE"/>
              </w:rPr>
              <w:t>til</w:t>
            </w:r>
          </w:p>
          <w:p w14:paraId="41DE11B1" w14:textId="77777777" w:rsidR="00C5280D" w:rsidRPr="007B4B68" w:rsidRDefault="00C5280D" w:rsidP="00FD4045">
            <w:pPr>
              <w:rPr>
                <w:b/>
                <w:iCs/>
                <w:noProof/>
                <w:sz w:val="20"/>
                <w:u w:val="single"/>
              </w:rPr>
            </w:pPr>
            <w:r w:rsidRPr="007B4B68">
              <w:rPr>
                <w:b/>
                <w:sz w:val="20"/>
                <w:lang w:eastAsia="sv-SE"/>
              </w:rPr>
              <w:t>&lt;1/100</w:t>
            </w:r>
          </w:p>
        </w:tc>
        <w:tc>
          <w:tcPr>
            <w:tcW w:w="568" w:type="pct"/>
            <w:tcBorders>
              <w:top w:val="single" w:sz="4" w:space="0" w:color="auto"/>
              <w:left w:val="single" w:sz="4" w:space="0" w:color="auto"/>
              <w:bottom w:val="single" w:sz="4" w:space="0" w:color="auto"/>
              <w:right w:val="single" w:sz="4" w:space="0" w:color="auto"/>
            </w:tcBorders>
          </w:tcPr>
          <w:p w14:paraId="284C3DFA" w14:textId="5ABD57FE" w:rsidR="00C5280D" w:rsidRPr="007B4B68" w:rsidRDefault="00C5280D" w:rsidP="00FD4045">
            <w:pPr>
              <w:rPr>
                <w:b/>
                <w:sz w:val="20"/>
                <w:lang w:eastAsia="sv-SE"/>
              </w:rPr>
            </w:pPr>
            <w:r w:rsidRPr="007B4B68">
              <w:rPr>
                <w:b/>
                <w:sz w:val="20"/>
                <w:lang w:eastAsia="sv-SE"/>
              </w:rPr>
              <w:t>Sjælden ≥1/10.000</w:t>
            </w:r>
          </w:p>
          <w:p w14:paraId="0FF2722B" w14:textId="77777777" w:rsidR="00C5280D" w:rsidRPr="007B4B68" w:rsidRDefault="00C5280D" w:rsidP="00FD4045">
            <w:pPr>
              <w:rPr>
                <w:b/>
                <w:sz w:val="20"/>
                <w:lang w:eastAsia="sv-SE"/>
              </w:rPr>
            </w:pPr>
            <w:r w:rsidRPr="007B4B68">
              <w:rPr>
                <w:b/>
                <w:sz w:val="20"/>
                <w:lang w:eastAsia="sv-SE"/>
              </w:rPr>
              <w:t>til</w:t>
            </w:r>
          </w:p>
          <w:p w14:paraId="6312A6FF" w14:textId="77777777" w:rsidR="00C5280D" w:rsidRPr="007B4B68" w:rsidRDefault="00C5280D" w:rsidP="00FD4045">
            <w:pPr>
              <w:rPr>
                <w:b/>
                <w:sz w:val="20"/>
                <w:lang w:eastAsia="sv-SE"/>
              </w:rPr>
            </w:pPr>
            <w:r w:rsidRPr="007B4B68">
              <w:rPr>
                <w:b/>
                <w:sz w:val="20"/>
                <w:lang w:eastAsia="sv-SE"/>
              </w:rPr>
              <w:t>&lt;1/1.000</w:t>
            </w:r>
          </w:p>
          <w:p w14:paraId="5D9D7A7F" w14:textId="77777777" w:rsidR="00C5280D" w:rsidRPr="007B4B68" w:rsidRDefault="00C5280D" w:rsidP="00FD4045">
            <w:pPr>
              <w:rPr>
                <w:b/>
                <w:iCs/>
                <w:noProof/>
                <w:sz w:val="20"/>
                <w:u w:val="single"/>
              </w:rPr>
            </w:pPr>
          </w:p>
        </w:tc>
        <w:tc>
          <w:tcPr>
            <w:tcW w:w="498" w:type="pct"/>
            <w:tcBorders>
              <w:top w:val="single" w:sz="4" w:space="0" w:color="auto"/>
              <w:left w:val="single" w:sz="4" w:space="0" w:color="auto"/>
              <w:bottom w:val="single" w:sz="4" w:space="0" w:color="auto"/>
              <w:right w:val="single" w:sz="4" w:space="0" w:color="auto"/>
            </w:tcBorders>
          </w:tcPr>
          <w:p w14:paraId="7D714F9F" w14:textId="77777777" w:rsidR="00C5280D" w:rsidRPr="007B4B68" w:rsidRDefault="00C5280D" w:rsidP="00FD4045">
            <w:pPr>
              <w:rPr>
                <w:b/>
                <w:sz w:val="20"/>
                <w:lang w:eastAsia="sv-SE"/>
              </w:rPr>
            </w:pPr>
            <w:r w:rsidRPr="007B4B68">
              <w:rPr>
                <w:b/>
                <w:sz w:val="20"/>
                <w:lang w:eastAsia="sv-SE"/>
              </w:rPr>
              <w:t>Meget</w:t>
            </w:r>
          </w:p>
          <w:p w14:paraId="7F087FC4" w14:textId="77777777" w:rsidR="00C5280D" w:rsidRPr="007B4B68" w:rsidRDefault="00C5280D" w:rsidP="00FD4045">
            <w:pPr>
              <w:rPr>
                <w:b/>
                <w:sz w:val="20"/>
                <w:lang w:eastAsia="sv-SE"/>
              </w:rPr>
            </w:pPr>
            <w:r w:rsidRPr="007B4B68">
              <w:rPr>
                <w:b/>
                <w:sz w:val="20"/>
                <w:lang w:eastAsia="sv-SE"/>
              </w:rPr>
              <w:t>sjælden</w:t>
            </w:r>
          </w:p>
          <w:p w14:paraId="041A8FE6" w14:textId="77777777" w:rsidR="00C5280D" w:rsidRPr="007B4B68" w:rsidRDefault="00C5280D" w:rsidP="00FD4045">
            <w:pPr>
              <w:rPr>
                <w:b/>
                <w:sz w:val="20"/>
                <w:lang w:eastAsia="sv-SE"/>
              </w:rPr>
            </w:pPr>
            <w:r w:rsidRPr="007B4B68">
              <w:rPr>
                <w:b/>
                <w:sz w:val="20"/>
                <w:lang w:eastAsia="sv-SE"/>
              </w:rPr>
              <w:t>&lt;</w:t>
            </w:r>
          </w:p>
          <w:p w14:paraId="0A0F0A41" w14:textId="77777777" w:rsidR="00C5280D" w:rsidRPr="007B4B68" w:rsidRDefault="00C5280D" w:rsidP="00FD4045">
            <w:pPr>
              <w:rPr>
                <w:b/>
                <w:sz w:val="20"/>
                <w:lang w:eastAsia="sv-SE"/>
              </w:rPr>
            </w:pPr>
            <w:r w:rsidRPr="007B4B68">
              <w:rPr>
                <w:b/>
                <w:sz w:val="20"/>
                <w:lang w:eastAsia="sv-SE"/>
              </w:rPr>
              <w:t>1/10.000</w:t>
            </w:r>
          </w:p>
          <w:p w14:paraId="7E090CB7" w14:textId="77777777" w:rsidR="00C5280D" w:rsidRPr="007B4B68" w:rsidRDefault="00C5280D" w:rsidP="00FD4045">
            <w:pPr>
              <w:rPr>
                <w:b/>
                <w:iCs/>
                <w:noProof/>
                <w:sz w:val="20"/>
                <w:u w:val="single"/>
              </w:rPr>
            </w:pPr>
          </w:p>
        </w:tc>
        <w:tc>
          <w:tcPr>
            <w:tcW w:w="675" w:type="pct"/>
            <w:tcBorders>
              <w:top w:val="single" w:sz="4" w:space="0" w:color="auto"/>
              <w:left w:val="single" w:sz="4" w:space="0" w:color="auto"/>
              <w:bottom w:val="single" w:sz="4" w:space="0" w:color="auto"/>
              <w:right w:val="single" w:sz="4" w:space="0" w:color="auto"/>
            </w:tcBorders>
            <w:hideMark/>
          </w:tcPr>
          <w:p w14:paraId="3C39D605" w14:textId="77777777" w:rsidR="00C5280D" w:rsidRPr="007B4B68" w:rsidRDefault="00C5280D" w:rsidP="00FD4045">
            <w:pPr>
              <w:rPr>
                <w:b/>
                <w:iCs/>
                <w:noProof/>
                <w:sz w:val="20"/>
                <w:u w:val="single"/>
              </w:rPr>
            </w:pPr>
            <w:r w:rsidRPr="007B4B68">
              <w:rPr>
                <w:b/>
                <w:sz w:val="20"/>
                <w:lang w:eastAsia="sv-SE"/>
              </w:rPr>
              <w:t>Ikke kendt</w:t>
            </w:r>
          </w:p>
        </w:tc>
      </w:tr>
      <w:tr w:rsidR="00B4113F" w:rsidRPr="007B4B68" w14:paraId="27B9C45E" w14:textId="77777777" w:rsidTr="00B4113F">
        <w:tc>
          <w:tcPr>
            <w:tcW w:w="811" w:type="pct"/>
            <w:tcBorders>
              <w:top w:val="single" w:sz="4" w:space="0" w:color="auto"/>
              <w:left w:val="single" w:sz="4" w:space="0" w:color="auto"/>
              <w:bottom w:val="single" w:sz="4" w:space="0" w:color="auto"/>
              <w:right w:val="single" w:sz="4" w:space="0" w:color="auto"/>
            </w:tcBorders>
            <w:hideMark/>
          </w:tcPr>
          <w:p w14:paraId="1AE5D1B0" w14:textId="77777777" w:rsidR="00C5280D" w:rsidRPr="007B4B68" w:rsidRDefault="00C5280D" w:rsidP="00FD4045">
            <w:pPr>
              <w:rPr>
                <w:iCs/>
                <w:noProof/>
                <w:sz w:val="20"/>
              </w:rPr>
            </w:pPr>
            <w:r w:rsidRPr="007B4B68">
              <w:rPr>
                <w:iCs/>
                <w:noProof/>
                <w:sz w:val="20"/>
              </w:rPr>
              <w:t>Blod og</w:t>
            </w:r>
          </w:p>
          <w:p w14:paraId="7DAA0CFF" w14:textId="77777777" w:rsidR="00C5280D" w:rsidRPr="007B4B68" w:rsidRDefault="00C5280D" w:rsidP="00FD4045">
            <w:pPr>
              <w:rPr>
                <w:iCs/>
                <w:noProof/>
                <w:sz w:val="20"/>
              </w:rPr>
            </w:pPr>
            <w:r w:rsidRPr="007B4B68">
              <w:rPr>
                <w:iCs/>
                <w:noProof/>
                <w:sz w:val="20"/>
              </w:rPr>
              <w:t>lymfesystem</w:t>
            </w:r>
          </w:p>
        </w:tc>
        <w:tc>
          <w:tcPr>
            <w:tcW w:w="604" w:type="pct"/>
            <w:tcBorders>
              <w:top w:val="single" w:sz="4" w:space="0" w:color="auto"/>
              <w:left w:val="single" w:sz="4" w:space="0" w:color="auto"/>
              <w:bottom w:val="single" w:sz="4" w:space="0" w:color="auto"/>
              <w:right w:val="single" w:sz="4" w:space="0" w:color="auto"/>
            </w:tcBorders>
          </w:tcPr>
          <w:p w14:paraId="7FC19E73" w14:textId="77777777" w:rsidR="00C5280D" w:rsidRPr="007B4B68" w:rsidRDefault="00C5280D" w:rsidP="00FD4045">
            <w:pPr>
              <w:rPr>
                <w:iCs/>
                <w:noProof/>
                <w:sz w:val="20"/>
              </w:rPr>
            </w:pPr>
          </w:p>
        </w:tc>
        <w:tc>
          <w:tcPr>
            <w:tcW w:w="993" w:type="pct"/>
            <w:tcBorders>
              <w:top w:val="single" w:sz="4" w:space="0" w:color="auto"/>
              <w:left w:val="single" w:sz="4" w:space="0" w:color="auto"/>
              <w:bottom w:val="single" w:sz="4" w:space="0" w:color="auto"/>
              <w:right w:val="single" w:sz="4" w:space="0" w:color="auto"/>
            </w:tcBorders>
          </w:tcPr>
          <w:p w14:paraId="41E89FE2" w14:textId="77777777" w:rsidR="00C5280D" w:rsidRPr="007B4B68" w:rsidRDefault="00C5280D" w:rsidP="00FD4045">
            <w:pPr>
              <w:rPr>
                <w:iCs/>
                <w:noProof/>
                <w:sz w:val="20"/>
              </w:rPr>
            </w:pPr>
          </w:p>
        </w:tc>
        <w:tc>
          <w:tcPr>
            <w:tcW w:w="850" w:type="pct"/>
            <w:tcBorders>
              <w:top w:val="single" w:sz="4" w:space="0" w:color="auto"/>
              <w:left w:val="single" w:sz="4" w:space="0" w:color="auto"/>
              <w:bottom w:val="single" w:sz="4" w:space="0" w:color="auto"/>
              <w:right w:val="single" w:sz="4" w:space="0" w:color="auto"/>
            </w:tcBorders>
            <w:hideMark/>
          </w:tcPr>
          <w:p w14:paraId="144A6F8E" w14:textId="77777777" w:rsidR="00C5280D" w:rsidRPr="007B4B68" w:rsidRDefault="00C5280D" w:rsidP="00FD4045">
            <w:pPr>
              <w:rPr>
                <w:iCs/>
                <w:noProof/>
                <w:sz w:val="20"/>
              </w:rPr>
            </w:pPr>
            <w:r w:rsidRPr="007B4B68">
              <w:rPr>
                <w:iCs/>
                <w:noProof/>
                <w:sz w:val="20"/>
              </w:rPr>
              <w:t>Koagulopati</w:t>
            </w:r>
          </w:p>
        </w:tc>
        <w:tc>
          <w:tcPr>
            <w:tcW w:w="568" w:type="pct"/>
            <w:tcBorders>
              <w:top w:val="single" w:sz="4" w:space="0" w:color="auto"/>
              <w:left w:val="single" w:sz="4" w:space="0" w:color="auto"/>
              <w:bottom w:val="single" w:sz="4" w:space="0" w:color="auto"/>
              <w:right w:val="single" w:sz="4" w:space="0" w:color="auto"/>
            </w:tcBorders>
          </w:tcPr>
          <w:p w14:paraId="06A654E2" w14:textId="77777777" w:rsidR="00C5280D" w:rsidRPr="007B4B68" w:rsidRDefault="00C5280D" w:rsidP="00FD4045">
            <w:pPr>
              <w:rPr>
                <w:iCs/>
                <w:noProof/>
                <w:sz w:val="20"/>
                <w:u w:val="single"/>
              </w:rPr>
            </w:pPr>
          </w:p>
        </w:tc>
        <w:tc>
          <w:tcPr>
            <w:tcW w:w="498" w:type="pct"/>
            <w:tcBorders>
              <w:top w:val="single" w:sz="4" w:space="0" w:color="auto"/>
              <w:left w:val="single" w:sz="4" w:space="0" w:color="auto"/>
              <w:bottom w:val="single" w:sz="4" w:space="0" w:color="auto"/>
              <w:right w:val="single" w:sz="4" w:space="0" w:color="auto"/>
            </w:tcBorders>
          </w:tcPr>
          <w:p w14:paraId="361321B7" w14:textId="77777777" w:rsidR="00C5280D" w:rsidRPr="007B4B68" w:rsidRDefault="00C5280D" w:rsidP="00FD4045">
            <w:pPr>
              <w:rPr>
                <w:iCs/>
                <w:noProof/>
                <w:sz w:val="20"/>
                <w:u w:val="single"/>
              </w:rPr>
            </w:pPr>
          </w:p>
        </w:tc>
        <w:tc>
          <w:tcPr>
            <w:tcW w:w="675" w:type="pct"/>
            <w:tcBorders>
              <w:top w:val="single" w:sz="4" w:space="0" w:color="auto"/>
              <w:left w:val="single" w:sz="4" w:space="0" w:color="auto"/>
              <w:bottom w:val="single" w:sz="4" w:space="0" w:color="auto"/>
              <w:right w:val="single" w:sz="4" w:space="0" w:color="auto"/>
            </w:tcBorders>
          </w:tcPr>
          <w:p w14:paraId="17014B7D" w14:textId="77777777" w:rsidR="00C5280D" w:rsidRPr="007B4B68" w:rsidRDefault="00C5280D" w:rsidP="00FD4045">
            <w:pPr>
              <w:rPr>
                <w:iCs/>
                <w:noProof/>
                <w:sz w:val="20"/>
                <w:u w:val="single"/>
              </w:rPr>
            </w:pPr>
          </w:p>
        </w:tc>
      </w:tr>
      <w:tr w:rsidR="00B4113F" w:rsidRPr="007B4B68" w14:paraId="5BAD02CD" w14:textId="77777777" w:rsidTr="00B4113F">
        <w:tc>
          <w:tcPr>
            <w:tcW w:w="811" w:type="pct"/>
            <w:tcBorders>
              <w:top w:val="single" w:sz="4" w:space="0" w:color="auto"/>
              <w:left w:val="single" w:sz="4" w:space="0" w:color="auto"/>
              <w:bottom w:val="single" w:sz="4" w:space="0" w:color="auto"/>
              <w:right w:val="single" w:sz="4" w:space="0" w:color="auto"/>
            </w:tcBorders>
          </w:tcPr>
          <w:p w14:paraId="1CAF0857" w14:textId="77777777" w:rsidR="00C5280D" w:rsidRPr="007B4B68" w:rsidRDefault="00C5280D" w:rsidP="00FD4045">
            <w:pPr>
              <w:rPr>
                <w:iCs/>
                <w:noProof/>
                <w:sz w:val="20"/>
              </w:rPr>
            </w:pPr>
            <w:r w:rsidRPr="007B4B68">
              <w:rPr>
                <w:iCs/>
                <w:noProof/>
                <w:sz w:val="20"/>
              </w:rPr>
              <w:t>Immunsystemet</w:t>
            </w:r>
          </w:p>
          <w:p w14:paraId="01DFC24F" w14:textId="77777777" w:rsidR="00C5280D" w:rsidRPr="007B4B68" w:rsidRDefault="00C5280D" w:rsidP="00FD4045">
            <w:pPr>
              <w:rPr>
                <w:iCs/>
                <w:noProof/>
                <w:sz w:val="20"/>
              </w:rPr>
            </w:pPr>
          </w:p>
        </w:tc>
        <w:tc>
          <w:tcPr>
            <w:tcW w:w="604" w:type="pct"/>
            <w:tcBorders>
              <w:top w:val="single" w:sz="4" w:space="0" w:color="auto"/>
              <w:left w:val="single" w:sz="4" w:space="0" w:color="auto"/>
              <w:bottom w:val="single" w:sz="4" w:space="0" w:color="auto"/>
              <w:right w:val="single" w:sz="4" w:space="0" w:color="auto"/>
            </w:tcBorders>
          </w:tcPr>
          <w:p w14:paraId="002DF5DE" w14:textId="77777777" w:rsidR="00C5280D" w:rsidRPr="007B4B68" w:rsidRDefault="00C5280D" w:rsidP="00FD4045">
            <w:pPr>
              <w:rPr>
                <w:noProof/>
                <w:sz w:val="20"/>
              </w:rPr>
            </w:pPr>
          </w:p>
        </w:tc>
        <w:tc>
          <w:tcPr>
            <w:tcW w:w="993" w:type="pct"/>
            <w:tcBorders>
              <w:top w:val="single" w:sz="4" w:space="0" w:color="auto"/>
              <w:left w:val="single" w:sz="4" w:space="0" w:color="auto"/>
              <w:bottom w:val="single" w:sz="4" w:space="0" w:color="auto"/>
              <w:right w:val="single" w:sz="4" w:space="0" w:color="auto"/>
            </w:tcBorders>
          </w:tcPr>
          <w:p w14:paraId="7E3DFCB8" w14:textId="77777777" w:rsidR="00C5280D" w:rsidRPr="007B4B68" w:rsidRDefault="00C5280D" w:rsidP="00FD4045">
            <w:pPr>
              <w:rPr>
                <w:iCs/>
                <w:noProof/>
                <w:sz w:val="20"/>
              </w:rPr>
            </w:pPr>
          </w:p>
        </w:tc>
        <w:tc>
          <w:tcPr>
            <w:tcW w:w="850" w:type="pct"/>
            <w:tcBorders>
              <w:top w:val="single" w:sz="4" w:space="0" w:color="auto"/>
              <w:left w:val="single" w:sz="4" w:space="0" w:color="auto"/>
              <w:bottom w:val="single" w:sz="4" w:space="0" w:color="auto"/>
              <w:right w:val="single" w:sz="4" w:space="0" w:color="auto"/>
            </w:tcBorders>
          </w:tcPr>
          <w:p w14:paraId="2B152317" w14:textId="77777777" w:rsidR="00C5280D" w:rsidRPr="007B4B68" w:rsidRDefault="00C5280D" w:rsidP="00FD4045">
            <w:pPr>
              <w:rPr>
                <w:iCs/>
                <w:noProof/>
                <w:sz w:val="20"/>
              </w:rPr>
            </w:pPr>
          </w:p>
        </w:tc>
        <w:tc>
          <w:tcPr>
            <w:tcW w:w="568" w:type="pct"/>
            <w:tcBorders>
              <w:top w:val="single" w:sz="4" w:space="0" w:color="auto"/>
              <w:left w:val="single" w:sz="4" w:space="0" w:color="auto"/>
              <w:bottom w:val="single" w:sz="4" w:space="0" w:color="auto"/>
              <w:right w:val="single" w:sz="4" w:space="0" w:color="auto"/>
            </w:tcBorders>
          </w:tcPr>
          <w:p w14:paraId="64EFE393" w14:textId="77777777" w:rsidR="00C5280D" w:rsidRPr="007B4B68" w:rsidRDefault="00C5280D" w:rsidP="00FD4045">
            <w:pPr>
              <w:rPr>
                <w:iCs/>
                <w:noProof/>
                <w:sz w:val="20"/>
                <w:u w:val="single"/>
              </w:rPr>
            </w:pPr>
          </w:p>
        </w:tc>
        <w:tc>
          <w:tcPr>
            <w:tcW w:w="498" w:type="pct"/>
            <w:tcBorders>
              <w:top w:val="single" w:sz="4" w:space="0" w:color="auto"/>
              <w:left w:val="single" w:sz="4" w:space="0" w:color="auto"/>
              <w:bottom w:val="single" w:sz="4" w:space="0" w:color="auto"/>
              <w:right w:val="single" w:sz="4" w:space="0" w:color="auto"/>
            </w:tcBorders>
          </w:tcPr>
          <w:p w14:paraId="61FA5D69" w14:textId="77777777" w:rsidR="00C5280D" w:rsidRPr="007B4B68" w:rsidRDefault="00C5280D" w:rsidP="00FD4045">
            <w:pPr>
              <w:rPr>
                <w:iCs/>
                <w:noProof/>
                <w:sz w:val="20"/>
                <w:u w:val="single"/>
              </w:rPr>
            </w:pPr>
          </w:p>
        </w:tc>
        <w:tc>
          <w:tcPr>
            <w:tcW w:w="675" w:type="pct"/>
            <w:tcBorders>
              <w:top w:val="single" w:sz="4" w:space="0" w:color="auto"/>
              <w:left w:val="single" w:sz="4" w:space="0" w:color="auto"/>
              <w:bottom w:val="single" w:sz="4" w:space="0" w:color="auto"/>
              <w:right w:val="single" w:sz="4" w:space="0" w:color="auto"/>
            </w:tcBorders>
            <w:hideMark/>
          </w:tcPr>
          <w:p w14:paraId="5CDE6B45" w14:textId="77777777" w:rsidR="00C5280D" w:rsidRPr="007B4B68" w:rsidRDefault="00C5280D" w:rsidP="00FD4045">
            <w:pPr>
              <w:rPr>
                <w:iCs/>
                <w:noProof/>
                <w:sz w:val="20"/>
              </w:rPr>
            </w:pPr>
            <w:r w:rsidRPr="007B4B68">
              <w:rPr>
                <w:iCs/>
                <w:noProof/>
                <w:sz w:val="20"/>
              </w:rPr>
              <w:t>Anafylaktisk shock,</w:t>
            </w:r>
          </w:p>
          <w:p w14:paraId="5BC62602" w14:textId="77777777" w:rsidR="00C5280D" w:rsidRPr="007B4B68" w:rsidRDefault="00C5280D" w:rsidP="00FD4045">
            <w:pPr>
              <w:rPr>
                <w:rFonts w:eastAsia="TimesNewRoman"/>
                <w:sz w:val="20"/>
                <w:lang w:eastAsia="sv-SE"/>
              </w:rPr>
            </w:pPr>
            <w:r w:rsidRPr="007B4B68">
              <w:rPr>
                <w:iCs/>
                <w:noProof/>
                <w:sz w:val="20"/>
              </w:rPr>
              <w:t>anafylaktisk reaktion*</w:t>
            </w:r>
          </w:p>
        </w:tc>
      </w:tr>
      <w:tr w:rsidR="00B4113F" w:rsidRPr="007B4B68" w14:paraId="77E499E0" w14:textId="77777777" w:rsidTr="00B4113F">
        <w:tc>
          <w:tcPr>
            <w:tcW w:w="811" w:type="pct"/>
            <w:tcBorders>
              <w:top w:val="single" w:sz="4" w:space="0" w:color="auto"/>
              <w:left w:val="single" w:sz="4" w:space="0" w:color="auto"/>
              <w:bottom w:val="single" w:sz="4" w:space="0" w:color="auto"/>
              <w:right w:val="single" w:sz="4" w:space="0" w:color="auto"/>
            </w:tcBorders>
            <w:hideMark/>
          </w:tcPr>
          <w:p w14:paraId="175157C7" w14:textId="77777777" w:rsidR="00C5280D" w:rsidRPr="007B4B68" w:rsidRDefault="00C5280D" w:rsidP="00FD4045">
            <w:pPr>
              <w:rPr>
                <w:iCs/>
                <w:noProof/>
                <w:sz w:val="20"/>
              </w:rPr>
            </w:pPr>
            <w:r w:rsidRPr="007B4B68">
              <w:rPr>
                <w:iCs/>
                <w:noProof/>
                <w:sz w:val="20"/>
              </w:rPr>
              <w:t>Metabolisme</w:t>
            </w:r>
          </w:p>
          <w:p w14:paraId="26A136F3" w14:textId="77777777" w:rsidR="00C5280D" w:rsidRPr="007B4B68" w:rsidRDefault="00C5280D" w:rsidP="00FD4045">
            <w:pPr>
              <w:rPr>
                <w:iCs/>
                <w:noProof/>
                <w:sz w:val="20"/>
              </w:rPr>
            </w:pPr>
            <w:r w:rsidRPr="007B4B68">
              <w:rPr>
                <w:iCs/>
                <w:noProof/>
                <w:sz w:val="20"/>
              </w:rPr>
              <w:t>og ernæring</w:t>
            </w:r>
          </w:p>
        </w:tc>
        <w:tc>
          <w:tcPr>
            <w:tcW w:w="604" w:type="pct"/>
            <w:tcBorders>
              <w:top w:val="single" w:sz="4" w:space="0" w:color="auto"/>
              <w:left w:val="single" w:sz="4" w:space="0" w:color="auto"/>
              <w:bottom w:val="single" w:sz="4" w:space="0" w:color="auto"/>
              <w:right w:val="single" w:sz="4" w:space="0" w:color="auto"/>
            </w:tcBorders>
            <w:hideMark/>
          </w:tcPr>
          <w:p w14:paraId="11C5D0F6" w14:textId="77777777" w:rsidR="00C5280D" w:rsidRPr="007B4B68" w:rsidRDefault="00C5280D" w:rsidP="00FD4045">
            <w:pPr>
              <w:rPr>
                <w:iCs/>
                <w:noProof/>
                <w:sz w:val="20"/>
              </w:rPr>
            </w:pPr>
            <w:r w:rsidRPr="007B4B68">
              <w:rPr>
                <w:iCs/>
                <w:noProof/>
                <w:sz w:val="20"/>
              </w:rPr>
              <w:t>Hypokali-æmi</w:t>
            </w:r>
          </w:p>
        </w:tc>
        <w:tc>
          <w:tcPr>
            <w:tcW w:w="993" w:type="pct"/>
            <w:tcBorders>
              <w:top w:val="single" w:sz="4" w:space="0" w:color="auto"/>
              <w:left w:val="single" w:sz="4" w:space="0" w:color="auto"/>
              <w:bottom w:val="single" w:sz="4" w:space="0" w:color="auto"/>
              <w:right w:val="single" w:sz="4" w:space="0" w:color="auto"/>
            </w:tcBorders>
            <w:hideMark/>
          </w:tcPr>
          <w:p w14:paraId="6CEE282F" w14:textId="77777777" w:rsidR="00C5280D" w:rsidRPr="007B4B68" w:rsidRDefault="00C5280D" w:rsidP="00FD4045">
            <w:pPr>
              <w:rPr>
                <w:iCs/>
                <w:noProof/>
                <w:sz w:val="20"/>
              </w:rPr>
            </w:pPr>
            <w:r w:rsidRPr="007B4B68">
              <w:rPr>
                <w:iCs/>
                <w:noProof/>
                <w:sz w:val="20"/>
              </w:rPr>
              <w:t>Hyperglykæmi</w:t>
            </w:r>
          </w:p>
        </w:tc>
        <w:tc>
          <w:tcPr>
            <w:tcW w:w="850" w:type="pct"/>
            <w:tcBorders>
              <w:top w:val="single" w:sz="4" w:space="0" w:color="auto"/>
              <w:left w:val="single" w:sz="4" w:space="0" w:color="auto"/>
              <w:bottom w:val="single" w:sz="4" w:space="0" w:color="auto"/>
              <w:right w:val="single" w:sz="4" w:space="0" w:color="auto"/>
            </w:tcBorders>
          </w:tcPr>
          <w:p w14:paraId="07888378" w14:textId="77777777" w:rsidR="00C5280D" w:rsidRPr="007B4B68" w:rsidRDefault="00C5280D" w:rsidP="00FD4045">
            <w:pPr>
              <w:rPr>
                <w:iCs/>
                <w:noProof/>
                <w:sz w:val="20"/>
              </w:rPr>
            </w:pPr>
          </w:p>
        </w:tc>
        <w:tc>
          <w:tcPr>
            <w:tcW w:w="568" w:type="pct"/>
            <w:tcBorders>
              <w:top w:val="single" w:sz="4" w:space="0" w:color="auto"/>
              <w:left w:val="single" w:sz="4" w:space="0" w:color="auto"/>
              <w:bottom w:val="single" w:sz="4" w:space="0" w:color="auto"/>
              <w:right w:val="single" w:sz="4" w:space="0" w:color="auto"/>
            </w:tcBorders>
          </w:tcPr>
          <w:p w14:paraId="1B2857C1" w14:textId="77777777" w:rsidR="00C5280D" w:rsidRPr="007B4B68" w:rsidRDefault="00C5280D" w:rsidP="00FD4045">
            <w:pPr>
              <w:rPr>
                <w:iCs/>
                <w:noProof/>
                <w:sz w:val="20"/>
                <w:u w:val="single"/>
              </w:rPr>
            </w:pPr>
          </w:p>
        </w:tc>
        <w:tc>
          <w:tcPr>
            <w:tcW w:w="498" w:type="pct"/>
            <w:tcBorders>
              <w:top w:val="single" w:sz="4" w:space="0" w:color="auto"/>
              <w:left w:val="single" w:sz="4" w:space="0" w:color="auto"/>
              <w:bottom w:val="single" w:sz="4" w:space="0" w:color="auto"/>
              <w:right w:val="single" w:sz="4" w:space="0" w:color="auto"/>
            </w:tcBorders>
          </w:tcPr>
          <w:p w14:paraId="75BB53B0" w14:textId="77777777" w:rsidR="00C5280D" w:rsidRPr="007B4B68" w:rsidRDefault="00C5280D" w:rsidP="00FD4045">
            <w:pPr>
              <w:rPr>
                <w:iCs/>
                <w:noProof/>
                <w:sz w:val="20"/>
                <w:u w:val="single"/>
              </w:rPr>
            </w:pPr>
          </w:p>
        </w:tc>
        <w:tc>
          <w:tcPr>
            <w:tcW w:w="675" w:type="pct"/>
            <w:tcBorders>
              <w:top w:val="single" w:sz="4" w:space="0" w:color="auto"/>
              <w:left w:val="single" w:sz="4" w:space="0" w:color="auto"/>
              <w:bottom w:val="single" w:sz="4" w:space="0" w:color="auto"/>
              <w:right w:val="single" w:sz="4" w:space="0" w:color="auto"/>
            </w:tcBorders>
          </w:tcPr>
          <w:p w14:paraId="2E867934" w14:textId="77777777" w:rsidR="00C5280D" w:rsidRPr="007B4B68" w:rsidRDefault="00C5280D" w:rsidP="00FD4045">
            <w:pPr>
              <w:rPr>
                <w:iCs/>
                <w:noProof/>
                <w:sz w:val="20"/>
                <w:u w:val="single"/>
              </w:rPr>
            </w:pPr>
          </w:p>
        </w:tc>
      </w:tr>
      <w:tr w:rsidR="00B4113F" w:rsidRPr="007B4B68" w14:paraId="56D18BBF" w14:textId="77777777" w:rsidTr="00B4113F">
        <w:tc>
          <w:tcPr>
            <w:tcW w:w="811" w:type="pct"/>
            <w:tcBorders>
              <w:top w:val="single" w:sz="4" w:space="0" w:color="auto"/>
              <w:left w:val="single" w:sz="4" w:space="0" w:color="auto"/>
              <w:bottom w:val="single" w:sz="4" w:space="0" w:color="auto"/>
              <w:right w:val="single" w:sz="4" w:space="0" w:color="auto"/>
            </w:tcBorders>
            <w:hideMark/>
          </w:tcPr>
          <w:p w14:paraId="17F02C59" w14:textId="77777777" w:rsidR="00C5280D" w:rsidRPr="007B4B68" w:rsidRDefault="00C5280D" w:rsidP="00FD4045">
            <w:pPr>
              <w:rPr>
                <w:iCs/>
                <w:noProof/>
                <w:sz w:val="20"/>
              </w:rPr>
            </w:pPr>
            <w:r w:rsidRPr="007B4B68">
              <w:rPr>
                <w:iCs/>
                <w:noProof/>
                <w:sz w:val="20"/>
              </w:rPr>
              <w:t>Nervesystemet</w:t>
            </w:r>
          </w:p>
        </w:tc>
        <w:tc>
          <w:tcPr>
            <w:tcW w:w="604" w:type="pct"/>
            <w:tcBorders>
              <w:top w:val="single" w:sz="4" w:space="0" w:color="auto"/>
              <w:left w:val="single" w:sz="4" w:space="0" w:color="auto"/>
              <w:bottom w:val="single" w:sz="4" w:space="0" w:color="auto"/>
              <w:right w:val="single" w:sz="4" w:space="0" w:color="auto"/>
            </w:tcBorders>
          </w:tcPr>
          <w:p w14:paraId="73E2237A" w14:textId="77777777" w:rsidR="00C5280D" w:rsidRPr="007B4B68" w:rsidRDefault="00C5280D" w:rsidP="00FD4045">
            <w:pPr>
              <w:rPr>
                <w:iCs/>
                <w:noProof/>
                <w:sz w:val="20"/>
              </w:rPr>
            </w:pPr>
          </w:p>
        </w:tc>
        <w:tc>
          <w:tcPr>
            <w:tcW w:w="993" w:type="pct"/>
            <w:tcBorders>
              <w:top w:val="single" w:sz="4" w:space="0" w:color="auto"/>
              <w:left w:val="single" w:sz="4" w:space="0" w:color="auto"/>
              <w:bottom w:val="single" w:sz="4" w:space="0" w:color="auto"/>
              <w:right w:val="single" w:sz="4" w:space="0" w:color="auto"/>
            </w:tcBorders>
            <w:hideMark/>
          </w:tcPr>
          <w:p w14:paraId="4577F4A8" w14:textId="77777777" w:rsidR="00C5280D" w:rsidRPr="007B4B68" w:rsidRDefault="00C5280D" w:rsidP="00FD4045">
            <w:pPr>
              <w:rPr>
                <w:iCs/>
                <w:noProof/>
                <w:sz w:val="20"/>
              </w:rPr>
            </w:pPr>
            <w:r w:rsidRPr="007B4B68">
              <w:rPr>
                <w:iCs/>
                <w:noProof/>
                <w:sz w:val="20"/>
              </w:rPr>
              <w:t>Kramper,</w:t>
            </w:r>
          </w:p>
          <w:p w14:paraId="25F1BC41" w14:textId="77777777" w:rsidR="00C5280D" w:rsidRPr="007B4B68" w:rsidRDefault="00C5280D" w:rsidP="00FD4045">
            <w:pPr>
              <w:rPr>
                <w:iCs/>
                <w:noProof/>
                <w:sz w:val="20"/>
              </w:rPr>
            </w:pPr>
            <w:r w:rsidRPr="007B4B68">
              <w:rPr>
                <w:iCs/>
                <w:noProof/>
                <w:sz w:val="20"/>
              </w:rPr>
              <w:t>hovedpine</w:t>
            </w:r>
          </w:p>
        </w:tc>
        <w:tc>
          <w:tcPr>
            <w:tcW w:w="850" w:type="pct"/>
            <w:tcBorders>
              <w:top w:val="single" w:sz="4" w:space="0" w:color="auto"/>
              <w:left w:val="single" w:sz="4" w:space="0" w:color="auto"/>
              <w:bottom w:val="single" w:sz="4" w:space="0" w:color="auto"/>
              <w:right w:val="single" w:sz="4" w:space="0" w:color="auto"/>
            </w:tcBorders>
          </w:tcPr>
          <w:p w14:paraId="45CFE0AE" w14:textId="77777777" w:rsidR="00C5280D" w:rsidRPr="007B4B68" w:rsidRDefault="00C5280D" w:rsidP="00FD4045">
            <w:pPr>
              <w:rPr>
                <w:iCs/>
                <w:noProof/>
                <w:sz w:val="20"/>
              </w:rPr>
            </w:pPr>
          </w:p>
        </w:tc>
        <w:tc>
          <w:tcPr>
            <w:tcW w:w="568" w:type="pct"/>
            <w:tcBorders>
              <w:top w:val="single" w:sz="4" w:space="0" w:color="auto"/>
              <w:left w:val="single" w:sz="4" w:space="0" w:color="auto"/>
              <w:bottom w:val="single" w:sz="4" w:space="0" w:color="auto"/>
              <w:right w:val="single" w:sz="4" w:space="0" w:color="auto"/>
            </w:tcBorders>
          </w:tcPr>
          <w:p w14:paraId="52EB4F99" w14:textId="77777777" w:rsidR="00C5280D" w:rsidRPr="007B4B68" w:rsidRDefault="00C5280D" w:rsidP="00FD4045">
            <w:pPr>
              <w:rPr>
                <w:iCs/>
                <w:noProof/>
                <w:sz w:val="20"/>
                <w:u w:val="single"/>
              </w:rPr>
            </w:pPr>
          </w:p>
        </w:tc>
        <w:tc>
          <w:tcPr>
            <w:tcW w:w="498" w:type="pct"/>
            <w:tcBorders>
              <w:top w:val="single" w:sz="4" w:space="0" w:color="auto"/>
              <w:left w:val="single" w:sz="4" w:space="0" w:color="auto"/>
              <w:bottom w:val="single" w:sz="4" w:space="0" w:color="auto"/>
              <w:right w:val="single" w:sz="4" w:space="0" w:color="auto"/>
            </w:tcBorders>
          </w:tcPr>
          <w:p w14:paraId="28597900" w14:textId="77777777" w:rsidR="00C5280D" w:rsidRPr="007B4B68" w:rsidRDefault="00C5280D" w:rsidP="00FD4045">
            <w:pPr>
              <w:rPr>
                <w:iCs/>
                <w:noProof/>
                <w:sz w:val="20"/>
                <w:u w:val="single"/>
              </w:rPr>
            </w:pPr>
          </w:p>
        </w:tc>
        <w:tc>
          <w:tcPr>
            <w:tcW w:w="675" w:type="pct"/>
            <w:tcBorders>
              <w:top w:val="single" w:sz="4" w:space="0" w:color="auto"/>
              <w:left w:val="single" w:sz="4" w:space="0" w:color="auto"/>
              <w:bottom w:val="single" w:sz="4" w:space="0" w:color="auto"/>
              <w:right w:val="single" w:sz="4" w:space="0" w:color="auto"/>
            </w:tcBorders>
          </w:tcPr>
          <w:p w14:paraId="0B83B55E" w14:textId="77777777" w:rsidR="00C5280D" w:rsidRPr="007B4B68" w:rsidRDefault="00C5280D" w:rsidP="00FD4045">
            <w:pPr>
              <w:rPr>
                <w:iCs/>
                <w:noProof/>
                <w:sz w:val="20"/>
                <w:u w:val="single"/>
              </w:rPr>
            </w:pPr>
          </w:p>
        </w:tc>
      </w:tr>
      <w:tr w:rsidR="00B4113F" w:rsidRPr="007B4B68" w14:paraId="712C1403" w14:textId="77777777" w:rsidTr="00B4113F">
        <w:tc>
          <w:tcPr>
            <w:tcW w:w="811" w:type="pct"/>
            <w:tcBorders>
              <w:top w:val="single" w:sz="4" w:space="0" w:color="auto"/>
              <w:left w:val="single" w:sz="4" w:space="0" w:color="auto"/>
              <w:bottom w:val="single" w:sz="4" w:space="0" w:color="auto"/>
              <w:right w:val="single" w:sz="4" w:space="0" w:color="auto"/>
            </w:tcBorders>
            <w:hideMark/>
          </w:tcPr>
          <w:p w14:paraId="3FEB0BDB" w14:textId="77777777" w:rsidR="00C5280D" w:rsidRPr="007B4B68" w:rsidRDefault="00C5280D" w:rsidP="00FD4045">
            <w:pPr>
              <w:rPr>
                <w:iCs/>
                <w:noProof/>
                <w:sz w:val="20"/>
              </w:rPr>
            </w:pPr>
            <w:r w:rsidRPr="007B4B68">
              <w:rPr>
                <w:iCs/>
                <w:noProof/>
                <w:sz w:val="20"/>
              </w:rPr>
              <w:t>Vaskulære</w:t>
            </w:r>
          </w:p>
          <w:p w14:paraId="3732B8DC" w14:textId="77777777" w:rsidR="00C5280D" w:rsidRPr="007B4B68" w:rsidRDefault="00C5280D" w:rsidP="00FD4045">
            <w:pPr>
              <w:rPr>
                <w:iCs/>
                <w:noProof/>
                <w:sz w:val="20"/>
              </w:rPr>
            </w:pPr>
            <w:r w:rsidRPr="007B4B68">
              <w:rPr>
                <w:iCs/>
                <w:noProof/>
                <w:sz w:val="20"/>
              </w:rPr>
              <w:t>sygdomme</w:t>
            </w:r>
          </w:p>
        </w:tc>
        <w:tc>
          <w:tcPr>
            <w:tcW w:w="604" w:type="pct"/>
            <w:tcBorders>
              <w:top w:val="single" w:sz="4" w:space="0" w:color="auto"/>
              <w:left w:val="single" w:sz="4" w:space="0" w:color="auto"/>
              <w:bottom w:val="single" w:sz="4" w:space="0" w:color="auto"/>
              <w:right w:val="single" w:sz="4" w:space="0" w:color="auto"/>
            </w:tcBorders>
          </w:tcPr>
          <w:p w14:paraId="2FEAA3C5" w14:textId="77777777" w:rsidR="00C5280D" w:rsidRPr="007B4B68" w:rsidRDefault="00C5280D" w:rsidP="00FD4045">
            <w:pPr>
              <w:rPr>
                <w:iCs/>
                <w:noProof/>
                <w:sz w:val="20"/>
              </w:rPr>
            </w:pPr>
          </w:p>
        </w:tc>
        <w:tc>
          <w:tcPr>
            <w:tcW w:w="993" w:type="pct"/>
            <w:tcBorders>
              <w:top w:val="single" w:sz="4" w:space="0" w:color="auto"/>
              <w:left w:val="single" w:sz="4" w:space="0" w:color="auto"/>
              <w:bottom w:val="single" w:sz="4" w:space="0" w:color="auto"/>
              <w:right w:val="single" w:sz="4" w:space="0" w:color="auto"/>
            </w:tcBorders>
            <w:hideMark/>
          </w:tcPr>
          <w:p w14:paraId="579979DB" w14:textId="77777777" w:rsidR="00C5280D" w:rsidRPr="007B4B68" w:rsidRDefault="00C5280D" w:rsidP="00FD4045">
            <w:pPr>
              <w:rPr>
                <w:iCs/>
                <w:noProof/>
                <w:sz w:val="20"/>
              </w:rPr>
            </w:pPr>
            <w:r w:rsidRPr="007B4B68">
              <w:rPr>
                <w:iCs/>
                <w:noProof/>
                <w:sz w:val="20"/>
              </w:rPr>
              <w:t>Hypotension,</w:t>
            </w:r>
          </w:p>
          <w:p w14:paraId="35E4B6BA" w14:textId="77777777" w:rsidR="00C5280D" w:rsidRPr="007B4B68" w:rsidRDefault="00C5280D" w:rsidP="00FD4045">
            <w:pPr>
              <w:rPr>
                <w:iCs/>
                <w:noProof/>
                <w:sz w:val="20"/>
              </w:rPr>
            </w:pPr>
            <w:r w:rsidRPr="007B4B68">
              <w:rPr>
                <w:iCs/>
                <w:noProof/>
                <w:sz w:val="20"/>
              </w:rPr>
              <w:t>hypertension</w:t>
            </w:r>
          </w:p>
        </w:tc>
        <w:tc>
          <w:tcPr>
            <w:tcW w:w="850" w:type="pct"/>
            <w:tcBorders>
              <w:top w:val="single" w:sz="4" w:space="0" w:color="auto"/>
              <w:left w:val="single" w:sz="4" w:space="0" w:color="auto"/>
              <w:bottom w:val="single" w:sz="4" w:space="0" w:color="auto"/>
              <w:right w:val="single" w:sz="4" w:space="0" w:color="auto"/>
            </w:tcBorders>
            <w:hideMark/>
          </w:tcPr>
          <w:p w14:paraId="2242D431" w14:textId="77777777" w:rsidR="00C5280D" w:rsidRPr="007B4B68" w:rsidRDefault="00C5280D" w:rsidP="00FD4045">
            <w:pPr>
              <w:rPr>
                <w:iCs/>
                <w:noProof/>
                <w:sz w:val="20"/>
              </w:rPr>
            </w:pPr>
            <w:r w:rsidRPr="007B4B68">
              <w:rPr>
                <w:iCs/>
                <w:noProof/>
                <w:sz w:val="20"/>
              </w:rPr>
              <w:t>Ansigtsrødme,</w:t>
            </w:r>
          </w:p>
          <w:p w14:paraId="78D30E60" w14:textId="77777777" w:rsidR="00C5280D" w:rsidRPr="007B4B68" w:rsidRDefault="00C5280D" w:rsidP="00FD4045">
            <w:pPr>
              <w:rPr>
                <w:iCs/>
                <w:noProof/>
                <w:sz w:val="20"/>
              </w:rPr>
            </w:pPr>
            <w:r w:rsidRPr="007B4B68">
              <w:rPr>
                <w:iCs/>
                <w:noProof/>
                <w:sz w:val="20"/>
              </w:rPr>
              <w:t>hedeture</w:t>
            </w:r>
          </w:p>
        </w:tc>
        <w:tc>
          <w:tcPr>
            <w:tcW w:w="568" w:type="pct"/>
            <w:tcBorders>
              <w:top w:val="single" w:sz="4" w:space="0" w:color="auto"/>
              <w:left w:val="single" w:sz="4" w:space="0" w:color="auto"/>
              <w:bottom w:val="single" w:sz="4" w:space="0" w:color="auto"/>
              <w:right w:val="single" w:sz="4" w:space="0" w:color="auto"/>
            </w:tcBorders>
          </w:tcPr>
          <w:p w14:paraId="53DB6A04" w14:textId="77777777" w:rsidR="00C5280D" w:rsidRPr="007B4B68" w:rsidRDefault="00C5280D" w:rsidP="00FD4045">
            <w:pPr>
              <w:rPr>
                <w:iCs/>
                <w:noProof/>
                <w:sz w:val="20"/>
                <w:u w:val="single"/>
              </w:rPr>
            </w:pPr>
          </w:p>
        </w:tc>
        <w:tc>
          <w:tcPr>
            <w:tcW w:w="498" w:type="pct"/>
            <w:tcBorders>
              <w:top w:val="single" w:sz="4" w:space="0" w:color="auto"/>
              <w:left w:val="single" w:sz="4" w:space="0" w:color="auto"/>
              <w:bottom w:val="single" w:sz="4" w:space="0" w:color="auto"/>
              <w:right w:val="single" w:sz="4" w:space="0" w:color="auto"/>
            </w:tcBorders>
          </w:tcPr>
          <w:p w14:paraId="237F0015" w14:textId="77777777" w:rsidR="00C5280D" w:rsidRPr="007B4B68" w:rsidRDefault="00C5280D" w:rsidP="00FD4045">
            <w:pPr>
              <w:rPr>
                <w:iCs/>
                <w:noProof/>
                <w:sz w:val="20"/>
                <w:u w:val="single"/>
              </w:rPr>
            </w:pPr>
          </w:p>
        </w:tc>
        <w:tc>
          <w:tcPr>
            <w:tcW w:w="675" w:type="pct"/>
            <w:tcBorders>
              <w:top w:val="single" w:sz="4" w:space="0" w:color="auto"/>
              <w:left w:val="single" w:sz="4" w:space="0" w:color="auto"/>
              <w:bottom w:val="single" w:sz="4" w:space="0" w:color="auto"/>
              <w:right w:val="single" w:sz="4" w:space="0" w:color="auto"/>
            </w:tcBorders>
          </w:tcPr>
          <w:p w14:paraId="5A32FD4B" w14:textId="77777777" w:rsidR="00C5280D" w:rsidRPr="007B4B68" w:rsidRDefault="00C5280D" w:rsidP="00FD4045">
            <w:pPr>
              <w:rPr>
                <w:iCs/>
                <w:noProof/>
                <w:sz w:val="20"/>
                <w:u w:val="single"/>
              </w:rPr>
            </w:pPr>
          </w:p>
        </w:tc>
      </w:tr>
      <w:tr w:rsidR="00B4113F" w:rsidRPr="007B4B68" w14:paraId="2EBD2748" w14:textId="77777777" w:rsidTr="00B4113F">
        <w:tc>
          <w:tcPr>
            <w:tcW w:w="811" w:type="pct"/>
            <w:tcBorders>
              <w:top w:val="single" w:sz="4" w:space="0" w:color="auto"/>
              <w:left w:val="single" w:sz="4" w:space="0" w:color="auto"/>
              <w:bottom w:val="single" w:sz="4" w:space="0" w:color="auto"/>
              <w:right w:val="single" w:sz="4" w:space="0" w:color="auto"/>
            </w:tcBorders>
            <w:hideMark/>
          </w:tcPr>
          <w:p w14:paraId="4308BB43" w14:textId="77777777" w:rsidR="00C5280D" w:rsidRPr="007B4B68" w:rsidRDefault="00C5280D" w:rsidP="00FD4045">
            <w:pPr>
              <w:rPr>
                <w:iCs/>
                <w:noProof/>
                <w:sz w:val="20"/>
              </w:rPr>
            </w:pPr>
            <w:r w:rsidRPr="007B4B68">
              <w:rPr>
                <w:iCs/>
                <w:noProof/>
                <w:sz w:val="20"/>
              </w:rPr>
              <w:t>Luftveje,</w:t>
            </w:r>
          </w:p>
          <w:p w14:paraId="4104E310" w14:textId="77777777" w:rsidR="00C5280D" w:rsidRPr="007B4B68" w:rsidRDefault="00C5280D" w:rsidP="00FD4045">
            <w:pPr>
              <w:rPr>
                <w:iCs/>
                <w:noProof/>
                <w:sz w:val="20"/>
              </w:rPr>
            </w:pPr>
            <w:r w:rsidRPr="007B4B68">
              <w:rPr>
                <w:iCs/>
                <w:noProof/>
                <w:sz w:val="20"/>
              </w:rPr>
              <w:t>thorax og</w:t>
            </w:r>
          </w:p>
          <w:p w14:paraId="7387C1F6" w14:textId="77777777" w:rsidR="00C5280D" w:rsidRPr="007B4B68" w:rsidRDefault="00C5280D" w:rsidP="00FD4045">
            <w:pPr>
              <w:rPr>
                <w:iCs/>
                <w:noProof/>
                <w:sz w:val="20"/>
              </w:rPr>
            </w:pPr>
            <w:r w:rsidRPr="007B4B68">
              <w:rPr>
                <w:iCs/>
                <w:noProof/>
                <w:sz w:val="20"/>
              </w:rPr>
              <w:t>mediastinum</w:t>
            </w:r>
          </w:p>
        </w:tc>
        <w:tc>
          <w:tcPr>
            <w:tcW w:w="604" w:type="pct"/>
            <w:tcBorders>
              <w:top w:val="single" w:sz="4" w:space="0" w:color="auto"/>
              <w:left w:val="single" w:sz="4" w:space="0" w:color="auto"/>
              <w:bottom w:val="single" w:sz="4" w:space="0" w:color="auto"/>
              <w:right w:val="single" w:sz="4" w:space="0" w:color="auto"/>
            </w:tcBorders>
          </w:tcPr>
          <w:p w14:paraId="3A2902D0" w14:textId="77777777" w:rsidR="00C5280D" w:rsidRPr="007B4B68" w:rsidRDefault="00C5280D" w:rsidP="00FD4045">
            <w:pPr>
              <w:rPr>
                <w:iCs/>
                <w:noProof/>
                <w:sz w:val="20"/>
              </w:rPr>
            </w:pPr>
          </w:p>
        </w:tc>
        <w:tc>
          <w:tcPr>
            <w:tcW w:w="993" w:type="pct"/>
            <w:tcBorders>
              <w:top w:val="single" w:sz="4" w:space="0" w:color="auto"/>
              <w:left w:val="single" w:sz="4" w:space="0" w:color="auto"/>
              <w:bottom w:val="single" w:sz="4" w:space="0" w:color="auto"/>
              <w:right w:val="single" w:sz="4" w:space="0" w:color="auto"/>
            </w:tcBorders>
            <w:hideMark/>
          </w:tcPr>
          <w:p w14:paraId="525DB68F" w14:textId="77777777" w:rsidR="00C5280D" w:rsidRPr="007B4B68" w:rsidRDefault="00C5280D" w:rsidP="00FD4045">
            <w:pPr>
              <w:rPr>
                <w:iCs/>
                <w:noProof/>
                <w:sz w:val="20"/>
              </w:rPr>
            </w:pPr>
            <w:r w:rsidRPr="007B4B68">
              <w:rPr>
                <w:iCs/>
                <w:noProof/>
                <w:sz w:val="20"/>
              </w:rPr>
              <w:t>Bronkospasme,</w:t>
            </w:r>
          </w:p>
          <w:p w14:paraId="70317359" w14:textId="77777777" w:rsidR="00C5280D" w:rsidRPr="007B4B68" w:rsidRDefault="00C5280D" w:rsidP="00FD4045">
            <w:pPr>
              <w:rPr>
                <w:iCs/>
                <w:noProof/>
                <w:sz w:val="20"/>
              </w:rPr>
            </w:pPr>
            <w:r w:rsidRPr="007B4B68">
              <w:rPr>
                <w:iCs/>
                <w:noProof/>
                <w:sz w:val="20"/>
              </w:rPr>
              <w:t>dyspnø</w:t>
            </w:r>
          </w:p>
        </w:tc>
        <w:tc>
          <w:tcPr>
            <w:tcW w:w="850" w:type="pct"/>
            <w:tcBorders>
              <w:top w:val="single" w:sz="4" w:space="0" w:color="auto"/>
              <w:left w:val="single" w:sz="4" w:space="0" w:color="auto"/>
              <w:bottom w:val="single" w:sz="4" w:space="0" w:color="auto"/>
              <w:right w:val="single" w:sz="4" w:space="0" w:color="auto"/>
            </w:tcBorders>
          </w:tcPr>
          <w:p w14:paraId="342310A6" w14:textId="77777777" w:rsidR="00C5280D" w:rsidRPr="007B4B68" w:rsidRDefault="00C5280D" w:rsidP="00FD4045">
            <w:pPr>
              <w:rPr>
                <w:iCs/>
                <w:noProof/>
                <w:sz w:val="20"/>
              </w:rPr>
            </w:pPr>
          </w:p>
        </w:tc>
        <w:tc>
          <w:tcPr>
            <w:tcW w:w="568" w:type="pct"/>
            <w:tcBorders>
              <w:top w:val="single" w:sz="4" w:space="0" w:color="auto"/>
              <w:left w:val="single" w:sz="4" w:space="0" w:color="auto"/>
              <w:bottom w:val="single" w:sz="4" w:space="0" w:color="auto"/>
              <w:right w:val="single" w:sz="4" w:space="0" w:color="auto"/>
            </w:tcBorders>
          </w:tcPr>
          <w:p w14:paraId="404278C3" w14:textId="77777777" w:rsidR="00C5280D" w:rsidRPr="007B4B68" w:rsidRDefault="00C5280D" w:rsidP="00FD4045">
            <w:pPr>
              <w:rPr>
                <w:iCs/>
                <w:noProof/>
                <w:sz w:val="20"/>
                <w:u w:val="single"/>
              </w:rPr>
            </w:pPr>
          </w:p>
        </w:tc>
        <w:tc>
          <w:tcPr>
            <w:tcW w:w="498" w:type="pct"/>
            <w:tcBorders>
              <w:top w:val="single" w:sz="4" w:space="0" w:color="auto"/>
              <w:left w:val="single" w:sz="4" w:space="0" w:color="auto"/>
              <w:bottom w:val="single" w:sz="4" w:space="0" w:color="auto"/>
              <w:right w:val="single" w:sz="4" w:space="0" w:color="auto"/>
            </w:tcBorders>
          </w:tcPr>
          <w:p w14:paraId="511F9D1E" w14:textId="77777777" w:rsidR="00C5280D" w:rsidRPr="007B4B68" w:rsidRDefault="00C5280D" w:rsidP="00FD4045">
            <w:pPr>
              <w:rPr>
                <w:iCs/>
                <w:noProof/>
                <w:sz w:val="20"/>
                <w:u w:val="single"/>
              </w:rPr>
            </w:pPr>
          </w:p>
        </w:tc>
        <w:tc>
          <w:tcPr>
            <w:tcW w:w="675" w:type="pct"/>
            <w:tcBorders>
              <w:top w:val="single" w:sz="4" w:space="0" w:color="auto"/>
              <w:left w:val="single" w:sz="4" w:space="0" w:color="auto"/>
              <w:bottom w:val="single" w:sz="4" w:space="0" w:color="auto"/>
              <w:right w:val="single" w:sz="4" w:space="0" w:color="auto"/>
            </w:tcBorders>
          </w:tcPr>
          <w:p w14:paraId="44DB5E4A" w14:textId="77777777" w:rsidR="00C5280D" w:rsidRPr="007B4B68" w:rsidRDefault="00C5280D" w:rsidP="00FD4045">
            <w:pPr>
              <w:rPr>
                <w:iCs/>
                <w:noProof/>
                <w:sz w:val="20"/>
                <w:u w:val="single"/>
              </w:rPr>
            </w:pPr>
          </w:p>
        </w:tc>
      </w:tr>
      <w:tr w:rsidR="00B4113F" w:rsidRPr="007B4B68" w14:paraId="7062CA12" w14:textId="77777777" w:rsidTr="00B4113F">
        <w:tc>
          <w:tcPr>
            <w:tcW w:w="811" w:type="pct"/>
            <w:tcBorders>
              <w:top w:val="single" w:sz="4" w:space="0" w:color="auto"/>
              <w:left w:val="single" w:sz="4" w:space="0" w:color="auto"/>
              <w:bottom w:val="single" w:sz="4" w:space="0" w:color="auto"/>
              <w:right w:val="single" w:sz="4" w:space="0" w:color="auto"/>
            </w:tcBorders>
            <w:hideMark/>
          </w:tcPr>
          <w:p w14:paraId="2998CC4D" w14:textId="77777777" w:rsidR="00C5280D" w:rsidRPr="007B4B68" w:rsidRDefault="00C5280D" w:rsidP="00FD4045">
            <w:pPr>
              <w:rPr>
                <w:iCs/>
                <w:noProof/>
                <w:sz w:val="20"/>
              </w:rPr>
            </w:pPr>
            <w:r w:rsidRPr="007B4B68">
              <w:rPr>
                <w:iCs/>
                <w:noProof/>
                <w:sz w:val="20"/>
              </w:rPr>
              <w:t>Mave-tarm-kanalen</w:t>
            </w:r>
          </w:p>
        </w:tc>
        <w:tc>
          <w:tcPr>
            <w:tcW w:w="604" w:type="pct"/>
            <w:tcBorders>
              <w:top w:val="single" w:sz="4" w:space="0" w:color="auto"/>
              <w:left w:val="single" w:sz="4" w:space="0" w:color="auto"/>
              <w:bottom w:val="single" w:sz="4" w:space="0" w:color="auto"/>
              <w:right w:val="single" w:sz="4" w:space="0" w:color="auto"/>
            </w:tcBorders>
            <w:hideMark/>
          </w:tcPr>
          <w:p w14:paraId="65E262F6" w14:textId="77777777" w:rsidR="00C5280D" w:rsidRPr="007B4B68" w:rsidRDefault="00C5280D" w:rsidP="00FD4045">
            <w:pPr>
              <w:rPr>
                <w:iCs/>
                <w:noProof/>
                <w:sz w:val="20"/>
              </w:rPr>
            </w:pPr>
            <w:r w:rsidRPr="007B4B68">
              <w:rPr>
                <w:iCs/>
                <w:noProof/>
                <w:sz w:val="20"/>
              </w:rPr>
              <w:t>Diarré,</w:t>
            </w:r>
          </w:p>
          <w:p w14:paraId="38FB7207" w14:textId="77777777" w:rsidR="00C5280D" w:rsidRPr="007B4B68" w:rsidRDefault="00C5280D" w:rsidP="00FD4045">
            <w:pPr>
              <w:rPr>
                <w:iCs/>
                <w:noProof/>
                <w:sz w:val="20"/>
              </w:rPr>
            </w:pPr>
            <w:r w:rsidRPr="007B4B68">
              <w:rPr>
                <w:iCs/>
                <w:noProof/>
                <w:sz w:val="20"/>
              </w:rPr>
              <w:t>kvalme</w:t>
            </w:r>
          </w:p>
        </w:tc>
        <w:tc>
          <w:tcPr>
            <w:tcW w:w="993" w:type="pct"/>
            <w:tcBorders>
              <w:top w:val="single" w:sz="4" w:space="0" w:color="auto"/>
              <w:left w:val="single" w:sz="4" w:space="0" w:color="auto"/>
              <w:bottom w:val="single" w:sz="4" w:space="0" w:color="auto"/>
              <w:right w:val="single" w:sz="4" w:space="0" w:color="auto"/>
            </w:tcBorders>
            <w:hideMark/>
          </w:tcPr>
          <w:p w14:paraId="21523749" w14:textId="77777777" w:rsidR="00C5280D" w:rsidRPr="007B4B68" w:rsidRDefault="00C5280D" w:rsidP="00FD4045">
            <w:pPr>
              <w:rPr>
                <w:iCs/>
                <w:noProof/>
                <w:sz w:val="20"/>
              </w:rPr>
            </w:pPr>
            <w:r w:rsidRPr="007B4B68">
              <w:rPr>
                <w:iCs/>
                <w:noProof/>
                <w:sz w:val="20"/>
              </w:rPr>
              <w:t>Opkastning</w:t>
            </w:r>
          </w:p>
        </w:tc>
        <w:tc>
          <w:tcPr>
            <w:tcW w:w="850" w:type="pct"/>
            <w:tcBorders>
              <w:top w:val="single" w:sz="4" w:space="0" w:color="auto"/>
              <w:left w:val="single" w:sz="4" w:space="0" w:color="auto"/>
              <w:bottom w:val="single" w:sz="4" w:space="0" w:color="auto"/>
              <w:right w:val="single" w:sz="4" w:space="0" w:color="auto"/>
            </w:tcBorders>
            <w:hideMark/>
          </w:tcPr>
          <w:p w14:paraId="6A1F9C98" w14:textId="77777777" w:rsidR="00C5280D" w:rsidRPr="007B4B68" w:rsidRDefault="00C5280D" w:rsidP="00FD4045">
            <w:pPr>
              <w:rPr>
                <w:iCs/>
                <w:noProof/>
                <w:sz w:val="20"/>
              </w:rPr>
            </w:pPr>
            <w:r w:rsidRPr="007B4B68">
              <w:rPr>
                <w:iCs/>
                <w:noProof/>
                <w:sz w:val="20"/>
              </w:rPr>
              <w:t>Øvre abdomi-nalsmerter</w:t>
            </w:r>
          </w:p>
        </w:tc>
        <w:tc>
          <w:tcPr>
            <w:tcW w:w="568" w:type="pct"/>
            <w:tcBorders>
              <w:top w:val="single" w:sz="4" w:space="0" w:color="auto"/>
              <w:left w:val="single" w:sz="4" w:space="0" w:color="auto"/>
              <w:bottom w:val="single" w:sz="4" w:space="0" w:color="auto"/>
              <w:right w:val="single" w:sz="4" w:space="0" w:color="auto"/>
            </w:tcBorders>
          </w:tcPr>
          <w:p w14:paraId="59C77272" w14:textId="77777777" w:rsidR="00C5280D" w:rsidRPr="007B4B68" w:rsidRDefault="00C5280D" w:rsidP="00FD4045">
            <w:pPr>
              <w:rPr>
                <w:iCs/>
                <w:noProof/>
                <w:sz w:val="20"/>
                <w:u w:val="single"/>
              </w:rPr>
            </w:pPr>
          </w:p>
        </w:tc>
        <w:tc>
          <w:tcPr>
            <w:tcW w:w="498" w:type="pct"/>
            <w:tcBorders>
              <w:top w:val="single" w:sz="4" w:space="0" w:color="auto"/>
              <w:left w:val="single" w:sz="4" w:space="0" w:color="auto"/>
              <w:bottom w:val="single" w:sz="4" w:space="0" w:color="auto"/>
              <w:right w:val="single" w:sz="4" w:space="0" w:color="auto"/>
            </w:tcBorders>
          </w:tcPr>
          <w:p w14:paraId="537E6996" w14:textId="77777777" w:rsidR="00C5280D" w:rsidRPr="007B4B68" w:rsidRDefault="00C5280D" w:rsidP="00FD4045">
            <w:pPr>
              <w:rPr>
                <w:iCs/>
                <w:noProof/>
                <w:sz w:val="20"/>
                <w:u w:val="single"/>
              </w:rPr>
            </w:pPr>
          </w:p>
        </w:tc>
        <w:tc>
          <w:tcPr>
            <w:tcW w:w="675" w:type="pct"/>
            <w:tcBorders>
              <w:top w:val="single" w:sz="4" w:space="0" w:color="auto"/>
              <w:left w:val="single" w:sz="4" w:space="0" w:color="auto"/>
              <w:bottom w:val="single" w:sz="4" w:space="0" w:color="auto"/>
              <w:right w:val="single" w:sz="4" w:space="0" w:color="auto"/>
            </w:tcBorders>
          </w:tcPr>
          <w:p w14:paraId="33A58818" w14:textId="77777777" w:rsidR="00C5280D" w:rsidRPr="007B4B68" w:rsidRDefault="00C5280D" w:rsidP="00FD4045">
            <w:pPr>
              <w:rPr>
                <w:iCs/>
                <w:noProof/>
                <w:sz w:val="20"/>
                <w:u w:val="single"/>
              </w:rPr>
            </w:pPr>
          </w:p>
        </w:tc>
      </w:tr>
      <w:tr w:rsidR="00B4113F" w:rsidRPr="007B4B68" w14:paraId="025AF433" w14:textId="77777777" w:rsidTr="00B4113F">
        <w:tc>
          <w:tcPr>
            <w:tcW w:w="811" w:type="pct"/>
            <w:tcBorders>
              <w:top w:val="single" w:sz="4" w:space="0" w:color="auto"/>
              <w:left w:val="single" w:sz="4" w:space="0" w:color="auto"/>
              <w:bottom w:val="single" w:sz="4" w:space="0" w:color="auto"/>
              <w:right w:val="single" w:sz="4" w:space="0" w:color="auto"/>
            </w:tcBorders>
            <w:hideMark/>
          </w:tcPr>
          <w:p w14:paraId="18EF0E13" w14:textId="77777777" w:rsidR="00C5280D" w:rsidRPr="007B4B68" w:rsidRDefault="00C5280D" w:rsidP="00FD4045">
            <w:pPr>
              <w:rPr>
                <w:iCs/>
                <w:noProof/>
                <w:sz w:val="20"/>
              </w:rPr>
            </w:pPr>
            <w:r w:rsidRPr="007B4B68">
              <w:rPr>
                <w:iCs/>
                <w:noProof/>
                <w:sz w:val="20"/>
              </w:rPr>
              <w:t>Lever og</w:t>
            </w:r>
          </w:p>
          <w:p w14:paraId="25FBBA5B" w14:textId="77777777" w:rsidR="00C5280D" w:rsidRPr="007B4B68" w:rsidRDefault="00C5280D" w:rsidP="00FD4045">
            <w:pPr>
              <w:rPr>
                <w:iCs/>
                <w:noProof/>
                <w:sz w:val="20"/>
              </w:rPr>
            </w:pPr>
            <w:r w:rsidRPr="007B4B68">
              <w:rPr>
                <w:iCs/>
                <w:noProof/>
                <w:sz w:val="20"/>
              </w:rPr>
              <w:t>galdeveje</w:t>
            </w:r>
          </w:p>
        </w:tc>
        <w:tc>
          <w:tcPr>
            <w:tcW w:w="604" w:type="pct"/>
            <w:tcBorders>
              <w:top w:val="single" w:sz="4" w:space="0" w:color="auto"/>
              <w:left w:val="single" w:sz="4" w:space="0" w:color="auto"/>
              <w:bottom w:val="single" w:sz="4" w:space="0" w:color="auto"/>
              <w:right w:val="single" w:sz="4" w:space="0" w:color="auto"/>
            </w:tcBorders>
          </w:tcPr>
          <w:p w14:paraId="45290B87" w14:textId="77777777" w:rsidR="00C5280D" w:rsidRPr="007B4B68" w:rsidRDefault="00C5280D" w:rsidP="00FD4045">
            <w:pPr>
              <w:rPr>
                <w:iCs/>
                <w:noProof/>
                <w:sz w:val="20"/>
              </w:rPr>
            </w:pPr>
          </w:p>
        </w:tc>
        <w:tc>
          <w:tcPr>
            <w:tcW w:w="993" w:type="pct"/>
            <w:tcBorders>
              <w:top w:val="single" w:sz="4" w:space="0" w:color="auto"/>
              <w:left w:val="single" w:sz="4" w:space="0" w:color="auto"/>
              <w:bottom w:val="single" w:sz="4" w:space="0" w:color="auto"/>
              <w:right w:val="single" w:sz="4" w:space="0" w:color="auto"/>
            </w:tcBorders>
            <w:hideMark/>
          </w:tcPr>
          <w:p w14:paraId="52AC050C" w14:textId="15E55B23" w:rsidR="00C5280D" w:rsidRPr="007B4B68" w:rsidRDefault="00C5280D" w:rsidP="00FD4045">
            <w:pPr>
              <w:rPr>
                <w:iCs/>
                <w:noProof/>
                <w:sz w:val="20"/>
              </w:rPr>
            </w:pPr>
            <w:r w:rsidRPr="007B4B68">
              <w:rPr>
                <w:iCs/>
                <w:noProof/>
                <w:sz w:val="20"/>
              </w:rPr>
              <w:t>Forhøjet alaninaminotrans</w:t>
            </w:r>
            <w:r w:rsidR="008F0DFF" w:rsidRPr="007B4B68">
              <w:rPr>
                <w:iCs/>
                <w:noProof/>
                <w:sz w:val="20"/>
              </w:rPr>
              <w:softHyphen/>
            </w:r>
            <w:r w:rsidRPr="007B4B68">
              <w:rPr>
                <w:iCs/>
                <w:noProof/>
                <w:sz w:val="20"/>
              </w:rPr>
              <w:t>ferase,</w:t>
            </w:r>
          </w:p>
          <w:p w14:paraId="2C4A7062" w14:textId="77777777" w:rsidR="00C5280D" w:rsidRPr="007B4B68" w:rsidRDefault="00C5280D" w:rsidP="00FD4045">
            <w:pPr>
              <w:rPr>
                <w:iCs/>
                <w:noProof/>
                <w:sz w:val="20"/>
              </w:rPr>
            </w:pPr>
            <w:r w:rsidRPr="007B4B68">
              <w:rPr>
                <w:iCs/>
                <w:noProof/>
                <w:sz w:val="20"/>
              </w:rPr>
              <w:t>forhøjet serum</w:t>
            </w:r>
          </w:p>
          <w:p w14:paraId="3EC61CF8" w14:textId="77777777" w:rsidR="00C5280D" w:rsidRPr="007B4B68" w:rsidRDefault="00C5280D" w:rsidP="00FD4045">
            <w:pPr>
              <w:rPr>
                <w:iCs/>
                <w:noProof/>
                <w:sz w:val="20"/>
              </w:rPr>
            </w:pPr>
            <w:r w:rsidRPr="007B4B68">
              <w:rPr>
                <w:iCs/>
                <w:noProof/>
                <w:sz w:val="20"/>
              </w:rPr>
              <w:t>alkalisk fosfatase,</w:t>
            </w:r>
          </w:p>
          <w:p w14:paraId="515226DE" w14:textId="1AE61E31" w:rsidR="00C5280D" w:rsidRPr="007B4B68" w:rsidRDefault="00C5280D" w:rsidP="00FD4045">
            <w:pPr>
              <w:rPr>
                <w:iCs/>
                <w:noProof/>
                <w:sz w:val="20"/>
              </w:rPr>
            </w:pPr>
            <w:r w:rsidRPr="007B4B68">
              <w:rPr>
                <w:iCs/>
                <w:noProof/>
                <w:sz w:val="20"/>
              </w:rPr>
              <w:t>forhøjet aspartataminotrans</w:t>
            </w:r>
            <w:r w:rsidR="008F0DFF" w:rsidRPr="007B4B68">
              <w:rPr>
                <w:iCs/>
                <w:noProof/>
                <w:sz w:val="20"/>
              </w:rPr>
              <w:softHyphen/>
            </w:r>
            <w:r w:rsidRPr="007B4B68">
              <w:rPr>
                <w:iCs/>
                <w:noProof/>
                <w:sz w:val="20"/>
              </w:rPr>
              <w:t>ferase,</w:t>
            </w:r>
          </w:p>
          <w:p w14:paraId="57A9E525" w14:textId="77777777" w:rsidR="00C5280D" w:rsidRPr="007B4B68" w:rsidRDefault="00C5280D" w:rsidP="00FD4045">
            <w:pPr>
              <w:rPr>
                <w:iCs/>
                <w:noProof/>
                <w:sz w:val="20"/>
              </w:rPr>
            </w:pPr>
            <w:r w:rsidRPr="007B4B68">
              <w:rPr>
                <w:iCs/>
                <w:noProof/>
                <w:sz w:val="20"/>
              </w:rPr>
              <w:t>forhøjet serumbilirubin,</w:t>
            </w:r>
          </w:p>
          <w:p w14:paraId="2BC895C2" w14:textId="77777777" w:rsidR="00C5280D" w:rsidRPr="007B4B68" w:rsidRDefault="00C5280D" w:rsidP="00FD4045">
            <w:pPr>
              <w:rPr>
                <w:iCs/>
                <w:noProof/>
                <w:sz w:val="20"/>
              </w:rPr>
            </w:pPr>
            <w:r w:rsidRPr="007B4B68">
              <w:rPr>
                <w:iCs/>
                <w:noProof/>
                <w:sz w:val="20"/>
              </w:rPr>
              <w:t>kolestase</w:t>
            </w:r>
          </w:p>
        </w:tc>
        <w:tc>
          <w:tcPr>
            <w:tcW w:w="850" w:type="pct"/>
            <w:tcBorders>
              <w:top w:val="single" w:sz="4" w:space="0" w:color="auto"/>
              <w:left w:val="single" w:sz="4" w:space="0" w:color="auto"/>
              <w:bottom w:val="single" w:sz="4" w:space="0" w:color="auto"/>
              <w:right w:val="single" w:sz="4" w:space="0" w:color="auto"/>
            </w:tcBorders>
            <w:hideMark/>
          </w:tcPr>
          <w:p w14:paraId="4925FABC" w14:textId="77777777" w:rsidR="00C5280D" w:rsidRPr="007B4B68" w:rsidRDefault="00C5280D" w:rsidP="00FD4045">
            <w:pPr>
              <w:rPr>
                <w:iCs/>
                <w:noProof/>
                <w:sz w:val="20"/>
              </w:rPr>
            </w:pPr>
            <w:r w:rsidRPr="007B4B68">
              <w:rPr>
                <w:iCs/>
                <w:noProof/>
                <w:sz w:val="20"/>
              </w:rPr>
              <w:t>Forhøjet</w:t>
            </w:r>
          </w:p>
          <w:p w14:paraId="5110CE2B" w14:textId="77777777" w:rsidR="00C5280D" w:rsidRPr="007B4B68" w:rsidRDefault="00C5280D" w:rsidP="00FD4045">
            <w:pPr>
              <w:rPr>
                <w:iCs/>
                <w:noProof/>
                <w:sz w:val="20"/>
              </w:rPr>
            </w:pPr>
            <w:r w:rsidRPr="007B4B68">
              <w:rPr>
                <w:iCs/>
                <w:noProof/>
                <w:sz w:val="20"/>
              </w:rPr>
              <w:t>gammagluta-myltransferase</w:t>
            </w:r>
          </w:p>
        </w:tc>
        <w:tc>
          <w:tcPr>
            <w:tcW w:w="568" w:type="pct"/>
            <w:tcBorders>
              <w:top w:val="single" w:sz="4" w:space="0" w:color="auto"/>
              <w:left w:val="single" w:sz="4" w:space="0" w:color="auto"/>
              <w:bottom w:val="single" w:sz="4" w:space="0" w:color="auto"/>
              <w:right w:val="single" w:sz="4" w:space="0" w:color="auto"/>
            </w:tcBorders>
          </w:tcPr>
          <w:p w14:paraId="0CC23997" w14:textId="77777777" w:rsidR="00C5280D" w:rsidRPr="007B4B68" w:rsidRDefault="00C5280D" w:rsidP="00FD4045">
            <w:pPr>
              <w:rPr>
                <w:iCs/>
                <w:noProof/>
                <w:sz w:val="20"/>
                <w:u w:val="single"/>
              </w:rPr>
            </w:pPr>
          </w:p>
        </w:tc>
        <w:tc>
          <w:tcPr>
            <w:tcW w:w="498" w:type="pct"/>
            <w:tcBorders>
              <w:top w:val="single" w:sz="4" w:space="0" w:color="auto"/>
              <w:left w:val="single" w:sz="4" w:space="0" w:color="auto"/>
              <w:bottom w:val="single" w:sz="4" w:space="0" w:color="auto"/>
              <w:right w:val="single" w:sz="4" w:space="0" w:color="auto"/>
            </w:tcBorders>
          </w:tcPr>
          <w:p w14:paraId="122813E6" w14:textId="77777777" w:rsidR="00C5280D" w:rsidRPr="007B4B68" w:rsidRDefault="00C5280D" w:rsidP="00FD4045">
            <w:pPr>
              <w:rPr>
                <w:iCs/>
                <w:noProof/>
                <w:sz w:val="20"/>
                <w:u w:val="single"/>
              </w:rPr>
            </w:pPr>
          </w:p>
        </w:tc>
        <w:tc>
          <w:tcPr>
            <w:tcW w:w="675" w:type="pct"/>
            <w:tcBorders>
              <w:top w:val="single" w:sz="4" w:space="0" w:color="auto"/>
              <w:left w:val="single" w:sz="4" w:space="0" w:color="auto"/>
              <w:bottom w:val="single" w:sz="4" w:space="0" w:color="auto"/>
              <w:right w:val="single" w:sz="4" w:space="0" w:color="auto"/>
            </w:tcBorders>
          </w:tcPr>
          <w:p w14:paraId="26902151" w14:textId="77777777" w:rsidR="00C5280D" w:rsidRPr="007B4B68" w:rsidRDefault="00C5280D" w:rsidP="00FD4045">
            <w:pPr>
              <w:rPr>
                <w:iCs/>
                <w:noProof/>
                <w:sz w:val="20"/>
                <w:u w:val="single"/>
              </w:rPr>
            </w:pPr>
          </w:p>
        </w:tc>
      </w:tr>
      <w:tr w:rsidR="00B4113F" w:rsidRPr="007B4B68" w14:paraId="0EA3151E" w14:textId="77777777" w:rsidTr="00B4113F">
        <w:tc>
          <w:tcPr>
            <w:tcW w:w="811" w:type="pct"/>
            <w:tcBorders>
              <w:top w:val="single" w:sz="4" w:space="0" w:color="auto"/>
              <w:left w:val="single" w:sz="4" w:space="0" w:color="auto"/>
              <w:bottom w:val="single" w:sz="4" w:space="0" w:color="auto"/>
              <w:right w:val="single" w:sz="4" w:space="0" w:color="auto"/>
            </w:tcBorders>
          </w:tcPr>
          <w:p w14:paraId="7656FED9" w14:textId="77777777" w:rsidR="00C5280D" w:rsidRPr="007B4B68" w:rsidRDefault="00C5280D" w:rsidP="00FD4045">
            <w:pPr>
              <w:rPr>
                <w:iCs/>
                <w:noProof/>
                <w:sz w:val="20"/>
              </w:rPr>
            </w:pPr>
            <w:r w:rsidRPr="007B4B68">
              <w:rPr>
                <w:iCs/>
                <w:noProof/>
                <w:sz w:val="20"/>
              </w:rPr>
              <w:t>Hud og subkutane væv</w:t>
            </w:r>
          </w:p>
          <w:p w14:paraId="027BBF21" w14:textId="77777777" w:rsidR="00C5280D" w:rsidRPr="007B4B68" w:rsidRDefault="00C5280D" w:rsidP="00FD4045">
            <w:pPr>
              <w:rPr>
                <w:iCs/>
                <w:noProof/>
                <w:sz w:val="20"/>
              </w:rPr>
            </w:pPr>
          </w:p>
        </w:tc>
        <w:tc>
          <w:tcPr>
            <w:tcW w:w="604" w:type="pct"/>
            <w:tcBorders>
              <w:top w:val="single" w:sz="4" w:space="0" w:color="auto"/>
              <w:left w:val="single" w:sz="4" w:space="0" w:color="auto"/>
              <w:bottom w:val="single" w:sz="4" w:space="0" w:color="auto"/>
              <w:right w:val="single" w:sz="4" w:space="0" w:color="auto"/>
            </w:tcBorders>
          </w:tcPr>
          <w:p w14:paraId="605FF595" w14:textId="77777777" w:rsidR="00C5280D" w:rsidRPr="007B4B68" w:rsidRDefault="00C5280D" w:rsidP="00FD4045">
            <w:pPr>
              <w:rPr>
                <w:iCs/>
                <w:noProof/>
                <w:sz w:val="20"/>
              </w:rPr>
            </w:pPr>
          </w:p>
        </w:tc>
        <w:tc>
          <w:tcPr>
            <w:tcW w:w="993" w:type="pct"/>
            <w:tcBorders>
              <w:top w:val="single" w:sz="4" w:space="0" w:color="auto"/>
              <w:left w:val="single" w:sz="4" w:space="0" w:color="auto"/>
              <w:bottom w:val="single" w:sz="4" w:space="0" w:color="auto"/>
              <w:right w:val="single" w:sz="4" w:space="0" w:color="auto"/>
            </w:tcBorders>
            <w:hideMark/>
          </w:tcPr>
          <w:p w14:paraId="5C5D2F7E" w14:textId="77777777" w:rsidR="00C5280D" w:rsidRPr="007B4B68" w:rsidRDefault="00C5280D" w:rsidP="00FD4045">
            <w:pPr>
              <w:rPr>
                <w:iCs/>
                <w:noProof/>
                <w:sz w:val="20"/>
              </w:rPr>
            </w:pPr>
            <w:r w:rsidRPr="007B4B68">
              <w:rPr>
                <w:iCs/>
                <w:noProof/>
                <w:sz w:val="20"/>
              </w:rPr>
              <w:t>Udslæt, pruritus</w:t>
            </w:r>
          </w:p>
        </w:tc>
        <w:tc>
          <w:tcPr>
            <w:tcW w:w="850" w:type="pct"/>
            <w:tcBorders>
              <w:top w:val="single" w:sz="4" w:space="0" w:color="auto"/>
              <w:left w:val="single" w:sz="4" w:space="0" w:color="auto"/>
              <w:bottom w:val="single" w:sz="4" w:space="0" w:color="auto"/>
              <w:right w:val="single" w:sz="4" w:space="0" w:color="auto"/>
            </w:tcBorders>
            <w:hideMark/>
          </w:tcPr>
          <w:p w14:paraId="7DF3E7DC" w14:textId="77777777" w:rsidR="00C5280D" w:rsidRPr="007B4B68" w:rsidRDefault="00C5280D" w:rsidP="00FD4045">
            <w:pPr>
              <w:rPr>
                <w:iCs/>
                <w:noProof/>
                <w:sz w:val="20"/>
              </w:rPr>
            </w:pPr>
            <w:r w:rsidRPr="007B4B68">
              <w:rPr>
                <w:iCs/>
                <w:noProof/>
                <w:sz w:val="20"/>
              </w:rPr>
              <w:t>Urticaria</w:t>
            </w:r>
          </w:p>
        </w:tc>
        <w:tc>
          <w:tcPr>
            <w:tcW w:w="568" w:type="pct"/>
            <w:tcBorders>
              <w:top w:val="single" w:sz="4" w:space="0" w:color="auto"/>
              <w:left w:val="single" w:sz="4" w:space="0" w:color="auto"/>
              <w:bottom w:val="single" w:sz="4" w:space="0" w:color="auto"/>
              <w:right w:val="single" w:sz="4" w:space="0" w:color="auto"/>
            </w:tcBorders>
          </w:tcPr>
          <w:p w14:paraId="1112E321" w14:textId="77777777" w:rsidR="00C5280D" w:rsidRPr="007B4B68" w:rsidRDefault="00C5280D" w:rsidP="00FD4045">
            <w:pPr>
              <w:rPr>
                <w:iCs/>
                <w:noProof/>
                <w:sz w:val="20"/>
                <w:u w:val="single"/>
              </w:rPr>
            </w:pPr>
          </w:p>
        </w:tc>
        <w:tc>
          <w:tcPr>
            <w:tcW w:w="498" w:type="pct"/>
            <w:tcBorders>
              <w:top w:val="single" w:sz="4" w:space="0" w:color="auto"/>
              <w:left w:val="single" w:sz="4" w:space="0" w:color="auto"/>
              <w:bottom w:val="single" w:sz="4" w:space="0" w:color="auto"/>
              <w:right w:val="single" w:sz="4" w:space="0" w:color="auto"/>
            </w:tcBorders>
          </w:tcPr>
          <w:p w14:paraId="1CA01460" w14:textId="77777777" w:rsidR="00C5280D" w:rsidRPr="007B4B68" w:rsidRDefault="00C5280D" w:rsidP="00FD4045">
            <w:pPr>
              <w:rPr>
                <w:iCs/>
                <w:noProof/>
                <w:sz w:val="20"/>
                <w:u w:val="single"/>
              </w:rPr>
            </w:pPr>
          </w:p>
        </w:tc>
        <w:tc>
          <w:tcPr>
            <w:tcW w:w="675" w:type="pct"/>
            <w:tcBorders>
              <w:top w:val="single" w:sz="4" w:space="0" w:color="auto"/>
              <w:left w:val="single" w:sz="4" w:space="0" w:color="auto"/>
              <w:bottom w:val="single" w:sz="4" w:space="0" w:color="auto"/>
              <w:right w:val="single" w:sz="4" w:space="0" w:color="auto"/>
            </w:tcBorders>
          </w:tcPr>
          <w:p w14:paraId="443A60DF" w14:textId="77777777" w:rsidR="00C5280D" w:rsidRPr="007B4B68" w:rsidRDefault="00C5280D" w:rsidP="00FD4045">
            <w:pPr>
              <w:rPr>
                <w:iCs/>
                <w:noProof/>
                <w:sz w:val="20"/>
                <w:u w:val="single"/>
              </w:rPr>
            </w:pPr>
          </w:p>
        </w:tc>
      </w:tr>
      <w:tr w:rsidR="00B4113F" w:rsidRPr="007B4B68" w14:paraId="113F95DF" w14:textId="77777777" w:rsidTr="00B4113F">
        <w:tc>
          <w:tcPr>
            <w:tcW w:w="811" w:type="pct"/>
            <w:tcBorders>
              <w:top w:val="single" w:sz="4" w:space="0" w:color="auto"/>
              <w:left w:val="single" w:sz="4" w:space="0" w:color="auto"/>
              <w:bottom w:val="single" w:sz="4" w:space="0" w:color="auto"/>
              <w:right w:val="single" w:sz="4" w:space="0" w:color="auto"/>
            </w:tcBorders>
            <w:hideMark/>
          </w:tcPr>
          <w:p w14:paraId="216DEC07" w14:textId="77777777" w:rsidR="00C5280D" w:rsidRPr="007B4B68" w:rsidRDefault="00C5280D" w:rsidP="00FD4045">
            <w:pPr>
              <w:rPr>
                <w:iCs/>
                <w:noProof/>
                <w:sz w:val="20"/>
              </w:rPr>
            </w:pPr>
            <w:r w:rsidRPr="007B4B68">
              <w:rPr>
                <w:iCs/>
                <w:noProof/>
                <w:sz w:val="20"/>
              </w:rPr>
              <w:t>Nyrer og</w:t>
            </w:r>
          </w:p>
          <w:p w14:paraId="11049100" w14:textId="77777777" w:rsidR="00C5280D" w:rsidRPr="007B4B68" w:rsidRDefault="00C5280D" w:rsidP="00FD4045">
            <w:pPr>
              <w:rPr>
                <w:iCs/>
                <w:noProof/>
                <w:sz w:val="20"/>
              </w:rPr>
            </w:pPr>
            <w:r w:rsidRPr="007B4B68">
              <w:rPr>
                <w:iCs/>
                <w:noProof/>
                <w:sz w:val="20"/>
              </w:rPr>
              <w:t>urinveje</w:t>
            </w:r>
          </w:p>
        </w:tc>
        <w:tc>
          <w:tcPr>
            <w:tcW w:w="604" w:type="pct"/>
            <w:tcBorders>
              <w:top w:val="single" w:sz="4" w:space="0" w:color="auto"/>
              <w:left w:val="single" w:sz="4" w:space="0" w:color="auto"/>
              <w:bottom w:val="single" w:sz="4" w:space="0" w:color="auto"/>
              <w:right w:val="single" w:sz="4" w:space="0" w:color="auto"/>
            </w:tcBorders>
          </w:tcPr>
          <w:p w14:paraId="773B7946" w14:textId="77777777" w:rsidR="00C5280D" w:rsidRPr="007B4B68" w:rsidRDefault="00C5280D" w:rsidP="00FD4045">
            <w:pPr>
              <w:rPr>
                <w:iCs/>
                <w:noProof/>
                <w:sz w:val="20"/>
              </w:rPr>
            </w:pPr>
          </w:p>
        </w:tc>
        <w:tc>
          <w:tcPr>
            <w:tcW w:w="993" w:type="pct"/>
            <w:tcBorders>
              <w:top w:val="single" w:sz="4" w:space="0" w:color="auto"/>
              <w:left w:val="single" w:sz="4" w:space="0" w:color="auto"/>
              <w:bottom w:val="single" w:sz="4" w:space="0" w:color="auto"/>
              <w:right w:val="single" w:sz="4" w:space="0" w:color="auto"/>
            </w:tcBorders>
            <w:hideMark/>
          </w:tcPr>
          <w:p w14:paraId="3FA86F30" w14:textId="77777777" w:rsidR="00C5280D" w:rsidRPr="007B4B68" w:rsidRDefault="00C5280D" w:rsidP="00FD4045">
            <w:pPr>
              <w:rPr>
                <w:iCs/>
                <w:noProof/>
                <w:sz w:val="20"/>
              </w:rPr>
            </w:pPr>
            <w:r w:rsidRPr="007B4B68">
              <w:rPr>
                <w:iCs/>
                <w:noProof/>
                <w:sz w:val="20"/>
              </w:rPr>
              <w:t>Forhøjet</w:t>
            </w:r>
          </w:p>
          <w:p w14:paraId="3BBE488C" w14:textId="77777777" w:rsidR="00C5280D" w:rsidRPr="007B4B68" w:rsidRDefault="00C5280D" w:rsidP="00FD4045">
            <w:pPr>
              <w:rPr>
                <w:iCs/>
                <w:noProof/>
                <w:sz w:val="20"/>
              </w:rPr>
            </w:pPr>
            <w:r w:rsidRPr="007B4B68">
              <w:rPr>
                <w:iCs/>
                <w:noProof/>
                <w:sz w:val="20"/>
              </w:rPr>
              <w:t>serumkreatinin</w:t>
            </w:r>
          </w:p>
        </w:tc>
        <w:tc>
          <w:tcPr>
            <w:tcW w:w="850" w:type="pct"/>
            <w:tcBorders>
              <w:top w:val="single" w:sz="4" w:space="0" w:color="auto"/>
              <w:left w:val="single" w:sz="4" w:space="0" w:color="auto"/>
              <w:bottom w:val="single" w:sz="4" w:space="0" w:color="auto"/>
              <w:right w:val="single" w:sz="4" w:space="0" w:color="auto"/>
            </w:tcBorders>
          </w:tcPr>
          <w:p w14:paraId="0DF200F9" w14:textId="77777777" w:rsidR="00C5280D" w:rsidRPr="007B4B68" w:rsidRDefault="00C5280D" w:rsidP="00FD4045">
            <w:pPr>
              <w:rPr>
                <w:iCs/>
                <w:noProof/>
                <w:sz w:val="20"/>
              </w:rPr>
            </w:pPr>
          </w:p>
        </w:tc>
        <w:tc>
          <w:tcPr>
            <w:tcW w:w="568" w:type="pct"/>
            <w:tcBorders>
              <w:top w:val="single" w:sz="4" w:space="0" w:color="auto"/>
              <w:left w:val="single" w:sz="4" w:space="0" w:color="auto"/>
              <w:bottom w:val="single" w:sz="4" w:space="0" w:color="auto"/>
              <w:right w:val="single" w:sz="4" w:space="0" w:color="auto"/>
            </w:tcBorders>
          </w:tcPr>
          <w:p w14:paraId="181C0955" w14:textId="77777777" w:rsidR="00C5280D" w:rsidRPr="007B4B68" w:rsidRDefault="00C5280D" w:rsidP="00FD4045">
            <w:pPr>
              <w:rPr>
                <w:iCs/>
                <w:noProof/>
                <w:sz w:val="20"/>
                <w:u w:val="single"/>
              </w:rPr>
            </w:pPr>
          </w:p>
        </w:tc>
        <w:tc>
          <w:tcPr>
            <w:tcW w:w="498" w:type="pct"/>
            <w:tcBorders>
              <w:top w:val="single" w:sz="4" w:space="0" w:color="auto"/>
              <w:left w:val="single" w:sz="4" w:space="0" w:color="auto"/>
              <w:bottom w:val="single" w:sz="4" w:space="0" w:color="auto"/>
              <w:right w:val="single" w:sz="4" w:space="0" w:color="auto"/>
            </w:tcBorders>
          </w:tcPr>
          <w:p w14:paraId="069EB030" w14:textId="77777777" w:rsidR="00C5280D" w:rsidRPr="007B4B68" w:rsidRDefault="00C5280D" w:rsidP="00FD4045">
            <w:pPr>
              <w:rPr>
                <w:iCs/>
                <w:noProof/>
                <w:sz w:val="20"/>
                <w:u w:val="single"/>
              </w:rPr>
            </w:pPr>
          </w:p>
        </w:tc>
        <w:tc>
          <w:tcPr>
            <w:tcW w:w="675" w:type="pct"/>
            <w:tcBorders>
              <w:top w:val="single" w:sz="4" w:space="0" w:color="auto"/>
              <w:left w:val="single" w:sz="4" w:space="0" w:color="auto"/>
              <w:bottom w:val="single" w:sz="4" w:space="0" w:color="auto"/>
              <w:right w:val="single" w:sz="4" w:space="0" w:color="auto"/>
            </w:tcBorders>
          </w:tcPr>
          <w:p w14:paraId="10D9DEA8" w14:textId="77777777" w:rsidR="00C5280D" w:rsidRPr="007B4B68" w:rsidRDefault="00C5280D" w:rsidP="00FD4045">
            <w:pPr>
              <w:rPr>
                <w:iCs/>
                <w:noProof/>
                <w:sz w:val="20"/>
                <w:u w:val="single"/>
              </w:rPr>
            </w:pPr>
          </w:p>
        </w:tc>
      </w:tr>
      <w:tr w:rsidR="00B4113F" w:rsidRPr="007B4B68" w14:paraId="252FFBE9" w14:textId="77777777" w:rsidTr="00B4113F">
        <w:tc>
          <w:tcPr>
            <w:tcW w:w="811" w:type="pct"/>
            <w:tcBorders>
              <w:top w:val="single" w:sz="4" w:space="0" w:color="auto"/>
              <w:left w:val="single" w:sz="4" w:space="0" w:color="auto"/>
              <w:bottom w:val="single" w:sz="4" w:space="0" w:color="auto"/>
              <w:right w:val="single" w:sz="4" w:space="0" w:color="auto"/>
            </w:tcBorders>
            <w:hideMark/>
          </w:tcPr>
          <w:p w14:paraId="4F654063" w14:textId="77777777" w:rsidR="00C5280D" w:rsidRPr="007B4B68" w:rsidRDefault="00C5280D" w:rsidP="00FD4045">
            <w:pPr>
              <w:rPr>
                <w:iCs/>
                <w:noProof/>
                <w:sz w:val="20"/>
              </w:rPr>
            </w:pPr>
            <w:r w:rsidRPr="007B4B68">
              <w:rPr>
                <w:iCs/>
                <w:noProof/>
                <w:sz w:val="20"/>
              </w:rPr>
              <w:t>Almene</w:t>
            </w:r>
          </w:p>
          <w:p w14:paraId="7A63EE87" w14:textId="77777777" w:rsidR="00C5280D" w:rsidRPr="007B4B68" w:rsidRDefault="00C5280D" w:rsidP="00FD4045">
            <w:pPr>
              <w:rPr>
                <w:iCs/>
                <w:noProof/>
                <w:sz w:val="20"/>
              </w:rPr>
            </w:pPr>
            <w:r w:rsidRPr="007B4B68">
              <w:rPr>
                <w:iCs/>
                <w:noProof/>
                <w:sz w:val="20"/>
              </w:rPr>
              <w:t>symptomer og</w:t>
            </w:r>
          </w:p>
          <w:p w14:paraId="66C2A5B4" w14:textId="77777777" w:rsidR="00C5280D" w:rsidRPr="007B4B68" w:rsidRDefault="00C5280D" w:rsidP="00FD4045">
            <w:pPr>
              <w:rPr>
                <w:iCs/>
                <w:noProof/>
                <w:sz w:val="20"/>
              </w:rPr>
            </w:pPr>
            <w:r w:rsidRPr="007B4B68">
              <w:rPr>
                <w:iCs/>
                <w:noProof/>
                <w:sz w:val="20"/>
              </w:rPr>
              <w:t>reaktioner på</w:t>
            </w:r>
          </w:p>
          <w:p w14:paraId="545BE38C" w14:textId="77777777" w:rsidR="00C5280D" w:rsidRPr="007B4B68" w:rsidRDefault="00C5280D" w:rsidP="00FD4045">
            <w:pPr>
              <w:rPr>
                <w:iCs/>
                <w:noProof/>
                <w:sz w:val="20"/>
              </w:rPr>
            </w:pPr>
            <w:r w:rsidRPr="007B4B68">
              <w:rPr>
                <w:iCs/>
                <w:noProof/>
                <w:sz w:val="20"/>
              </w:rPr>
              <w:t>administration</w:t>
            </w:r>
          </w:p>
          <w:p w14:paraId="6435670C" w14:textId="77777777" w:rsidR="00C5280D" w:rsidRPr="007B4B68" w:rsidRDefault="00C5280D" w:rsidP="00FD4045">
            <w:pPr>
              <w:rPr>
                <w:iCs/>
                <w:noProof/>
                <w:sz w:val="20"/>
              </w:rPr>
            </w:pPr>
            <w:r w:rsidRPr="007B4B68">
              <w:rPr>
                <w:iCs/>
                <w:noProof/>
                <w:sz w:val="20"/>
              </w:rPr>
              <w:t>sstedet</w:t>
            </w:r>
          </w:p>
        </w:tc>
        <w:tc>
          <w:tcPr>
            <w:tcW w:w="604" w:type="pct"/>
            <w:tcBorders>
              <w:top w:val="single" w:sz="4" w:space="0" w:color="auto"/>
              <w:left w:val="single" w:sz="4" w:space="0" w:color="auto"/>
              <w:bottom w:val="single" w:sz="4" w:space="0" w:color="auto"/>
              <w:right w:val="single" w:sz="4" w:space="0" w:color="auto"/>
            </w:tcBorders>
          </w:tcPr>
          <w:p w14:paraId="6FBF147E" w14:textId="77777777" w:rsidR="00C5280D" w:rsidRPr="007B4B68" w:rsidRDefault="00C5280D" w:rsidP="00FD4045">
            <w:pPr>
              <w:rPr>
                <w:iCs/>
                <w:noProof/>
                <w:sz w:val="20"/>
              </w:rPr>
            </w:pPr>
          </w:p>
        </w:tc>
        <w:tc>
          <w:tcPr>
            <w:tcW w:w="993" w:type="pct"/>
            <w:tcBorders>
              <w:top w:val="single" w:sz="4" w:space="0" w:color="auto"/>
              <w:left w:val="single" w:sz="4" w:space="0" w:color="auto"/>
              <w:bottom w:val="single" w:sz="4" w:space="0" w:color="auto"/>
              <w:right w:val="single" w:sz="4" w:space="0" w:color="auto"/>
            </w:tcBorders>
          </w:tcPr>
          <w:p w14:paraId="10821D83" w14:textId="77777777" w:rsidR="00C5280D" w:rsidRPr="007B4B68" w:rsidRDefault="00C5280D" w:rsidP="00FD4045">
            <w:pPr>
              <w:rPr>
                <w:iCs/>
                <w:noProof/>
                <w:sz w:val="20"/>
              </w:rPr>
            </w:pPr>
          </w:p>
        </w:tc>
        <w:tc>
          <w:tcPr>
            <w:tcW w:w="850" w:type="pct"/>
            <w:tcBorders>
              <w:top w:val="single" w:sz="4" w:space="0" w:color="auto"/>
              <w:left w:val="single" w:sz="4" w:space="0" w:color="auto"/>
              <w:bottom w:val="single" w:sz="4" w:space="0" w:color="auto"/>
              <w:right w:val="single" w:sz="4" w:space="0" w:color="auto"/>
            </w:tcBorders>
            <w:hideMark/>
          </w:tcPr>
          <w:p w14:paraId="6AB2E841" w14:textId="77777777" w:rsidR="00C5280D" w:rsidRPr="007B4B68" w:rsidRDefault="00C5280D" w:rsidP="00FD4045">
            <w:pPr>
              <w:rPr>
                <w:iCs/>
                <w:noProof/>
                <w:sz w:val="20"/>
              </w:rPr>
            </w:pPr>
            <w:r w:rsidRPr="007B4B68">
              <w:rPr>
                <w:iCs/>
                <w:noProof/>
                <w:sz w:val="20"/>
              </w:rPr>
              <w:t>Smerter på</w:t>
            </w:r>
          </w:p>
          <w:p w14:paraId="6C84F242" w14:textId="77777777" w:rsidR="00C5280D" w:rsidRPr="007B4B68" w:rsidRDefault="00C5280D" w:rsidP="00FD4045">
            <w:pPr>
              <w:rPr>
                <w:iCs/>
                <w:noProof/>
                <w:sz w:val="20"/>
              </w:rPr>
            </w:pPr>
            <w:r w:rsidRPr="007B4B68">
              <w:rPr>
                <w:iCs/>
                <w:noProof/>
                <w:sz w:val="20"/>
              </w:rPr>
              <w:t>infusionsstedet</w:t>
            </w:r>
          </w:p>
        </w:tc>
        <w:tc>
          <w:tcPr>
            <w:tcW w:w="568" w:type="pct"/>
            <w:tcBorders>
              <w:top w:val="single" w:sz="4" w:space="0" w:color="auto"/>
              <w:left w:val="single" w:sz="4" w:space="0" w:color="auto"/>
              <w:bottom w:val="single" w:sz="4" w:space="0" w:color="auto"/>
              <w:right w:val="single" w:sz="4" w:space="0" w:color="auto"/>
            </w:tcBorders>
          </w:tcPr>
          <w:p w14:paraId="434EB65A" w14:textId="77777777" w:rsidR="00C5280D" w:rsidRPr="007B4B68" w:rsidRDefault="00C5280D" w:rsidP="00FD4045">
            <w:pPr>
              <w:rPr>
                <w:iCs/>
                <w:noProof/>
                <w:sz w:val="20"/>
                <w:u w:val="single"/>
              </w:rPr>
            </w:pPr>
          </w:p>
        </w:tc>
        <w:tc>
          <w:tcPr>
            <w:tcW w:w="498" w:type="pct"/>
            <w:tcBorders>
              <w:top w:val="single" w:sz="4" w:space="0" w:color="auto"/>
              <w:left w:val="single" w:sz="4" w:space="0" w:color="auto"/>
              <w:bottom w:val="single" w:sz="4" w:space="0" w:color="auto"/>
              <w:right w:val="single" w:sz="4" w:space="0" w:color="auto"/>
            </w:tcBorders>
          </w:tcPr>
          <w:p w14:paraId="3DB67595" w14:textId="77777777" w:rsidR="00C5280D" w:rsidRPr="007B4B68" w:rsidRDefault="00C5280D" w:rsidP="00FD4045">
            <w:pPr>
              <w:rPr>
                <w:iCs/>
                <w:noProof/>
                <w:sz w:val="20"/>
                <w:u w:val="single"/>
              </w:rPr>
            </w:pPr>
          </w:p>
        </w:tc>
        <w:tc>
          <w:tcPr>
            <w:tcW w:w="675" w:type="pct"/>
            <w:tcBorders>
              <w:top w:val="single" w:sz="4" w:space="0" w:color="auto"/>
              <w:left w:val="single" w:sz="4" w:space="0" w:color="auto"/>
              <w:bottom w:val="single" w:sz="4" w:space="0" w:color="auto"/>
              <w:right w:val="single" w:sz="4" w:space="0" w:color="auto"/>
            </w:tcBorders>
          </w:tcPr>
          <w:p w14:paraId="1BC9BBA2" w14:textId="77777777" w:rsidR="00C5280D" w:rsidRPr="007B4B68" w:rsidRDefault="00C5280D" w:rsidP="00FD4045">
            <w:pPr>
              <w:rPr>
                <w:iCs/>
                <w:noProof/>
                <w:sz w:val="20"/>
                <w:u w:val="single"/>
              </w:rPr>
            </w:pPr>
          </w:p>
        </w:tc>
      </w:tr>
    </w:tbl>
    <w:p w14:paraId="3CDFED1D" w14:textId="625B4287" w:rsidR="00C5280D" w:rsidRDefault="00C5280D" w:rsidP="00977B2E">
      <w:pPr>
        <w:autoSpaceDE w:val="0"/>
        <w:autoSpaceDN w:val="0"/>
        <w:adjustRightInd w:val="0"/>
        <w:ind w:left="851" w:hanging="851"/>
        <w:rPr>
          <w:noProof/>
          <w:sz w:val="24"/>
          <w:szCs w:val="24"/>
        </w:rPr>
      </w:pPr>
      <w:r w:rsidRPr="007B4B68">
        <w:rPr>
          <w:noProof/>
          <w:sz w:val="24"/>
          <w:szCs w:val="24"/>
        </w:rPr>
        <w:t>* Se pkt. 4.4.</w:t>
      </w:r>
    </w:p>
    <w:p w14:paraId="62141E51" w14:textId="38DBEB22" w:rsidR="00A87F93" w:rsidRDefault="00A87F93" w:rsidP="00977B2E">
      <w:pPr>
        <w:autoSpaceDE w:val="0"/>
        <w:autoSpaceDN w:val="0"/>
        <w:adjustRightInd w:val="0"/>
        <w:ind w:left="851" w:hanging="851"/>
        <w:rPr>
          <w:noProof/>
          <w:sz w:val="24"/>
          <w:szCs w:val="24"/>
        </w:rPr>
      </w:pPr>
    </w:p>
    <w:p w14:paraId="7F87E40F" w14:textId="502403B1" w:rsidR="00A87F93" w:rsidRPr="00DE2F8A" w:rsidRDefault="00A87F93" w:rsidP="00A87F93">
      <w:pPr>
        <w:autoSpaceDE w:val="0"/>
        <w:autoSpaceDN w:val="0"/>
        <w:adjustRightInd w:val="0"/>
        <w:rPr>
          <w:noProof/>
          <w:sz w:val="24"/>
          <w:szCs w:val="24"/>
        </w:rPr>
      </w:pPr>
      <w:r w:rsidRPr="00DE2F8A">
        <w:rPr>
          <w:noProof/>
          <w:sz w:val="24"/>
          <w:szCs w:val="24"/>
        </w:rPr>
        <w:t xml:space="preserve">              Pædiatrisk population </w:t>
      </w:r>
    </w:p>
    <w:p w14:paraId="1B450D23" w14:textId="77777777" w:rsidR="00A87F93" w:rsidRPr="00DE2F8A" w:rsidRDefault="00A87F93" w:rsidP="00A87F93">
      <w:pPr>
        <w:autoSpaceDE w:val="0"/>
        <w:autoSpaceDN w:val="0"/>
        <w:adjustRightInd w:val="0"/>
        <w:ind w:left="851"/>
        <w:rPr>
          <w:noProof/>
          <w:sz w:val="24"/>
          <w:szCs w:val="24"/>
        </w:rPr>
      </w:pPr>
      <w:r w:rsidRPr="00DE2F8A">
        <w:rPr>
          <w:noProof/>
          <w:sz w:val="24"/>
          <w:szCs w:val="24"/>
        </w:rPr>
        <w:t>Anidulafungins sikkerhed blev undersøgt hos 68 pædiatriske patienter (1måned til &lt;18år) med ICC i et prospektivt, åbent, ikke-komparativt pædiatrisk studie (se pkt.5.1). Frekvensen for visse hepatobiliære bivirkninger, herunder forøget alaninaminotransferase (ALAT) og forøget aspartataminotransferase (ASAT), optrådte med en højere frekvens (7-10 %) hos disse pædiatriske patienter end observeret hos voksne (2 %). Selvom risikoen for eller forskellene i sværhedsgraden af en underliggende sygdom kan have bidraget, kan det ikke udelukkes, at hepatobiliære bivirkninger forekommer oftere hos pædiatriske patienter sammenlignet med voksne.</w:t>
      </w:r>
    </w:p>
    <w:p w14:paraId="67D84BCB" w14:textId="637C37D0" w:rsidR="00A87F93" w:rsidRPr="007B4B68" w:rsidRDefault="00A87F93" w:rsidP="00977B2E">
      <w:pPr>
        <w:autoSpaceDE w:val="0"/>
        <w:autoSpaceDN w:val="0"/>
        <w:adjustRightInd w:val="0"/>
        <w:ind w:left="851" w:hanging="851"/>
        <w:rPr>
          <w:noProof/>
          <w:sz w:val="24"/>
          <w:szCs w:val="24"/>
        </w:rPr>
      </w:pPr>
      <w:r>
        <w:rPr>
          <w:noProof/>
          <w:sz w:val="24"/>
          <w:szCs w:val="24"/>
        </w:rPr>
        <w:t xml:space="preserve"> </w:t>
      </w:r>
    </w:p>
    <w:p w14:paraId="759858B5" w14:textId="77777777" w:rsidR="00C5280D" w:rsidRPr="007B4B68" w:rsidRDefault="00C5280D" w:rsidP="00977B2E">
      <w:pPr>
        <w:autoSpaceDE w:val="0"/>
        <w:autoSpaceDN w:val="0"/>
        <w:adjustRightInd w:val="0"/>
        <w:ind w:left="851" w:hanging="851"/>
        <w:rPr>
          <w:noProof/>
          <w:sz w:val="24"/>
          <w:szCs w:val="24"/>
          <w:u w:val="single"/>
        </w:rPr>
      </w:pPr>
    </w:p>
    <w:p w14:paraId="70F9A7FA" w14:textId="77777777" w:rsidR="00CA4305" w:rsidRPr="007B4B68" w:rsidRDefault="00CA4305" w:rsidP="00CA4305">
      <w:pPr>
        <w:autoSpaceDE w:val="0"/>
        <w:autoSpaceDN w:val="0"/>
        <w:ind w:left="851"/>
        <w:rPr>
          <w:sz w:val="24"/>
          <w:szCs w:val="24"/>
          <w:u w:val="single"/>
        </w:rPr>
      </w:pPr>
      <w:r w:rsidRPr="007B4B68">
        <w:rPr>
          <w:sz w:val="24"/>
          <w:szCs w:val="24"/>
          <w:u w:val="single"/>
        </w:rPr>
        <w:t>Indberetning af formodede bivirkninger</w:t>
      </w:r>
    </w:p>
    <w:p w14:paraId="7C10F997" w14:textId="77777777" w:rsidR="00DE2F8A" w:rsidRPr="007B4B68" w:rsidRDefault="00DE2F8A" w:rsidP="00DE2F8A">
      <w:pPr>
        <w:ind w:left="851"/>
        <w:rPr>
          <w:sz w:val="24"/>
          <w:szCs w:val="24"/>
        </w:rPr>
      </w:pPr>
      <w:r w:rsidRPr="007B4B68">
        <w:rPr>
          <w:sz w:val="24"/>
          <w:szCs w:val="24"/>
        </w:rPr>
        <w:t>Når lægemidlet er godkendt, er indberetning af formodede bivirkninger vigtig. Det muliggør løbende overvågning af benefit/</w:t>
      </w:r>
      <w:proofErr w:type="spellStart"/>
      <w:r w:rsidRPr="007B4B68">
        <w:rPr>
          <w:sz w:val="24"/>
          <w:szCs w:val="24"/>
        </w:rPr>
        <w:t>risk</w:t>
      </w:r>
      <w:proofErr w:type="spellEnd"/>
      <w:r w:rsidRPr="007B4B68">
        <w:rPr>
          <w:sz w:val="24"/>
          <w:szCs w:val="24"/>
        </w:rPr>
        <w:t xml:space="preserve">-forholdet for lægemidlet. </w:t>
      </w:r>
      <w:r>
        <w:rPr>
          <w:sz w:val="24"/>
          <w:szCs w:val="24"/>
        </w:rPr>
        <w:t xml:space="preserve">Sundhedspersoner </w:t>
      </w:r>
      <w:r w:rsidRPr="007B4B68">
        <w:rPr>
          <w:sz w:val="24"/>
          <w:szCs w:val="24"/>
        </w:rPr>
        <w:t>anmodes om at indberette alle formodede bivirkninger via:</w:t>
      </w:r>
    </w:p>
    <w:p w14:paraId="15AFC546" w14:textId="77777777" w:rsidR="00CA4305" w:rsidRPr="007B4B68" w:rsidRDefault="00CA4305" w:rsidP="00CA4305">
      <w:pPr>
        <w:tabs>
          <w:tab w:val="left" w:pos="2440"/>
        </w:tabs>
        <w:ind w:left="851"/>
        <w:rPr>
          <w:sz w:val="24"/>
          <w:szCs w:val="24"/>
        </w:rPr>
      </w:pPr>
    </w:p>
    <w:p w14:paraId="132FCF9F" w14:textId="77777777" w:rsidR="00CA4305" w:rsidRPr="007B4B68" w:rsidRDefault="00CA4305" w:rsidP="00CA4305">
      <w:pPr>
        <w:ind w:left="851"/>
        <w:rPr>
          <w:sz w:val="24"/>
          <w:szCs w:val="24"/>
        </w:rPr>
      </w:pPr>
      <w:r w:rsidRPr="007B4B68">
        <w:rPr>
          <w:sz w:val="24"/>
          <w:szCs w:val="24"/>
        </w:rPr>
        <w:t>Lægemiddelstyrelsen</w:t>
      </w:r>
    </w:p>
    <w:p w14:paraId="2C3CBB4A" w14:textId="77777777" w:rsidR="00CA4305" w:rsidRPr="007B4B68" w:rsidRDefault="00CA4305" w:rsidP="00CA4305">
      <w:pPr>
        <w:ind w:left="851"/>
        <w:rPr>
          <w:sz w:val="24"/>
          <w:szCs w:val="24"/>
        </w:rPr>
      </w:pPr>
      <w:r w:rsidRPr="007B4B68">
        <w:rPr>
          <w:sz w:val="24"/>
          <w:szCs w:val="24"/>
        </w:rPr>
        <w:t>Axel Heides Gade 1</w:t>
      </w:r>
    </w:p>
    <w:p w14:paraId="30E9C606" w14:textId="77777777" w:rsidR="00CA4305" w:rsidRPr="007B4B68" w:rsidRDefault="00CA4305" w:rsidP="00CA4305">
      <w:pPr>
        <w:ind w:left="851"/>
        <w:rPr>
          <w:sz w:val="24"/>
          <w:szCs w:val="24"/>
        </w:rPr>
      </w:pPr>
      <w:r w:rsidRPr="007B4B68">
        <w:rPr>
          <w:sz w:val="24"/>
          <w:szCs w:val="24"/>
        </w:rPr>
        <w:t>DK-2300 København S</w:t>
      </w:r>
    </w:p>
    <w:p w14:paraId="135E9A3E" w14:textId="77777777" w:rsidR="00CA4305" w:rsidRPr="007B4B68" w:rsidRDefault="00CA4305" w:rsidP="00CA4305">
      <w:pPr>
        <w:ind w:left="851"/>
        <w:rPr>
          <w:sz w:val="24"/>
          <w:szCs w:val="24"/>
        </w:rPr>
      </w:pPr>
      <w:r w:rsidRPr="007B4B68">
        <w:rPr>
          <w:sz w:val="24"/>
          <w:szCs w:val="24"/>
        </w:rPr>
        <w:t xml:space="preserve">Websted: </w:t>
      </w:r>
      <w:hyperlink r:id="rId9" w:history="1">
        <w:r w:rsidRPr="007B4B68">
          <w:rPr>
            <w:rStyle w:val="Hyperlink"/>
            <w:sz w:val="24"/>
            <w:szCs w:val="24"/>
          </w:rPr>
          <w:t>www.meldenbivirkning.dk</w:t>
        </w:r>
      </w:hyperlink>
    </w:p>
    <w:p w14:paraId="5A11D652" w14:textId="77777777" w:rsidR="009260DE" w:rsidRPr="007B4B68" w:rsidRDefault="009260DE" w:rsidP="00C94482">
      <w:pPr>
        <w:pStyle w:val="Sidehoved"/>
        <w:tabs>
          <w:tab w:val="left" w:pos="851"/>
        </w:tabs>
        <w:ind w:left="851"/>
        <w:rPr>
          <w:szCs w:val="24"/>
        </w:rPr>
      </w:pPr>
    </w:p>
    <w:p w14:paraId="7957DCE8" w14:textId="77777777" w:rsidR="009260DE" w:rsidRPr="007B4B68" w:rsidRDefault="009260DE" w:rsidP="00977B2E">
      <w:pPr>
        <w:tabs>
          <w:tab w:val="left" w:pos="851"/>
        </w:tabs>
        <w:ind w:left="851" w:hanging="851"/>
        <w:rPr>
          <w:b/>
          <w:sz w:val="24"/>
          <w:szCs w:val="24"/>
        </w:rPr>
      </w:pPr>
      <w:r w:rsidRPr="007B4B68">
        <w:rPr>
          <w:b/>
          <w:sz w:val="24"/>
          <w:szCs w:val="24"/>
        </w:rPr>
        <w:t>4.9</w:t>
      </w:r>
      <w:r w:rsidRPr="007B4B68">
        <w:rPr>
          <w:b/>
          <w:sz w:val="24"/>
          <w:szCs w:val="24"/>
        </w:rPr>
        <w:tab/>
        <w:t>Overdosering</w:t>
      </w:r>
    </w:p>
    <w:p w14:paraId="57668102" w14:textId="1C7149AB" w:rsidR="00C5280D" w:rsidRPr="007B4B68" w:rsidRDefault="00C5280D" w:rsidP="00CA4305">
      <w:pPr>
        <w:ind w:left="851"/>
        <w:rPr>
          <w:iCs/>
          <w:noProof/>
          <w:sz w:val="24"/>
          <w:szCs w:val="24"/>
        </w:rPr>
      </w:pPr>
      <w:r w:rsidRPr="007B4B68">
        <w:rPr>
          <w:iCs/>
          <w:noProof/>
          <w:sz w:val="24"/>
          <w:szCs w:val="24"/>
        </w:rPr>
        <w:t>Som for enhver overdosering er behandling generelt understøttende efter behov. I tilfælde af</w:t>
      </w:r>
      <w:r w:rsidR="00CA4305" w:rsidRPr="007B4B68">
        <w:rPr>
          <w:iCs/>
          <w:noProof/>
          <w:sz w:val="24"/>
          <w:szCs w:val="24"/>
        </w:rPr>
        <w:t xml:space="preserve"> </w:t>
      </w:r>
      <w:r w:rsidRPr="007B4B68">
        <w:rPr>
          <w:iCs/>
          <w:noProof/>
          <w:sz w:val="24"/>
          <w:szCs w:val="24"/>
        </w:rPr>
        <w:t>overdosering kan de bivirkninger, som er anført i pkt. 4.8, forekomme.</w:t>
      </w:r>
    </w:p>
    <w:p w14:paraId="1270201E" w14:textId="77777777" w:rsidR="00C5280D" w:rsidRPr="007B4B68" w:rsidRDefault="00C5280D" w:rsidP="00CA4305">
      <w:pPr>
        <w:ind w:left="851"/>
        <w:rPr>
          <w:iCs/>
          <w:noProof/>
          <w:sz w:val="24"/>
          <w:szCs w:val="24"/>
        </w:rPr>
      </w:pPr>
    </w:p>
    <w:p w14:paraId="0BFA2562" w14:textId="5FB57F5F" w:rsidR="00C5280D" w:rsidRDefault="00C5280D" w:rsidP="00CA4305">
      <w:pPr>
        <w:ind w:left="851"/>
        <w:rPr>
          <w:iCs/>
          <w:noProof/>
          <w:sz w:val="24"/>
          <w:szCs w:val="24"/>
        </w:rPr>
      </w:pPr>
      <w:r w:rsidRPr="007B4B68">
        <w:rPr>
          <w:iCs/>
          <w:noProof/>
          <w:sz w:val="24"/>
          <w:szCs w:val="24"/>
        </w:rPr>
        <w:t>I kliniske studier er en enkeltdosis på 400 mg ved en fejltagelse blevet givet som initialdosis. Der blev</w:t>
      </w:r>
      <w:r w:rsidR="00CA4305" w:rsidRPr="007B4B68">
        <w:rPr>
          <w:iCs/>
          <w:noProof/>
          <w:sz w:val="24"/>
          <w:szCs w:val="24"/>
        </w:rPr>
        <w:t xml:space="preserve"> </w:t>
      </w:r>
      <w:r w:rsidRPr="007B4B68">
        <w:rPr>
          <w:iCs/>
          <w:noProof/>
          <w:sz w:val="24"/>
          <w:szCs w:val="24"/>
        </w:rPr>
        <w:t>ikke rapporteret om bivirkninger. I et studie med 10 raske forsøgspersoner, der fik en initialdosis på</w:t>
      </w:r>
      <w:r w:rsidR="00CA4305" w:rsidRPr="007B4B68">
        <w:rPr>
          <w:iCs/>
          <w:noProof/>
          <w:sz w:val="24"/>
          <w:szCs w:val="24"/>
        </w:rPr>
        <w:t xml:space="preserve"> </w:t>
      </w:r>
      <w:r w:rsidRPr="007B4B68">
        <w:rPr>
          <w:iCs/>
          <w:noProof/>
          <w:sz w:val="24"/>
          <w:szCs w:val="24"/>
        </w:rPr>
        <w:t>260 mg dagligt og derefter 130 mg dagligt, sås ikke dosisbegrænsende toksicitet. 3 af de 10 forsøgspersoner oplevede forbigående, asymptomatisk transaminasestigning (≤</w:t>
      </w:r>
      <w:r w:rsidR="0063578E">
        <w:rPr>
          <w:iCs/>
          <w:noProof/>
          <w:sz w:val="24"/>
          <w:szCs w:val="24"/>
        </w:rPr>
        <w:t xml:space="preserve"> </w:t>
      </w:r>
      <w:r w:rsidRPr="007B4B68">
        <w:rPr>
          <w:iCs/>
          <w:noProof/>
          <w:sz w:val="24"/>
          <w:szCs w:val="24"/>
        </w:rPr>
        <w:t>3gange den øvre</w:t>
      </w:r>
      <w:r w:rsidR="00CA4305" w:rsidRPr="007B4B68">
        <w:rPr>
          <w:iCs/>
          <w:noProof/>
          <w:sz w:val="24"/>
          <w:szCs w:val="24"/>
        </w:rPr>
        <w:t xml:space="preserve"> </w:t>
      </w:r>
      <w:r w:rsidRPr="007B4B68">
        <w:rPr>
          <w:iCs/>
          <w:noProof/>
          <w:sz w:val="24"/>
          <w:szCs w:val="24"/>
        </w:rPr>
        <w:t>referenceværdi).</w:t>
      </w:r>
    </w:p>
    <w:p w14:paraId="50E45706" w14:textId="4EAABAA7" w:rsidR="00DE2F8A" w:rsidRDefault="00DE2F8A" w:rsidP="00CA4305">
      <w:pPr>
        <w:ind w:left="851"/>
        <w:rPr>
          <w:iCs/>
          <w:noProof/>
          <w:sz w:val="24"/>
          <w:szCs w:val="24"/>
        </w:rPr>
      </w:pPr>
    </w:p>
    <w:p w14:paraId="1D9B2557" w14:textId="77777777" w:rsidR="00DE2F8A" w:rsidRPr="00A65E5F" w:rsidRDefault="00DE2F8A" w:rsidP="00DE2F8A">
      <w:pPr>
        <w:ind w:left="851"/>
        <w:rPr>
          <w:iCs/>
          <w:noProof/>
          <w:sz w:val="24"/>
          <w:szCs w:val="24"/>
        </w:rPr>
      </w:pPr>
      <w:r w:rsidRPr="00A65E5F">
        <w:rPr>
          <w:iCs/>
          <w:noProof/>
          <w:sz w:val="24"/>
          <w:szCs w:val="24"/>
        </w:rPr>
        <w:t>Under et pædiatrisk, klinisk studie fik en patient to doser anidulafungin, der var 143 % af den forventede dosis. Der blev ikke indberettet nogen kliniske bivirkninger.</w:t>
      </w:r>
    </w:p>
    <w:p w14:paraId="786ED33D" w14:textId="77777777" w:rsidR="00DE2F8A" w:rsidRPr="007B4B68" w:rsidRDefault="00DE2F8A" w:rsidP="00CA4305">
      <w:pPr>
        <w:ind w:left="851"/>
        <w:rPr>
          <w:iCs/>
          <w:noProof/>
          <w:sz w:val="24"/>
          <w:szCs w:val="24"/>
        </w:rPr>
      </w:pPr>
    </w:p>
    <w:p w14:paraId="1678CCBD" w14:textId="7B930756" w:rsidR="00C5280D" w:rsidRPr="007B4B68" w:rsidRDefault="00C5280D" w:rsidP="00CA4305">
      <w:pPr>
        <w:ind w:left="851"/>
        <w:rPr>
          <w:iCs/>
          <w:noProof/>
          <w:sz w:val="24"/>
          <w:szCs w:val="24"/>
        </w:rPr>
      </w:pPr>
      <w:proofErr w:type="spellStart"/>
      <w:r w:rsidRPr="007B4B68">
        <w:rPr>
          <w:sz w:val="24"/>
          <w:szCs w:val="24"/>
        </w:rPr>
        <w:t>Anidulafungin</w:t>
      </w:r>
      <w:proofErr w:type="spellEnd"/>
      <w:r w:rsidRPr="007B4B68">
        <w:rPr>
          <w:sz w:val="24"/>
          <w:szCs w:val="24"/>
        </w:rPr>
        <w:t xml:space="preserve"> </w:t>
      </w:r>
      <w:r w:rsidR="002F3582" w:rsidRPr="007B4B68">
        <w:rPr>
          <w:sz w:val="24"/>
          <w:szCs w:val="24"/>
        </w:rPr>
        <w:t>"</w:t>
      </w:r>
      <w:proofErr w:type="spellStart"/>
      <w:r w:rsidR="002F3582" w:rsidRPr="007B4B68">
        <w:rPr>
          <w:sz w:val="24"/>
          <w:szCs w:val="24"/>
        </w:rPr>
        <w:t>Reig</w:t>
      </w:r>
      <w:proofErr w:type="spellEnd"/>
      <w:r w:rsidR="002F3582" w:rsidRPr="007B4B68">
        <w:rPr>
          <w:sz w:val="24"/>
          <w:szCs w:val="24"/>
        </w:rPr>
        <w:t xml:space="preserve"> </w:t>
      </w:r>
      <w:proofErr w:type="spellStart"/>
      <w:r w:rsidR="002F3582" w:rsidRPr="007B4B68">
        <w:rPr>
          <w:sz w:val="24"/>
          <w:szCs w:val="24"/>
        </w:rPr>
        <w:t>Jofre</w:t>
      </w:r>
      <w:proofErr w:type="spellEnd"/>
      <w:r w:rsidR="002F3582" w:rsidRPr="007B4B68">
        <w:rPr>
          <w:sz w:val="24"/>
          <w:szCs w:val="24"/>
        </w:rPr>
        <w:t>"</w:t>
      </w:r>
      <w:r w:rsidRPr="007B4B68">
        <w:rPr>
          <w:sz w:val="24"/>
          <w:szCs w:val="24"/>
        </w:rPr>
        <w:t xml:space="preserve"> </w:t>
      </w:r>
      <w:r w:rsidRPr="007B4B68">
        <w:rPr>
          <w:iCs/>
          <w:noProof/>
          <w:sz w:val="24"/>
          <w:szCs w:val="24"/>
        </w:rPr>
        <w:t>er ikke dialyserbart.</w:t>
      </w:r>
    </w:p>
    <w:p w14:paraId="5633823F" w14:textId="77777777" w:rsidR="009260DE" w:rsidRPr="007B4B68" w:rsidRDefault="009260DE" w:rsidP="00977B2E">
      <w:pPr>
        <w:tabs>
          <w:tab w:val="left" w:pos="851"/>
        </w:tabs>
        <w:ind w:left="851" w:hanging="851"/>
        <w:rPr>
          <w:sz w:val="24"/>
          <w:szCs w:val="24"/>
        </w:rPr>
      </w:pPr>
    </w:p>
    <w:p w14:paraId="2DE56E9C" w14:textId="2208ADE5" w:rsidR="008B0CF9" w:rsidRPr="007B4B68" w:rsidRDefault="008B0CF9">
      <w:pPr>
        <w:rPr>
          <w:sz w:val="24"/>
          <w:szCs w:val="24"/>
        </w:rPr>
      </w:pPr>
    </w:p>
    <w:p w14:paraId="0A806B96" w14:textId="77777777" w:rsidR="009260DE" w:rsidRPr="007B4B68" w:rsidRDefault="009260DE" w:rsidP="00977B2E">
      <w:pPr>
        <w:tabs>
          <w:tab w:val="left" w:pos="851"/>
        </w:tabs>
        <w:ind w:left="851" w:hanging="851"/>
        <w:rPr>
          <w:sz w:val="24"/>
          <w:szCs w:val="24"/>
        </w:rPr>
      </w:pPr>
    </w:p>
    <w:p w14:paraId="55D1135D" w14:textId="77777777" w:rsidR="009260DE" w:rsidRPr="007B4B68" w:rsidRDefault="009260DE" w:rsidP="00977B2E">
      <w:pPr>
        <w:tabs>
          <w:tab w:val="left" w:pos="851"/>
        </w:tabs>
        <w:ind w:left="851" w:hanging="851"/>
        <w:rPr>
          <w:b/>
          <w:sz w:val="24"/>
          <w:szCs w:val="24"/>
        </w:rPr>
      </w:pPr>
      <w:r w:rsidRPr="007B4B68">
        <w:rPr>
          <w:b/>
          <w:sz w:val="24"/>
          <w:szCs w:val="24"/>
        </w:rPr>
        <w:t>5.</w:t>
      </w:r>
      <w:r w:rsidRPr="007B4B68">
        <w:rPr>
          <w:b/>
          <w:sz w:val="24"/>
          <w:szCs w:val="24"/>
        </w:rPr>
        <w:tab/>
        <w:t>FARMAKOLOGISKE EGENSKABER</w:t>
      </w:r>
    </w:p>
    <w:p w14:paraId="621A5C1B" w14:textId="77777777" w:rsidR="009260DE" w:rsidRPr="007B4B68" w:rsidRDefault="009260DE" w:rsidP="00DE2F8A">
      <w:pPr>
        <w:tabs>
          <w:tab w:val="left" w:pos="851"/>
        </w:tabs>
        <w:rPr>
          <w:sz w:val="24"/>
          <w:szCs w:val="24"/>
        </w:rPr>
      </w:pPr>
    </w:p>
    <w:p w14:paraId="284C67AE" w14:textId="0CAC7C8A" w:rsidR="009260DE" w:rsidRDefault="009260DE" w:rsidP="00977B2E">
      <w:pPr>
        <w:tabs>
          <w:tab w:val="num" w:pos="851"/>
        </w:tabs>
        <w:ind w:left="851" w:hanging="851"/>
        <w:rPr>
          <w:b/>
          <w:sz w:val="24"/>
          <w:szCs w:val="24"/>
        </w:rPr>
      </w:pPr>
      <w:r w:rsidRPr="007B4B68">
        <w:rPr>
          <w:b/>
          <w:sz w:val="24"/>
          <w:szCs w:val="24"/>
        </w:rPr>
        <w:t>5.1</w:t>
      </w:r>
      <w:r w:rsidRPr="007B4B68">
        <w:rPr>
          <w:b/>
          <w:sz w:val="24"/>
          <w:szCs w:val="24"/>
        </w:rPr>
        <w:tab/>
      </w:r>
      <w:proofErr w:type="spellStart"/>
      <w:r w:rsidRPr="007B4B68">
        <w:rPr>
          <w:b/>
          <w:sz w:val="24"/>
          <w:szCs w:val="24"/>
        </w:rPr>
        <w:t>Farmakodynamiske</w:t>
      </w:r>
      <w:proofErr w:type="spellEnd"/>
      <w:r w:rsidRPr="007B4B68">
        <w:rPr>
          <w:b/>
          <w:sz w:val="24"/>
          <w:szCs w:val="24"/>
        </w:rPr>
        <w:t xml:space="preserve"> egenskaber</w:t>
      </w:r>
    </w:p>
    <w:p w14:paraId="503283A3" w14:textId="2DD5D853" w:rsidR="00DE2F8A" w:rsidRPr="007B4B68" w:rsidRDefault="00DE2F8A" w:rsidP="00977B2E">
      <w:pPr>
        <w:tabs>
          <w:tab w:val="num" w:pos="851"/>
        </w:tabs>
        <w:ind w:left="851" w:hanging="851"/>
        <w:rPr>
          <w:b/>
          <w:sz w:val="24"/>
          <w:szCs w:val="24"/>
        </w:rPr>
      </w:pPr>
      <w:r>
        <w:rPr>
          <w:b/>
          <w:sz w:val="24"/>
          <w:szCs w:val="24"/>
        </w:rPr>
        <w:t xml:space="preserve">              </w:t>
      </w:r>
      <w:proofErr w:type="spellStart"/>
      <w:r w:rsidRPr="00A65E5F">
        <w:rPr>
          <w:sz w:val="24"/>
          <w:szCs w:val="24"/>
        </w:rPr>
        <w:t>Farmakoterapeutisk</w:t>
      </w:r>
      <w:proofErr w:type="spellEnd"/>
      <w:r w:rsidRPr="00A65E5F">
        <w:rPr>
          <w:sz w:val="24"/>
          <w:szCs w:val="24"/>
        </w:rPr>
        <w:t xml:space="preserve"> klassifikation: </w:t>
      </w:r>
      <w:proofErr w:type="spellStart"/>
      <w:r w:rsidRPr="00A65E5F">
        <w:rPr>
          <w:sz w:val="24"/>
          <w:szCs w:val="24"/>
        </w:rPr>
        <w:t>Echinocandiner</w:t>
      </w:r>
      <w:proofErr w:type="spellEnd"/>
      <w:r w:rsidRPr="00A65E5F">
        <w:rPr>
          <w:sz w:val="24"/>
          <w:szCs w:val="24"/>
        </w:rPr>
        <w:t xml:space="preserve"> (systemiske svampeinfektioner), ATC</w:t>
      </w:r>
      <w:r>
        <w:rPr>
          <w:sz w:val="24"/>
          <w:szCs w:val="24"/>
        </w:rPr>
        <w:t>-</w:t>
      </w:r>
      <w:r w:rsidRPr="00A65E5F">
        <w:rPr>
          <w:sz w:val="24"/>
          <w:szCs w:val="24"/>
        </w:rPr>
        <w:t>kode: J02AX06.</w:t>
      </w:r>
    </w:p>
    <w:p w14:paraId="543F09FA" w14:textId="77777777" w:rsidR="00CA4305" w:rsidRPr="007B4B68" w:rsidRDefault="00CA4305" w:rsidP="00977B2E">
      <w:pPr>
        <w:ind w:left="851" w:hanging="851"/>
        <w:rPr>
          <w:sz w:val="24"/>
          <w:szCs w:val="24"/>
        </w:rPr>
      </w:pPr>
    </w:p>
    <w:p w14:paraId="06FD921F" w14:textId="55D129D7" w:rsidR="00C5280D" w:rsidRPr="007B4B68" w:rsidRDefault="00C5280D" w:rsidP="00CA4305">
      <w:pPr>
        <w:ind w:left="851"/>
        <w:rPr>
          <w:sz w:val="24"/>
          <w:szCs w:val="24"/>
          <w:u w:val="single"/>
        </w:rPr>
      </w:pPr>
      <w:r w:rsidRPr="007B4B68">
        <w:rPr>
          <w:sz w:val="24"/>
          <w:szCs w:val="24"/>
          <w:u w:val="single"/>
        </w:rPr>
        <w:t>Virkningsmekanisme</w:t>
      </w:r>
    </w:p>
    <w:p w14:paraId="48DB6FED" w14:textId="77777777" w:rsidR="00C5280D" w:rsidRPr="007B4B68" w:rsidRDefault="00C5280D" w:rsidP="00CA4305">
      <w:pPr>
        <w:ind w:left="851"/>
        <w:rPr>
          <w:sz w:val="24"/>
          <w:szCs w:val="24"/>
        </w:rPr>
      </w:pPr>
    </w:p>
    <w:p w14:paraId="2E666907" w14:textId="083590C3" w:rsidR="00C5280D" w:rsidRPr="007B4B68" w:rsidRDefault="00C5280D" w:rsidP="00CA4305">
      <w:pPr>
        <w:ind w:left="851"/>
        <w:rPr>
          <w:sz w:val="24"/>
          <w:szCs w:val="24"/>
        </w:rPr>
      </w:pPr>
      <w:proofErr w:type="spellStart"/>
      <w:r w:rsidRPr="007B4B68">
        <w:rPr>
          <w:sz w:val="24"/>
          <w:szCs w:val="24"/>
        </w:rPr>
        <w:t>Anidulafungin</w:t>
      </w:r>
      <w:proofErr w:type="spellEnd"/>
      <w:r w:rsidRPr="007B4B68">
        <w:rPr>
          <w:sz w:val="24"/>
          <w:szCs w:val="24"/>
        </w:rPr>
        <w:t xml:space="preserve"> er et semisyntetisk </w:t>
      </w:r>
      <w:proofErr w:type="spellStart"/>
      <w:r w:rsidRPr="007B4B68">
        <w:rPr>
          <w:sz w:val="24"/>
          <w:szCs w:val="24"/>
        </w:rPr>
        <w:t>echinocandin</w:t>
      </w:r>
      <w:proofErr w:type="spellEnd"/>
      <w:r w:rsidRPr="007B4B68">
        <w:rPr>
          <w:sz w:val="24"/>
          <w:szCs w:val="24"/>
        </w:rPr>
        <w:t xml:space="preserve">, et </w:t>
      </w:r>
      <w:proofErr w:type="spellStart"/>
      <w:r w:rsidRPr="007B4B68">
        <w:rPr>
          <w:sz w:val="24"/>
          <w:szCs w:val="24"/>
        </w:rPr>
        <w:t>lipopeptid</w:t>
      </w:r>
      <w:proofErr w:type="spellEnd"/>
      <w:r w:rsidRPr="007B4B68">
        <w:rPr>
          <w:sz w:val="24"/>
          <w:szCs w:val="24"/>
        </w:rPr>
        <w:t xml:space="preserve"> syntetiseret fra et fermenteringsprodukt</w:t>
      </w:r>
      <w:r w:rsidR="00CA4305" w:rsidRPr="007B4B68">
        <w:rPr>
          <w:sz w:val="24"/>
          <w:szCs w:val="24"/>
        </w:rPr>
        <w:t xml:space="preserve"> </w:t>
      </w:r>
      <w:r w:rsidRPr="007B4B68">
        <w:rPr>
          <w:sz w:val="24"/>
          <w:szCs w:val="24"/>
        </w:rPr>
        <w:t xml:space="preserve">af </w:t>
      </w:r>
      <w:r w:rsidRPr="007B4B68">
        <w:rPr>
          <w:i/>
          <w:iCs/>
          <w:sz w:val="24"/>
          <w:szCs w:val="24"/>
        </w:rPr>
        <w:t xml:space="preserve">Aspergillus </w:t>
      </w:r>
      <w:proofErr w:type="spellStart"/>
      <w:r w:rsidRPr="007B4B68">
        <w:rPr>
          <w:i/>
          <w:iCs/>
          <w:sz w:val="24"/>
          <w:szCs w:val="24"/>
        </w:rPr>
        <w:t>nidulans</w:t>
      </w:r>
      <w:proofErr w:type="spellEnd"/>
      <w:r w:rsidRPr="007B4B68">
        <w:rPr>
          <w:sz w:val="24"/>
          <w:szCs w:val="24"/>
        </w:rPr>
        <w:t>.</w:t>
      </w:r>
    </w:p>
    <w:p w14:paraId="29D7F4FB" w14:textId="77777777" w:rsidR="00C5280D" w:rsidRPr="007B4B68" w:rsidRDefault="00C5280D" w:rsidP="00CA4305">
      <w:pPr>
        <w:ind w:left="851"/>
        <w:rPr>
          <w:sz w:val="24"/>
          <w:szCs w:val="24"/>
        </w:rPr>
      </w:pPr>
    </w:p>
    <w:p w14:paraId="45AE7C60" w14:textId="114FAA77" w:rsidR="00C5280D" w:rsidRPr="007B4B68" w:rsidRDefault="00C5280D" w:rsidP="00CA4305">
      <w:pPr>
        <w:ind w:left="851"/>
        <w:rPr>
          <w:sz w:val="24"/>
          <w:szCs w:val="24"/>
        </w:rPr>
      </w:pPr>
      <w:proofErr w:type="spellStart"/>
      <w:r w:rsidRPr="007B4B68">
        <w:rPr>
          <w:sz w:val="24"/>
          <w:szCs w:val="24"/>
        </w:rPr>
        <w:t>Anidulafungin</w:t>
      </w:r>
      <w:proofErr w:type="spellEnd"/>
      <w:r w:rsidRPr="007B4B68">
        <w:rPr>
          <w:sz w:val="24"/>
          <w:szCs w:val="24"/>
        </w:rPr>
        <w:t xml:space="preserve"> hæmmer selektivt 1,3-β-D-</w:t>
      </w:r>
      <w:proofErr w:type="spellStart"/>
      <w:r w:rsidRPr="007B4B68">
        <w:rPr>
          <w:sz w:val="24"/>
          <w:szCs w:val="24"/>
        </w:rPr>
        <w:t>glucan</w:t>
      </w:r>
      <w:proofErr w:type="spellEnd"/>
      <w:r w:rsidRPr="007B4B68">
        <w:rPr>
          <w:sz w:val="24"/>
          <w:szCs w:val="24"/>
        </w:rPr>
        <w:t>-</w:t>
      </w:r>
      <w:proofErr w:type="spellStart"/>
      <w:r w:rsidRPr="007B4B68">
        <w:rPr>
          <w:sz w:val="24"/>
          <w:szCs w:val="24"/>
        </w:rPr>
        <w:t>syntase</w:t>
      </w:r>
      <w:proofErr w:type="spellEnd"/>
      <w:r w:rsidRPr="007B4B68">
        <w:rPr>
          <w:sz w:val="24"/>
          <w:szCs w:val="24"/>
        </w:rPr>
        <w:t>, et enzym, der findes i svamp, men ikke i</w:t>
      </w:r>
      <w:r w:rsidR="00CA4305" w:rsidRPr="007B4B68">
        <w:rPr>
          <w:sz w:val="24"/>
          <w:szCs w:val="24"/>
        </w:rPr>
        <w:t xml:space="preserve"> </w:t>
      </w:r>
      <w:r w:rsidRPr="007B4B68">
        <w:rPr>
          <w:sz w:val="24"/>
          <w:szCs w:val="24"/>
        </w:rPr>
        <w:t>pattedyrceller. Dette fører til hæmning af dannelsen af 1,3-β-D-</w:t>
      </w:r>
      <w:proofErr w:type="spellStart"/>
      <w:r w:rsidRPr="007B4B68">
        <w:rPr>
          <w:sz w:val="24"/>
          <w:szCs w:val="24"/>
        </w:rPr>
        <w:t>glucan</w:t>
      </w:r>
      <w:proofErr w:type="spellEnd"/>
      <w:r w:rsidRPr="007B4B68">
        <w:rPr>
          <w:sz w:val="24"/>
          <w:szCs w:val="24"/>
        </w:rPr>
        <w:t>, der er en essentiel bestanddel</w:t>
      </w:r>
      <w:r w:rsidR="00CA4305" w:rsidRPr="007B4B68">
        <w:rPr>
          <w:sz w:val="24"/>
          <w:szCs w:val="24"/>
        </w:rPr>
        <w:t xml:space="preserve"> </w:t>
      </w:r>
      <w:r w:rsidRPr="007B4B68">
        <w:rPr>
          <w:sz w:val="24"/>
          <w:szCs w:val="24"/>
        </w:rPr>
        <w:t xml:space="preserve">af svampens cellevæg. </w:t>
      </w:r>
      <w:proofErr w:type="spellStart"/>
      <w:r w:rsidRPr="007B4B68">
        <w:rPr>
          <w:sz w:val="24"/>
          <w:szCs w:val="24"/>
        </w:rPr>
        <w:t>Anidulafungin</w:t>
      </w:r>
      <w:proofErr w:type="spellEnd"/>
      <w:r w:rsidRPr="007B4B68">
        <w:rPr>
          <w:sz w:val="24"/>
          <w:szCs w:val="24"/>
        </w:rPr>
        <w:t xml:space="preserve"> virker fungicidt over for </w:t>
      </w:r>
      <w:proofErr w:type="spellStart"/>
      <w:r w:rsidRPr="007B4B68">
        <w:rPr>
          <w:i/>
          <w:sz w:val="24"/>
          <w:szCs w:val="24"/>
        </w:rPr>
        <w:t>Candida</w:t>
      </w:r>
      <w:proofErr w:type="spellEnd"/>
      <w:r w:rsidRPr="007B4B68">
        <w:rPr>
          <w:sz w:val="24"/>
          <w:szCs w:val="24"/>
        </w:rPr>
        <w:t xml:space="preserve">-arter, mens det for </w:t>
      </w:r>
      <w:r w:rsidRPr="007B4B68">
        <w:rPr>
          <w:i/>
          <w:sz w:val="24"/>
          <w:szCs w:val="24"/>
        </w:rPr>
        <w:t xml:space="preserve">Aspergillus </w:t>
      </w:r>
      <w:proofErr w:type="spellStart"/>
      <w:r w:rsidRPr="007B4B68">
        <w:rPr>
          <w:i/>
          <w:sz w:val="24"/>
          <w:szCs w:val="24"/>
        </w:rPr>
        <w:t>fumigatus</w:t>
      </w:r>
      <w:proofErr w:type="spellEnd"/>
      <w:r w:rsidRPr="007B4B68">
        <w:rPr>
          <w:sz w:val="24"/>
          <w:szCs w:val="24"/>
        </w:rPr>
        <w:t>’</w:t>
      </w:r>
      <w:r w:rsidR="00CA4305" w:rsidRPr="007B4B68">
        <w:rPr>
          <w:sz w:val="24"/>
          <w:szCs w:val="24"/>
        </w:rPr>
        <w:t xml:space="preserve"> </w:t>
      </w:r>
      <w:r w:rsidRPr="007B4B68">
        <w:rPr>
          <w:sz w:val="24"/>
          <w:szCs w:val="24"/>
        </w:rPr>
        <w:t xml:space="preserve">vedkommende hæmmer væksten af </w:t>
      </w:r>
      <w:proofErr w:type="spellStart"/>
      <w:r w:rsidRPr="007B4B68">
        <w:rPr>
          <w:sz w:val="24"/>
          <w:szCs w:val="24"/>
        </w:rPr>
        <w:t>hyphae</w:t>
      </w:r>
      <w:proofErr w:type="spellEnd"/>
      <w:r w:rsidRPr="007B4B68">
        <w:rPr>
          <w:sz w:val="24"/>
          <w:szCs w:val="24"/>
        </w:rPr>
        <w:t>.</w:t>
      </w:r>
    </w:p>
    <w:p w14:paraId="51E651B4" w14:textId="77777777" w:rsidR="00C5280D" w:rsidRPr="007B4B68" w:rsidRDefault="00C5280D" w:rsidP="00CA4305">
      <w:pPr>
        <w:ind w:left="851"/>
        <w:rPr>
          <w:i/>
          <w:iCs/>
          <w:sz w:val="24"/>
          <w:szCs w:val="24"/>
        </w:rPr>
      </w:pPr>
    </w:p>
    <w:p w14:paraId="0BD956A3" w14:textId="77777777" w:rsidR="00C5280D" w:rsidRPr="007B4B68" w:rsidRDefault="00C5280D" w:rsidP="00CA4305">
      <w:pPr>
        <w:ind w:left="851"/>
        <w:rPr>
          <w:sz w:val="24"/>
          <w:szCs w:val="24"/>
          <w:u w:val="single"/>
        </w:rPr>
      </w:pPr>
      <w:r w:rsidRPr="007B4B68">
        <w:rPr>
          <w:i/>
          <w:iCs/>
          <w:sz w:val="24"/>
          <w:szCs w:val="24"/>
          <w:u w:val="single"/>
        </w:rPr>
        <w:t xml:space="preserve">In </w:t>
      </w:r>
      <w:proofErr w:type="spellStart"/>
      <w:r w:rsidRPr="007B4B68">
        <w:rPr>
          <w:i/>
          <w:iCs/>
          <w:sz w:val="24"/>
          <w:szCs w:val="24"/>
          <w:u w:val="single"/>
        </w:rPr>
        <w:t>vitro</w:t>
      </w:r>
      <w:proofErr w:type="spellEnd"/>
      <w:r w:rsidRPr="007B4B68">
        <w:rPr>
          <w:i/>
          <w:iCs/>
          <w:sz w:val="24"/>
          <w:szCs w:val="24"/>
          <w:u w:val="single"/>
        </w:rPr>
        <w:t>-</w:t>
      </w:r>
      <w:r w:rsidRPr="007B4B68">
        <w:rPr>
          <w:sz w:val="24"/>
          <w:szCs w:val="24"/>
          <w:u w:val="single"/>
        </w:rPr>
        <w:t>aktivitet</w:t>
      </w:r>
    </w:p>
    <w:p w14:paraId="2BDD6270" w14:textId="77777777" w:rsidR="00C5280D" w:rsidRPr="007B4B68" w:rsidRDefault="00C5280D" w:rsidP="00CA4305">
      <w:pPr>
        <w:ind w:left="851"/>
        <w:rPr>
          <w:sz w:val="24"/>
          <w:szCs w:val="24"/>
        </w:rPr>
      </w:pPr>
    </w:p>
    <w:p w14:paraId="5A5C4161" w14:textId="3E247765" w:rsidR="00C5280D" w:rsidRPr="007B4B68" w:rsidRDefault="00C5280D" w:rsidP="00CA4305">
      <w:pPr>
        <w:ind w:left="851"/>
        <w:rPr>
          <w:sz w:val="24"/>
          <w:szCs w:val="24"/>
        </w:rPr>
      </w:pPr>
      <w:proofErr w:type="spellStart"/>
      <w:r w:rsidRPr="007B4B68">
        <w:rPr>
          <w:sz w:val="24"/>
          <w:szCs w:val="24"/>
        </w:rPr>
        <w:t>Anidulafungin</w:t>
      </w:r>
      <w:proofErr w:type="spellEnd"/>
      <w:r w:rsidRPr="007B4B68">
        <w:rPr>
          <w:sz w:val="24"/>
          <w:szCs w:val="24"/>
        </w:rPr>
        <w:t xml:space="preserve"> udviser </w:t>
      </w:r>
      <w:r w:rsidRPr="007B4B68">
        <w:rPr>
          <w:i/>
          <w:iCs/>
          <w:sz w:val="24"/>
          <w:szCs w:val="24"/>
        </w:rPr>
        <w:t xml:space="preserve">in </w:t>
      </w:r>
      <w:proofErr w:type="spellStart"/>
      <w:r w:rsidRPr="007B4B68">
        <w:rPr>
          <w:i/>
          <w:iCs/>
          <w:sz w:val="24"/>
          <w:szCs w:val="24"/>
        </w:rPr>
        <w:t>vitro</w:t>
      </w:r>
      <w:proofErr w:type="spellEnd"/>
      <w:r w:rsidRPr="007B4B68">
        <w:rPr>
          <w:sz w:val="24"/>
          <w:szCs w:val="24"/>
        </w:rPr>
        <w:t xml:space="preserve">-aktivitet over for </w:t>
      </w:r>
      <w:r w:rsidRPr="007B4B68">
        <w:rPr>
          <w:i/>
          <w:iCs/>
          <w:sz w:val="24"/>
          <w:szCs w:val="24"/>
        </w:rPr>
        <w:t xml:space="preserve">C. </w:t>
      </w:r>
      <w:proofErr w:type="spellStart"/>
      <w:r w:rsidRPr="007B4B68">
        <w:rPr>
          <w:i/>
          <w:iCs/>
          <w:sz w:val="24"/>
          <w:szCs w:val="24"/>
        </w:rPr>
        <w:t>albicans</w:t>
      </w:r>
      <w:proofErr w:type="spellEnd"/>
      <w:r w:rsidRPr="007B4B68">
        <w:rPr>
          <w:sz w:val="24"/>
          <w:szCs w:val="24"/>
        </w:rPr>
        <w:t xml:space="preserve">, </w:t>
      </w:r>
      <w:r w:rsidRPr="007B4B68">
        <w:rPr>
          <w:i/>
          <w:iCs/>
          <w:sz w:val="24"/>
          <w:szCs w:val="24"/>
        </w:rPr>
        <w:t xml:space="preserve">C. </w:t>
      </w:r>
      <w:proofErr w:type="spellStart"/>
      <w:r w:rsidRPr="007B4B68">
        <w:rPr>
          <w:i/>
          <w:iCs/>
          <w:sz w:val="24"/>
          <w:szCs w:val="24"/>
        </w:rPr>
        <w:t>glabrata</w:t>
      </w:r>
      <w:proofErr w:type="spellEnd"/>
      <w:r w:rsidRPr="007B4B68">
        <w:rPr>
          <w:sz w:val="24"/>
          <w:szCs w:val="24"/>
        </w:rPr>
        <w:t xml:space="preserve">, </w:t>
      </w:r>
      <w:r w:rsidRPr="007B4B68">
        <w:rPr>
          <w:i/>
          <w:iCs/>
          <w:sz w:val="24"/>
          <w:szCs w:val="24"/>
        </w:rPr>
        <w:t xml:space="preserve">C. </w:t>
      </w:r>
      <w:proofErr w:type="spellStart"/>
      <w:r w:rsidRPr="007B4B68">
        <w:rPr>
          <w:i/>
          <w:iCs/>
          <w:sz w:val="24"/>
          <w:szCs w:val="24"/>
        </w:rPr>
        <w:t>parapsilosis</w:t>
      </w:r>
      <w:proofErr w:type="spellEnd"/>
      <w:r w:rsidRPr="007B4B68">
        <w:rPr>
          <w:i/>
          <w:iCs/>
          <w:sz w:val="24"/>
          <w:szCs w:val="24"/>
        </w:rPr>
        <w:t xml:space="preserve">, C. </w:t>
      </w:r>
      <w:proofErr w:type="spellStart"/>
      <w:r w:rsidRPr="007B4B68">
        <w:rPr>
          <w:i/>
          <w:iCs/>
          <w:sz w:val="24"/>
          <w:szCs w:val="24"/>
        </w:rPr>
        <w:t>krusei</w:t>
      </w:r>
      <w:proofErr w:type="spellEnd"/>
      <w:r w:rsidR="0086754E" w:rsidRPr="007B4B68">
        <w:rPr>
          <w:i/>
          <w:iCs/>
          <w:sz w:val="24"/>
          <w:szCs w:val="24"/>
        </w:rPr>
        <w:t xml:space="preserve"> </w:t>
      </w:r>
      <w:r w:rsidRPr="007B4B68">
        <w:rPr>
          <w:sz w:val="24"/>
          <w:szCs w:val="24"/>
        </w:rPr>
        <w:t xml:space="preserve">og </w:t>
      </w:r>
      <w:r w:rsidRPr="007B4B68">
        <w:rPr>
          <w:i/>
          <w:iCs/>
          <w:sz w:val="24"/>
          <w:szCs w:val="24"/>
        </w:rPr>
        <w:t xml:space="preserve">C. </w:t>
      </w:r>
      <w:proofErr w:type="spellStart"/>
      <w:r w:rsidRPr="007B4B68">
        <w:rPr>
          <w:i/>
          <w:iCs/>
          <w:sz w:val="24"/>
          <w:szCs w:val="24"/>
        </w:rPr>
        <w:t>tropicalis</w:t>
      </w:r>
      <w:proofErr w:type="spellEnd"/>
      <w:r w:rsidRPr="007B4B68">
        <w:rPr>
          <w:sz w:val="24"/>
          <w:szCs w:val="24"/>
        </w:rPr>
        <w:t xml:space="preserve">. Den kliniske relevans af disse fund kan ses under </w:t>
      </w:r>
      <w:r w:rsidR="008B0CF9" w:rsidRPr="007B4B68">
        <w:rPr>
          <w:sz w:val="24"/>
          <w:szCs w:val="24"/>
        </w:rPr>
        <w:t>"</w:t>
      </w:r>
      <w:r w:rsidRPr="007B4B68">
        <w:rPr>
          <w:sz w:val="24"/>
          <w:szCs w:val="24"/>
        </w:rPr>
        <w:t>Klinisk virkning og sikkerhed</w:t>
      </w:r>
      <w:r w:rsidR="008B0CF9" w:rsidRPr="007B4B68">
        <w:rPr>
          <w:sz w:val="24"/>
          <w:szCs w:val="24"/>
        </w:rPr>
        <w:t>"</w:t>
      </w:r>
      <w:r w:rsidRPr="007B4B68">
        <w:rPr>
          <w:sz w:val="24"/>
          <w:szCs w:val="24"/>
        </w:rPr>
        <w:t>.</w:t>
      </w:r>
    </w:p>
    <w:p w14:paraId="20450733" w14:textId="77777777" w:rsidR="00C5280D" w:rsidRPr="007B4B68" w:rsidRDefault="00C5280D" w:rsidP="00CA4305">
      <w:pPr>
        <w:ind w:left="851"/>
        <w:rPr>
          <w:sz w:val="24"/>
          <w:szCs w:val="24"/>
        </w:rPr>
      </w:pPr>
    </w:p>
    <w:p w14:paraId="68D96B80" w14:textId="171C6B93" w:rsidR="00C5280D" w:rsidRPr="007B4B68" w:rsidRDefault="00C5280D" w:rsidP="00CA4305">
      <w:pPr>
        <w:ind w:left="851"/>
        <w:rPr>
          <w:sz w:val="24"/>
          <w:szCs w:val="24"/>
        </w:rPr>
      </w:pPr>
      <w:proofErr w:type="spellStart"/>
      <w:r w:rsidRPr="007B4B68">
        <w:rPr>
          <w:sz w:val="24"/>
          <w:szCs w:val="24"/>
        </w:rPr>
        <w:t>Isolater</w:t>
      </w:r>
      <w:proofErr w:type="spellEnd"/>
      <w:r w:rsidRPr="007B4B68">
        <w:rPr>
          <w:sz w:val="24"/>
          <w:szCs w:val="24"/>
        </w:rPr>
        <w:t xml:space="preserve"> med mutationer i hotspot-områderne i målgenet er blevet forbundet med klinisk svigt eller</w:t>
      </w:r>
      <w:r w:rsidR="0086754E" w:rsidRPr="007B4B68">
        <w:rPr>
          <w:sz w:val="24"/>
          <w:szCs w:val="24"/>
        </w:rPr>
        <w:t xml:space="preserve"> </w:t>
      </w:r>
      <w:r w:rsidRPr="007B4B68">
        <w:rPr>
          <w:sz w:val="24"/>
          <w:szCs w:val="24"/>
        </w:rPr>
        <w:t xml:space="preserve">gennembrudsinfektion. De fleste kliniske tilfælde involverer behandling med </w:t>
      </w:r>
      <w:proofErr w:type="spellStart"/>
      <w:r w:rsidRPr="007B4B68">
        <w:rPr>
          <w:sz w:val="24"/>
          <w:szCs w:val="24"/>
        </w:rPr>
        <w:t>caspofungin</w:t>
      </w:r>
      <w:proofErr w:type="spellEnd"/>
      <w:r w:rsidRPr="007B4B68">
        <w:rPr>
          <w:sz w:val="24"/>
          <w:szCs w:val="24"/>
        </w:rPr>
        <w:t>. Ved</w:t>
      </w:r>
      <w:r w:rsidR="0086754E" w:rsidRPr="007B4B68">
        <w:rPr>
          <w:sz w:val="24"/>
          <w:szCs w:val="24"/>
        </w:rPr>
        <w:t xml:space="preserve"> </w:t>
      </w:r>
      <w:r w:rsidRPr="007B4B68">
        <w:rPr>
          <w:sz w:val="24"/>
          <w:szCs w:val="24"/>
        </w:rPr>
        <w:t>eksperimenter på dyr har disse mutationer imidlertid været forbundet med krydsresistens over for alle</w:t>
      </w:r>
      <w:r w:rsidR="0086754E" w:rsidRPr="007B4B68">
        <w:rPr>
          <w:sz w:val="24"/>
          <w:szCs w:val="24"/>
        </w:rPr>
        <w:t xml:space="preserve"> </w:t>
      </w:r>
      <w:r w:rsidRPr="007B4B68">
        <w:rPr>
          <w:sz w:val="24"/>
          <w:szCs w:val="24"/>
        </w:rPr>
        <w:t xml:space="preserve">3 </w:t>
      </w:r>
      <w:proofErr w:type="spellStart"/>
      <w:r w:rsidRPr="007B4B68">
        <w:rPr>
          <w:sz w:val="24"/>
          <w:szCs w:val="24"/>
        </w:rPr>
        <w:t>echinocandiner</w:t>
      </w:r>
      <w:proofErr w:type="spellEnd"/>
      <w:r w:rsidRPr="007B4B68">
        <w:rPr>
          <w:sz w:val="24"/>
          <w:szCs w:val="24"/>
        </w:rPr>
        <w:t xml:space="preserve">, og derfor klassificeres sådanne </w:t>
      </w:r>
      <w:proofErr w:type="spellStart"/>
      <w:r w:rsidRPr="007B4B68">
        <w:rPr>
          <w:sz w:val="24"/>
          <w:szCs w:val="24"/>
        </w:rPr>
        <w:t>isolater</w:t>
      </w:r>
      <w:proofErr w:type="spellEnd"/>
      <w:r w:rsidRPr="007B4B68">
        <w:rPr>
          <w:sz w:val="24"/>
          <w:szCs w:val="24"/>
        </w:rPr>
        <w:t xml:space="preserve"> som </w:t>
      </w:r>
      <w:proofErr w:type="spellStart"/>
      <w:r w:rsidRPr="007B4B68">
        <w:rPr>
          <w:sz w:val="24"/>
          <w:szCs w:val="24"/>
        </w:rPr>
        <w:t>echinocandin</w:t>
      </w:r>
      <w:proofErr w:type="spellEnd"/>
      <w:r w:rsidRPr="007B4B68">
        <w:rPr>
          <w:sz w:val="24"/>
          <w:szCs w:val="24"/>
        </w:rPr>
        <w:t>-resistente, indtil der er</w:t>
      </w:r>
      <w:r w:rsidR="0086754E" w:rsidRPr="007B4B68">
        <w:rPr>
          <w:sz w:val="24"/>
          <w:szCs w:val="24"/>
        </w:rPr>
        <w:t xml:space="preserve"> </w:t>
      </w:r>
      <w:r w:rsidRPr="007B4B68">
        <w:rPr>
          <w:sz w:val="24"/>
          <w:szCs w:val="24"/>
        </w:rPr>
        <w:t xml:space="preserve">opnået mere klinisk erfaring med </w:t>
      </w:r>
      <w:proofErr w:type="spellStart"/>
      <w:r w:rsidRPr="007B4B68">
        <w:rPr>
          <w:sz w:val="24"/>
          <w:szCs w:val="24"/>
        </w:rPr>
        <w:t>anidulafungin</w:t>
      </w:r>
      <w:proofErr w:type="spellEnd"/>
      <w:r w:rsidRPr="007B4B68">
        <w:rPr>
          <w:sz w:val="24"/>
          <w:szCs w:val="24"/>
        </w:rPr>
        <w:t>.</w:t>
      </w:r>
    </w:p>
    <w:p w14:paraId="77FE02C2" w14:textId="77777777" w:rsidR="00C5280D" w:rsidRPr="007B4B68" w:rsidRDefault="00C5280D" w:rsidP="00CA4305">
      <w:pPr>
        <w:ind w:left="851"/>
        <w:rPr>
          <w:sz w:val="24"/>
          <w:szCs w:val="24"/>
        </w:rPr>
      </w:pPr>
    </w:p>
    <w:p w14:paraId="3FAA6C0D" w14:textId="6304CAAD" w:rsidR="00C5280D" w:rsidRPr="007B4B68" w:rsidRDefault="00C5280D" w:rsidP="007E6471">
      <w:pPr>
        <w:ind w:left="851"/>
        <w:rPr>
          <w:sz w:val="24"/>
          <w:szCs w:val="24"/>
        </w:rPr>
      </w:pPr>
      <w:proofErr w:type="spellStart"/>
      <w:r w:rsidRPr="007B4B68">
        <w:rPr>
          <w:sz w:val="24"/>
          <w:szCs w:val="24"/>
        </w:rPr>
        <w:t>Anidulafungins</w:t>
      </w:r>
      <w:proofErr w:type="spellEnd"/>
      <w:r w:rsidRPr="007B4B68">
        <w:rPr>
          <w:sz w:val="24"/>
          <w:szCs w:val="24"/>
        </w:rPr>
        <w:t xml:space="preserve"> </w:t>
      </w:r>
      <w:r w:rsidRPr="007B4B68">
        <w:rPr>
          <w:i/>
          <w:iCs/>
          <w:sz w:val="24"/>
          <w:szCs w:val="24"/>
        </w:rPr>
        <w:t xml:space="preserve">in </w:t>
      </w:r>
      <w:proofErr w:type="spellStart"/>
      <w:r w:rsidRPr="007B4B68">
        <w:rPr>
          <w:i/>
          <w:iCs/>
          <w:sz w:val="24"/>
          <w:szCs w:val="24"/>
        </w:rPr>
        <w:t>vitro</w:t>
      </w:r>
      <w:proofErr w:type="spellEnd"/>
      <w:r w:rsidRPr="007B4B68">
        <w:rPr>
          <w:sz w:val="24"/>
          <w:szCs w:val="24"/>
        </w:rPr>
        <w:t xml:space="preserve">-aktivitet over for forskellige </w:t>
      </w:r>
      <w:proofErr w:type="spellStart"/>
      <w:r w:rsidRPr="007B4B68">
        <w:rPr>
          <w:i/>
          <w:iCs/>
          <w:sz w:val="24"/>
          <w:szCs w:val="24"/>
        </w:rPr>
        <w:t>Candida</w:t>
      </w:r>
      <w:proofErr w:type="spellEnd"/>
      <w:r w:rsidRPr="007B4B68">
        <w:rPr>
          <w:i/>
          <w:iCs/>
          <w:sz w:val="24"/>
          <w:szCs w:val="24"/>
        </w:rPr>
        <w:t>-</w:t>
      </w:r>
      <w:r w:rsidRPr="007B4B68">
        <w:rPr>
          <w:sz w:val="24"/>
          <w:szCs w:val="24"/>
        </w:rPr>
        <w:t>arter er ikke ensartet. Specifikt gælder</w:t>
      </w:r>
      <w:r w:rsidR="0086754E" w:rsidRPr="007B4B68">
        <w:rPr>
          <w:sz w:val="24"/>
          <w:szCs w:val="24"/>
        </w:rPr>
        <w:t xml:space="preserve"> </w:t>
      </w:r>
      <w:r w:rsidRPr="007B4B68">
        <w:rPr>
          <w:sz w:val="24"/>
          <w:szCs w:val="24"/>
        </w:rPr>
        <w:t xml:space="preserve">det for </w:t>
      </w:r>
      <w:r w:rsidRPr="007B4B68">
        <w:rPr>
          <w:i/>
          <w:iCs/>
          <w:sz w:val="24"/>
          <w:szCs w:val="24"/>
        </w:rPr>
        <w:t xml:space="preserve">C. </w:t>
      </w:r>
      <w:proofErr w:type="spellStart"/>
      <w:r w:rsidRPr="007B4B68">
        <w:rPr>
          <w:i/>
          <w:iCs/>
          <w:sz w:val="24"/>
          <w:szCs w:val="24"/>
        </w:rPr>
        <w:t>parapsilosis</w:t>
      </w:r>
      <w:proofErr w:type="spellEnd"/>
      <w:r w:rsidRPr="007B4B68">
        <w:rPr>
          <w:sz w:val="24"/>
          <w:szCs w:val="24"/>
        </w:rPr>
        <w:t xml:space="preserve">, at de mindste hæmmende koncentrationer (MIC) af </w:t>
      </w:r>
      <w:proofErr w:type="spellStart"/>
      <w:r w:rsidRPr="007B4B68">
        <w:rPr>
          <w:sz w:val="24"/>
          <w:szCs w:val="24"/>
        </w:rPr>
        <w:t>anidulafungin</w:t>
      </w:r>
      <w:proofErr w:type="spellEnd"/>
      <w:r w:rsidRPr="007B4B68">
        <w:rPr>
          <w:sz w:val="24"/>
          <w:szCs w:val="24"/>
        </w:rPr>
        <w:t xml:space="preserve"> er højere</w:t>
      </w:r>
      <w:r w:rsidR="0086754E" w:rsidRPr="007B4B68">
        <w:rPr>
          <w:sz w:val="24"/>
          <w:szCs w:val="24"/>
        </w:rPr>
        <w:t xml:space="preserve"> </w:t>
      </w:r>
      <w:r w:rsidRPr="007B4B68">
        <w:rPr>
          <w:sz w:val="24"/>
          <w:szCs w:val="24"/>
        </w:rPr>
        <w:t xml:space="preserve">end for andre </w:t>
      </w:r>
      <w:proofErr w:type="spellStart"/>
      <w:r w:rsidRPr="007B4B68">
        <w:rPr>
          <w:i/>
          <w:iCs/>
          <w:sz w:val="24"/>
          <w:szCs w:val="24"/>
        </w:rPr>
        <w:t>Candida</w:t>
      </w:r>
      <w:proofErr w:type="spellEnd"/>
      <w:r w:rsidRPr="007B4B68">
        <w:rPr>
          <w:i/>
          <w:iCs/>
          <w:sz w:val="24"/>
          <w:szCs w:val="24"/>
        </w:rPr>
        <w:t>-</w:t>
      </w:r>
      <w:r w:rsidRPr="007B4B68">
        <w:rPr>
          <w:sz w:val="24"/>
          <w:szCs w:val="24"/>
        </w:rPr>
        <w:t xml:space="preserve">arter. En standardiseret teknik til test af </w:t>
      </w:r>
      <w:proofErr w:type="spellStart"/>
      <w:r w:rsidRPr="007B4B68">
        <w:rPr>
          <w:i/>
          <w:sz w:val="24"/>
          <w:szCs w:val="24"/>
        </w:rPr>
        <w:t>Candida</w:t>
      </w:r>
      <w:proofErr w:type="spellEnd"/>
      <w:r w:rsidRPr="007B4B68">
        <w:rPr>
          <w:sz w:val="24"/>
          <w:szCs w:val="24"/>
        </w:rPr>
        <w:t>-arters følsomhed over for</w:t>
      </w:r>
      <w:r w:rsidR="0086754E" w:rsidRPr="007B4B68">
        <w:rPr>
          <w:sz w:val="24"/>
          <w:szCs w:val="24"/>
        </w:rPr>
        <w:t xml:space="preserve"> </w:t>
      </w:r>
      <w:proofErr w:type="spellStart"/>
      <w:r w:rsidRPr="007B4B68">
        <w:rPr>
          <w:sz w:val="24"/>
          <w:szCs w:val="24"/>
        </w:rPr>
        <w:t>anidulafungin</w:t>
      </w:r>
      <w:proofErr w:type="spellEnd"/>
      <w:r w:rsidRPr="007B4B68">
        <w:rPr>
          <w:sz w:val="24"/>
          <w:szCs w:val="24"/>
        </w:rPr>
        <w:t xml:space="preserve"> og af de respektive grænseværdier er blevet defineret af EUCAST (</w:t>
      </w:r>
      <w:r w:rsidRPr="007B4B68">
        <w:rPr>
          <w:iCs/>
          <w:sz w:val="24"/>
          <w:szCs w:val="24"/>
        </w:rPr>
        <w:t>European</w:t>
      </w:r>
      <w:r w:rsidR="0086754E" w:rsidRPr="007B4B68">
        <w:rPr>
          <w:iCs/>
          <w:sz w:val="24"/>
          <w:szCs w:val="24"/>
        </w:rPr>
        <w:t xml:space="preserve"> </w:t>
      </w:r>
      <w:proofErr w:type="spellStart"/>
      <w:r w:rsidRPr="007B4B68">
        <w:rPr>
          <w:iCs/>
          <w:sz w:val="24"/>
          <w:szCs w:val="24"/>
        </w:rPr>
        <w:t>Committee</w:t>
      </w:r>
      <w:proofErr w:type="spellEnd"/>
      <w:r w:rsidRPr="007B4B68">
        <w:rPr>
          <w:iCs/>
          <w:sz w:val="24"/>
          <w:szCs w:val="24"/>
        </w:rPr>
        <w:t xml:space="preserve"> on </w:t>
      </w:r>
      <w:proofErr w:type="spellStart"/>
      <w:r w:rsidRPr="007B4B68">
        <w:rPr>
          <w:iCs/>
          <w:sz w:val="24"/>
          <w:szCs w:val="24"/>
        </w:rPr>
        <w:t>Antimicrobial</w:t>
      </w:r>
      <w:proofErr w:type="spellEnd"/>
      <w:r w:rsidRPr="007B4B68">
        <w:rPr>
          <w:iCs/>
          <w:sz w:val="24"/>
          <w:szCs w:val="24"/>
        </w:rPr>
        <w:t xml:space="preserve"> </w:t>
      </w:r>
      <w:proofErr w:type="spellStart"/>
      <w:r w:rsidRPr="007B4B68">
        <w:rPr>
          <w:iCs/>
          <w:sz w:val="24"/>
          <w:szCs w:val="24"/>
        </w:rPr>
        <w:t>Susceptibility</w:t>
      </w:r>
      <w:proofErr w:type="spellEnd"/>
      <w:r w:rsidRPr="007B4B68">
        <w:rPr>
          <w:iCs/>
          <w:sz w:val="24"/>
          <w:szCs w:val="24"/>
        </w:rPr>
        <w:t xml:space="preserve"> </w:t>
      </w:r>
      <w:proofErr w:type="spellStart"/>
      <w:r w:rsidRPr="007B4B68">
        <w:rPr>
          <w:iCs/>
          <w:sz w:val="24"/>
          <w:szCs w:val="24"/>
        </w:rPr>
        <w:t>Testing</w:t>
      </w:r>
      <w:proofErr w:type="spellEnd"/>
      <w:r w:rsidRPr="007B4B68">
        <w:rPr>
          <w:sz w:val="24"/>
          <w:szCs w:val="24"/>
        </w:rPr>
        <w:t>).</w:t>
      </w:r>
    </w:p>
    <w:p w14:paraId="4BA2B05A" w14:textId="774A085B" w:rsidR="00C5280D" w:rsidRDefault="00C5280D" w:rsidP="007E6471">
      <w:pPr>
        <w:pStyle w:val="Brdtekst"/>
        <w:ind w:left="851" w:hanging="851"/>
        <w:rPr>
          <w:b/>
          <w:sz w:val="24"/>
          <w:szCs w:val="24"/>
        </w:rPr>
      </w:pPr>
    </w:p>
    <w:p w14:paraId="709FC829" w14:textId="77777777" w:rsidR="00DE2F8A" w:rsidRPr="007B4B68" w:rsidRDefault="00DE2F8A" w:rsidP="00DE2F8A">
      <w:pPr>
        <w:pStyle w:val="Brdtekst"/>
        <w:ind w:left="851" w:hanging="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99"/>
        <w:gridCol w:w="1874"/>
        <w:gridCol w:w="4155"/>
      </w:tblGrid>
      <w:tr w:rsidR="00DE2F8A" w:rsidRPr="00275659" w14:paraId="3CAF0B07" w14:textId="77777777" w:rsidTr="00A65E5F">
        <w:trPr>
          <w:trHeight w:val="222"/>
        </w:trPr>
        <w:tc>
          <w:tcPr>
            <w:tcW w:w="1869" w:type="pct"/>
            <w:tcBorders>
              <w:top w:val="single" w:sz="4" w:space="0" w:color="000000"/>
              <w:left w:val="single" w:sz="4" w:space="0" w:color="000000"/>
              <w:bottom w:val="single" w:sz="4" w:space="0" w:color="000000"/>
              <w:right w:val="single" w:sz="4" w:space="0" w:color="000000"/>
            </w:tcBorders>
          </w:tcPr>
          <w:p w14:paraId="3CCEB63F" w14:textId="77777777" w:rsidR="00DE2F8A" w:rsidRPr="00244E9D" w:rsidRDefault="00DE2F8A" w:rsidP="00A65E5F">
            <w:pPr>
              <w:pStyle w:val="Brdtekst"/>
              <w:ind w:left="851" w:hanging="851"/>
              <w:rPr>
                <w:b/>
                <w:sz w:val="24"/>
                <w:szCs w:val="24"/>
                <w:u w:val="single"/>
              </w:rPr>
            </w:pPr>
            <w:proofErr w:type="gramStart"/>
            <w:r>
              <w:rPr>
                <w:b/>
                <w:sz w:val="24"/>
                <w:szCs w:val="24"/>
                <w:u w:val="single"/>
              </w:rPr>
              <w:t xml:space="preserve">Skema </w:t>
            </w:r>
            <w:r w:rsidRPr="00244E9D">
              <w:rPr>
                <w:b/>
                <w:sz w:val="24"/>
                <w:szCs w:val="24"/>
                <w:u w:val="single"/>
              </w:rPr>
              <w:t xml:space="preserve"> 2.</w:t>
            </w:r>
            <w:proofErr w:type="gramEnd"/>
            <w:r w:rsidRPr="00244E9D">
              <w:rPr>
                <w:b/>
                <w:sz w:val="24"/>
                <w:szCs w:val="24"/>
                <w:u w:val="single"/>
              </w:rPr>
              <w:t xml:space="preserve"> EUCAST-grænseværdier</w:t>
            </w:r>
          </w:p>
          <w:p w14:paraId="61325159" w14:textId="77777777" w:rsidR="00DE2F8A" w:rsidRPr="00275659" w:rsidRDefault="00DE2F8A" w:rsidP="00A65E5F">
            <w:pPr>
              <w:ind w:left="142"/>
              <w:rPr>
                <w:rFonts w:eastAsia="Calibri"/>
                <w:b/>
                <w:sz w:val="24"/>
                <w:szCs w:val="24"/>
                <w:u w:val="single"/>
              </w:rPr>
            </w:pPr>
          </w:p>
        </w:tc>
        <w:tc>
          <w:tcPr>
            <w:tcW w:w="3131" w:type="pct"/>
            <w:gridSpan w:val="2"/>
            <w:tcBorders>
              <w:top w:val="single" w:sz="4" w:space="0" w:color="000000"/>
              <w:left w:val="single" w:sz="4" w:space="0" w:color="000000"/>
              <w:bottom w:val="single" w:sz="4" w:space="0" w:color="000000"/>
              <w:right w:val="single" w:sz="4" w:space="0" w:color="000000"/>
            </w:tcBorders>
          </w:tcPr>
          <w:p w14:paraId="6267A197" w14:textId="77777777" w:rsidR="00DE2F8A" w:rsidRPr="00275659" w:rsidRDefault="00DE2F8A" w:rsidP="00A65E5F">
            <w:pPr>
              <w:ind w:left="86"/>
              <w:rPr>
                <w:rFonts w:eastAsia="Calibri"/>
                <w:b/>
                <w:sz w:val="24"/>
                <w:szCs w:val="24"/>
              </w:rPr>
            </w:pPr>
          </w:p>
        </w:tc>
      </w:tr>
      <w:tr w:rsidR="00DE2F8A" w:rsidRPr="00275659" w14:paraId="09B9F665" w14:textId="77777777" w:rsidTr="00A65E5F">
        <w:trPr>
          <w:trHeight w:val="222"/>
        </w:trPr>
        <w:tc>
          <w:tcPr>
            <w:tcW w:w="1869" w:type="pct"/>
            <w:vMerge w:val="restart"/>
            <w:tcBorders>
              <w:top w:val="single" w:sz="4" w:space="0" w:color="000000"/>
              <w:left w:val="single" w:sz="4" w:space="0" w:color="000000"/>
              <w:bottom w:val="single" w:sz="4" w:space="0" w:color="000000"/>
              <w:right w:val="single" w:sz="4" w:space="0" w:color="000000"/>
            </w:tcBorders>
            <w:hideMark/>
          </w:tcPr>
          <w:p w14:paraId="2246D7F9" w14:textId="77777777" w:rsidR="00DE2F8A" w:rsidRPr="00275659" w:rsidRDefault="00DE2F8A" w:rsidP="00A65E5F">
            <w:pPr>
              <w:ind w:left="142"/>
              <w:rPr>
                <w:rFonts w:eastAsia="Calibri"/>
                <w:b/>
                <w:sz w:val="24"/>
                <w:szCs w:val="24"/>
                <w:u w:val="single"/>
              </w:rPr>
            </w:pPr>
            <w:proofErr w:type="spellStart"/>
            <w:r w:rsidRPr="00275659">
              <w:rPr>
                <w:rFonts w:eastAsia="Calibri"/>
                <w:b/>
                <w:sz w:val="24"/>
                <w:szCs w:val="24"/>
                <w:u w:val="single"/>
              </w:rPr>
              <w:t>Candida</w:t>
            </w:r>
            <w:proofErr w:type="spellEnd"/>
            <w:r w:rsidRPr="00275659">
              <w:rPr>
                <w:rFonts w:eastAsia="Calibri"/>
                <w:b/>
                <w:sz w:val="24"/>
                <w:szCs w:val="24"/>
                <w:u w:val="single"/>
              </w:rPr>
              <w:t>-art</w:t>
            </w:r>
          </w:p>
        </w:tc>
        <w:tc>
          <w:tcPr>
            <w:tcW w:w="3131" w:type="pct"/>
            <w:gridSpan w:val="2"/>
            <w:tcBorders>
              <w:top w:val="single" w:sz="4" w:space="0" w:color="000000"/>
              <w:left w:val="single" w:sz="4" w:space="0" w:color="000000"/>
              <w:bottom w:val="single" w:sz="4" w:space="0" w:color="000000"/>
              <w:right w:val="single" w:sz="4" w:space="0" w:color="000000"/>
            </w:tcBorders>
            <w:hideMark/>
          </w:tcPr>
          <w:p w14:paraId="12D8296D" w14:textId="77777777" w:rsidR="00DE2F8A" w:rsidRPr="00275659" w:rsidRDefault="00DE2F8A" w:rsidP="00A65E5F">
            <w:pPr>
              <w:ind w:left="86"/>
              <w:rPr>
                <w:rFonts w:eastAsia="Calibri"/>
                <w:b/>
                <w:sz w:val="24"/>
                <w:szCs w:val="24"/>
              </w:rPr>
            </w:pPr>
            <w:r w:rsidRPr="00275659">
              <w:rPr>
                <w:rFonts w:eastAsia="Calibri"/>
                <w:b/>
                <w:sz w:val="24"/>
                <w:szCs w:val="24"/>
              </w:rPr>
              <w:t>MIC-</w:t>
            </w:r>
            <w:proofErr w:type="spellStart"/>
            <w:r w:rsidRPr="00275659">
              <w:rPr>
                <w:rFonts w:eastAsia="Calibri"/>
                <w:b/>
                <w:sz w:val="24"/>
                <w:szCs w:val="24"/>
              </w:rPr>
              <w:t>breakpoint</w:t>
            </w:r>
            <w:proofErr w:type="spellEnd"/>
            <w:r w:rsidRPr="00275659">
              <w:rPr>
                <w:rFonts w:eastAsia="Calibri"/>
                <w:b/>
                <w:sz w:val="24"/>
                <w:szCs w:val="24"/>
              </w:rPr>
              <w:t xml:space="preserve"> (mg/l)</w:t>
            </w:r>
          </w:p>
        </w:tc>
      </w:tr>
      <w:tr w:rsidR="00DE2F8A" w:rsidRPr="00275659" w14:paraId="5386B32B" w14:textId="77777777" w:rsidTr="00A65E5F">
        <w:trPr>
          <w:trHeight w:val="248"/>
        </w:trPr>
        <w:tc>
          <w:tcPr>
            <w:tcW w:w="1869" w:type="pct"/>
            <w:vMerge/>
            <w:tcBorders>
              <w:top w:val="single" w:sz="4" w:space="0" w:color="000000"/>
              <w:left w:val="single" w:sz="4" w:space="0" w:color="000000"/>
              <w:bottom w:val="single" w:sz="4" w:space="0" w:color="000000"/>
              <w:right w:val="single" w:sz="4" w:space="0" w:color="000000"/>
            </w:tcBorders>
            <w:vAlign w:val="center"/>
            <w:hideMark/>
          </w:tcPr>
          <w:p w14:paraId="3E2E3238" w14:textId="77777777" w:rsidR="00DE2F8A" w:rsidRPr="00275659" w:rsidRDefault="00DE2F8A" w:rsidP="00A65E5F">
            <w:pPr>
              <w:ind w:left="142"/>
              <w:rPr>
                <w:rFonts w:eastAsia="Calibri"/>
                <w:b/>
                <w:sz w:val="24"/>
                <w:szCs w:val="24"/>
              </w:rPr>
            </w:pPr>
          </w:p>
        </w:tc>
        <w:tc>
          <w:tcPr>
            <w:tcW w:w="973" w:type="pct"/>
            <w:tcBorders>
              <w:top w:val="single" w:sz="4" w:space="0" w:color="000000"/>
              <w:left w:val="single" w:sz="4" w:space="0" w:color="000000"/>
              <w:bottom w:val="single" w:sz="4" w:space="0" w:color="000000"/>
              <w:right w:val="single" w:sz="4" w:space="0" w:color="000000"/>
            </w:tcBorders>
            <w:hideMark/>
          </w:tcPr>
          <w:p w14:paraId="0D496AA9" w14:textId="77777777" w:rsidR="00DE2F8A" w:rsidRPr="00275659" w:rsidRDefault="00DE2F8A" w:rsidP="00A65E5F">
            <w:pPr>
              <w:ind w:left="86"/>
              <w:rPr>
                <w:rFonts w:eastAsia="Calibri"/>
                <w:b/>
                <w:sz w:val="24"/>
                <w:szCs w:val="24"/>
              </w:rPr>
            </w:pPr>
            <w:r w:rsidRPr="00275659">
              <w:rPr>
                <w:rFonts w:eastAsia="Calibri"/>
                <w:b/>
                <w:sz w:val="24"/>
                <w:szCs w:val="24"/>
              </w:rPr>
              <w:t>≤S (følsom)</w:t>
            </w:r>
          </w:p>
        </w:tc>
        <w:tc>
          <w:tcPr>
            <w:tcW w:w="2158" w:type="pct"/>
            <w:tcBorders>
              <w:top w:val="thickThinMediumGap" w:sz="6" w:space="0" w:color="000000"/>
              <w:left w:val="single" w:sz="4" w:space="0" w:color="000000"/>
              <w:bottom w:val="single" w:sz="4" w:space="0" w:color="000000"/>
              <w:right w:val="single" w:sz="4" w:space="0" w:color="000000"/>
            </w:tcBorders>
            <w:hideMark/>
          </w:tcPr>
          <w:p w14:paraId="548D807A" w14:textId="77777777" w:rsidR="00DE2F8A" w:rsidRPr="00275659" w:rsidRDefault="00DE2F8A" w:rsidP="00A65E5F">
            <w:pPr>
              <w:ind w:left="86"/>
              <w:rPr>
                <w:rFonts w:eastAsia="Calibri"/>
                <w:b/>
                <w:sz w:val="24"/>
                <w:szCs w:val="24"/>
              </w:rPr>
            </w:pPr>
            <w:r w:rsidRPr="00275659">
              <w:rPr>
                <w:rFonts w:eastAsia="Calibri"/>
                <w:b/>
                <w:sz w:val="24"/>
                <w:szCs w:val="24"/>
              </w:rPr>
              <w:t>&gt;R (resistent)</w:t>
            </w:r>
          </w:p>
        </w:tc>
      </w:tr>
      <w:tr w:rsidR="00DE2F8A" w:rsidRPr="007B4B68" w14:paraId="0EBC29F0" w14:textId="77777777" w:rsidTr="00A65E5F">
        <w:trPr>
          <w:trHeight w:val="253"/>
        </w:trPr>
        <w:tc>
          <w:tcPr>
            <w:tcW w:w="1869" w:type="pct"/>
            <w:tcBorders>
              <w:top w:val="single" w:sz="4" w:space="0" w:color="000000"/>
              <w:left w:val="single" w:sz="4" w:space="0" w:color="000000"/>
              <w:bottom w:val="single" w:sz="4" w:space="0" w:color="000000"/>
              <w:right w:val="single" w:sz="4" w:space="0" w:color="000000"/>
            </w:tcBorders>
            <w:hideMark/>
          </w:tcPr>
          <w:p w14:paraId="71945335" w14:textId="77777777" w:rsidR="00DE2F8A" w:rsidRPr="007B4B68" w:rsidRDefault="00DE2F8A" w:rsidP="00A65E5F">
            <w:pPr>
              <w:ind w:left="142"/>
              <w:rPr>
                <w:rFonts w:eastAsia="Calibri"/>
                <w:i/>
                <w:sz w:val="24"/>
                <w:szCs w:val="24"/>
              </w:rPr>
            </w:pPr>
            <w:proofErr w:type="spellStart"/>
            <w:r w:rsidRPr="007B4B68">
              <w:rPr>
                <w:rFonts w:eastAsia="Calibri"/>
                <w:i/>
                <w:sz w:val="24"/>
                <w:szCs w:val="24"/>
              </w:rPr>
              <w:t>Candida</w:t>
            </w:r>
            <w:proofErr w:type="spellEnd"/>
            <w:r w:rsidRPr="007B4B68">
              <w:rPr>
                <w:rFonts w:eastAsia="Calibri"/>
                <w:i/>
                <w:sz w:val="24"/>
                <w:szCs w:val="24"/>
              </w:rPr>
              <w:t xml:space="preserve"> </w:t>
            </w:r>
            <w:proofErr w:type="spellStart"/>
            <w:r w:rsidRPr="007B4B68">
              <w:rPr>
                <w:rFonts w:eastAsia="Calibri"/>
                <w:i/>
                <w:sz w:val="24"/>
                <w:szCs w:val="24"/>
              </w:rPr>
              <w:t>albicans</w:t>
            </w:r>
            <w:proofErr w:type="spellEnd"/>
          </w:p>
        </w:tc>
        <w:tc>
          <w:tcPr>
            <w:tcW w:w="973" w:type="pct"/>
            <w:tcBorders>
              <w:top w:val="single" w:sz="4" w:space="0" w:color="000000"/>
              <w:left w:val="single" w:sz="4" w:space="0" w:color="000000"/>
              <w:bottom w:val="single" w:sz="4" w:space="0" w:color="000000"/>
              <w:right w:val="single" w:sz="4" w:space="0" w:color="000000"/>
            </w:tcBorders>
            <w:hideMark/>
          </w:tcPr>
          <w:p w14:paraId="6249093E" w14:textId="77777777" w:rsidR="00DE2F8A" w:rsidRPr="007B4B68" w:rsidRDefault="00DE2F8A" w:rsidP="00A65E5F">
            <w:pPr>
              <w:ind w:left="86"/>
              <w:rPr>
                <w:rFonts w:eastAsia="Calibri"/>
                <w:sz w:val="24"/>
                <w:szCs w:val="24"/>
              </w:rPr>
            </w:pPr>
            <w:r w:rsidRPr="007B4B68">
              <w:rPr>
                <w:rFonts w:eastAsia="Calibri"/>
                <w:sz w:val="24"/>
                <w:szCs w:val="24"/>
              </w:rPr>
              <w:t>0,03</w:t>
            </w:r>
          </w:p>
        </w:tc>
        <w:tc>
          <w:tcPr>
            <w:tcW w:w="2158" w:type="pct"/>
            <w:tcBorders>
              <w:top w:val="single" w:sz="4" w:space="0" w:color="000000"/>
              <w:left w:val="single" w:sz="4" w:space="0" w:color="000000"/>
              <w:bottom w:val="single" w:sz="4" w:space="0" w:color="000000"/>
              <w:right w:val="single" w:sz="4" w:space="0" w:color="000000"/>
            </w:tcBorders>
            <w:hideMark/>
          </w:tcPr>
          <w:p w14:paraId="26F48C6E" w14:textId="77777777" w:rsidR="00DE2F8A" w:rsidRPr="007B4B68" w:rsidRDefault="00DE2F8A" w:rsidP="00A65E5F">
            <w:pPr>
              <w:ind w:left="86"/>
              <w:rPr>
                <w:rFonts w:eastAsia="Calibri"/>
                <w:sz w:val="24"/>
                <w:szCs w:val="24"/>
              </w:rPr>
            </w:pPr>
            <w:r w:rsidRPr="007B4B68">
              <w:rPr>
                <w:rFonts w:eastAsia="Calibri"/>
                <w:sz w:val="24"/>
                <w:szCs w:val="24"/>
              </w:rPr>
              <w:t>0,03</w:t>
            </w:r>
          </w:p>
        </w:tc>
      </w:tr>
      <w:tr w:rsidR="00DE2F8A" w:rsidRPr="007B4B68" w14:paraId="002A1C52" w14:textId="77777777" w:rsidTr="00A65E5F">
        <w:trPr>
          <w:trHeight w:val="251"/>
        </w:trPr>
        <w:tc>
          <w:tcPr>
            <w:tcW w:w="1869" w:type="pct"/>
            <w:tcBorders>
              <w:top w:val="single" w:sz="4" w:space="0" w:color="000000"/>
              <w:left w:val="single" w:sz="4" w:space="0" w:color="000000"/>
              <w:bottom w:val="single" w:sz="4" w:space="0" w:color="000000"/>
              <w:right w:val="single" w:sz="4" w:space="0" w:color="000000"/>
            </w:tcBorders>
            <w:hideMark/>
          </w:tcPr>
          <w:p w14:paraId="63A184B9" w14:textId="77777777" w:rsidR="00DE2F8A" w:rsidRPr="007B4B68" w:rsidRDefault="00DE2F8A" w:rsidP="00A65E5F">
            <w:pPr>
              <w:ind w:left="142"/>
              <w:rPr>
                <w:rFonts w:eastAsia="Calibri"/>
                <w:i/>
                <w:sz w:val="24"/>
                <w:szCs w:val="24"/>
              </w:rPr>
            </w:pPr>
            <w:proofErr w:type="spellStart"/>
            <w:r w:rsidRPr="007B4B68">
              <w:rPr>
                <w:rFonts w:eastAsia="Calibri"/>
                <w:i/>
                <w:sz w:val="24"/>
                <w:szCs w:val="24"/>
              </w:rPr>
              <w:t>Candida</w:t>
            </w:r>
            <w:proofErr w:type="spellEnd"/>
            <w:r w:rsidRPr="007B4B68">
              <w:rPr>
                <w:rFonts w:eastAsia="Calibri"/>
                <w:i/>
                <w:sz w:val="24"/>
                <w:szCs w:val="24"/>
              </w:rPr>
              <w:t xml:space="preserve"> </w:t>
            </w:r>
            <w:proofErr w:type="spellStart"/>
            <w:r w:rsidRPr="007B4B68">
              <w:rPr>
                <w:rFonts w:eastAsia="Calibri"/>
                <w:i/>
                <w:sz w:val="24"/>
                <w:szCs w:val="24"/>
              </w:rPr>
              <w:t>glabrata</w:t>
            </w:r>
            <w:proofErr w:type="spellEnd"/>
          </w:p>
        </w:tc>
        <w:tc>
          <w:tcPr>
            <w:tcW w:w="973" w:type="pct"/>
            <w:tcBorders>
              <w:top w:val="single" w:sz="4" w:space="0" w:color="000000"/>
              <w:left w:val="single" w:sz="4" w:space="0" w:color="000000"/>
              <w:bottom w:val="single" w:sz="4" w:space="0" w:color="000000"/>
              <w:right w:val="single" w:sz="4" w:space="0" w:color="000000"/>
            </w:tcBorders>
            <w:hideMark/>
          </w:tcPr>
          <w:p w14:paraId="466D9150" w14:textId="77777777" w:rsidR="00DE2F8A" w:rsidRPr="007B4B68" w:rsidRDefault="00DE2F8A" w:rsidP="00A65E5F">
            <w:pPr>
              <w:ind w:left="86"/>
              <w:rPr>
                <w:rFonts w:eastAsia="Calibri"/>
                <w:sz w:val="24"/>
                <w:szCs w:val="24"/>
              </w:rPr>
            </w:pPr>
            <w:r w:rsidRPr="007B4B68">
              <w:rPr>
                <w:rFonts w:eastAsia="Calibri"/>
                <w:sz w:val="24"/>
                <w:szCs w:val="24"/>
              </w:rPr>
              <w:t>0,06</w:t>
            </w:r>
          </w:p>
        </w:tc>
        <w:tc>
          <w:tcPr>
            <w:tcW w:w="2158" w:type="pct"/>
            <w:tcBorders>
              <w:top w:val="single" w:sz="4" w:space="0" w:color="000000"/>
              <w:left w:val="single" w:sz="4" w:space="0" w:color="000000"/>
              <w:bottom w:val="single" w:sz="4" w:space="0" w:color="000000"/>
              <w:right w:val="single" w:sz="4" w:space="0" w:color="000000"/>
            </w:tcBorders>
            <w:hideMark/>
          </w:tcPr>
          <w:p w14:paraId="746C7750" w14:textId="77777777" w:rsidR="00DE2F8A" w:rsidRPr="007B4B68" w:rsidRDefault="00DE2F8A" w:rsidP="00A65E5F">
            <w:pPr>
              <w:ind w:left="86"/>
              <w:rPr>
                <w:rFonts w:eastAsia="Calibri"/>
                <w:sz w:val="24"/>
                <w:szCs w:val="24"/>
              </w:rPr>
            </w:pPr>
            <w:r w:rsidRPr="007B4B68">
              <w:rPr>
                <w:rFonts w:eastAsia="Calibri"/>
                <w:sz w:val="24"/>
                <w:szCs w:val="24"/>
              </w:rPr>
              <w:t>0,06</w:t>
            </w:r>
          </w:p>
        </w:tc>
      </w:tr>
      <w:tr w:rsidR="00DE2F8A" w:rsidRPr="007B4B68" w14:paraId="2A565528" w14:textId="77777777" w:rsidTr="00A65E5F">
        <w:trPr>
          <w:trHeight w:val="254"/>
        </w:trPr>
        <w:tc>
          <w:tcPr>
            <w:tcW w:w="1869" w:type="pct"/>
            <w:tcBorders>
              <w:top w:val="single" w:sz="4" w:space="0" w:color="000000"/>
              <w:left w:val="single" w:sz="4" w:space="0" w:color="000000"/>
              <w:bottom w:val="single" w:sz="4" w:space="0" w:color="000000"/>
              <w:right w:val="single" w:sz="4" w:space="0" w:color="000000"/>
            </w:tcBorders>
            <w:hideMark/>
          </w:tcPr>
          <w:p w14:paraId="6A8D2AC3" w14:textId="77777777" w:rsidR="00DE2F8A" w:rsidRPr="007B4B68" w:rsidRDefault="00DE2F8A" w:rsidP="00A65E5F">
            <w:pPr>
              <w:ind w:left="142"/>
              <w:rPr>
                <w:rFonts w:eastAsia="Calibri"/>
                <w:i/>
                <w:sz w:val="24"/>
                <w:szCs w:val="24"/>
              </w:rPr>
            </w:pPr>
            <w:proofErr w:type="spellStart"/>
            <w:r w:rsidRPr="007B4B68">
              <w:rPr>
                <w:rFonts w:eastAsia="Calibri"/>
                <w:i/>
                <w:sz w:val="24"/>
                <w:szCs w:val="24"/>
              </w:rPr>
              <w:t>Candida</w:t>
            </w:r>
            <w:proofErr w:type="spellEnd"/>
            <w:r w:rsidRPr="007B4B68">
              <w:rPr>
                <w:rFonts w:eastAsia="Calibri"/>
                <w:i/>
                <w:sz w:val="24"/>
                <w:szCs w:val="24"/>
              </w:rPr>
              <w:t xml:space="preserve"> </w:t>
            </w:r>
            <w:proofErr w:type="spellStart"/>
            <w:r w:rsidRPr="007B4B68">
              <w:rPr>
                <w:rFonts w:eastAsia="Calibri"/>
                <w:i/>
                <w:sz w:val="24"/>
                <w:szCs w:val="24"/>
              </w:rPr>
              <w:t>tropicalis</w:t>
            </w:r>
            <w:proofErr w:type="spellEnd"/>
          </w:p>
        </w:tc>
        <w:tc>
          <w:tcPr>
            <w:tcW w:w="973" w:type="pct"/>
            <w:tcBorders>
              <w:top w:val="single" w:sz="4" w:space="0" w:color="000000"/>
              <w:left w:val="single" w:sz="4" w:space="0" w:color="000000"/>
              <w:bottom w:val="single" w:sz="4" w:space="0" w:color="000000"/>
              <w:right w:val="single" w:sz="4" w:space="0" w:color="000000"/>
            </w:tcBorders>
            <w:hideMark/>
          </w:tcPr>
          <w:p w14:paraId="44AE64CA" w14:textId="77777777" w:rsidR="00DE2F8A" w:rsidRPr="007B4B68" w:rsidRDefault="00DE2F8A" w:rsidP="00A65E5F">
            <w:pPr>
              <w:ind w:left="86"/>
              <w:rPr>
                <w:rFonts w:eastAsia="Calibri"/>
                <w:sz w:val="24"/>
                <w:szCs w:val="24"/>
              </w:rPr>
            </w:pPr>
            <w:r w:rsidRPr="007B4B68">
              <w:rPr>
                <w:rFonts w:eastAsia="Calibri"/>
                <w:sz w:val="24"/>
                <w:szCs w:val="24"/>
              </w:rPr>
              <w:t>0,06</w:t>
            </w:r>
          </w:p>
        </w:tc>
        <w:tc>
          <w:tcPr>
            <w:tcW w:w="2158" w:type="pct"/>
            <w:tcBorders>
              <w:top w:val="single" w:sz="4" w:space="0" w:color="000000"/>
              <w:left w:val="single" w:sz="4" w:space="0" w:color="000000"/>
              <w:bottom w:val="single" w:sz="4" w:space="0" w:color="000000"/>
              <w:right w:val="single" w:sz="4" w:space="0" w:color="000000"/>
            </w:tcBorders>
            <w:hideMark/>
          </w:tcPr>
          <w:p w14:paraId="715D7B76" w14:textId="77777777" w:rsidR="00DE2F8A" w:rsidRPr="007B4B68" w:rsidRDefault="00DE2F8A" w:rsidP="00A65E5F">
            <w:pPr>
              <w:ind w:left="86"/>
              <w:rPr>
                <w:rFonts w:eastAsia="Calibri"/>
                <w:sz w:val="24"/>
                <w:szCs w:val="24"/>
              </w:rPr>
            </w:pPr>
            <w:r w:rsidRPr="007B4B68">
              <w:rPr>
                <w:rFonts w:eastAsia="Calibri"/>
                <w:sz w:val="24"/>
                <w:szCs w:val="24"/>
              </w:rPr>
              <w:t>0,06</w:t>
            </w:r>
          </w:p>
        </w:tc>
      </w:tr>
      <w:tr w:rsidR="00DE2F8A" w:rsidRPr="007B4B68" w14:paraId="572C3C7B" w14:textId="77777777" w:rsidTr="00A65E5F">
        <w:trPr>
          <w:trHeight w:val="251"/>
        </w:trPr>
        <w:tc>
          <w:tcPr>
            <w:tcW w:w="1869" w:type="pct"/>
            <w:tcBorders>
              <w:top w:val="single" w:sz="4" w:space="0" w:color="000000"/>
              <w:left w:val="single" w:sz="4" w:space="0" w:color="000000"/>
              <w:bottom w:val="single" w:sz="4" w:space="0" w:color="000000"/>
              <w:right w:val="single" w:sz="4" w:space="0" w:color="000000"/>
            </w:tcBorders>
            <w:hideMark/>
          </w:tcPr>
          <w:p w14:paraId="4D0D999A" w14:textId="77777777" w:rsidR="00DE2F8A" w:rsidRPr="007B4B68" w:rsidRDefault="00DE2F8A" w:rsidP="00A65E5F">
            <w:pPr>
              <w:ind w:left="142"/>
              <w:rPr>
                <w:rFonts w:eastAsia="Calibri"/>
                <w:i/>
                <w:sz w:val="24"/>
                <w:szCs w:val="24"/>
              </w:rPr>
            </w:pPr>
            <w:proofErr w:type="spellStart"/>
            <w:r w:rsidRPr="007B4B68">
              <w:rPr>
                <w:rFonts w:eastAsia="Calibri"/>
                <w:i/>
                <w:sz w:val="24"/>
                <w:szCs w:val="24"/>
              </w:rPr>
              <w:t>Candida</w:t>
            </w:r>
            <w:proofErr w:type="spellEnd"/>
            <w:r w:rsidRPr="007B4B68">
              <w:rPr>
                <w:rFonts w:eastAsia="Calibri"/>
                <w:i/>
                <w:sz w:val="24"/>
                <w:szCs w:val="24"/>
              </w:rPr>
              <w:t xml:space="preserve"> </w:t>
            </w:r>
            <w:proofErr w:type="spellStart"/>
            <w:r w:rsidRPr="007B4B68">
              <w:rPr>
                <w:rFonts w:eastAsia="Calibri"/>
                <w:i/>
                <w:sz w:val="24"/>
                <w:szCs w:val="24"/>
              </w:rPr>
              <w:t>krusei</w:t>
            </w:r>
            <w:proofErr w:type="spellEnd"/>
          </w:p>
        </w:tc>
        <w:tc>
          <w:tcPr>
            <w:tcW w:w="973" w:type="pct"/>
            <w:tcBorders>
              <w:top w:val="single" w:sz="4" w:space="0" w:color="000000"/>
              <w:left w:val="single" w:sz="4" w:space="0" w:color="000000"/>
              <w:bottom w:val="single" w:sz="4" w:space="0" w:color="000000"/>
              <w:right w:val="single" w:sz="4" w:space="0" w:color="000000"/>
            </w:tcBorders>
            <w:hideMark/>
          </w:tcPr>
          <w:p w14:paraId="1DCA7A05" w14:textId="77777777" w:rsidR="00DE2F8A" w:rsidRPr="007B4B68" w:rsidRDefault="00DE2F8A" w:rsidP="00A65E5F">
            <w:pPr>
              <w:ind w:left="86"/>
              <w:rPr>
                <w:rFonts w:eastAsia="Calibri"/>
                <w:sz w:val="24"/>
                <w:szCs w:val="24"/>
              </w:rPr>
            </w:pPr>
            <w:r w:rsidRPr="007B4B68">
              <w:rPr>
                <w:rFonts w:eastAsia="Calibri"/>
                <w:sz w:val="24"/>
                <w:szCs w:val="24"/>
              </w:rPr>
              <w:t>0,06</w:t>
            </w:r>
          </w:p>
        </w:tc>
        <w:tc>
          <w:tcPr>
            <w:tcW w:w="2158" w:type="pct"/>
            <w:tcBorders>
              <w:top w:val="single" w:sz="4" w:space="0" w:color="000000"/>
              <w:left w:val="single" w:sz="4" w:space="0" w:color="000000"/>
              <w:bottom w:val="single" w:sz="4" w:space="0" w:color="000000"/>
              <w:right w:val="single" w:sz="4" w:space="0" w:color="000000"/>
            </w:tcBorders>
            <w:hideMark/>
          </w:tcPr>
          <w:p w14:paraId="7BB7D9D2" w14:textId="77777777" w:rsidR="00DE2F8A" w:rsidRPr="007B4B68" w:rsidRDefault="00DE2F8A" w:rsidP="00A65E5F">
            <w:pPr>
              <w:ind w:left="86"/>
              <w:rPr>
                <w:rFonts w:eastAsia="Calibri"/>
                <w:sz w:val="24"/>
                <w:szCs w:val="24"/>
              </w:rPr>
            </w:pPr>
            <w:r w:rsidRPr="007B4B68">
              <w:rPr>
                <w:rFonts w:eastAsia="Calibri"/>
                <w:sz w:val="24"/>
                <w:szCs w:val="24"/>
              </w:rPr>
              <w:t>0,06</w:t>
            </w:r>
          </w:p>
        </w:tc>
      </w:tr>
      <w:tr w:rsidR="00DE2F8A" w:rsidRPr="007B4B68" w14:paraId="7CCE4BE0" w14:textId="77777777" w:rsidTr="00A65E5F">
        <w:trPr>
          <w:trHeight w:val="254"/>
        </w:trPr>
        <w:tc>
          <w:tcPr>
            <w:tcW w:w="1869" w:type="pct"/>
            <w:tcBorders>
              <w:top w:val="single" w:sz="4" w:space="0" w:color="000000"/>
              <w:left w:val="single" w:sz="4" w:space="0" w:color="000000"/>
              <w:bottom w:val="single" w:sz="4" w:space="0" w:color="000000"/>
              <w:right w:val="single" w:sz="4" w:space="0" w:color="000000"/>
            </w:tcBorders>
            <w:hideMark/>
          </w:tcPr>
          <w:p w14:paraId="571929CD" w14:textId="77777777" w:rsidR="00DE2F8A" w:rsidRPr="007B4B68" w:rsidRDefault="00DE2F8A" w:rsidP="00A65E5F">
            <w:pPr>
              <w:ind w:left="142"/>
              <w:rPr>
                <w:rFonts w:eastAsia="Calibri"/>
                <w:i/>
                <w:sz w:val="24"/>
                <w:szCs w:val="24"/>
              </w:rPr>
            </w:pPr>
            <w:proofErr w:type="spellStart"/>
            <w:r w:rsidRPr="007B4B68">
              <w:rPr>
                <w:rFonts w:eastAsia="Calibri"/>
                <w:i/>
                <w:sz w:val="24"/>
                <w:szCs w:val="24"/>
              </w:rPr>
              <w:t>Candida</w:t>
            </w:r>
            <w:proofErr w:type="spellEnd"/>
            <w:r w:rsidRPr="007B4B68">
              <w:rPr>
                <w:rFonts w:eastAsia="Calibri"/>
                <w:i/>
                <w:sz w:val="24"/>
                <w:szCs w:val="24"/>
              </w:rPr>
              <w:t xml:space="preserve"> </w:t>
            </w:r>
            <w:proofErr w:type="spellStart"/>
            <w:r w:rsidRPr="007B4B68">
              <w:rPr>
                <w:rFonts w:eastAsia="Calibri"/>
                <w:i/>
                <w:sz w:val="24"/>
                <w:szCs w:val="24"/>
              </w:rPr>
              <w:t>parapsilosis</w:t>
            </w:r>
            <w:proofErr w:type="spellEnd"/>
          </w:p>
        </w:tc>
        <w:tc>
          <w:tcPr>
            <w:tcW w:w="973" w:type="pct"/>
            <w:tcBorders>
              <w:top w:val="single" w:sz="4" w:space="0" w:color="000000"/>
              <w:left w:val="single" w:sz="4" w:space="0" w:color="000000"/>
              <w:bottom w:val="single" w:sz="4" w:space="0" w:color="000000"/>
              <w:right w:val="single" w:sz="4" w:space="0" w:color="000000"/>
            </w:tcBorders>
            <w:hideMark/>
          </w:tcPr>
          <w:p w14:paraId="7B65859F" w14:textId="77777777" w:rsidR="00DE2F8A" w:rsidRPr="007B4B68" w:rsidRDefault="00DE2F8A" w:rsidP="00A65E5F">
            <w:pPr>
              <w:ind w:left="86"/>
              <w:rPr>
                <w:rFonts w:eastAsia="Calibri"/>
                <w:sz w:val="24"/>
                <w:szCs w:val="24"/>
              </w:rPr>
            </w:pPr>
            <w:r>
              <w:rPr>
                <w:rFonts w:eastAsia="Calibri"/>
                <w:sz w:val="24"/>
                <w:szCs w:val="24"/>
              </w:rPr>
              <w:t>4</w:t>
            </w:r>
          </w:p>
        </w:tc>
        <w:tc>
          <w:tcPr>
            <w:tcW w:w="2158" w:type="pct"/>
            <w:tcBorders>
              <w:top w:val="single" w:sz="4" w:space="0" w:color="000000"/>
              <w:left w:val="single" w:sz="4" w:space="0" w:color="000000"/>
              <w:bottom w:val="single" w:sz="4" w:space="0" w:color="000000"/>
              <w:right w:val="single" w:sz="4" w:space="0" w:color="000000"/>
            </w:tcBorders>
            <w:hideMark/>
          </w:tcPr>
          <w:p w14:paraId="00C4110A" w14:textId="77777777" w:rsidR="00DE2F8A" w:rsidRPr="007B4B68" w:rsidRDefault="00DE2F8A" w:rsidP="00A65E5F">
            <w:pPr>
              <w:ind w:left="86"/>
              <w:rPr>
                <w:rFonts w:eastAsia="Calibri"/>
                <w:sz w:val="24"/>
                <w:szCs w:val="24"/>
              </w:rPr>
            </w:pPr>
            <w:r w:rsidRPr="007B4B68">
              <w:rPr>
                <w:rFonts w:eastAsia="Calibri"/>
                <w:sz w:val="24"/>
                <w:szCs w:val="24"/>
              </w:rPr>
              <w:t>4</w:t>
            </w:r>
          </w:p>
        </w:tc>
      </w:tr>
      <w:tr w:rsidR="00DE2F8A" w:rsidRPr="007B4B68" w14:paraId="0F9D117D" w14:textId="77777777" w:rsidTr="00A65E5F">
        <w:trPr>
          <w:trHeight w:val="253"/>
        </w:trPr>
        <w:tc>
          <w:tcPr>
            <w:tcW w:w="1869" w:type="pct"/>
            <w:tcBorders>
              <w:top w:val="single" w:sz="4" w:space="0" w:color="000000"/>
              <w:left w:val="single" w:sz="4" w:space="0" w:color="000000"/>
              <w:bottom w:val="single" w:sz="4" w:space="0" w:color="000000"/>
              <w:right w:val="single" w:sz="4" w:space="0" w:color="000000"/>
            </w:tcBorders>
            <w:hideMark/>
          </w:tcPr>
          <w:p w14:paraId="1141C6C4" w14:textId="77777777" w:rsidR="00DE2F8A" w:rsidRPr="007B4B68" w:rsidRDefault="00DE2F8A" w:rsidP="00A65E5F">
            <w:pPr>
              <w:ind w:left="142"/>
              <w:rPr>
                <w:rFonts w:eastAsia="Calibri"/>
                <w:i/>
                <w:sz w:val="24"/>
                <w:szCs w:val="24"/>
              </w:rPr>
            </w:pPr>
            <w:r w:rsidRPr="007B4B68">
              <w:rPr>
                <w:rFonts w:eastAsia="Calibri"/>
                <w:i/>
                <w:sz w:val="24"/>
                <w:szCs w:val="24"/>
              </w:rPr>
              <w:t>Andre Candida-arter</w:t>
            </w:r>
            <w:r w:rsidRPr="007B4B68">
              <w:rPr>
                <w:rFonts w:eastAsia="Calibri"/>
                <w:i/>
                <w:sz w:val="24"/>
                <w:szCs w:val="24"/>
                <w:vertAlign w:val="superscript"/>
              </w:rPr>
              <w:t>1</w:t>
            </w:r>
          </w:p>
        </w:tc>
        <w:tc>
          <w:tcPr>
            <w:tcW w:w="3131" w:type="pct"/>
            <w:gridSpan w:val="2"/>
            <w:tcBorders>
              <w:top w:val="single" w:sz="4" w:space="0" w:color="000000"/>
              <w:left w:val="single" w:sz="4" w:space="0" w:color="000000"/>
              <w:bottom w:val="single" w:sz="4" w:space="0" w:color="000000"/>
              <w:right w:val="single" w:sz="4" w:space="0" w:color="000000"/>
            </w:tcBorders>
            <w:hideMark/>
          </w:tcPr>
          <w:p w14:paraId="23730BEC" w14:textId="77777777" w:rsidR="00DE2F8A" w:rsidRPr="007B4B68" w:rsidRDefault="00DE2F8A" w:rsidP="00A65E5F">
            <w:pPr>
              <w:ind w:left="86"/>
              <w:rPr>
                <w:rFonts w:eastAsia="Calibri"/>
                <w:sz w:val="24"/>
                <w:szCs w:val="24"/>
              </w:rPr>
            </w:pPr>
            <w:r w:rsidRPr="007B4B68">
              <w:rPr>
                <w:rFonts w:eastAsia="Calibri"/>
                <w:sz w:val="24"/>
                <w:szCs w:val="24"/>
              </w:rPr>
              <w:t>Utilstrækkelig evidens</w:t>
            </w:r>
          </w:p>
        </w:tc>
      </w:tr>
      <w:tr w:rsidR="00DE2F8A" w:rsidRPr="007B4B68" w14:paraId="06152D6B" w14:textId="77777777" w:rsidTr="00DE2F8A">
        <w:trPr>
          <w:trHeight w:val="914"/>
        </w:trPr>
        <w:tc>
          <w:tcPr>
            <w:tcW w:w="5000" w:type="pct"/>
            <w:gridSpan w:val="3"/>
            <w:tcBorders>
              <w:top w:val="single" w:sz="4" w:space="0" w:color="000000"/>
              <w:left w:val="single" w:sz="4" w:space="0" w:color="000000"/>
              <w:bottom w:val="single" w:sz="4" w:space="0" w:color="000000"/>
              <w:right w:val="single" w:sz="4" w:space="0" w:color="000000"/>
            </w:tcBorders>
            <w:hideMark/>
          </w:tcPr>
          <w:p w14:paraId="17B49718" w14:textId="77777777" w:rsidR="00DE2F8A" w:rsidRPr="007B4B68" w:rsidRDefault="00DE2F8A" w:rsidP="00A65E5F">
            <w:pPr>
              <w:ind w:left="142"/>
              <w:rPr>
                <w:rFonts w:eastAsia="Calibri"/>
                <w:sz w:val="24"/>
                <w:szCs w:val="24"/>
              </w:rPr>
            </w:pPr>
            <w:r w:rsidRPr="007B4B68">
              <w:rPr>
                <w:rFonts w:eastAsia="Calibri"/>
                <w:sz w:val="24"/>
                <w:szCs w:val="24"/>
                <w:vertAlign w:val="superscript"/>
              </w:rPr>
              <w:t>1</w:t>
            </w:r>
            <w:r w:rsidRPr="00C81E0B">
              <w:rPr>
                <w:rFonts w:eastAsia="Calibri"/>
                <w:vertAlign w:val="superscript"/>
              </w:rPr>
              <w:t xml:space="preserve"> </w:t>
            </w:r>
            <w:r w:rsidRPr="00A65E5F">
              <w:rPr>
                <w:rFonts w:eastAsia="Calibri"/>
                <w:sz w:val="24"/>
                <w:szCs w:val="24"/>
                <w:vertAlign w:val="superscript"/>
              </w:rPr>
              <w:t xml:space="preserve">Ikke-artsrelaterede grænseværdier er bestemt primært på basis af PK/PD-data og er uafhængige af MIC-fordelingerne for specifikke </w:t>
            </w:r>
            <w:proofErr w:type="spellStart"/>
            <w:r w:rsidRPr="00A65E5F">
              <w:rPr>
                <w:rFonts w:eastAsia="Calibri"/>
                <w:i/>
                <w:iCs/>
                <w:sz w:val="24"/>
                <w:szCs w:val="24"/>
                <w:vertAlign w:val="superscript"/>
              </w:rPr>
              <w:t>Candida</w:t>
            </w:r>
            <w:proofErr w:type="spellEnd"/>
            <w:r w:rsidRPr="00A65E5F">
              <w:rPr>
                <w:rFonts w:eastAsia="Calibri"/>
                <w:sz w:val="24"/>
                <w:szCs w:val="24"/>
                <w:vertAlign w:val="superscript"/>
              </w:rPr>
              <w:t>-arter. De bruges udelukkende for organismer, der ikke selv har specifikke grænseværdier.</w:t>
            </w:r>
          </w:p>
        </w:tc>
      </w:tr>
    </w:tbl>
    <w:p w14:paraId="72F3CE48" w14:textId="77777777" w:rsidR="00C5280D" w:rsidRPr="007B4B68" w:rsidRDefault="00C5280D" w:rsidP="0086754E">
      <w:pPr>
        <w:ind w:left="851"/>
        <w:rPr>
          <w:sz w:val="24"/>
          <w:szCs w:val="24"/>
        </w:rPr>
      </w:pPr>
    </w:p>
    <w:p w14:paraId="0E3D9114" w14:textId="77777777" w:rsidR="00C5280D" w:rsidRPr="007B4B68" w:rsidRDefault="00C5280D" w:rsidP="0086754E">
      <w:pPr>
        <w:ind w:left="851"/>
        <w:rPr>
          <w:sz w:val="24"/>
          <w:szCs w:val="24"/>
        </w:rPr>
      </w:pPr>
      <w:r w:rsidRPr="007B4B68">
        <w:rPr>
          <w:i/>
          <w:sz w:val="24"/>
          <w:szCs w:val="24"/>
          <w:u w:val="single"/>
        </w:rPr>
        <w:t xml:space="preserve">In </w:t>
      </w:r>
      <w:proofErr w:type="spellStart"/>
      <w:r w:rsidRPr="007B4B68">
        <w:rPr>
          <w:i/>
          <w:sz w:val="24"/>
          <w:szCs w:val="24"/>
          <w:u w:val="single"/>
        </w:rPr>
        <w:t>vivo</w:t>
      </w:r>
      <w:proofErr w:type="spellEnd"/>
      <w:r w:rsidRPr="007B4B68">
        <w:rPr>
          <w:i/>
          <w:sz w:val="24"/>
          <w:szCs w:val="24"/>
          <w:u w:val="single"/>
        </w:rPr>
        <w:t>-</w:t>
      </w:r>
      <w:r w:rsidRPr="007B4B68">
        <w:rPr>
          <w:sz w:val="24"/>
          <w:szCs w:val="24"/>
          <w:u w:val="single"/>
        </w:rPr>
        <w:t>aktivitet</w:t>
      </w:r>
    </w:p>
    <w:p w14:paraId="6AF3558C" w14:textId="77777777" w:rsidR="00C5280D" w:rsidRPr="007B4B68" w:rsidRDefault="00C5280D" w:rsidP="0086754E">
      <w:pPr>
        <w:ind w:left="851"/>
        <w:rPr>
          <w:sz w:val="24"/>
          <w:szCs w:val="24"/>
        </w:rPr>
      </w:pPr>
    </w:p>
    <w:p w14:paraId="1425DF49" w14:textId="77777777" w:rsidR="00C5280D" w:rsidRPr="007B4B68" w:rsidRDefault="00C5280D" w:rsidP="0086754E">
      <w:pPr>
        <w:ind w:left="851"/>
        <w:rPr>
          <w:sz w:val="24"/>
          <w:szCs w:val="24"/>
        </w:rPr>
      </w:pPr>
      <w:r w:rsidRPr="007B4B68">
        <w:rPr>
          <w:sz w:val="24"/>
          <w:szCs w:val="24"/>
        </w:rPr>
        <w:t xml:space="preserve">Parenteralt administreret </w:t>
      </w:r>
      <w:proofErr w:type="spellStart"/>
      <w:r w:rsidRPr="007B4B68">
        <w:rPr>
          <w:sz w:val="24"/>
          <w:szCs w:val="24"/>
        </w:rPr>
        <w:t>anidulafungin</w:t>
      </w:r>
      <w:proofErr w:type="spellEnd"/>
      <w:r w:rsidRPr="007B4B68">
        <w:rPr>
          <w:sz w:val="24"/>
          <w:szCs w:val="24"/>
        </w:rPr>
        <w:t xml:space="preserve"> var virksomt over for </w:t>
      </w:r>
      <w:proofErr w:type="spellStart"/>
      <w:r w:rsidRPr="007B4B68">
        <w:rPr>
          <w:i/>
          <w:sz w:val="24"/>
          <w:szCs w:val="24"/>
        </w:rPr>
        <w:t>Candida</w:t>
      </w:r>
      <w:proofErr w:type="spellEnd"/>
      <w:r w:rsidRPr="007B4B68">
        <w:rPr>
          <w:sz w:val="24"/>
          <w:szCs w:val="24"/>
        </w:rPr>
        <w:t xml:space="preserve">-arter i immunkompetente og immunkompromitterede modeller med mus og kaniner. Behandling med </w:t>
      </w:r>
      <w:proofErr w:type="spellStart"/>
      <w:r w:rsidRPr="007B4B68">
        <w:rPr>
          <w:sz w:val="24"/>
          <w:szCs w:val="24"/>
        </w:rPr>
        <w:t>anidulafungin</w:t>
      </w:r>
      <w:proofErr w:type="spellEnd"/>
      <w:r w:rsidRPr="007B4B68">
        <w:rPr>
          <w:sz w:val="24"/>
          <w:szCs w:val="24"/>
        </w:rPr>
        <w:t xml:space="preserve"> forlængede overlevelsen og reducerede også organskaden af </w:t>
      </w:r>
      <w:proofErr w:type="spellStart"/>
      <w:r w:rsidRPr="007B4B68">
        <w:rPr>
          <w:i/>
          <w:sz w:val="24"/>
          <w:szCs w:val="24"/>
        </w:rPr>
        <w:t>Candida</w:t>
      </w:r>
      <w:proofErr w:type="spellEnd"/>
      <w:r w:rsidRPr="007B4B68">
        <w:rPr>
          <w:sz w:val="24"/>
          <w:szCs w:val="24"/>
        </w:rPr>
        <w:t>-arter, når den blev målt ved intervaller fra 24-96 timer efter sidste behandling.</w:t>
      </w:r>
    </w:p>
    <w:p w14:paraId="0BF3BE14" w14:textId="77777777" w:rsidR="00C5280D" w:rsidRPr="007B4B68" w:rsidRDefault="00C5280D" w:rsidP="0086754E">
      <w:pPr>
        <w:ind w:left="851"/>
        <w:rPr>
          <w:sz w:val="24"/>
          <w:szCs w:val="24"/>
        </w:rPr>
      </w:pPr>
    </w:p>
    <w:p w14:paraId="20CFAE7A" w14:textId="77777777" w:rsidR="00C5280D" w:rsidRPr="007B4B68" w:rsidRDefault="00C5280D" w:rsidP="0086754E">
      <w:pPr>
        <w:ind w:left="851"/>
        <w:rPr>
          <w:sz w:val="24"/>
          <w:szCs w:val="24"/>
        </w:rPr>
      </w:pPr>
      <w:r w:rsidRPr="007B4B68">
        <w:rPr>
          <w:sz w:val="24"/>
          <w:szCs w:val="24"/>
        </w:rPr>
        <w:t xml:space="preserve">Eksperimentelle infektioner omfattede dissemineret </w:t>
      </w:r>
      <w:r w:rsidRPr="007B4B68">
        <w:rPr>
          <w:i/>
          <w:sz w:val="24"/>
          <w:szCs w:val="24"/>
        </w:rPr>
        <w:t xml:space="preserve">C. </w:t>
      </w:r>
      <w:proofErr w:type="spellStart"/>
      <w:r w:rsidRPr="007B4B68">
        <w:rPr>
          <w:i/>
          <w:sz w:val="24"/>
          <w:szCs w:val="24"/>
        </w:rPr>
        <w:t>albicans</w:t>
      </w:r>
      <w:proofErr w:type="spellEnd"/>
      <w:r w:rsidRPr="007B4B68">
        <w:rPr>
          <w:sz w:val="24"/>
          <w:szCs w:val="24"/>
        </w:rPr>
        <w:t xml:space="preserve">-infektion i </w:t>
      </w:r>
      <w:proofErr w:type="spellStart"/>
      <w:r w:rsidRPr="007B4B68">
        <w:rPr>
          <w:sz w:val="24"/>
          <w:szCs w:val="24"/>
        </w:rPr>
        <w:t>neutropene</w:t>
      </w:r>
      <w:proofErr w:type="spellEnd"/>
      <w:r w:rsidRPr="007B4B68">
        <w:rPr>
          <w:sz w:val="24"/>
          <w:szCs w:val="24"/>
        </w:rPr>
        <w:t xml:space="preserve"> kaniner, </w:t>
      </w:r>
      <w:proofErr w:type="spellStart"/>
      <w:r w:rsidRPr="007B4B68">
        <w:rPr>
          <w:sz w:val="24"/>
          <w:szCs w:val="24"/>
        </w:rPr>
        <w:t>øsofageal</w:t>
      </w:r>
      <w:proofErr w:type="spellEnd"/>
      <w:r w:rsidRPr="007B4B68">
        <w:rPr>
          <w:sz w:val="24"/>
          <w:szCs w:val="24"/>
        </w:rPr>
        <w:t>/</w:t>
      </w:r>
      <w:proofErr w:type="spellStart"/>
      <w:r w:rsidRPr="007B4B68">
        <w:rPr>
          <w:sz w:val="24"/>
          <w:szCs w:val="24"/>
        </w:rPr>
        <w:t>orofaryngeal</w:t>
      </w:r>
      <w:proofErr w:type="spellEnd"/>
      <w:r w:rsidRPr="007B4B68">
        <w:rPr>
          <w:sz w:val="24"/>
          <w:szCs w:val="24"/>
        </w:rPr>
        <w:t xml:space="preserve">-infektion af </w:t>
      </w:r>
      <w:proofErr w:type="spellStart"/>
      <w:r w:rsidRPr="007B4B68">
        <w:rPr>
          <w:sz w:val="24"/>
          <w:szCs w:val="24"/>
        </w:rPr>
        <w:t>neutropene</w:t>
      </w:r>
      <w:proofErr w:type="spellEnd"/>
      <w:r w:rsidRPr="007B4B68">
        <w:rPr>
          <w:sz w:val="24"/>
          <w:szCs w:val="24"/>
        </w:rPr>
        <w:t xml:space="preserve"> kaniner med </w:t>
      </w:r>
      <w:proofErr w:type="spellStart"/>
      <w:r w:rsidRPr="007B4B68">
        <w:rPr>
          <w:sz w:val="24"/>
          <w:szCs w:val="24"/>
        </w:rPr>
        <w:t>fluconazol</w:t>
      </w:r>
      <w:proofErr w:type="spellEnd"/>
      <w:r w:rsidRPr="007B4B68">
        <w:rPr>
          <w:sz w:val="24"/>
          <w:szCs w:val="24"/>
        </w:rPr>
        <w:t xml:space="preserve">-resistente </w:t>
      </w:r>
      <w:r w:rsidRPr="007B4B68">
        <w:rPr>
          <w:i/>
          <w:sz w:val="24"/>
          <w:szCs w:val="24"/>
        </w:rPr>
        <w:t xml:space="preserve">C. </w:t>
      </w:r>
      <w:proofErr w:type="spellStart"/>
      <w:r w:rsidRPr="007B4B68">
        <w:rPr>
          <w:i/>
          <w:sz w:val="24"/>
          <w:szCs w:val="24"/>
        </w:rPr>
        <w:t>albicans</w:t>
      </w:r>
      <w:proofErr w:type="spellEnd"/>
      <w:r w:rsidRPr="007B4B68">
        <w:rPr>
          <w:i/>
          <w:sz w:val="24"/>
          <w:szCs w:val="24"/>
        </w:rPr>
        <w:t xml:space="preserve"> </w:t>
      </w:r>
      <w:r w:rsidRPr="007B4B68">
        <w:rPr>
          <w:sz w:val="24"/>
          <w:szCs w:val="24"/>
        </w:rPr>
        <w:t xml:space="preserve">og dissemineret infektion af </w:t>
      </w:r>
      <w:proofErr w:type="spellStart"/>
      <w:r w:rsidRPr="007B4B68">
        <w:rPr>
          <w:sz w:val="24"/>
          <w:szCs w:val="24"/>
        </w:rPr>
        <w:t>neutropene</w:t>
      </w:r>
      <w:proofErr w:type="spellEnd"/>
      <w:r w:rsidRPr="007B4B68">
        <w:rPr>
          <w:sz w:val="24"/>
          <w:szCs w:val="24"/>
        </w:rPr>
        <w:t xml:space="preserve"> mus med </w:t>
      </w:r>
      <w:proofErr w:type="spellStart"/>
      <w:r w:rsidRPr="007B4B68">
        <w:rPr>
          <w:sz w:val="24"/>
          <w:szCs w:val="24"/>
        </w:rPr>
        <w:t>fluconazol</w:t>
      </w:r>
      <w:proofErr w:type="spellEnd"/>
      <w:r w:rsidRPr="007B4B68">
        <w:rPr>
          <w:sz w:val="24"/>
          <w:szCs w:val="24"/>
        </w:rPr>
        <w:t xml:space="preserve">-resistente </w:t>
      </w:r>
      <w:r w:rsidRPr="007B4B68">
        <w:rPr>
          <w:i/>
          <w:sz w:val="24"/>
          <w:szCs w:val="24"/>
        </w:rPr>
        <w:t xml:space="preserve">C. </w:t>
      </w:r>
      <w:proofErr w:type="spellStart"/>
      <w:r w:rsidRPr="007B4B68">
        <w:rPr>
          <w:i/>
          <w:sz w:val="24"/>
          <w:szCs w:val="24"/>
        </w:rPr>
        <w:t>glabrata</w:t>
      </w:r>
      <w:proofErr w:type="spellEnd"/>
      <w:r w:rsidRPr="007B4B68">
        <w:rPr>
          <w:sz w:val="24"/>
          <w:szCs w:val="24"/>
        </w:rPr>
        <w:t>.</w:t>
      </w:r>
    </w:p>
    <w:p w14:paraId="5A655469" w14:textId="77777777" w:rsidR="00C5280D" w:rsidRPr="007B4B68" w:rsidRDefault="00C5280D" w:rsidP="0086754E">
      <w:pPr>
        <w:ind w:left="851"/>
        <w:rPr>
          <w:sz w:val="24"/>
          <w:szCs w:val="24"/>
        </w:rPr>
      </w:pPr>
    </w:p>
    <w:p w14:paraId="7C643508" w14:textId="77777777" w:rsidR="00C5280D" w:rsidRPr="007B4B68" w:rsidRDefault="00C5280D" w:rsidP="0086754E">
      <w:pPr>
        <w:ind w:left="851"/>
        <w:rPr>
          <w:sz w:val="24"/>
          <w:szCs w:val="24"/>
        </w:rPr>
      </w:pPr>
      <w:r w:rsidRPr="007B4B68">
        <w:rPr>
          <w:sz w:val="24"/>
          <w:szCs w:val="24"/>
          <w:u w:val="single"/>
        </w:rPr>
        <w:t>Klinisk virkning og sikkerhed</w:t>
      </w:r>
    </w:p>
    <w:p w14:paraId="2B535B89" w14:textId="77777777" w:rsidR="00C5280D" w:rsidRPr="007B4B68" w:rsidRDefault="00C5280D" w:rsidP="0086754E">
      <w:pPr>
        <w:ind w:left="851"/>
        <w:rPr>
          <w:sz w:val="24"/>
          <w:szCs w:val="24"/>
        </w:rPr>
      </w:pPr>
    </w:p>
    <w:p w14:paraId="37EB5257" w14:textId="77777777" w:rsidR="00C5280D" w:rsidRPr="007B4B68" w:rsidRDefault="00C5280D" w:rsidP="0086754E">
      <w:pPr>
        <w:ind w:left="851"/>
        <w:rPr>
          <w:i/>
          <w:sz w:val="24"/>
          <w:szCs w:val="24"/>
        </w:rPr>
      </w:pPr>
      <w:proofErr w:type="spellStart"/>
      <w:r w:rsidRPr="007B4B68">
        <w:rPr>
          <w:i/>
          <w:sz w:val="24"/>
          <w:szCs w:val="24"/>
        </w:rPr>
        <w:t>Candidæmi</w:t>
      </w:r>
      <w:proofErr w:type="spellEnd"/>
      <w:r w:rsidRPr="007B4B68">
        <w:rPr>
          <w:i/>
          <w:sz w:val="24"/>
          <w:szCs w:val="24"/>
        </w:rPr>
        <w:t xml:space="preserve"> og andre former for invasiv </w:t>
      </w:r>
      <w:proofErr w:type="spellStart"/>
      <w:r w:rsidRPr="007B4B68">
        <w:rPr>
          <w:i/>
          <w:sz w:val="24"/>
          <w:szCs w:val="24"/>
        </w:rPr>
        <w:t>candidiasis</w:t>
      </w:r>
      <w:proofErr w:type="spellEnd"/>
    </w:p>
    <w:p w14:paraId="59C29697" w14:textId="77777777" w:rsidR="00C5280D" w:rsidRPr="007B4B68" w:rsidRDefault="00C5280D" w:rsidP="0086754E">
      <w:pPr>
        <w:ind w:left="851"/>
        <w:rPr>
          <w:sz w:val="24"/>
          <w:szCs w:val="24"/>
        </w:rPr>
      </w:pPr>
      <w:r w:rsidRPr="007B4B68">
        <w:rPr>
          <w:sz w:val="24"/>
          <w:szCs w:val="24"/>
        </w:rPr>
        <w:t xml:space="preserve">Sikkerhed og effekt af </w:t>
      </w:r>
      <w:proofErr w:type="spellStart"/>
      <w:r w:rsidRPr="007B4B68">
        <w:rPr>
          <w:sz w:val="24"/>
          <w:szCs w:val="24"/>
        </w:rPr>
        <w:t>anidulafungin</w:t>
      </w:r>
      <w:proofErr w:type="spellEnd"/>
      <w:r w:rsidRPr="007B4B68">
        <w:rPr>
          <w:sz w:val="24"/>
          <w:szCs w:val="24"/>
        </w:rPr>
        <w:t xml:space="preserve"> er vurderet i et </w:t>
      </w:r>
      <w:proofErr w:type="spellStart"/>
      <w:r w:rsidRPr="007B4B68">
        <w:rPr>
          <w:sz w:val="24"/>
          <w:szCs w:val="24"/>
        </w:rPr>
        <w:t>pivotal</w:t>
      </w:r>
      <w:proofErr w:type="spellEnd"/>
      <w:r w:rsidRPr="007B4B68">
        <w:rPr>
          <w:sz w:val="24"/>
          <w:szCs w:val="24"/>
        </w:rPr>
        <w:t xml:space="preserve"> fase 3, randomiseret, dobbeltblindt, multicenter, multinationalt studie hos primært non-</w:t>
      </w:r>
      <w:proofErr w:type="spellStart"/>
      <w:r w:rsidRPr="007B4B68">
        <w:rPr>
          <w:sz w:val="24"/>
          <w:szCs w:val="24"/>
        </w:rPr>
        <w:t>neutropene</w:t>
      </w:r>
      <w:proofErr w:type="spellEnd"/>
      <w:r w:rsidRPr="007B4B68">
        <w:rPr>
          <w:sz w:val="24"/>
          <w:szCs w:val="24"/>
        </w:rPr>
        <w:t xml:space="preserve"> patienter med </w:t>
      </w:r>
      <w:proofErr w:type="spellStart"/>
      <w:r w:rsidRPr="007B4B68">
        <w:rPr>
          <w:sz w:val="24"/>
          <w:szCs w:val="24"/>
        </w:rPr>
        <w:t>candidæmi</w:t>
      </w:r>
      <w:proofErr w:type="spellEnd"/>
      <w:r w:rsidRPr="007B4B68">
        <w:rPr>
          <w:sz w:val="24"/>
          <w:szCs w:val="24"/>
        </w:rPr>
        <w:t xml:space="preserve"> og et begrænset antal patienter med </w:t>
      </w:r>
      <w:proofErr w:type="spellStart"/>
      <w:r w:rsidRPr="007B4B68">
        <w:rPr>
          <w:i/>
          <w:sz w:val="24"/>
          <w:szCs w:val="24"/>
        </w:rPr>
        <w:t>Candida</w:t>
      </w:r>
      <w:proofErr w:type="spellEnd"/>
      <w:r w:rsidRPr="007B4B68">
        <w:rPr>
          <w:sz w:val="24"/>
          <w:szCs w:val="24"/>
        </w:rPr>
        <w:t xml:space="preserve">-infektioner i dybtliggende væv eller med abscesdannende tilstande. Patienter med </w:t>
      </w:r>
      <w:proofErr w:type="spellStart"/>
      <w:r w:rsidRPr="007B4B68">
        <w:rPr>
          <w:i/>
          <w:sz w:val="24"/>
          <w:szCs w:val="24"/>
        </w:rPr>
        <w:t>Candida</w:t>
      </w:r>
      <w:r w:rsidRPr="007B4B68">
        <w:rPr>
          <w:sz w:val="24"/>
          <w:szCs w:val="24"/>
        </w:rPr>
        <w:t>-endocarditis</w:t>
      </w:r>
      <w:proofErr w:type="spellEnd"/>
      <w:r w:rsidRPr="007B4B68">
        <w:rPr>
          <w:sz w:val="24"/>
          <w:szCs w:val="24"/>
        </w:rPr>
        <w:t xml:space="preserve">, </w:t>
      </w:r>
      <w:proofErr w:type="spellStart"/>
      <w:r w:rsidRPr="007B4B68">
        <w:rPr>
          <w:sz w:val="24"/>
          <w:szCs w:val="24"/>
        </w:rPr>
        <w:t>osteomyelitis</w:t>
      </w:r>
      <w:proofErr w:type="spellEnd"/>
      <w:r w:rsidRPr="007B4B68">
        <w:rPr>
          <w:sz w:val="24"/>
          <w:szCs w:val="24"/>
        </w:rPr>
        <w:t xml:space="preserve"> eller meningitis eller patienter inficeret med </w:t>
      </w:r>
      <w:r w:rsidRPr="007B4B68">
        <w:rPr>
          <w:i/>
          <w:sz w:val="24"/>
          <w:szCs w:val="24"/>
        </w:rPr>
        <w:t xml:space="preserve">C. </w:t>
      </w:r>
      <w:proofErr w:type="spellStart"/>
      <w:r w:rsidRPr="007B4B68">
        <w:rPr>
          <w:i/>
          <w:sz w:val="24"/>
          <w:szCs w:val="24"/>
        </w:rPr>
        <w:t>krusei</w:t>
      </w:r>
      <w:proofErr w:type="spellEnd"/>
      <w:r w:rsidRPr="007B4B68">
        <w:rPr>
          <w:i/>
          <w:sz w:val="24"/>
          <w:szCs w:val="24"/>
        </w:rPr>
        <w:t xml:space="preserve"> </w:t>
      </w:r>
      <w:r w:rsidRPr="007B4B68">
        <w:rPr>
          <w:sz w:val="24"/>
          <w:szCs w:val="24"/>
        </w:rPr>
        <w:t xml:space="preserve">blev specifikt ekskluderet af studiet. Patienterne blev randomiseret til enten at få </w:t>
      </w:r>
      <w:proofErr w:type="spellStart"/>
      <w:r w:rsidRPr="007B4B68">
        <w:rPr>
          <w:sz w:val="24"/>
          <w:szCs w:val="24"/>
        </w:rPr>
        <w:t>anidulafungin</w:t>
      </w:r>
      <w:proofErr w:type="spellEnd"/>
      <w:r w:rsidRPr="007B4B68">
        <w:rPr>
          <w:sz w:val="24"/>
          <w:szCs w:val="24"/>
        </w:rPr>
        <w:t xml:space="preserve"> (200 mg intravenøs initialdosis efterfulgt af 100 mg intravenøst dagligt) eller </w:t>
      </w:r>
      <w:proofErr w:type="spellStart"/>
      <w:r w:rsidRPr="007B4B68">
        <w:rPr>
          <w:sz w:val="24"/>
          <w:szCs w:val="24"/>
        </w:rPr>
        <w:t>fluconazol</w:t>
      </w:r>
      <w:proofErr w:type="spellEnd"/>
      <w:r w:rsidRPr="007B4B68">
        <w:rPr>
          <w:sz w:val="24"/>
          <w:szCs w:val="24"/>
        </w:rPr>
        <w:t xml:space="preserve"> (800 mg intravenøs initialdosis efterfulgt af 400 mg intravenøst dagligt) og blev stratificeret ved APACHE II-score (</w:t>
      </w:r>
      <w:r w:rsidRPr="007B4B68">
        <w:rPr>
          <w:sz w:val="24"/>
          <w:szCs w:val="24"/>
        </w:rPr>
        <w:t xml:space="preserve">20 og &gt;20) og tilstedeværelse eller fravær af </w:t>
      </w:r>
      <w:proofErr w:type="spellStart"/>
      <w:r w:rsidRPr="007B4B68">
        <w:rPr>
          <w:sz w:val="24"/>
          <w:szCs w:val="24"/>
        </w:rPr>
        <w:t>neutropeni</w:t>
      </w:r>
      <w:proofErr w:type="spellEnd"/>
      <w:r w:rsidRPr="007B4B68">
        <w:rPr>
          <w:sz w:val="24"/>
          <w:szCs w:val="24"/>
        </w:rPr>
        <w:t xml:space="preserve">. Behandlingen blev givet i mindst 14 dage og ikke mere end 42 dage. Patienter i begge behandlingsgrupper fik tilladelse til at skifte til oral </w:t>
      </w:r>
      <w:proofErr w:type="spellStart"/>
      <w:r w:rsidRPr="007B4B68">
        <w:rPr>
          <w:sz w:val="24"/>
          <w:szCs w:val="24"/>
        </w:rPr>
        <w:t>fluconazol</w:t>
      </w:r>
      <w:proofErr w:type="spellEnd"/>
      <w:r w:rsidRPr="007B4B68">
        <w:rPr>
          <w:sz w:val="24"/>
          <w:szCs w:val="24"/>
        </w:rPr>
        <w:t xml:space="preserve"> efter mindst 10 dages intravenøs behandling på betingelse af, at de kunne tåle orale lægemidler, og at de var afebrile i mindst 24 timer, samt at den seneste bloddyrkning var negativ for </w:t>
      </w:r>
      <w:proofErr w:type="spellStart"/>
      <w:r w:rsidRPr="007B4B68">
        <w:rPr>
          <w:i/>
          <w:sz w:val="24"/>
          <w:szCs w:val="24"/>
        </w:rPr>
        <w:t>Candida</w:t>
      </w:r>
      <w:proofErr w:type="spellEnd"/>
      <w:r w:rsidRPr="007B4B68">
        <w:rPr>
          <w:sz w:val="24"/>
          <w:szCs w:val="24"/>
        </w:rPr>
        <w:t>-arter.</w:t>
      </w:r>
    </w:p>
    <w:p w14:paraId="19180788" w14:textId="77777777" w:rsidR="00C5280D" w:rsidRPr="007B4B68" w:rsidRDefault="00C5280D" w:rsidP="0086754E">
      <w:pPr>
        <w:ind w:left="851"/>
        <w:rPr>
          <w:sz w:val="24"/>
          <w:szCs w:val="24"/>
        </w:rPr>
      </w:pPr>
    </w:p>
    <w:p w14:paraId="49E5BCBB" w14:textId="77777777" w:rsidR="00C5280D" w:rsidRPr="007B4B68" w:rsidRDefault="00C5280D" w:rsidP="0086754E">
      <w:pPr>
        <w:ind w:left="851"/>
        <w:rPr>
          <w:sz w:val="24"/>
          <w:szCs w:val="24"/>
        </w:rPr>
      </w:pPr>
      <w:r w:rsidRPr="007B4B68">
        <w:rPr>
          <w:sz w:val="24"/>
          <w:szCs w:val="24"/>
        </w:rPr>
        <w:t xml:space="preserve">De patienter, der fik mindst én dosis af studielægemidlet, og som havde en positiv dyrkning for </w:t>
      </w:r>
      <w:proofErr w:type="spellStart"/>
      <w:r w:rsidRPr="007B4B68">
        <w:rPr>
          <w:i/>
          <w:sz w:val="24"/>
          <w:szCs w:val="24"/>
        </w:rPr>
        <w:t>Candida</w:t>
      </w:r>
      <w:proofErr w:type="spellEnd"/>
      <w:r w:rsidRPr="007B4B68">
        <w:rPr>
          <w:sz w:val="24"/>
          <w:szCs w:val="24"/>
        </w:rPr>
        <w:t>-arter fra et normalt sterilt sted, før de indgik i studiet, blev inkluderet i den modificerede intent-to-</w:t>
      </w:r>
      <w:proofErr w:type="spellStart"/>
      <w:r w:rsidRPr="007B4B68">
        <w:rPr>
          <w:sz w:val="24"/>
          <w:szCs w:val="24"/>
        </w:rPr>
        <w:t>treat</w:t>
      </w:r>
      <w:proofErr w:type="spellEnd"/>
      <w:r w:rsidRPr="007B4B68">
        <w:rPr>
          <w:sz w:val="24"/>
          <w:szCs w:val="24"/>
        </w:rPr>
        <w:t xml:space="preserve"> (MITT)-population. I den primære effektanalyse, blev det globale respons for </w:t>
      </w:r>
      <w:proofErr w:type="spellStart"/>
      <w:r w:rsidRPr="007B4B68">
        <w:rPr>
          <w:sz w:val="24"/>
          <w:szCs w:val="24"/>
        </w:rPr>
        <w:t>anidulafungin</w:t>
      </w:r>
      <w:proofErr w:type="spellEnd"/>
      <w:r w:rsidRPr="007B4B68">
        <w:rPr>
          <w:sz w:val="24"/>
          <w:szCs w:val="24"/>
        </w:rPr>
        <w:t xml:space="preserve"> sammenlignet med </w:t>
      </w:r>
      <w:proofErr w:type="spellStart"/>
      <w:r w:rsidRPr="007B4B68">
        <w:rPr>
          <w:sz w:val="24"/>
          <w:szCs w:val="24"/>
        </w:rPr>
        <w:t>fluconazol</w:t>
      </w:r>
      <w:proofErr w:type="spellEnd"/>
      <w:r w:rsidRPr="007B4B68">
        <w:rPr>
          <w:sz w:val="24"/>
          <w:szCs w:val="24"/>
        </w:rPr>
        <w:t xml:space="preserve"> i MITT-populationer ved afslutning af intravenøs behandling i en præ-specifik statistisk sammenligning i 2 trin (non-inferioritet efterfulgt af </w:t>
      </w:r>
      <w:proofErr w:type="spellStart"/>
      <w:r w:rsidRPr="007B4B68">
        <w:rPr>
          <w:sz w:val="24"/>
          <w:szCs w:val="24"/>
        </w:rPr>
        <w:t>superioritet</w:t>
      </w:r>
      <w:proofErr w:type="spellEnd"/>
      <w:r w:rsidRPr="007B4B68">
        <w:rPr>
          <w:sz w:val="24"/>
          <w:szCs w:val="24"/>
        </w:rPr>
        <w:t xml:space="preserve">). Et succesfuldt globalt respons krævede klinisk bedring og mikrobiologisk </w:t>
      </w:r>
      <w:proofErr w:type="spellStart"/>
      <w:r w:rsidRPr="007B4B68">
        <w:rPr>
          <w:sz w:val="24"/>
          <w:szCs w:val="24"/>
        </w:rPr>
        <w:t>eradikation</w:t>
      </w:r>
      <w:proofErr w:type="spellEnd"/>
      <w:r w:rsidRPr="007B4B68">
        <w:rPr>
          <w:sz w:val="24"/>
          <w:szCs w:val="24"/>
        </w:rPr>
        <w:t>. Patienterne blev fulgt i 6 uger efter afslutning af al behandling.</w:t>
      </w:r>
    </w:p>
    <w:p w14:paraId="0D8620FD" w14:textId="77777777" w:rsidR="00C5280D" w:rsidRPr="007B4B68" w:rsidRDefault="00C5280D" w:rsidP="0086754E">
      <w:pPr>
        <w:ind w:left="851"/>
        <w:rPr>
          <w:sz w:val="24"/>
          <w:szCs w:val="24"/>
        </w:rPr>
      </w:pPr>
    </w:p>
    <w:p w14:paraId="6DAC2F39" w14:textId="6ED86F10" w:rsidR="00C5280D" w:rsidRPr="007B4B68" w:rsidRDefault="00C5280D" w:rsidP="0086754E">
      <w:pPr>
        <w:ind w:left="851"/>
        <w:rPr>
          <w:sz w:val="24"/>
          <w:szCs w:val="24"/>
        </w:rPr>
      </w:pPr>
      <w:r w:rsidRPr="007B4B68">
        <w:rPr>
          <w:sz w:val="24"/>
          <w:szCs w:val="24"/>
        </w:rPr>
        <w:t xml:space="preserve">256 patienter i alderen 16-91 år blev randomiseret til behandling, og fik mindst én dosis af studiemedicinen. De hyppigste arter isoleret ved </w:t>
      </w:r>
      <w:r w:rsidRPr="007B4B68">
        <w:rPr>
          <w:i/>
          <w:sz w:val="24"/>
          <w:szCs w:val="24"/>
        </w:rPr>
        <w:t xml:space="preserve">baseline </w:t>
      </w:r>
      <w:r w:rsidRPr="007B4B68">
        <w:rPr>
          <w:sz w:val="24"/>
          <w:szCs w:val="24"/>
        </w:rPr>
        <w:t xml:space="preserve">var </w:t>
      </w:r>
      <w:r w:rsidRPr="007B4B68">
        <w:rPr>
          <w:i/>
          <w:sz w:val="24"/>
          <w:szCs w:val="24"/>
        </w:rPr>
        <w:t xml:space="preserve">C. </w:t>
      </w:r>
      <w:proofErr w:type="spellStart"/>
      <w:r w:rsidRPr="007B4B68">
        <w:rPr>
          <w:i/>
          <w:sz w:val="24"/>
          <w:szCs w:val="24"/>
        </w:rPr>
        <w:t>albicans</w:t>
      </w:r>
      <w:proofErr w:type="spellEnd"/>
      <w:r w:rsidRPr="007B4B68">
        <w:rPr>
          <w:i/>
          <w:sz w:val="24"/>
          <w:szCs w:val="24"/>
        </w:rPr>
        <w:t xml:space="preserve"> </w:t>
      </w:r>
      <w:r w:rsidRPr="007B4B68">
        <w:rPr>
          <w:sz w:val="24"/>
          <w:szCs w:val="24"/>
        </w:rPr>
        <w:t xml:space="preserve">(63,8 % </w:t>
      </w:r>
      <w:proofErr w:type="spellStart"/>
      <w:r w:rsidRPr="007B4B68">
        <w:rPr>
          <w:sz w:val="24"/>
          <w:szCs w:val="24"/>
        </w:rPr>
        <w:t>anidulafungin</w:t>
      </w:r>
      <w:proofErr w:type="spellEnd"/>
      <w:r w:rsidRPr="007B4B68">
        <w:rPr>
          <w:sz w:val="24"/>
          <w:szCs w:val="24"/>
        </w:rPr>
        <w:t xml:space="preserve">, 59,3 % </w:t>
      </w:r>
      <w:proofErr w:type="spellStart"/>
      <w:r w:rsidRPr="007B4B68">
        <w:rPr>
          <w:sz w:val="24"/>
          <w:szCs w:val="24"/>
        </w:rPr>
        <w:t>fluconazol</w:t>
      </w:r>
      <w:proofErr w:type="spellEnd"/>
      <w:r w:rsidRPr="007B4B68">
        <w:rPr>
          <w:sz w:val="24"/>
          <w:szCs w:val="24"/>
        </w:rPr>
        <w:t xml:space="preserve">) efterfulgt af </w:t>
      </w:r>
      <w:r w:rsidRPr="007B4B68">
        <w:rPr>
          <w:i/>
          <w:sz w:val="24"/>
          <w:szCs w:val="24"/>
        </w:rPr>
        <w:t xml:space="preserve">C. </w:t>
      </w:r>
      <w:proofErr w:type="spellStart"/>
      <w:r w:rsidRPr="007B4B68">
        <w:rPr>
          <w:i/>
          <w:sz w:val="24"/>
          <w:szCs w:val="24"/>
        </w:rPr>
        <w:t>glabrata</w:t>
      </w:r>
      <w:proofErr w:type="spellEnd"/>
      <w:r w:rsidRPr="007B4B68">
        <w:rPr>
          <w:i/>
          <w:sz w:val="24"/>
          <w:szCs w:val="24"/>
        </w:rPr>
        <w:t xml:space="preserve"> </w:t>
      </w:r>
      <w:r w:rsidRPr="007B4B68">
        <w:rPr>
          <w:sz w:val="24"/>
          <w:szCs w:val="24"/>
        </w:rPr>
        <w:t xml:space="preserve">(15,7 %, 25,4 %), </w:t>
      </w:r>
      <w:r w:rsidRPr="007B4B68">
        <w:rPr>
          <w:i/>
          <w:sz w:val="24"/>
          <w:szCs w:val="24"/>
        </w:rPr>
        <w:t>C.</w:t>
      </w:r>
      <w:r w:rsidR="00AA4054">
        <w:rPr>
          <w:i/>
          <w:sz w:val="24"/>
          <w:szCs w:val="24"/>
        </w:rPr>
        <w:t> </w:t>
      </w:r>
      <w:proofErr w:type="spellStart"/>
      <w:r w:rsidRPr="007B4B68">
        <w:rPr>
          <w:i/>
          <w:sz w:val="24"/>
          <w:szCs w:val="24"/>
        </w:rPr>
        <w:t>parapsilosis</w:t>
      </w:r>
      <w:proofErr w:type="spellEnd"/>
      <w:r w:rsidRPr="007B4B68">
        <w:rPr>
          <w:i/>
          <w:sz w:val="24"/>
          <w:szCs w:val="24"/>
        </w:rPr>
        <w:t xml:space="preserve"> </w:t>
      </w:r>
      <w:r w:rsidRPr="007B4B68">
        <w:rPr>
          <w:sz w:val="24"/>
          <w:szCs w:val="24"/>
        </w:rPr>
        <w:t xml:space="preserve">(10,2 %, 13,6 %) og </w:t>
      </w:r>
      <w:r w:rsidRPr="007B4B68">
        <w:rPr>
          <w:i/>
          <w:sz w:val="24"/>
          <w:szCs w:val="24"/>
        </w:rPr>
        <w:t xml:space="preserve">C. </w:t>
      </w:r>
      <w:proofErr w:type="spellStart"/>
      <w:r w:rsidRPr="007B4B68">
        <w:rPr>
          <w:i/>
          <w:sz w:val="24"/>
          <w:szCs w:val="24"/>
        </w:rPr>
        <w:t>tropicalis</w:t>
      </w:r>
      <w:proofErr w:type="spellEnd"/>
      <w:r w:rsidRPr="007B4B68">
        <w:rPr>
          <w:i/>
          <w:sz w:val="24"/>
          <w:szCs w:val="24"/>
        </w:rPr>
        <w:t xml:space="preserve"> </w:t>
      </w:r>
      <w:r w:rsidRPr="007B4B68">
        <w:rPr>
          <w:sz w:val="24"/>
          <w:szCs w:val="24"/>
        </w:rPr>
        <w:t>(11,8 %, 9,3 %) med henholdsvis 20, 13 og</w:t>
      </w:r>
      <w:r w:rsidR="001B5F0E">
        <w:rPr>
          <w:sz w:val="24"/>
          <w:szCs w:val="24"/>
        </w:rPr>
        <w:t xml:space="preserve"> </w:t>
      </w:r>
      <w:r w:rsidRPr="007B4B68">
        <w:rPr>
          <w:sz w:val="24"/>
          <w:szCs w:val="24"/>
        </w:rPr>
        <w:t xml:space="preserve">15 </w:t>
      </w:r>
      <w:proofErr w:type="spellStart"/>
      <w:r w:rsidRPr="007B4B68">
        <w:rPr>
          <w:sz w:val="24"/>
          <w:szCs w:val="24"/>
        </w:rPr>
        <w:t>isolater</w:t>
      </w:r>
      <w:proofErr w:type="spellEnd"/>
      <w:r w:rsidRPr="007B4B68">
        <w:rPr>
          <w:sz w:val="24"/>
          <w:szCs w:val="24"/>
        </w:rPr>
        <w:t xml:space="preserve"> af de 3 sidstnævnte</w:t>
      </w:r>
      <w:r w:rsidR="008B0CF9" w:rsidRPr="007B4B68">
        <w:rPr>
          <w:sz w:val="24"/>
          <w:szCs w:val="24"/>
        </w:rPr>
        <w:t xml:space="preserve"> arter i </w:t>
      </w:r>
      <w:proofErr w:type="spellStart"/>
      <w:r w:rsidR="0077245D" w:rsidRPr="007B4B68">
        <w:rPr>
          <w:sz w:val="24"/>
          <w:szCs w:val="24"/>
        </w:rPr>
        <w:t>anidulafungingruppen</w:t>
      </w:r>
      <w:proofErr w:type="spellEnd"/>
      <w:r w:rsidRPr="007B4B68">
        <w:rPr>
          <w:sz w:val="24"/>
          <w:szCs w:val="24"/>
        </w:rPr>
        <w:t xml:space="preserve">. Størstedelen af patienterne havde Apache II-score </w:t>
      </w:r>
      <w:r w:rsidR="008275BC" w:rsidRPr="008275BC">
        <w:rPr>
          <w:rFonts w:hint="eastAsia"/>
          <w:bCs/>
          <w:szCs w:val="22"/>
        </w:rPr>
        <w:t>≤</w:t>
      </w:r>
      <w:r w:rsidR="008275BC">
        <w:rPr>
          <w:bCs/>
          <w:szCs w:val="22"/>
        </w:rPr>
        <w:t xml:space="preserve"> </w:t>
      </w:r>
      <w:r w:rsidRPr="007B4B68">
        <w:rPr>
          <w:sz w:val="24"/>
          <w:szCs w:val="24"/>
        </w:rPr>
        <w:t xml:space="preserve">20, og meget få var </w:t>
      </w:r>
      <w:proofErr w:type="spellStart"/>
      <w:r w:rsidRPr="007B4B68">
        <w:rPr>
          <w:sz w:val="24"/>
          <w:szCs w:val="24"/>
        </w:rPr>
        <w:t>neutropene</w:t>
      </w:r>
      <w:proofErr w:type="spellEnd"/>
      <w:r w:rsidRPr="007B4B68">
        <w:rPr>
          <w:sz w:val="24"/>
          <w:szCs w:val="24"/>
        </w:rPr>
        <w:t>.</w:t>
      </w:r>
    </w:p>
    <w:p w14:paraId="019C8915" w14:textId="77777777" w:rsidR="00C5280D" w:rsidRPr="007B4B68" w:rsidRDefault="00C5280D" w:rsidP="0086754E">
      <w:pPr>
        <w:ind w:left="851"/>
        <w:rPr>
          <w:sz w:val="24"/>
          <w:szCs w:val="24"/>
        </w:rPr>
      </w:pPr>
    </w:p>
    <w:p w14:paraId="167C9F57" w14:textId="77777777" w:rsidR="00DE2F8A" w:rsidRPr="007B4B68" w:rsidRDefault="00DE2F8A" w:rsidP="00DE2F8A">
      <w:pPr>
        <w:ind w:left="851"/>
        <w:rPr>
          <w:sz w:val="24"/>
          <w:szCs w:val="24"/>
        </w:rPr>
      </w:pPr>
      <w:r w:rsidRPr="007B4B68">
        <w:rPr>
          <w:sz w:val="24"/>
          <w:szCs w:val="24"/>
        </w:rPr>
        <w:t>Effektdata, både totalt og i forskellige undergrupper, ses i tabel 3 nedenfor.</w:t>
      </w:r>
    </w:p>
    <w:p w14:paraId="45F991EA" w14:textId="77777777" w:rsidR="00DE2F8A" w:rsidRPr="007B4B68" w:rsidRDefault="00DE2F8A" w:rsidP="00DE2F8A">
      <w:pPr>
        <w:pStyle w:val="Brdtekst"/>
        <w:spacing w:before="11"/>
        <w:ind w:left="851" w:hanging="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94"/>
        <w:gridCol w:w="1727"/>
        <w:gridCol w:w="1845"/>
        <w:gridCol w:w="1962"/>
      </w:tblGrid>
      <w:tr w:rsidR="00DE2F8A" w:rsidRPr="007B4B68" w14:paraId="786B1056" w14:textId="77777777" w:rsidTr="00A65E5F">
        <w:trPr>
          <w:trHeight w:val="254"/>
        </w:trPr>
        <w:tc>
          <w:tcPr>
            <w:tcW w:w="5000" w:type="pct"/>
            <w:gridSpan w:val="4"/>
            <w:tcBorders>
              <w:top w:val="single" w:sz="4" w:space="0" w:color="000000"/>
              <w:left w:val="single" w:sz="4" w:space="0" w:color="000000"/>
              <w:bottom w:val="single" w:sz="4" w:space="0" w:color="000000"/>
              <w:right w:val="single" w:sz="4" w:space="0" w:color="000000"/>
            </w:tcBorders>
            <w:hideMark/>
          </w:tcPr>
          <w:p w14:paraId="125F9886" w14:textId="77777777" w:rsidR="00DE2F8A" w:rsidRPr="007B4B68" w:rsidRDefault="00DE2F8A" w:rsidP="00A65E5F">
            <w:pPr>
              <w:ind w:left="142"/>
              <w:rPr>
                <w:rFonts w:eastAsia="Calibri"/>
                <w:sz w:val="24"/>
                <w:szCs w:val="24"/>
              </w:rPr>
            </w:pPr>
            <w:r>
              <w:rPr>
                <w:rFonts w:eastAsia="Calibri"/>
                <w:b/>
                <w:sz w:val="24"/>
                <w:szCs w:val="24"/>
              </w:rPr>
              <w:t>Skema</w:t>
            </w:r>
            <w:r w:rsidRPr="007B4B68">
              <w:rPr>
                <w:rFonts w:eastAsia="Calibri"/>
                <w:b/>
                <w:sz w:val="24"/>
                <w:szCs w:val="24"/>
              </w:rPr>
              <w:t xml:space="preserve"> 3. </w:t>
            </w:r>
            <w:r w:rsidRPr="007B4B68">
              <w:rPr>
                <w:rFonts w:eastAsia="Calibri"/>
                <w:sz w:val="24"/>
                <w:szCs w:val="24"/>
              </w:rPr>
              <w:t>Global succes i MITT-populationen: primære og sekundære endemål</w:t>
            </w:r>
          </w:p>
        </w:tc>
      </w:tr>
      <w:tr w:rsidR="00DE2F8A" w:rsidRPr="007B4B68" w14:paraId="39F25C41" w14:textId="77777777" w:rsidTr="00A65E5F">
        <w:trPr>
          <w:trHeight w:val="757"/>
        </w:trPr>
        <w:tc>
          <w:tcPr>
            <w:tcW w:w="2126" w:type="pct"/>
            <w:tcBorders>
              <w:top w:val="single" w:sz="4" w:space="0" w:color="000000"/>
              <w:left w:val="single" w:sz="4" w:space="0" w:color="000000"/>
              <w:bottom w:val="single" w:sz="4" w:space="0" w:color="000000"/>
              <w:right w:val="single" w:sz="4" w:space="0" w:color="000000"/>
            </w:tcBorders>
          </w:tcPr>
          <w:p w14:paraId="3E5EB445" w14:textId="77777777" w:rsidR="00DE2F8A" w:rsidRPr="007B4B68" w:rsidRDefault="00DE2F8A" w:rsidP="00A65E5F">
            <w:pPr>
              <w:ind w:left="142"/>
              <w:rPr>
                <w:rFonts w:eastAsia="Calibri"/>
                <w:sz w:val="24"/>
                <w:szCs w:val="24"/>
              </w:rPr>
            </w:pPr>
          </w:p>
        </w:tc>
        <w:tc>
          <w:tcPr>
            <w:tcW w:w="897" w:type="pct"/>
            <w:tcBorders>
              <w:top w:val="single" w:sz="4" w:space="0" w:color="000000"/>
              <w:left w:val="single" w:sz="4" w:space="0" w:color="000000"/>
              <w:bottom w:val="single" w:sz="4" w:space="0" w:color="000000"/>
              <w:right w:val="single" w:sz="4" w:space="0" w:color="000000"/>
            </w:tcBorders>
            <w:hideMark/>
          </w:tcPr>
          <w:p w14:paraId="52368CD0" w14:textId="77777777" w:rsidR="00DE2F8A" w:rsidRPr="007B4B68" w:rsidRDefault="00DE2F8A" w:rsidP="00A65E5F">
            <w:pPr>
              <w:ind w:left="142"/>
              <w:jc w:val="center"/>
              <w:rPr>
                <w:rFonts w:eastAsia="Calibri"/>
                <w:sz w:val="24"/>
                <w:szCs w:val="24"/>
              </w:rPr>
            </w:pPr>
            <w:proofErr w:type="spellStart"/>
            <w:r w:rsidRPr="007B4B68">
              <w:rPr>
                <w:rFonts w:eastAsia="Calibri"/>
                <w:sz w:val="24"/>
                <w:szCs w:val="24"/>
              </w:rPr>
              <w:t>Anidulafungin</w:t>
            </w:r>
            <w:proofErr w:type="spellEnd"/>
          </w:p>
        </w:tc>
        <w:tc>
          <w:tcPr>
            <w:tcW w:w="958" w:type="pct"/>
            <w:tcBorders>
              <w:top w:val="single" w:sz="4" w:space="0" w:color="000000"/>
              <w:left w:val="single" w:sz="4" w:space="0" w:color="000000"/>
              <w:bottom w:val="single" w:sz="4" w:space="0" w:color="000000"/>
              <w:right w:val="single" w:sz="4" w:space="0" w:color="000000"/>
            </w:tcBorders>
            <w:hideMark/>
          </w:tcPr>
          <w:p w14:paraId="11C4E7EC" w14:textId="77777777" w:rsidR="00DE2F8A" w:rsidRPr="007B4B68" w:rsidRDefault="00DE2F8A" w:rsidP="00A65E5F">
            <w:pPr>
              <w:ind w:left="142"/>
              <w:jc w:val="center"/>
              <w:rPr>
                <w:rFonts w:eastAsia="Calibri"/>
                <w:sz w:val="24"/>
                <w:szCs w:val="24"/>
              </w:rPr>
            </w:pPr>
            <w:proofErr w:type="spellStart"/>
            <w:r w:rsidRPr="007B4B68">
              <w:rPr>
                <w:rFonts w:eastAsia="Calibri"/>
                <w:sz w:val="24"/>
                <w:szCs w:val="24"/>
              </w:rPr>
              <w:t>Fluconazol</w:t>
            </w:r>
            <w:proofErr w:type="spellEnd"/>
          </w:p>
        </w:tc>
        <w:tc>
          <w:tcPr>
            <w:tcW w:w="1019" w:type="pct"/>
            <w:tcBorders>
              <w:top w:val="single" w:sz="4" w:space="0" w:color="000000"/>
              <w:left w:val="single" w:sz="4" w:space="0" w:color="000000"/>
              <w:bottom w:val="single" w:sz="4" w:space="0" w:color="000000"/>
              <w:right w:val="single" w:sz="4" w:space="0" w:color="000000"/>
            </w:tcBorders>
            <w:hideMark/>
          </w:tcPr>
          <w:p w14:paraId="4A0212D7" w14:textId="77777777" w:rsidR="00DE2F8A" w:rsidRPr="007B4B68" w:rsidRDefault="00DE2F8A" w:rsidP="00A65E5F">
            <w:pPr>
              <w:ind w:left="142"/>
              <w:jc w:val="center"/>
              <w:rPr>
                <w:rFonts w:eastAsia="Calibri"/>
                <w:sz w:val="24"/>
                <w:szCs w:val="24"/>
              </w:rPr>
            </w:pPr>
            <w:r w:rsidRPr="007B4B68">
              <w:rPr>
                <w:rFonts w:eastAsia="Calibri"/>
                <w:sz w:val="24"/>
                <w:szCs w:val="24"/>
              </w:rPr>
              <w:t>Forskelle</w:t>
            </w:r>
            <w:r w:rsidRPr="007B4B68">
              <w:rPr>
                <w:rFonts w:eastAsia="Calibri"/>
                <w:spacing w:val="-9"/>
                <w:sz w:val="24"/>
                <w:szCs w:val="24"/>
              </w:rPr>
              <w:t xml:space="preserve"> </w:t>
            </w:r>
            <w:r w:rsidRPr="007B4B68">
              <w:rPr>
                <w:rFonts w:eastAsia="Calibri"/>
                <w:sz w:val="24"/>
                <w:szCs w:val="24"/>
              </w:rPr>
              <w:t>mellem grupper</w:t>
            </w:r>
            <w:r w:rsidRPr="007B4B68">
              <w:rPr>
                <w:rFonts w:eastAsia="Calibri"/>
                <w:spacing w:val="-20"/>
                <w:sz w:val="24"/>
                <w:szCs w:val="24"/>
              </w:rPr>
              <w:t xml:space="preserve"> </w:t>
            </w:r>
            <w:r w:rsidRPr="007B4B68">
              <w:rPr>
                <w:rFonts w:eastAsia="Calibri"/>
                <w:sz w:val="24"/>
                <w:szCs w:val="24"/>
                <w:vertAlign w:val="superscript"/>
              </w:rPr>
              <w:t>a</w:t>
            </w:r>
          </w:p>
          <w:p w14:paraId="4C998E3B" w14:textId="77777777" w:rsidR="00DE2F8A" w:rsidRPr="007B4B68" w:rsidRDefault="00DE2F8A" w:rsidP="00A65E5F">
            <w:pPr>
              <w:ind w:left="142"/>
              <w:jc w:val="center"/>
              <w:rPr>
                <w:rFonts w:eastAsia="Calibri"/>
                <w:sz w:val="24"/>
                <w:szCs w:val="24"/>
              </w:rPr>
            </w:pPr>
            <w:r w:rsidRPr="007B4B68">
              <w:rPr>
                <w:rFonts w:eastAsia="Calibri"/>
                <w:sz w:val="24"/>
                <w:szCs w:val="24"/>
              </w:rPr>
              <w:t>(95%</w:t>
            </w:r>
            <w:r w:rsidRPr="007B4B68">
              <w:rPr>
                <w:rFonts w:eastAsia="Calibri"/>
                <w:spacing w:val="-6"/>
                <w:sz w:val="24"/>
                <w:szCs w:val="24"/>
              </w:rPr>
              <w:t xml:space="preserve"> </w:t>
            </w:r>
            <w:r w:rsidRPr="007B4B68">
              <w:rPr>
                <w:rFonts w:eastAsia="Calibri"/>
                <w:sz w:val="24"/>
                <w:szCs w:val="24"/>
              </w:rPr>
              <w:t>CI)</w:t>
            </w:r>
          </w:p>
        </w:tc>
      </w:tr>
      <w:tr w:rsidR="00DE2F8A" w:rsidRPr="007B4B68" w14:paraId="566C869D" w14:textId="77777777" w:rsidTr="00A65E5F">
        <w:trPr>
          <w:trHeight w:val="506"/>
        </w:trPr>
        <w:tc>
          <w:tcPr>
            <w:tcW w:w="2126" w:type="pct"/>
            <w:tcBorders>
              <w:top w:val="single" w:sz="4" w:space="0" w:color="000000"/>
              <w:left w:val="single" w:sz="4" w:space="0" w:color="000000"/>
              <w:bottom w:val="single" w:sz="4" w:space="0" w:color="000000"/>
              <w:right w:val="single" w:sz="4" w:space="0" w:color="000000"/>
            </w:tcBorders>
            <w:hideMark/>
          </w:tcPr>
          <w:p w14:paraId="21C9F5E4" w14:textId="77777777" w:rsidR="00DE2F8A" w:rsidRPr="007B4B68" w:rsidRDefault="00DE2F8A" w:rsidP="00A65E5F">
            <w:pPr>
              <w:ind w:left="142"/>
              <w:rPr>
                <w:rFonts w:eastAsia="Calibri"/>
                <w:b/>
                <w:sz w:val="24"/>
                <w:szCs w:val="24"/>
              </w:rPr>
            </w:pPr>
            <w:r w:rsidRPr="007B4B68">
              <w:rPr>
                <w:rFonts w:eastAsia="Calibri"/>
                <w:b/>
                <w:sz w:val="24"/>
                <w:szCs w:val="24"/>
              </w:rPr>
              <w:t xml:space="preserve">Afslutning af </w:t>
            </w:r>
            <w:proofErr w:type="spellStart"/>
            <w:r w:rsidRPr="007B4B68">
              <w:rPr>
                <w:rFonts w:eastAsia="Calibri"/>
                <w:b/>
                <w:sz w:val="24"/>
                <w:szCs w:val="24"/>
              </w:rPr>
              <w:t>i.v</w:t>
            </w:r>
            <w:proofErr w:type="spellEnd"/>
            <w:r w:rsidRPr="007B4B68">
              <w:rPr>
                <w:rFonts w:eastAsia="Calibri"/>
                <w:b/>
                <w:sz w:val="24"/>
                <w:szCs w:val="24"/>
              </w:rPr>
              <w:t>.-behandling (primære endemål)</w:t>
            </w:r>
          </w:p>
        </w:tc>
        <w:tc>
          <w:tcPr>
            <w:tcW w:w="897" w:type="pct"/>
            <w:tcBorders>
              <w:top w:val="single" w:sz="4" w:space="0" w:color="000000"/>
              <w:left w:val="single" w:sz="4" w:space="0" w:color="000000"/>
              <w:bottom w:val="single" w:sz="4" w:space="0" w:color="000000"/>
              <w:right w:val="single" w:sz="4" w:space="0" w:color="000000"/>
            </w:tcBorders>
            <w:hideMark/>
          </w:tcPr>
          <w:p w14:paraId="5BEB0238" w14:textId="77777777" w:rsidR="00DE2F8A" w:rsidRPr="007B4B68" w:rsidRDefault="00DE2F8A" w:rsidP="00A65E5F">
            <w:pPr>
              <w:ind w:left="142"/>
              <w:jc w:val="center"/>
              <w:rPr>
                <w:rFonts w:eastAsia="Calibri"/>
                <w:b/>
                <w:sz w:val="24"/>
                <w:szCs w:val="24"/>
              </w:rPr>
            </w:pPr>
            <w:r w:rsidRPr="007B4B68">
              <w:rPr>
                <w:rFonts w:eastAsia="Calibri"/>
                <w:b/>
                <w:sz w:val="24"/>
                <w:szCs w:val="24"/>
              </w:rPr>
              <w:t>96/127 (75,6</w:t>
            </w:r>
            <w:r>
              <w:rPr>
                <w:rFonts w:eastAsia="Calibri"/>
                <w:b/>
                <w:sz w:val="24"/>
                <w:szCs w:val="24"/>
              </w:rPr>
              <w:t xml:space="preserve"> </w:t>
            </w:r>
            <w:r w:rsidRPr="007B4B68">
              <w:rPr>
                <w:rFonts w:eastAsia="Calibri"/>
                <w:b/>
                <w:sz w:val="24"/>
                <w:szCs w:val="24"/>
              </w:rPr>
              <w:t>%)</w:t>
            </w:r>
          </w:p>
        </w:tc>
        <w:tc>
          <w:tcPr>
            <w:tcW w:w="958" w:type="pct"/>
            <w:tcBorders>
              <w:top w:val="single" w:sz="4" w:space="0" w:color="000000"/>
              <w:left w:val="single" w:sz="4" w:space="0" w:color="000000"/>
              <w:bottom w:val="single" w:sz="4" w:space="0" w:color="000000"/>
              <w:right w:val="single" w:sz="4" w:space="0" w:color="000000"/>
            </w:tcBorders>
            <w:hideMark/>
          </w:tcPr>
          <w:p w14:paraId="61C108BD" w14:textId="77777777" w:rsidR="00DE2F8A" w:rsidRPr="007B4B68" w:rsidRDefault="00DE2F8A" w:rsidP="00A65E5F">
            <w:pPr>
              <w:ind w:left="142"/>
              <w:jc w:val="center"/>
              <w:rPr>
                <w:rFonts w:eastAsia="Calibri"/>
                <w:b/>
                <w:sz w:val="24"/>
                <w:szCs w:val="24"/>
              </w:rPr>
            </w:pPr>
            <w:r w:rsidRPr="007B4B68">
              <w:rPr>
                <w:rFonts w:eastAsia="Calibri"/>
                <w:b/>
                <w:sz w:val="24"/>
                <w:szCs w:val="24"/>
              </w:rPr>
              <w:t>71/118 (60,2</w:t>
            </w:r>
            <w:r>
              <w:rPr>
                <w:rFonts w:eastAsia="Calibri"/>
                <w:b/>
                <w:sz w:val="24"/>
                <w:szCs w:val="24"/>
              </w:rPr>
              <w:t xml:space="preserve"> </w:t>
            </w:r>
            <w:r w:rsidRPr="007B4B68">
              <w:rPr>
                <w:rFonts w:eastAsia="Calibri"/>
                <w:b/>
                <w:sz w:val="24"/>
                <w:szCs w:val="24"/>
              </w:rPr>
              <w:t>%)</w:t>
            </w:r>
          </w:p>
        </w:tc>
        <w:tc>
          <w:tcPr>
            <w:tcW w:w="1019" w:type="pct"/>
            <w:tcBorders>
              <w:top w:val="single" w:sz="4" w:space="0" w:color="000000"/>
              <w:left w:val="single" w:sz="4" w:space="0" w:color="000000"/>
              <w:bottom w:val="single" w:sz="4" w:space="0" w:color="000000"/>
              <w:right w:val="single" w:sz="4" w:space="0" w:color="000000"/>
            </w:tcBorders>
            <w:hideMark/>
          </w:tcPr>
          <w:p w14:paraId="4579382A" w14:textId="77777777" w:rsidR="00DE2F8A" w:rsidRPr="007B4B68" w:rsidRDefault="00DE2F8A" w:rsidP="00A65E5F">
            <w:pPr>
              <w:ind w:left="142"/>
              <w:jc w:val="center"/>
              <w:rPr>
                <w:rFonts w:eastAsia="Calibri"/>
                <w:b/>
                <w:sz w:val="24"/>
                <w:szCs w:val="24"/>
              </w:rPr>
            </w:pPr>
            <w:r w:rsidRPr="007B4B68">
              <w:rPr>
                <w:rFonts w:eastAsia="Calibri"/>
                <w:b/>
                <w:sz w:val="24"/>
                <w:szCs w:val="24"/>
              </w:rPr>
              <w:t>15,42 (3,9; 27,0)</w:t>
            </w:r>
          </w:p>
        </w:tc>
      </w:tr>
      <w:tr w:rsidR="00DE2F8A" w:rsidRPr="007B4B68" w14:paraId="56635244" w14:textId="77777777" w:rsidTr="00A65E5F">
        <w:trPr>
          <w:trHeight w:val="251"/>
        </w:trPr>
        <w:tc>
          <w:tcPr>
            <w:tcW w:w="2126" w:type="pct"/>
            <w:tcBorders>
              <w:top w:val="single" w:sz="4" w:space="0" w:color="000000"/>
              <w:left w:val="single" w:sz="4" w:space="0" w:color="000000"/>
              <w:bottom w:val="single" w:sz="4" w:space="0" w:color="000000"/>
              <w:right w:val="single" w:sz="4" w:space="0" w:color="000000"/>
            </w:tcBorders>
            <w:hideMark/>
          </w:tcPr>
          <w:p w14:paraId="1C750955" w14:textId="77777777" w:rsidR="00DE2F8A" w:rsidRPr="007B4B68" w:rsidRDefault="00DE2F8A" w:rsidP="00A65E5F">
            <w:pPr>
              <w:ind w:left="142"/>
              <w:rPr>
                <w:rFonts w:eastAsia="Calibri"/>
                <w:sz w:val="24"/>
                <w:szCs w:val="24"/>
              </w:rPr>
            </w:pPr>
            <w:r w:rsidRPr="007B4B68">
              <w:rPr>
                <w:rFonts w:eastAsia="Calibri"/>
                <w:sz w:val="24"/>
                <w:szCs w:val="24"/>
              </w:rPr>
              <w:t xml:space="preserve">Kun </w:t>
            </w:r>
            <w:proofErr w:type="spellStart"/>
            <w:r w:rsidRPr="007B4B68">
              <w:rPr>
                <w:rFonts w:eastAsia="Calibri"/>
                <w:sz w:val="24"/>
                <w:szCs w:val="24"/>
              </w:rPr>
              <w:t>candidæmi</w:t>
            </w:r>
            <w:proofErr w:type="spellEnd"/>
          </w:p>
        </w:tc>
        <w:tc>
          <w:tcPr>
            <w:tcW w:w="897" w:type="pct"/>
            <w:tcBorders>
              <w:top w:val="single" w:sz="4" w:space="0" w:color="000000"/>
              <w:left w:val="single" w:sz="4" w:space="0" w:color="000000"/>
              <w:bottom w:val="single" w:sz="4" w:space="0" w:color="000000"/>
              <w:right w:val="single" w:sz="4" w:space="0" w:color="000000"/>
            </w:tcBorders>
            <w:hideMark/>
          </w:tcPr>
          <w:p w14:paraId="50F3C29E" w14:textId="77777777" w:rsidR="00DE2F8A" w:rsidRPr="007B4B68" w:rsidRDefault="00DE2F8A" w:rsidP="00A65E5F">
            <w:pPr>
              <w:ind w:left="142"/>
              <w:jc w:val="center"/>
              <w:rPr>
                <w:rFonts w:eastAsia="Calibri"/>
                <w:sz w:val="24"/>
                <w:szCs w:val="24"/>
              </w:rPr>
            </w:pPr>
            <w:r w:rsidRPr="007B4B68">
              <w:rPr>
                <w:rFonts w:eastAsia="Calibri"/>
                <w:sz w:val="24"/>
                <w:szCs w:val="24"/>
              </w:rPr>
              <w:t>88/116 (75,9</w:t>
            </w:r>
            <w:r>
              <w:rPr>
                <w:rFonts w:eastAsia="Calibri"/>
                <w:sz w:val="24"/>
                <w:szCs w:val="24"/>
              </w:rPr>
              <w:t xml:space="preserve"> </w:t>
            </w:r>
            <w:r w:rsidRPr="007B4B68">
              <w:rPr>
                <w:rFonts w:eastAsia="Calibri"/>
                <w:sz w:val="24"/>
                <w:szCs w:val="24"/>
              </w:rPr>
              <w:t>%)</w:t>
            </w:r>
          </w:p>
        </w:tc>
        <w:tc>
          <w:tcPr>
            <w:tcW w:w="958" w:type="pct"/>
            <w:tcBorders>
              <w:top w:val="single" w:sz="4" w:space="0" w:color="000000"/>
              <w:left w:val="single" w:sz="4" w:space="0" w:color="000000"/>
              <w:bottom w:val="single" w:sz="4" w:space="0" w:color="000000"/>
              <w:right w:val="single" w:sz="4" w:space="0" w:color="000000"/>
            </w:tcBorders>
            <w:hideMark/>
          </w:tcPr>
          <w:p w14:paraId="327DFED7" w14:textId="77777777" w:rsidR="00DE2F8A" w:rsidRPr="007B4B68" w:rsidRDefault="00DE2F8A" w:rsidP="00A65E5F">
            <w:pPr>
              <w:ind w:left="142"/>
              <w:jc w:val="center"/>
              <w:rPr>
                <w:rFonts w:eastAsia="Calibri"/>
                <w:sz w:val="24"/>
                <w:szCs w:val="24"/>
              </w:rPr>
            </w:pPr>
            <w:r w:rsidRPr="007B4B68">
              <w:rPr>
                <w:rFonts w:eastAsia="Calibri"/>
                <w:sz w:val="24"/>
                <w:szCs w:val="24"/>
              </w:rPr>
              <w:t>63/103 (61,2</w:t>
            </w:r>
            <w:r>
              <w:rPr>
                <w:rFonts w:eastAsia="Calibri"/>
                <w:sz w:val="24"/>
                <w:szCs w:val="24"/>
              </w:rPr>
              <w:t xml:space="preserve"> </w:t>
            </w:r>
            <w:r w:rsidRPr="007B4B68">
              <w:rPr>
                <w:rFonts w:eastAsia="Calibri"/>
                <w:sz w:val="24"/>
                <w:szCs w:val="24"/>
              </w:rPr>
              <w:t>%)</w:t>
            </w:r>
          </w:p>
        </w:tc>
        <w:tc>
          <w:tcPr>
            <w:tcW w:w="1019" w:type="pct"/>
            <w:tcBorders>
              <w:top w:val="single" w:sz="4" w:space="0" w:color="000000"/>
              <w:left w:val="single" w:sz="4" w:space="0" w:color="000000"/>
              <w:bottom w:val="single" w:sz="4" w:space="0" w:color="000000"/>
              <w:right w:val="single" w:sz="4" w:space="0" w:color="000000"/>
            </w:tcBorders>
            <w:hideMark/>
          </w:tcPr>
          <w:p w14:paraId="26A656F9" w14:textId="77777777" w:rsidR="00DE2F8A" w:rsidRPr="007B4B68" w:rsidRDefault="00DE2F8A" w:rsidP="00A65E5F">
            <w:pPr>
              <w:ind w:left="142"/>
              <w:jc w:val="center"/>
              <w:rPr>
                <w:rFonts w:eastAsia="Calibri"/>
                <w:sz w:val="24"/>
                <w:szCs w:val="24"/>
              </w:rPr>
            </w:pPr>
            <w:r w:rsidRPr="007B4B68">
              <w:rPr>
                <w:rFonts w:eastAsia="Calibri"/>
                <w:sz w:val="24"/>
                <w:szCs w:val="24"/>
              </w:rPr>
              <w:t>14,7 (2,5; 26,9)</w:t>
            </w:r>
          </w:p>
        </w:tc>
      </w:tr>
      <w:tr w:rsidR="00DE2F8A" w:rsidRPr="007B4B68" w14:paraId="62327CF2" w14:textId="77777777" w:rsidTr="00A65E5F">
        <w:trPr>
          <w:trHeight w:val="254"/>
        </w:trPr>
        <w:tc>
          <w:tcPr>
            <w:tcW w:w="2126" w:type="pct"/>
            <w:tcBorders>
              <w:top w:val="single" w:sz="4" w:space="0" w:color="000000"/>
              <w:left w:val="single" w:sz="4" w:space="0" w:color="000000"/>
              <w:bottom w:val="single" w:sz="4" w:space="0" w:color="000000"/>
              <w:right w:val="single" w:sz="4" w:space="0" w:color="000000"/>
            </w:tcBorders>
            <w:hideMark/>
          </w:tcPr>
          <w:p w14:paraId="3B57E34E" w14:textId="77777777" w:rsidR="00DE2F8A" w:rsidRPr="007B4B68" w:rsidRDefault="00DE2F8A" w:rsidP="00A65E5F">
            <w:pPr>
              <w:ind w:left="142"/>
              <w:rPr>
                <w:rFonts w:eastAsia="Calibri"/>
                <w:sz w:val="24"/>
                <w:szCs w:val="24"/>
              </w:rPr>
            </w:pPr>
            <w:r w:rsidRPr="007B4B68">
              <w:rPr>
                <w:rFonts w:eastAsia="Calibri"/>
                <w:sz w:val="24"/>
                <w:szCs w:val="24"/>
              </w:rPr>
              <w:t xml:space="preserve">Andre sterile </w:t>
            </w:r>
            <w:proofErr w:type="spellStart"/>
            <w:r w:rsidRPr="007B4B68">
              <w:rPr>
                <w:rFonts w:eastAsia="Calibri"/>
                <w:sz w:val="24"/>
                <w:szCs w:val="24"/>
              </w:rPr>
              <w:t>steder</w:t>
            </w:r>
            <w:r w:rsidRPr="007B4B68">
              <w:rPr>
                <w:rFonts w:eastAsia="Calibri"/>
                <w:sz w:val="24"/>
                <w:szCs w:val="24"/>
                <w:vertAlign w:val="superscript"/>
              </w:rPr>
              <w:t>b</w:t>
            </w:r>
            <w:proofErr w:type="spellEnd"/>
          </w:p>
        </w:tc>
        <w:tc>
          <w:tcPr>
            <w:tcW w:w="897" w:type="pct"/>
            <w:tcBorders>
              <w:top w:val="single" w:sz="4" w:space="0" w:color="000000"/>
              <w:left w:val="single" w:sz="4" w:space="0" w:color="000000"/>
              <w:bottom w:val="single" w:sz="4" w:space="0" w:color="000000"/>
              <w:right w:val="single" w:sz="4" w:space="0" w:color="000000"/>
            </w:tcBorders>
            <w:hideMark/>
          </w:tcPr>
          <w:p w14:paraId="35B7F0B1" w14:textId="77777777" w:rsidR="00DE2F8A" w:rsidRPr="007B4B68" w:rsidRDefault="00DE2F8A" w:rsidP="00A65E5F">
            <w:pPr>
              <w:ind w:left="142"/>
              <w:jc w:val="center"/>
              <w:rPr>
                <w:rFonts w:eastAsia="Calibri"/>
                <w:sz w:val="24"/>
                <w:szCs w:val="24"/>
              </w:rPr>
            </w:pPr>
            <w:r w:rsidRPr="007B4B68">
              <w:rPr>
                <w:rFonts w:eastAsia="Calibri"/>
                <w:sz w:val="24"/>
                <w:szCs w:val="24"/>
              </w:rPr>
              <w:t>8/11 (72,7</w:t>
            </w:r>
            <w:r>
              <w:rPr>
                <w:rFonts w:eastAsia="Calibri"/>
                <w:sz w:val="24"/>
                <w:szCs w:val="24"/>
              </w:rPr>
              <w:t xml:space="preserve"> </w:t>
            </w:r>
            <w:r w:rsidRPr="007B4B68">
              <w:rPr>
                <w:rFonts w:eastAsia="Calibri"/>
                <w:sz w:val="24"/>
                <w:szCs w:val="24"/>
              </w:rPr>
              <w:t>%)</w:t>
            </w:r>
          </w:p>
        </w:tc>
        <w:tc>
          <w:tcPr>
            <w:tcW w:w="958" w:type="pct"/>
            <w:tcBorders>
              <w:top w:val="single" w:sz="4" w:space="0" w:color="000000"/>
              <w:left w:val="single" w:sz="4" w:space="0" w:color="000000"/>
              <w:bottom w:val="single" w:sz="4" w:space="0" w:color="000000"/>
              <w:right w:val="single" w:sz="4" w:space="0" w:color="000000"/>
            </w:tcBorders>
            <w:hideMark/>
          </w:tcPr>
          <w:p w14:paraId="6C998978" w14:textId="77777777" w:rsidR="00DE2F8A" w:rsidRPr="007B4B68" w:rsidRDefault="00DE2F8A" w:rsidP="00A65E5F">
            <w:pPr>
              <w:ind w:left="142"/>
              <w:jc w:val="center"/>
              <w:rPr>
                <w:rFonts w:eastAsia="Calibri"/>
                <w:sz w:val="24"/>
                <w:szCs w:val="24"/>
              </w:rPr>
            </w:pPr>
            <w:r w:rsidRPr="007B4B68">
              <w:rPr>
                <w:rFonts w:eastAsia="Calibri"/>
                <w:sz w:val="24"/>
                <w:szCs w:val="24"/>
              </w:rPr>
              <w:t>8/15 (53,3</w:t>
            </w:r>
            <w:r>
              <w:rPr>
                <w:rFonts w:eastAsia="Calibri"/>
                <w:sz w:val="24"/>
                <w:szCs w:val="24"/>
              </w:rPr>
              <w:t xml:space="preserve"> </w:t>
            </w:r>
            <w:r w:rsidRPr="007B4B68">
              <w:rPr>
                <w:rFonts w:eastAsia="Calibri"/>
                <w:sz w:val="24"/>
                <w:szCs w:val="24"/>
              </w:rPr>
              <w:t>%)</w:t>
            </w:r>
          </w:p>
        </w:tc>
        <w:tc>
          <w:tcPr>
            <w:tcW w:w="1019" w:type="pct"/>
            <w:tcBorders>
              <w:top w:val="single" w:sz="4" w:space="0" w:color="000000"/>
              <w:left w:val="single" w:sz="4" w:space="0" w:color="000000"/>
              <w:bottom w:val="single" w:sz="4" w:space="0" w:color="000000"/>
              <w:right w:val="single" w:sz="4" w:space="0" w:color="000000"/>
            </w:tcBorders>
            <w:hideMark/>
          </w:tcPr>
          <w:p w14:paraId="593BB242" w14:textId="77777777" w:rsidR="00DE2F8A" w:rsidRPr="007B4B68" w:rsidRDefault="00DE2F8A" w:rsidP="00A65E5F">
            <w:pPr>
              <w:ind w:left="142"/>
              <w:jc w:val="center"/>
              <w:rPr>
                <w:rFonts w:eastAsia="Calibri"/>
                <w:sz w:val="24"/>
                <w:szCs w:val="24"/>
              </w:rPr>
            </w:pPr>
            <w:r w:rsidRPr="007B4B68">
              <w:rPr>
                <w:rFonts w:eastAsia="Calibri"/>
                <w:sz w:val="24"/>
                <w:szCs w:val="24"/>
              </w:rPr>
              <w:t>-</w:t>
            </w:r>
          </w:p>
        </w:tc>
      </w:tr>
      <w:tr w:rsidR="00DE2F8A" w:rsidRPr="007B4B68" w14:paraId="2BF7411C" w14:textId="77777777" w:rsidTr="00A65E5F">
        <w:trPr>
          <w:trHeight w:val="251"/>
        </w:trPr>
        <w:tc>
          <w:tcPr>
            <w:tcW w:w="2126" w:type="pct"/>
            <w:tcBorders>
              <w:top w:val="single" w:sz="4" w:space="0" w:color="000000"/>
              <w:left w:val="single" w:sz="4" w:space="0" w:color="000000"/>
              <w:bottom w:val="single" w:sz="4" w:space="0" w:color="000000"/>
              <w:right w:val="single" w:sz="4" w:space="0" w:color="000000"/>
            </w:tcBorders>
            <w:hideMark/>
          </w:tcPr>
          <w:p w14:paraId="45F02A21" w14:textId="77777777" w:rsidR="00DE2F8A" w:rsidRPr="007B4B68" w:rsidRDefault="00DE2F8A" w:rsidP="00A65E5F">
            <w:pPr>
              <w:ind w:left="142"/>
              <w:rPr>
                <w:rFonts w:eastAsia="Calibri"/>
                <w:sz w:val="24"/>
                <w:szCs w:val="24"/>
              </w:rPr>
            </w:pPr>
            <w:proofErr w:type="spellStart"/>
            <w:r w:rsidRPr="007B4B68">
              <w:rPr>
                <w:rFonts w:eastAsia="Calibri"/>
                <w:sz w:val="24"/>
                <w:szCs w:val="24"/>
              </w:rPr>
              <w:t>Peritonealvæske</w:t>
            </w:r>
            <w:proofErr w:type="spellEnd"/>
            <w:r w:rsidRPr="007B4B68">
              <w:rPr>
                <w:rFonts w:eastAsia="Calibri"/>
                <w:sz w:val="24"/>
                <w:szCs w:val="24"/>
              </w:rPr>
              <w:t>/</w:t>
            </w:r>
            <w:proofErr w:type="spellStart"/>
            <w:r w:rsidRPr="007B4B68">
              <w:rPr>
                <w:rFonts w:eastAsia="Calibri"/>
                <w:sz w:val="24"/>
                <w:szCs w:val="24"/>
              </w:rPr>
              <w:t>IA</w:t>
            </w:r>
            <w:r w:rsidRPr="007B4B68">
              <w:rPr>
                <w:rFonts w:eastAsia="Calibri"/>
                <w:sz w:val="24"/>
                <w:szCs w:val="24"/>
                <w:vertAlign w:val="superscript"/>
              </w:rPr>
              <w:t>c</w:t>
            </w:r>
            <w:proofErr w:type="spellEnd"/>
            <w:r w:rsidRPr="007B4B68">
              <w:rPr>
                <w:rFonts w:eastAsia="Calibri"/>
                <w:sz w:val="24"/>
                <w:szCs w:val="24"/>
              </w:rPr>
              <w:t xml:space="preserve"> absces</w:t>
            </w:r>
          </w:p>
        </w:tc>
        <w:tc>
          <w:tcPr>
            <w:tcW w:w="897" w:type="pct"/>
            <w:tcBorders>
              <w:top w:val="single" w:sz="4" w:space="0" w:color="000000"/>
              <w:left w:val="single" w:sz="4" w:space="0" w:color="000000"/>
              <w:bottom w:val="single" w:sz="4" w:space="0" w:color="000000"/>
              <w:right w:val="single" w:sz="4" w:space="0" w:color="000000"/>
            </w:tcBorders>
            <w:hideMark/>
          </w:tcPr>
          <w:p w14:paraId="298D0224" w14:textId="77777777" w:rsidR="00DE2F8A" w:rsidRPr="007B4B68" w:rsidRDefault="00DE2F8A" w:rsidP="00A65E5F">
            <w:pPr>
              <w:ind w:left="142"/>
              <w:jc w:val="center"/>
              <w:rPr>
                <w:rFonts w:eastAsia="Calibri"/>
                <w:sz w:val="24"/>
                <w:szCs w:val="24"/>
              </w:rPr>
            </w:pPr>
            <w:r w:rsidRPr="007B4B68">
              <w:rPr>
                <w:rFonts w:eastAsia="Calibri"/>
                <w:sz w:val="24"/>
                <w:szCs w:val="24"/>
              </w:rPr>
              <w:t>6/8</w:t>
            </w:r>
          </w:p>
        </w:tc>
        <w:tc>
          <w:tcPr>
            <w:tcW w:w="958" w:type="pct"/>
            <w:tcBorders>
              <w:top w:val="single" w:sz="4" w:space="0" w:color="000000"/>
              <w:left w:val="single" w:sz="4" w:space="0" w:color="000000"/>
              <w:bottom w:val="single" w:sz="4" w:space="0" w:color="000000"/>
              <w:right w:val="single" w:sz="4" w:space="0" w:color="000000"/>
            </w:tcBorders>
            <w:hideMark/>
          </w:tcPr>
          <w:p w14:paraId="2197E3DD" w14:textId="77777777" w:rsidR="00DE2F8A" w:rsidRPr="007B4B68" w:rsidRDefault="00DE2F8A" w:rsidP="00A65E5F">
            <w:pPr>
              <w:ind w:left="142"/>
              <w:jc w:val="center"/>
              <w:rPr>
                <w:rFonts w:eastAsia="Calibri"/>
                <w:sz w:val="24"/>
                <w:szCs w:val="24"/>
              </w:rPr>
            </w:pPr>
            <w:r w:rsidRPr="007B4B68">
              <w:rPr>
                <w:rFonts w:eastAsia="Calibri"/>
                <w:sz w:val="24"/>
                <w:szCs w:val="24"/>
              </w:rPr>
              <w:t>5/8</w:t>
            </w:r>
          </w:p>
        </w:tc>
        <w:tc>
          <w:tcPr>
            <w:tcW w:w="1019" w:type="pct"/>
            <w:tcBorders>
              <w:top w:val="single" w:sz="4" w:space="0" w:color="000000"/>
              <w:left w:val="single" w:sz="4" w:space="0" w:color="000000"/>
              <w:bottom w:val="single" w:sz="4" w:space="0" w:color="000000"/>
              <w:right w:val="single" w:sz="4" w:space="0" w:color="000000"/>
            </w:tcBorders>
          </w:tcPr>
          <w:p w14:paraId="5B0D6562" w14:textId="77777777" w:rsidR="00DE2F8A" w:rsidRPr="007B4B68" w:rsidRDefault="00DE2F8A" w:rsidP="00A65E5F">
            <w:pPr>
              <w:ind w:left="142"/>
              <w:jc w:val="center"/>
              <w:rPr>
                <w:rFonts w:eastAsia="Calibri"/>
                <w:sz w:val="24"/>
                <w:szCs w:val="24"/>
              </w:rPr>
            </w:pPr>
          </w:p>
        </w:tc>
      </w:tr>
      <w:tr w:rsidR="00DE2F8A" w:rsidRPr="007B4B68" w14:paraId="35834E4B" w14:textId="77777777" w:rsidTr="00A65E5F">
        <w:trPr>
          <w:trHeight w:val="254"/>
        </w:trPr>
        <w:tc>
          <w:tcPr>
            <w:tcW w:w="2126" w:type="pct"/>
            <w:tcBorders>
              <w:top w:val="single" w:sz="4" w:space="0" w:color="000000"/>
              <w:left w:val="single" w:sz="4" w:space="0" w:color="000000"/>
              <w:bottom w:val="single" w:sz="4" w:space="0" w:color="000000"/>
              <w:right w:val="single" w:sz="4" w:space="0" w:color="000000"/>
            </w:tcBorders>
            <w:hideMark/>
          </w:tcPr>
          <w:p w14:paraId="4789A736" w14:textId="77777777" w:rsidR="00DE2F8A" w:rsidRPr="007B4B68" w:rsidRDefault="00DE2F8A" w:rsidP="00A65E5F">
            <w:pPr>
              <w:ind w:left="142"/>
              <w:rPr>
                <w:rFonts w:eastAsia="Calibri"/>
                <w:sz w:val="24"/>
                <w:szCs w:val="24"/>
              </w:rPr>
            </w:pPr>
            <w:r w:rsidRPr="007B4B68">
              <w:rPr>
                <w:rFonts w:eastAsia="Calibri"/>
                <w:sz w:val="24"/>
                <w:szCs w:val="24"/>
              </w:rPr>
              <w:t>Andre</w:t>
            </w:r>
          </w:p>
        </w:tc>
        <w:tc>
          <w:tcPr>
            <w:tcW w:w="897" w:type="pct"/>
            <w:tcBorders>
              <w:top w:val="single" w:sz="4" w:space="0" w:color="000000"/>
              <w:left w:val="single" w:sz="4" w:space="0" w:color="000000"/>
              <w:bottom w:val="single" w:sz="4" w:space="0" w:color="000000"/>
              <w:right w:val="single" w:sz="4" w:space="0" w:color="000000"/>
            </w:tcBorders>
            <w:hideMark/>
          </w:tcPr>
          <w:p w14:paraId="06E0ACDF" w14:textId="77777777" w:rsidR="00DE2F8A" w:rsidRPr="007B4B68" w:rsidRDefault="00DE2F8A" w:rsidP="00A65E5F">
            <w:pPr>
              <w:ind w:left="142"/>
              <w:jc w:val="center"/>
              <w:rPr>
                <w:rFonts w:eastAsia="Calibri"/>
                <w:sz w:val="24"/>
                <w:szCs w:val="24"/>
              </w:rPr>
            </w:pPr>
            <w:r w:rsidRPr="007B4B68">
              <w:rPr>
                <w:rFonts w:eastAsia="Calibri"/>
                <w:sz w:val="24"/>
                <w:szCs w:val="24"/>
              </w:rPr>
              <w:t>2/3</w:t>
            </w:r>
          </w:p>
        </w:tc>
        <w:tc>
          <w:tcPr>
            <w:tcW w:w="958" w:type="pct"/>
            <w:tcBorders>
              <w:top w:val="single" w:sz="4" w:space="0" w:color="000000"/>
              <w:left w:val="single" w:sz="4" w:space="0" w:color="000000"/>
              <w:bottom w:val="single" w:sz="4" w:space="0" w:color="000000"/>
              <w:right w:val="single" w:sz="4" w:space="0" w:color="000000"/>
            </w:tcBorders>
            <w:hideMark/>
          </w:tcPr>
          <w:p w14:paraId="745489DA" w14:textId="77777777" w:rsidR="00DE2F8A" w:rsidRPr="007B4B68" w:rsidRDefault="00DE2F8A" w:rsidP="00A65E5F">
            <w:pPr>
              <w:ind w:left="142"/>
              <w:jc w:val="center"/>
              <w:rPr>
                <w:rFonts w:eastAsia="Calibri"/>
                <w:sz w:val="24"/>
                <w:szCs w:val="24"/>
              </w:rPr>
            </w:pPr>
            <w:r w:rsidRPr="007B4B68">
              <w:rPr>
                <w:rFonts w:eastAsia="Calibri"/>
                <w:sz w:val="24"/>
                <w:szCs w:val="24"/>
              </w:rPr>
              <w:t>3/7</w:t>
            </w:r>
          </w:p>
        </w:tc>
        <w:tc>
          <w:tcPr>
            <w:tcW w:w="1019" w:type="pct"/>
            <w:tcBorders>
              <w:top w:val="single" w:sz="4" w:space="0" w:color="000000"/>
              <w:left w:val="single" w:sz="4" w:space="0" w:color="000000"/>
              <w:bottom w:val="single" w:sz="4" w:space="0" w:color="000000"/>
              <w:right w:val="single" w:sz="4" w:space="0" w:color="000000"/>
            </w:tcBorders>
          </w:tcPr>
          <w:p w14:paraId="6A395BCA" w14:textId="77777777" w:rsidR="00DE2F8A" w:rsidRPr="007B4B68" w:rsidRDefault="00DE2F8A" w:rsidP="00A65E5F">
            <w:pPr>
              <w:ind w:left="142"/>
              <w:jc w:val="center"/>
              <w:rPr>
                <w:rFonts w:eastAsia="Calibri"/>
                <w:sz w:val="24"/>
                <w:szCs w:val="24"/>
              </w:rPr>
            </w:pPr>
          </w:p>
        </w:tc>
      </w:tr>
      <w:tr w:rsidR="00DE2F8A" w:rsidRPr="007B4B68" w14:paraId="2C7577BB" w14:textId="77777777" w:rsidTr="00A65E5F">
        <w:trPr>
          <w:trHeight w:val="251"/>
        </w:trPr>
        <w:tc>
          <w:tcPr>
            <w:tcW w:w="2126" w:type="pct"/>
            <w:tcBorders>
              <w:top w:val="single" w:sz="4" w:space="0" w:color="000000"/>
              <w:left w:val="single" w:sz="4" w:space="0" w:color="000000"/>
              <w:bottom w:val="single" w:sz="4" w:space="0" w:color="000000"/>
              <w:right w:val="single" w:sz="4" w:space="0" w:color="000000"/>
            </w:tcBorders>
          </w:tcPr>
          <w:p w14:paraId="095F5B08" w14:textId="77777777" w:rsidR="00DE2F8A" w:rsidRPr="007B4B68" w:rsidRDefault="00DE2F8A" w:rsidP="00A65E5F">
            <w:pPr>
              <w:ind w:left="142"/>
              <w:rPr>
                <w:rFonts w:eastAsia="Calibri"/>
                <w:sz w:val="24"/>
                <w:szCs w:val="24"/>
              </w:rPr>
            </w:pPr>
          </w:p>
        </w:tc>
        <w:tc>
          <w:tcPr>
            <w:tcW w:w="897" w:type="pct"/>
            <w:tcBorders>
              <w:top w:val="single" w:sz="4" w:space="0" w:color="000000"/>
              <w:left w:val="single" w:sz="4" w:space="0" w:color="000000"/>
              <w:bottom w:val="single" w:sz="4" w:space="0" w:color="000000"/>
              <w:right w:val="single" w:sz="4" w:space="0" w:color="000000"/>
            </w:tcBorders>
          </w:tcPr>
          <w:p w14:paraId="2A33F5D5" w14:textId="77777777" w:rsidR="00DE2F8A" w:rsidRPr="007B4B68" w:rsidRDefault="00DE2F8A" w:rsidP="00A65E5F">
            <w:pPr>
              <w:ind w:left="142"/>
              <w:jc w:val="center"/>
              <w:rPr>
                <w:rFonts w:eastAsia="Calibri"/>
                <w:sz w:val="24"/>
                <w:szCs w:val="24"/>
              </w:rPr>
            </w:pPr>
          </w:p>
        </w:tc>
        <w:tc>
          <w:tcPr>
            <w:tcW w:w="958" w:type="pct"/>
            <w:tcBorders>
              <w:top w:val="single" w:sz="4" w:space="0" w:color="000000"/>
              <w:left w:val="single" w:sz="4" w:space="0" w:color="000000"/>
              <w:bottom w:val="single" w:sz="4" w:space="0" w:color="000000"/>
              <w:right w:val="single" w:sz="4" w:space="0" w:color="000000"/>
            </w:tcBorders>
          </w:tcPr>
          <w:p w14:paraId="266AC180" w14:textId="77777777" w:rsidR="00DE2F8A" w:rsidRPr="007B4B68" w:rsidRDefault="00DE2F8A" w:rsidP="00A65E5F">
            <w:pPr>
              <w:ind w:left="142"/>
              <w:jc w:val="center"/>
              <w:rPr>
                <w:rFonts w:eastAsia="Calibri"/>
                <w:sz w:val="24"/>
                <w:szCs w:val="24"/>
              </w:rPr>
            </w:pPr>
          </w:p>
        </w:tc>
        <w:tc>
          <w:tcPr>
            <w:tcW w:w="1019" w:type="pct"/>
            <w:tcBorders>
              <w:top w:val="single" w:sz="4" w:space="0" w:color="000000"/>
              <w:left w:val="single" w:sz="4" w:space="0" w:color="000000"/>
              <w:bottom w:val="single" w:sz="4" w:space="0" w:color="000000"/>
              <w:right w:val="single" w:sz="4" w:space="0" w:color="000000"/>
            </w:tcBorders>
          </w:tcPr>
          <w:p w14:paraId="688E0C29" w14:textId="77777777" w:rsidR="00DE2F8A" w:rsidRPr="007B4B68" w:rsidRDefault="00DE2F8A" w:rsidP="00A65E5F">
            <w:pPr>
              <w:ind w:left="142"/>
              <w:jc w:val="center"/>
              <w:rPr>
                <w:rFonts w:eastAsia="Calibri"/>
                <w:sz w:val="24"/>
                <w:szCs w:val="24"/>
              </w:rPr>
            </w:pPr>
          </w:p>
        </w:tc>
      </w:tr>
      <w:tr w:rsidR="00DE2F8A" w:rsidRPr="007B4B68" w14:paraId="0F0509CB" w14:textId="77777777" w:rsidTr="00A65E5F">
        <w:trPr>
          <w:trHeight w:val="253"/>
        </w:trPr>
        <w:tc>
          <w:tcPr>
            <w:tcW w:w="2126" w:type="pct"/>
            <w:tcBorders>
              <w:top w:val="single" w:sz="4" w:space="0" w:color="000000"/>
              <w:left w:val="single" w:sz="4" w:space="0" w:color="000000"/>
              <w:bottom w:val="single" w:sz="4" w:space="0" w:color="000000"/>
              <w:right w:val="single" w:sz="4" w:space="0" w:color="000000"/>
            </w:tcBorders>
            <w:hideMark/>
          </w:tcPr>
          <w:p w14:paraId="317F1DEC" w14:textId="77777777" w:rsidR="00DE2F8A" w:rsidRPr="007B4B68" w:rsidRDefault="00DE2F8A" w:rsidP="00A65E5F">
            <w:pPr>
              <w:ind w:left="142"/>
              <w:rPr>
                <w:rFonts w:eastAsia="Calibri"/>
                <w:sz w:val="24"/>
                <w:szCs w:val="24"/>
              </w:rPr>
            </w:pPr>
            <w:r w:rsidRPr="007B4B68">
              <w:rPr>
                <w:rFonts w:eastAsia="Calibri"/>
                <w:i/>
                <w:sz w:val="24"/>
                <w:szCs w:val="24"/>
              </w:rPr>
              <w:t xml:space="preserve">C. </w:t>
            </w:r>
            <w:proofErr w:type="spellStart"/>
            <w:r w:rsidRPr="007B4B68">
              <w:rPr>
                <w:rFonts w:eastAsia="Calibri"/>
                <w:i/>
                <w:sz w:val="24"/>
                <w:szCs w:val="24"/>
              </w:rPr>
              <w:t>albicans</w:t>
            </w:r>
            <w:r w:rsidRPr="007B4B68">
              <w:rPr>
                <w:rFonts w:eastAsia="Calibri"/>
                <w:sz w:val="24"/>
                <w:szCs w:val="24"/>
                <w:vertAlign w:val="superscript"/>
              </w:rPr>
              <w:t>d</w:t>
            </w:r>
            <w:proofErr w:type="spellEnd"/>
          </w:p>
        </w:tc>
        <w:tc>
          <w:tcPr>
            <w:tcW w:w="897" w:type="pct"/>
            <w:tcBorders>
              <w:top w:val="single" w:sz="4" w:space="0" w:color="000000"/>
              <w:left w:val="single" w:sz="4" w:space="0" w:color="000000"/>
              <w:bottom w:val="single" w:sz="4" w:space="0" w:color="000000"/>
              <w:right w:val="single" w:sz="4" w:space="0" w:color="000000"/>
            </w:tcBorders>
            <w:hideMark/>
          </w:tcPr>
          <w:p w14:paraId="74ABAA2B" w14:textId="77777777" w:rsidR="00DE2F8A" w:rsidRPr="007B4B68" w:rsidRDefault="00DE2F8A" w:rsidP="00A65E5F">
            <w:pPr>
              <w:ind w:left="142"/>
              <w:jc w:val="center"/>
              <w:rPr>
                <w:rFonts w:eastAsia="Calibri"/>
                <w:sz w:val="24"/>
                <w:szCs w:val="24"/>
              </w:rPr>
            </w:pPr>
            <w:r w:rsidRPr="007B4B68">
              <w:rPr>
                <w:rFonts w:eastAsia="Calibri"/>
                <w:sz w:val="24"/>
                <w:szCs w:val="24"/>
              </w:rPr>
              <w:t>60/74 (81,1</w:t>
            </w:r>
            <w:r>
              <w:rPr>
                <w:rFonts w:eastAsia="Calibri"/>
                <w:sz w:val="24"/>
                <w:szCs w:val="24"/>
              </w:rPr>
              <w:t xml:space="preserve"> </w:t>
            </w:r>
            <w:r w:rsidRPr="007B4B68">
              <w:rPr>
                <w:rFonts w:eastAsia="Calibri"/>
                <w:sz w:val="24"/>
                <w:szCs w:val="24"/>
              </w:rPr>
              <w:t>%)</w:t>
            </w:r>
          </w:p>
        </w:tc>
        <w:tc>
          <w:tcPr>
            <w:tcW w:w="958" w:type="pct"/>
            <w:tcBorders>
              <w:top w:val="single" w:sz="4" w:space="0" w:color="000000"/>
              <w:left w:val="single" w:sz="4" w:space="0" w:color="000000"/>
              <w:bottom w:val="single" w:sz="4" w:space="0" w:color="000000"/>
              <w:right w:val="single" w:sz="4" w:space="0" w:color="000000"/>
            </w:tcBorders>
            <w:hideMark/>
          </w:tcPr>
          <w:p w14:paraId="78AC1FBD" w14:textId="77777777" w:rsidR="00DE2F8A" w:rsidRPr="007B4B68" w:rsidRDefault="00DE2F8A" w:rsidP="00A65E5F">
            <w:pPr>
              <w:ind w:left="142"/>
              <w:jc w:val="center"/>
              <w:rPr>
                <w:rFonts w:eastAsia="Calibri"/>
                <w:sz w:val="24"/>
                <w:szCs w:val="24"/>
              </w:rPr>
            </w:pPr>
            <w:r w:rsidRPr="007B4B68">
              <w:rPr>
                <w:rFonts w:eastAsia="Calibri"/>
                <w:sz w:val="24"/>
                <w:szCs w:val="24"/>
              </w:rPr>
              <w:t>38/61 (62,3</w:t>
            </w:r>
            <w:r>
              <w:rPr>
                <w:rFonts w:eastAsia="Calibri"/>
                <w:sz w:val="24"/>
                <w:szCs w:val="24"/>
              </w:rPr>
              <w:t xml:space="preserve"> </w:t>
            </w:r>
            <w:r w:rsidRPr="007B4B68">
              <w:rPr>
                <w:rFonts w:eastAsia="Calibri"/>
                <w:sz w:val="24"/>
                <w:szCs w:val="24"/>
              </w:rPr>
              <w:t>%)</w:t>
            </w:r>
          </w:p>
        </w:tc>
        <w:tc>
          <w:tcPr>
            <w:tcW w:w="1019" w:type="pct"/>
            <w:tcBorders>
              <w:top w:val="single" w:sz="4" w:space="0" w:color="000000"/>
              <w:left w:val="single" w:sz="4" w:space="0" w:color="000000"/>
              <w:bottom w:val="single" w:sz="4" w:space="0" w:color="000000"/>
              <w:right w:val="single" w:sz="4" w:space="0" w:color="000000"/>
            </w:tcBorders>
            <w:hideMark/>
          </w:tcPr>
          <w:p w14:paraId="7E4A9A0E" w14:textId="77777777" w:rsidR="00DE2F8A" w:rsidRPr="007B4B68" w:rsidRDefault="00DE2F8A" w:rsidP="00A65E5F">
            <w:pPr>
              <w:ind w:left="142"/>
              <w:jc w:val="center"/>
              <w:rPr>
                <w:rFonts w:eastAsia="Calibri"/>
                <w:sz w:val="24"/>
                <w:szCs w:val="24"/>
              </w:rPr>
            </w:pPr>
            <w:r w:rsidRPr="007B4B68">
              <w:rPr>
                <w:rFonts w:eastAsia="Calibri"/>
                <w:sz w:val="24"/>
                <w:szCs w:val="24"/>
              </w:rPr>
              <w:t>-</w:t>
            </w:r>
          </w:p>
        </w:tc>
      </w:tr>
      <w:tr w:rsidR="00DE2F8A" w:rsidRPr="007B4B68" w14:paraId="4E415DC1" w14:textId="77777777" w:rsidTr="00A65E5F">
        <w:trPr>
          <w:trHeight w:val="251"/>
        </w:trPr>
        <w:tc>
          <w:tcPr>
            <w:tcW w:w="2126" w:type="pct"/>
            <w:tcBorders>
              <w:top w:val="single" w:sz="4" w:space="0" w:color="000000"/>
              <w:left w:val="single" w:sz="4" w:space="0" w:color="000000"/>
              <w:bottom w:val="single" w:sz="4" w:space="0" w:color="000000"/>
              <w:right w:val="single" w:sz="4" w:space="0" w:color="000000"/>
            </w:tcBorders>
            <w:hideMark/>
          </w:tcPr>
          <w:p w14:paraId="4F556A37" w14:textId="77777777" w:rsidR="00DE2F8A" w:rsidRPr="007B4B68" w:rsidRDefault="00DE2F8A" w:rsidP="00A65E5F">
            <w:pPr>
              <w:ind w:left="142"/>
              <w:rPr>
                <w:rFonts w:eastAsia="Calibri"/>
                <w:sz w:val="24"/>
                <w:szCs w:val="24"/>
              </w:rPr>
            </w:pPr>
            <w:r w:rsidRPr="007B4B68">
              <w:rPr>
                <w:rFonts w:eastAsia="Calibri"/>
                <w:sz w:val="24"/>
                <w:szCs w:val="24"/>
              </w:rPr>
              <w:t>Non-</w:t>
            </w:r>
            <w:proofErr w:type="spellStart"/>
            <w:r w:rsidRPr="007B4B68">
              <w:rPr>
                <w:rFonts w:eastAsia="Calibri"/>
                <w:i/>
                <w:sz w:val="24"/>
                <w:szCs w:val="24"/>
              </w:rPr>
              <w:t>albicans</w:t>
            </w:r>
            <w:proofErr w:type="spellEnd"/>
            <w:r w:rsidRPr="007B4B68">
              <w:rPr>
                <w:rFonts w:eastAsia="Calibri"/>
                <w:i/>
                <w:sz w:val="24"/>
                <w:szCs w:val="24"/>
              </w:rPr>
              <w:t xml:space="preserve"> </w:t>
            </w:r>
            <w:proofErr w:type="spellStart"/>
            <w:r w:rsidRPr="007B4B68">
              <w:rPr>
                <w:rFonts w:eastAsia="Calibri"/>
                <w:sz w:val="24"/>
                <w:szCs w:val="24"/>
              </w:rPr>
              <w:t>arter</w:t>
            </w:r>
            <w:r w:rsidRPr="007B4B68">
              <w:rPr>
                <w:rFonts w:eastAsia="Calibri"/>
                <w:sz w:val="24"/>
                <w:szCs w:val="24"/>
                <w:vertAlign w:val="superscript"/>
              </w:rPr>
              <w:t>d</w:t>
            </w:r>
            <w:proofErr w:type="spellEnd"/>
          </w:p>
        </w:tc>
        <w:tc>
          <w:tcPr>
            <w:tcW w:w="897" w:type="pct"/>
            <w:tcBorders>
              <w:top w:val="single" w:sz="4" w:space="0" w:color="000000"/>
              <w:left w:val="single" w:sz="4" w:space="0" w:color="000000"/>
              <w:bottom w:val="single" w:sz="4" w:space="0" w:color="000000"/>
              <w:right w:val="single" w:sz="4" w:space="0" w:color="000000"/>
            </w:tcBorders>
            <w:hideMark/>
          </w:tcPr>
          <w:p w14:paraId="1AD8A609" w14:textId="77777777" w:rsidR="00DE2F8A" w:rsidRPr="007B4B68" w:rsidRDefault="00DE2F8A" w:rsidP="00A65E5F">
            <w:pPr>
              <w:ind w:left="142"/>
              <w:jc w:val="center"/>
              <w:rPr>
                <w:rFonts w:eastAsia="Calibri"/>
                <w:sz w:val="24"/>
                <w:szCs w:val="24"/>
              </w:rPr>
            </w:pPr>
            <w:r w:rsidRPr="007B4B68">
              <w:rPr>
                <w:rFonts w:eastAsia="Calibri"/>
                <w:sz w:val="24"/>
                <w:szCs w:val="24"/>
              </w:rPr>
              <w:t>32/45 (71,1</w:t>
            </w:r>
            <w:r>
              <w:rPr>
                <w:rFonts w:eastAsia="Calibri"/>
                <w:sz w:val="24"/>
                <w:szCs w:val="24"/>
              </w:rPr>
              <w:t xml:space="preserve"> </w:t>
            </w:r>
            <w:r w:rsidRPr="007B4B68">
              <w:rPr>
                <w:rFonts w:eastAsia="Calibri"/>
                <w:sz w:val="24"/>
                <w:szCs w:val="24"/>
              </w:rPr>
              <w:t>%)</w:t>
            </w:r>
          </w:p>
        </w:tc>
        <w:tc>
          <w:tcPr>
            <w:tcW w:w="958" w:type="pct"/>
            <w:tcBorders>
              <w:top w:val="single" w:sz="4" w:space="0" w:color="000000"/>
              <w:left w:val="single" w:sz="4" w:space="0" w:color="000000"/>
              <w:bottom w:val="single" w:sz="4" w:space="0" w:color="000000"/>
              <w:right w:val="single" w:sz="4" w:space="0" w:color="000000"/>
            </w:tcBorders>
            <w:hideMark/>
          </w:tcPr>
          <w:p w14:paraId="046669E2" w14:textId="77777777" w:rsidR="00DE2F8A" w:rsidRPr="007B4B68" w:rsidRDefault="00DE2F8A" w:rsidP="00A65E5F">
            <w:pPr>
              <w:ind w:left="142"/>
              <w:jc w:val="center"/>
              <w:rPr>
                <w:rFonts w:eastAsia="Calibri"/>
                <w:sz w:val="24"/>
                <w:szCs w:val="24"/>
              </w:rPr>
            </w:pPr>
            <w:r w:rsidRPr="007B4B68">
              <w:rPr>
                <w:rFonts w:eastAsia="Calibri"/>
                <w:sz w:val="24"/>
                <w:szCs w:val="24"/>
              </w:rPr>
              <w:t>27/45 (60,0</w:t>
            </w:r>
            <w:r>
              <w:rPr>
                <w:rFonts w:eastAsia="Calibri"/>
                <w:sz w:val="24"/>
                <w:szCs w:val="24"/>
              </w:rPr>
              <w:t xml:space="preserve"> </w:t>
            </w:r>
            <w:r w:rsidRPr="007B4B68">
              <w:rPr>
                <w:rFonts w:eastAsia="Calibri"/>
                <w:sz w:val="24"/>
                <w:szCs w:val="24"/>
              </w:rPr>
              <w:t>%)</w:t>
            </w:r>
          </w:p>
        </w:tc>
        <w:tc>
          <w:tcPr>
            <w:tcW w:w="1019" w:type="pct"/>
            <w:tcBorders>
              <w:top w:val="single" w:sz="4" w:space="0" w:color="000000"/>
              <w:left w:val="single" w:sz="4" w:space="0" w:color="000000"/>
              <w:bottom w:val="single" w:sz="4" w:space="0" w:color="000000"/>
              <w:right w:val="single" w:sz="4" w:space="0" w:color="000000"/>
            </w:tcBorders>
            <w:hideMark/>
          </w:tcPr>
          <w:p w14:paraId="67F8C8EF" w14:textId="77777777" w:rsidR="00DE2F8A" w:rsidRPr="007B4B68" w:rsidRDefault="00DE2F8A" w:rsidP="00A65E5F">
            <w:pPr>
              <w:ind w:left="142"/>
              <w:jc w:val="center"/>
              <w:rPr>
                <w:rFonts w:eastAsia="Calibri"/>
                <w:sz w:val="24"/>
                <w:szCs w:val="24"/>
              </w:rPr>
            </w:pPr>
            <w:r w:rsidRPr="007B4B68">
              <w:rPr>
                <w:rFonts w:eastAsia="Calibri"/>
                <w:sz w:val="24"/>
                <w:szCs w:val="24"/>
              </w:rPr>
              <w:t>-</w:t>
            </w:r>
          </w:p>
        </w:tc>
      </w:tr>
      <w:tr w:rsidR="00DE2F8A" w:rsidRPr="007B4B68" w14:paraId="7D35028A" w14:textId="77777777" w:rsidTr="00A65E5F">
        <w:trPr>
          <w:trHeight w:val="277"/>
        </w:trPr>
        <w:tc>
          <w:tcPr>
            <w:tcW w:w="2126" w:type="pct"/>
            <w:tcBorders>
              <w:top w:val="single" w:sz="4" w:space="0" w:color="000000"/>
              <w:left w:val="single" w:sz="4" w:space="0" w:color="000000"/>
              <w:bottom w:val="single" w:sz="4" w:space="0" w:color="000000"/>
              <w:right w:val="single" w:sz="4" w:space="0" w:color="000000"/>
            </w:tcBorders>
          </w:tcPr>
          <w:p w14:paraId="3CB6824A" w14:textId="77777777" w:rsidR="00DE2F8A" w:rsidRPr="007B4B68" w:rsidRDefault="00DE2F8A" w:rsidP="00A65E5F">
            <w:pPr>
              <w:ind w:left="142"/>
              <w:rPr>
                <w:rFonts w:eastAsia="Calibri"/>
                <w:sz w:val="24"/>
                <w:szCs w:val="24"/>
              </w:rPr>
            </w:pPr>
          </w:p>
        </w:tc>
        <w:tc>
          <w:tcPr>
            <w:tcW w:w="897" w:type="pct"/>
            <w:tcBorders>
              <w:top w:val="single" w:sz="4" w:space="0" w:color="000000"/>
              <w:left w:val="single" w:sz="4" w:space="0" w:color="000000"/>
              <w:bottom w:val="single" w:sz="4" w:space="0" w:color="000000"/>
              <w:right w:val="single" w:sz="4" w:space="0" w:color="000000"/>
            </w:tcBorders>
          </w:tcPr>
          <w:p w14:paraId="40B12E2B" w14:textId="77777777" w:rsidR="00DE2F8A" w:rsidRPr="007B4B68" w:rsidRDefault="00DE2F8A" w:rsidP="00A65E5F">
            <w:pPr>
              <w:ind w:left="142"/>
              <w:jc w:val="center"/>
              <w:rPr>
                <w:rFonts w:eastAsia="Calibri"/>
                <w:sz w:val="24"/>
                <w:szCs w:val="24"/>
              </w:rPr>
            </w:pPr>
          </w:p>
        </w:tc>
        <w:tc>
          <w:tcPr>
            <w:tcW w:w="958" w:type="pct"/>
            <w:tcBorders>
              <w:top w:val="single" w:sz="4" w:space="0" w:color="000000"/>
              <w:left w:val="single" w:sz="4" w:space="0" w:color="000000"/>
              <w:bottom w:val="single" w:sz="4" w:space="0" w:color="000000"/>
              <w:right w:val="single" w:sz="4" w:space="0" w:color="000000"/>
            </w:tcBorders>
          </w:tcPr>
          <w:p w14:paraId="684506EE" w14:textId="77777777" w:rsidR="00DE2F8A" w:rsidRPr="007B4B68" w:rsidRDefault="00DE2F8A" w:rsidP="00A65E5F">
            <w:pPr>
              <w:ind w:left="142"/>
              <w:jc w:val="center"/>
              <w:rPr>
                <w:rFonts w:eastAsia="Calibri"/>
                <w:sz w:val="24"/>
                <w:szCs w:val="24"/>
              </w:rPr>
            </w:pPr>
          </w:p>
        </w:tc>
        <w:tc>
          <w:tcPr>
            <w:tcW w:w="1019" w:type="pct"/>
            <w:tcBorders>
              <w:top w:val="single" w:sz="4" w:space="0" w:color="000000"/>
              <w:left w:val="single" w:sz="4" w:space="0" w:color="000000"/>
              <w:bottom w:val="single" w:sz="4" w:space="0" w:color="000000"/>
              <w:right w:val="single" w:sz="4" w:space="0" w:color="000000"/>
            </w:tcBorders>
          </w:tcPr>
          <w:p w14:paraId="3B27B419" w14:textId="77777777" w:rsidR="00DE2F8A" w:rsidRPr="007B4B68" w:rsidRDefault="00DE2F8A" w:rsidP="00A65E5F">
            <w:pPr>
              <w:ind w:left="142"/>
              <w:jc w:val="center"/>
              <w:rPr>
                <w:rFonts w:eastAsia="Calibri"/>
                <w:sz w:val="24"/>
                <w:szCs w:val="24"/>
              </w:rPr>
            </w:pPr>
          </w:p>
        </w:tc>
      </w:tr>
      <w:tr w:rsidR="00DE2F8A" w:rsidRPr="007B4B68" w14:paraId="2D17BF91" w14:textId="77777777" w:rsidTr="00A65E5F">
        <w:trPr>
          <w:trHeight w:val="251"/>
        </w:trPr>
        <w:tc>
          <w:tcPr>
            <w:tcW w:w="2126" w:type="pct"/>
            <w:tcBorders>
              <w:top w:val="single" w:sz="4" w:space="0" w:color="000000"/>
              <w:left w:val="single" w:sz="4" w:space="0" w:color="000000"/>
              <w:bottom w:val="single" w:sz="4" w:space="0" w:color="000000"/>
              <w:right w:val="single" w:sz="4" w:space="0" w:color="000000"/>
            </w:tcBorders>
            <w:hideMark/>
          </w:tcPr>
          <w:p w14:paraId="75AF51B4" w14:textId="77777777" w:rsidR="00DE2F8A" w:rsidRPr="007B4B68" w:rsidRDefault="00DE2F8A" w:rsidP="00A65E5F">
            <w:pPr>
              <w:ind w:left="142"/>
              <w:rPr>
                <w:rFonts w:eastAsia="Calibri"/>
                <w:sz w:val="24"/>
                <w:szCs w:val="24"/>
              </w:rPr>
            </w:pPr>
            <w:r w:rsidRPr="007B4B68">
              <w:rPr>
                <w:rFonts w:eastAsia="Calibri"/>
                <w:sz w:val="24"/>
                <w:szCs w:val="24"/>
              </w:rPr>
              <w:t>Apache II score ≤20</w:t>
            </w:r>
          </w:p>
        </w:tc>
        <w:tc>
          <w:tcPr>
            <w:tcW w:w="897" w:type="pct"/>
            <w:tcBorders>
              <w:top w:val="single" w:sz="4" w:space="0" w:color="000000"/>
              <w:left w:val="single" w:sz="4" w:space="0" w:color="000000"/>
              <w:bottom w:val="single" w:sz="4" w:space="0" w:color="000000"/>
              <w:right w:val="single" w:sz="4" w:space="0" w:color="000000"/>
            </w:tcBorders>
            <w:hideMark/>
          </w:tcPr>
          <w:p w14:paraId="61DE640B" w14:textId="77777777" w:rsidR="00DE2F8A" w:rsidRPr="007B4B68" w:rsidRDefault="00DE2F8A" w:rsidP="00A65E5F">
            <w:pPr>
              <w:ind w:left="142"/>
              <w:jc w:val="center"/>
              <w:rPr>
                <w:rFonts w:eastAsia="Calibri"/>
                <w:sz w:val="24"/>
                <w:szCs w:val="24"/>
              </w:rPr>
            </w:pPr>
            <w:r w:rsidRPr="007B4B68">
              <w:rPr>
                <w:rFonts w:eastAsia="Calibri"/>
                <w:sz w:val="24"/>
                <w:szCs w:val="24"/>
              </w:rPr>
              <w:t>82/101 (81,2</w:t>
            </w:r>
            <w:r>
              <w:rPr>
                <w:rFonts w:eastAsia="Calibri"/>
                <w:sz w:val="24"/>
                <w:szCs w:val="24"/>
              </w:rPr>
              <w:t xml:space="preserve"> </w:t>
            </w:r>
            <w:r w:rsidRPr="007B4B68">
              <w:rPr>
                <w:rFonts w:eastAsia="Calibri"/>
                <w:sz w:val="24"/>
                <w:szCs w:val="24"/>
              </w:rPr>
              <w:t>%)</w:t>
            </w:r>
          </w:p>
        </w:tc>
        <w:tc>
          <w:tcPr>
            <w:tcW w:w="958" w:type="pct"/>
            <w:tcBorders>
              <w:top w:val="single" w:sz="4" w:space="0" w:color="000000"/>
              <w:left w:val="single" w:sz="4" w:space="0" w:color="000000"/>
              <w:bottom w:val="single" w:sz="4" w:space="0" w:color="000000"/>
              <w:right w:val="single" w:sz="4" w:space="0" w:color="000000"/>
            </w:tcBorders>
            <w:hideMark/>
          </w:tcPr>
          <w:p w14:paraId="2BB0EB5D" w14:textId="77777777" w:rsidR="00DE2F8A" w:rsidRPr="007B4B68" w:rsidRDefault="00DE2F8A" w:rsidP="00A65E5F">
            <w:pPr>
              <w:ind w:left="142"/>
              <w:jc w:val="center"/>
              <w:rPr>
                <w:rFonts w:eastAsia="Calibri"/>
                <w:sz w:val="24"/>
                <w:szCs w:val="24"/>
              </w:rPr>
            </w:pPr>
            <w:r w:rsidRPr="007B4B68">
              <w:rPr>
                <w:rFonts w:eastAsia="Calibri"/>
                <w:sz w:val="24"/>
                <w:szCs w:val="24"/>
              </w:rPr>
              <w:t>60/98 (61,2</w:t>
            </w:r>
            <w:r>
              <w:rPr>
                <w:rFonts w:eastAsia="Calibri"/>
                <w:sz w:val="24"/>
                <w:szCs w:val="24"/>
              </w:rPr>
              <w:t xml:space="preserve"> </w:t>
            </w:r>
            <w:r w:rsidRPr="007B4B68">
              <w:rPr>
                <w:rFonts w:eastAsia="Calibri"/>
                <w:sz w:val="24"/>
                <w:szCs w:val="24"/>
              </w:rPr>
              <w:t>%)</w:t>
            </w:r>
          </w:p>
        </w:tc>
        <w:tc>
          <w:tcPr>
            <w:tcW w:w="1019" w:type="pct"/>
            <w:tcBorders>
              <w:top w:val="single" w:sz="4" w:space="0" w:color="000000"/>
              <w:left w:val="single" w:sz="4" w:space="0" w:color="000000"/>
              <w:bottom w:val="single" w:sz="4" w:space="0" w:color="000000"/>
              <w:right w:val="single" w:sz="4" w:space="0" w:color="000000"/>
            </w:tcBorders>
            <w:hideMark/>
          </w:tcPr>
          <w:p w14:paraId="3D4221CE" w14:textId="77777777" w:rsidR="00DE2F8A" w:rsidRPr="007B4B68" w:rsidRDefault="00DE2F8A" w:rsidP="00A65E5F">
            <w:pPr>
              <w:ind w:left="142"/>
              <w:jc w:val="center"/>
              <w:rPr>
                <w:rFonts w:eastAsia="Calibri"/>
                <w:sz w:val="24"/>
                <w:szCs w:val="24"/>
              </w:rPr>
            </w:pPr>
            <w:r w:rsidRPr="007B4B68">
              <w:rPr>
                <w:rFonts w:eastAsia="Calibri"/>
                <w:sz w:val="24"/>
                <w:szCs w:val="24"/>
              </w:rPr>
              <w:t>-</w:t>
            </w:r>
          </w:p>
        </w:tc>
      </w:tr>
      <w:tr w:rsidR="00DE2F8A" w:rsidRPr="007B4B68" w14:paraId="467CCE1A" w14:textId="77777777" w:rsidTr="00A65E5F">
        <w:trPr>
          <w:trHeight w:val="270"/>
        </w:trPr>
        <w:tc>
          <w:tcPr>
            <w:tcW w:w="2126" w:type="pct"/>
            <w:tcBorders>
              <w:top w:val="single" w:sz="4" w:space="0" w:color="000000"/>
              <w:left w:val="single" w:sz="4" w:space="0" w:color="000000"/>
              <w:bottom w:val="single" w:sz="4" w:space="0" w:color="000000"/>
              <w:right w:val="single" w:sz="4" w:space="0" w:color="000000"/>
            </w:tcBorders>
            <w:hideMark/>
          </w:tcPr>
          <w:p w14:paraId="031CEE74" w14:textId="77777777" w:rsidR="00DE2F8A" w:rsidRPr="007B4B68" w:rsidRDefault="00DE2F8A" w:rsidP="00A65E5F">
            <w:pPr>
              <w:ind w:left="142"/>
              <w:rPr>
                <w:rFonts w:eastAsia="Calibri"/>
                <w:sz w:val="24"/>
                <w:szCs w:val="24"/>
              </w:rPr>
            </w:pPr>
            <w:r w:rsidRPr="007B4B68">
              <w:rPr>
                <w:rFonts w:eastAsia="Calibri"/>
                <w:sz w:val="24"/>
                <w:szCs w:val="24"/>
              </w:rPr>
              <w:t>Apache II score &gt;20</w:t>
            </w:r>
          </w:p>
        </w:tc>
        <w:tc>
          <w:tcPr>
            <w:tcW w:w="897" w:type="pct"/>
            <w:tcBorders>
              <w:top w:val="single" w:sz="4" w:space="0" w:color="000000"/>
              <w:left w:val="single" w:sz="4" w:space="0" w:color="000000"/>
              <w:bottom w:val="single" w:sz="4" w:space="0" w:color="000000"/>
              <w:right w:val="single" w:sz="4" w:space="0" w:color="000000"/>
            </w:tcBorders>
            <w:hideMark/>
          </w:tcPr>
          <w:p w14:paraId="07F48447" w14:textId="77777777" w:rsidR="00DE2F8A" w:rsidRPr="007B4B68" w:rsidRDefault="00DE2F8A" w:rsidP="00A65E5F">
            <w:pPr>
              <w:ind w:left="142"/>
              <w:jc w:val="center"/>
              <w:rPr>
                <w:rFonts w:eastAsia="Calibri"/>
                <w:sz w:val="24"/>
                <w:szCs w:val="24"/>
              </w:rPr>
            </w:pPr>
            <w:r w:rsidRPr="007B4B68">
              <w:rPr>
                <w:rFonts w:eastAsia="Calibri"/>
                <w:sz w:val="24"/>
                <w:szCs w:val="24"/>
              </w:rPr>
              <w:t>14/26 (53,8</w:t>
            </w:r>
            <w:r>
              <w:rPr>
                <w:rFonts w:eastAsia="Calibri"/>
                <w:sz w:val="24"/>
                <w:szCs w:val="24"/>
              </w:rPr>
              <w:t xml:space="preserve"> </w:t>
            </w:r>
            <w:r w:rsidRPr="007B4B68">
              <w:rPr>
                <w:rFonts w:eastAsia="Calibri"/>
                <w:sz w:val="24"/>
                <w:szCs w:val="24"/>
              </w:rPr>
              <w:t>%)</w:t>
            </w:r>
          </w:p>
        </w:tc>
        <w:tc>
          <w:tcPr>
            <w:tcW w:w="958" w:type="pct"/>
            <w:tcBorders>
              <w:top w:val="single" w:sz="4" w:space="0" w:color="000000"/>
              <w:left w:val="single" w:sz="4" w:space="0" w:color="000000"/>
              <w:bottom w:val="single" w:sz="4" w:space="0" w:color="000000"/>
              <w:right w:val="single" w:sz="4" w:space="0" w:color="000000"/>
            </w:tcBorders>
            <w:hideMark/>
          </w:tcPr>
          <w:p w14:paraId="4A834ABF" w14:textId="77777777" w:rsidR="00DE2F8A" w:rsidRPr="007B4B68" w:rsidRDefault="00DE2F8A" w:rsidP="00A65E5F">
            <w:pPr>
              <w:ind w:left="142"/>
              <w:jc w:val="center"/>
              <w:rPr>
                <w:rFonts w:eastAsia="Calibri"/>
                <w:sz w:val="24"/>
                <w:szCs w:val="24"/>
              </w:rPr>
            </w:pPr>
            <w:r w:rsidRPr="007B4B68">
              <w:rPr>
                <w:rFonts w:eastAsia="Calibri"/>
                <w:sz w:val="24"/>
                <w:szCs w:val="24"/>
              </w:rPr>
              <w:t>11/20 (55,0</w:t>
            </w:r>
            <w:r>
              <w:rPr>
                <w:rFonts w:eastAsia="Calibri"/>
                <w:sz w:val="24"/>
                <w:szCs w:val="24"/>
              </w:rPr>
              <w:t xml:space="preserve"> </w:t>
            </w:r>
            <w:r w:rsidRPr="007B4B68">
              <w:rPr>
                <w:rFonts w:eastAsia="Calibri"/>
                <w:sz w:val="24"/>
                <w:szCs w:val="24"/>
              </w:rPr>
              <w:t>%)</w:t>
            </w:r>
          </w:p>
        </w:tc>
        <w:tc>
          <w:tcPr>
            <w:tcW w:w="1019" w:type="pct"/>
            <w:tcBorders>
              <w:top w:val="single" w:sz="4" w:space="0" w:color="000000"/>
              <w:left w:val="single" w:sz="4" w:space="0" w:color="000000"/>
              <w:bottom w:val="single" w:sz="4" w:space="0" w:color="000000"/>
              <w:right w:val="single" w:sz="4" w:space="0" w:color="000000"/>
            </w:tcBorders>
            <w:hideMark/>
          </w:tcPr>
          <w:p w14:paraId="29D75FA4" w14:textId="77777777" w:rsidR="00DE2F8A" w:rsidRPr="007B4B68" w:rsidRDefault="00DE2F8A" w:rsidP="00A65E5F">
            <w:pPr>
              <w:ind w:left="142"/>
              <w:jc w:val="center"/>
              <w:rPr>
                <w:rFonts w:eastAsia="Calibri"/>
                <w:sz w:val="24"/>
                <w:szCs w:val="24"/>
              </w:rPr>
            </w:pPr>
            <w:r w:rsidRPr="007B4B68">
              <w:rPr>
                <w:rFonts w:eastAsia="Calibri"/>
                <w:sz w:val="24"/>
                <w:szCs w:val="24"/>
              </w:rPr>
              <w:t>-</w:t>
            </w:r>
          </w:p>
        </w:tc>
      </w:tr>
      <w:tr w:rsidR="00DE2F8A" w:rsidRPr="007B4B68" w14:paraId="6C5B68E9" w14:textId="77777777" w:rsidTr="00A65E5F">
        <w:trPr>
          <w:trHeight w:val="251"/>
        </w:trPr>
        <w:tc>
          <w:tcPr>
            <w:tcW w:w="2126" w:type="pct"/>
            <w:tcBorders>
              <w:top w:val="single" w:sz="4" w:space="0" w:color="000000"/>
              <w:left w:val="single" w:sz="4" w:space="0" w:color="000000"/>
              <w:bottom w:val="single" w:sz="4" w:space="0" w:color="000000"/>
              <w:right w:val="single" w:sz="4" w:space="0" w:color="000000"/>
            </w:tcBorders>
          </w:tcPr>
          <w:p w14:paraId="3CFB85C6" w14:textId="77777777" w:rsidR="00DE2F8A" w:rsidRPr="007B4B68" w:rsidRDefault="00DE2F8A" w:rsidP="00A65E5F">
            <w:pPr>
              <w:ind w:left="142"/>
              <w:rPr>
                <w:rFonts w:eastAsia="Calibri"/>
                <w:sz w:val="24"/>
                <w:szCs w:val="24"/>
              </w:rPr>
            </w:pPr>
          </w:p>
        </w:tc>
        <w:tc>
          <w:tcPr>
            <w:tcW w:w="897" w:type="pct"/>
            <w:tcBorders>
              <w:top w:val="single" w:sz="4" w:space="0" w:color="000000"/>
              <w:left w:val="single" w:sz="4" w:space="0" w:color="000000"/>
              <w:bottom w:val="single" w:sz="4" w:space="0" w:color="000000"/>
              <w:right w:val="single" w:sz="4" w:space="0" w:color="000000"/>
            </w:tcBorders>
          </w:tcPr>
          <w:p w14:paraId="1847DDF7" w14:textId="77777777" w:rsidR="00DE2F8A" w:rsidRPr="007B4B68" w:rsidRDefault="00DE2F8A" w:rsidP="00A65E5F">
            <w:pPr>
              <w:ind w:left="142"/>
              <w:jc w:val="center"/>
              <w:rPr>
                <w:rFonts w:eastAsia="Calibri"/>
                <w:sz w:val="24"/>
                <w:szCs w:val="24"/>
              </w:rPr>
            </w:pPr>
          </w:p>
        </w:tc>
        <w:tc>
          <w:tcPr>
            <w:tcW w:w="958" w:type="pct"/>
            <w:tcBorders>
              <w:top w:val="single" w:sz="4" w:space="0" w:color="000000"/>
              <w:left w:val="single" w:sz="4" w:space="0" w:color="000000"/>
              <w:bottom w:val="single" w:sz="4" w:space="0" w:color="000000"/>
              <w:right w:val="single" w:sz="4" w:space="0" w:color="000000"/>
            </w:tcBorders>
          </w:tcPr>
          <w:p w14:paraId="181B08D3" w14:textId="77777777" w:rsidR="00DE2F8A" w:rsidRPr="007B4B68" w:rsidRDefault="00DE2F8A" w:rsidP="00A65E5F">
            <w:pPr>
              <w:ind w:left="142"/>
              <w:jc w:val="center"/>
              <w:rPr>
                <w:rFonts w:eastAsia="Calibri"/>
                <w:sz w:val="24"/>
                <w:szCs w:val="24"/>
              </w:rPr>
            </w:pPr>
          </w:p>
        </w:tc>
        <w:tc>
          <w:tcPr>
            <w:tcW w:w="1019" w:type="pct"/>
            <w:tcBorders>
              <w:top w:val="single" w:sz="4" w:space="0" w:color="000000"/>
              <w:left w:val="single" w:sz="4" w:space="0" w:color="000000"/>
              <w:bottom w:val="single" w:sz="4" w:space="0" w:color="000000"/>
              <w:right w:val="single" w:sz="4" w:space="0" w:color="000000"/>
            </w:tcBorders>
          </w:tcPr>
          <w:p w14:paraId="602E540D" w14:textId="77777777" w:rsidR="00DE2F8A" w:rsidRPr="007B4B68" w:rsidRDefault="00DE2F8A" w:rsidP="00A65E5F">
            <w:pPr>
              <w:ind w:left="142"/>
              <w:jc w:val="center"/>
              <w:rPr>
                <w:rFonts w:eastAsia="Calibri"/>
                <w:sz w:val="24"/>
                <w:szCs w:val="24"/>
              </w:rPr>
            </w:pPr>
          </w:p>
        </w:tc>
      </w:tr>
      <w:tr w:rsidR="00DE2F8A" w:rsidRPr="007B4B68" w14:paraId="7C0E8B1C" w14:textId="77777777" w:rsidTr="00A65E5F">
        <w:trPr>
          <w:trHeight w:val="254"/>
        </w:trPr>
        <w:tc>
          <w:tcPr>
            <w:tcW w:w="2126" w:type="pct"/>
            <w:tcBorders>
              <w:top w:val="single" w:sz="4" w:space="0" w:color="000000"/>
              <w:left w:val="single" w:sz="4" w:space="0" w:color="000000"/>
              <w:bottom w:val="single" w:sz="4" w:space="0" w:color="000000"/>
              <w:right w:val="single" w:sz="4" w:space="0" w:color="000000"/>
            </w:tcBorders>
            <w:hideMark/>
          </w:tcPr>
          <w:p w14:paraId="09D4ABF5" w14:textId="77777777" w:rsidR="00DE2F8A" w:rsidRPr="00A65E5F" w:rsidRDefault="00DE2F8A" w:rsidP="00A65E5F">
            <w:pPr>
              <w:ind w:left="142"/>
              <w:rPr>
                <w:rFonts w:eastAsia="Calibri"/>
                <w:sz w:val="24"/>
                <w:szCs w:val="24"/>
                <w:lang w:val="fr-FR"/>
              </w:rPr>
            </w:pPr>
            <w:r w:rsidRPr="00A65E5F">
              <w:rPr>
                <w:rFonts w:eastAsia="Calibri"/>
                <w:sz w:val="24"/>
                <w:szCs w:val="24"/>
                <w:lang w:val="fr-FR"/>
              </w:rPr>
              <w:t>Non-neutropene (ANC, celler/mm</w:t>
            </w:r>
            <w:r w:rsidRPr="00A65E5F">
              <w:rPr>
                <w:rFonts w:eastAsia="Calibri"/>
                <w:sz w:val="24"/>
                <w:szCs w:val="24"/>
                <w:vertAlign w:val="superscript"/>
                <w:lang w:val="fr-FR"/>
              </w:rPr>
              <w:t>3</w:t>
            </w:r>
            <w:r w:rsidRPr="00A65E5F">
              <w:rPr>
                <w:rFonts w:eastAsia="Calibri"/>
                <w:sz w:val="24"/>
                <w:szCs w:val="24"/>
                <w:lang w:val="fr-FR"/>
              </w:rPr>
              <w:t>&gt;500)</w:t>
            </w:r>
          </w:p>
        </w:tc>
        <w:tc>
          <w:tcPr>
            <w:tcW w:w="897" w:type="pct"/>
            <w:tcBorders>
              <w:top w:val="single" w:sz="4" w:space="0" w:color="000000"/>
              <w:left w:val="single" w:sz="4" w:space="0" w:color="000000"/>
              <w:bottom w:val="single" w:sz="4" w:space="0" w:color="000000"/>
              <w:right w:val="single" w:sz="4" w:space="0" w:color="000000"/>
            </w:tcBorders>
            <w:hideMark/>
          </w:tcPr>
          <w:p w14:paraId="3ED58C7A" w14:textId="77777777" w:rsidR="00DE2F8A" w:rsidRPr="007B4B68" w:rsidRDefault="00DE2F8A" w:rsidP="00A65E5F">
            <w:pPr>
              <w:ind w:left="142"/>
              <w:jc w:val="center"/>
              <w:rPr>
                <w:rFonts w:eastAsia="Calibri"/>
                <w:sz w:val="24"/>
                <w:szCs w:val="24"/>
              </w:rPr>
            </w:pPr>
            <w:r w:rsidRPr="007B4B68">
              <w:rPr>
                <w:rFonts w:eastAsia="Calibri"/>
                <w:sz w:val="24"/>
                <w:szCs w:val="24"/>
              </w:rPr>
              <w:t>94/124 (75,8</w:t>
            </w:r>
            <w:r>
              <w:rPr>
                <w:rFonts w:eastAsia="Calibri"/>
                <w:sz w:val="24"/>
                <w:szCs w:val="24"/>
              </w:rPr>
              <w:t xml:space="preserve"> </w:t>
            </w:r>
            <w:r w:rsidRPr="007B4B68">
              <w:rPr>
                <w:rFonts w:eastAsia="Calibri"/>
                <w:sz w:val="24"/>
                <w:szCs w:val="24"/>
              </w:rPr>
              <w:t>%)</w:t>
            </w:r>
          </w:p>
        </w:tc>
        <w:tc>
          <w:tcPr>
            <w:tcW w:w="958" w:type="pct"/>
            <w:tcBorders>
              <w:top w:val="single" w:sz="4" w:space="0" w:color="000000"/>
              <w:left w:val="single" w:sz="4" w:space="0" w:color="000000"/>
              <w:bottom w:val="single" w:sz="4" w:space="0" w:color="000000"/>
              <w:right w:val="single" w:sz="4" w:space="0" w:color="000000"/>
            </w:tcBorders>
            <w:hideMark/>
          </w:tcPr>
          <w:p w14:paraId="217B002F" w14:textId="77777777" w:rsidR="00DE2F8A" w:rsidRPr="007B4B68" w:rsidRDefault="00DE2F8A" w:rsidP="00A65E5F">
            <w:pPr>
              <w:ind w:left="142"/>
              <w:jc w:val="center"/>
              <w:rPr>
                <w:rFonts w:eastAsia="Calibri"/>
                <w:sz w:val="24"/>
                <w:szCs w:val="24"/>
              </w:rPr>
            </w:pPr>
            <w:r w:rsidRPr="007B4B68">
              <w:rPr>
                <w:rFonts w:eastAsia="Calibri"/>
                <w:sz w:val="24"/>
                <w:szCs w:val="24"/>
              </w:rPr>
              <w:t>69/114 (60,5</w:t>
            </w:r>
            <w:r>
              <w:rPr>
                <w:rFonts w:eastAsia="Calibri"/>
                <w:sz w:val="24"/>
                <w:szCs w:val="24"/>
              </w:rPr>
              <w:t xml:space="preserve"> </w:t>
            </w:r>
            <w:r w:rsidRPr="007B4B68">
              <w:rPr>
                <w:rFonts w:eastAsia="Calibri"/>
                <w:sz w:val="24"/>
                <w:szCs w:val="24"/>
              </w:rPr>
              <w:t>%)</w:t>
            </w:r>
          </w:p>
        </w:tc>
        <w:tc>
          <w:tcPr>
            <w:tcW w:w="1019" w:type="pct"/>
            <w:tcBorders>
              <w:top w:val="single" w:sz="4" w:space="0" w:color="000000"/>
              <w:left w:val="single" w:sz="4" w:space="0" w:color="000000"/>
              <w:bottom w:val="single" w:sz="4" w:space="0" w:color="000000"/>
              <w:right w:val="single" w:sz="4" w:space="0" w:color="000000"/>
            </w:tcBorders>
            <w:hideMark/>
          </w:tcPr>
          <w:p w14:paraId="06C2D914" w14:textId="77777777" w:rsidR="00DE2F8A" w:rsidRPr="007B4B68" w:rsidRDefault="00DE2F8A" w:rsidP="00A65E5F">
            <w:pPr>
              <w:ind w:left="142"/>
              <w:jc w:val="center"/>
              <w:rPr>
                <w:rFonts w:eastAsia="Calibri"/>
                <w:sz w:val="24"/>
                <w:szCs w:val="24"/>
              </w:rPr>
            </w:pPr>
            <w:r w:rsidRPr="007B4B68">
              <w:rPr>
                <w:rFonts w:eastAsia="Calibri"/>
                <w:sz w:val="24"/>
                <w:szCs w:val="24"/>
              </w:rPr>
              <w:t>-</w:t>
            </w:r>
          </w:p>
        </w:tc>
      </w:tr>
      <w:tr w:rsidR="00DE2F8A" w:rsidRPr="007B4B68" w14:paraId="20E93AF9" w14:textId="77777777" w:rsidTr="00A65E5F">
        <w:trPr>
          <w:trHeight w:val="268"/>
        </w:trPr>
        <w:tc>
          <w:tcPr>
            <w:tcW w:w="2126" w:type="pct"/>
            <w:tcBorders>
              <w:top w:val="single" w:sz="4" w:space="0" w:color="000000"/>
              <w:left w:val="single" w:sz="4" w:space="0" w:color="000000"/>
              <w:bottom w:val="single" w:sz="4" w:space="0" w:color="000000"/>
              <w:right w:val="single" w:sz="4" w:space="0" w:color="000000"/>
            </w:tcBorders>
            <w:hideMark/>
          </w:tcPr>
          <w:p w14:paraId="54FBAFE0" w14:textId="77777777" w:rsidR="00DE2F8A" w:rsidRPr="007B4B68" w:rsidRDefault="00DE2F8A" w:rsidP="00A65E5F">
            <w:pPr>
              <w:ind w:left="142"/>
              <w:rPr>
                <w:rFonts w:eastAsia="Calibri"/>
                <w:sz w:val="24"/>
                <w:szCs w:val="24"/>
              </w:rPr>
            </w:pPr>
            <w:proofErr w:type="spellStart"/>
            <w:r w:rsidRPr="007B4B68">
              <w:rPr>
                <w:rFonts w:eastAsia="Calibri"/>
                <w:sz w:val="24"/>
                <w:szCs w:val="24"/>
              </w:rPr>
              <w:t>Neutropene</w:t>
            </w:r>
            <w:proofErr w:type="spellEnd"/>
            <w:r w:rsidRPr="007B4B68">
              <w:rPr>
                <w:rFonts w:eastAsia="Calibri"/>
                <w:sz w:val="24"/>
                <w:szCs w:val="24"/>
              </w:rPr>
              <w:t xml:space="preserve"> (ANC, celler/mm</w:t>
            </w:r>
            <w:r w:rsidRPr="007B4B68">
              <w:rPr>
                <w:rFonts w:eastAsia="Calibri"/>
                <w:sz w:val="24"/>
                <w:szCs w:val="24"/>
                <w:vertAlign w:val="superscript"/>
              </w:rPr>
              <w:t>3</w:t>
            </w:r>
            <w:r w:rsidRPr="007B4B68">
              <w:rPr>
                <w:rFonts w:eastAsia="Calibri"/>
                <w:sz w:val="24"/>
                <w:szCs w:val="24"/>
              </w:rPr>
              <w:t>≤500)</w:t>
            </w:r>
          </w:p>
        </w:tc>
        <w:tc>
          <w:tcPr>
            <w:tcW w:w="897" w:type="pct"/>
            <w:tcBorders>
              <w:top w:val="single" w:sz="4" w:space="0" w:color="000000"/>
              <w:left w:val="single" w:sz="4" w:space="0" w:color="000000"/>
              <w:bottom w:val="single" w:sz="4" w:space="0" w:color="000000"/>
              <w:right w:val="single" w:sz="4" w:space="0" w:color="000000"/>
            </w:tcBorders>
            <w:hideMark/>
          </w:tcPr>
          <w:p w14:paraId="56970435" w14:textId="77777777" w:rsidR="00DE2F8A" w:rsidRPr="007B4B68" w:rsidRDefault="00DE2F8A" w:rsidP="00A65E5F">
            <w:pPr>
              <w:ind w:left="142"/>
              <w:jc w:val="center"/>
              <w:rPr>
                <w:rFonts w:eastAsia="Calibri"/>
                <w:sz w:val="24"/>
                <w:szCs w:val="24"/>
              </w:rPr>
            </w:pPr>
            <w:r w:rsidRPr="007B4B68">
              <w:rPr>
                <w:rFonts w:eastAsia="Calibri"/>
                <w:sz w:val="24"/>
                <w:szCs w:val="24"/>
              </w:rPr>
              <w:t>2/3</w:t>
            </w:r>
          </w:p>
        </w:tc>
        <w:tc>
          <w:tcPr>
            <w:tcW w:w="958" w:type="pct"/>
            <w:tcBorders>
              <w:top w:val="single" w:sz="4" w:space="0" w:color="000000"/>
              <w:left w:val="single" w:sz="4" w:space="0" w:color="000000"/>
              <w:bottom w:val="single" w:sz="4" w:space="0" w:color="000000"/>
              <w:right w:val="single" w:sz="4" w:space="0" w:color="000000"/>
            </w:tcBorders>
            <w:hideMark/>
          </w:tcPr>
          <w:p w14:paraId="7A894B4E" w14:textId="77777777" w:rsidR="00DE2F8A" w:rsidRPr="007B4B68" w:rsidRDefault="00DE2F8A" w:rsidP="00A65E5F">
            <w:pPr>
              <w:ind w:left="142"/>
              <w:jc w:val="center"/>
              <w:rPr>
                <w:rFonts w:eastAsia="Calibri"/>
                <w:sz w:val="24"/>
                <w:szCs w:val="24"/>
              </w:rPr>
            </w:pPr>
            <w:r w:rsidRPr="007B4B68">
              <w:rPr>
                <w:rFonts w:eastAsia="Calibri"/>
                <w:sz w:val="24"/>
                <w:szCs w:val="24"/>
              </w:rPr>
              <w:t>2/4</w:t>
            </w:r>
          </w:p>
        </w:tc>
        <w:tc>
          <w:tcPr>
            <w:tcW w:w="1019" w:type="pct"/>
            <w:tcBorders>
              <w:top w:val="single" w:sz="4" w:space="0" w:color="000000"/>
              <w:left w:val="single" w:sz="4" w:space="0" w:color="000000"/>
              <w:bottom w:val="single" w:sz="4" w:space="0" w:color="000000"/>
              <w:right w:val="single" w:sz="4" w:space="0" w:color="000000"/>
            </w:tcBorders>
            <w:hideMark/>
          </w:tcPr>
          <w:p w14:paraId="001AD851" w14:textId="77777777" w:rsidR="00DE2F8A" w:rsidRPr="007B4B68" w:rsidRDefault="00DE2F8A" w:rsidP="00A65E5F">
            <w:pPr>
              <w:ind w:left="142"/>
              <w:jc w:val="center"/>
              <w:rPr>
                <w:rFonts w:eastAsia="Calibri"/>
                <w:sz w:val="24"/>
                <w:szCs w:val="24"/>
              </w:rPr>
            </w:pPr>
            <w:r w:rsidRPr="007B4B68">
              <w:rPr>
                <w:rFonts w:eastAsia="Calibri"/>
                <w:sz w:val="24"/>
                <w:szCs w:val="24"/>
              </w:rPr>
              <w:t>-</w:t>
            </w:r>
          </w:p>
        </w:tc>
      </w:tr>
      <w:tr w:rsidR="00DE2F8A" w:rsidRPr="007B4B68" w14:paraId="324846AE" w14:textId="77777777" w:rsidTr="00A65E5F">
        <w:trPr>
          <w:trHeight w:val="253"/>
        </w:trPr>
        <w:tc>
          <w:tcPr>
            <w:tcW w:w="2126" w:type="pct"/>
            <w:tcBorders>
              <w:top w:val="single" w:sz="4" w:space="0" w:color="000000"/>
              <w:left w:val="single" w:sz="4" w:space="0" w:color="000000"/>
              <w:bottom w:val="single" w:sz="4" w:space="0" w:color="000000"/>
              <w:right w:val="single" w:sz="4" w:space="0" w:color="000000"/>
            </w:tcBorders>
            <w:hideMark/>
          </w:tcPr>
          <w:p w14:paraId="2E8827FE" w14:textId="77777777" w:rsidR="00DE2F8A" w:rsidRPr="007B4B68" w:rsidRDefault="00DE2F8A" w:rsidP="00A65E5F">
            <w:pPr>
              <w:ind w:left="142"/>
              <w:rPr>
                <w:rFonts w:eastAsia="Calibri"/>
                <w:b/>
                <w:sz w:val="24"/>
                <w:szCs w:val="24"/>
              </w:rPr>
            </w:pPr>
            <w:r w:rsidRPr="007B4B68">
              <w:rPr>
                <w:rFonts w:eastAsia="Calibri"/>
                <w:b/>
                <w:sz w:val="24"/>
                <w:szCs w:val="24"/>
              </w:rPr>
              <w:t>Ved andre endemål</w:t>
            </w:r>
          </w:p>
        </w:tc>
        <w:tc>
          <w:tcPr>
            <w:tcW w:w="897" w:type="pct"/>
            <w:tcBorders>
              <w:top w:val="single" w:sz="4" w:space="0" w:color="000000"/>
              <w:left w:val="single" w:sz="4" w:space="0" w:color="000000"/>
              <w:bottom w:val="single" w:sz="4" w:space="0" w:color="000000"/>
              <w:right w:val="single" w:sz="4" w:space="0" w:color="000000"/>
            </w:tcBorders>
          </w:tcPr>
          <w:p w14:paraId="387312B7" w14:textId="77777777" w:rsidR="00DE2F8A" w:rsidRPr="007B4B68" w:rsidRDefault="00DE2F8A" w:rsidP="00A65E5F">
            <w:pPr>
              <w:ind w:left="142"/>
              <w:jc w:val="center"/>
              <w:rPr>
                <w:rFonts w:eastAsia="Calibri"/>
                <w:sz w:val="24"/>
                <w:szCs w:val="24"/>
              </w:rPr>
            </w:pPr>
          </w:p>
        </w:tc>
        <w:tc>
          <w:tcPr>
            <w:tcW w:w="958" w:type="pct"/>
            <w:tcBorders>
              <w:top w:val="single" w:sz="4" w:space="0" w:color="000000"/>
              <w:left w:val="single" w:sz="4" w:space="0" w:color="000000"/>
              <w:bottom w:val="single" w:sz="4" w:space="0" w:color="000000"/>
              <w:right w:val="single" w:sz="4" w:space="0" w:color="000000"/>
            </w:tcBorders>
          </w:tcPr>
          <w:p w14:paraId="31A1CF59" w14:textId="77777777" w:rsidR="00DE2F8A" w:rsidRPr="007B4B68" w:rsidRDefault="00DE2F8A" w:rsidP="00A65E5F">
            <w:pPr>
              <w:ind w:left="142"/>
              <w:jc w:val="center"/>
              <w:rPr>
                <w:rFonts w:eastAsia="Calibri"/>
                <w:sz w:val="24"/>
                <w:szCs w:val="24"/>
              </w:rPr>
            </w:pPr>
          </w:p>
        </w:tc>
        <w:tc>
          <w:tcPr>
            <w:tcW w:w="1019" w:type="pct"/>
            <w:tcBorders>
              <w:top w:val="single" w:sz="4" w:space="0" w:color="000000"/>
              <w:left w:val="single" w:sz="4" w:space="0" w:color="000000"/>
              <w:bottom w:val="single" w:sz="4" w:space="0" w:color="000000"/>
              <w:right w:val="single" w:sz="4" w:space="0" w:color="000000"/>
            </w:tcBorders>
          </w:tcPr>
          <w:p w14:paraId="279C4D25" w14:textId="77777777" w:rsidR="00DE2F8A" w:rsidRPr="007B4B68" w:rsidRDefault="00DE2F8A" w:rsidP="00A65E5F">
            <w:pPr>
              <w:ind w:left="142"/>
              <w:jc w:val="center"/>
              <w:rPr>
                <w:rFonts w:eastAsia="Calibri"/>
                <w:sz w:val="24"/>
                <w:szCs w:val="24"/>
              </w:rPr>
            </w:pPr>
          </w:p>
        </w:tc>
      </w:tr>
      <w:tr w:rsidR="00DE2F8A" w:rsidRPr="007B4B68" w14:paraId="56B3CA22" w14:textId="77777777" w:rsidTr="00A65E5F">
        <w:trPr>
          <w:trHeight w:val="251"/>
        </w:trPr>
        <w:tc>
          <w:tcPr>
            <w:tcW w:w="2126" w:type="pct"/>
            <w:tcBorders>
              <w:top w:val="single" w:sz="4" w:space="0" w:color="000000"/>
              <w:left w:val="single" w:sz="4" w:space="0" w:color="000000"/>
              <w:bottom w:val="single" w:sz="4" w:space="0" w:color="000000"/>
              <w:right w:val="single" w:sz="4" w:space="0" w:color="000000"/>
            </w:tcBorders>
            <w:hideMark/>
          </w:tcPr>
          <w:p w14:paraId="19CC4A92" w14:textId="77777777" w:rsidR="00DE2F8A" w:rsidRPr="007B4B68" w:rsidRDefault="00DE2F8A" w:rsidP="00A65E5F">
            <w:pPr>
              <w:ind w:left="142"/>
              <w:rPr>
                <w:rFonts w:eastAsia="Calibri"/>
                <w:sz w:val="24"/>
                <w:szCs w:val="24"/>
              </w:rPr>
            </w:pPr>
            <w:r w:rsidRPr="007B4B68">
              <w:rPr>
                <w:rFonts w:eastAsia="Calibri"/>
                <w:sz w:val="24"/>
                <w:szCs w:val="24"/>
              </w:rPr>
              <w:t>Afslutning af al behandling</w:t>
            </w:r>
          </w:p>
        </w:tc>
        <w:tc>
          <w:tcPr>
            <w:tcW w:w="897" w:type="pct"/>
            <w:tcBorders>
              <w:top w:val="single" w:sz="4" w:space="0" w:color="000000"/>
              <w:left w:val="single" w:sz="4" w:space="0" w:color="000000"/>
              <w:bottom w:val="single" w:sz="4" w:space="0" w:color="000000"/>
              <w:right w:val="single" w:sz="4" w:space="0" w:color="000000"/>
            </w:tcBorders>
            <w:hideMark/>
          </w:tcPr>
          <w:p w14:paraId="4D556FD8" w14:textId="77777777" w:rsidR="00DE2F8A" w:rsidRPr="007B4B68" w:rsidRDefault="00DE2F8A" w:rsidP="00A65E5F">
            <w:pPr>
              <w:ind w:left="142"/>
              <w:jc w:val="center"/>
              <w:rPr>
                <w:rFonts w:eastAsia="Calibri"/>
                <w:sz w:val="24"/>
                <w:szCs w:val="24"/>
              </w:rPr>
            </w:pPr>
            <w:r w:rsidRPr="007B4B68">
              <w:rPr>
                <w:rFonts w:eastAsia="Calibri"/>
                <w:sz w:val="24"/>
                <w:szCs w:val="24"/>
              </w:rPr>
              <w:t>94/127 (74,0</w:t>
            </w:r>
            <w:r>
              <w:rPr>
                <w:rFonts w:eastAsia="Calibri"/>
                <w:sz w:val="24"/>
                <w:szCs w:val="24"/>
              </w:rPr>
              <w:t xml:space="preserve"> </w:t>
            </w:r>
            <w:r w:rsidRPr="007B4B68">
              <w:rPr>
                <w:rFonts w:eastAsia="Calibri"/>
                <w:sz w:val="24"/>
                <w:szCs w:val="24"/>
              </w:rPr>
              <w:t>%)</w:t>
            </w:r>
          </w:p>
        </w:tc>
        <w:tc>
          <w:tcPr>
            <w:tcW w:w="958" w:type="pct"/>
            <w:tcBorders>
              <w:top w:val="single" w:sz="4" w:space="0" w:color="000000"/>
              <w:left w:val="single" w:sz="4" w:space="0" w:color="000000"/>
              <w:bottom w:val="single" w:sz="4" w:space="0" w:color="000000"/>
              <w:right w:val="single" w:sz="4" w:space="0" w:color="000000"/>
            </w:tcBorders>
            <w:hideMark/>
          </w:tcPr>
          <w:p w14:paraId="61B0A322" w14:textId="77777777" w:rsidR="00DE2F8A" w:rsidRPr="007B4B68" w:rsidRDefault="00DE2F8A" w:rsidP="00A65E5F">
            <w:pPr>
              <w:ind w:left="142"/>
              <w:jc w:val="center"/>
              <w:rPr>
                <w:rFonts w:eastAsia="Calibri"/>
                <w:sz w:val="24"/>
                <w:szCs w:val="24"/>
              </w:rPr>
            </w:pPr>
            <w:r w:rsidRPr="007B4B68">
              <w:rPr>
                <w:rFonts w:eastAsia="Calibri"/>
                <w:sz w:val="24"/>
                <w:szCs w:val="24"/>
              </w:rPr>
              <w:t>67/118 (56,8</w:t>
            </w:r>
            <w:r>
              <w:rPr>
                <w:rFonts w:eastAsia="Calibri"/>
                <w:sz w:val="24"/>
                <w:szCs w:val="24"/>
              </w:rPr>
              <w:t xml:space="preserve"> </w:t>
            </w:r>
            <w:r w:rsidRPr="007B4B68">
              <w:rPr>
                <w:rFonts w:eastAsia="Calibri"/>
                <w:sz w:val="24"/>
                <w:szCs w:val="24"/>
              </w:rPr>
              <w:t>%)</w:t>
            </w:r>
          </w:p>
        </w:tc>
        <w:tc>
          <w:tcPr>
            <w:tcW w:w="1019" w:type="pct"/>
            <w:tcBorders>
              <w:top w:val="single" w:sz="4" w:space="0" w:color="000000"/>
              <w:left w:val="single" w:sz="4" w:space="0" w:color="000000"/>
              <w:bottom w:val="single" w:sz="4" w:space="0" w:color="000000"/>
              <w:right w:val="single" w:sz="4" w:space="0" w:color="000000"/>
            </w:tcBorders>
            <w:hideMark/>
          </w:tcPr>
          <w:p w14:paraId="506F3E3F" w14:textId="77777777" w:rsidR="00DE2F8A" w:rsidRPr="007B4B68" w:rsidRDefault="00DE2F8A" w:rsidP="00A65E5F">
            <w:pPr>
              <w:ind w:left="142"/>
              <w:jc w:val="center"/>
              <w:rPr>
                <w:rFonts w:eastAsia="Calibri"/>
                <w:sz w:val="24"/>
                <w:szCs w:val="24"/>
              </w:rPr>
            </w:pPr>
            <w:r w:rsidRPr="007B4B68">
              <w:rPr>
                <w:rFonts w:eastAsia="Calibri"/>
                <w:sz w:val="24"/>
                <w:szCs w:val="24"/>
              </w:rPr>
              <w:t>17,24 (2,9; 31,</w:t>
            </w:r>
            <w:proofErr w:type="gramStart"/>
            <w:r w:rsidRPr="007B4B68">
              <w:rPr>
                <w:rFonts w:eastAsia="Calibri"/>
                <w:sz w:val="24"/>
                <w:szCs w:val="24"/>
              </w:rPr>
              <w:t>6)</w:t>
            </w:r>
            <w:r w:rsidRPr="007B4B68">
              <w:rPr>
                <w:rFonts w:eastAsia="Calibri"/>
                <w:sz w:val="24"/>
                <w:szCs w:val="24"/>
                <w:vertAlign w:val="superscript"/>
              </w:rPr>
              <w:t>e</w:t>
            </w:r>
            <w:proofErr w:type="gramEnd"/>
          </w:p>
        </w:tc>
      </w:tr>
      <w:tr w:rsidR="00DE2F8A" w:rsidRPr="007B4B68" w14:paraId="6461C96E" w14:textId="77777777" w:rsidTr="00A65E5F">
        <w:trPr>
          <w:trHeight w:val="253"/>
        </w:trPr>
        <w:tc>
          <w:tcPr>
            <w:tcW w:w="2126" w:type="pct"/>
            <w:tcBorders>
              <w:top w:val="single" w:sz="4" w:space="0" w:color="000000"/>
              <w:left w:val="single" w:sz="4" w:space="0" w:color="000000"/>
              <w:bottom w:val="single" w:sz="4" w:space="0" w:color="000000"/>
              <w:right w:val="single" w:sz="4" w:space="0" w:color="000000"/>
            </w:tcBorders>
            <w:hideMark/>
          </w:tcPr>
          <w:p w14:paraId="4A5E4C9F" w14:textId="77777777" w:rsidR="00DE2F8A" w:rsidRPr="007B4B68" w:rsidRDefault="00DE2F8A" w:rsidP="00A65E5F">
            <w:pPr>
              <w:ind w:left="142"/>
              <w:rPr>
                <w:rFonts w:eastAsia="Calibri"/>
                <w:sz w:val="24"/>
                <w:szCs w:val="24"/>
              </w:rPr>
            </w:pPr>
            <w:r w:rsidRPr="007B4B68">
              <w:rPr>
                <w:rFonts w:eastAsia="Calibri"/>
                <w:sz w:val="24"/>
                <w:szCs w:val="24"/>
              </w:rPr>
              <w:t>2 ugers opfølgning</w:t>
            </w:r>
          </w:p>
        </w:tc>
        <w:tc>
          <w:tcPr>
            <w:tcW w:w="897" w:type="pct"/>
            <w:tcBorders>
              <w:top w:val="single" w:sz="4" w:space="0" w:color="000000"/>
              <w:left w:val="single" w:sz="4" w:space="0" w:color="000000"/>
              <w:bottom w:val="single" w:sz="4" w:space="0" w:color="000000"/>
              <w:right w:val="single" w:sz="4" w:space="0" w:color="000000"/>
            </w:tcBorders>
            <w:hideMark/>
          </w:tcPr>
          <w:p w14:paraId="1EAE5A89" w14:textId="77777777" w:rsidR="00DE2F8A" w:rsidRPr="007B4B68" w:rsidRDefault="00DE2F8A" w:rsidP="00A65E5F">
            <w:pPr>
              <w:ind w:left="142"/>
              <w:jc w:val="center"/>
              <w:rPr>
                <w:rFonts w:eastAsia="Calibri"/>
                <w:sz w:val="24"/>
                <w:szCs w:val="24"/>
              </w:rPr>
            </w:pPr>
            <w:r w:rsidRPr="007B4B68">
              <w:rPr>
                <w:rFonts w:eastAsia="Calibri"/>
                <w:sz w:val="24"/>
                <w:szCs w:val="24"/>
              </w:rPr>
              <w:t>82/127 (64,6</w:t>
            </w:r>
            <w:r>
              <w:rPr>
                <w:rFonts w:eastAsia="Calibri"/>
                <w:sz w:val="24"/>
                <w:szCs w:val="24"/>
              </w:rPr>
              <w:t xml:space="preserve"> </w:t>
            </w:r>
            <w:r w:rsidRPr="007B4B68">
              <w:rPr>
                <w:rFonts w:eastAsia="Calibri"/>
                <w:sz w:val="24"/>
                <w:szCs w:val="24"/>
              </w:rPr>
              <w:t>%)</w:t>
            </w:r>
          </w:p>
        </w:tc>
        <w:tc>
          <w:tcPr>
            <w:tcW w:w="958" w:type="pct"/>
            <w:tcBorders>
              <w:top w:val="single" w:sz="4" w:space="0" w:color="000000"/>
              <w:left w:val="single" w:sz="4" w:space="0" w:color="000000"/>
              <w:bottom w:val="single" w:sz="4" w:space="0" w:color="000000"/>
              <w:right w:val="single" w:sz="4" w:space="0" w:color="000000"/>
            </w:tcBorders>
            <w:hideMark/>
          </w:tcPr>
          <w:p w14:paraId="21D40D64" w14:textId="77777777" w:rsidR="00DE2F8A" w:rsidRPr="007B4B68" w:rsidRDefault="00DE2F8A" w:rsidP="00A65E5F">
            <w:pPr>
              <w:ind w:left="142"/>
              <w:jc w:val="center"/>
              <w:rPr>
                <w:rFonts w:eastAsia="Calibri"/>
                <w:sz w:val="24"/>
                <w:szCs w:val="24"/>
              </w:rPr>
            </w:pPr>
            <w:r w:rsidRPr="007B4B68">
              <w:rPr>
                <w:rFonts w:eastAsia="Calibri"/>
                <w:sz w:val="24"/>
                <w:szCs w:val="24"/>
              </w:rPr>
              <w:t>58/118 (49,2</w:t>
            </w:r>
            <w:r>
              <w:rPr>
                <w:rFonts w:eastAsia="Calibri"/>
                <w:sz w:val="24"/>
                <w:szCs w:val="24"/>
              </w:rPr>
              <w:t xml:space="preserve"> </w:t>
            </w:r>
            <w:r w:rsidRPr="007B4B68">
              <w:rPr>
                <w:rFonts w:eastAsia="Calibri"/>
                <w:sz w:val="24"/>
                <w:szCs w:val="24"/>
              </w:rPr>
              <w:t>%)</w:t>
            </w:r>
          </w:p>
        </w:tc>
        <w:tc>
          <w:tcPr>
            <w:tcW w:w="1019" w:type="pct"/>
            <w:tcBorders>
              <w:top w:val="single" w:sz="4" w:space="0" w:color="000000"/>
              <w:left w:val="single" w:sz="4" w:space="0" w:color="000000"/>
              <w:bottom w:val="single" w:sz="4" w:space="0" w:color="000000"/>
              <w:right w:val="single" w:sz="4" w:space="0" w:color="000000"/>
            </w:tcBorders>
            <w:hideMark/>
          </w:tcPr>
          <w:p w14:paraId="5F128414" w14:textId="77777777" w:rsidR="00DE2F8A" w:rsidRPr="007B4B68" w:rsidRDefault="00DE2F8A" w:rsidP="00A65E5F">
            <w:pPr>
              <w:ind w:left="142"/>
              <w:jc w:val="center"/>
              <w:rPr>
                <w:rFonts w:eastAsia="Calibri"/>
                <w:sz w:val="24"/>
                <w:szCs w:val="24"/>
              </w:rPr>
            </w:pPr>
            <w:r w:rsidRPr="007B4B68">
              <w:rPr>
                <w:rFonts w:eastAsia="Calibri"/>
                <w:sz w:val="24"/>
                <w:szCs w:val="24"/>
              </w:rPr>
              <w:t>15,41 (0,4; 30,</w:t>
            </w:r>
            <w:proofErr w:type="gramStart"/>
            <w:r w:rsidRPr="007B4B68">
              <w:rPr>
                <w:rFonts w:eastAsia="Calibri"/>
                <w:sz w:val="24"/>
                <w:szCs w:val="24"/>
              </w:rPr>
              <w:t>4)</w:t>
            </w:r>
            <w:r w:rsidRPr="007B4B68">
              <w:rPr>
                <w:rFonts w:eastAsia="Calibri"/>
                <w:sz w:val="24"/>
                <w:szCs w:val="24"/>
                <w:vertAlign w:val="superscript"/>
              </w:rPr>
              <w:t>e</w:t>
            </w:r>
            <w:proofErr w:type="gramEnd"/>
          </w:p>
        </w:tc>
      </w:tr>
      <w:tr w:rsidR="00DE2F8A" w:rsidRPr="007B4B68" w14:paraId="064DDC97" w14:textId="77777777" w:rsidTr="00A65E5F">
        <w:trPr>
          <w:trHeight w:val="253"/>
        </w:trPr>
        <w:tc>
          <w:tcPr>
            <w:tcW w:w="2126" w:type="pct"/>
            <w:tcBorders>
              <w:top w:val="single" w:sz="4" w:space="0" w:color="000000"/>
              <w:left w:val="single" w:sz="4" w:space="0" w:color="000000"/>
              <w:bottom w:val="single" w:sz="4" w:space="0" w:color="000000"/>
              <w:right w:val="single" w:sz="4" w:space="0" w:color="000000"/>
            </w:tcBorders>
            <w:hideMark/>
          </w:tcPr>
          <w:p w14:paraId="16797CD2" w14:textId="77777777" w:rsidR="00DE2F8A" w:rsidRPr="007B4B68" w:rsidRDefault="00DE2F8A" w:rsidP="00A65E5F">
            <w:pPr>
              <w:ind w:left="142"/>
              <w:rPr>
                <w:rFonts w:eastAsia="Calibri"/>
                <w:sz w:val="24"/>
                <w:szCs w:val="24"/>
              </w:rPr>
            </w:pPr>
            <w:r w:rsidRPr="007B4B68">
              <w:rPr>
                <w:rFonts w:eastAsia="Calibri"/>
                <w:sz w:val="24"/>
                <w:szCs w:val="24"/>
              </w:rPr>
              <w:t>6 ugers opfølgning</w:t>
            </w:r>
          </w:p>
        </w:tc>
        <w:tc>
          <w:tcPr>
            <w:tcW w:w="897" w:type="pct"/>
            <w:tcBorders>
              <w:top w:val="single" w:sz="4" w:space="0" w:color="000000"/>
              <w:left w:val="single" w:sz="4" w:space="0" w:color="000000"/>
              <w:bottom w:val="single" w:sz="4" w:space="0" w:color="000000"/>
              <w:right w:val="single" w:sz="4" w:space="0" w:color="000000"/>
            </w:tcBorders>
            <w:hideMark/>
          </w:tcPr>
          <w:p w14:paraId="4DB6416E" w14:textId="77777777" w:rsidR="00DE2F8A" w:rsidRPr="007B4B68" w:rsidRDefault="00DE2F8A" w:rsidP="00A65E5F">
            <w:pPr>
              <w:ind w:left="142"/>
              <w:jc w:val="center"/>
              <w:rPr>
                <w:rFonts w:eastAsia="Calibri"/>
                <w:sz w:val="24"/>
                <w:szCs w:val="24"/>
              </w:rPr>
            </w:pPr>
            <w:r w:rsidRPr="007B4B68">
              <w:rPr>
                <w:rFonts w:eastAsia="Calibri"/>
                <w:sz w:val="24"/>
                <w:szCs w:val="24"/>
              </w:rPr>
              <w:t>71/127 (55,9</w:t>
            </w:r>
            <w:r>
              <w:rPr>
                <w:rFonts w:eastAsia="Calibri"/>
                <w:sz w:val="24"/>
                <w:szCs w:val="24"/>
              </w:rPr>
              <w:t xml:space="preserve"> </w:t>
            </w:r>
            <w:r w:rsidRPr="007B4B68">
              <w:rPr>
                <w:rFonts w:eastAsia="Calibri"/>
                <w:sz w:val="24"/>
                <w:szCs w:val="24"/>
              </w:rPr>
              <w:t>%)</w:t>
            </w:r>
          </w:p>
        </w:tc>
        <w:tc>
          <w:tcPr>
            <w:tcW w:w="958" w:type="pct"/>
            <w:tcBorders>
              <w:top w:val="single" w:sz="4" w:space="0" w:color="000000"/>
              <w:left w:val="single" w:sz="4" w:space="0" w:color="000000"/>
              <w:bottom w:val="single" w:sz="4" w:space="0" w:color="000000"/>
              <w:right w:val="single" w:sz="4" w:space="0" w:color="000000"/>
            </w:tcBorders>
            <w:hideMark/>
          </w:tcPr>
          <w:p w14:paraId="63F8FB31" w14:textId="77777777" w:rsidR="00DE2F8A" w:rsidRPr="007B4B68" w:rsidRDefault="00DE2F8A" w:rsidP="00A65E5F">
            <w:pPr>
              <w:ind w:left="142"/>
              <w:jc w:val="center"/>
              <w:rPr>
                <w:rFonts w:eastAsia="Calibri"/>
                <w:sz w:val="24"/>
                <w:szCs w:val="24"/>
              </w:rPr>
            </w:pPr>
            <w:r w:rsidRPr="007B4B68">
              <w:rPr>
                <w:rFonts w:eastAsia="Calibri"/>
                <w:sz w:val="24"/>
                <w:szCs w:val="24"/>
              </w:rPr>
              <w:t>52/118 (44,1</w:t>
            </w:r>
            <w:r>
              <w:rPr>
                <w:rFonts w:eastAsia="Calibri"/>
                <w:sz w:val="24"/>
                <w:szCs w:val="24"/>
              </w:rPr>
              <w:t xml:space="preserve"> </w:t>
            </w:r>
            <w:r w:rsidRPr="007B4B68">
              <w:rPr>
                <w:rFonts w:eastAsia="Calibri"/>
                <w:sz w:val="24"/>
                <w:szCs w:val="24"/>
              </w:rPr>
              <w:t>%)</w:t>
            </w:r>
          </w:p>
        </w:tc>
        <w:tc>
          <w:tcPr>
            <w:tcW w:w="1019" w:type="pct"/>
            <w:tcBorders>
              <w:top w:val="single" w:sz="4" w:space="0" w:color="000000"/>
              <w:left w:val="single" w:sz="4" w:space="0" w:color="000000"/>
              <w:bottom w:val="single" w:sz="4" w:space="0" w:color="000000"/>
              <w:right w:val="single" w:sz="4" w:space="0" w:color="000000"/>
            </w:tcBorders>
            <w:hideMark/>
          </w:tcPr>
          <w:p w14:paraId="61C965A9" w14:textId="77777777" w:rsidR="00DE2F8A" w:rsidRPr="007B4B68" w:rsidRDefault="00DE2F8A" w:rsidP="00A65E5F">
            <w:pPr>
              <w:ind w:left="142"/>
              <w:jc w:val="center"/>
              <w:rPr>
                <w:rFonts w:eastAsia="Calibri"/>
                <w:sz w:val="24"/>
                <w:szCs w:val="24"/>
              </w:rPr>
            </w:pPr>
            <w:r w:rsidRPr="007B4B68">
              <w:rPr>
                <w:rFonts w:eastAsia="Calibri"/>
                <w:sz w:val="24"/>
                <w:szCs w:val="24"/>
              </w:rPr>
              <w:t>11,84 (-3,4; 27,</w:t>
            </w:r>
            <w:proofErr w:type="gramStart"/>
            <w:r w:rsidRPr="007B4B68">
              <w:rPr>
                <w:rFonts w:eastAsia="Calibri"/>
                <w:sz w:val="24"/>
                <w:szCs w:val="24"/>
              </w:rPr>
              <w:t>0)</w:t>
            </w:r>
            <w:r w:rsidRPr="007B4B68">
              <w:rPr>
                <w:rFonts w:eastAsia="Calibri"/>
                <w:sz w:val="24"/>
                <w:szCs w:val="24"/>
                <w:vertAlign w:val="superscript"/>
              </w:rPr>
              <w:t>e</w:t>
            </w:r>
            <w:proofErr w:type="gramEnd"/>
          </w:p>
        </w:tc>
      </w:tr>
    </w:tbl>
    <w:p w14:paraId="42740174" w14:textId="77777777" w:rsidR="00C5280D" w:rsidRPr="007B4B68" w:rsidRDefault="00C5280D" w:rsidP="0081285A">
      <w:pPr>
        <w:pStyle w:val="Brdtekst"/>
        <w:rPr>
          <w:sz w:val="24"/>
          <w:szCs w:val="24"/>
        </w:rPr>
      </w:pPr>
      <w:r w:rsidRPr="007B4B68">
        <w:rPr>
          <w:sz w:val="24"/>
          <w:szCs w:val="24"/>
          <w:vertAlign w:val="superscript"/>
        </w:rPr>
        <w:t>a</w:t>
      </w:r>
      <w:r w:rsidRPr="007B4B68">
        <w:rPr>
          <w:sz w:val="24"/>
          <w:szCs w:val="24"/>
        </w:rPr>
        <w:t xml:space="preserve"> Kalkuleret som </w:t>
      </w:r>
      <w:proofErr w:type="spellStart"/>
      <w:r w:rsidRPr="007B4B68">
        <w:rPr>
          <w:sz w:val="24"/>
          <w:szCs w:val="24"/>
        </w:rPr>
        <w:t>anidulafungin</w:t>
      </w:r>
      <w:proofErr w:type="spellEnd"/>
      <w:r w:rsidRPr="007B4B68">
        <w:rPr>
          <w:sz w:val="24"/>
          <w:szCs w:val="24"/>
        </w:rPr>
        <w:t xml:space="preserve"> minus </w:t>
      </w:r>
      <w:proofErr w:type="spellStart"/>
      <w:r w:rsidRPr="007B4B68">
        <w:rPr>
          <w:sz w:val="24"/>
          <w:szCs w:val="24"/>
        </w:rPr>
        <w:t>fluconazol</w:t>
      </w:r>
      <w:proofErr w:type="spellEnd"/>
    </w:p>
    <w:p w14:paraId="77688B6A" w14:textId="77777777" w:rsidR="00C5280D" w:rsidRPr="007B4B68" w:rsidRDefault="00C5280D" w:rsidP="0081285A">
      <w:pPr>
        <w:pStyle w:val="Brdtekst"/>
        <w:rPr>
          <w:sz w:val="24"/>
          <w:szCs w:val="24"/>
        </w:rPr>
      </w:pPr>
      <w:r w:rsidRPr="007B4B68">
        <w:rPr>
          <w:sz w:val="24"/>
          <w:szCs w:val="24"/>
          <w:vertAlign w:val="superscript"/>
        </w:rPr>
        <w:t>b</w:t>
      </w:r>
      <w:r w:rsidRPr="007B4B68">
        <w:rPr>
          <w:sz w:val="24"/>
          <w:szCs w:val="24"/>
        </w:rPr>
        <w:t xml:space="preserve"> Med eller uden samtidig </w:t>
      </w:r>
      <w:proofErr w:type="spellStart"/>
      <w:r w:rsidRPr="007B4B68">
        <w:rPr>
          <w:sz w:val="24"/>
          <w:szCs w:val="24"/>
        </w:rPr>
        <w:t>candidæmi</w:t>
      </w:r>
      <w:proofErr w:type="spellEnd"/>
    </w:p>
    <w:p w14:paraId="00B95E45" w14:textId="77777777" w:rsidR="00C5280D" w:rsidRPr="007B4B68" w:rsidRDefault="00C5280D" w:rsidP="0081285A">
      <w:pPr>
        <w:pStyle w:val="Brdtekst"/>
        <w:rPr>
          <w:sz w:val="24"/>
          <w:szCs w:val="24"/>
        </w:rPr>
      </w:pPr>
      <w:r w:rsidRPr="007B4B68">
        <w:rPr>
          <w:sz w:val="24"/>
          <w:szCs w:val="24"/>
          <w:vertAlign w:val="superscript"/>
        </w:rPr>
        <w:t>c</w:t>
      </w:r>
      <w:r w:rsidRPr="007B4B68">
        <w:rPr>
          <w:sz w:val="24"/>
          <w:szCs w:val="24"/>
        </w:rPr>
        <w:t xml:space="preserve"> </w:t>
      </w:r>
      <w:proofErr w:type="spellStart"/>
      <w:r w:rsidRPr="007B4B68">
        <w:rPr>
          <w:sz w:val="24"/>
          <w:szCs w:val="24"/>
        </w:rPr>
        <w:t>Intra-abdominal</w:t>
      </w:r>
      <w:proofErr w:type="spellEnd"/>
    </w:p>
    <w:p w14:paraId="62621AD0" w14:textId="77777777" w:rsidR="00C5280D" w:rsidRPr="007B4B68" w:rsidRDefault="00C5280D" w:rsidP="0081285A">
      <w:pPr>
        <w:pStyle w:val="Brdtekst"/>
        <w:rPr>
          <w:sz w:val="24"/>
          <w:szCs w:val="24"/>
        </w:rPr>
      </w:pPr>
      <w:r w:rsidRPr="007B4B68">
        <w:rPr>
          <w:sz w:val="24"/>
          <w:szCs w:val="24"/>
          <w:vertAlign w:val="superscript"/>
        </w:rPr>
        <w:t>d</w:t>
      </w:r>
      <w:r w:rsidRPr="007B4B68">
        <w:rPr>
          <w:sz w:val="24"/>
          <w:szCs w:val="24"/>
        </w:rPr>
        <w:t xml:space="preserve"> Data for patienter med et enkelt patogen ved </w:t>
      </w:r>
      <w:r w:rsidRPr="007B4B68">
        <w:rPr>
          <w:i/>
          <w:sz w:val="24"/>
          <w:szCs w:val="24"/>
        </w:rPr>
        <w:t>baseline</w:t>
      </w:r>
      <w:r w:rsidRPr="007B4B68">
        <w:rPr>
          <w:sz w:val="24"/>
          <w:szCs w:val="24"/>
        </w:rPr>
        <w:t>.</w:t>
      </w:r>
    </w:p>
    <w:p w14:paraId="3CD7B115" w14:textId="5120DAC4" w:rsidR="0081285A" w:rsidRDefault="00C5280D" w:rsidP="0081285A">
      <w:pPr>
        <w:pStyle w:val="Brdtekst"/>
        <w:rPr>
          <w:sz w:val="24"/>
          <w:szCs w:val="24"/>
        </w:rPr>
      </w:pPr>
      <w:r w:rsidRPr="007B4B68">
        <w:rPr>
          <w:sz w:val="24"/>
          <w:szCs w:val="24"/>
          <w:vertAlign w:val="superscript"/>
        </w:rPr>
        <w:t>e</w:t>
      </w:r>
      <w:r w:rsidRPr="007B4B68">
        <w:rPr>
          <w:sz w:val="24"/>
          <w:szCs w:val="24"/>
        </w:rPr>
        <w:t xml:space="preserve"> 98.3</w:t>
      </w:r>
      <w:r w:rsidR="00061C3F">
        <w:rPr>
          <w:sz w:val="24"/>
          <w:szCs w:val="24"/>
        </w:rPr>
        <w:t xml:space="preserve"> </w:t>
      </w:r>
      <w:r w:rsidRPr="007B4B68">
        <w:rPr>
          <w:sz w:val="24"/>
          <w:szCs w:val="24"/>
        </w:rPr>
        <w:t xml:space="preserve">% konfidensinterval, justeret post-hoc for gentagne sammenligninger ved sekundære tidspunkter. </w:t>
      </w:r>
    </w:p>
    <w:p w14:paraId="61FA8753" w14:textId="6A38467C" w:rsidR="00A20FCD" w:rsidRDefault="00A20FCD">
      <w:pPr>
        <w:rPr>
          <w:sz w:val="24"/>
          <w:szCs w:val="24"/>
        </w:rPr>
      </w:pPr>
      <w:r>
        <w:rPr>
          <w:sz w:val="24"/>
          <w:szCs w:val="24"/>
        </w:rPr>
        <w:br w:type="page"/>
      </w:r>
    </w:p>
    <w:p w14:paraId="0BF4FE15" w14:textId="77777777" w:rsidR="0081285A" w:rsidRDefault="0081285A" w:rsidP="0081285A">
      <w:pPr>
        <w:pStyle w:val="Brdtekst"/>
        <w:ind w:left="851" w:hanging="851"/>
        <w:rPr>
          <w:sz w:val="24"/>
          <w:szCs w:val="24"/>
        </w:rPr>
      </w:pPr>
    </w:p>
    <w:p w14:paraId="24C347C4" w14:textId="77777777" w:rsidR="00DE2F8A" w:rsidRDefault="00DE2F8A" w:rsidP="00DE2F8A">
      <w:pPr>
        <w:pStyle w:val="Brdtekst"/>
        <w:ind w:left="851"/>
        <w:rPr>
          <w:sz w:val="24"/>
          <w:szCs w:val="24"/>
        </w:rPr>
      </w:pPr>
      <w:r w:rsidRPr="007B4B68">
        <w:rPr>
          <w:sz w:val="24"/>
          <w:szCs w:val="24"/>
        </w:rPr>
        <w:t xml:space="preserve">Mortalitetsrater i både </w:t>
      </w:r>
      <w:proofErr w:type="spellStart"/>
      <w:r w:rsidRPr="007B4B68">
        <w:rPr>
          <w:sz w:val="24"/>
          <w:szCs w:val="24"/>
        </w:rPr>
        <w:t>anidulafungingruppen</w:t>
      </w:r>
      <w:proofErr w:type="spellEnd"/>
      <w:r w:rsidRPr="007B4B68">
        <w:rPr>
          <w:sz w:val="24"/>
          <w:szCs w:val="24"/>
        </w:rPr>
        <w:t xml:space="preserve"> og </w:t>
      </w:r>
      <w:proofErr w:type="spellStart"/>
      <w:r w:rsidRPr="007B4B68">
        <w:rPr>
          <w:sz w:val="24"/>
          <w:szCs w:val="24"/>
        </w:rPr>
        <w:t>fluconazolgruppen</w:t>
      </w:r>
      <w:proofErr w:type="spellEnd"/>
      <w:r w:rsidRPr="007B4B68">
        <w:rPr>
          <w:sz w:val="24"/>
          <w:szCs w:val="24"/>
        </w:rPr>
        <w:t xml:space="preserve"> er anført i tabel 4 nedenfor.</w:t>
      </w:r>
    </w:p>
    <w:p w14:paraId="72A4ED69" w14:textId="77777777" w:rsidR="00DE2F8A" w:rsidRPr="007B4B68" w:rsidRDefault="00DE2F8A" w:rsidP="00DE2F8A">
      <w:pPr>
        <w:pStyle w:val="Brdtekst"/>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9"/>
        <w:gridCol w:w="1915"/>
        <w:gridCol w:w="1919"/>
      </w:tblGrid>
      <w:tr w:rsidR="00DE2F8A" w:rsidRPr="007B4B68" w14:paraId="5184ED88" w14:textId="77777777" w:rsidTr="00A65E5F">
        <w:trPr>
          <w:trHeight w:val="254"/>
        </w:trPr>
        <w:tc>
          <w:tcPr>
            <w:tcW w:w="8363" w:type="dxa"/>
            <w:gridSpan w:val="3"/>
            <w:tcBorders>
              <w:top w:val="single" w:sz="4" w:space="0" w:color="000000"/>
              <w:left w:val="single" w:sz="4" w:space="0" w:color="000000"/>
              <w:bottom w:val="single" w:sz="4" w:space="0" w:color="000000"/>
              <w:right w:val="single" w:sz="4" w:space="0" w:color="000000"/>
            </w:tcBorders>
            <w:hideMark/>
          </w:tcPr>
          <w:p w14:paraId="3C34D2BA" w14:textId="77777777" w:rsidR="00DE2F8A" w:rsidRPr="007B4B68" w:rsidRDefault="00DE2F8A" w:rsidP="00A65E5F">
            <w:pPr>
              <w:pStyle w:val="TableParagraph"/>
              <w:spacing w:line="234" w:lineRule="exact"/>
              <w:ind w:left="141" w:right="132"/>
              <w:jc w:val="center"/>
              <w:rPr>
                <w:rFonts w:eastAsia="Calibri"/>
                <w:b/>
                <w:sz w:val="24"/>
                <w:szCs w:val="24"/>
              </w:rPr>
            </w:pPr>
            <w:r>
              <w:rPr>
                <w:rFonts w:eastAsia="Calibri"/>
                <w:b/>
                <w:sz w:val="24"/>
                <w:szCs w:val="24"/>
              </w:rPr>
              <w:t>Skema</w:t>
            </w:r>
            <w:r w:rsidRPr="007B4B68">
              <w:rPr>
                <w:rFonts w:eastAsia="Calibri"/>
                <w:b/>
                <w:sz w:val="24"/>
                <w:szCs w:val="24"/>
              </w:rPr>
              <w:t xml:space="preserve"> 4. Mortalitet</w:t>
            </w:r>
          </w:p>
        </w:tc>
      </w:tr>
      <w:tr w:rsidR="00DE2F8A" w:rsidRPr="007B4B68" w14:paraId="1C788E8C" w14:textId="77777777" w:rsidTr="00A65E5F">
        <w:trPr>
          <w:trHeight w:val="503"/>
        </w:trPr>
        <w:tc>
          <w:tcPr>
            <w:tcW w:w="4529" w:type="dxa"/>
            <w:tcBorders>
              <w:top w:val="single" w:sz="4" w:space="0" w:color="000000"/>
              <w:left w:val="single" w:sz="4" w:space="0" w:color="000000"/>
              <w:bottom w:val="single" w:sz="4" w:space="0" w:color="000000"/>
              <w:right w:val="single" w:sz="4" w:space="0" w:color="000000"/>
            </w:tcBorders>
          </w:tcPr>
          <w:p w14:paraId="73994A94" w14:textId="77777777" w:rsidR="00DE2F8A" w:rsidRPr="007B4B68" w:rsidRDefault="00DE2F8A" w:rsidP="00A65E5F">
            <w:pPr>
              <w:pStyle w:val="TableParagraph"/>
              <w:ind w:left="141" w:right="132"/>
              <w:rPr>
                <w:rFonts w:eastAsia="Calibri"/>
                <w:sz w:val="24"/>
                <w:szCs w:val="24"/>
              </w:rPr>
            </w:pPr>
          </w:p>
        </w:tc>
        <w:tc>
          <w:tcPr>
            <w:tcW w:w="1915" w:type="dxa"/>
            <w:tcBorders>
              <w:top w:val="single" w:sz="4" w:space="0" w:color="000000"/>
              <w:left w:val="single" w:sz="4" w:space="0" w:color="000000"/>
              <w:bottom w:val="single" w:sz="4" w:space="0" w:color="000000"/>
              <w:right w:val="single" w:sz="4" w:space="0" w:color="000000"/>
            </w:tcBorders>
            <w:hideMark/>
          </w:tcPr>
          <w:p w14:paraId="5ACEF73E" w14:textId="77777777" w:rsidR="00DE2F8A" w:rsidRPr="007B4B68" w:rsidRDefault="00DE2F8A" w:rsidP="00A65E5F">
            <w:pPr>
              <w:pStyle w:val="TableParagraph"/>
              <w:spacing w:line="251" w:lineRule="exact"/>
              <w:ind w:left="141" w:right="132"/>
              <w:jc w:val="center"/>
              <w:rPr>
                <w:rFonts w:eastAsia="Calibri"/>
                <w:sz w:val="24"/>
                <w:szCs w:val="24"/>
              </w:rPr>
            </w:pPr>
            <w:proofErr w:type="spellStart"/>
            <w:r w:rsidRPr="007B4B68">
              <w:rPr>
                <w:rFonts w:eastAsia="Calibri"/>
                <w:sz w:val="24"/>
                <w:szCs w:val="24"/>
              </w:rPr>
              <w:t>Anidulafungin</w:t>
            </w:r>
            <w:proofErr w:type="spellEnd"/>
          </w:p>
        </w:tc>
        <w:tc>
          <w:tcPr>
            <w:tcW w:w="1919" w:type="dxa"/>
            <w:tcBorders>
              <w:top w:val="single" w:sz="4" w:space="0" w:color="000000"/>
              <w:left w:val="single" w:sz="4" w:space="0" w:color="000000"/>
              <w:bottom w:val="single" w:sz="4" w:space="0" w:color="000000"/>
              <w:right w:val="single" w:sz="4" w:space="0" w:color="000000"/>
            </w:tcBorders>
            <w:hideMark/>
          </w:tcPr>
          <w:p w14:paraId="50EFD984" w14:textId="77777777" w:rsidR="00DE2F8A" w:rsidRPr="007B4B68" w:rsidRDefault="00DE2F8A" w:rsidP="00A65E5F">
            <w:pPr>
              <w:pStyle w:val="TableParagraph"/>
              <w:spacing w:line="251" w:lineRule="exact"/>
              <w:ind w:left="141" w:right="132"/>
              <w:jc w:val="center"/>
              <w:rPr>
                <w:rFonts w:eastAsia="Calibri"/>
                <w:sz w:val="24"/>
                <w:szCs w:val="24"/>
              </w:rPr>
            </w:pPr>
            <w:proofErr w:type="spellStart"/>
            <w:r w:rsidRPr="007B4B68">
              <w:rPr>
                <w:rFonts w:eastAsia="Calibri"/>
                <w:sz w:val="24"/>
                <w:szCs w:val="24"/>
              </w:rPr>
              <w:t>Fluconazol</w:t>
            </w:r>
            <w:proofErr w:type="spellEnd"/>
          </w:p>
        </w:tc>
      </w:tr>
      <w:tr w:rsidR="00DE2F8A" w:rsidRPr="007B4B68" w14:paraId="5283A766" w14:textId="77777777" w:rsidTr="00A65E5F">
        <w:trPr>
          <w:trHeight w:val="254"/>
        </w:trPr>
        <w:tc>
          <w:tcPr>
            <w:tcW w:w="4529" w:type="dxa"/>
            <w:tcBorders>
              <w:top w:val="single" w:sz="4" w:space="0" w:color="000000"/>
              <w:left w:val="single" w:sz="4" w:space="0" w:color="000000"/>
              <w:bottom w:val="single" w:sz="4" w:space="0" w:color="000000"/>
              <w:right w:val="single" w:sz="4" w:space="0" w:color="000000"/>
            </w:tcBorders>
            <w:hideMark/>
          </w:tcPr>
          <w:p w14:paraId="5801526C" w14:textId="77777777" w:rsidR="00DE2F8A" w:rsidRPr="007B4B68" w:rsidRDefault="00DE2F8A" w:rsidP="00A65E5F">
            <w:pPr>
              <w:pStyle w:val="TableParagraph"/>
              <w:spacing w:before="1" w:line="233" w:lineRule="exact"/>
              <w:ind w:left="141" w:right="132"/>
              <w:rPr>
                <w:rFonts w:eastAsia="Calibri"/>
                <w:b/>
                <w:sz w:val="24"/>
                <w:szCs w:val="24"/>
              </w:rPr>
            </w:pPr>
            <w:r w:rsidRPr="007B4B68">
              <w:rPr>
                <w:rFonts w:eastAsia="Calibri"/>
                <w:b/>
                <w:sz w:val="24"/>
                <w:szCs w:val="24"/>
              </w:rPr>
              <w:t>Samlet mortalitet i studiet</w:t>
            </w:r>
          </w:p>
        </w:tc>
        <w:tc>
          <w:tcPr>
            <w:tcW w:w="1915" w:type="dxa"/>
            <w:tcBorders>
              <w:top w:val="single" w:sz="4" w:space="0" w:color="000000"/>
              <w:left w:val="single" w:sz="4" w:space="0" w:color="000000"/>
              <w:bottom w:val="single" w:sz="4" w:space="0" w:color="000000"/>
              <w:right w:val="single" w:sz="4" w:space="0" w:color="000000"/>
            </w:tcBorders>
            <w:hideMark/>
          </w:tcPr>
          <w:p w14:paraId="45C3D09A" w14:textId="77777777" w:rsidR="00DE2F8A" w:rsidRPr="007B4B68" w:rsidRDefault="00DE2F8A" w:rsidP="00A65E5F">
            <w:pPr>
              <w:pStyle w:val="TableParagraph"/>
              <w:spacing w:before="1" w:line="233" w:lineRule="exact"/>
              <w:ind w:left="141" w:right="132"/>
              <w:jc w:val="center"/>
              <w:rPr>
                <w:rFonts w:eastAsia="Calibri"/>
                <w:b/>
                <w:sz w:val="24"/>
                <w:szCs w:val="24"/>
              </w:rPr>
            </w:pPr>
            <w:r w:rsidRPr="007B4B68">
              <w:rPr>
                <w:rFonts w:eastAsia="Calibri"/>
                <w:b/>
                <w:sz w:val="24"/>
                <w:szCs w:val="24"/>
              </w:rPr>
              <w:t>29/127 (22,8 %)</w:t>
            </w:r>
          </w:p>
        </w:tc>
        <w:tc>
          <w:tcPr>
            <w:tcW w:w="1919" w:type="dxa"/>
            <w:tcBorders>
              <w:top w:val="single" w:sz="4" w:space="0" w:color="000000"/>
              <w:left w:val="single" w:sz="4" w:space="0" w:color="000000"/>
              <w:bottom w:val="single" w:sz="4" w:space="0" w:color="000000"/>
              <w:right w:val="single" w:sz="4" w:space="0" w:color="000000"/>
            </w:tcBorders>
            <w:hideMark/>
          </w:tcPr>
          <w:p w14:paraId="042675D9" w14:textId="77777777" w:rsidR="00DE2F8A" w:rsidRPr="007B4B68" w:rsidRDefault="00DE2F8A" w:rsidP="00A65E5F">
            <w:pPr>
              <w:pStyle w:val="TableParagraph"/>
              <w:spacing w:before="1" w:line="233" w:lineRule="exact"/>
              <w:ind w:left="141" w:right="132"/>
              <w:jc w:val="center"/>
              <w:rPr>
                <w:rFonts w:eastAsia="Calibri"/>
                <w:b/>
                <w:sz w:val="24"/>
                <w:szCs w:val="24"/>
              </w:rPr>
            </w:pPr>
            <w:r w:rsidRPr="007B4B68">
              <w:rPr>
                <w:rFonts w:eastAsia="Calibri"/>
                <w:b/>
                <w:sz w:val="24"/>
                <w:szCs w:val="24"/>
              </w:rPr>
              <w:t>37/118 (31,4 %)</w:t>
            </w:r>
          </w:p>
        </w:tc>
      </w:tr>
      <w:tr w:rsidR="00DE2F8A" w:rsidRPr="007B4B68" w14:paraId="06A45002" w14:textId="77777777" w:rsidTr="00A65E5F">
        <w:trPr>
          <w:trHeight w:val="253"/>
        </w:trPr>
        <w:tc>
          <w:tcPr>
            <w:tcW w:w="4529" w:type="dxa"/>
            <w:tcBorders>
              <w:top w:val="single" w:sz="4" w:space="0" w:color="000000"/>
              <w:left w:val="single" w:sz="4" w:space="0" w:color="000000"/>
              <w:bottom w:val="single" w:sz="4" w:space="0" w:color="000000"/>
              <w:right w:val="single" w:sz="4" w:space="0" w:color="000000"/>
            </w:tcBorders>
            <w:hideMark/>
          </w:tcPr>
          <w:p w14:paraId="1FB9DC48" w14:textId="77777777" w:rsidR="00DE2F8A" w:rsidRPr="007B4B68" w:rsidRDefault="00DE2F8A" w:rsidP="00A65E5F">
            <w:pPr>
              <w:pStyle w:val="TableParagraph"/>
              <w:spacing w:line="234" w:lineRule="exact"/>
              <w:ind w:left="141" w:right="132"/>
              <w:rPr>
                <w:rFonts w:eastAsia="Calibri"/>
                <w:sz w:val="24"/>
                <w:szCs w:val="24"/>
              </w:rPr>
            </w:pPr>
            <w:r w:rsidRPr="007B4B68">
              <w:rPr>
                <w:rFonts w:eastAsia="Calibri"/>
                <w:sz w:val="24"/>
                <w:szCs w:val="24"/>
              </w:rPr>
              <w:t>Mortalitet under forsøgsbehandling</w:t>
            </w:r>
          </w:p>
        </w:tc>
        <w:tc>
          <w:tcPr>
            <w:tcW w:w="1915" w:type="dxa"/>
            <w:tcBorders>
              <w:top w:val="single" w:sz="4" w:space="0" w:color="000000"/>
              <w:left w:val="single" w:sz="4" w:space="0" w:color="000000"/>
              <w:bottom w:val="single" w:sz="4" w:space="0" w:color="000000"/>
              <w:right w:val="single" w:sz="4" w:space="0" w:color="000000"/>
            </w:tcBorders>
            <w:hideMark/>
          </w:tcPr>
          <w:p w14:paraId="38448309" w14:textId="77777777" w:rsidR="00DE2F8A" w:rsidRPr="007B4B68" w:rsidRDefault="00DE2F8A" w:rsidP="00A65E5F">
            <w:pPr>
              <w:pStyle w:val="TableParagraph"/>
              <w:spacing w:line="234" w:lineRule="exact"/>
              <w:ind w:left="141" w:right="132"/>
              <w:jc w:val="center"/>
              <w:rPr>
                <w:rFonts w:eastAsia="Calibri"/>
                <w:sz w:val="24"/>
                <w:szCs w:val="24"/>
              </w:rPr>
            </w:pPr>
            <w:r w:rsidRPr="007B4B68">
              <w:rPr>
                <w:rFonts w:eastAsia="Calibri"/>
                <w:sz w:val="24"/>
                <w:szCs w:val="24"/>
              </w:rPr>
              <w:t>10/127 (7,9 %)</w:t>
            </w:r>
          </w:p>
        </w:tc>
        <w:tc>
          <w:tcPr>
            <w:tcW w:w="1919" w:type="dxa"/>
            <w:tcBorders>
              <w:top w:val="single" w:sz="4" w:space="0" w:color="000000"/>
              <w:left w:val="single" w:sz="4" w:space="0" w:color="000000"/>
              <w:bottom w:val="single" w:sz="4" w:space="0" w:color="000000"/>
              <w:right w:val="single" w:sz="4" w:space="0" w:color="000000"/>
            </w:tcBorders>
            <w:hideMark/>
          </w:tcPr>
          <w:p w14:paraId="3763B1AF" w14:textId="77777777" w:rsidR="00DE2F8A" w:rsidRPr="007B4B68" w:rsidRDefault="00DE2F8A" w:rsidP="00A65E5F">
            <w:pPr>
              <w:pStyle w:val="TableParagraph"/>
              <w:spacing w:line="234" w:lineRule="exact"/>
              <w:ind w:left="141" w:right="132"/>
              <w:jc w:val="center"/>
              <w:rPr>
                <w:rFonts w:eastAsia="Calibri"/>
                <w:sz w:val="24"/>
                <w:szCs w:val="24"/>
              </w:rPr>
            </w:pPr>
            <w:r w:rsidRPr="007B4B68">
              <w:rPr>
                <w:rFonts w:eastAsia="Calibri"/>
                <w:sz w:val="24"/>
                <w:szCs w:val="24"/>
              </w:rPr>
              <w:t>17/118 (14,4 %)</w:t>
            </w:r>
          </w:p>
        </w:tc>
      </w:tr>
      <w:tr w:rsidR="00DE2F8A" w:rsidRPr="007B4B68" w14:paraId="35F96D6E" w14:textId="77777777" w:rsidTr="00A65E5F">
        <w:trPr>
          <w:trHeight w:val="313"/>
        </w:trPr>
        <w:tc>
          <w:tcPr>
            <w:tcW w:w="4529" w:type="dxa"/>
            <w:tcBorders>
              <w:top w:val="single" w:sz="4" w:space="0" w:color="000000"/>
              <w:left w:val="single" w:sz="4" w:space="0" w:color="000000"/>
              <w:bottom w:val="single" w:sz="4" w:space="0" w:color="000000"/>
              <w:right w:val="single" w:sz="4" w:space="0" w:color="000000"/>
            </w:tcBorders>
            <w:hideMark/>
          </w:tcPr>
          <w:p w14:paraId="689E1080" w14:textId="77777777" w:rsidR="00DE2F8A" w:rsidRPr="007B4B68" w:rsidRDefault="00DE2F8A" w:rsidP="00A65E5F">
            <w:pPr>
              <w:pStyle w:val="TableParagraph"/>
              <w:spacing w:line="251" w:lineRule="exact"/>
              <w:ind w:left="141" w:right="132"/>
              <w:rPr>
                <w:rFonts w:eastAsia="Calibri"/>
                <w:sz w:val="24"/>
                <w:szCs w:val="24"/>
              </w:rPr>
            </w:pPr>
            <w:r w:rsidRPr="007B4B68">
              <w:rPr>
                <w:rFonts w:eastAsia="Calibri"/>
                <w:sz w:val="24"/>
                <w:szCs w:val="24"/>
              </w:rPr>
              <w:t xml:space="preserve">Mortalitet tilskrevet </w:t>
            </w:r>
            <w:proofErr w:type="spellStart"/>
            <w:r w:rsidRPr="007B4B68">
              <w:rPr>
                <w:rFonts w:eastAsia="Calibri"/>
                <w:i/>
                <w:sz w:val="24"/>
                <w:szCs w:val="24"/>
              </w:rPr>
              <w:t>Candida</w:t>
            </w:r>
            <w:proofErr w:type="spellEnd"/>
            <w:r w:rsidRPr="007B4B68">
              <w:rPr>
                <w:rFonts w:eastAsia="Calibri"/>
                <w:i/>
                <w:sz w:val="24"/>
                <w:szCs w:val="24"/>
              </w:rPr>
              <w:t>-</w:t>
            </w:r>
            <w:r w:rsidRPr="007B4B68">
              <w:rPr>
                <w:rFonts w:eastAsia="Calibri"/>
                <w:sz w:val="24"/>
                <w:szCs w:val="24"/>
              </w:rPr>
              <w:t>infektion</w:t>
            </w:r>
          </w:p>
        </w:tc>
        <w:tc>
          <w:tcPr>
            <w:tcW w:w="1915" w:type="dxa"/>
            <w:tcBorders>
              <w:top w:val="single" w:sz="4" w:space="0" w:color="000000"/>
              <w:left w:val="single" w:sz="4" w:space="0" w:color="000000"/>
              <w:bottom w:val="single" w:sz="4" w:space="0" w:color="000000"/>
              <w:right w:val="single" w:sz="4" w:space="0" w:color="000000"/>
            </w:tcBorders>
            <w:hideMark/>
          </w:tcPr>
          <w:p w14:paraId="12EBEC0C" w14:textId="77777777" w:rsidR="00DE2F8A" w:rsidRPr="007B4B68" w:rsidRDefault="00DE2F8A" w:rsidP="00A65E5F">
            <w:pPr>
              <w:pStyle w:val="TableParagraph"/>
              <w:spacing w:line="251" w:lineRule="exact"/>
              <w:ind w:left="141" w:right="132"/>
              <w:jc w:val="center"/>
              <w:rPr>
                <w:rFonts w:eastAsia="Calibri"/>
                <w:sz w:val="24"/>
                <w:szCs w:val="24"/>
              </w:rPr>
            </w:pPr>
            <w:r w:rsidRPr="007B4B68">
              <w:rPr>
                <w:rFonts w:eastAsia="Calibri"/>
                <w:sz w:val="24"/>
                <w:szCs w:val="24"/>
              </w:rPr>
              <w:t>2/127 (1,6 %)</w:t>
            </w:r>
          </w:p>
        </w:tc>
        <w:tc>
          <w:tcPr>
            <w:tcW w:w="1919" w:type="dxa"/>
            <w:tcBorders>
              <w:top w:val="single" w:sz="4" w:space="0" w:color="000000"/>
              <w:left w:val="single" w:sz="4" w:space="0" w:color="000000"/>
              <w:bottom w:val="single" w:sz="4" w:space="0" w:color="000000"/>
              <w:right w:val="single" w:sz="4" w:space="0" w:color="000000"/>
            </w:tcBorders>
            <w:hideMark/>
          </w:tcPr>
          <w:p w14:paraId="7FCB5143" w14:textId="77777777" w:rsidR="00DE2F8A" w:rsidRPr="007B4B68" w:rsidRDefault="00DE2F8A" w:rsidP="00A65E5F">
            <w:pPr>
              <w:pStyle w:val="TableParagraph"/>
              <w:spacing w:line="251" w:lineRule="exact"/>
              <w:ind w:left="141" w:right="132"/>
              <w:jc w:val="center"/>
              <w:rPr>
                <w:rFonts w:eastAsia="Calibri"/>
                <w:sz w:val="24"/>
                <w:szCs w:val="24"/>
              </w:rPr>
            </w:pPr>
            <w:r w:rsidRPr="007B4B68">
              <w:rPr>
                <w:rFonts w:eastAsia="Calibri"/>
                <w:sz w:val="24"/>
                <w:szCs w:val="24"/>
              </w:rPr>
              <w:t>5/118 (4,2 %)</w:t>
            </w:r>
          </w:p>
        </w:tc>
      </w:tr>
    </w:tbl>
    <w:p w14:paraId="3CE7D2A1" w14:textId="77777777" w:rsidR="00DE2F8A" w:rsidRPr="007B4B68" w:rsidRDefault="00DE2F8A" w:rsidP="00DE2F8A">
      <w:pPr>
        <w:pStyle w:val="Brdtekst"/>
        <w:spacing w:before="9"/>
        <w:ind w:left="851" w:hanging="851"/>
        <w:rPr>
          <w:sz w:val="24"/>
          <w:szCs w:val="24"/>
        </w:rPr>
      </w:pPr>
    </w:p>
    <w:p w14:paraId="6A4E0364" w14:textId="77777777" w:rsidR="00C5280D" w:rsidRPr="007B4B68" w:rsidRDefault="00C5280D" w:rsidP="00B94CD5">
      <w:pPr>
        <w:ind w:left="851"/>
        <w:rPr>
          <w:b/>
          <w:sz w:val="24"/>
          <w:szCs w:val="24"/>
        </w:rPr>
      </w:pPr>
      <w:r w:rsidRPr="007B4B68">
        <w:rPr>
          <w:b/>
          <w:sz w:val="24"/>
          <w:szCs w:val="24"/>
        </w:rPr>
        <w:t xml:space="preserve">Yderligere data for </w:t>
      </w:r>
      <w:proofErr w:type="spellStart"/>
      <w:r w:rsidRPr="007B4B68">
        <w:rPr>
          <w:b/>
          <w:sz w:val="24"/>
          <w:szCs w:val="24"/>
        </w:rPr>
        <w:t>neutropene</w:t>
      </w:r>
      <w:proofErr w:type="spellEnd"/>
      <w:r w:rsidRPr="007B4B68">
        <w:rPr>
          <w:b/>
          <w:sz w:val="24"/>
          <w:szCs w:val="24"/>
        </w:rPr>
        <w:t xml:space="preserve"> patienter</w:t>
      </w:r>
    </w:p>
    <w:p w14:paraId="4DE50B4A" w14:textId="77777777" w:rsidR="00C5280D" w:rsidRPr="007B4B68" w:rsidRDefault="00C5280D" w:rsidP="00B94CD5">
      <w:pPr>
        <w:pStyle w:val="Brdtekst"/>
        <w:ind w:left="851"/>
        <w:rPr>
          <w:b/>
          <w:sz w:val="24"/>
          <w:szCs w:val="24"/>
        </w:rPr>
      </w:pPr>
    </w:p>
    <w:p w14:paraId="613666F3" w14:textId="59BA56A6" w:rsidR="00C5280D" w:rsidRPr="007B4B68" w:rsidRDefault="00C5280D" w:rsidP="00B94CD5">
      <w:pPr>
        <w:pStyle w:val="Brdtekst"/>
        <w:ind w:left="851"/>
        <w:rPr>
          <w:sz w:val="24"/>
          <w:szCs w:val="24"/>
        </w:rPr>
      </w:pPr>
      <w:r w:rsidRPr="007B4B68">
        <w:rPr>
          <w:sz w:val="24"/>
          <w:szCs w:val="24"/>
        </w:rPr>
        <w:t xml:space="preserve">Effekten af </w:t>
      </w:r>
      <w:proofErr w:type="spellStart"/>
      <w:r w:rsidRPr="007B4B68">
        <w:rPr>
          <w:sz w:val="24"/>
          <w:szCs w:val="24"/>
        </w:rPr>
        <w:t>anidulafungin</w:t>
      </w:r>
      <w:proofErr w:type="spellEnd"/>
      <w:r w:rsidRPr="007B4B68">
        <w:rPr>
          <w:sz w:val="24"/>
          <w:szCs w:val="24"/>
        </w:rPr>
        <w:t xml:space="preserve"> (200 mg intravenøs initialdosis efterfulgt af 100 mg intravenøst dagligt) hos voksne </w:t>
      </w:r>
      <w:proofErr w:type="spellStart"/>
      <w:r w:rsidRPr="007B4B68">
        <w:rPr>
          <w:sz w:val="24"/>
          <w:szCs w:val="24"/>
        </w:rPr>
        <w:t>neutropene</w:t>
      </w:r>
      <w:proofErr w:type="spellEnd"/>
      <w:r w:rsidRPr="007B4B68">
        <w:rPr>
          <w:sz w:val="24"/>
          <w:szCs w:val="24"/>
        </w:rPr>
        <w:t xml:space="preserve"> patienter (defineret som absolut </w:t>
      </w:r>
      <w:proofErr w:type="spellStart"/>
      <w:r w:rsidRPr="007B4B68">
        <w:rPr>
          <w:sz w:val="24"/>
          <w:szCs w:val="24"/>
        </w:rPr>
        <w:t>neutrofiltal</w:t>
      </w:r>
      <w:proofErr w:type="spellEnd"/>
      <w:r w:rsidRPr="007B4B68">
        <w:rPr>
          <w:sz w:val="24"/>
          <w:szCs w:val="24"/>
        </w:rPr>
        <w:t xml:space="preserve"> ≤ 500 celler/mm</w:t>
      </w:r>
      <w:r w:rsidRPr="007B4B68">
        <w:rPr>
          <w:sz w:val="24"/>
          <w:szCs w:val="24"/>
          <w:vertAlign w:val="superscript"/>
        </w:rPr>
        <w:t>3</w:t>
      </w:r>
      <w:r w:rsidRPr="007B4B68">
        <w:rPr>
          <w:sz w:val="24"/>
          <w:szCs w:val="24"/>
        </w:rPr>
        <w:t>, hvide blodceller ≤ 500 celler/mm</w:t>
      </w:r>
      <w:r w:rsidRPr="007B4B68">
        <w:rPr>
          <w:sz w:val="24"/>
          <w:szCs w:val="24"/>
          <w:vertAlign w:val="superscript"/>
        </w:rPr>
        <w:t>3</w:t>
      </w:r>
      <w:r w:rsidRPr="007B4B68">
        <w:rPr>
          <w:sz w:val="24"/>
          <w:szCs w:val="24"/>
        </w:rPr>
        <w:t xml:space="preserve"> eller klassificeret af </w:t>
      </w:r>
      <w:proofErr w:type="spellStart"/>
      <w:r w:rsidRPr="007B4B68">
        <w:rPr>
          <w:sz w:val="24"/>
          <w:szCs w:val="24"/>
        </w:rPr>
        <w:t>investigator</w:t>
      </w:r>
      <w:proofErr w:type="spellEnd"/>
      <w:r w:rsidRPr="007B4B68">
        <w:rPr>
          <w:sz w:val="24"/>
          <w:szCs w:val="24"/>
        </w:rPr>
        <w:t xml:space="preserve"> som </w:t>
      </w:r>
      <w:proofErr w:type="spellStart"/>
      <w:r w:rsidRPr="007B4B68">
        <w:rPr>
          <w:sz w:val="24"/>
          <w:szCs w:val="24"/>
        </w:rPr>
        <w:t>neutropene</w:t>
      </w:r>
      <w:proofErr w:type="spellEnd"/>
      <w:r w:rsidRPr="007B4B68">
        <w:rPr>
          <w:sz w:val="24"/>
          <w:szCs w:val="24"/>
        </w:rPr>
        <w:t xml:space="preserve"> ved </w:t>
      </w:r>
      <w:r w:rsidRPr="007B4B68">
        <w:rPr>
          <w:i/>
          <w:sz w:val="24"/>
          <w:szCs w:val="24"/>
        </w:rPr>
        <w:t>baseline</w:t>
      </w:r>
      <w:r w:rsidRPr="007B4B68">
        <w:rPr>
          <w:sz w:val="24"/>
          <w:szCs w:val="24"/>
        </w:rPr>
        <w:t xml:space="preserve">) med mikrobiologisk bekræftet invasiv </w:t>
      </w:r>
      <w:proofErr w:type="spellStart"/>
      <w:r w:rsidRPr="007B4B68">
        <w:rPr>
          <w:sz w:val="24"/>
          <w:szCs w:val="24"/>
        </w:rPr>
        <w:t>candidiasis</w:t>
      </w:r>
      <w:proofErr w:type="spellEnd"/>
      <w:r w:rsidRPr="007B4B68">
        <w:rPr>
          <w:sz w:val="24"/>
          <w:szCs w:val="24"/>
        </w:rPr>
        <w:t xml:space="preserve"> blev vurderet i en analyse af indsamlede data fra 5 </w:t>
      </w:r>
      <w:proofErr w:type="spellStart"/>
      <w:r w:rsidRPr="007B4B68">
        <w:rPr>
          <w:sz w:val="24"/>
          <w:szCs w:val="24"/>
        </w:rPr>
        <w:t>prospektive</w:t>
      </w:r>
      <w:proofErr w:type="spellEnd"/>
      <w:r w:rsidRPr="007B4B68">
        <w:rPr>
          <w:sz w:val="24"/>
          <w:szCs w:val="24"/>
        </w:rPr>
        <w:t xml:space="preserve"> studier (1 komparativt </w:t>
      </w:r>
      <w:r w:rsidRPr="007B4B68">
        <w:rPr>
          <w:i/>
          <w:sz w:val="24"/>
          <w:szCs w:val="24"/>
        </w:rPr>
        <w:t xml:space="preserve">versus </w:t>
      </w:r>
      <w:proofErr w:type="spellStart"/>
      <w:r w:rsidRPr="007B4B68">
        <w:rPr>
          <w:sz w:val="24"/>
          <w:szCs w:val="24"/>
        </w:rPr>
        <w:t>caspofungin</w:t>
      </w:r>
      <w:proofErr w:type="spellEnd"/>
      <w:r w:rsidRPr="007B4B68">
        <w:rPr>
          <w:sz w:val="24"/>
          <w:szCs w:val="24"/>
        </w:rPr>
        <w:t xml:space="preserve"> og 4 åbne, non-komparative studier). Patienterne blev behandlet i mindst 14 dage. Hos klinisk stabile patienter var det tilladt at skifte til oral </w:t>
      </w:r>
      <w:proofErr w:type="spellStart"/>
      <w:r w:rsidRPr="007B4B68">
        <w:rPr>
          <w:sz w:val="24"/>
          <w:szCs w:val="24"/>
        </w:rPr>
        <w:t>azolbehandling</w:t>
      </w:r>
      <w:proofErr w:type="spellEnd"/>
      <w:r w:rsidRPr="007B4B68">
        <w:rPr>
          <w:sz w:val="24"/>
          <w:szCs w:val="24"/>
        </w:rPr>
        <w:t xml:space="preserve"> efter mindst 5-10 dages behandling med </w:t>
      </w:r>
      <w:proofErr w:type="spellStart"/>
      <w:r w:rsidRPr="007B4B68">
        <w:rPr>
          <w:sz w:val="24"/>
          <w:szCs w:val="24"/>
        </w:rPr>
        <w:t>anidulafungin</w:t>
      </w:r>
      <w:proofErr w:type="spellEnd"/>
      <w:r w:rsidRPr="007B4B68">
        <w:rPr>
          <w:sz w:val="24"/>
          <w:szCs w:val="24"/>
        </w:rPr>
        <w:t xml:space="preserve">. I alt 46 patienter blev inkluderet i analysen. De fleste af patienterne havde kun </w:t>
      </w:r>
      <w:proofErr w:type="spellStart"/>
      <w:r w:rsidRPr="007B4B68">
        <w:rPr>
          <w:sz w:val="24"/>
          <w:szCs w:val="24"/>
        </w:rPr>
        <w:t>candidæmi</w:t>
      </w:r>
      <w:proofErr w:type="spellEnd"/>
      <w:r w:rsidRPr="007B4B68">
        <w:rPr>
          <w:sz w:val="24"/>
          <w:szCs w:val="24"/>
        </w:rPr>
        <w:t xml:space="preserve"> (84,8 %; 39/46). De hyppigst isolerede </w:t>
      </w:r>
      <w:proofErr w:type="spellStart"/>
      <w:r w:rsidRPr="007B4B68">
        <w:rPr>
          <w:sz w:val="24"/>
          <w:szCs w:val="24"/>
        </w:rPr>
        <w:t>patogener</w:t>
      </w:r>
      <w:proofErr w:type="spellEnd"/>
      <w:r w:rsidRPr="007B4B68">
        <w:rPr>
          <w:sz w:val="24"/>
          <w:szCs w:val="24"/>
        </w:rPr>
        <w:t xml:space="preserve"> ved </w:t>
      </w:r>
      <w:r w:rsidRPr="007B4B68">
        <w:rPr>
          <w:i/>
          <w:sz w:val="24"/>
          <w:szCs w:val="24"/>
        </w:rPr>
        <w:t xml:space="preserve">baseline </w:t>
      </w:r>
      <w:r w:rsidRPr="007B4B68">
        <w:rPr>
          <w:sz w:val="24"/>
          <w:szCs w:val="24"/>
        </w:rPr>
        <w:t xml:space="preserve">var </w:t>
      </w:r>
      <w:r w:rsidRPr="007B4B68">
        <w:rPr>
          <w:i/>
          <w:sz w:val="24"/>
          <w:szCs w:val="24"/>
        </w:rPr>
        <w:t xml:space="preserve">C. </w:t>
      </w:r>
      <w:proofErr w:type="spellStart"/>
      <w:r w:rsidRPr="007B4B68">
        <w:rPr>
          <w:i/>
          <w:sz w:val="24"/>
          <w:szCs w:val="24"/>
        </w:rPr>
        <w:t>tropicalis</w:t>
      </w:r>
      <w:proofErr w:type="spellEnd"/>
      <w:r w:rsidRPr="007B4B68">
        <w:rPr>
          <w:i/>
          <w:sz w:val="24"/>
          <w:szCs w:val="24"/>
        </w:rPr>
        <w:t xml:space="preserve"> </w:t>
      </w:r>
      <w:r w:rsidRPr="007B4B68">
        <w:rPr>
          <w:sz w:val="24"/>
          <w:szCs w:val="24"/>
        </w:rPr>
        <w:t xml:space="preserve">(34,8 %; 16/46), </w:t>
      </w:r>
      <w:r w:rsidRPr="007B4B68">
        <w:rPr>
          <w:i/>
          <w:sz w:val="24"/>
          <w:szCs w:val="24"/>
        </w:rPr>
        <w:t xml:space="preserve">C. </w:t>
      </w:r>
      <w:proofErr w:type="spellStart"/>
      <w:r w:rsidRPr="007B4B68">
        <w:rPr>
          <w:i/>
          <w:sz w:val="24"/>
          <w:szCs w:val="24"/>
        </w:rPr>
        <w:t>krusei</w:t>
      </w:r>
      <w:proofErr w:type="spellEnd"/>
      <w:r w:rsidRPr="007B4B68">
        <w:rPr>
          <w:i/>
          <w:sz w:val="24"/>
          <w:szCs w:val="24"/>
        </w:rPr>
        <w:t xml:space="preserve"> </w:t>
      </w:r>
      <w:r w:rsidRPr="007B4B68">
        <w:rPr>
          <w:sz w:val="24"/>
          <w:szCs w:val="24"/>
        </w:rPr>
        <w:t xml:space="preserve">(19,6 %; 9/46), </w:t>
      </w:r>
      <w:r w:rsidRPr="007B4B68">
        <w:rPr>
          <w:i/>
          <w:sz w:val="24"/>
          <w:szCs w:val="24"/>
        </w:rPr>
        <w:t xml:space="preserve">C. </w:t>
      </w:r>
      <w:proofErr w:type="spellStart"/>
      <w:r w:rsidRPr="007B4B68">
        <w:rPr>
          <w:i/>
          <w:sz w:val="24"/>
          <w:szCs w:val="24"/>
        </w:rPr>
        <w:t>parapsilosis</w:t>
      </w:r>
      <w:proofErr w:type="spellEnd"/>
      <w:r w:rsidRPr="007B4B68">
        <w:rPr>
          <w:i/>
          <w:sz w:val="24"/>
          <w:szCs w:val="24"/>
        </w:rPr>
        <w:t xml:space="preserve"> </w:t>
      </w:r>
      <w:r w:rsidRPr="007B4B68">
        <w:rPr>
          <w:sz w:val="24"/>
          <w:szCs w:val="24"/>
        </w:rPr>
        <w:t>(17,4</w:t>
      </w:r>
      <w:r w:rsidR="00AA4054">
        <w:rPr>
          <w:sz w:val="24"/>
          <w:szCs w:val="24"/>
        </w:rPr>
        <w:t> </w:t>
      </w:r>
      <w:r w:rsidRPr="007B4B68">
        <w:rPr>
          <w:sz w:val="24"/>
          <w:szCs w:val="24"/>
        </w:rPr>
        <w:t xml:space="preserve">%; 8/46), </w:t>
      </w:r>
      <w:r w:rsidRPr="007B4B68">
        <w:rPr>
          <w:i/>
          <w:sz w:val="24"/>
          <w:szCs w:val="24"/>
        </w:rPr>
        <w:t xml:space="preserve">C. </w:t>
      </w:r>
      <w:proofErr w:type="spellStart"/>
      <w:r w:rsidRPr="007B4B68">
        <w:rPr>
          <w:i/>
          <w:sz w:val="24"/>
          <w:szCs w:val="24"/>
        </w:rPr>
        <w:t>albicans</w:t>
      </w:r>
      <w:proofErr w:type="spellEnd"/>
      <w:r w:rsidRPr="007B4B68">
        <w:rPr>
          <w:i/>
          <w:sz w:val="24"/>
          <w:szCs w:val="24"/>
        </w:rPr>
        <w:t xml:space="preserve"> </w:t>
      </w:r>
      <w:r w:rsidRPr="007B4B68">
        <w:rPr>
          <w:sz w:val="24"/>
          <w:szCs w:val="24"/>
        </w:rPr>
        <w:t xml:space="preserve">(15,2 %; 7/46) og </w:t>
      </w:r>
      <w:r w:rsidRPr="007B4B68">
        <w:rPr>
          <w:i/>
          <w:sz w:val="24"/>
          <w:szCs w:val="24"/>
        </w:rPr>
        <w:t xml:space="preserve">C. </w:t>
      </w:r>
      <w:proofErr w:type="spellStart"/>
      <w:r w:rsidRPr="007B4B68">
        <w:rPr>
          <w:i/>
          <w:sz w:val="24"/>
          <w:szCs w:val="24"/>
        </w:rPr>
        <w:t>glabrata</w:t>
      </w:r>
      <w:proofErr w:type="spellEnd"/>
      <w:r w:rsidRPr="007B4B68">
        <w:rPr>
          <w:i/>
          <w:sz w:val="24"/>
          <w:szCs w:val="24"/>
        </w:rPr>
        <w:t xml:space="preserve"> </w:t>
      </w:r>
      <w:r w:rsidRPr="007B4B68">
        <w:rPr>
          <w:sz w:val="24"/>
          <w:szCs w:val="24"/>
        </w:rPr>
        <w:t>(15,2 %; 7/46). Den succesfulde globale responsrate ved afslutning af intravenøs</w:t>
      </w:r>
      <w:r w:rsidRPr="007B4B68">
        <w:rPr>
          <w:spacing w:val="-4"/>
          <w:sz w:val="24"/>
          <w:szCs w:val="24"/>
        </w:rPr>
        <w:t xml:space="preserve"> </w:t>
      </w:r>
      <w:r w:rsidRPr="007B4B68">
        <w:rPr>
          <w:sz w:val="24"/>
          <w:szCs w:val="24"/>
        </w:rPr>
        <w:t>behandling</w:t>
      </w:r>
      <w:r w:rsidRPr="007B4B68">
        <w:rPr>
          <w:spacing w:val="-4"/>
          <w:sz w:val="24"/>
          <w:szCs w:val="24"/>
        </w:rPr>
        <w:t xml:space="preserve"> </w:t>
      </w:r>
      <w:r w:rsidRPr="007B4B68">
        <w:rPr>
          <w:sz w:val="24"/>
          <w:szCs w:val="24"/>
        </w:rPr>
        <w:t>(primært</w:t>
      </w:r>
      <w:r w:rsidRPr="007B4B68">
        <w:rPr>
          <w:spacing w:val="-3"/>
          <w:sz w:val="24"/>
          <w:szCs w:val="24"/>
        </w:rPr>
        <w:t xml:space="preserve"> </w:t>
      </w:r>
      <w:r w:rsidRPr="007B4B68">
        <w:rPr>
          <w:sz w:val="24"/>
          <w:szCs w:val="24"/>
        </w:rPr>
        <w:t>endemål)</w:t>
      </w:r>
      <w:r w:rsidRPr="007B4B68">
        <w:rPr>
          <w:spacing w:val="-4"/>
          <w:sz w:val="24"/>
          <w:szCs w:val="24"/>
        </w:rPr>
        <w:t xml:space="preserve"> </w:t>
      </w:r>
      <w:r w:rsidRPr="007B4B68">
        <w:rPr>
          <w:sz w:val="24"/>
          <w:szCs w:val="24"/>
        </w:rPr>
        <w:t>var</w:t>
      </w:r>
      <w:r w:rsidRPr="007B4B68">
        <w:rPr>
          <w:spacing w:val="-3"/>
          <w:sz w:val="24"/>
          <w:szCs w:val="24"/>
        </w:rPr>
        <w:t xml:space="preserve"> </w:t>
      </w:r>
      <w:r w:rsidRPr="007B4B68">
        <w:rPr>
          <w:sz w:val="24"/>
          <w:szCs w:val="24"/>
        </w:rPr>
        <w:t>26/46</w:t>
      </w:r>
      <w:r w:rsidRPr="007B4B68">
        <w:rPr>
          <w:spacing w:val="-4"/>
          <w:sz w:val="24"/>
          <w:szCs w:val="24"/>
        </w:rPr>
        <w:t xml:space="preserve"> </w:t>
      </w:r>
      <w:r w:rsidRPr="007B4B68">
        <w:rPr>
          <w:sz w:val="24"/>
          <w:szCs w:val="24"/>
        </w:rPr>
        <w:t>(56,5</w:t>
      </w:r>
      <w:r w:rsidRPr="007B4B68">
        <w:rPr>
          <w:spacing w:val="-4"/>
          <w:sz w:val="24"/>
          <w:szCs w:val="24"/>
        </w:rPr>
        <w:t xml:space="preserve"> </w:t>
      </w:r>
      <w:r w:rsidRPr="007B4B68">
        <w:rPr>
          <w:sz w:val="24"/>
          <w:szCs w:val="24"/>
        </w:rPr>
        <w:t>%)</w:t>
      </w:r>
      <w:r w:rsidRPr="007B4B68">
        <w:rPr>
          <w:spacing w:val="-4"/>
          <w:sz w:val="24"/>
          <w:szCs w:val="24"/>
        </w:rPr>
        <w:t xml:space="preserve"> </w:t>
      </w:r>
      <w:r w:rsidRPr="007B4B68">
        <w:rPr>
          <w:sz w:val="24"/>
          <w:szCs w:val="24"/>
        </w:rPr>
        <w:t>og</w:t>
      </w:r>
      <w:r w:rsidRPr="007B4B68">
        <w:rPr>
          <w:spacing w:val="-3"/>
          <w:sz w:val="24"/>
          <w:szCs w:val="24"/>
        </w:rPr>
        <w:t xml:space="preserve"> </w:t>
      </w:r>
      <w:r w:rsidRPr="007B4B68">
        <w:rPr>
          <w:sz w:val="24"/>
          <w:szCs w:val="24"/>
        </w:rPr>
        <w:t>ved</w:t>
      </w:r>
      <w:r w:rsidRPr="007B4B68">
        <w:rPr>
          <w:spacing w:val="-4"/>
          <w:sz w:val="24"/>
          <w:szCs w:val="24"/>
        </w:rPr>
        <w:t xml:space="preserve"> </w:t>
      </w:r>
      <w:r w:rsidRPr="007B4B68">
        <w:rPr>
          <w:sz w:val="24"/>
          <w:szCs w:val="24"/>
        </w:rPr>
        <w:t>afslutning</w:t>
      </w:r>
      <w:r w:rsidRPr="007B4B68">
        <w:rPr>
          <w:spacing w:val="-3"/>
          <w:sz w:val="24"/>
          <w:szCs w:val="24"/>
        </w:rPr>
        <w:t xml:space="preserve"> </w:t>
      </w:r>
      <w:r w:rsidRPr="007B4B68">
        <w:rPr>
          <w:sz w:val="24"/>
          <w:szCs w:val="24"/>
        </w:rPr>
        <w:t>af</w:t>
      </w:r>
      <w:r w:rsidRPr="007B4B68">
        <w:rPr>
          <w:spacing w:val="-4"/>
          <w:sz w:val="24"/>
          <w:szCs w:val="24"/>
        </w:rPr>
        <w:t xml:space="preserve"> </w:t>
      </w:r>
      <w:r w:rsidRPr="007B4B68">
        <w:rPr>
          <w:sz w:val="24"/>
          <w:szCs w:val="24"/>
        </w:rPr>
        <w:t>al</w:t>
      </w:r>
      <w:r w:rsidRPr="007B4B68">
        <w:rPr>
          <w:spacing w:val="-4"/>
          <w:sz w:val="24"/>
          <w:szCs w:val="24"/>
        </w:rPr>
        <w:t xml:space="preserve"> </w:t>
      </w:r>
      <w:r w:rsidRPr="007B4B68">
        <w:rPr>
          <w:sz w:val="24"/>
          <w:szCs w:val="24"/>
        </w:rPr>
        <w:t>behandling</w:t>
      </w:r>
      <w:r w:rsidRPr="007B4B68">
        <w:rPr>
          <w:spacing w:val="-3"/>
          <w:sz w:val="24"/>
          <w:szCs w:val="24"/>
        </w:rPr>
        <w:t xml:space="preserve"> </w:t>
      </w:r>
      <w:r w:rsidRPr="007B4B68">
        <w:rPr>
          <w:sz w:val="24"/>
          <w:szCs w:val="24"/>
        </w:rPr>
        <w:t>24/46</w:t>
      </w:r>
      <w:r w:rsidR="00C94482" w:rsidRPr="007B4B68">
        <w:rPr>
          <w:sz w:val="24"/>
          <w:szCs w:val="24"/>
        </w:rPr>
        <w:t xml:space="preserve"> </w:t>
      </w:r>
      <w:r w:rsidRPr="007B4B68">
        <w:rPr>
          <w:sz w:val="24"/>
          <w:szCs w:val="24"/>
        </w:rPr>
        <w:t>(52,2 %). Mortalitet uanset årsag frem til studiets afslutning (opfølgningsbesøg ved uge 6) var 21/46 (45,7 %).</w:t>
      </w:r>
    </w:p>
    <w:p w14:paraId="7F186E49" w14:textId="77777777" w:rsidR="00C5280D" w:rsidRPr="007B4B68" w:rsidRDefault="00C5280D" w:rsidP="00B94CD5">
      <w:pPr>
        <w:pStyle w:val="Brdtekst"/>
        <w:spacing w:before="2"/>
        <w:ind w:left="851"/>
        <w:rPr>
          <w:sz w:val="24"/>
          <w:szCs w:val="24"/>
        </w:rPr>
      </w:pPr>
    </w:p>
    <w:p w14:paraId="665AB377" w14:textId="40F3B28C" w:rsidR="00C5280D" w:rsidRPr="007B4B68" w:rsidRDefault="00C5280D" w:rsidP="00B94CD5">
      <w:pPr>
        <w:pStyle w:val="Brdtekst"/>
        <w:ind w:left="851"/>
        <w:rPr>
          <w:sz w:val="24"/>
          <w:szCs w:val="24"/>
        </w:rPr>
      </w:pPr>
      <w:r w:rsidRPr="007B4B68">
        <w:rPr>
          <w:sz w:val="24"/>
          <w:szCs w:val="24"/>
        </w:rPr>
        <w:t xml:space="preserve">Effekten af </w:t>
      </w:r>
      <w:proofErr w:type="spellStart"/>
      <w:r w:rsidRPr="007B4B68">
        <w:rPr>
          <w:sz w:val="24"/>
          <w:szCs w:val="24"/>
        </w:rPr>
        <w:t>anidulafungin</w:t>
      </w:r>
      <w:proofErr w:type="spellEnd"/>
      <w:r w:rsidRPr="007B4B68">
        <w:rPr>
          <w:sz w:val="24"/>
          <w:szCs w:val="24"/>
        </w:rPr>
        <w:t xml:space="preserve"> hos voksne </w:t>
      </w:r>
      <w:proofErr w:type="spellStart"/>
      <w:r w:rsidRPr="007B4B68">
        <w:rPr>
          <w:sz w:val="24"/>
          <w:szCs w:val="24"/>
        </w:rPr>
        <w:t>neutropene</w:t>
      </w:r>
      <w:proofErr w:type="spellEnd"/>
      <w:r w:rsidRPr="007B4B68">
        <w:rPr>
          <w:sz w:val="24"/>
          <w:szCs w:val="24"/>
        </w:rPr>
        <w:t xml:space="preserve"> patienter (defineret som absolut </w:t>
      </w:r>
      <w:proofErr w:type="spellStart"/>
      <w:r w:rsidRPr="007B4B68">
        <w:rPr>
          <w:sz w:val="24"/>
          <w:szCs w:val="24"/>
        </w:rPr>
        <w:t>neutrofiltal</w:t>
      </w:r>
      <w:proofErr w:type="spellEnd"/>
      <w:r w:rsidRPr="007B4B68">
        <w:rPr>
          <w:sz w:val="24"/>
          <w:szCs w:val="24"/>
        </w:rPr>
        <w:t xml:space="preserve"> ≤ 500 celler/mm</w:t>
      </w:r>
      <w:r w:rsidRPr="007B4B68">
        <w:rPr>
          <w:sz w:val="24"/>
          <w:szCs w:val="24"/>
          <w:vertAlign w:val="superscript"/>
        </w:rPr>
        <w:t>3</w:t>
      </w:r>
      <w:r w:rsidRPr="007B4B68">
        <w:rPr>
          <w:sz w:val="24"/>
          <w:szCs w:val="24"/>
        </w:rPr>
        <w:t xml:space="preserve"> ved </w:t>
      </w:r>
      <w:r w:rsidRPr="007B4B68">
        <w:rPr>
          <w:i/>
          <w:sz w:val="24"/>
          <w:szCs w:val="24"/>
        </w:rPr>
        <w:t>baseline</w:t>
      </w:r>
      <w:r w:rsidRPr="007B4B68">
        <w:rPr>
          <w:sz w:val="24"/>
          <w:szCs w:val="24"/>
        </w:rPr>
        <w:t xml:space="preserve">) med invasiv </w:t>
      </w:r>
      <w:proofErr w:type="spellStart"/>
      <w:r w:rsidRPr="007B4B68">
        <w:rPr>
          <w:sz w:val="24"/>
          <w:szCs w:val="24"/>
        </w:rPr>
        <w:t>candidiasis</w:t>
      </w:r>
      <w:proofErr w:type="spellEnd"/>
      <w:r w:rsidRPr="007B4B68">
        <w:rPr>
          <w:sz w:val="24"/>
          <w:szCs w:val="24"/>
        </w:rPr>
        <w:t xml:space="preserve"> blev vurderet i et </w:t>
      </w:r>
      <w:proofErr w:type="spellStart"/>
      <w:r w:rsidRPr="007B4B68">
        <w:rPr>
          <w:sz w:val="24"/>
          <w:szCs w:val="24"/>
        </w:rPr>
        <w:t>prospektivt</w:t>
      </w:r>
      <w:proofErr w:type="spellEnd"/>
      <w:r w:rsidRPr="007B4B68">
        <w:rPr>
          <w:sz w:val="24"/>
          <w:szCs w:val="24"/>
        </w:rPr>
        <w:t xml:space="preserve">, dobbeltblindt, randomiseret, kontrolleret studie. Egnede patienter fik enten </w:t>
      </w:r>
      <w:proofErr w:type="spellStart"/>
      <w:r w:rsidRPr="007B4B68">
        <w:rPr>
          <w:sz w:val="24"/>
          <w:szCs w:val="24"/>
        </w:rPr>
        <w:t>anidulafungin</w:t>
      </w:r>
      <w:proofErr w:type="spellEnd"/>
      <w:r w:rsidRPr="007B4B68">
        <w:rPr>
          <w:sz w:val="24"/>
          <w:szCs w:val="24"/>
        </w:rPr>
        <w:t xml:space="preserve"> (200 mg intravenøs initialdosis efterfulgt af 100 mg intravenøst dagligt) eller </w:t>
      </w:r>
      <w:proofErr w:type="spellStart"/>
      <w:r w:rsidRPr="007B4B68">
        <w:rPr>
          <w:sz w:val="24"/>
          <w:szCs w:val="24"/>
        </w:rPr>
        <w:t>caspofungin</w:t>
      </w:r>
      <w:proofErr w:type="spellEnd"/>
      <w:r w:rsidRPr="007B4B68">
        <w:rPr>
          <w:sz w:val="24"/>
          <w:szCs w:val="24"/>
        </w:rPr>
        <w:t xml:space="preserve"> (70 mg intravenøs initialdosis efterfulgt af 50 mg intravenøst dagligt) (2:1 </w:t>
      </w:r>
      <w:proofErr w:type="spellStart"/>
      <w:r w:rsidRPr="007B4B68">
        <w:rPr>
          <w:sz w:val="24"/>
          <w:szCs w:val="24"/>
        </w:rPr>
        <w:t>randomisering</w:t>
      </w:r>
      <w:proofErr w:type="spellEnd"/>
      <w:r w:rsidRPr="007B4B68">
        <w:rPr>
          <w:sz w:val="24"/>
          <w:szCs w:val="24"/>
        </w:rPr>
        <w:t xml:space="preserve">). Patienterne blev behandlet i mindst 14 dage. Hos klinisk stabile patienter var det tilladt at skifte til oral </w:t>
      </w:r>
      <w:proofErr w:type="spellStart"/>
      <w:r w:rsidRPr="007B4B68">
        <w:rPr>
          <w:sz w:val="24"/>
          <w:szCs w:val="24"/>
        </w:rPr>
        <w:t>azolbehandling</w:t>
      </w:r>
      <w:proofErr w:type="spellEnd"/>
      <w:r w:rsidRPr="007B4B68">
        <w:rPr>
          <w:sz w:val="24"/>
          <w:szCs w:val="24"/>
        </w:rPr>
        <w:t xml:space="preserve"> efter mindst 10 dages forsøgsbehandling. I alt 14 </w:t>
      </w:r>
      <w:proofErr w:type="spellStart"/>
      <w:r w:rsidRPr="007B4B68">
        <w:rPr>
          <w:sz w:val="24"/>
          <w:szCs w:val="24"/>
        </w:rPr>
        <w:t>neutropene</w:t>
      </w:r>
      <w:proofErr w:type="spellEnd"/>
      <w:r w:rsidRPr="007B4B68">
        <w:rPr>
          <w:sz w:val="24"/>
          <w:szCs w:val="24"/>
        </w:rPr>
        <w:t xml:space="preserve"> patienter med mikrobiologisk bekræftet invasiv </w:t>
      </w:r>
      <w:proofErr w:type="spellStart"/>
      <w:r w:rsidRPr="007B4B68">
        <w:rPr>
          <w:sz w:val="24"/>
          <w:szCs w:val="24"/>
        </w:rPr>
        <w:t>candidiasis</w:t>
      </w:r>
      <w:proofErr w:type="spellEnd"/>
      <w:r w:rsidRPr="007B4B68">
        <w:rPr>
          <w:sz w:val="24"/>
          <w:szCs w:val="24"/>
        </w:rPr>
        <w:t xml:space="preserve"> (MITT-population) blev inkluderet i studiet (11 </w:t>
      </w:r>
      <w:proofErr w:type="spellStart"/>
      <w:r w:rsidRPr="007B4B68">
        <w:rPr>
          <w:sz w:val="24"/>
          <w:szCs w:val="24"/>
        </w:rPr>
        <w:t>anidulafungin</w:t>
      </w:r>
      <w:proofErr w:type="spellEnd"/>
      <w:r w:rsidRPr="007B4B68">
        <w:rPr>
          <w:sz w:val="24"/>
          <w:szCs w:val="24"/>
        </w:rPr>
        <w:t xml:space="preserve">, 3 </w:t>
      </w:r>
      <w:proofErr w:type="spellStart"/>
      <w:r w:rsidRPr="007B4B68">
        <w:rPr>
          <w:sz w:val="24"/>
          <w:szCs w:val="24"/>
        </w:rPr>
        <w:t>caspofungin</w:t>
      </w:r>
      <w:proofErr w:type="spellEnd"/>
      <w:r w:rsidRPr="007B4B68">
        <w:rPr>
          <w:sz w:val="24"/>
          <w:szCs w:val="24"/>
        </w:rPr>
        <w:t xml:space="preserve">). De fleste af patienterne havde kun </w:t>
      </w:r>
      <w:proofErr w:type="spellStart"/>
      <w:r w:rsidRPr="007B4B68">
        <w:rPr>
          <w:sz w:val="24"/>
          <w:szCs w:val="24"/>
        </w:rPr>
        <w:t>candidæmi</w:t>
      </w:r>
      <w:proofErr w:type="spellEnd"/>
      <w:r w:rsidRPr="007B4B68">
        <w:rPr>
          <w:sz w:val="24"/>
          <w:szCs w:val="24"/>
        </w:rPr>
        <w:t xml:space="preserve">. De hyppigst isolerede </w:t>
      </w:r>
      <w:proofErr w:type="spellStart"/>
      <w:r w:rsidRPr="007B4B68">
        <w:rPr>
          <w:sz w:val="24"/>
          <w:szCs w:val="24"/>
        </w:rPr>
        <w:t>patogener</w:t>
      </w:r>
      <w:proofErr w:type="spellEnd"/>
      <w:r w:rsidRPr="007B4B68">
        <w:rPr>
          <w:sz w:val="24"/>
          <w:szCs w:val="24"/>
        </w:rPr>
        <w:t xml:space="preserve"> ved </w:t>
      </w:r>
      <w:r w:rsidRPr="007B4B68">
        <w:rPr>
          <w:i/>
          <w:sz w:val="24"/>
          <w:szCs w:val="24"/>
        </w:rPr>
        <w:t xml:space="preserve">baseline </w:t>
      </w:r>
      <w:r w:rsidRPr="007B4B68">
        <w:rPr>
          <w:sz w:val="24"/>
          <w:szCs w:val="24"/>
        </w:rPr>
        <w:t xml:space="preserve">var </w:t>
      </w:r>
      <w:r w:rsidRPr="007B4B68">
        <w:rPr>
          <w:i/>
          <w:sz w:val="24"/>
          <w:szCs w:val="24"/>
        </w:rPr>
        <w:t xml:space="preserve">C. </w:t>
      </w:r>
      <w:proofErr w:type="spellStart"/>
      <w:r w:rsidRPr="007B4B68">
        <w:rPr>
          <w:i/>
          <w:sz w:val="24"/>
          <w:szCs w:val="24"/>
        </w:rPr>
        <w:t>tropicalis</w:t>
      </w:r>
      <w:proofErr w:type="spellEnd"/>
      <w:r w:rsidRPr="007B4B68">
        <w:rPr>
          <w:i/>
          <w:sz w:val="24"/>
          <w:szCs w:val="24"/>
        </w:rPr>
        <w:t xml:space="preserve"> </w:t>
      </w:r>
      <w:r w:rsidRPr="007B4B68">
        <w:rPr>
          <w:sz w:val="24"/>
          <w:szCs w:val="24"/>
        </w:rPr>
        <w:t xml:space="preserve">(4 </w:t>
      </w:r>
      <w:proofErr w:type="spellStart"/>
      <w:r w:rsidRPr="007B4B68">
        <w:rPr>
          <w:sz w:val="24"/>
          <w:szCs w:val="24"/>
        </w:rPr>
        <w:t>anidulafungin</w:t>
      </w:r>
      <w:proofErr w:type="spellEnd"/>
      <w:r w:rsidRPr="007B4B68">
        <w:rPr>
          <w:sz w:val="24"/>
          <w:szCs w:val="24"/>
        </w:rPr>
        <w:t xml:space="preserve">, 0 </w:t>
      </w:r>
      <w:proofErr w:type="spellStart"/>
      <w:r w:rsidRPr="007B4B68">
        <w:rPr>
          <w:sz w:val="24"/>
          <w:szCs w:val="24"/>
        </w:rPr>
        <w:t>caspofungin</w:t>
      </w:r>
      <w:proofErr w:type="spellEnd"/>
      <w:r w:rsidRPr="007B4B68">
        <w:rPr>
          <w:sz w:val="24"/>
          <w:szCs w:val="24"/>
        </w:rPr>
        <w:t xml:space="preserve">), </w:t>
      </w:r>
      <w:r w:rsidRPr="007B4B68">
        <w:rPr>
          <w:i/>
          <w:sz w:val="24"/>
          <w:szCs w:val="24"/>
        </w:rPr>
        <w:t xml:space="preserve">C. </w:t>
      </w:r>
      <w:proofErr w:type="spellStart"/>
      <w:r w:rsidRPr="007B4B68">
        <w:rPr>
          <w:i/>
          <w:sz w:val="24"/>
          <w:szCs w:val="24"/>
        </w:rPr>
        <w:t>parapsilosi</w:t>
      </w:r>
      <w:r w:rsidRPr="007B4B68">
        <w:rPr>
          <w:sz w:val="24"/>
          <w:szCs w:val="24"/>
        </w:rPr>
        <w:t>s</w:t>
      </w:r>
      <w:proofErr w:type="spellEnd"/>
      <w:r w:rsidRPr="007B4B68">
        <w:rPr>
          <w:sz w:val="24"/>
          <w:szCs w:val="24"/>
        </w:rPr>
        <w:t xml:space="preserve"> (2 </w:t>
      </w:r>
      <w:proofErr w:type="spellStart"/>
      <w:r w:rsidRPr="007B4B68">
        <w:rPr>
          <w:sz w:val="24"/>
          <w:szCs w:val="24"/>
        </w:rPr>
        <w:t>anidulafungin</w:t>
      </w:r>
      <w:proofErr w:type="spellEnd"/>
      <w:r w:rsidRPr="007B4B68">
        <w:rPr>
          <w:sz w:val="24"/>
          <w:szCs w:val="24"/>
        </w:rPr>
        <w:t xml:space="preserve">, 1 </w:t>
      </w:r>
      <w:proofErr w:type="spellStart"/>
      <w:r w:rsidRPr="007B4B68">
        <w:rPr>
          <w:sz w:val="24"/>
          <w:szCs w:val="24"/>
        </w:rPr>
        <w:t>caspofungin</w:t>
      </w:r>
      <w:proofErr w:type="spellEnd"/>
      <w:r w:rsidRPr="007B4B68">
        <w:rPr>
          <w:sz w:val="24"/>
          <w:szCs w:val="24"/>
        </w:rPr>
        <w:t xml:space="preserve">), </w:t>
      </w:r>
      <w:r w:rsidRPr="007B4B68">
        <w:rPr>
          <w:i/>
          <w:sz w:val="24"/>
          <w:szCs w:val="24"/>
        </w:rPr>
        <w:t xml:space="preserve">C. </w:t>
      </w:r>
      <w:proofErr w:type="spellStart"/>
      <w:r w:rsidRPr="007B4B68">
        <w:rPr>
          <w:i/>
          <w:sz w:val="24"/>
          <w:szCs w:val="24"/>
        </w:rPr>
        <w:t>krusei</w:t>
      </w:r>
      <w:proofErr w:type="spellEnd"/>
      <w:r w:rsidRPr="007B4B68">
        <w:rPr>
          <w:i/>
          <w:sz w:val="24"/>
          <w:szCs w:val="24"/>
        </w:rPr>
        <w:t xml:space="preserve"> </w:t>
      </w:r>
      <w:r w:rsidRPr="007B4B68">
        <w:rPr>
          <w:sz w:val="24"/>
          <w:szCs w:val="24"/>
        </w:rPr>
        <w:t xml:space="preserve">(2 </w:t>
      </w:r>
      <w:proofErr w:type="spellStart"/>
      <w:r w:rsidRPr="007B4B68">
        <w:rPr>
          <w:sz w:val="24"/>
          <w:szCs w:val="24"/>
        </w:rPr>
        <w:t>anidulafungin</w:t>
      </w:r>
      <w:proofErr w:type="spellEnd"/>
      <w:r w:rsidRPr="007B4B68">
        <w:rPr>
          <w:sz w:val="24"/>
          <w:szCs w:val="24"/>
        </w:rPr>
        <w:t xml:space="preserve">, 1 </w:t>
      </w:r>
      <w:proofErr w:type="spellStart"/>
      <w:r w:rsidRPr="007B4B68">
        <w:rPr>
          <w:sz w:val="24"/>
          <w:szCs w:val="24"/>
        </w:rPr>
        <w:t>caspofungin</w:t>
      </w:r>
      <w:proofErr w:type="spellEnd"/>
      <w:r w:rsidRPr="007B4B68">
        <w:rPr>
          <w:sz w:val="24"/>
          <w:szCs w:val="24"/>
        </w:rPr>
        <w:t xml:space="preserve">) og </w:t>
      </w:r>
      <w:r w:rsidRPr="007B4B68">
        <w:rPr>
          <w:i/>
          <w:sz w:val="24"/>
          <w:szCs w:val="24"/>
        </w:rPr>
        <w:t xml:space="preserve">C. </w:t>
      </w:r>
      <w:proofErr w:type="spellStart"/>
      <w:r w:rsidRPr="007B4B68">
        <w:rPr>
          <w:i/>
          <w:sz w:val="24"/>
          <w:szCs w:val="24"/>
        </w:rPr>
        <w:t>ciferrii</w:t>
      </w:r>
      <w:proofErr w:type="spellEnd"/>
      <w:r w:rsidRPr="007B4B68">
        <w:rPr>
          <w:i/>
          <w:sz w:val="24"/>
          <w:szCs w:val="24"/>
        </w:rPr>
        <w:t xml:space="preserve"> </w:t>
      </w:r>
      <w:r w:rsidRPr="007B4B68">
        <w:rPr>
          <w:sz w:val="24"/>
          <w:szCs w:val="24"/>
        </w:rPr>
        <w:t xml:space="preserve">(2 </w:t>
      </w:r>
      <w:proofErr w:type="spellStart"/>
      <w:r w:rsidRPr="007B4B68">
        <w:rPr>
          <w:sz w:val="24"/>
          <w:szCs w:val="24"/>
        </w:rPr>
        <w:t>anidulafungin</w:t>
      </w:r>
      <w:proofErr w:type="spellEnd"/>
      <w:r w:rsidRPr="007B4B68">
        <w:rPr>
          <w:sz w:val="24"/>
          <w:szCs w:val="24"/>
        </w:rPr>
        <w:t xml:space="preserve">, 0 </w:t>
      </w:r>
      <w:proofErr w:type="spellStart"/>
      <w:r w:rsidRPr="007B4B68">
        <w:rPr>
          <w:sz w:val="24"/>
          <w:szCs w:val="24"/>
        </w:rPr>
        <w:t>caspofungin</w:t>
      </w:r>
      <w:proofErr w:type="spellEnd"/>
      <w:r w:rsidRPr="007B4B68">
        <w:rPr>
          <w:sz w:val="24"/>
          <w:szCs w:val="24"/>
        </w:rPr>
        <w:t xml:space="preserve">). Den succesfulde globale responsrate ved afslutningen af intravenøs behandling (primært endemål) var 8/11 (72,7 %) for </w:t>
      </w:r>
      <w:proofErr w:type="spellStart"/>
      <w:r w:rsidRPr="007B4B68">
        <w:rPr>
          <w:sz w:val="24"/>
          <w:szCs w:val="24"/>
        </w:rPr>
        <w:t>anidulafungin</w:t>
      </w:r>
      <w:proofErr w:type="spellEnd"/>
      <w:r w:rsidRPr="007B4B68">
        <w:rPr>
          <w:sz w:val="24"/>
          <w:szCs w:val="24"/>
        </w:rPr>
        <w:t xml:space="preserve"> og 3/3 (100,0 %) for </w:t>
      </w:r>
      <w:proofErr w:type="spellStart"/>
      <w:r w:rsidRPr="007B4B68">
        <w:rPr>
          <w:sz w:val="24"/>
          <w:szCs w:val="24"/>
        </w:rPr>
        <w:t>caspofungin</w:t>
      </w:r>
      <w:proofErr w:type="spellEnd"/>
      <w:r w:rsidRPr="007B4B68">
        <w:rPr>
          <w:sz w:val="24"/>
          <w:szCs w:val="24"/>
        </w:rPr>
        <w:t xml:space="preserve"> (difference -27,3; 95 % CI -80,9; 40,3). Den succesfulde globale responsrate ved afslutningen af al behandling var 8/11 (72,7 %) for </w:t>
      </w:r>
      <w:proofErr w:type="spellStart"/>
      <w:r w:rsidRPr="007B4B68">
        <w:rPr>
          <w:sz w:val="24"/>
          <w:szCs w:val="24"/>
        </w:rPr>
        <w:t>anidulafungin</w:t>
      </w:r>
      <w:proofErr w:type="spellEnd"/>
      <w:r w:rsidRPr="007B4B68">
        <w:rPr>
          <w:sz w:val="24"/>
          <w:szCs w:val="24"/>
        </w:rPr>
        <w:t xml:space="preserve"> og 3/3 (100,0 %) for </w:t>
      </w:r>
      <w:proofErr w:type="spellStart"/>
      <w:r w:rsidRPr="007B4B68">
        <w:rPr>
          <w:sz w:val="24"/>
          <w:szCs w:val="24"/>
        </w:rPr>
        <w:t>caspofungin</w:t>
      </w:r>
      <w:proofErr w:type="spellEnd"/>
      <w:r w:rsidRPr="007B4B68">
        <w:rPr>
          <w:sz w:val="24"/>
          <w:szCs w:val="24"/>
        </w:rPr>
        <w:t xml:space="preserve"> (difference -27,3, 95 % CI -80,9; 40,3). Mortalitet uanset årsag frem til</w:t>
      </w:r>
      <w:r w:rsidRPr="007B4B68">
        <w:rPr>
          <w:spacing w:val="-4"/>
          <w:sz w:val="24"/>
          <w:szCs w:val="24"/>
        </w:rPr>
        <w:t xml:space="preserve"> </w:t>
      </w:r>
      <w:r w:rsidRPr="007B4B68">
        <w:rPr>
          <w:sz w:val="24"/>
          <w:szCs w:val="24"/>
        </w:rPr>
        <w:t>opfølgningsbesøget</w:t>
      </w:r>
      <w:r w:rsidRPr="007B4B68">
        <w:rPr>
          <w:spacing w:val="-4"/>
          <w:sz w:val="24"/>
          <w:szCs w:val="24"/>
        </w:rPr>
        <w:t xml:space="preserve"> </w:t>
      </w:r>
      <w:r w:rsidRPr="007B4B68">
        <w:rPr>
          <w:sz w:val="24"/>
          <w:szCs w:val="24"/>
        </w:rPr>
        <w:t>ved</w:t>
      </w:r>
      <w:r w:rsidRPr="007B4B68">
        <w:rPr>
          <w:spacing w:val="-3"/>
          <w:sz w:val="24"/>
          <w:szCs w:val="24"/>
        </w:rPr>
        <w:t xml:space="preserve"> </w:t>
      </w:r>
      <w:r w:rsidRPr="007B4B68">
        <w:rPr>
          <w:sz w:val="24"/>
          <w:szCs w:val="24"/>
        </w:rPr>
        <w:t>uge</w:t>
      </w:r>
      <w:r w:rsidRPr="007B4B68">
        <w:rPr>
          <w:spacing w:val="-4"/>
          <w:sz w:val="24"/>
          <w:szCs w:val="24"/>
        </w:rPr>
        <w:t xml:space="preserve"> </w:t>
      </w:r>
      <w:r w:rsidRPr="007B4B68">
        <w:rPr>
          <w:sz w:val="24"/>
          <w:szCs w:val="24"/>
        </w:rPr>
        <w:t>6</w:t>
      </w:r>
      <w:r w:rsidRPr="007B4B68">
        <w:rPr>
          <w:spacing w:val="-4"/>
          <w:sz w:val="24"/>
          <w:szCs w:val="24"/>
        </w:rPr>
        <w:t xml:space="preserve"> </w:t>
      </w:r>
      <w:r w:rsidRPr="007B4B68">
        <w:rPr>
          <w:sz w:val="24"/>
          <w:szCs w:val="24"/>
        </w:rPr>
        <w:t>var</w:t>
      </w:r>
      <w:r w:rsidRPr="007B4B68">
        <w:rPr>
          <w:spacing w:val="-3"/>
          <w:sz w:val="24"/>
          <w:szCs w:val="24"/>
        </w:rPr>
        <w:t xml:space="preserve"> </w:t>
      </w:r>
      <w:r w:rsidRPr="007B4B68">
        <w:rPr>
          <w:sz w:val="24"/>
          <w:szCs w:val="24"/>
        </w:rPr>
        <w:t>4/11</w:t>
      </w:r>
      <w:r w:rsidRPr="007B4B68">
        <w:rPr>
          <w:spacing w:val="-4"/>
          <w:sz w:val="24"/>
          <w:szCs w:val="24"/>
        </w:rPr>
        <w:t xml:space="preserve"> </w:t>
      </w:r>
      <w:r w:rsidRPr="007B4B68">
        <w:rPr>
          <w:sz w:val="24"/>
          <w:szCs w:val="24"/>
        </w:rPr>
        <w:t>(36,4</w:t>
      </w:r>
      <w:r w:rsidRPr="007B4B68">
        <w:rPr>
          <w:spacing w:val="-4"/>
          <w:sz w:val="24"/>
          <w:szCs w:val="24"/>
        </w:rPr>
        <w:t xml:space="preserve"> </w:t>
      </w:r>
      <w:r w:rsidRPr="007B4B68">
        <w:rPr>
          <w:sz w:val="24"/>
          <w:szCs w:val="24"/>
        </w:rPr>
        <w:t>%)</w:t>
      </w:r>
      <w:r w:rsidRPr="007B4B68">
        <w:rPr>
          <w:spacing w:val="-3"/>
          <w:sz w:val="24"/>
          <w:szCs w:val="24"/>
        </w:rPr>
        <w:t xml:space="preserve"> </w:t>
      </w:r>
      <w:r w:rsidRPr="007B4B68">
        <w:rPr>
          <w:sz w:val="24"/>
          <w:szCs w:val="24"/>
        </w:rPr>
        <w:t>for</w:t>
      </w:r>
      <w:r w:rsidRPr="007B4B68">
        <w:rPr>
          <w:spacing w:val="-4"/>
          <w:sz w:val="24"/>
          <w:szCs w:val="24"/>
        </w:rPr>
        <w:t xml:space="preserve"> </w:t>
      </w:r>
      <w:proofErr w:type="spellStart"/>
      <w:r w:rsidRPr="007B4B68">
        <w:rPr>
          <w:sz w:val="24"/>
          <w:szCs w:val="24"/>
        </w:rPr>
        <w:t>anidulafungin</w:t>
      </w:r>
      <w:proofErr w:type="spellEnd"/>
      <w:r w:rsidRPr="007B4B68">
        <w:rPr>
          <w:spacing w:val="-3"/>
          <w:sz w:val="24"/>
          <w:szCs w:val="24"/>
        </w:rPr>
        <w:t xml:space="preserve"> </w:t>
      </w:r>
      <w:r w:rsidRPr="007B4B68">
        <w:rPr>
          <w:sz w:val="24"/>
          <w:szCs w:val="24"/>
        </w:rPr>
        <w:t>(MITT-population)</w:t>
      </w:r>
      <w:r w:rsidRPr="007B4B68">
        <w:rPr>
          <w:spacing w:val="-4"/>
          <w:sz w:val="24"/>
          <w:szCs w:val="24"/>
        </w:rPr>
        <w:t xml:space="preserve"> </w:t>
      </w:r>
      <w:r w:rsidRPr="007B4B68">
        <w:rPr>
          <w:sz w:val="24"/>
          <w:szCs w:val="24"/>
        </w:rPr>
        <w:t>og</w:t>
      </w:r>
      <w:r w:rsidRPr="007B4B68">
        <w:rPr>
          <w:spacing w:val="-4"/>
          <w:sz w:val="24"/>
          <w:szCs w:val="24"/>
        </w:rPr>
        <w:t xml:space="preserve"> </w:t>
      </w:r>
      <w:r w:rsidRPr="007B4B68">
        <w:rPr>
          <w:sz w:val="24"/>
          <w:szCs w:val="24"/>
        </w:rPr>
        <w:t>2,3</w:t>
      </w:r>
      <w:r w:rsidRPr="007B4B68">
        <w:rPr>
          <w:spacing w:val="-3"/>
          <w:sz w:val="24"/>
          <w:szCs w:val="24"/>
        </w:rPr>
        <w:t xml:space="preserve"> </w:t>
      </w:r>
      <w:r w:rsidRPr="007B4B68">
        <w:rPr>
          <w:sz w:val="24"/>
          <w:szCs w:val="24"/>
        </w:rPr>
        <w:t>(66,7</w:t>
      </w:r>
      <w:r w:rsidR="00C94482" w:rsidRPr="007B4B68">
        <w:rPr>
          <w:sz w:val="24"/>
          <w:szCs w:val="24"/>
        </w:rPr>
        <w:t xml:space="preserve"> </w:t>
      </w:r>
      <w:r w:rsidRPr="007B4B68">
        <w:rPr>
          <w:sz w:val="24"/>
          <w:szCs w:val="24"/>
        </w:rPr>
        <w:t xml:space="preserve">%) for </w:t>
      </w:r>
      <w:proofErr w:type="spellStart"/>
      <w:r w:rsidRPr="007B4B68">
        <w:rPr>
          <w:sz w:val="24"/>
          <w:szCs w:val="24"/>
        </w:rPr>
        <w:t>caspofungin</w:t>
      </w:r>
      <w:proofErr w:type="spellEnd"/>
      <w:r w:rsidRPr="007B4B68">
        <w:rPr>
          <w:sz w:val="24"/>
          <w:szCs w:val="24"/>
        </w:rPr>
        <w:t>.</w:t>
      </w:r>
    </w:p>
    <w:p w14:paraId="40A3D22B" w14:textId="77777777" w:rsidR="00C5280D" w:rsidRPr="007B4B68" w:rsidRDefault="00C5280D" w:rsidP="00B94CD5">
      <w:pPr>
        <w:pStyle w:val="Brdtekst"/>
        <w:ind w:left="851"/>
        <w:rPr>
          <w:sz w:val="24"/>
          <w:szCs w:val="24"/>
        </w:rPr>
      </w:pPr>
    </w:p>
    <w:p w14:paraId="67C291B6" w14:textId="3FCFA7C4" w:rsidR="00C5280D" w:rsidRPr="007B4B68" w:rsidRDefault="00C5280D" w:rsidP="00B94CD5">
      <w:pPr>
        <w:pStyle w:val="Brdtekst"/>
        <w:ind w:left="851"/>
        <w:rPr>
          <w:sz w:val="24"/>
          <w:szCs w:val="24"/>
        </w:rPr>
      </w:pPr>
      <w:r w:rsidRPr="007B4B68">
        <w:rPr>
          <w:sz w:val="24"/>
          <w:szCs w:val="24"/>
        </w:rPr>
        <w:t xml:space="preserve">Patienter med mikrobiologisk bekræftet </w:t>
      </w:r>
      <w:proofErr w:type="spellStart"/>
      <w:r w:rsidRPr="007B4B68">
        <w:rPr>
          <w:sz w:val="24"/>
          <w:szCs w:val="24"/>
        </w:rPr>
        <w:t>candidiasis</w:t>
      </w:r>
      <w:proofErr w:type="spellEnd"/>
      <w:r w:rsidRPr="007B4B68">
        <w:rPr>
          <w:sz w:val="24"/>
          <w:szCs w:val="24"/>
        </w:rPr>
        <w:t xml:space="preserve"> (MITT-population) og </w:t>
      </w:r>
      <w:proofErr w:type="spellStart"/>
      <w:r w:rsidRPr="007B4B68">
        <w:rPr>
          <w:sz w:val="24"/>
          <w:szCs w:val="24"/>
        </w:rPr>
        <w:t>neutropeni</w:t>
      </w:r>
      <w:proofErr w:type="spellEnd"/>
      <w:r w:rsidRPr="007B4B68">
        <w:rPr>
          <w:sz w:val="24"/>
          <w:szCs w:val="24"/>
        </w:rPr>
        <w:t xml:space="preserve"> blev identificeret i en analyse af indsamlede data fra 4 </w:t>
      </w:r>
      <w:proofErr w:type="spellStart"/>
      <w:r w:rsidRPr="007B4B68">
        <w:rPr>
          <w:sz w:val="24"/>
          <w:szCs w:val="24"/>
        </w:rPr>
        <w:t>prospektive</w:t>
      </w:r>
      <w:proofErr w:type="spellEnd"/>
      <w:r w:rsidRPr="007B4B68">
        <w:rPr>
          <w:sz w:val="24"/>
          <w:szCs w:val="24"/>
        </w:rPr>
        <w:t xml:space="preserve">, åbne, non-komparative studier </w:t>
      </w:r>
      <w:r w:rsidRPr="007B4B68">
        <w:rPr>
          <w:spacing w:val="-2"/>
          <w:sz w:val="24"/>
          <w:szCs w:val="24"/>
        </w:rPr>
        <w:t xml:space="preserve">med </w:t>
      </w:r>
      <w:r w:rsidRPr="007B4B68">
        <w:rPr>
          <w:sz w:val="24"/>
          <w:szCs w:val="24"/>
        </w:rPr>
        <w:t xml:space="preserve">sammenligneligt design. Effekten af </w:t>
      </w:r>
      <w:proofErr w:type="spellStart"/>
      <w:r w:rsidRPr="007B4B68">
        <w:rPr>
          <w:sz w:val="24"/>
          <w:szCs w:val="24"/>
        </w:rPr>
        <w:t>anidulafungin</w:t>
      </w:r>
      <w:proofErr w:type="spellEnd"/>
      <w:r w:rsidRPr="007B4B68">
        <w:rPr>
          <w:sz w:val="24"/>
          <w:szCs w:val="24"/>
        </w:rPr>
        <w:t xml:space="preserve"> (200 mg intravenøs initialdosis efterfulgt af 100 mg intravenøst dagligt) blev vurderet hos 35 voksne </w:t>
      </w:r>
      <w:proofErr w:type="spellStart"/>
      <w:r w:rsidRPr="007B4B68">
        <w:rPr>
          <w:sz w:val="24"/>
          <w:szCs w:val="24"/>
        </w:rPr>
        <w:t>neutropene</w:t>
      </w:r>
      <w:proofErr w:type="spellEnd"/>
      <w:r w:rsidRPr="007B4B68">
        <w:rPr>
          <w:sz w:val="24"/>
          <w:szCs w:val="24"/>
        </w:rPr>
        <w:t xml:space="preserve"> patienter defineret som absolut </w:t>
      </w:r>
      <w:proofErr w:type="spellStart"/>
      <w:r w:rsidRPr="007B4B68">
        <w:rPr>
          <w:sz w:val="24"/>
          <w:szCs w:val="24"/>
        </w:rPr>
        <w:t>neutrofiltal</w:t>
      </w:r>
      <w:proofErr w:type="spellEnd"/>
      <w:r w:rsidRPr="007B4B68">
        <w:rPr>
          <w:sz w:val="24"/>
          <w:szCs w:val="24"/>
        </w:rPr>
        <w:t xml:space="preserve"> ≤ 500 celler/mm</w:t>
      </w:r>
      <w:r w:rsidRPr="007B4B68">
        <w:rPr>
          <w:sz w:val="24"/>
          <w:szCs w:val="24"/>
          <w:vertAlign w:val="superscript"/>
        </w:rPr>
        <w:t>3</w:t>
      </w:r>
      <w:r w:rsidRPr="007B4B68">
        <w:rPr>
          <w:sz w:val="24"/>
          <w:szCs w:val="24"/>
        </w:rPr>
        <w:t xml:space="preserve"> eller hvide blodceller ≤ 500 celler/mm</w:t>
      </w:r>
      <w:r w:rsidRPr="007B4B68">
        <w:rPr>
          <w:sz w:val="24"/>
          <w:szCs w:val="24"/>
          <w:vertAlign w:val="superscript"/>
        </w:rPr>
        <w:t>3</w:t>
      </w:r>
      <w:r w:rsidRPr="007B4B68">
        <w:rPr>
          <w:sz w:val="24"/>
          <w:szCs w:val="24"/>
        </w:rPr>
        <w:t xml:space="preserve"> hos 22 patienter eller klassificeret som </w:t>
      </w:r>
      <w:proofErr w:type="spellStart"/>
      <w:r w:rsidRPr="007B4B68">
        <w:rPr>
          <w:sz w:val="24"/>
          <w:szCs w:val="24"/>
        </w:rPr>
        <w:t>neutropene</w:t>
      </w:r>
      <w:proofErr w:type="spellEnd"/>
      <w:r w:rsidRPr="007B4B68">
        <w:rPr>
          <w:sz w:val="24"/>
          <w:szCs w:val="24"/>
        </w:rPr>
        <w:t xml:space="preserve"> ved </w:t>
      </w:r>
      <w:r w:rsidRPr="007B4B68">
        <w:rPr>
          <w:i/>
          <w:sz w:val="24"/>
          <w:szCs w:val="24"/>
        </w:rPr>
        <w:t xml:space="preserve">baseline </w:t>
      </w:r>
      <w:r w:rsidRPr="007B4B68">
        <w:rPr>
          <w:sz w:val="24"/>
          <w:szCs w:val="24"/>
        </w:rPr>
        <w:t xml:space="preserve">af </w:t>
      </w:r>
      <w:proofErr w:type="spellStart"/>
      <w:r w:rsidRPr="007B4B68">
        <w:rPr>
          <w:sz w:val="24"/>
          <w:szCs w:val="24"/>
        </w:rPr>
        <w:t>investigator</w:t>
      </w:r>
      <w:proofErr w:type="spellEnd"/>
      <w:r w:rsidRPr="007B4B68">
        <w:rPr>
          <w:sz w:val="24"/>
          <w:szCs w:val="24"/>
        </w:rPr>
        <w:t xml:space="preserve"> for 13 patienter. Alle patienter blev behandlet i mindst 14 dage. Hos klinisk stabile patienter var det tilladt at skifte til oral </w:t>
      </w:r>
      <w:proofErr w:type="spellStart"/>
      <w:r w:rsidRPr="007B4B68">
        <w:rPr>
          <w:sz w:val="24"/>
          <w:szCs w:val="24"/>
        </w:rPr>
        <w:t>azolbehandling</w:t>
      </w:r>
      <w:proofErr w:type="spellEnd"/>
      <w:r w:rsidRPr="007B4B68">
        <w:rPr>
          <w:sz w:val="24"/>
          <w:szCs w:val="24"/>
        </w:rPr>
        <w:t xml:space="preserve"> efter mindst 5-10 dages behandling med </w:t>
      </w:r>
      <w:proofErr w:type="spellStart"/>
      <w:r w:rsidRPr="007B4B68">
        <w:rPr>
          <w:sz w:val="24"/>
          <w:szCs w:val="24"/>
        </w:rPr>
        <w:t>anidulafungin</w:t>
      </w:r>
      <w:proofErr w:type="spellEnd"/>
      <w:r w:rsidRPr="007B4B68">
        <w:rPr>
          <w:sz w:val="24"/>
          <w:szCs w:val="24"/>
        </w:rPr>
        <w:t xml:space="preserve">. De fleste af patienterne havde kun </w:t>
      </w:r>
      <w:proofErr w:type="spellStart"/>
      <w:r w:rsidRPr="007B4B68">
        <w:rPr>
          <w:sz w:val="24"/>
          <w:szCs w:val="24"/>
        </w:rPr>
        <w:t>candidæmi</w:t>
      </w:r>
      <w:proofErr w:type="spellEnd"/>
      <w:r w:rsidRPr="007B4B68">
        <w:rPr>
          <w:sz w:val="24"/>
          <w:szCs w:val="24"/>
        </w:rPr>
        <w:t xml:space="preserve"> (85,7</w:t>
      </w:r>
      <w:r w:rsidR="00660834">
        <w:rPr>
          <w:sz w:val="24"/>
          <w:szCs w:val="24"/>
        </w:rPr>
        <w:t> </w:t>
      </w:r>
      <w:r w:rsidRPr="007B4B68">
        <w:rPr>
          <w:sz w:val="24"/>
          <w:szCs w:val="24"/>
        </w:rPr>
        <w:t xml:space="preserve">%). De hyppigst isolerede </w:t>
      </w:r>
      <w:proofErr w:type="spellStart"/>
      <w:r w:rsidRPr="007B4B68">
        <w:rPr>
          <w:sz w:val="24"/>
          <w:szCs w:val="24"/>
        </w:rPr>
        <w:t>patogener</w:t>
      </w:r>
      <w:proofErr w:type="spellEnd"/>
      <w:r w:rsidRPr="007B4B68">
        <w:rPr>
          <w:sz w:val="24"/>
          <w:szCs w:val="24"/>
        </w:rPr>
        <w:t xml:space="preserve"> ved </w:t>
      </w:r>
      <w:r w:rsidRPr="007B4B68">
        <w:rPr>
          <w:i/>
          <w:sz w:val="24"/>
          <w:szCs w:val="24"/>
        </w:rPr>
        <w:t xml:space="preserve">baseline </w:t>
      </w:r>
      <w:r w:rsidRPr="007B4B68">
        <w:rPr>
          <w:sz w:val="24"/>
          <w:szCs w:val="24"/>
        </w:rPr>
        <w:t xml:space="preserve">var </w:t>
      </w:r>
      <w:r w:rsidRPr="007B4B68">
        <w:rPr>
          <w:i/>
          <w:sz w:val="24"/>
          <w:szCs w:val="24"/>
        </w:rPr>
        <w:t xml:space="preserve">C. </w:t>
      </w:r>
      <w:proofErr w:type="spellStart"/>
      <w:r w:rsidRPr="007B4B68">
        <w:rPr>
          <w:i/>
          <w:sz w:val="24"/>
          <w:szCs w:val="24"/>
        </w:rPr>
        <w:t>tropicalis</w:t>
      </w:r>
      <w:proofErr w:type="spellEnd"/>
      <w:r w:rsidRPr="007B4B68">
        <w:rPr>
          <w:i/>
          <w:sz w:val="24"/>
          <w:szCs w:val="24"/>
        </w:rPr>
        <w:t xml:space="preserve"> </w:t>
      </w:r>
      <w:r w:rsidRPr="007B4B68">
        <w:rPr>
          <w:sz w:val="24"/>
          <w:szCs w:val="24"/>
        </w:rPr>
        <w:t xml:space="preserve">(12 patienter), </w:t>
      </w:r>
      <w:r w:rsidRPr="007B4B68">
        <w:rPr>
          <w:i/>
          <w:sz w:val="24"/>
          <w:szCs w:val="24"/>
        </w:rPr>
        <w:t>C.</w:t>
      </w:r>
      <w:r w:rsidR="00AA4054">
        <w:rPr>
          <w:i/>
          <w:sz w:val="24"/>
          <w:szCs w:val="24"/>
        </w:rPr>
        <w:t> </w:t>
      </w:r>
      <w:proofErr w:type="spellStart"/>
      <w:r w:rsidRPr="007B4B68">
        <w:rPr>
          <w:i/>
          <w:sz w:val="24"/>
          <w:szCs w:val="24"/>
        </w:rPr>
        <w:t>albicans</w:t>
      </w:r>
      <w:proofErr w:type="spellEnd"/>
      <w:r w:rsidRPr="007B4B68">
        <w:rPr>
          <w:i/>
          <w:sz w:val="24"/>
          <w:szCs w:val="24"/>
        </w:rPr>
        <w:t xml:space="preserve"> </w:t>
      </w:r>
      <w:r w:rsidRPr="007B4B68">
        <w:rPr>
          <w:sz w:val="24"/>
          <w:szCs w:val="24"/>
        </w:rPr>
        <w:t xml:space="preserve">(7 patienter), </w:t>
      </w:r>
      <w:r w:rsidRPr="007B4B68">
        <w:rPr>
          <w:i/>
          <w:sz w:val="24"/>
          <w:szCs w:val="24"/>
        </w:rPr>
        <w:t xml:space="preserve">C. </w:t>
      </w:r>
      <w:proofErr w:type="spellStart"/>
      <w:r w:rsidRPr="007B4B68">
        <w:rPr>
          <w:i/>
          <w:sz w:val="24"/>
          <w:szCs w:val="24"/>
        </w:rPr>
        <w:t>glabrata</w:t>
      </w:r>
      <w:proofErr w:type="spellEnd"/>
      <w:r w:rsidRPr="007B4B68">
        <w:rPr>
          <w:i/>
          <w:sz w:val="24"/>
          <w:szCs w:val="24"/>
        </w:rPr>
        <w:t xml:space="preserve"> </w:t>
      </w:r>
      <w:r w:rsidRPr="007B4B68">
        <w:rPr>
          <w:sz w:val="24"/>
          <w:szCs w:val="24"/>
        </w:rPr>
        <w:t xml:space="preserve">(7 patienter), </w:t>
      </w:r>
      <w:r w:rsidRPr="007B4B68">
        <w:rPr>
          <w:i/>
          <w:sz w:val="24"/>
          <w:szCs w:val="24"/>
        </w:rPr>
        <w:t xml:space="preserve">C. </w:t>
      </w:r>
      <w:proofErr w:type="spellStart"/>
      <w:r w:rsidRPr="007B4B68">
        <w:rPr>
          <w:i/>
          <w:sz w:val="24"/>
          <w:szCs w:val="24"/>
        </w:rPr>
        <w:t>krusei</w:t>
      </w:r>
      <w:proofErr w:type="spellEnd"/>
      <w:r w:rsidRPr="007B4B68">
        <w:rPr>
          <w:i/>
          <w:sz w:val="24"/>
          <w:szCs w:val="24"/>
        </w:rPr>
        <w:t xml:space="preserve"> </w:t>
      </w:r>
      <w:r w:rsidRPr="007B4B68">
        <w:rPr>
          <w:sz w:val="24"/>
          <w:szCs w:val="24"/>
        </w:rPr>
        <w:t xml:space="preserve">(7 patienter) og </w:t>
      </w:r>
      <w:r w:rsidRPr="007B4B68">
        <w:rPr>
          <w:i/>
          <w:sz w:val="24"/>
          <w:szCs w:val="24"/>
        </w:rPr>
        <w:t xml:space="preserve">C. </w:t>
      </w:r>
      <w:proofErr w:type="spellStart"/>
      <w:r w:rsidRPr="007B4B68">
        <w:rPr>
          <w:i/>
          <w:sz w:val="24"/>
          <w:szCs w:val="24"/>
        </w:rPr>
        <w:t>parapsilosis</w:t>
      </w:r>
      <w:proofErr w:type="spellEnd"/>
      <w:r w:rsidRPr="007B4B68">
        <w:rPr>
          <w:i/>
          <w:sz w:val="24"/>
          <w:szCs w:val="24"/>
        </w:rPr>
        <w:t xml:space="preserve"> </w:t>
      </w:r>
      <w:r w:rsidRPr="007B4B68">
        <w:rPr>
          <w:sz w:val="24"/>
          <w:szCs w:val="24"/>
        </w:rPr>
        <w:t xml:space="preserve">(6 patienter). Den succesfulde globale responsrate ved afslutningen af intravenøs behandling (primære endemål) var 18/35 (51,4 %) og 16/35 (45,7 %) ved afslutningen af al behandling. Mortalitet uanset årsag frem til dag 28 var 10/35 (28,6 %). Den succesfulde globale responsrate var 7/13 (53,8 %) både ved afslutning af intravenøs behandling og ved afslutning af al behandling hos de 13 patienter med </w:t>
      </w:r>
      <w:proofErr w:type="spellStart"/>
      <w:r w:rsidRPr="007B4B68">
        <w:rPr>
          <w:sz w:val="24"/>
          <w:szCs w:val="24"/>
        </w:rPr>
        <w:t>neutropeni</w:t>
      </w:r>
      <w:proofErr w:type="spellEnd"/>
      <w:r w:rsidRPr="007B4B68">
        <w:rPr>
          <w:sz w:val="24"/>
          <w:szCs w:val="24"/>
        </w:rPr>
        <w:t xml:space="preserve">, der blev vurderet af </w:t>
      </w:r>
      <w:proofErr w:type="spellStart"/>
      <w:r w:rsidRPr="007B4B68">
        <w:rPr>
          <w:sz w:val="24"/>
          <w:szCs w:val="24"/>
        </w:rPr>
        <w:t>investigatorerne</w:t>
      </w:r>
      <w:proofErr w:type="spellEnd"/>
      <w:r w:rsidRPr="007B4B68">
        <w:rPr>
          <w:sz w:val="24"/>
          <w:szCs w:val="24"/>
        </w:rPr>
        <w:t xml:space="preserve"> ved</w:t>
      </w:r>
      <w:r w:rsidRPr="007B4B68">
        <w:rPr>
          <w:spacing w:val="-8"/>
          <w:sz w:val="24"/>
          <w:szCs w:val="24"/>
        </w:rPr>
        <w:t xml:space="preserve"> </w:t>
      </w:r>
      <w:r w:rsidRPr="007B4B68">
        <w:rPr>
          <w:i/>
          <w:sz w:val="24"/>
          <w:szCs w:val="24"/>
        </w:rPr>
        <w:t>baseline</w:t>
      </w:r>
      <w:r w:rsidRPr="007B4B68">
        <w:rPr>
          <w:sz w:val="24"/>
          <w:szCs w:val="24"/>
        </w:rPr>
        <w:t>.</w:t>
      </w:r>
    </w:p>
    <w:p w14:paraId="2E5CE802" w14:textId="77777777" w:rsidR="00C5280D" w:rsidRPr="007B4B68" w:rsidRDefault="00C5280D" w:rsidP="00B94CD5">
      <w:pPr>
        <w:pStyle w:val="Brdtekst"/>
        <w:spacing w:before="1"/>
        <w:ind w:left="851"/>
        <w:rPr>
          <w:sz w:val="24"/>
          <w:szCs w:val="24"/>
        </w:rPr>
      </w:pPr>
    </w:p>
    <w:p w14:paraId="3D3D55FD" w14:textId="77777777" w:rsidR="00C5280D" w:rsidRPr="007B4B68" w:rsidRDefault="00C5280D" w:rsidP="00B94CD5">
      <w:pPr>
        <w:ind w:left="851"/>
        <w:rPr>
          <w:b/>
          <w:sz w:val="24"/>
          <w:szCs w:val="24"/>
        </w:rPr>
      </w:pPr>
      <w:r w:rsidRPr="007B4B68">
        <w:rPr>
          <w:b/>
          <w:sz w:val="24"/>
          <w:szCs w:val="24"/>
        </w:rPr>
        <w:t>Yderligere data for patienter med infektioner i dybtliggende væv</w:t>
      </w:r>
    </w:p>
    <w:p w14:paraId="7518ACC3" w14:textId="77777777" w:rsidR="00C5280D" w:rsidRPr="00A20FCD" w:rsidRDefault="00C5280D" w:rsidP="00A20FCD">
      <w:pPr>
        <w:pStyle w:val="Brdtekst"/>
        <w:spacing w:before="9"/>
        <w:ind w:left="851"/>
        <w:rPr>
          <w:sz w:val="24"/>
          <w:szCs w:val="24"/>
        </w:rPr>
      </w:pPr>
    </w:p>
    <w:p w14:paraId="4EA8BD95" w14:textId="5AB26B32" w:rsidR="00C5280D" w:rsidRDefault="00C5280D" w:rsidP="00B94CD5">
      <w:pPr>
        <w:pStyle w:val="Brdtekst"/>
        <w:ind w:left="851"/>
        <w:rPr>
          <w:sz w:val="24"/>
          <w:szCs w:val="24"/>
        </w:rPr>
      </w:pPr>
      <w:r w:rsidRPr="007B4B68">
        <w:rPr>
          <w:sz w:val="24"/>
          <w:szCs w:val="24"/>
        </w:rPr>
        <w:t xml:space="preserve">Effekten af </w:t>
      </w:r>
      <w:proofErr w:type="spellStart"/>
      <w:r w:rsidRPr="007B4B68">
        <w:rPr>
          <w:sz w:val="24"/>
          <w:szCs w:val="24"/>
        </w:rPr>
        <w:t>anidulafungin</w:t>
      </w:r>
      <w:proofErr w:type="spellEnd"/>
      <w:r w:rsidRPr="007B4B68">
        <w:rPr>
          <w:sz w:val="24"/>
          <w:szCs w:val="24"/>
        </w:rPr>
        <w:t xml:space="preserve"> (200 mg intravenøs initialdosis efterfulgt af 100 mg intravenøst dagligt) hos voksne med mikrobiologisk bekræftet </w:t>
      </w:r>
      <w:proofErr w:type="spellStart"/>
      <w:r w:rsidRPr="007B4B68">
        <w:rPr>
          <w:sz w:val="24"/>
          <w:szCs w:val="24"/>
        </w:rPr>
        <w:t>candidiasis</w:t>
      </w:r>
      <w:proofErr w:type="spellEnd"/>
      <w:r w:rsidRPr="007B4B68">
        <w:rPr>
          <w:sz w:val="24"/>
          <w:szCs w:val="24"/>
        </w:rPr>
        <w:t xml:space="preserve"> i dybtliggende væv blev vurderet i en analyse af indsamlede data fra 5 </w:t>
      </w:r>
      <w:proofErr w:type="spellStart"/>
      <w:r w:rsidRPr="007B4B68">
        <w:rPr>
          <w:sz w:val="24"/>
          <w:szCs w:val="24"/>
        </w:rPr>
        <w:t>prospektive</w:t>
      </w:r>
      <w:proofErr w:type="spellEnd"/>
      <w:r w:rsidRPr="007B4B68">
        <w:rPr>
          <w:sz w:val="24"/>
          <w:szCs w:val="24"/>
        </w:rPr>
        <w:t xml:space="preserve"> studier (1 komparativt og 4 åbne studier). Patienterne blev behandlet i mindst 14 dage. I de 4 åbne studier var det tilladt at skifte til oral </w:t>
      </w:r>
      <w:proofErr w:type="spellStart"/>
      <w:r w:rsidRPr="007B4B68">
        <w:rPr>
          <w:sz w:val="24"/>
          <w:szCs w:val="24"/>
        </w:rPr>
        <w:t>azolbehandling</w:t>
      </w:r>
      <w:proofErr w:type="spellEnd"/>
      <w:r w:rsidRPr="007B4B68">
        <w:rPr>
          <w:sz w:val="24"/>
          <w:szCs w:val="24"/>
        </w:rPr>
        <w:t xml:space="preserve"> efter mindst 5-10 dage med </w:t>
      </w:r>
      <w:proofErr w:type="spellStart"/>
      <w:r w:rsidRPr="007B4B68">
        <w:rPr>
          <w:sz w:val="24"/>
          <w:szCs w:val="24"/>
        </w:rPr>
        <w:t>anidulafungin</w:t>
      </w:r>
      <w:proofErr w:type="spellEnd"/>
      <w:r w:rsidRPr="007B4B68">
        <w:rPr>
          <w:sz w:val="24"/>
          <w:szCs w:val="24"/>
        </w:rPr>
        <w:t xml:space="preserve">. I alt 129 patienter blev inkluderet i analysen. 21 patienter (16,3 %) havde samtidig </w:t>
      </w:r>
      <w:proofErr w:type="spellStart"/>
      <w:r w:rsidRPr="007B4B68">
        <w:rPr>
          <w:sz w:val="24"/>
          <w:szCs w:val="24"/>
        </w:rPr>
        <w:t>candidæmi</w:t>
      </w:r>
      <w:proofErr w:type="spellEnd"/>
      <w:r w:rsidRPr="007B4B68">
        <w:rPr>
          <w:sz w:val="24"/>
          <w:szCs w:val="24"/>
        </w:rPr>
        <w:t>. Den gennemsnitlige APACHE II-score var 14,9 (spredning 2-44). De hyppigste infektions</w:t>
      </w:r>
      <w:r w:rsidR="003769C2">
        <w:rPr>
          <w:sz w:val="24"/>
          <w:szCs w:val="24"/>
        </w:rPr>
        <w:softHyphen/>
      </w:r>
      <w:r w:rsidRPr="007B4B68">
        <w:rPr>
          <w:sz w:val="24"/>
          <w:szCs w:val="24"/>
        </w:rPr>
        <w:t xml:space="preserve">steder inkluderede </w:t>
      </w:r>
      <w:proofErr w:type="spellStart"/>
      <w:r w:rsidRPr="007B4B68">
        <w:rPr>
          <w:sz w:val="24"/>
          <w:szCs w:val="24"/>
        </w:rPr>
        <w:t>peritonealhulen</w:t>
      </w:r>
      <w:proofErr w:type="spellEnd"/>
      <w:r w:rsidRPr="007B4B68">
        <w:rPr>
          <w:sz w:val="24"/>
          <w:szCs w:val="24"/>
        </w:rPr>
        <w:t xml:space="preserve"> (54,3 %; 70 ud af 129), lever og galdeveje (7,0 %; 9 ud af 129), </w:t>
      </w:r>
      <w:proofErr w:type="spellStart"/>
      <w:r w:rsidRPr="007B4B68">
        <w:rPr>
          <w:sz w:val="24"/>
          <w:szCs w:val="24"/>
        </w:rPr>
        <w:t>pleurahulen</w:t>
      </w:r>
      <w:proofErr w:type="spellEnd"/>
      <w:r w:rsidRPr="007B4B68">
        <w:rPr>
          <w:sz w:val="24"/>
          <w:szCs w:val="24"/>
        </w:rPr>
        <w:t xml:space="preserve"> (5,4 %; 7 ud af 129) og nyre (3,1 %; 4 ud af 129). De hyppigst isolerede </w:t>
      </w:r>
      <w:proofErr w:type="spellStart"/>
      <w:r w:rsidRPr="007B4B68">
        <w:rPr>
          <w:sz w:val="24"/>
          <w:szCs w:val="24"/>
        </w:rPr>
        <w:t>patogener</w:t>
      </w:r>
      <w:proofErr w:type="spellEnd"/>
      <w:r w:rsidRPr="007B4B68">
        <w:rPr>
          <w:sz w:val="24"/>
          <w:szCs w:val="24"/>
        </w:rPr>
        <w:t xml:space="preserve"> fra dybtliggende vævssteder ved </w:t>
      </w:r>
      <w:r w:rsidRPr="007B4B68">
        <w:rPr>
          <w:i/>
          <w:sz w:val="24"/>
          <w:szCs w:val="24"/>
        </w:rPr>
        <w:t xml:space="preserve">baseline </w:t>
      </w:r>
      <w:r w:rsidRPr="007B4B68">
        <w:rPr>
          <w:sz w:val="24"/>
          <w:szCs w:val="24"/>
        </w:rPr>
        <w:t xml:space="preserve">var </w:t>
      </w:r>
      <w:r w:rsidRPr="007B4B68">
        <w:rPr>
          <w:i/>
          <w:sz w:val="24"/>
          <w:szCs w:val="24"/>
        </w:rPr>
        <w:t xml:space="preserve">C. </w:t>
      </w:r>
      <w:proofErr w:type="spellStart"/>
      <w:r w:rsidRPr="007B4B68">
        <w:rPr>
          <w:i/>
          <w:sz w:val="24"/>
          <w:szCs w:val="24"/>
        </w:rPr>
        <w:t>albicans</w:t>
      </w:r>
      <w:proofErr w:type="spellEnd"/>
      <w:r w:rsidRPr="007B4B68">
        <w:rPr>
          <w:i/>
          <w:sz w:val="24"/>
          <w:szCs w:val="24"/>
        </w:rPr>
        <w:t xml:space="preserve"> </w:t>
      </w:r>
      <w:r w:rsidRPr="007B4B68">
        <w:rPr>
          <w:sz w:val="24"/>
          <w:szCs w:val="24"/>
        </w:rPr>
        <w:t xml:space="preserve">(64,3 %; 83 ud af 129), </w:t>
      </w:r>
      <w:r w:rsidRPr="007B4B68">
        <w:rPr>
          <w:i/>
          <w:sz w:val="24"/>
          <w:szCs w:val="24"/>
        </w:rPr>
        <w:t xml:space="preserve">C. </w:t>
      </w:r>
      <w:proofErr w:type="spellStart"/>
      <w:r w:rsidRPr="007B4B68">
        <w:rPr>
          <w:i/>
          <w:sz w:val="24"/>
          <w:szCs w:val="24"/>
        </w:rPr>
        <w:t>glabrata</w:t>
      </w:r>
      <w:proofErr w:type="spellEnd"/>
      <w:r w:rsidRPr="007B4B68">
        <w:rPr>
          <w:i/>
          <w:sz w:val="24"/>
          <w:szCs w:val="24"/>
        </w:rPr>
        <w:t xml:space="preserve"> </w:t>
      </w:r>
      <w:r w:rsidRPr="007B4B68">
        <w:rPr>
          <w:sz w:val="24"/>
          <w:szCs w:val="24"/>
        </w:rPr>
        <w:t xml:space="preserve">(31,0 %; 40 ud af 129), </w:t>
      </w:r>
      <w:r w:rsidRPr="007B4B68">
        <w:rPr>
          <w:i/>
          <w:sz w:val="24"/>
          <w:szCs w:val="24"/>
        </w:rPr>
        <w:t xml:space="preserve">C. </w:t>
      </w:r>
      <w:proofErr w:type="spellStart"/>
      <w:r w:rsidRPr="007B4B68">
        <w:rPr>
          <w:i/>
          <w:sz w:val="24"/>
          <w:szCs w:val="24"/>
        </w:rPr>
        <w:t>tropicalis</w:t>
      </w:r>
      <w:proofErr w:type="spellEnd"/>
      <w:r w:rsidRPr="007B4B68">
        <w:rPr>
          <w:i/>
          <w:sz w:val="24"/>
          <w:szCs w:val="24"/>
        </w:rPr>
        <w:t xml:space="preserve"> </w:t>
      </w:r>
      <w:r w:rsidRPr="007B4B68">
        <w:rPr>
          <w:sz w:val="24"/>
          <w:szCs w:val="24"/>
        </w:rPr>
        <w:t xml:space="preserve">(11,6 %; 15 ud af 129) og </w:t>
      </w:r>
      <w:r w:rsidRPr="007B4B68">
        <w:rPr>
          <w:i/>
          <w:sz w:val="24"/>
          <w:szCs w:val="24"/>
        </w:rPr>
        <w:t>C.</w:t>
      </w:r>
      <w:r w:rsidR="003769C2">
        <w:rPr>
          <w:i/>
          <w:sz w:val="24"/>
          <w:szCs w:val="24"/>
        </w:rPr>
        <w:t> </w:t>
      </w:r>
      <w:proofErr w:type="spellStart"/>
      <w:r w:rsidRPr="007B4B68">
        <w:rPr>
          <w:i/>
          <w:sz w:val="24"/>
          <w:szCs w:val="24"/>
        </w:rPr>
        <w:t>krusei</w:t>
      </w:r>
      <w:proofErr w:type="spellEnd"/>
      <w:r w:rsidRPr="007B4B68">
        <w:rPr>
          <w:i/>
          <w:sz w:val="24"/>
          <w:szCs w:val="24"/>
        </w:rPr>
        <w:t xml:space="preserve"> </w:t>
      </w:r>
      <w:r w:rsidRPr="007B4B68">
        <w:rPr>
          <w:sz w:val="24"/>
          <w:szCs w:val="24"/>
        </w:rPr>
        <w:t>(5,4 %; 7 ud af 129). Den succesfulde globale responsrate ved afslutning af intravenøs behandling (primære endemål) og ved afslutning af al behandling, samt mortalitet uanset årsag frem til opfølgningsbesøget ved uge 6 fremgår af tabel 5.</w:t>
      </w:r>
    </w:p>
    <w:p w14:paraId="09D7C64C" w14:textId="35DEFD72" w:rsidR="00A20FCD" w:rsidRDefault="00A20FCD" w:rsidP="00B94CD5">
      <w:pPr>
        <w:pStyle w:val="Brdtekst"/>
        <w:ind w:left="851"/>
        <w:rPr>
          <w:sz w:val="24"/>
          <w:szCs w:val="24"/>
        </w:rPr>
      </w:pPr>
    </w:p>
    <w:tbl>
      <w:tblPr>
        <w:tblStyle w:val="Tabel-Gitter"/>
        <w:tblW w:w="5000" w:type="pct"/>
        <w:tblBorders>
          <w:left w:val="none" w:sz="0" w:space="0" w:color="auto"/>
          <w:right w:val="none" w:sz="0" w:space="0" w:color="auto"/>
        </w:tblBorders>
        <w:tblLook w:val="04A0" w:firstRow="1" w:lastRow="0" w:firstColumn="1" w:lastColumn="0" w:noHBand="0" w:noVBand="1"/>
      </w:tblPr>
      <w:tblGrid>
        <w:gridCol w:w="4819"/>
        <w:gridCol w:w="4819"/>
      </w:tblGrid>
      <w:tr w:rsidR="00907B83" w:rsidRPr="00F87DD9" w14:paraId="6D4A3AD0" w14:textId="77777777" w:rsidTr="00674128">
        <w:tc>
          <w:tcPr>
            <w:tcW w:w="5000" w:type="pct"/>
            <w:gridSpan w:val="2"/>
            <w:tcBorders>
              <w:bottom w:val="single" w:sz="4" w:space="0" w:color="auto"/>
            </w:tcBorders>
          </w:tcPr>
          <w:p w14:paraId="1D44A3BD" w14:textId="60FBED66" w:rsidR="00907B83" w:rsidRPr="00F87DD9" w:rsidRDefault="00907B83" w:rsidP="008C0E6C">
            <w:pPr>
              <w:jc w:val="center"/>
              <w:rPr>
                <w:b/>
                <w:sz w:val="22"/>
                <w:szCs w:val="22"/>
              </w:rPr>
            </w:pPr>
            <w:r w:rsidRPr="00F87DD9">
              <w:rPr>
                <w:b/>
                <w:sz w:val="22"/>
                <w:szCs w:val="22"/>
              </w:rPr>
              <w:t xml:space="preserve">Tabel 5. Succesfuld global </w:t>
            </w:r>
            <w:proofErr w:type="spellStart"/>
            <w:r w:rsidRPr="00F87DD9">
              <w:rPr>
                <w:b/>
                <w:sz w:val="22"/>
                <w:szCs w:val="22"/>
              </w:rPr>
              <w:t>responsrate</w:t>
            </w:r>
            <w:r w:rsidRPr="00F87DD9">
              <w:rPr>
                <w:b/>
                <w:sz w:val="22"/>
                <w:szCs w:val="22"/>
                <w:vertAlign w:val="superscript"/>
              </w:rPr>
              <w:t>a</w:t>
            </w:r>
            <w:proofErr w:type="spellEnd"/>
            <w:r w:rsidRPr="00F87DD9">
              <w:rPr>
                <w:b/>
                <w:sz w:val="22"/>
                <w:szCs w:val="22"/>
              </w:rPr>
              <w:t xml:space="preserve"> og mortalitet uanset årsag hos patienter med </w:t>
            </w:r>
            <w:proofErr w:type="spellStart"/>
            <w:r w:rsidRPr="00F87DD9">
              <w:rPr>
                <w:b/>
                <w:sz w:val="22"/>
                <w:szCs w:val="22"/>
              </w:rPr>
              <w:t>candidiasis</w:t>
            </w:r>
            <w:proofErr w:type="spellEnd"/>
            <w:r w:rsidRPr="00F87DD9">
              <w:rPr>
                <w:b/>
                <w:sz w:val="22"/>
                <w:szCs w:val="22"/>
              </w:rPr>
              <w:t xml:space="preserve"> i dybtliggende væv – samlet analyse</w:t>
            </w:r>
          </w:p>
        </w:tc>
      </w:tr>
      <w:tr w:rsidR="00674128" w:rsidRPr="00F87DD9" w14:paraId="38D1EB17" w14:textId="77777777" w:rsidTr="00674128">
        <w:tc>
          <w:tcPr>
            <w:tcW w:w="2500" w:type="pct"/>
            <w:tcBorders>
              <w:bottom w:val="single" w:sz="4" w:space="0" w:color="auto"/>
              <w:right w:val="nil"/>
            </w:tcBorders>
          </w:tcPr>
          <w:p w14:paraId="68316EB2" w14:textId="77777777" w:rsidR="00674128" w:rsidRPr="00F87DD9" w:rsidRDefault="00674128" w:rsidP="008C0E6C">
            <w:pPr>
              <w:pStyle w:val="Brdtekst"/>
              <w:ind w:left="313"/>
            </w:pPr>
          </w:p>
        </w:tc>
        <w:tc>
          <w:tcPr>
            <w:tcW w:w="2500" w:type="pct"/>
            <w:tcBorders>
              <w:left w:val="nil"/>
              <w:bottom w:val="single" w:sz="4" w:space="0" w:color="auto"/>
            </w:tcBorders>
          </w:tcPr>
          <w:p w14:paraId="0DB5EFF5" w14:textId="77777777" w:rsidR="00674128" w:rsidRPr="00F87DD9" w:rsidRDefault="00674128" w:rsidP="00674128">
            <w:pPr>
              <w:pStyle w:val="Brdtekst"/>
              <w:jc w:val="center"/>
              <w:rPr>
                <w:b/>
              </w:rPr>
            </w:pPr>
            <w:r w:rsidRPr="00F87DD9">
              <w:rPr>
                <w:b/>
              </w:rPr>
              <w:t>MITT-population n/N (%)</w:t>
            </w:r>
          </w:p>
          <w:p w14:paraId="4B70935B" w14:textId="17C338B0" w:rsidR="00674128" w:rsidRPr="00F87DD9" w:rsidRDefault="00674128" w:rsidP="00674128">
            <w:pPr>
              <w:pStyle w:val="Brdtekst"/>
            </w:pPr>
            <w:r w:rsidRPr="00F87DD9">
              <w:rPr>
                <w:b/>
              </w:rPr>
              <w:t xml:space="preserve">Succesfuldt globalt respons ved </w:t>
            </w:r>
            <w:proofErr w:type="spellStart"/>
            <w:r w:rsidRPr="00F87DD9">
              <w:rPr>
                <w:b/>
              </w:rPr>
              <w:t>EOIVT</w:t>
            </w:r>
            <w:r w:rsidRPr="00F87DD9">
              <w:rPr>
                <w:b/>
                <w:vertAlign w:val="superscript"/>
              </w:rPr>
              <w:t>b</w:t>
            </w:r>
            <w:proofErr w:type="spellEnd"/>
          </w:p>
        </w:tc>
      </w:tr>
      <w:tr w:rsidR="00DC6CEF" w:rsidRPr="00F87DD9" w14:paraId="700C033E" w14:textId="77777777" w:rsidTr="00674128">
        <w:tc>
          <w:tcPr>
            <w:tcW w:w="2500" w:type="pct"/>
            <w:tcBorders>
              <w:top w:val="single" w:sz="4" w:space="0" w:color="auto"/>
              <w:bottom w:val="nil"/>
              <w:right w:val="nil"/>
            </w:tcBorders>
          </w:tcPr>
          <w:p w14:paraId="5735A2B9" w14:textId="6E9B9884" w:rsidR="00DC6CEF" w:rsidRPr="00F87DD9" w:rsidRDefault="003A0C6B" w:rsidP="008C0E6C">
            <w:pPr>
              <w:pStyle w:val="Brdtekst"/>
              <w:ind w:left="313"/>
            </w:pPr>
            <w:r w:rsidRPr="00F87DD9">
              <w:t>I alt</w:t>
            </w:r>
          </w:p>
        </w:tc>
        <w:tc>
          <w:tcPr>
            <w:tcW w:w="2500" w:type="pct"/>
            <w:tcBorders>
              <w:top w:val="single" w:sz="4" w:space="0" w:color="auto"/>
              <w:left w:val="nil"/>
              <w:bottom w:val="nil"/>
            </w:tcBorders>
          </w:tcPr>
          <w:p w14:paraId="3FB07883" w14:textId="5F24A9FD" w:rsidR="00DC6CEF" w:rsidRPr="00F87DD9" w:rsidRDefault="00F7793E" w:rsidP="00907B83">
            <w:pPr>
              <w:pStyle w:val="Brdtekst"/>
            </w:pPr>
            <w:r w:rsidRPr="00F87DD9">
              <w:t>102/129 (79,1)</w:t>
            </w:r>
          </w:p>
        </w:tc>
      </w:tr>
      <w:tr w:rsidR="00DC6CEF" w:rsidRPr="00F87DD9" w14:paraId="58E3A0B1" w14:textId="77777777" w:rsidTr="00DC5274">
        <w:tc>
          <w:tcPr>
            <w:tcW w:w="2500" w:type="pct"/>
            <w:tcBorders>
              <w:top w:val="nil"/>
              <w:bottom w:val="nil"/>
              <w:right w:val="nil"/>
            </w:tcBorders>
          </w:tcPr>
          <w:p w14:paraId="17E55092" w14:textId="6C6083E5" w:rsidR="00DC6CEF" w:rsidRPr="00F87DD9" w:rsidRDefault="003A0C6B" w:rsidP="008C0E6C">
            <w:pPr>
              <w:pStyle w:val="Brdtekst"/>
              <w:ind w:left="313"/>
            </w:pPr>
            <w:proofErr w:type="spellStart"/>
            <w:r w:rsidRPr="00F87DD9">
              <w:t>Peritonealhule</w:t>
            </w:r>
            <w:proofErr w:type="spellEnd"/>
          </w:p>
        </w:tc>
        <w:tc>
          <w:tcPr>
            <w:tcW w:w="2500" w:type="pct"/>
            <w:tcBorders>
              <w:top w:val="nil"/>
              <w:left w:val="nil"/>
              <w:bottom w:val="nil"/>
            </w:tcBorders>
          </w:tcPr>
          <w:p w14:paraId="5350AC02" w14:textId="0B75B8CF" w:rsidR="00DC6CEF" w:rsidRPr="00F87DD9" w:rsidRDefault="00F7793E" w:rsidP="00907B83">
            <w:pPr>
              <w:pStyle w:val="Brdtekst"/>
            </w:pPr>
            <w:r w:rsidRPr="00F87DD9">
              <w:t>51/70</w:t>
            </w:r>
            <w:r w:rsidRPr="00F87DD9">
              <w:rPr>
                <w:spacing w:val="-1"/>
              </w:rPr>
              <w:t xml:space="preserve"> </w:t>
            </w:r>
            <w:r w:rsidRPr="00F87DD9">
              <w:t>(72,9)</w:t>
            </w:r>
          </w:p>
        </w:tc>
      </w:tr>
      <w:tr w:rsidR="003A0C6B" w:rsidRPr="00F87DD9" w14:paraId="305102DB" w14:textId="77777777" w:rsidTr="00DC5274">
        <w:tc>
          <w:tcPr>
            <w:tcW w:w="2500" w:type="pct"/>
            <w:tcBorders>
              <w:top w:val="nil"/>
              <w:bottom w:val="nil"/>
              <w:right w:val="nil"/>
            </w:tcBorders>
          </w:tcPr>
          <w:p w14:paraId="1B3F6288" w14:textId="63731E2C" w:rsidR="003A0C6B" w:rsidRPr="00F87DD9" w:rsidRDefault="003A0C6B" w:rsidP="008C0E6C">
            <w:pPr>
              <w:pStyle w:val="Brdtekst"/>
              <w:ind w:left="313"/>
            </w:pPr>
            <w:r w:rsidRPr="00F87DD9">
              <w:t>Lever</w:t>
            </w:r>
            <w:r w:rsidRPr="00F87DD9">
              <w:rPr>
                <w:spacing w:val="-3"/>
              </w:rPr>
              <w:t xml:space="preserve"> </w:t>
            </w:r>
            <w:r w:rsidRPr="00F87DD9">
              <w:t>og</w:t>
            </w:r>
            <w:r w:rsidRPr="00F87DD9">
              <w:rPr>
                <w:spacing w:val="-3"/>
              </w:rPr>
              <w:t xml:space="preserve"> </w:t>
            </w:r>
            <w:r w:rsidRPr="00F87DD9">
              <w:t>galdeveje</w:t>
            </w:r>
          </w:p>
        </w:tc>
        <w:tc>
          <w:tcPr>
            <w:tcW w:w="2500" w:type="pct"/>
            <w:tcBorders>
              <w:top w:val="nil"/>
              <w:left w:val="nil"/>
              <w:bottom w:val="nil"/>
            </w:tcBorders>
          </w:tcPr>
          <w:p w14:paraId="69B3C31C" w14:textId="46433978" w:rsidR="003A0C6B" w:rsidRPr="00F87DD9" w:rsidRDefault="00F7793E" w:rsidP="00907B83">
            <w:pPr>
              <w:pStyle w:val="Brdtekst"/>
            </w:pPr>
            <w:r w:rsidRPr="00F87DD9">
              <w:t>7/9</w:t>
            </w:r>
            <w:r w:rsidRPr="00F87DD9">
              <w:rPr>
                <w:spacing w:val="-2"/>
              </w:rPr>
              <w:t xml:space="preserve"> </w:t>
            </w:r>
            <w:r w:rsidRPr="00F87DD9">
              <w:t>(77,8)</w:t>
            </w:r>
          </w:p>
        </w:tc>
      </w:tr>
      <w:tr w:rsidR="003A0C6B" w:rsidRPr="00F87DD9" w14:paraId="53790880" w14:textId="77777777" w:rsidTr="00DC5274">
        <w:tc>
          <w:tcPr>
            <w:tcW w:w="2500" w:type="pct"/>
            <w:tcBorders>
              <w:top w:val="nil"/>
              <w:bottom w:val="nil"/>
              <w:right w:val="nil"/>
            </w:tcBorders>
          </w:tcPr>
          <w:p w14:paraId="7367C3D4" w14:textId="4240E560" w:rsidR="003A0C6B" w:rsidRPr="00F87DD9" w:rsidRDefault="003A0C6B" w:rsidP="008C0E6C">
            <w:pPr>
              <w:pStyle w:val="Brdtekst"/>
              <w:ind w:left="313"/>
            </w:pPr>
            <w:proofErr w:type="spellStart"/>
            <w:r w:rsidRPr="00F87DD9">
              <w:t>Pleurahule</w:t>
            </w:r>
            <w:proofErr w:type="spellEnd"/>
          </w:p>
        </w:tc>
        <w:tc>
          <w:tcPr>
            <w:tcW w:w="2500" w:type="pct"/>
            <w:tcBorders>
              <w:top w:val="nil"/>
              <w:left w:val="nil"/>
              <w:bottom w:val="nil"/>
            </w:tcBorders>
          </w:tcPr>
          <w:p w14:paraId="6ED0988B" w14:textId="208BA074" w:rsidR="003A0C6B" w:rsidRPr="00F87DD9" w:rsidRDefault="00F7793E" w:rsidP="00907B83">
            <w:pPr>
              <w:pStyle w:val="Brdtekst"/>
            </w:pPr>
            <w:r w:rsidRPr="00F87DD9">
              <w:t>6/7</w:t>
            </w:r>
            <w:r w:rsidRPr="00F87DD9">
              <w:rPr>
                <w:spacing w:val="-3"/>
              </w:rPr>
              <w:t xml:space="preserve"> </w:t>
            </w:r>
            <w:r w:rsidRPr="00F87DD9">
              <w:t>(85,7)</w:t>
            </w:r>
          </w:p>
        </w:tc>
      </w:tr>
      <w:tr w:rsidR="003A0C6B" w:rsidRPr="00F87DD9" w14:paraId="7CFCFB40" w14:textId="77777777" w:rsidTr="00DC5274">
        <w:tc>
          <w:tcPr>
            <w:tcW w:w="2500" w:type="pct"/>
            <w:tcBorders>
              <w:top w:val="nil"/>
              <w:bottom w:val="nil"/>
              <w:right w:val="nil"/>
            </w:tcBorders>
          </w:tcPr>
          <w:p w14:paraId="21F0618D" w14:textId="498DA743" w:rsidR="003A0C6B" w:rsidRPr="00F87DD9" w:rsidRDefault="003A0C6B" w:rsidP="008C0E6C">
            <w:pPr>
              <w:pStyle w:val="Brdtekst"/>
              <w:ind w:left="313"/>
            </w:pPr>
            <w:r w:rsidRPr="00F87DD9">
              <w:t>Nyre</w:t>
            </w:r>
          </w:p>
        </w:tc>
        <w:tc>
          <w:tcPr>
            <w:tcW w:w="2500" w:type="pct"/>
            <w:tcBorders>
              <w:top w:val="nil"/>
              <w:left w:val="nil"/>
              <w:bottom w:val="nil"/>
            </w:tcBorders>
          </w:tcPr>
          <w:p w14:paraId="1DDB313F" w14:textId="17291B82" w:rsidR="003A0C6B" w:rsidRPr="00F87DD9" w:rsidRDefault="00F7793E" w:rsidP="00907B83">
            <w:pPr>
              <w:pStyle w:val="Brdtekst"/>
            </w:pPr>
            <w:r w:rsidRPr="00F87DD9">
              <w:t>3/4</w:t>
            </w:r>
            <w:r w:rsidRPr="00F87DD9">
              <w:rPr>
                <w:spacing w:val="-3"/>
              </w:rPr>
              <w:t xml:space="preserve"> </w:t>
            </w:r>
            <w:r w:rsidRPr="00F87DD9">
              <w:t>(75,0)</w:t>
            </w:r>
          </w:p>
        </w:tc>
      </w:tr>
      <w:tr w:rsidR="00F7793E" w:rsidRPr="00F87DD9" w14:paraId="0D564B9A" w14:textId="77777777" w:rsidTr="00DC5274">
        <w:tc>
          <w:tcPr>
            <w:tcW w:w="2500" w:type="pct"/>
            <w:tcBorders>
              <w:top w:val="nil"/>
              <w:bottom w:val="nil"/>
              <w:right w:val="nil"/>
            </w:tcBorders>
          </w:tcPr>
          <w:p w14:paraId="1A19A7E7" w14:textId="429F0C91" w:rsidR="00F7793E" w:rsidRPr="00F87DD9" w:rsidRDefault="00F7793E" w:rsidP="00907B83">
            <w:pPr>
              <w:pStyle w:val="Brdtekst"/>
            </w:pPr>
            <w:r w:rsidRPr="00F87DD9">
              <w:rPr>
                <w:b/>
              </w:rPr>
              <w:t>Succesfuldt globalt respons</w:t>
            </w:r>
            <w:r w:rsidRPr="00F87DD9">
              <w:rPr>
                <w:b/>
                <w:spacing w:val="-10"/>
              </w:rPr>
              <w:t xml:space="preserve"> </w:t>
            </w:r>
            <w:r w:rsidRPr="00F87DD9">
              <w:rPr>
                <w:b/>
              </w:rPr>
              <w:t>ved</w:t>
            </w:r>
            <w:r w:rsidRPr="00F87DD9">
              <w:rPr>
                <w:b/>
                <w:spacing w:val="-3"/>
              </w:rPr>
              <w:t xml:space="preserve"> </w:t>
            </w:r>
            <w:proofErr w:type="spellStart"/>
            <w:r w:rsidRPr="00F87DD9">
              <w:rPr>
                <w:b/>
              </w:rPr>
              <w:t>EOT</w:t>
            </w:r>
            <w:r w:rsidRPr="00F87DD9">
              <w:rPr>
                <w:b/>
                <w:vertAlign w:val="superscript"/>
              </w:rPr>
              <w:t>b</w:t>
            </w:r>
            <w:proofErr w:type="spellEnd"/>
          </w:p>
        </w:tc>
        <w:tc>
          <w:tcPr>
            <w:tcW w:w="2500" w:type="pct"/>
            <w:tcBorders>
              <w:top w:val="nil"/>
              <w:left w:val="nil"/>
              <w:bottom w:val="nil"/>
            </w:tcBorders>
          </w:tcPr>
          <w:p w14:paraId="654B1AF6" w14:textId="6161D9D9" w:rsidR="00F7793E" w:rsidRPr="00F87DD9" w:rsidRDefault="00F7793E" w:rsidP="00907B83">
            <w:pPr>
              <w:pStyle w:val="Brdtekst"/>
            </w:pPr>
            <w:r w:rsidRPr="00F87DD9">
              <w:t>94/129</w:t>
            </w:r>
            <w:r w:rsidRPr="00F87DD9">
              <w:rPr>
                <w:spacing w:val="-9"/>
              </w:rPr>
              <w:t xml:space="preserve"> </w:t>
            </w:r>
            <w:r w:rsidRPr="00F87DD9">
              <w:t>(72,9)</w:t>
            </w:r>
          </w:p>
        </w:tc>
      </w:tr>
      <w:tr w:rsidR="00F7793E" w:rsidRPr="00F87DD9" w14:paraId="70FC6BF5" w14:textId="77777777" w:rsidTr="00DC5274">
        <w:tc>
          <w:tcPr>
            <w:tcW w:w="2500" w:type="pct"/>
            <w:tcBorders>
              <w:top w:val="nil"/>
              <w:right w:val="nil"/>
            </w:tcBorders>
          </w:tcPr>
          <w:p w14:paraId="4D75A551" w14:textId="1EC689C5" w:rsidR="00F7793E" w:rsidRPr="00F87DD9" w:rsidRDefault="00F7793E" w:rsidP="00907B83">
            <w:pPr>
              <w:pStyle w:val="Brdtekst"/>
              <w:rPr>
                <w:b/>
              </w:rPr>
            </w:pPr>
            <w:r w:rsidRPr="00F87DD9">
              <w:rPr>
                <w:b/>
              </w:rPr>
              <w:t>Mortalitet</w:t>
            </w:r>
            <w:r w:rsidRPr="00F87DD9">
              <w:rPr>
                <w:b/>
                <w:spacing w:val="-4"/>
              </w:rPr>
              <w:t xml:space="preserve"> </w:t>
            </w:r>
            <w:r w:rsidRPr="00F87DD9">
              <w:rPr>
                <w:b/>
              </w:rPr>
              <w:t>uanset</w:t>
            </w:r>
            <w:r w:rsidRPr="00F87DD9">
              <w:rPr>
                <w:b/>
                <w:spacing w:val="-3"/>
              </w:rPr>
              <w:t xml:space="preserve"> </w:t>
            </w:r>
            <w:r w:rsidRPr="00F87DD9">
              <w:rPr>
                <w:b/>
              </w:rPr>
              <w:t>årsag</w:t>
            </w:r>
          </w:p>
        </w:tc>
        <w:tc>
          <w:tcPr>
            <w:tcW w:w="2500" w:type="pct"/>
            <w:tcBorders>
              <w:top w:val="nil"/>
              <w:left w:val="nil"/>
            </w:tcBorders>
          </w:tcPr>
          <w:p w14:paraId="3553F575" w14:textId="65900C7B" w:rsidR="00F7793E" w:rsidRPr="00F87DD9" w:rsidRDefault="00F7793E" w:rsidP="00907B83">
            <w:pPr>
              <w:pStyle w:val="Brdtekst"/>
            </w:pPr>
            <w:r w:rsidRPr="00F87DD9">
              <w:t>40/129</w:t>
            </w:r>
            <w:r w:rsidRPr="00F87DD9">
              <w:rPr>
                <w:spacing w:val="-10"/>
              </w:rPr>
              <w:t xml:space="preserve"> </w:t>
            </w:r>
            <w:r w:rsidRPr="00F87DD9">
              <w:t>(31,0)</w:t>
            </w:r>
          </w:p>
        </w:tc>
      </w:tr>
      <w:tr w:rsidR="00907B83" w:rsidRPr="00F87DD9" w14:paraId="79EB9E3D" w14:textId="77777777" w:rsidTr="00907B83">
        <w:tc>
          <w:tcPr>
            <w:tcW w:w="5000" w:type="pct"/>
            <w:gridSpan w:val="2"/>
          </w:tcPr>
          <w:p w14:paraId="21D239AF" w14:textId="747E49A7" w:rsidR="00907B83" w:rsidRPr="00F87DD9" w:rsidRDefault="00907B83" w:rsidP="00907B83">
            <w:pPr>
              <w:rPr>
                <w:sz w:val="20"/>
              </w:rPr>
            </w:pPr>
            <w:r w:rsidRPr="00F87DD9">
              <w:rPr>
                <w:sz w:val="20"/>
                <w:vertAlign w:val="superscript"/>
              </w:rPr>
              <w:t>a</w:t>
            </w:r>
            <w:r w:rsidR="003E0CCE">
              <w:rPr>
                <w:sz w:val="20"/>
                <w:vertAlign w:val="superscript"/>
              </w:rPr>
              <w:t xml:space="preserve"> </w:t>
            </w:r>
            <w:r w:rsidRPr="00F87DD9">
              <w:rPr>
                <w:sz w:val="20"/>
              </w:rPr>
              <w:t>Et succesfuldt globalt respons blev defineret som både klinisk og mikrobiologisk succes.</w:t>
            </w:r>
          </w:p>
          <w:p w14:paraId="0EFF79AD" w14:textId="2BDC716C" w:rsidR="00907B83" w:rsidRPr="00F87DD9" w:rsidRDefault="00907B83" w:rsidP="00907B83">
            <w:pPr>
              <w:pStyle w:val="Brdtekst"/>
              <w:rPr>
                <w:sz w:val="20"/>
                <w:szCs w:val="20"/>
              </w:rPr>
            </w:pPr>
            <w:r w:rsidRPr="00F87DD9">
              <w:rPr>
                <w:sz w:val="20"/>
                <w:szCs w:val="20"/>
                <w:vertAlign w:val="superscript"/>
              </w:rPr>
              <w:t>b</w:t>
            </w:r>
            <w:r w:rsidR="003E0CCE">
              <w:rPr>
                <w:sz w:val="20"/>
                <w:szCs w:val="20"/>
                <w:vertAlign w:val="superscript"/>
              </w:rPr>
              <w:t xml:space="preserve"> </w:t>
            </w:r>
            <w:r w:rsidRPr="00F87DD9">
              <w:rPr>
                <w:sz w:val="20"/>
                <w:szCs w:val="20"/>
              </w:rPr>
              <w:t>EOIVT (</w:t>
            </w:r>
            <w:r w:rsidRPr="00F87DD9">
              <w:rPr>
                <w:i/>
                <w:sz w:val="20"/>
                <w:szCs w:val="20"/>
              </w:rPr>
              <w:t xml:space="preserve">End of </w:t>
            </w:r>
            <w:proofErr w:type="spellStart"/>
            <w:r w:rsidRPr="00F87DD9">
              <w:rPr>
                <w:i/>
                <w:sz w:val="20"/>
                <w:szCs w:val="20"/>
              </w:rPr>
              <w:t>Intravenous</w:t>
            </w:r>
            <w:proofErr w:type="spellEnd"/>
            <w:r w:rsidRPr="00F87DD9">
              <w:rPr>
                <w:i/>
                <w:sz w:val="20"/>
                <w:szCs w:val="20"/>
              </w:rPr>
              <w:t xml:space="preserve"> </w:t>
            </w:r>
            <w:proofErr w:type="spellStart"/>
            <w:r w:rsidRPr="00F87DD9">
              <w:rPr>
                <w:i/>
                <w:sz w:val="20"/>
                <w:szCs w:val="20"/>
              </w:rPr>
              <w:t>Treatment</w:t>
            </w:r>
            <w:proofErr w:type="spellEnd"/>
            <w:r w:rsidRPr="00F87DD9">
              <w:rPr>
                <w:sz w:val="20"/>
                <w:szCs w:val="20"/>
              </w:rPr>
              <w:t>), afslutning af intravenøs behandling; EOT (</w:t>
            </w:r>
            <w:r w:rsidRPr="00F87DD9">
              <w:rPr>
                <w:i/>
                <w:sz w:val="20"/>
                <w:szCs w:val="20"/>
              </w:rPr>
              <w:t xml:space="preserve">End of All </w:t>
            </w:r>
            <w:proofErr w:type="spellStart"/>
            <w:r w:rsidRPr="00F87DD9">
              <w:rPr>
                <w:i/>
                <w:sz w:val="20"/>
                <w:szCs w:val="20"/>
              </w:rPr>
              <w:t>Treatment</w:t>
            </w:r>
            <w:proofErr w:type="spellEnd"/>
            <w:r w:rsidRPr="00F87DD9">
              <w:rPr>
                <w:sz w:val="20"/>
                <w:szCs w:val="20"/>
              </w:rPr>
              <w:t>), afslutning af al behandling.</w:t>
            </w:r>
          </w:p>
        </w:tc>
      </w:tr>
    </w:tbl>
    <w:p w14:paraId="46ADBBDB" w14:textId="25B9273C" w:rsidR="00F87DD9" w:rsidRDefault="00F87DD9" w:rsidP="00B94CD5">
      <w:pPr>
        <w:pStyle w:val="Brdtekst"/>
        <w:ind w:left="851"/>
        <w:rPr>
          <w:sz w:val="24"/>
          <w:szCs w:val="24"/>
        </w:rPr>
      </w:pPr>
    </w:p>
    <w:p w14:paraId="68F93E75" w14:textId="77777777" w:rsidR="00DE2F8A" w:rsidRDefault="00DE2F8A" w:rsidP="00DE2F8A">
      <w:pPr>
        <w:ind w:firstLine="851"/>
        <w:rPr>
          <w:sz w:val="24"/>
          <w:szCs w:val="24"/>
          <w:u w:val="single"/>
        </w:rPr>
      </w:pPr>
    </w:p>
    <w:p w14:paraId="2A2F923C" w14:textId="77777777" w:rsidR="00DE2F8A" w:rsidRDefault="00DE2F8A" w:rsidP="00DE2F8A">
      <w:pPr>
        <w:ind w:firstLine="851"/>
        <w:rPr>
          <w:sz w:val="24"/>
          <w:szCs w:val="24"/>
          <w:u w:val="single"/>
        </w:rPr>
      </w:pPr>
    </w:p>
    <w:p w14:paraId="59843A05" w14:textId="77777777" w:rsidR="00DE2F8A" w:rsidRDefault="00DE2F8A" w:rsidP="00DE2F8A">
      <w:pPr>
        <w:ind w:firstLine="851"/>
        <w:rPr>
          <w:sz w:val="24"/>
          <w:szCs w:val="24"/>
          <w:u w:val="single"/>
        </w:rPr>
      </w:pPr>
    </w:p>
    <w:p w14:paraId="218CDC69" w14:textId="77777777" w:rsidR="00DE2F8A" w:rsidRDefault="00DE2F8A" w:rsidP="00DE2F8A">
      <w:pPr>
        <w:ind w:firstLine="851"/>
        <w:rPr>
          <w:sz w:val="24"/>
          <w:szCs w:val="24"/>
          <w:u w:val="single"/>
        </w:rPr>
      </w:pPr>
    </w:p>
    <w:p w14:paraId="2C38F7E9" w14:textId="77777777" w:rsidR="00DE2F8A" w:rsidRDefault="00DE2F8A" w:rsidP="00DE2F8A">
      <w:pPr>
        <w:ind w:firstLine="851"/>
        <w:rPr>
          <w:sz w:val="24"/>
          <w:szCs w:val="24"/>
          <w:u w:val="single"/>
        </w:rPr>
      </w:pPr>
    </w:p>
    <w:p w14:paraId="5D442E24" w14:textId="33F07EB0" w:rsidR="00DE2F8A" w:rsidRDefault="00DE2F8A" w:rsidP="00DE2F8A">
      <w:pPr>
        <w:ind w:firstLine="851"/>
        <w:rPr>
          <w:sz w:val="24"/>
          <w:szCs w:val="24"/>
          <w:u w:val="single"/>
        </w:rPr>
      </w:pPr>
      <w:r w:rsidRPr="00A65E5F">
        <w:rPr>
          <w:sz w:val="24"/>
          <w:szCs w:val="24"/>
          <w:u w:val="single"/>
        </w:rPr>
        <w:t xml:space="preserve">Pædiatrisk population </w:t>
      </w:r>
    </w:p>
    <w:p w14:paraId="1BAB1630" w14:textId="77777777" w:rsidR="00DE2F8A" w:rsidRPr="00A65E5F" w:rsidRDefault="00DE2F8A" w:rsidP="00DE2F8A">
      <w:pPr>
        <w:ind w:firstLine="851"/>
        <w:rPr>
          <w:sz w:val="24"/>
          <w:szCs w:val="24"/>
          <w:u w:val="single"/>
        </w:rPr>
      </w:pPr>
    </w:p>
    <w:p w14:paraId="0D7EF3A0" w14:textId="77777777" w:rsidR="00DE2F8A" w:rsidRPr="00A65E5F" w:rsidRDefault="00DE2F8A" w:rsidP="00DE2F8A">
      <w:pPr>
        <w:ind w:left="851"/>
        <w:rPr>
          <w:sz w:val="24"/>
          <w:szCs w:val="24"/>
        </w:rPr>
      </w:pPr>
      <w:r w:rsidRPr="00A65E5F">
        <w:rPr>
          <w:sz w:val="24"/>
          <w:szCs w:val="24"/>
        </w:rPr>
        <w:t xml:space="preserve">Et </w:t>
      </w:r>
      <w:proofErr w:type="spellStart"/>
      <w:r w:rsidRPr="00A65E5F">
        <w:rPr>
          <w:sz w:val="24"/>
          <w:szCs w:val="24"/>
        </w:rPr>
        <w:t>prospektivt</w:t>
      </w:r>
      <w:proofErr w:type="spellEnd"/>
      <w:r w:rsidRPr="00A65E5F">
        <w:rPr>
          <w:sz w:val="24"/>
          <w:szCs w:val="24"/>
        </w:rPr>
        <w:t xml:space="preserve">, åbent, ikke-komparativt, multinationalt studie vurderede sikkerheden og virkningen af </w:t>
      </w:r>
      <w:proofErr w:type="spellStart"/>
      <w:r w:rsidRPr="00A65E5F">
        <w:rPr>
          <w:sz w:val="24"/>
          <w:szCs w:val="24"/>
        </w:rPr>
        <w:t>anidulafungin</w:t>
      </w:r>
      <w:proofErr w:type="spellEnd"/>
      <w:r w:rsidRPr="00A65E5F">
        <w:rPr>
          <w:sz w:val="24"/>
          <w:szCs w:val="24"/>
        </w:rPr>
        <w:t xml:space="preserve"> hos 68 pædiatriske patienter i alderen 1måned til &lt;18år med invasiv </w:t>
      </w:r>
      <w:proofErr w:type="spellStart"/>
      <w:r w:rsidRPr="00A65E5F">
        <w:rPr>
          <w:sz w:val="24"/>
          <w:szCs w:val="24"/>
        </w:rPr>
        <w:t>candidiasis</w:t>
      </w:r>
      <w:proofErr w:type="spellEnd"/>
      <w:r w:rsidRPr="00A65E5F">
        <w:rPr>
          <w:sz w:val="24"/>
          <w:szCs w:val="24"/>
        </w:rPr>
        <w:t xml:space="preserve">, herunder </w:t>
      </w:r>
      <w:proofErr w:type="spellStart"/>
      <w:r w:rsidRPr="00A65E5F">
        <w:rPr>
          <w:sz w:val="24"/>
          <w:szCs w:val="24"/>
        </w:rPr>
        <w:t>candidæmi</w:t>
      </w:r>
      <w:proofErr w:type="spellEnd"/>
      <w:r w:rsidRPr="00A65E5F">
        <w:rPr>
          <w:sz w:val="24"/>
          <w:szCs w:val="24"/>
        </w:rPr>
        <w:t xml:space="preserve"> (ICC). Patienterne blev stratificeret efter alder (1måned til &lt;2år, 2til &lt;5år og 5 til &lt;18år) og fik intravenøs </w:t>
      </w:r>
      <w:proofErr w:type="spellStart"/>
      <w:r w:rsidRPr="00A65E5F">
        <w:rPr>
          <w:sz w:val="24"/>
          <w:szCs w:val="24"/>
        </w:rPr>
        <w:t>anidulafungin</w:t>
      </w:r>
      <w:proofErr w:type="spellEnd"/>
      <w:r w:rsidRPr="00A65E5F">
        <w:rPr>
          <w:sz w:val="24"/>
          <w:szCs w:val="24"/>
        </w:rPr>
        <w:t xml:space="preserve"> én gang dagligt (</w:t>
      </w:r>
      <w:proofErr w:type="spellStart"/>
      <w:r w:rsidRPr="00A65E5F">
        <w:rPr>
          <w:sz w:val="24"/>
          <w:szCs w:val="24"/>
        </w:rPr>
        <w:t>støddosispå</w:t>
      </w:r>
      <w:proofErr w:type="spellEnd"/>
      <w:r w:rsidRPr="00A65E5F">
        <w:rPr>
          <w:sz w:val="24"/>
          <w:szCs w:val="24"/>
        </w:rPr>
        <w:t xml:space="preserve"> 3,0mg/kg på dag1 derefter vedligeholdelsesdosis på 1,5mg/kg dagligt) i op til 35 dage, efterfulgt af et valgfrit skift til oral </w:t>
      </w:r>
      <w:proofErr w:type="spellStart"/>
      <w:r w:rsidRPr="00A65E5F">
        <w:rPr>
          <w:sz w:val="24"/>
          <w:szCs w:val="24"/>
        </w:rPr>
        <w:t>fluconazol</w:t>
      </w:r>
      <w:proofErr w:type="spellEnd"/>
      <w:r w:rsidRPr="00A65E5F">
        <w:rPr>
          <w:sz w:val="24"/>
          <w:szCs w:val="24"/>
        </w:rPr>
        <w:t xml:space="preserve"> (6-12mg/kg/dag, maks. 800mg/dag). </w:t>
      </w:r>
      <w:proofErr w:type="spellStart"/>
      <w:r w:rsidRPr="00A65E5F">
        <w:rPr>
          <w:sz w:val="24"/>
          <w:szCs w:val="24"/>
        </w:rPr>
        <w:t>Patienterneblev</w:t>
      </w:r>
      <w:proofErr w:type="spellEnd"/>
      <w:r w:rsidRPr="00A65E5F">
        <w:rPr>
          <w:sz w:val="24"/>
          <w:szCs w:val="24"/>
        </w:rPr>
        <w:t xml:space="preserve"> fulgt ved uge2 og 6 efter EOT. </w:t>
      </w:r>
    </w:p>
    <w:p w14:paraId="5A54FFD7" w14:textId="77777777" w:rsidR="00DE2F8A" w:rsidRPr="00A65E5F" w:rsidRDefault="00DE2F8A" w:rsidP="00DE2F8A">
      <w:pPr>
        <w:rPr>
          <w:sz w:val="24"/>
          <w:szCs w:val="24"/>
        </w:rPr>
      </w:pPr>
    </w:p>
    <w:p w14:paraId="09E7B639" w14:textId="77777777" w:rsidR="00DE2F8A" w:rsidRPr="00A65E5F" w:rsidRDefault="00DE2F8A" w:rsidP="00DE2F8A">
      <w:pPr>
        <w:ind w:left="851"/>
        <w:rPr>
          <w:sz w:val="24"/>
          <w:szCs w:val="24"/>
        </w:rPr>
      </w:pPr>
      <w:r w:rsidRPr="00A65E5F">
        <w:rPr>
          <w:sz w:val="24"/>
          <w:szCs w:val="24"/>
        </w:rPr>
        <w:t xml:space="preserve">Blandt 68 patienter, der fik </w:t>
      </w:r>
      <w:proofErr w:type="spellStart"/>
      <w:r w:rsidRPr="00A65E5F">
        <w:rPr>
          <w:sz w:val="24"/>
          <w:szCs w:val="24"/>
        </w:rPr>
        <w:t>anidulafugin</w:t>
      </w:r>
      <w:proofErr w:type="spellEnd"/>
      <w:r w:rsidRPr="00A65E5F">
        <w:rPr>
          <w:sz w:val="24"/>
          <w:szCs w:val="24"/>
        </w:rPr>
        <w:t xml:space="preserve">, havde 64 mikrobiologisk bekræftet </w:t>
      </w:r>
      <w:proofErr w:type="spellStart"/>
      <w:r w:rsidRPr="00A65E5F">
        <w:rPr>
          <w:i/>
          <w:iCs/>
          <w:sz w:val="24"/>
          <w:szCs w:val="24"/>
        </w:rPr>
        <w:t>Candida</w:t>
      </w:r>
      <w:proofErr w:type="spellEnd"/>
      <w:r w:rsidRPr="00A65E5F">
        <w:rPr>
          <w:sz w:val="24"/>
          <w:szCs w:val="24"/>
        </w:rPr>
        <w:t>-infektion og blev vurderet for virkning i den modificerede intent-to-</w:t>
      </w:r>
      <w:proofErr w:type="spellStart"/>
      <w:r w:rsidRPr="00A65E5F">
        <w:rPr>
          <w:sz w:val="24"/>
          <w:szCs w:val="24"/>
        </w:rPr>
        <w:t>treat</w:t>
      </w:r>
      <w:proofErr w:type="spellEnd"/>
      <w:r w:rsidRPr="00A65E5F">
        <w:rPr>
          <w:sz w:val="24"/>
          <w:szCs w:val="24"/>
        </w:rPr>
        <w:t xml:space="preserve"> (MITT)-population. Samlet havde 61 patienter (92,2%) </w:t>
      </w:r>
      <w:proofErr w:type="spellStart"/>
      <w:r w:rsidRPr="00A65E5F">
        <w:rPr>
          <w:i/>
          <w:iCs/>
          <w:sz w:val="24"/>
          <w:szCs w:val="24"/>
        </w:rPr>
        <w:t>Candida</w:t>
      </w:r>
      <w:proofErr w:type="spellEnd"/>
      <w:r w:rsidRPr="00A65E5F">
        <w:rPr>
          <w:sz w:val="24"/>
          <w:szCs w:val="24"/>
        </w:rPr>
        <w:t xml:space="preserve"> kun isolereret fra blod. De mest almindelige isolerede </w:t>
      </w:r>
      <w:proofErr w:type="spellStart"/>
      <w:r w:rsidRPr="00A65E5F">
        <w:rPr>
          <w:sz w:val="24"/>
          <w:szCs w:val="24"/>
        </w:rPr>
        <w:t>patogener</w:t>
      </w:r>
      <w:proofErr w:type="spellEnd"/>
      <w:r w:rsidRPr="00A65E5F">
        <w:rPr>
          <w:sz w:val="24"/>
          <w:szCs w:val="24"/>
        </w:rPr>
        <w:t xml:space="preserve"> var </w:t>
      </w:r>
      <w:proofErr w:type="spellStart"/>
      <w:r w:rsidRPr="00A65E5F">
        <w:rPr>
          <w:i/>
          <w:iCs/>
          <w:sz w:val="24"/>
          <w:szCs w:val="24"/>
        </w:rPr>
        <w:t>Candida</w:t>
      </w:r>
      <w:proofErr w:type="spellEnd"/>
      <w:r w:rsidRPr="00A65E5F">
        <w:rPr>
          <w:i/>
          <w:iCs/>
          <w:sz w:val="24"/>
          <w:szCs w:val="24"/>
        </w:rPr>
        <w:t xml:space="preserve"> </w:t>
      </w:r>
      <w:proofErr w:type="spellStart"/>
      <w:r w:rsidRPr="00A65E5F">
        <w:rPr>
          <w:i/>
          <w:iCs/>
          <w:sz w:val="24"/>
          <w:szCs w:val="24"/>
        </w:rPr>
        <w:t>albicans</w:t>
      </w:r>
      <w:proofErr w:type="spellEnd"/>
      <w:r w:rsidRPr="00A65E5F">
        <w:rPr>
          <w:sz w:val="24"/>
          <w:szCs w:val="24"/>
        </w:rPr>
        <w:t xml:space="preserve"> (25 [39,1%] patienter, efterfulgt af </w:t>
      </w:r>
      <w:proofErr w:type="spellStart"/>
      <w:r w:rsidRPr="00A65E5F">
        <w:rPr>
          <w:i/>
          <w:iCs/>
          <w:sz w:val="24"/>
          <w:szCs w:val="24"/>
        </w:rPr>
        <w:t>Candida</w:t>
      </w:r>
      <w:proofErr w:type="spellEnd"/>
      <w:r w:rsidRPr="00A65E5F">
        <w:rPr>
          <w:i/>
          <w:iCs/>
          <w:sz w:val="24"/>
          <w:szCs w:val="24"/>
        </w:rPr>
        <w:t xml:space="preserve"> </w:t>
      </w:r>
      <w:proofErr w:type="spellStart"/>
      <w:r w:rsidRPr="00A65E5F">
        <w:rPr>
          <w:i/>
          <w:iCs/>
          <w:sz w:val="24"/>
          <w:szCs w:val="24"/>
        </w:rPr>
        <w:t>parapsilosis</w:t>
      </w:r>
      <w:proofErr w:type="spellEnd"/>
      <w:r w:rsidRPr="00A65E5F">
        <w:rPr>
          <w:sz w:val="24"/>
          <w:szCs w:val="24"/>
        </w:rPr>
        <w:t xml:space="preserve"> (17 [26,6%] patienter) og </w:t>
      </w:r>
      <w:proofErr w:type="spellStart"/>
      <w:r w:rsidRPr="00A65E5F">
        <w:rPr>
          <w:i/>
          <w:iCs/>
          <w:sz w:val="24"/>
          <w:szCs w:val="24"/>
        </w:rPr>
        <w:t>Candida</w:t>
      </w:r>
      <w:proofErr w:type="spellEnd"/>
      <w:r w:rsidRPr="00A65E5F">
        <w:rPr>
          <w:i/>
          <w:iCs/>
          <w:sz w:val="24"/>
          <w:szCs w:val="24"/>
        </w:rPr>
        <w:t xml:space="preserve"> </w:t>
      </w:r>
      <w:proofErr w:type="spellStart"/>
      <w:r w:rsidRPr="00A65E5F">
        <w:rPr>
          <w:i/>
          <w:iCs/>
          <w:sz w:val="24"/>
          <w:szCs w:val="24"/>
        </w:rPr>
        <w:t>tropicalis</w:t>
      </w:r>
      <w:proofErr w:type="spellEnd"/>
      <w:r w:rsidRPr="00A65E5F">
        <w:rPr>
          <w:sz w:val="24"/>
          <w:szCs w:val="24"/>
        </w:rPr>
        <w:t xml:space="preserve"> (9 [14,1%] patienter). Et succesfuldt globalt respons blev defineret som havende både succesfuldt klinisk respons (helbredelse eller forbedring) og mikrobiologisk succesfuldt respons (</w:t>
      </w:r>
      <w:proofErr w:type="spellStart"/>
      <w:r w:rsidRPr="00A65E5F">
        <w:rPr>
          <w:sz w:val="24"/>
          <w:szCs w:val="24"/>
        </w:rPr>
        <w:t>eradikation</w:t>
      </w:r>
      <w:proofErr w:type="spellEnd"/>
      <w:r w:rsidRPr="00A65E5F">
        <w:rPr>
          <w:sz w:val="24"/>
          <w:szCs w:val="24"/>
        </w:rPr>
        <w:t xml:space="preserve"> eller formodet </w:t>
      </w:r>
      <w:proofErr w:type="spellStart"/>
      <w:r w:rsidRPr="00A65E5F">
        <w:rPr>
          <w:sz w:val="24"/>
          <w:szCs w:val="24"/>
        </w:rPr>
        <w:t>eradikation</w:t>
      </w:r>
      <w:proofErr w:type="spellEnd"/>
      <w:r w:rsidRPr="00A65E5F">
        <w:rPr>
          <w:sz w:val="24"/>
          <w:szCs w:val="24"/>
        </w:rPr>
        <w:t xml:space="preserve">). De samlede succesfulde globale responsrater i </w:t>
      </w:r>
      <w:proofErr w:type="spellStart"/>
      <w:r w:rsidRPr="00A65E5F">
        <w:rPr>
          <w:sz w:val="24"/>
          <w:szCs w:val="24"/>
        </w:rPr>
        <w:t>MITTpopulationen</w:t>
      </w:r>
      <w:proofErr w:type="spellEnd"/>
      <w:r w:rsidRPr="00A65E5F">
        <w:rPr>
          <w:sz w:val="24"/>
          <w:szCs w:val="24"/>
        </w:rPr>
        <w:t xml:space="preserve"> vises i tabel 6.</w:t>
      </w:r>
    </w:p>
    <w:p w14:paraId="19465764" w14:textId="77777777" w:rsidR="00DE2F8A" w:rsidRDefault="00DE2F8A" w:rsidP="00DE2F8A">
      <w:pPr>
        <w:pStyle w:val="Brdtekst"/>
        <w:ind w:left="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535"/>
        <w:gridCol w:w="1535"/>
        <w:gridCol w:w="1535"/>
        <w:gridCol w:w="1536"/>
      </w:tblGrid>
      <w:tr w:rsidR="00DE2F8A" w:rsidRPr="001E1FBB" w14:paraId="409827C6" w14:textId="77777777" w:rsidTr="00A65E5F">
        <w:tc>
          <w:tcPr>
            <w:tcW w:w="9211" w:type="dxa"/>
            <w:gridSpan w:val="6"/>
            <w:shd w:val="clear" w:color="auto" w:fill="auto"/>
          </w:tcPr>
          <w:p w14:paraId="3A935106" w14:textId="77777777" w:rsidR="00DE2F8A" w:rsidRPr="001E1FBB" w:rsidRDefault="00DE2F8A" w:rsidP="00A65E5F">
            <w:pPr>
              <w:tabs>
                <w:tab w:val="left" w:pos="2450"/>
              </w:tabs>
              <w:suppressAutoHyphens/>
              <w:rPr>
                <w:b/>
              </w:rPr>
            </w:pPr>
            <w:r>
              <w:rPr>
                <w:b/>
              </w:rPr>
              <w:t xml:space="preserve">Skema </w:t>
            </w:r>
            <w:r w:rsidRPr="001E7529">
              <w:rPr>
                <w:b/>
              </w:rPr>
              <w:t>6. Oversigt over succesfuldt globalt respons</w:t>
            </w:r>
            <w:r>
              <w:rPr>
                <w:b/>
              </w:rPr>
              <w:t xml:space="preserve"> </w:t>
            </w:r>
            <w:r w:rsidRPr="001E7529">
              <w:rPr>
                <w:b/>
              </w:rPr>
              <w:t>efter aldersgruppe, MITT-population</w:t>
            </w:r>
          </w:p>
        </w:tc>
      </w:tr>
      <w:tr w:rsidR="00DE2F8A" w:rsidRPr="001E1FBB" w14:paraId="6C931680" w14:textId="77777777" w:rsidTr="00A65E5F">
        <w:tc>
          <w:tcPr>
            <w:tcW w:w="3070" w:type="dxa"/>
            <w:gridSpan w:val="2"/>
            <w:shd w:val="clear" w:color="auto" w:fill="auto"/>
          </w:tcPr>
          <w:p w14:paraId="283AB38B" w14:textId="77777777" w:rsidR="00DE2F8A" w:rsidRPr="001E1FBB" w:rsidRDefault="00DE2F8A" w:rsidP="00A65E5F">
            <w:pPr>
              <w:tabs>
                <w:tab w:val="left" w:pos="2450"/>
              </w:tabs>
              <w:suppressAutoHyphens/>
              <w:jc w:val="both"/>
              <w:rPr>
                <w:b/>
              </w:rPr>
            </w:pPr>
          </w:p>
        </w:tc>
        <w:tc>
          <w:tcPr>
            <w:tcW w:w="6141" w:type="dxa"/>
            <w:gridSpan w:val="4"/>
            <w:shd w:val="clear" w:color="auto" w:fill="auto"/>
          </w:tcPr>
          <w:p w14:paraId="6F06A273" w14:textId="77777777" w:rsidR="00DE2F8A" w:rsidRPr="001E1FBB" w:rsidRDefault="00DE2F8A" w:rsidP="00A65E5F">
            <w:pPr>
              <w:tabs>
                <w:tab w:val="left" w:pos="2450"/>
              </w:tabs>
              <w:suppressAutoHyphens/>
              <w:jc w:val="center"/>
              <w:rPr>
                <w:b/>
              </w:rPr>
            </w:pPr>
            <w:r w:rsidRPr="001E7529">
              <w:rPr>
                <w:b/>
              </w:rPr>
              <w:t>Succesfuldt</w:t>
            </w:r>
            <w:r>
              <w:rPr>
                <w:b/>
              </w:rPr>
              <w:t xml:space="preserve"> </w:t>
            </w:r>
            <w:r w:rsidRPr="001E7529">
              <w:rPr>
                <w:b/>
              </w:rPr>
              <w:t>globalt</w:t>
            </w:r>
            <w:r>
              <w:rPr>
                <w:b/>
              </w:rPr>
              <w:t xml:space="preserve"> </w:t>
            </w:r>
            <w:r w:rsidRPr="001E7529">
              <w:rPr>
                <w:b/>
              </w:rPr>
              <w:t>respons, n (%)</w:t>
            </w:r>
          </w:p>
        </w:tc>
      </w:tr>
      <w:tr w:rsidR="00DE2F8A" w:rsidRPr="001E1FBB" w14:paraId="28DF8E14" w14:textId="77777777" w:rsidTr="00A65E5F">
        <w:tc>
          <w:tcPr>
            <w:tcW w:w="1535" w:type="dxa"/>
            <w:shd w:val="clear" w:color="auto" w:fill="auto"/>
          </w:tcPr>
          <w:p w14:paraId="61D32F19" w14:textId="77777777" w:rsidR="00DE2F8A" w:rsidRPr="001E1FBB" w:rsidRDefault="00DE2F8A" w:rsidP="00A65E5F">
            <w:pPr>
              <w:tabs>
                <w:tab w:val="left" w:pos="2450"/>
              </w:tabs>
              <w:suppressAutoHyphens/>
              <w:jc w:val="both"/>
              <w:rPr>
                <w:b/>
              </w:rPr>
            </w:pPr>
            <w:proofErr w:type="spellStart"/>
            <w:r w:rsidRPr="001E1FBB">
              <w:rPr>
                <w:b/>
              </w:rPr>
              <w:t>Tidpunkt</w:t>
            </w:r>
            <w:proofErr w:type="spellEnd"/>
          </w:p>
        </w:tc>
        <w:tc>
          <w:tcPr>
            <w:tcW w:w="1535" w:type="dxa"/>
            <w:shd w:val="clear" w:color="auto" w:fill="auto"/>
          </w:tcPr>
          <w:p w14:paraId="7DC2C2FF" w14:textId="77777777" w:rsidR="00DE2F8A" w:rsidRPr="001E1FBB" w:rsidRDefault="00DE2F8A" w:rsidP="00A65E5F">
            <w:pPr>
              <w:tabs>
                <w:tab w:val="left" w:pos="2450"/>
              </w:tabs>
              <w:suppressAutoHyphens/>
              <w:jc w:val="both"/>
              <w:rPr>
                <w:b/>
              </w:rPr>
            </w:pPr>
            <w:r w:rsidRPr="001E1FBB">
              <w:rPr>
                <w:b/>
              </w:rPr>
              <w:t>Global respons</w:t>
            </w:r>
          </w:p>
        </w:tc>
        <w:tc>
          <w:tcPr>
            <w:tcW w:w="1535" w:type="dxa"/>
            <w:shd w:val="clear" w:color="auto" w:fill="auto"/>
          </w:tcPr>
          <w:p w14:paraId="33BFA693" w14:textId="77777777" w:rsidR="00DE2F8A" w:rsidRPr="001E1FBB" w:rsidRDefault="00DE2F8A" w:rsidP="00A65E5F">
            <w:pPr>
              <w:tabs>
                <w:tab w:val="left" w:pos="2450"/>
              </w:tabs>
              <w:suppressAutoHyphens/>
              <w:jc w:val="center"/>
              <w:rPr>
                <w:b/>
              </w:rPr>
            </w:pPr>
            <w:r w:rsidRPr="001E1FBB">
              <w:rPr>
                <w:b/>
              </w:rPr>
              <w:t>1 måned til &lt;2 år (N=16) n (n/N, %)</w:t>
            </w:r>
          </w:p>
        </w:tc>
        <w:tc>
          <w:tcPr>
            <w:tcW w:w="1535" w:type="dxa"/>
            <w:shd w:val="clear" w:color="auto" w:fill="auto"/>
          </w:tcPr>
          <w:p w14:paraId="5A662BA5" w14:textId="77777777" w:rsidR="00DE2F8A" w:rsidRPr="001E1FBB" w:rsidRDefault="00DE2F8A" w:rsidP="00A65E5F">
            <w:pPr>
              <w:tabs>
                <w:tab w:val="left" w:pos="2450"/>
              </w:tabs>
              <w:suppressAutoHyphens/>
              <w:jc w:val="center"/>
              <w:rPr>
                <w:b/>
              </w:rPr>
            </w:pPr>
            <w:r w:rsidRPr="001E1FBB">
              <w:rPr>
                <w:b/>
              </w:rPr>
              <w:t>2 til &lt;5 år (N=18) n (n/N, %)</w:t>
            </w:r>
          </w:p>
        </w:tc>
        <w:tc>
          <w:tcPr>
            <w:tcW w:w="1535" w:type="dxa"/>
            <w:shd w:val="clear" w:color="auto" w:fill="auto"/>
          </w:tcPr>
          <w:p w14:paraId="1CA53568" w14:textId="77777777" w:rsidR="00DE2F8A" w:rsidRPr="001E1FBB" w:rsidRDefault="00DE2F8A" w:rsidP="00A65E5F">
            <w:pPr>
              <w:tabs>
                <w:tab w:val="left" w:pos="2450"/>
              </w:tabs>
              <w:suppressAutoHyphens/>
              <w:jc w:val="center"/>
              <w:rPr>
                <w:b/>
              </w:rPr>
            </w:pPr>
            <w:r w:rsidRPr="001E1FBB">
              <w:rPr>
                <w:b/>
              </w:rPr>
              <w:t>5 til &lt;18 år (N=30) n (n/N, %)</w:t>
            </w:r>
          </w:p>
        </w:tc>
        <w:tc>
          <w:tcPr>
            <w:tcW w:w="1536" w:type="dxa"/>
            <w:shd w:val="clear" w:color="auto" w:fill="auto"/>
          </w:tcPr>
          <w:p w14:paraId="08FE8FCE" w14:textId="77777777" w:rsidR="00DE2F8A" w:rsidRPr="001E1FBB" w:rsidRDefault="00DE2F8A" w:rsidP="00A65E5F">
            <w:pPr>
              <w:tabs>
                <w:tab w:val="left" w:pos="2450"/>
              </w:tabs>
              <w:suppressAutoHyphens/>
              <w:jc w:val="center"/>
              <w:rPr>
                <w:b/>
              </w:rPr>
            </w:pPr>
            <w:r w:rsidRPr="001E1FBB">
              <w:rPr>
                <w:b/>
              </w:rPr>
              <w:t>Samlet (N=64) n (n/N, %)</w:t>
            </w:r>
          </w:p>
        </w:tc>
      </w:tr>
      <w:tr w:rsidR="00DE2F8A" w:rsidRPr="001E1FBB" w14:paraId="7493D4F8" w14:textId="77777777" w:rsidTr="00A65E5F">
        <w:tc>
          <w:tcPr>
            <w:tcW w:w="1535" w:type="dxa"/>
            <w:vMerge w:val="restart"/>
            <w:shd w:val="clear" w:color="auto" w:fill="auto"/>
          </w:tcPr>
          <w:p w14:paraId="235A709B" w14:textId="77777777" w:rsidR="00DE2F8A" w:rsidRPr="001D5F76" w:rsidRDefault="00DE2F8A" w:rsidP="00A65E5F">
            <w:pPr>
              <w:tabs>
                <w:tab w:val="left" w:pos="2450"/>
              </w:tabs>
              <w:suppressAutoHyphens/>
              <w:jc w:val="both"/>
              <w:rPr>
                <w:b/>
              </w:rPr>
            </w:pPr>
            <w:r w:rsidRPr="001D5F76">
              <w:rPr>
                <w:b/>
              </w:rPr>
              <w:t>EOIVT</w:t>
            </w:r>
          </w:p>
        </w:tc>
        <w:tc>
          <w:tcPr>
            <w:tcW w:w="1535" w:type="dxa"/>
            <w:shd w:val="clear" w:color="auto" w:fill="auto"/>
          </w:tcPr>
          <w:p w14:paraId="5F9EADE4" w14:textId="77777777" w:rsidR="00DE2F8A" w:rsidRPr="001E1FBB" w:rsidRDefault="00DE2F8A" w:rsidP="00A65E5F">
            <w:pPr>
              <w:tabs>
                <w:tab w:val="left" w:pos="2450"/>
              </w:tabs>
              <w:suppressAutoHyphens/>
              <w:jc w:val="both"/>
              <w:rPr>
                <w:bCs/>
              </w:rPr>
            </w:pPr>
            <w:r w:rsidRPr="001E1FBB">
              <w:rPr>
                <w:bCs/>
              </w:rPr>
              <w:t>Succes</w:t>
            </w:r>
          </w:p>
        </w:tc>
        <w:tc>
          <w:tcPr>
            <w:tcW w:w="1535" w:type="dxa"/>
            <w:shd w:val="clear" w:color="auto" w:fill="auto"/>
          </w:tcPr>
          <w:p w14:paraId="6581FDE2" w14:textId="77777777" w:rsidR="00DE2F8A" w:rsidRPr="001E1FBB" w:rsidRDefault="00DE2F8A" w:rsidP="00A65E5F">
            <w:pPr>
              <w:tabs>
                <w:tab w:val="left" w:pos="2450"/>
              </w:tabs>
              <w:suppressAutoHyphens/>
              <w:jc w:val="center"/>
              <w:rPr>
                <w:bCs/>
              </w:rPr>
            </w:pPr>
            <w:r w:rsidRPr="001E1FBB">
              <w:rPr>
                <w:bCs/>
              </w:rPr>
              <w:t>11 (68,8)</w:t>
            </w:r>
          </w:p>
        </w:tc>
        <w:tc>
          <w:tcPr>
            <w:tcW w:w="1535" w:type="dxa"/>
            <w:shd w:val="clear" w:color="auto" w:fill="auto"/>
          </w:tcPr>
          <w:p w14:paraId="46F5C32F" w14:textId="77777777" w:rsidR="00DE2F8A" w:rsidRPr="001E1FBB" w:rsidRDefault="00DE2F8A" w:rsidP="00A65E5F">
            <w:pPr>
              <w:tabs>
                <w:tab w:val="left" w:pos="2450"/>
              </w:tabs>
              <w:suppressAutoHyphens/>
              <w:jc w:val="center"/>
              <w:rPr>
                <w:bCs/>
              </w:rPr>
            </w:pPr>
            <w:r w:rsidRPr="001E1FBB">
              <w:rPr>
                <w:bCs/>
              </w:rPr>
              <w:t>14 (77,8)</w:t>
            </w:r>
          </w:p>
        </w:tc>
        <w:tc>
          <w:tcPr>
            <w:tcW w:w="1535" w:type="dxa"/>
            <w:shd w:val="clear" w:color="auto" w:fill="auto"/>
          </w:tcPr>
          <w:p w14:paraId="5D4DB41F" w14:textId="77777777" w:rsidR="00DE2F8A" w:rsidRPr="001E1FBB" w:rsidRDefault="00DE2F8A" w:rsidP="00A65E5F">
            <w:pPr>
              <w:tabs>
                <w:tab w:val="left" w:pos="2450"/>
              </w:tabs>
              <w:suppressAutoHyphens/>
              <w:jc w:val="center"/>
              <w:rPr>
                <w:bCs/>
              </w:rPr>
            </w:pPr>
            <w:r w:rsidRPr="001E1FBB">
              <w:rPr>
                <w:bCs/>
              </w:rPr>
              <w:t>20 (66,7)</w:t>
            </w:r>
          </w:p>
        </w:tc>
        <w:tc>
          <w:tcPr>
            <w:tcW w:w="1536" w:type="dxa"/>
            <w:shd w:val="clear" w:color="auto" w:fill="auto"/>
          </w:tcPr>
          <w:p w14:paraId="0903DF22" w14:textId="77777777" w:rsidR="00DE2F8A" w:rsidRPr="001E1FBB" w:rsidRDefault="00DE2F8A" w:rsidP="00A65E5F">
            <w:pPr>
              <w:tabs>
                <w:tab w:val="left" w:pos="2450"/>
              </w:tabs>
              <w:suppressAutoHyphens/>
              <w:jc w:val="center"/>
              <w:rPr>
                <w:bCs/>
              </w:rPr>
            </w:pPr>
            <w:r w:rsidRPr="001E1FBB">
              <w:rPr>
                <w:bCs/>
              </w:rPr>
              <w:t>45 (70,3)</w:t>
            </w:r>
          </w:p>
        </w:tc>
      </w:tr>
      <w:tr w:rsidR="00DE2F8A" w:rsidRPr="001E1FBB" w14:paraId="6FE8F490" w14:textId="77777777" w:rsidTr="00A65E5F">
        <w:tc>
          <w:tcPr>
            <w:tcW w:w="1535" w:type="dxa"/>
            <w:vMerge/>
            <w:shd w:val="clear" w:color="auto" w:fill="auto"/>
          </w:tcPr>
          <w:p w14:paraId="665E2215" w14:textId="77777777" w:rsidR="00DE2F8A" w:rsidRPr="00C81E0B" w:rsidRDefault="00DE2F8A" w:rsidP="00A65E5F">
            <w:pPr>
              <w:tabs>
                <w:tab w:val="left" w:pos="2450"/>
              </w:tabs>
              <w:suppressAutoHyphens/>
              <w:jc w:val="both"/>
              <w:rPr>
                <w:b/>
              </w:rPr>
            </w:pPr>
          </w:p>
        </w:tc>
        <w:tc>
          <w:tcPr>
            <w:tcW w:w="1535" w:type="dxa"/>
            <w:shd w:val="clear" w:color="auto" w:fill="auto"/>
          </w:tcPr>
          <w:p w14:paraId="444E605D" w14:textId="77777777" w:rsidR="00DE2F8A" w:rsidRPr="001E1FBB" w:rsidRDefault="00DE2F8A" w:rsidP="00A65E5F">
            <w:pPr>
              <w:tabs>
                <w:tab w:val="left" w:pos="2450"/>
              </w:tabs>
              <w:suppressAutoHyphens/>
              <w:jc w:val="both"/>
              <w:rPr>
                <w:bCs/>
              </w:rPr>
            </w:pPr>
            <w:r w:rsidRPr="001E1FBB">
              <w:rPr>
                <w:bCs/>
              </w:rPr>
              <w:t>95% CI</w:t>
            </w:r>
          </w:p>
        </w:tc>
        <w:tc>
          <w:tcPr>
            <w:tcW w:w="1535" w:type="dxa"/>
            <w:shd w:val="clear" w:color="auto" w:fill="auto"/>
          </w:tcPr>
          <w:p w14:paraId="0DD3965F" w14:textId="77777777" w:rsidR="00DE2F8A" w:rsidRPr="001E1FBB" w:rsidRDefault="00DE2F8A" w:rsidP="00A65E5F">
            <w:pPr>
              <w:tabs>
                <w:tab w:val="left" w:pos="2450"/>
              </w:tabs>
              <w:suppressAutoHyphens/>
              <w:jc w:val="center"/>
              <w:rPr>
                <w:bCs/>
              </w:rPr>
            </w:pPr>
            <w:r w:rsidRPr="001E1FBB">
              <w:rPr>
                <w:bCs/>
              </w:rPr>
              <w:t>(41,3;89,0)</w:t>
            </w:r>
          </w:p>
        </w:tc>
        <w:tc>
          <w:tcPr>
            <w:tcW w:w="1535" w:type="dxa"/>
            <w:shd w:val="clear" w:color="auto" w:fill="auto"/>
          </w:tcPr>
          <w:p w14:paraId="093C720A" w14:textId="77777777" w:rsidR="00DE2F8A" w:rsidRPr="001E1FBB" w:rsidRDefault="00DE2F8A" w:rsidP="00A65E5F">
            <w:pPr>
              <w:tabs>
                <w:tab w:val="left" w:pos="2450"/>
              </w:tabs>
              <w:suppressAutoHyphens/>
              <w:jc w:val="center"/>
              <w:rPr>
                <w:bCs/>
              </w:rPr>
            </w:pPr>
            <w:r w:rsidRPr="001E1FBB">
              <w:rPr>
                <w:bCs/>
              </w:rPr>
              <w:t>(52,4;93,6)</w:t>
            </w:r>
          </w:p>
        </w:tc>
        <w:tc>
          <w:tcPr>
            <w:tcW w:w="1535" w:type="dxa"/>
            <w:shd w:val="clear" w:color="auto" w:fill="auto"/>
          </w:tcPr>
          <w:p w14:paraId="6EEF8D99" w14:textId="77777777" w:rsidR="00DE2F8A" w:rsidRPr="001E1FBB" w:rsidRDefault="00DE2F8A" w:rsidP="00A65E5F">
            <w:pPr>
              <w:tabs>
                <w:tab w:val="left" w:pos="2450"/>
              </w:tabs>
              <w:suppressAutoHyphens/>
              <w:jc w:val="center"/>
              <w:rPr>
                <w:bCs/>
              </w:rPr>
            </w:pPr>
            <w:r w:rsidRPr="001E1FBB">
              <w:rPr>
                <w:bCs/>
              </w:rPr>
              <w:t>(47,2;82,7)</w:t>
            </w:r>
          </w:p>
        </w:tc>
        <w:tc>
          <w:tcPr>
            <w:tcW w:w="1536" w:type="dxa"/>
            <w:shd w:val="clear" w:color="auto" w:fill="auto"/>
          </w:tcPr>
          <w:p w14:paraId="7718079C" w14:textId="77777777" w:rsidR="00DE2F8A" w:rsidRPr="001E1FBB" w:rsidRDefault="00DE2F8A" w:rsidP="00A65E5F">
            <w:pPr>
              <w:tabs>
                <w:tab w:val="left" w:pos="2450"/>
              </w:tabs>
              <w:suppressAutoHyphens/>
              <w:jc w:val="center"/>
              <w:rPr>
                <w:bCs/>
              </w:rPr>
            </w:pPr>
            <w:r w:rsidRPr="001E1FBB">
              <w:rPr>
                <w:bCs/>
              </w:rPr>
              <w:t>(57,6;81,1)</w:t>
            </w:r>
          </w:p>
        </w:tc>
      </w:tr>
      <w:tr w:rsidR="00DE2F8A" w:rsidRPr="001E1FBB" w14:paraId="0603A555" w14:textId="77777777" w:rsidTr="00A65E5F">
        <w:tc>
          <w:tcPr>
            <w:tcW w:w="1535" w:type="dxa"/>
            <w:vMerge w:val="restart"/>
            <w:shd w:val="clear" w:color="auto" w:fill="auto"/>
          </w:tcPr>
          <w:p w14:paraId="56FB331E" w14:textId="77777777" w:rsidR="00DE2F8A" w:rsidRPr="001D5F76" w:rsidRDefault="00DE2F8A" w:rsidP="00A65E5F">
            <w:pPr>
              <w:tabs>
                <w:tab w:val="left" w:pos="2450"/>
              </w:tabs>
              <w:suppressAutoHyphens/>
              <w:rPr>
                <w:b/>
              </w:rPr>
            </w:pPr>
            <w:r w:rsidRPr="001D5F76">
              <w:rPr>
                <w:b/>
              </w:rPr>
              <w:t>EOT</w:t>
            </w:r>
          </w:p>
        </w:tc>
        <w:tc>
          <w:tcPr>
            <w:tcW w:w="1535" w:type="dxa"/>
            <w:shd w:val="clear" w:color="auto" w:fill="auto"/>
          </w:tcPr>
          <w:p w14:paraId="7DE4FB02" w14:textId="77777777" w:rsidR="00DE2F8A" w:rsidRPr="001E1FBB" w:rsidRDefault="00DE2F8A" w:rsidP="00A65E5F">
            <w:pPr>
              <w:tabs>
                <w:tab w:val="left" w:pos="2450"/>
              </w:tabs>
              <w:suppressAutoHyphens/>
              <w:jc w:val="both"/>
              <w:rPr>
                <w:bCs/>
              </w:rPr>
            </w:pPr>
            <w:r w:rsidRPr="001E1FBB">
              <w:rPr>
                <w:bCs/>
              </w:rPr>
              <w:t>Succes</w:t>
            </w:r>
          </w:p>
        </w:tc>
        <w:tc>
          <w:tcPr>
            <w:tcW w:w="1535" w:type="dxa"/>
            <w:shd w:val="clear" w:color="auto" w:fill="auto"/>
          </w:tcPr>
          <w:p w14:paraId="547E7842" w14:textId="77777777" w:rsidR="00DE2F8A" w:rsidRPr="001E1FBB" w:rsidRDefault="00DE2F8A" w:rsidP="00A65E5F">
            <w:pPr>
              <w:tabs>
                <w:tab w:val="left" w:pos="2450"/>
              </w:tabs>
              <w:suppressAutoHyphens/>
              <w:jc w:val="center"/>
              <w:rPr>
                <w:bCs/>
              </w:rPr>
            </w:pPr>
            <w:r w:rsidRPr="001E1FBB">
              <w:rPr>
                <w:bCs/>
              </w:rPr>
              <w:t>11 (68,8)</w:t>
            </w:r>
          </w:p>
        </w:tc>
        <w:tc>
          <w:tcPr>
            <w:tcW w:w="1535" w:type="dxa"/>
            <w:shd w:val="clear" w:color="auto" w:fill="auto"/>
          </w:tcPr>
          <w:p w14:paraId="12D8519F" w14:textId="77777777" w:rsidR="00DE2F8A" w:rsidRPr="001E1FBB" w:rsidRDefault="00DE2F8A" w:rsidP="00A65E5F">
            <w:pPr>
              <w:tabs>
                <w:tab w:val="left" w:pos="2450"/>
              </w:tabs>
              <w:suppressAutoHyphens/>
              <w:jc w:val="center"/>
              <w:rPr>
                <w:bCs/>
              </w:rPr>
            </w:pPr>
            <w:r w:rsidRPr="001E1FBB">
              <w:rPr>
                <w:bCs/>
              </w:rPr>
              <w:t>14 (77,8)</w:t>
            </w:r>
          </w:p>
        </w:tc>
        <w:tc>
          <w:tcPr>
            <w:tcW w:w="1535" w:type="dxa"/>
            <w:shd w:val="clear" w:color="auto" w:fill="auto"/>
          </w:tcPr>
          <w:p w14:paraId="0FC00BD8" w14:textId="77777777" w:rsidR="00DE2F8A" w:rsidRPr="001E1FBB" w:rsidRDefault="00DE2F8A" w:rsidP="00A65E5F">
            <w:pPr>
              <w:tabs>
                <w:tab w:val="left" w:pos="2450"/>
              </w:tabs>
              <w:suppressAutoHyphens/>
              <w:jc w:val="center"/>
              <w:rPr>
                <w:bCs/>
              </w:rPr>
            </w:pPr>
            <w:r w:rsidRPr="001E1FBB">
              <w:rPr>
                <w:bCs/>
              </w:rPr>
              <w:t>21 (70,0)</w:t>
            </w:r>
          </w:p>
        </w:tc>
        <w:tc>
          <w:tcPr>
            <w:tcW w:w="1536" w:type="dxa"/>
            <w:shd w:val="clear" w:color="auto" w:fill="auto"/>
          </w:tcPr>
          <w:p w14:paraId="55931118" w14:textId="77777777" w:rsidR="00DE2F8A" w:rsidRPr="001E1FBB" w:rsidRDefault="00DE2F8A" w:rsidP="00A65E5F">
            <w:pPr>
              <w:tabs>
                <w:tab w:val="left" w:pos="2450"/>
              </w:tabs>
              <w:suppressAutoHyphens/>
              <w:jc w:val="center"/>
              <w:rPr>
                <w:bCs/>
              </w:rPr>
            </w:pPr>
            <w:r w:rsidRPr="001E1FBB">
              <w:rPr>
                <w:bCs/>
              </w:rPr>
              <w:t>46 (71,9)</w:t>
            </w:r>
          </w:p>
        </w:tc>
      </w:tr>
      <w:tr w:rsidR="00DE2F8A" w:rsidRPr="001E1FBB" w14:paraId="38B06837" w14:textId="77777777" w:rsidTr="00A65E5F">
        <w:tc>
          <w:tcPr>
            <w:tcW w:w="1535" w:type="dxa"/>
            <w:vMerge/>
            <w:shd w:val="clear" w:color="auto" w:fill="auto"/>
          </w:tcPr>
          <w:p w14:paraId="54EA58A9" w14:textId="77777777" w:rsidR="00DE2F8A" w:rsidRPr="00C81E0B" w:rsidRDefault="00DE2F8A" w:rsidP="00A65E5F">
            <w:pPr>
              <w:tabs>
                <w:tab w:val="left" w:pos="2450"/>
              </w:tabs>
              <w:suppressAutoHyphens/>
              <w:jc w:val="both"/>
              <w:rPr>
                <w:b/>
              </w:rPr>
            </w:pPr>
          </w:p>
        </w:tc>
        <w:tc>
          <w:tcPr>
            <w:tcW w:w="1535" w:type="dxa"/>
            <w:shd w:val="clear" w:color="auto" w:fill="auto"/>
          </w:tcPr>
          <w:p w14:paraId="3D5840BC" w14:textId="77777777" w:rsidR="00DE2F8A" w:rsidRPr="001E1FBB" w:rsidRDefault="00DE2F8A" w:rsidP="00A65E5F">
            <w:pPr>
              <w:tabs>
                <w:tab w:val="left" w:pos="2450"/>
              </w:tabs>
              <w:suppressAutoHyphens/>
              <w:jc w:val="both"/>
              <w:rPr>
                <w:bCs/>
              </w:rPr>
            </w:pPr>
            <w:r w:rsidRPr="001E1FBB">
              <w:rPr>
                <w:bCs/>
              </w:rPr>
              <w:t>95% CI</w:t>
            </w:r>
          </w:p>
        </w:tc>
        <w:tc>
          <w:tcPr>
            <w:tcW w:w="1535" w:type="dxa"/>
            <w:shd w:val="clear" w:color="auto" w:fill="auto"/>
          </w:tcPr>
          <w:p w14:paraId="7DB83101" w14:textId="77777777" w:rsidR="00DE2F8A" w:rsidRPr="001E1FBB" w:rsidRDefault="00DE2F8A" w:rsidP="00A65E5F">
            <w:pPr>
              <w:tabs>
                <w:tab w:val="left" w:pos="2450"/>
              </w:tabs>
              <w:suppressAutoHyphens/>
              <w:jc w:val="center"/>
              <w:rPr>
                <w:bCs/>
              </w:rPr>
            </w:pPr>
            <w:r w:rsidRPr="001E1FBB">
              <w:rPr>
                <w:bCs/>
              </w:rPr>
              <w:t>(41,3;89,0)</w:t>
            </w:r>
          </w:p>
        </w:tc>
        <w:tc>
          <w:tcPr>
            <w:tcW w:w="1535" w:type="dxa"/>
            <w:shd w:val="clear" w:color="auto" w:fill="auto"/>
          </w:tcPr>
          <w:p w14:paraId="1E3CE2DC" w14:textId="77777777" w:rsidR="00DE2F8A" w:rsidRPr="001E1FBB" w:rsidRDefault="00DE2F8A" w:rsidP="00A65E5F">
            <w:pPr>
              <w:tabs>
                <w:tab w:val="left" w:pos="2450"/>
              </w:tabs>
              <w:suppressAutoHyphens/>
              <w:jc w:val="center"/>
              <w:rPr>
                <w:bCs/>
              </w:rPr>
            </w:pPr>
            <w:r w:rsidRPr="001E1FBB">
              <w:rPr>
                <w:bCs/>
              </w:rPr>
              <w:t>(52,4;93,6)</w:t>
            </w:r>
          </w:p>
        </w:tc>
        <w:tc>
          <w:tcPr>
            <w:tcW w:w="1535" w:type="dxa"/>
            <w:shd w:val="clear" w:color="auto" w:fill="auto"/>
          </w:tcPr>
          <w:p w14:paraId="20D7D031" w14:textId="77777777" w:rsidR="00DE2F8A" w:rsidRPr="001E1FBB" w:rsidRDefault="00DE2F8A" w:rsidP="00A65E5F">
            <w:pPr>
              <w:tabs>
                <w:tab w:val="left" w:pos="2450"/>
              </w:tabs>
              <w:suppressAutoHyphens/>
              <w:jc w:val="center"/>
              <w:rPr>
                <w:bCs/>
              </w:rPr>
            </w:pPr>
            <w:r w:rsidRPr="001E1FBB">
              <w:rPr>
                <w:bCs/>
              </w:rPr>
              <w:t>(50,6;85,3)</w:t>
            </w:r>
          </w:p>
        </w:tc>
        <w:tc>
          <w:tcPr>
            <w:tcW w:w="1536" w:type="dxa"/>
            <w:shd w:val="clear" w:color="auto" w:fill="auto"/>
          </w:tcPr>
          <w:p w14:paraId="125A991B" w14:textId="77777777" w:rsidR="00DE2F8A" w:rsidRPr="001E1FBB" w:rsidRDefault="00DE2F8A" w:rsidP="00A65E5F">
            <w:pPr>
              <w:tabs>
                <w:tab w:val="left" w:pos="2450"/>
              </w:tabs>
              <w:suppressAutoHyphens/>
              <w:jc w:val="center"/>
              <w:rPr>
                <w:bCs/>
              </w:rPr>
            </w:pPr>
            <w:r w:rsidRPr="001E1FBB">
              <w:rPr>
                <w:bCs/>
              </w:rPr>
              <w:t>(59,2;82,4)</w:t>
            </w:r>
          </w:p>
        </w:tc>
      </w:tr>
      <w:tr w:rsidR="00DE2F8A" w:rsidRPr="001E1FBB" w14:paraId="44CBEC58" w14:textId="77777777" w:rsidTr="00A65E5F">
        <w:tc>
          <w:tcPr>
            <w:tcW w:w="1535" w:type="dxa"/>
            <w:vMerge w:val="restart"/>
            <w:shd w:val="clear" w:color="auto" w:fill="auto"/>
          </w:tcPr>
          <w:p w14:paraId="629AE3CA" w14:textId="77777777" w:rsidR="00DE2F8A" w:rsidRPr="001D5F76" w:rsidRDefault="00DE2F8A" w:rsidP="00A65E5F">
            <w:pPr>
              <w:tabs>
                <w:tab w:val="left" w:pos="2450"/>
              </w:tabs>
              <w:suppressAutoHyphens/>
              <w:rPr>
                <w:b/>
              </w:rPr>
            </w:pPr>
            <w:r w:rsidRPr="001D5F76">
              <w:rPr>
                <w:b/>
              </w:rPr>
              <w:t>2</w:t>
            </w:r>
            <w:r w:rsidRPr="001E1FBB">
              <w:rPr>
                <w:b/>
              </w:rPr>
              <w:t xml:space="preserve"> </w:t>
            </w:r>
            <w:r w:rsidRPr="001D5F76">
              <w:rPr>
                <w:b/>
              </w:rPr>
              <w:t>ugers FU</w:t>
            </w:r>
          </w:p>
        </w:tc>
        <w:tc>
          <w:tcPr>
            <w:tcW w:w="1535" w:type="dxa"/>
            <w:shd w:val="clear" w:color="auto" w:fill="auto"/>
          </w:tcPr>
          <w:p w14:paraId="6B21A61B" w14:textId="77777777" w:rsidR="00DE2F8A" w:rsidRPr="001E1FBB" w:rsidRDefault="00DE2F8A" w:rsidP="00A65E5F">
            <w:pPr>
              <w:tabs>
                <w:tab w:val="left" w:pos="2450"/>
              </w:tabs>
              <w:suppressAutoHyphens/>
              <w:jc w:val="both"/>
              <w:rPr>
                <w:bCs/>
              </w:rPr>
            </w:pPr>
            <w:r w:rsidRPr="001E1FBB">
              <w:rPr>
                <w:bCs/>
              </w:rPr>
              <w:t>Succes</w:t>
            </w:r>
          </w:p>
        </w:tc>
        <w:tc>
          <w:tcPr>
            <w:tcW w:w="1535" w:type="dxa"/>
            <w:shd w:val="clear" w:color="auto" w:fill="auto"/>
          </w:tcPr>
          <w:p w14:paraId="04EE3EF7" w14:textId="77777777" w:rsidR="00DE2F8A" w:rsidRPr="001E1FBB" w:rsidRDefault="00DE2F8A" w:rsidP="00A65E5F">
            <w:pPr>
              <w:tabs>
                <w:tab w:val="left" w:pos="2450"/>
              </w:tabs>
              <w:suppressAutoHyphens/>
              <w:jc w:val="center"/>
              <w:rPr>
                <w:bCs/>
              </w:rPr>
            </w:pPr>
            <w:r w:rsidRPr="001E1FBB">
              <w:rPr>
                <w:bCs/>
              </w:rPr>
              <w:t>11 (68,8)</w:t>
            </w:r>
          </w:p>
        </w:tc>
        <w:tc>
          <w:tcPr>
            <w:tcW w:w="1535" w:type="dxa"/>
            <w:shd w:val="clear" w:color="auto" w:fill="auto"/>
          </w:tcPr>
          <w:p w14:paraId="42F24599" w14:textId="77777777" w:rsidR="00DE2F8A" w:rsidRPr="001E1FBB" w:rsidRDefault="00DE2F8A" w:rsidP="00A65E5F">
            <w:pPr>
              <w:tabs>
                <w:tab w:val="left" w:pos="2450"/>
              </w:tabs>
              <w:suppressAutoHyphens/>
              <w:jc w:val="center"/>
              <w:rPr>
                <w:bCs/>
              </w:rPr>
            </w:pPr>
            <w:r w:rsidRPr="001E1FBB">
              <w:rPr>
                <w:bCs/>
              </w:rPr>
              <w:t>13 (72,2)</w:t>
            </w:r>
          </w:p>
        </w:tc>
        <w:tc>
          <w:tcPr>
            <w:tcW w:w="1535" w:type="dxa"/>
            <w:shd w:val="clear" w:color="auto" w:fill="auto"/>
          </w:tcPr>
          <w:p w14:paraId="6364DD70" w14:textId="77777777" w:rsidR="00DE2F8A" w:rsidRPr="001E1FBB" w:rsidRDefault="00DE2F8A" w:rsidP="00A65E5F">
            <w:pPr>
              <w:tabs>
                <w:tab w:val="left" w:pos="2450"/>
              </w:tabs>
              <w:suppressAutoHyphens/>
              <w:jc w:val="center"/>
              <w:rPr>
                <w:bCs/>
              </w:rPr>
            </w:pPr>
            <w:r w:rsidRPr="001E1FBB">
              <w:rPr>
                <w:bCs/>
              </w:rPr>
              <w:t>22 (73,3)</w:t>
            </w:r>
          </w:p>
        </w:tc>
        <w:tc>
          <w:tcPr>
            <w:tcW w:w="1536" w:type="dxa"/>
            <w:shd w:val="clear" w:color="auto" w:fill="auto"/>
          </w:tcPr>
          <w:p w14:paraId="2F90103E" w14:textId="77777777" w:rsidR="00DE2F8A" w:rsidRPr="001E1FBB" w:rsidRDefault="00DE2F8A" w:rsidP="00A65E5F">
            <w:pPr>
              <w:tabs>
                <w:tab w:val="left" w:pos="2450"/>
              </w:tabs>
              <w:suppressAutoHyphens/>
              <w:jc w:val="center"/>
              <w:rPr>
                <w:bCs/>
              </w:rPr>
            </w:pPr>
            <w:r w:rsidRPr="001E1FBB">
              <w:rPr>
                <w:bCs/>
              </w:rPr>
              <w:t>46 (71,9)</w:t>
            </w:r>
          </w:p>
        </w:tc>
      </w:tr>
      <w:tr w:rsidR="00DE2F8A" w:rsidRPr="001E1FBB" w14:paraId="2652F578" w14:textId="77777777" w:rsidTr="00A65E5F">
        <w:tc>
          <w:tcPr>
            <w:tcW w:w="1535" w:type="dxa"/>
            <w:vMerge/>
            <w:shd w:val="clear" w:color="auto" w:fill="auto"/>
          </w:tcPr>
          <w:p w14:paraId="5E36D34B" w14:textId="77777777" w:rsidR="00DE2F8A" w:rsidRPr="00C81E0B" w:rsidRDefault="00DE2F8A" w:rsidP="00A65E5F">
            <w:pPr>
              <w:tabs>
                <w:tab w:val="left" w:pos="2450"/>
              </w:tabs>
              <w:suppressAutoHyphens/>
              <w:jc w:val="both"/>
              <w:rPr>
                <w:b/>
              </w:rPr>
            </w:pPr>
          </w:p>
        </w:tc>
        <w:tc>
          <w:tcPr>
            <w:tcW w:w="1535" w:type="dxa"/>
            <w:shd w:val="clear" w:color="auto" w:fill="auto"/>
          </w:tcPr>
          <w:p w14:paraId="7854D097" w14:textId="77777777" w:rsidR="00DE2F8A" w:rsidRPr="001E1FBB" w:rsidRDefault="00DE2F8A" w:rsidP="00A65E5F">
            <w:pPr>
              <w:tabs>
                <w:tab w:val="left" w:pos="2450"/>
              </w:tabs>
              <w:suppressAutoHyphens/>
              <w:jc w:val="both"/>
              <w:rPr>
                <w:bCs/>
              </w:rPr>
            </w:pPr>
            <w:r w:rsidRPr="001E1FBB">
              <w:rPr>
                <w:bCs/>
              </w:rPr>
              <w:t>95% CI</w:t>
            </w:r>
          </w:p>
        </w:tc>
        <w:tc>
          <w:tcPr>
            <w:tcW w:w="1535" w:type="dxa"/>
            <w:shd w:val="clear" w:color="auto" w:fill="auto"/>
          </w:tcPr>
          <w:p w14:paraId="68D323B8" w14:textId="77777777" w:rsidR="00DE2F8A" w:rsidRPr="001E1FBB" w:rsidRDefault="00DE2F8A" w:rsidP="00A65E5F">
            <w:pPr>
              <w:tabs>
                <w:tab w:val="left" w:pos="2450"/>
              </w:tabs>
              <w:suppressAutoHyphens/>
              <w:jc w:val="center"/>
              <w:rPr>
                <w:bCs/>
              </w:rPr>
            </w:pPr>
            <w:r w:rsidRPr="001E1FBB">
              <w:rPr>
                <w:bCs/>
              </w:rPr>
              <w:t>(41,3;89,0)</w:t>
            </w:r>
          </w:p>
        </w:tc>
        <w:tc>
          <w:tcPr>
            <w:tcW w:w="1535" w:type="dxa"/>
            <w:shd w:val="clear" w:color="auto" w:fill="auto"/>
          </w:tcPr>
          <w:p w14:paraId="070E3538" w14:textId="77777777" w:rsidR="00DE2F8A" w:rsidRPr="001E1FBB" w:rsidRDefault="00DE2F8A" w:rsidP="00A65E5F">
            <w:pPr>
              <w:tabs>
                <w:tab w:val="left" w:pos="2450"/>
              </w:tabs>
              <w:suppressAutoHyphens/>
              <w:jc w:val="center"/>
              <w:rPr>
                <w:bCs/>
              </w:rPr>
            </w:pPr>
            <w:r w:rsidRPr="001E1FBB">
              <w:rPr>
                <w:bCs/>
              </w:rPr>
              <w:t>(46,5;90,3)</w:t>
            </w:r>
          </w:p>
        </w:tc>
        <w:tc>
          <w:tcPr>
            <w:tcW w:w="1535" w:type="dxa"/>
            <w:shd w:val="clear" w:color="auto" w:fill="auto"/>
          </w:tcPr>
          <w:p w14:paraId="471C63FC" w14:textId="77777777" w:rsidR="00DE2F8A" w:rsidRPr="001E1FBB" w:rsidRDefault="00DE2F8A" w:rsidP="00A65E5F">
            <w:pPr>
              <w:tabs>
                <w:tab w:val="left" w:pos="2450"/>
              </w:tabs>
              <w:suppressAutoHyphens/>
              <w:jc w:val="center"/>
              <w:rPr>
                <w:bCs/>
              </w:rPr>
            </w:pPr>
            <w:r w:rsidRPr="001E1FBB">
              <w:rPr>
                <w:bCs/>
              </w:rPr>
              <w:t>(54,1;87,7)</w:t>
            </w:r>
          </w:p>
        </w:tc>
        <w:tc>
          <w:tcPr>
            <w:tcW w:w="1536" w:type="dxa"/>
            <w:shd w:val="clear" w:color="auto" w:fill="auto"/>
          </w:tcPr>
          <w:p w14:paraId="27348EB1" w14:textId="77777777" w:rsidR="00DE2F8A" w:rsidRPr="001E1FBB" w:rsidRDefault="00DE2F8A" w:rsidP="00A65E5F">
            <w:pPr>
              <w:tabs>
                <w:tab w:val="left" w:pos="2450"/>
              </w:tabs>
              <w:suppressAutoHyphens/>
              <w:jc w:val="center"/>
              <w:rPr>
                <w:bCs/>
              </w:rPr>
            </w:pPr>
            <w:r w:rsidRPr="001E1FBB">
              <w:rPr>
                <w:bCs/>
              </w:rPr>
              <w:t>(59,2;82,4)</w:t>
            </w:r>
          </w:p>
        </w:tc>
      </w:tr>
      <w:tr w:rsidR="00DE2F8A" w:rsidRPr="001E1FBB" w14:paraId="4B26660D" w14:textId="77777777" w:rsidTr="00A65E5F">
        <w:tc>
          <w:tcPr>
            <w:tcW w:w="1535" w:type="dxa"/>
            <w:vMerge w:val="restart"/>
            <w:shd w:val="clear" w:color="auto" w:fill="auto"/>
          </w:tcPr>
          <w:p w14:paraId="579FB5EA" w14:textId="77777777" w:rsidR="00DE2F8A" w:rsidRPr="001D5F76" w:rsidRDefault="00DE2F8A" w:rsidP="00A65E5F">
            <w:pPr>
              <w:tabs>
                <w:tab w:val="left" w:pos="2450"/>
              </w:tabs>
              <w:suppressAutoHyphens/>
              <w:rPr>
                <w:b/>
              </w:rPr>
            </w:pPr>
            <w:r w:rsidRPr="001D5F76">
              <w:rPr>
                <w:b/>
              </w:rPr>
              <w:t>6 ugers</w:t>
            </w:r>
            <w:r w:rsidRPr="001E1FBB">
              <w:rPr>
                <w:b/>
              </w:rPr>
              <w:t xml:space="preserve"> </w:t>
            </w:r>
            <w:r w:rsidRPr="001D5F76">
              <w:rPr>
                <w:b/>
              </w:rPr>
              <w:t>FU</w:t>
            </w:r>
          </w:p>
        </w:tc>
        <w:tc>
          <w:tcPr>
            <w:tcW w:w="1535" w:type="dxa"/>
            <w:shd w:val="clear" w:color="auto" w:fill="auto"/>
          </w:tcPr>
          <w:p w14:paraId="2512AA20" w14:textId="77777777" w:rsidR="00DE2F8A" w:rsidRPr="001E1FBB" w:rsidRDefault="00DE2F8A" w:rsidP="00A65E5F">
            <w:pPr>
              <w:tabs>
                <w:tab w:val="left" w:pos="2450"/>
              </w:tabs>
              <w:suppressAutoHyphens/>
              <w:jc w:val="both"/>
              <w:rPr>
                <w:bCs/>
              </w:rPr>
            </w:pPr>
            <w:r w:rsidRPr="001E1FBB">
              <w:rPr>
                <w:bCs/>
              </w:rPr>
              <w:t>Succes</w:t>
            </w:r>
          </w:p>
        </w:tc>
        <w:tc>
          <w:tcPr>
            <w:tcW w:w="1535" w:type="dxa"/>
            <w:shd w:val="clear" w:color="auto" w:fill="auto"/>
          </w:tcPr>
          <w:p w14:paraId="5815587A" w14:textId="77777777" w:rsidR="00DE2F8A" w:rsidRPr="001E1FBB" w:rsidRDefault="00DE2F8A" w:rsidP="00A65E5F">
            <w:pPr>
              <w:tabs>
                <w:tab w:val="left" w:pos="2450"/>
              </w:tabs>
              <w:suppressAutoHyphens/>
              <w:jc w:val="center"/>
              <w:rPr>
                <w:bCs/>
              </w:rPr>
            </w:pPr>
            <w:r w:rsidRPr="001E1FBB">
              <w:rPr>
                <w:bCs/>
              </w:rPr>
              <w:t>11 (68,8)</w:t>
            </w:r>
          </w:p>
        </w:tc>
        <w:tc>
          <w:tcPr>
            <w:tcW w:w="1535" w:type="dxa"/>
            <w:shd w:val="clear" w:color="auto" w:fill="auto"/>
          </w:tcPr>
          <w:p w14:paraId="45F02BC4" w14:textId="77777777" w:rsidR="00DE2F8A" w:rsidRPr="001E1FBB" w:rsidRDefault="00DE2F8A" w:rsidP="00A65E5F">
            <w:pPr>
              <w:tabs>
                <w:tab w:val="left" w:pos="2450"/>
              </w:tabs>
              <w:suppressAutoHyphens/>
              <w:jc w:val="center"/>
              <w:rPr>
                <w:bCs/>
              </w:rPr>
            </w:pPr>
            <w:r w:rsidRPr="001E1FBB">
              <w:rPr>
                <w:bCs/>
              </w:rPr>
              <w:t>12 (66,7)</w:t>
            </w:r>
          </w:p>
        </w:tc>
        <w:tc>
          <w:tcPr>
            <w:tcW w:w="1535" w:type="dxa"/>
            <w:shd w:val="clear" w:color="auto" w:fill="auto"/>
          </w:tcPr>
          <w:p w14:paraId="29CBEA2D" w14:textId="77777777" w:rsidR="00DE2F8A" w:rsidRPr="001E1FBB" w:rsidRDefault="00DE2F8A" w:rsidP="00A65E5F">
            <w:pPr>
              <w:tabs>
                <w:tab w:val="left" w:pos="2450"/>
              </w:tabs>
              <w:suppressAutoHyphens/>
              <w:jc w:val="center"/>
              <w:rPr>
                <w:bCs/>
              </w:rPr>
            </w:pPr>
            <w:r w:rsidRPr="001E1FBB">
              <w:rPr>
                <w:bCs/>
              </w:rPr>
              <w:t>20 (66,7)</w:t>
            </w:r>
          </w:p>
        </w:tc>
        <w:tc>
          <w:tcPr>
            <w:tcW w:w="1536" w:type="dxa"/>
            <w:shd w:val="clear" w:color="auto" w:fill="auto"/>
          </w:tcPr>
          <w:p w14:paraId="0EE39060" w14:textId="77777777" w:rsidR="00DE2F8A" w:rsidRPr="001E1FBB" w:rsidRDefault="00DE2F8A" w:rsidP="00A65E5F">
            <w:pPr>
              <w:tabs>
                <w:tab w:val="left" w:pos="2450"/>
              </w:tabs>
              <w:suppressAutoHyphens/>
              <w:jc w:val="center"/>
              <w:rPr>
                <w:bCs/>
              </w:rPr>
            </w:pPr>
            <w:r w:rsidRPr="001E1FBB">
              <w:rPr>
                <w:bCs/>
              </w:rPr>
              <w:t>43 (67,2)</w:t>
            </w:r>
          </w:p>
        </w:tc>
      </w:tr>
      <w:tr w:rsidR="00DE2F8A" w:rsidRPr="001E1FBB" w14:paraId="486DA52C" w14:textId="77777777" w:rsidTr="00A65E5F">
        <w:tc>
          <w:tcPr>
            <w:tcW w:w="1535" w:type="dxa"/>
            <w:vMerge/>
            <w:shd w:val="clear" w:color="auto" w:fill="auto"/>
          </w:tcPr>
          <w:p w14:paraId="1B25DCE3" w14:textId="77777777" w:rsidR="00DE2F8A" w:rsidRPr="001E1FBB" w:rsidRDefault="00DE2F8A" w:rsidP="00A65E5F">
            <w:pPr>
              <w:tabs>
                <w:tab w:val="left" w:pos="2450"/>
              </w:tabs>
              <w:suppressAutoHyphens/>
              <w:jc w:val="both"/>
              <w:rPr>
                <w:bCs/>
              </w:rPr>
            </w:pPr>
          </w:p>
        </w:tc>
        <w:tc>
          <w:tcPr>
            <w:tcW w:w="1535" w:type="dxa"/>
            <w:shd w:val="clear" w:color="auto" w:fill="auto"/>
          </w:tcPr>
          <w:p w14:paraId="1697B3FA" w14:textId="77777777" w:rsidR="00DE2F8A" w:rsidRPr="001E1FBB" w:rsidRDefault="00DE2F8A" w:rsidP="00A65E5F">
            <w:pPr>
              <w:tabs>
                <w:tab w:val="left" w:pos="2450"/>
              </w:tabs>
              <w:suppressAutoHyphens/>
              <w:jc w:val="both"/>
              <w:rPr>
                <w:bCs/>
              </w:rPr>
            </w:pPr>
            <w:r w:rsidRPr="001E1FBB">
              <w:rPr>
                <w:bCs/>
              </w:rPr>
              <w:t>95% CI</w:t>
            </w:r>
          </w:p>
        </w:tc>
        <w:tc>
          <w:tcPr>
            <w:tcW w:w="1535" w:type="dxa"/>
            <w:shd w:val="clear" w:color="auto" w:fill="auto"/>
          </w:tcPr>
          <w:p w14:paraId="54E04A8C" w14:textId="77777777" w:rsidR="00DE2F8A" w:rsidRPr="001E1FBB" w:rsidRDefault="00DE2F8A" w:rsidP="00A65E5F">
            <w:pPr>
              <w:tabs>
                <w:tab w:val="left" w:pos="2450"/>
              </w:tabs>
              <w:suppressAutoHyphens/>
              <w:jc w:val="center"/>
              <w:rPr>
                <w:bCs/>
              </w:rPr>
            </w:pPr>
            <w:r w:rsidRPr="001E1FBB">
              <w:rPr>
                <w:bCs/>
              </w:rPr>
              <w:t>(41,3;89,0)</w:t>
            </w:r>
          </w:p>
        </w:tc>
        <w:tc>
          <w:tcPr>
            <w:tcW w:w="1535" w:type="dxa"/>
            <w:shd w:val="clear" w:color="auto" w:fill="auto"/>
          </w:tcPr>
          <w:p w14:paraId="3B98B6B3" w14:textId="77777777" w:rsidR="00DE2F8A" w:rsidRPr="001E1FBB" w:rsidRDefault="00DE2F8A" w:rsidP="00A65E5F">
            <w:pPr>
              <w:tabs>
                <w:tab w:val="left" w:pos="2450"/>
              </w:tabs>
              <w:suppressAutoHyphens/>
              <w:jc w:val="center"/>
              <w:rPr>
                <w:bCs/>
              </w:rPr>
            </w:pPr>
            <w:r w:rsidRPr="001E1FBB">
              <w:rPr>
                <w:bCs/>
              </w:rPr>
              <w:t>(41,0;86,7)</w:t>
            </w:r>
          </w:p>
        </w:tc>
        <w:tc>
          <w:tcPr>
            <w:tcW w:w="1535" w:type="dxa"/>
            <w:shd w:val="clear" w:color="auto" w:fill="auto"/>
          </w:tcPr>
          <w:p w14:paraId="6CA5C2B2" w14:textId="77777777" w:rsidR="00DE2F8A" w:rsidRPr="001E1FBB" w:rsidRDefault="00DE2F8A" w:rsidP="00A65E5F">
            <w:pPr>
              <w:tabs>
                <w:tab w:val="left" w:pos="2450"/>
              </w:tabs>
              <w:suppressAutoHyphens/>
              <w:jc w:val="center"/>
              <w:rPr>
                <w:bCs/>
              </w:rPr>
            </w:pPr>
            <w:r w:rsidRPr="001E1FBB">
              <w:rPr>
                <w:bCs/>
              </w:rPr>
              <w:t>(47,2;82,7)</w:t>
            </w:r>
          </w:p>
        </w:tc>
        <w:tc>
          <w:tcPr>
            <w:tcW w:w="1536" w:type="dxa"/>
            <w:shd w:val="clear" w:color="auto" w:fill="auto"/>
          </w:tcPr>
          <w:p w14:paraId="2E2B266B" w14:textId="77777777" w:rsidR="00DE2F8A" w:rsidRPr="001E1FBB" w:rsidRDefault="00DE2F8A" w:rsidP="00A65E5F">
            <w:pPr>
              <w:tabs>
                <w:tab w:val="left" w:pos="2450"/>
              </w:tabs>
              <w:suppressAutoHyphens/>
              <w:jc w:val="center"/>
              <w:rPr>
                <w:bCs/>
              </w:rPr>
            </w:pPr>
            <w:r w:rsidRPr="001E1FBB">
              <w:rPr>
                <w:bCs/>
              </w:rPr>
              <w:t>(54,3;78,4)</w:t>
            </w:r>
          </w:p>
        </w:tc>
      </w:tr>
    </w:tbl>
    <w:p w14:paraId="31665BB5" w14:textId="77777777" w:rsidR="00DE2F8A" w:rsidRDefault="00DE2F8A" w:rsidP="00DE2F8A">
      <w:r w:rsidRPr="0070200D">
        <w:t>95% CI = nøjagtigt</w:t>
      </w:r>
      <w:r>
        <w:t xml:space="preserve"> </w:t>
      </w:r>
      <w:r w:rsidRPr="0070200D">
        <w:t>95% konfidensinterval</w:t>
      </w:r>
      <w:r>
        <w:t xml:space="preserve"> </w:t>
      </w:r>
      <w:r w:rsidRPr="0070200D">
        <w:t xml:space="preserve">for binomialfordelinger med </w:t>
      </w:r>
      <w:proofErr w:type="spellStart"/>
      <w:r w:rsidRPr="0070200D">
        <w:t>Clopper</w:t>
      </w:r>
      <w:proofErr w:type="spellEnd"/>
      <w:r w:rsidRPr="0070200D">
        <w:t xml:space="preserve">-Pearson-metoden; </w:t>
      </w:r>
    </w:p>
    <w:p w14:paraId="3ED8F69C" w14:textId="77777777" w:rsidR="00DE2F8A" w:rsidRDefault="00DE2F8A" w:rsidP="00DE2F8A">
      <w:r w:rsidRPr="0070200D">
        <w:t>EOIVT</w:t>
      </w:r>
      <w:r>
        <w:t xml:space="preserve"> </w:t>
      </w:r>
      <w:r w:rsidRPr="00C81E0B">
        <w:rPr>
          <w:i/>
          <w:iCs/>
        </w:rPr>
        <w:t xml:space="preserve">(End of </w:t>
      </w:r>
      <w:proofErr w:type="spellStart"/>
      <w:r w:rsidRPr="00C81E0B">
        <w:rPr>
          <w:i/>
          <w:iCs/>
        </w:rPr>
        <w:t>Intravenous</w:t>
      </w:r>
      <w:proofErr w:type="spellEnd"/>
      <w:r w:rsidRPr="00C81E0B">
        <w:rPr>
          <w:i/>
          <w:iCs/>
        </w:rPr>
        <w:t xml:space="preserve"> </w:t>
      </w:r>
      <w:proofErr w:type="spellStart"/>
      <w:r w:rsidRPr="00C81E0B">
        <w:rPr>
          <w:i/>
          <w:iCs/>
        </w:rPr>
        <w:t>Treatment</w:t>
      </w:r>
      <w:proofErr w:type="spellEnd"/>
      <w:r w:rsidRPr="00C81E0B">
        <w:rPr>
          <w:i/>
          <w:iCs/>
        </w:rPr>
        <w:t>)</w:t>
      </w:r>
      <w:r>
        <w:t xml:space="preserve"> </w:t>
      </w:r>
      <w:r w:rsidRPr="0070200D">
        <w:t>=</w:t>
      </w:r>
      <w:r>
        <w:t xml:space="preserve"> </w:t>
      </w:r>
      <w:r w:rsidRPr="0070200D">
        <w:t>afslutning af intravenøs behandling; EOT</w:t>
      </w:r>
      <w:r>
        <w:t xml:space="preserve"> </w:t>
      </w:r>
      <w:r w:rsidRPr="00C81E0B">
        <w:rPr>
          <w:i/>
          <w:iCs/>
        </w:rPr>
        <w:t xml:space="preserve">(End of All </w:t>
      </w:r>
      <w:proofErr w:type="spellStart"/>
      <w:r w:rsidRPr="00C81E0B">
        <w:rPr>
          <w:i/>
          <w:iCs/>
        </w:rPr>
        <w:t>Treatment</w:t>
      </w:r>
      <w:proofErr w:type="spellEnd"/>
      <w:r w:rsidRPr="00C81E0B">
        <w:rPr>
          <w:i/>
          <w:iCs/>
        </w:rPr>
        <w:t>)</w:t>
      </w:r>
      <w:r>
        <w:t xml:space="preserve"> </w:t>
      </w:r>
      <w:r w:rsidRPr="0070200D">
        <w:t>=</w:t>
      </w:r>
      <w:r>
        <w:t xml:space="preserve"> </w:t>
      </w:r>
      <w:r w:rsidRPr="0070200D">
        <w:t>afslutning af al behandling; FU</w:t>
      </w:r>
      <w:r>
        <w:t xml:space="preserve"> </w:t>
      </w:r>
      <w:r w:rsidRPr="00C81E0B">
        <w:rPr>
          <w:i/>
          <w:iCs/>
        </w:rPr>
        <w:t>(</w:t>
      </w:r>
      <w:proofErr w:type="spellStart"/>
      <w:r w:rsidRPr="00C81E0B">
        <w:rPr>
          <w:i/>
          <w:iCs/>
        </w:rPr>
        <w:t>follow-up</w:t>
      </w:r>
      <w:proofErr w:type="spellEnd"/>
      <w:r w:rsidRPr="00C81E0B">
        <w:rPr>
          <w:i/>
          <w:iCs/>
        </w:rPr>
        <w:t>)</w:t>
      </w:r>
      <w:r w:rsidRPr="0070200D">
        <w:t xml:space="preserve"> = opfølgning; MITT (</w:t>
      </w:r>
      <w:proofErr w:type="spellStart"/>
      <w:r w:rsidRPr="0070200D">
        <w:t>modified</w:t>
      </w:r>
      <w:proofErr w:type="spellEnd"/>
      <w:r w:rsidRPr="0070200D">
        <w:t xml:space="preserve"> intent-</w:t>
      </w:r>
      <w:proofErr w:type="spellStart"/>
      <w:r w:rsidRPr="0070200D">
        <w:t>totreat</w:t>
      </w:r>
      <w:proofErr w:type="spellEnd"/>
      <w:r w:rsidRPr="0070200D">
        <w:t>) = modificeret intent-to-</w:t>
      </w:r>
      <w:proofErr w:type="spellStart"/>
      <w:r w:rsidRPr="0070200D">
        <w:t>treat</w:t>
      </w:r>
      <w:proofErr w:type="spellEnd"/>
      <w:r w:rsidRPr="0070200D">
        <w:t>; N=antal patienter i populationen; n=antal patienter med respons</w:t>
      </w:r>
    </w:p>
    <w:p w14:paraId="4B22F719" w14:textId="19046403" w:rsidR="00F87DD9" w:rsidRDefault="00F87DD9">
      <w:pPr>
        <w:rPr>
          <w:sz w:val="24"/>
          <w:szCs w:val="24"/>
        </w:rPr>
      </w:pPr>
    </w:p>
    <w:p w14:paraId="0C1BE8A8" w14:textId="77777777" w:rsidR="00A20FCD" w:rsidRPr="003A0C6B" w:rsidRDefault="00A20FCD" w:rsidP="00B94CD5">
      <w:pPr>
        <w:pStyle w:val="Brdtekst"/>
        <w:ind w:left="851"/>
        <w:rPr>
          <w:sz w:val="24"/>
          <w:szCs w:val="24"/>
        </w:rPr>
      </w:pPr>
    </w:p>
    <w:p w14:paraId="1CEA9F75" w14:textId="77777777" w:rsidR="009260DE" w:rsidRPr="007B4B68" w:rsidRDefault="009260DE" w:rsidP="00B94CD5">
      <w:pPr>
        <w:tabs>
          <w:tab w:val="left" w:pos="851"/>
        </w:tabs>
        <w:ind w:left="851" w:hanging="851"/>
        <w:rPr>
          <w:b/>
          <w:sz w:val="24"/>
          <w:szCs w:val="24"/>
        </w:rPr>
      </w:pPr>
      <w:r w:rsidRPr="007B4B68">
        <w:rPr>
          <w:b/>
          <w:sz w:val="24"/>
          <w:szCs w:val="24"/>
        </w:rPr>
        <w:t>5.2</w:t>
      </w:r>
      <w:r w:rsidRPr="007B4B68">
        <w:rPr>
          <w:b/>
          <w:sz w:val="24"/>
          <w:szCs w:val="24"/>
        </w:rPr>
        <w:tab/>
      </w:r>
      <w:proofErr w:type="spellStart"/>
      <w:r w:rsidRPr="007B4B68">
        <w:rPr>
          <w:b/>
          <w:sz w:val="24"/>
          <w:szCs w:val="24"/>
        </w:rPr>
        <w:t>Farmakokinetiske</w:t>
      </w:r>
      <w:proofErr w:type="spellEnd"/>
      <w:r w:rsidRPr="007B4B68">
        <w:rPr>
          <w:b/>
          <w:sz w:val="24"/>
          <w:szCs w:val="24"/>
        </w:rPr>
        <w:t xml:space="preserve"> egenskaber</w:t>
      </w:r>
    </w:p>
    <w:p w14:paraId="05CD2344" w14:textId="77777777" w:rsidR="00303959" w:rsidRPr="007B4B68" w:rsidRDefault="00303959" w:rsidP="00B94CD5">
      <w:pPr>
        <w:ind w:left="851"/>
        <w:rPr>
          <w:sz w:val="24"/>
          <w:szCs w:val="24"/>
        </w:rPr>
      </w:pPr>
    </w:p>
    <w:p w14:paraId="080645D0" w14:textId="4E5DF6AD" w:rsidR="00C5280D" w:rsidRPr="007B4B68" w:rsidRDefault="00C5280D" w:rsidP="00B94CD5">
      <w:pPr>
        <w:ind w:left="851"/>
        <w:rPr>
          <w:sz w:val="24"/>
          <w:szCs w:val="24"/>
          <w:u w:val="single"/>
        </w:rPr>
      </w:pPr>
      <w:r w:rsidRPr="007B4B68">
        <w:rPr>
          <w:sz w:val="24"/>
          <w:szCs w:val="24"/>
          <w:u w:val="single"/>
        </w:rPr>
        <w:t xml:space="preserve">Generelle </w:t>
      </w:r>
      <w:proofErr w:type="spellStart"/>
      <w:r w:rsidRPr="007B4B68">
        <w:rPr>
          <w:sz w:val="24"/>
          <w:szCs w:val="24"/>
          <w:u w:val="single"/>
        </w:rPr>
        <w:t>farmakokinetiske</w:t>
      </w:r>
      <w:proofErr w:type="spellEnd"/>
      <w:r w:rsidRPr="007B4B68">
        <w:rPr>
          <w:sz w:val="24"/>
          <w:szCs w:val="24"/>
          <w:u w:val="single"/>
        </w:rPr>
        <w:t xml:space="preserve"> karakteristika</w:t>
      </w:r>
    </w:p>
    <w:p w14:paraId="73B10012" w14:textId="77777777" w:rsidR="00C5280D" w:rsidRPr="007B4B68" w:rsidRDefault="00C5280D" w:rsidP="00B94CD5">
      <w:pPr>
        <w:ind w:left="851"/>
        <w:rPr>
          <w:sz w:val="24"/>
          <w:szCs w:val="24"/>
        </w:rPr>
      </w:pPr>
    </w:p>
    <w:p w14:paraId="685CA5A0" w14:textId="77777777" w:rsidR="00C5280D" w:rsidRPr="007B4B68" w:rsidRDefault="00C5280D" w:rsidP="00B94CD5">
      <w:pPr>
        <w:ind w:left="851"/>
        <w:rPr>
          <w:sz w:val="24"/>
          <w:szCs w:val="24"/>
        </w:rPr>
      </w:pPr>
      <w:proofErr w:type="spellStart"/>
      <w:r w:rsidRPr="007B4B68">
        <w:rPr>
          <w:sz w:val="24"/>
          <w:szCs w:val="24"/>
        </w:rPr>
        <w:t>Anidulafungins</w:t>
      </w:r>
      <w:proofErr w:type="spellEnd"/>
      <w:r w:rsidRPr="007B4B68">
        <w:rPr>
          <w:sz w:val="24"/>
          <w:szCs w:val="24"/>
        </w:rPr>
        <w:t xml:space="preserve"> farmakokinetik er beskrevet hos raske forsøgspersoner, i specielle populationer og hos patienter. Der blev observeret en lav </w:t>
      </w:r>
      <w:proofErr w:type="spellStart"/>
      <w:r w:rsidRPr="007B4B68">
        <w:rPr>
          <w:sz w:val="24"/>
          <w:szCs w:val="24"/>
        </w:rPr>
        <w:t>interindividuel</w:t>
      </w:r>
      <w:proofErr w:type="spellEnd"/>
      <w:r w:rsidRPr="007B4B68">
        <w:rPr>
          <w:sz w:val="24"/>
          <w:szCs w:val="24"/>
        </w:rPr>
        <w:t xml:space="preserve"> variation i systemisk eksponering (variationskoefficient på omtrent 25 %). </w:t>
      </w:r>
      <w:proofErr w:type="spellStart"/>
      <w:r w:rsidRPr="007B4B68">
        <w:rPr>
          <w:sz w:val="24"/>
          <w:szCs w:val="24"/>
        </w:rPr>
        <w:t>Steady</w:t>
      </w:r>
      <w:proofErr w:type="spellEnd"/>
      <w:r w:rsidRPr="007B4B68">
        <w:rPr>
          <w:sz w:val="24"/>
          <w:szCs w:val="24"/>
        </w:rPr>
        <w:t xml:space="preserve"> </w:t>
      </w:r>
      <w:proofErr w:type="spellStart"/>
      <w:r w:rsidRPr="007B4B68">
        <w:rPr>
          <w:sz w:val="24"/>
          <w:szCs w:val="24"/>
        </w:rPr>
        <w:t>state</w:t>
      </w:r>
      <w:proofErr w:type="spellEnd"/>
      <w:r w:rsidRPr="007B4B68">
        <w:rPr>
          <w:sz w:val="24"/>
          <w:szCs w:val="24"/>
        </w:rPr>
        <w:t xml:space="preserve"> blev opnået den første dag efter initialdosis (dobbelt daglig vedligeholdelsesdosis).</w:t>
      </w:r>
    </w:p>
    <w:p w14:paraId="454AEB54" w14:textId="77777777" w:rsidR="00C5280D" w:rsidRPr="007B4B68" w:rsidRDefault="00C5280D" w:rsidP="00B94CD5">
      <w:pPr>
        <w:ind w:left="851"/>
        <w:rPr>
          <w:sz w:val="24"/>
          <w:szCs w:val="24"/>
        </w:rPr>
      </w:pPr>
    </w:p>
    <w:p w14:paraId="6632C72F" w14:textId="77777777" w:rsidR="00C5280D" w:rsidRPr="007B4B68" w:rsidRDefault="00C5280D" w:rsidP="00B94CD5">
      <w:pPr>
        <w:ind w:left="851"/>
        <w:rPr>
          <w:sz w:val="24"/>
          <w:szCs w:val="24"/>
          <w:u w:val="single"/>
        </w:rPr>
      </w:pPr>
      <w:r w:rsidRPr="007B4B68">
        <w:rPr>
          <w:sz w:val="24"/>
          <w:szCs w:val="24"/>
          <w:u w:val="single"/>
        </w:rPr>
        <w:t>Distribution</w:t>
      </w:r>
    </w:p>
    <w:p w14:paraId="451055D4" w14:textId="77777777" w:rsidR="00C5280D" w:rsidRPr="007B4B68" w:rsidRDefault="00C5280D" w:rsidP="00B94CD5">
      <w:pPr>
        <w:ind w:left="851"/>
        <w:rPr>
          <w:sz w:val="24"/>
          <w:szCs w:val="24"/>
        </w:rPr>
      </w:pPr>
    </w:p>
    <w:p w14:paraId="1EB9743E" w14:textId="77777777" w:rsidR="00C5280D" w:rsidRPr="007B4B68" w:rsidRDefault="00C5280D" w:rsidP="00B94CD5">
      <w:pPr>
        <w:ind w:left="851"/>
        <w:rPr>
          <w:sz w:val="24"/>
          <w:szCs w:val="24"/>
        </w:rPr>
      </w:pPr>
      <w:proofErr w:type="spellStart"/>
      <w:r w:rsidRPr="007B4B68">
        <w:rPr>
          <w:sz w:val="24"/>
          <w:szCs w:val="24"/>
        </w:rPr>
        <w:t>Anidulafungins</w:t>
      </w:r>
      <w:proofErr w:type="spellEnd"/>
      <w:r w:rsidRPr="007B4B68">
        <w:rPr>
          <w:sz w:val="24"/>
          <w:szCs w:val="24"/>
        </w:rPr>
        <w:t xml:space="preserve"> farmakokinetik er karakteriseret ved en hurtig distributionshalveringstid (0,5-1 time) og et fordelingsvolumen på 30-50 l, svarende til kroppens totale væskevolumen. </w:t>
      </w:r>
      <w:proofErr w:type="spellStart"/>
      <w:r w:rsidRPr="007B4B68">
        <w:rPr>
          <w:sz w:val="24"/>
          <w:szCs w:val="24"/>
        </w:rPr>
        <w:t>Anidulafungin</w:t>
      </w:r>
      <w:proofErr w:type="spellEnd"/>
      <w:r w:rsidRPr="007B4B68">
        <w:rPr>
          <w:sz w:val="24"/>
          <w:szCs w:val="24"/>
        </w:rPr>
        <w:t xml:space="preserve"> er i udstrakt grad (&gt;99 %) bundet til humane plasmaproteiner. Der er ikke udført specifikke vævsdistributionsstudier med </w:t>
      </w:r>
      <w:proofErr w:type="spellStart"/>
      <w:r w:rsidRPr="007B4B68">
        <w:rPr>
          <w:sz w:val="24"/>
          <w:szCs w:val="24"/>
        </w:rPr>
        <w:t>anidulafungin</w:t>
      </w:r>
      <w:proofErr w:type="spellEnd"/>
      <w:r w:rsidRPr="007B4B68">
        <w:rPr>
          <w:sz w:val="24"/>
          <w:szCs w:val="24"/>
        </w:rPr>
        <w:t xml:space="preserve"> på mennesker, hvorfor der ikke findes information vedrørende </w:t>
      </w:r>
      <w:proofErr w:type="spellStart"/>
      <w:r w:rsidRPr="007B4B68">
        <w:rPr>
          <w:sz w:val="24"/>
          <w:szCs w:val="24"/>
        </w:rPr>
        <w:t>anidulafungins</w:t>
      </w:r>
      <w:proofErr w:type="spellEnd"/>
      <w:r w:rsidRPr="007B4B68">
        <w:rPr>
          <w:sz w:val="24"/>
          <w:szCs w:val="24"/>
        </w:rPr>
        <w:t xml:space="preserve"> penetration af cerebrospinalvæsken og/eller over blod-hjernebarrieren.</w:t>
      </w:r>
    </w:p>
    <w:p w14:paraId="4BAD3A47" w14:textId="77777777" w:rsidR="00C5280D" w:rsidRPr="007B4B68" w:rsidRDefault="00C5280D" w:rsidP="00B94CD5">
      <w:pPr>
        <w:ind w:left="851"/>
        <w:rPr>
          <w:sz w:val="24"/>
          <w:szCs w:val="24"/>
        </w:rPr>
      </w:pPr>
    </w:p>
    <w:p w14:paraId="4FA181C5" w14:textId="77777777" w:rsidR="00C5280D" w:rsidRPr="007B4B68" w:rsidRDefault="00C5280D" w:rsidP="00B94CD5">
      <w:pPr>
        <w:ind w:left="851"/>
        <w:rPr>
          <w:sz w:val="24"/>
          <w:szCs w:val="24"/>
          <w:u w:val="single"/>
        </w:rPr>
      </w:pPr>
      <w:r w:rsidRPr="007B4B68">
        <w:rPr>
          <w:sz w:val="24"/>
          <w:szCs w:val="24"/>
          <w:u w:val="single"/>
        </w:rPr>
        <w:t>Biotransformation</w:t>
      </w:r>
    </w:p>
    <w:p w14:paraId="01FC4374" w14:textId="77777777" w:rsidR="00C5280D" w:rsidRPr="007B4B68" w:rsidRDefault="00C5280D" w:rsidP="00B94CD5">
      <w:pPr>
        <w:ind w:left="851"/>
        <w:rPr>
          <w:sz w:val="24"/>
          <w:szCs w:val="24"/>
        </w:rPr>
      </w:pPr>
    </w:p>
    <w:p w14:paraId="45B4674C" w14:textId="77777777" w:rsidR="00C5280D" w:rsidRPr="007B4B68" w:rsidRDefault="00C5280D" w:rsidP="00B94CD5">
      <w:pPr>
        <w:ind w:left="851"/>
        <w:rPr>
          <w:sz w:val="24"/>
          <w:szCs w:val="24"/>
        </w:rPr>
      </w:pPr>
      <w:r w:rsidRPr="007B4B68">
        <w:rPr>
          <w:sz w:val="24"/>
          <w:szCs w:val="24"/>
        </w:rPr>
        <w:t xml:space="preserve">Der er ikke observeret </w:t>
      </w:r>
      <w:proofErr w:type="spellStart"/>
      <w:r w:rsidRPr="007B4B68">
        <w:rPr>
          <w:sz w:val="24"/>
          <w:szCs w:val="24"/>
        </w:rPr>
        <w:t>hepatisk</w:t>
      </w:r>
      <w:proofErr w:type="spellEnd"/>
      <w:r w:rsidRPr="007B4B68">
        <w:rPr>
          <w:sz w:val="24"/>
          <w:szCs w:val="24"/>
        </w:rPr>
        <w:t xml:space="preserve"> metabolisme af </w:t>
      </w:r>
      <w:proofErr w:type="spellStart"/>
      <w:r w:rsidRPr="007B4B68">
        <w:rPr>
          <w:sz w:val="24"/>
          <w:szCs w:val="24"/>
        </w:rPr>
        <w:t>anidulafungin</w:t>
      </w:r>
      <w:proofErr w:type="spellEnd"/>
      <w:r w:rsidRPr="007B4B68">
        <w:rPr>
          <w:sz w:val="24"/>
          <w:szCs w:val="24"/>
        </w:rPr>
        <w:t xml:space="preserve">. </w:t>
      </w:r>
      <w:proofErr w:type="spellStart"/>
      <w:r w:rsidRPr="007B4B68">
        <w:rPr>
          <w:sz w:val="24"/>
          <w:szCs w:val="24"/>
        </w:rPr>
        <w:t>Anidulafungin</w:t>
      </w:r>
      <w:proofErr w:type="spellEnd"/>
      <w:r w:rsidRPr="007B4B68">
        <w:rPr>
          <w:sz w:val="24"/>
          <w:szCs w:val="24"/>
        </w:rPr>
        <w:t xml:space="preserve"> er ikke et klinisk betydende substrat, induktor eller hæmmer af </w:t>
      </w:r>
      <w:proofErr w:type="spellStart"/>
      <w:r w:rsidRPr="007B4B68">
        <w:rPr>
          <w:sz w:val="24"/>
          <w:szCs w:val="24"/>
        </w:rPr>
        <w:t>cytochrom</w:t>
      </w:r>
      <w:proofErr w:type="spellEnd"/>
      <w:r w:rsidRPr="007B4B68">
        <w:rPr>
          <w:sz w:val="24"/>
          <w:szCs w:val="24"/>
        </w:rPr>
        <w:t xml:space="preserve"> P450-isoenzymer. Det er ikke sandsynligt, at </w:t>
      </w:r>
      <w:proofErr w:type="spellStart"/>
      <w:r w:rsidRPr="007B4B68">
        <w:rPr>
          <w:sz w:val="24"/>
          <w:szCs w:val="24"/>
        </w:rPr>
        <w:t>anidulafungin</w:t>
      </w:r>
      <w:proofErr w:type="spellEnd"/>
      <w:r w:rsidRPr="007B4B68">
        <w:rPr>
          <w:sz w:val="24"/>
          <w:szCs w:val="24"/>
        </w:rPr>
        <w:t xml:space="preserve"> vil have klinisk betydende effekt på metabolismen af lægemidler, der </w:t>
      </w:r>
      <w:proofErr w:type="spellStart"/>
      <w:r w:rsidRPr="007B4B68">
        <w:rPr>
          <w:sz w:val="24"/>
          <w:szCs w:val="24"/>
        </w:rPr>
        <w:t>metaboliseres</w:t>
      </w:r>
      <w:proofErr w:type="spellEnd"/>
      <w:r w:rsidRPr="007B4B68">
        <w:rPr>
          <w:sz w:val="24"/>
          <w:szCs w:val="24"/>
        </w:rPr>
        <w:t xml:space="preserve"> via </w:t>
      </w:r>
      <w:proofErr w:type="spellStart"/>
      <w:r w:rsidRPr="007B4B68">
        <w:rPr>
          <w:sz w:val="24"/>
          <w:szCs w:val="24"/>
        </w:rPr>
        <w:t>cytochrom</w:t>
      </w:r>
      <w:proofErr w:type="spellEnd"/>
      <w:r w:rsidRPr="007B4B68">
        <w:rPr>
          <w:sz w:val="24"/>
          <w:szCs w:val="24"/>
        </w:rPr>
        <w:t xml:space="preserve"> P450-isoenzymer.</w:t>
      </w:r>
    </w:p>
    <w:p w14:paraId="34EBA441" w14:textId="77777777" w:rsidR="00C5280D" w:rsidRPr="007B4B68" w:rsidRDefault="00C5280D" w:rsidP="00B94CD5">
      <w:pPr>
        <w:ind w:left="851"/>
        <w:rPr>
          <w:sz w:val="24"/>
          <w:szCs w:val="24"/>
        </w:rPr>
      </w:pPr>
    </w:p>
    <w:p w14:paraId="4F0933B2" w14:textId="77777777" w:rsidR="00C5280D" w:rsidRPr="007B4B68" w:rsidRDefault="00C5280D" w:rsidP="00B94CD5">
      <w:pPr>
        <w:ind w:left="851"/>
        <w:rPr>
          <w:sz w:val="24"/>
          <w:szCs w:val="24"/>
        </w:rPr>
      </w:pPr>
      <w:r w:rsidRPr="007B4B68">
        <w:rPr>
          <w:sz w:val="24"/>
          <w:szCs w:val="24"/>
        </w:rPr>
        <w:t xml:space="preserve">Ved fysiologisk temperatur og pH undergår </w:t>
      </w:r>
      <w:proofErr w:type="spellStart"/>
      <w:r w:rsidRPr="007B4B68">
        <w:rPr>
          <w:sz w:val="24"/>
          <w:szCs w:val="24"/>
        </w:rPr>
        <w:t>anidulafungin</w:t>
      </w:r>
      <w:proofErr w:type="spellEnd"/>
      <w:r w:rsidRPr="007B4B68">
        <w:rPr>
          <w:sz w:val="24"/>
          <w:szCs w:val="24"/>
        </w:rPr>
        <w:t xml:space="preserve"> en langsom kemisk nedbrydning til </w:t>
      </w:r>
      <w:proofErr w:type="gramStart"/>
      <w:r w:rsidRPr="007B4B68">
        <w:rPr>
          <w:sz w:val="24"/>
          <w:szCs w:val="24"/>
        </w:rPr>
        <w:t>et peptid</w:t>
      </w:r>
      <w:proofErr w:type="gramEnd"/>
      <w:r w:rsidRPr="007B4B68">
        <w:rPr>
          <w:sz w:val="24"/>
          <w:szCs w:val="24"/>
        </w:rPr>
        <w:t xml:space="preserve"> med åben ring, som mangler fungicid aktivitet. Under fysiologiske betingelser er </w:t>
      </w:r>
      <w:proofErr w:type="spellStart"/>
      <w:r w:rsidRPr="007B4B68">
        <w:rPr>
          <w:sz w:val="24"/>
          <w:szCs w:val="24"/>
        </w:rPr>
        <w:t>anidulafungins</w:t>
      </w:r>
      <w:proofErr w:type="spellEnd"/>
      <w:r w:rsidRPr="007B4B68">
        <w:rPr>
          <w:sz w:val="24"/>
          <w:szCs w:val="24"/>
        </w:rPr>
        <w:t xml:space="preserve"> nedbrydningshalveringstid ca. 24 timer </w:t>
      </w:r>
      <w:r w:rsidRPr="007B4B68">
        <w:rPr>
          <w:i/>
          <w:sz w:val="24"/>
          <w:szCs w:val="24"/>
        </w:rPr>
        <w:t xml:space="preserve">in </w:t>
      </w:r>
      <w:proofErr w:type="spellStart"/>
      <w:r w:rsidRPr="007B4B68">
        <w:rPr>
          <w:i/>
          <w:sz w:val="24"/>
          <w:szCs w:val="24"/>
        </w:rPr>
        <w:t>vitro</w:t>
      </w:r>
      <w:proofErr w:type="spellEnd"/>
      <w:r w:rsidRPr="007B4B68">
        <w:rPr>
          <w:sz w:val="24"/>
          <w:szCs w:val="24"/>
        </w:rPr>
        <w:t xml:space="preserve">. </w:t>
      </w:r>
      <w:r w:rsidRPr="007B4B68">
        <w:rPr>
          <w:i/>
          <w:sz w:val="24"/>
          <w:szCs w:val="24"/>
        </w:rPr>
        <w:t xml:space="preserve">In </w:t>
      </w:r>
      <w:proofErr w:type="spellStart"/>
      <w:r w:rsidRPr="007B4B68">
        <w:rPr>
          <w:i/>
          <w:sz w:val="24"/>
          <w:szCs w:val="24"/>
        </w:rPr>
        <w:t>vivo</w:t>
      </w:r>
      <w:proofErr w:type="spellEnd"/>
      <w:r w:rsidRPr="007B4B68">
        <w:rPr>
          <w:i/>
          <w:sz w:val="24"/>
          <w:szCs w:val="24"/>
        </w:rPr>
        <w:t xml:space="preserve"> </w:t>
      </w:r>
      <w:r w:rsidRPr="007B4B68">
        <w:rPr>
          <w:sz w:val="24"/>
          <w:szCs w:val="24"/>
        </w:rPr>
        <w:t xml:space="preserve">omdannes det ring-åbnede peptid efterfølgende til </w:t>
      </w:r>
      <w:proofErr w:type="spellStart"/>
      <w:r w:rsidRPr="007B4B68">
        <w:rPr>
          <w:sz w:val="24"/>
          <w:szCs w:val="24"/>
        </w:rPr>
        <w:t>petid</w:t>
      </w:r>
      <w:proofErr w:type="spellEnd"/>
      <w:r w:rsidRPr="007B4B68">
        <w:rPr>
          <w:sz w:val="24"/>
          <w:szCs w:val="24"/>
        </w:rPr>
        <w:t>-nedbrydningsprodukter, og bliver hovedsageligt elimineret ved udskillelse gennem galden.</w:t>
      </w:r>
    </w:p>
    <w:p w14:paraId="2F110497" w14:textId="77777777" w:rsidR="00C5280D" w:rsidRPr="007B4B68" w:rsidRDefault="00C5280D" w:rsidP="00B94CD5">
      <w:pPr>
        <w:ind w:left="851"/>
        <w:rPr>
          <w:sz w:val="24"/>
          <w:szCs w:val="24"/>
        </w:rPr>
      </w:pPr>
    </w:p>
    <w:p w14:paraId="3AE9CEED" w14:textId="77777777" w:rsidR="00C5280D" w:rsidRPr="0063578E" w:rsidRDefault="00C5280D" w:rsidP="00B94CD5">
      <w:pPr>
        <w:ind w:left="851"/>
        <w:rPr>
          <w:sz w:val="24"/>
          <w:szCs w:val="24"/>
          <w:u w:val="single"/>
          <w:lang w:val="en-US"/>
        </w:rPr>
      </w:pPr>
      <w:r w:rsidRPr="0063578E">
        <w:rPr>
          <w:sz w:val="24"/>
          <w:szCs w:val="24"/>
          <w:u w:val="single"/>
          <w:lang w:val="en-US"/>
        </w:rPr>
        <w:t>Elimination</w:t>
      </w:r>
    </w:p>
    <w:p w14:paraId="36B42B2C" w14:textId="77777777" w:rsidR="00C5280D" w:rsidRPr="0063578E" w:rsidRDefault="00C5280D" w:rsidP="00B94CD5">
      <w:pPr>
        <w:ind w:left="851"/>
        <w:rPr>
          <w:sz w:val="24"/>
          <w:szCs w:val="24"/>
          <w:lang w:val="en-US"/>
        </w:rPr>
      </w:pPr>
    </w:p>
    <w:p w14:paraId="38E8FEFE" w14:textId="09C743AB" w:rsidR="00C5280D" w:rsidRPr="003769C2" w:rsidRDefault="00C5280D" w:rsidP="00B94CD5">
      <w:pPr>
        <w:ind w:left="851"/>
        <w:rPr>
          <w:sz w:val="24"/>
          <w:szCs w:val="24"/>
        </w:rPr>
      </w:pPr>
      <w:r w:rsidRPr="00003272">
        <w:rPr>
          <w:sz w:val="24"/>
          <w:szCs w:val="24"/>
          <w:lang w:val="en-US"/>
        </w:rPr>
        <w:t xml:space="preserve">Clearance </w:t>
      </w:r>
      <w:proofErr w:type="spellStart"/>
      <w:r w:rsidRPr="00003272">
        <w:rPr>
          <w:sz w:val="24"/>
          <w:szCs w:val="24"/>
          <w:lang w:val="en-US"/>
        </w:rPr>
        <w:t>af</w:t>
      </w:r>
      <w:proofErr w:type="spellEnd"/>
      <w:r w:rsidRPr="00003272">
        <w:rPr>
          <w:sz w:val="24"/>
          <w:szCs w:val="24"/>
          <w:lang w:val="en-US"/>
        </w:rPr>
        <w:t xml:space="preserve"> anidulafungin </w:t>
      </w:r>
      <w:proofErr w:type="spellStart"/>
      <w:r w:rsidRPr="00003272">
        <w:rPr>
          <w:sz w:val="24"/>
          <w:szCs w:val="24"/>
          <w:lang w:val="en-US"/>
        </w:rPr>
        <w:t>er</w:t>
      </w:r>
      <w:proofErr w:type="spellEnd"/>
      <w:r w:rsidRPr="00003272">
        <w:rPr>
          <w:sz w:val="24"/>
          <w:szCs w:val="24"/>
          <w:lang w:val="en-US"/>
        </w:rPr>
        <w:t xml:space="preserve"> ca</w:t>
      </w:r>
      <w:r w:rsidR="00F17732" w:rsidRPr="00003272">
        <w:rPr>
          <w:sz w:val="24"/>
          <w:szCs w:val="24"/>
          <w:lang w:val="en-US"/>
        </w:rPr>
        <w:t>.</w:t>
      </w:r>
      <w:r w:rsidRPr="00003272">
        <w:rPr>
          <w:sz w:val="24"/>
          <w:szCs w:val="24"/>
          <w:lang w:val="en-US"/>
        </w:rPr>
        <w:t xml:space="preserve"> 1 l/time. </w:t>
      </w:r>
      <w:proofErr w:type="spellStart"/>
      <w:r w:rsidRPr="003769C2">
        <w:rPr>
          <w:sz w:val="24"/>
          <w:szCs w:val="24"/>
        </w:rPr>
        <w:t>Anidulafungin</w:t>
      </w:r>
      <w:proofErr w:type="spellEnd"/>
      <w:r w:rsidRPr="003769C2">
        <w:rPr>
          <w:sz w:val="24"/>
          <w:szCs w:val="24"/>
        </w:rPr>
        <w:t xml:space="preserve"> har en overvejende eliminations</w:t>
      </w:r>
      <w:r w:rsidR="003769C2">
        <w:rPr>
          <w:sz w:val="24"/>
          <w:szCs w:val="24"/>
        </w:rPr>
        <w:softHyphen/>
      </w:r>
      <w:r w:rsidRPr="003769C2">
        <w:rPr>
          <w:sz w:val="24"/>
          <w:szCs w:val="24"/>
        </w:rPr>
        <w:t>halveringstid på ca. 24 timer, som karakteriserer størstedelen af plasmakoncentrations-tidsprofilen, og har en halveringstid på 40-50 timer, som karakteriserer eliminationsfasen.</w:t>
      </w:r>
    </w:p>
    <w:p w14:paraId="5D8B1F1A" w14:textId="77777777" w:rsidR="00C5280D" w:rsidRPr="007B4B68" w:rsidRDefault="00C5280D" w:rsidP="00B94CD5">
      <w:pPr>
        <w:ind w:left="851"/>
        <w:rPr>
          <w:sz w:val="24"/>
          <w:szCs w:val="24"/>
        </w:rPr>
      </w:pPr>
    </w:p>
    <w:p w14:paraId="7EB7B623" w14:textId="0C98848F" w:rsidR="00C5280D" w:rsidRPr="007B4B68" w:rsidRDefault="00C5280D" w:rsidP="00B94CD5">
      <w:pPr>
        <w:ind w:left="851"/>
        <w:rPr>
          <w:sz w:val="24"/>
          <w:szCs w:val="24"/>
        </w:rPr>
      </w:pPr>
      <w:r w:rsidRPr="007B4B68">
        <w:rPr>
          <w:sz w:val="24"/>
          <w:szCs w:val="24"/>
        </w:rPr>
        <w:t>I et klinisk enkelt-dosisstudie blev radioaktivt mærket (</w:t>
      </w:r>
      <w:r w:rsidRPr="007B4B68">
        <w:rPr>
          <w:sz w:val="24"/>
          <w:szCs w:val="24"/>
          <w:vertAlign w:val="superscript"/>
        </w:rPr>
        <w:t>14</w:t>
      </w:r>
      <w:r w:rsidRPr="007B4B68">
        <w:rPr>
          <w:sz w:val="24"/>
          <w:szCs w:val="24"/>
        </w:rPr>
        <w:t xml:space="preserve">C) </w:t>
      </w:r>
      <w:proofErr w:type="spellStart"/>
      <w:r w:rsidRPr="007B4B68">
        <w:rPr>
          <w:sz w:val="24"/>
          <w:szCs w:val="24"/>
        </w:rPr>
        <w:t>anidulafungin</w:t>
      </w:r>
      <w:proofErr w:type="spellEnd"/>
      <w:r w:rsidRPr="007B4B68">
        <w:rPr>
          <w:sz w:val="24"/>
          <w:szCs w:val="24"/>
        </w:rPr>
        <w:t xml:space="preserve"> (~88 mg) givet til raske forsøgspersoner. Ca. 30 % af den indgivne radioaktive dosis blev udskilt i fæces over 9 dage, heraf mindre end 10 % som intakt lægemiddelstof. Mindre end 1 % af den indgivne radioaktive dosis blev udskilt i urinen, hvilket tyder på en ubetydelig </w:t>
      </w:r>
      <w:proofErr w:type="spellStart"/>
      <w:r w:rsidRPr="007B4B68">
        <w:rPr>
          <w:sz w:val="24"/>
          <w:szCs w:val="24"/>
        </w:rPr>
        <w:t>renal</w:t>
      </w:r>
      <w:proofErr w:type="spellEnd"/>
      <w:r w:rsidRPr="007B4B68">
        <w:rPr>
          <w:sz w:val="24"/>
          <w:szCs w:val="24"/>
        </w:rPr>
        <w:t xml:space="preserve"> </w:t>
      </w:r>
      <w:proofErr w:type="spellStart"/>
      <w:r w:rsidRPr="007B4B68">
        <w:rPr>
          <w:sz w:val="24"/>
          <w:szCs w:val="24"/>
        </w:rPr>
        <w:t>clearance</w:t>
      </w:r>
      <w:proofErr w:type="spellEnd"/>
      <w:r w:rsidRPr="007B4B68">
        <w:rPr>
          <w:sz w:val="24"/>
          <w:szCs w:val="24"/>
        </w:rPr>
        <w:t xml:space="preserve">. Koncentrationen af </w:t>
      </w:r>
      <w:proofErr w:type="spellStart"/>
      <w:r w:rsidRPr="007B4B68">
        <w:rPr>
          <w:sz w:val="24"/>
          <w:szCs w:val="24"/>
        </w:rPr>
        <w:t>anidulafungin</w:t>
      </w:r>
      <w:proofErr w:type="spellEnd"/>
      <w:r w:rsidRPr="007B4B68">
        <w:rPr>
          <w:sz w:val="24"/>
          <w:szCs w:val="24"/>
        </w:rPr>
        <w:t xml:space="preserve"> faldt</w:t>
      </w:r>
      <w:r w:rsidR="008B26BC">
        <w:rPr>
          <w:sz w:val="24"/>
          <w:szCs w:val="24"/>
        </w:rPr>
        <w:t xml:space="preserve"> </w:t>
      </w:r>
      <w:r w:rsidRPr="007B4B68">
        <w:rPr>
          <w:sz w:val="24"/>
          <w:szCs w:val="24"/>
        </w:rPr>
        <w:t>til under den nedre detektionsgrænse 6 dage efter dosisindgift. Ubetydelige mængder af radioaktivt lægemiddelderivat blev genfundet i blod, urin og fæces 8 uger efter dosisindgift.</w:t>
      </w:r>
    </w:p>
    <w:p w14:paraId="68D3489C" w14:textId="77777777" w:rsidR="00C5280D" w:rsidRPr="007B4B68" w:rsidRDefault="00C5280D" w:rsidP="00B94CD5">
      <w:pPr>
        <w:ind w:left="851"/>
        <w:rPr>
          <w:sz w:val="24"/>
          <w:szCs w:val="24"/>
        </w:rPr>
      </w:pPr>
    </w:p>
    <w:p w14:paraId="0C957818" w14:textId="77777777" w:rsidR="00C5280D" w:rsidRPr="007B4B68" w:rsidRDefault="00C5280D" w:rsidP="00B94CD5">
      <w:pPr>
        <w:ind w:left="851"/>
        <w:rPr>
          <w:sz w:val="24"/>
          <w:szCs w:val="24"/>
          <w:u w:val="single"/>
        </w:rPr>
      </w:pPr>
      <w:r w:rsidRPr="007B4B68">
        <w:rPr>
          <w:sz w:val="24"/>
          <w:szCs w:val="24"/>
          <w:u w:val="single"/>
        </w:rPr>
        <w:t>Linearitet</w:t>
      </w:r>
    </w:p>
    <w:p w14:paraId="5D2CE804" w14:textId="77777777" w:rsidR="00C5280D" w:rsidRPr="007B4B68" w:rsidRDefault="00C5280D" w:rsidP="00B94CD5">
      <w:pPr>
        <w:ind w:left="851"/>
        <w:rPr>
          <w:sz w:val="24"/>
          <w:szCs w:val="24"/>
        </w:rPr>
      </w:pPr>
    </w:p>
    <w:p w14:paraId="1ECDBD3E" w14:textId="5222168C" w:rsidR="00C5280D" w:rsidRPr="007B4B68" w:rsidRDefault="00C5280D" w:rsidP="00F17732">
      <w:pPr>
        <w:ind w:left="851"/>
        <w:rPr>
          <w:sz w:val="24"/>
          <w:szCs w:val="24"/>
        </w:rPr>
      </w:pPr>
      <w:proofErr w:type="spellStart"/>
      <w:r w:rsidRPr="007B4B68">
        <w:rPr>
          <w:sz w:val="24"/>
          <w:szCs w:val="24"/>
        </w:rPr>
        <w:t>Anidulafungin</w:t>
      </w:r>
      <w:proofErr w:type="spellEnd"/>
      <w:r w:rsidRPr="007B4B68">
        <w:rPr>
          <w:sz w:val="24"/>
          <w:szCs w:val="24"/>
        </w:rPr>
        <w:t xml:space="preserve"> udviser lineær farmakokinetik over et bredt spektrum af doser givet 1 gang dagligt (15</w:t>
      </w:r>
      <w:r w:rsidR="008B26BC">
        <w:rPr>
          <w:sz w:val="24"/>
          <w:szCs w:val="24"/>
        </w:rPr>
        <w:t xml:space="preserve"> </w:t>
      </w:r>
      <w:r w:rsidRPr="007B4B68">
        <w:rPr>
          <w:sz w:val="24"/>
          <w:szCs w:val="24"/>
        </w:rPr>
        <w:t>- 130 mg).</w:t>
      </w:r>
    </w:p>
    <w:p w14:paraId="55E1BA8E" w14:textId="77777777" w:rsidR="00C5280D" w:rsidRPr="007B4B68" w:rsidRDefault="00C5280D" w:rsidP="00F17732">
      <w:pPr>
        <w:ind w:left="851"/>
        <w:rPr>
          <w:sz w:val="24"/>
          <w:szCs w:val="24"/>
        </w:rPr>
      </w:pPr>
    </w:p>
    <w:p w14:paraId="4FBEBAEB" w14:textId="77777777" w:rsidR="00C5280D" w:rsidRPr="007B4B68" w:rsidRDefault="00C5280D" w:rsidP="00F17732">
      <w:pPr>
        <w:ind w:left="851"/>
        <w:rPr>
          <w:sz w:val="24"/>
          <w:szCs w:val="24"/>
          <w:u w:val="single"/>
        </w:rPr>
      </w:pPr>
      <w:r w:rsidRPr="007B4B68">
        <w:rPr>
          <w:sz w:val="24"/>
          <w:szCs w:val="24"/>
          <w:u w:val="single"/>
        </w:rPr>
        <w:t>Særlige populationer</w:t>
      </w:r>
    </w:p>
    <w:p w14:paraId="6315A156" w14:textId="77777777" w:rsidR="00C5280D" w:rsidRPr="007B4B68" w:rsidRDefault="00C5280D" w:rsidP="00B94CD5">
      <w:pPr>
        <w:ind w:left="851"/>
        <w:rPr>
          <w:sz w:val="24"/>
          <w:szCs w:val="24"/>
        </w:rPr>
      </w:pPr>
    </w:p>
    <w:p w14:paraId="4FDB4386" w14:textId="77777777" w:rsidR="00C5280D" w:rsidRPr="007B4B68" w:rsidRDefault="00C5280D" w:rsidP="00F87DD9">
      <w:pPr>
        <w:ind w:left="851"/>
        <w:rPr>
          <w:i/>
          <w:sz w:val="24"/>
          <w:szCs w:val="24"/>
        </w:rPr>
      </w:pPr>
      <w:r w:rsidRPr="007B4B68">
        <w:rPr>
          <w:i/>
          <w:sz w:val="24"/>
          <w:szCs w:val="24"/>
        </w:rPr>
        <w:t>Patienter med svampeinfektioner</w:t>
      </w:r>
    </w:p>
    <w:p w14:paraId="29BA3902" w14:textId="102603FF" w:rsidR="00C5280D" w:rsidRPr="007B4B68" w:rsidRDefault="00C5280D" w:rsidP="00F87DD9">
      <w:pPr>
        <w:ind w:left="851"/>
        <w:rPr>
          <w:sz w:val="24"/>
          <w:szCs w:val="24"/>
        </w:rPr>
      </w:pPr>
      <w:r w:rsidRPr="007B4B68">
        <w:rPr>
          <w:sz w:val="24"/>
          <w:szCs w:val="24"/>
        </w:rPr>
        <w:t xml:space="preserve">Baseret på </w:t>
      </w:r>
      <w:proofErr w:type="spellStart"/>
      <w:r w:rsidRPr="007B4B68">
        <w:rPr>
          <w:sz w:val="24"/>
          <w:szCs w:val="24"/>
        </w:rPr>
        <w:t>populationfarmakokinetiske</w:t>
      </w:r>
      <w:proofErr w:type="spellEnd"/>
      <w:r w:rsidRPr="007B4B68">
        <w:rPr>
          <w:sz w:val="24"/>
          <w:szCs w:val="24"/>
        </w:rPr>
        <w:t xml:space="preserve"> analyser er </w:t>
      </w:r>
      <w:proofErr w:type="spellStart"/>
      <w:r w:rsidRPr="007B4B68">
        <w:rPr>
          <w:sz w:val="24"/>
          <w:szCs w:val="24"/>
        </w:rPr>
        <w:t>anidulafungins</w:t>
      </w:r>
      <w:proofErr w:type="spellEnd"/>
      <w:r w:rsidRPr="007B4B68">
        <w:rPr>
          <w:sz w:val="24"/>
          <w:szCs w:val="24"/>
        </w:rPr>
        <w:t xml:space="preserve"> farmakokinetik den samme hos patienter med svampeinfektioner som hos raske forsøgspersoner. Med et dagligt </w:t>
      </w:r>
      <w:proofErr w:type="spellStart"/>
      <w:r w:rsidRPr="007B4B68">
        <w:rPr>
          <w:sz w:val="24"/>
          <w:szCs w:val="24"/>
        </w:rPr>
        <w:t>dosisregimen</w:t>
      </w:r>
      <w:proofErr w:type="spellEnd"/>
      <w:r w:rsidRPr="007B4B68">
        <w:rPr>
          <w:sz w:val="24"/>
          <w:szCs w:val="24"/>
        </w:rPr>
        <w:t xml:space="preserve"> på </w:t>
      </w:r>
      <w:r w:rsidRPr="007B4B68">
        <w:rPr>
          <w:position w:val="2"/>
          <w:sz w:val="24"/>
          <w:szCs w:val="24"/>
        </w:rPr>
        <w:t xml:space="preserve">200/100 mg og en infusionshastighed på 1,1 mg/min kunne en </w:t>
      </w:r>
      <w:proofErr w:type="spellStart"/>
      <w:r w:rsidRPr="007B4B68">
        <w:rPr>
          <w:position w:val="2"/>
          <w:sz w:val="24"/>
          <w:szCs w:val="24"/>
        </w:rPr>
        <w:t>steady</w:t>
      </w:r>
      <w:proofErr w:type="spellEnd"/>
      <w:r w:rsidRPr="007B4B68">
        <w:rPr>
          <w:position w:val="2"/>
          <w:sz w:val="24"/>
          <w:szCs w:val="24"/>
        </w:rPr>
        <w:t xml:space="preserve"> </w:t>
      </w:r>
      <w:proofErr w:type="spellStart"/>
      <w:r w:rsidRPr="007B4B68">
        <w:rPr>
          <w:position w:val="2"/>
          <w:sz w:val="24"/>
          <w:szCs w:val="24"/>
        </w:rPr>
        <w:t>state</w:t>
      </w:r>
      <w:proofErr w:type="spellEnd"/>
      <w:r w:rsidRPr="007B4B68">
        <w:rPr>
          <w:position w:val="2"/>
          <w:sz w:val="24"/>
          <w:szCs w:val="24"/>
        </w:rPr>
        <w:t xml:space="preserve"> </w:t>
      </w:r>
      <w:proofErr w:type="spellStart"/>
      <w:r w:rsidR="00F17732" w:rsidRPr="007B4B68">
        <w:rPr>
          <w:position w:val="2"/>
          <w:sz w:val="24"/>
          <w:szCs w:val="24"/>
        </w:rPr>
        <w:t>C</w:t>
      </w:r>
      <w:r w:rsidR="00F17732" w:rsidRPr="007B4B68">
        <w:rPr>
          <w:position w:val="2"/>
          <w:sz w:val="24"/>
          <w:szCs w:val="24"/>
          <w:vertAlign w:val="subscript"/>
        </w:rPr>
        <w:t>max</w:t>
      </w:r>
      <w:proofErr w:type="spellEnd"/>
      <w:r w:rsidR="00F17732" w:rsidRPr="007B4B68">
        <w:rPr>
          <w:position w:val="2"/>
          <w:sz w:val="24"/>
          <w:szCs w:val="24"/>
        </w:rPr>
        <w:t xml:space="preserve"> </w:t>
      </w:r>
      <w:r w:rsidRPr="007B4B68">
        <w:rPr>
          <w:position w:val="2"/>
          <w:sz w:val="24"/>
          <w:szCs w:val="24"/>
        </w:rPr>
        <w:t xml:space="preserve">på ca. 7 mg/l og en </w:t>
      </w:r>
      <w:proofErr w:type="spellStart"/>
      <w:r w:rsidR="00F87DD9">
        <w:rPr>
          <w:position w:val="2"/>
          <w:sz w:val="24"/>
          <w:szCs w:val="24"/>
        </w:rPr>
        <w:t>C</w:t>
      </w:r>
      <w:r w:rsidR="00F87DD9" w:rsidRPr="00F87DD9">
        <w:rPr>
          <w:position w:val="2"/>
          <w:sz w:val="24"/>
          <w:szCs w:val="24"/>
          <w:vertAlign w:val="subscript"/>
        </w:rPr>
        <w:t>min</w:t>
      </w:r>
      <w:proofErr w:type="spellEnd"/>
      <w:r w:rsidRPr="007B4B68">
        <w:rPr>
          <w:sz w:val="24"/>
          <w:szCs w:val="24"/>
        </w:rPr>
        <w:t xml:space="preserve"> </w:t>
      </w:r>
      <w:r w:rsidRPr="007B4B68">
        <w:rPr>
          <w:position w:val="2"/>
          <w:sz w:val="24"/>
          <w:szCs w:val="24"/>
        </w:rPr>
        <w:t xml:space="preserve">på ca. 3 mg/ml opnås med en gennemsnitlig </w:t>
      </w:r>
      <w:proofErr w:type="spellStart"/>
      <w:r w:rsidRPr="007B4B68">
        <w:rPr>
          <w:position w:val="2"/>
          <w:sz w:val="24"/>
          <w:szCs w:val="24"/>
        </w:rPr>
        <w:t>steady</w:t>
      </w:r>
      <w:proofErr w:type="spellEnd"/>
      <w:r w:rsidRPr="007B4B68">
        <w:rPr>
          <w:position w:val="2"/>
          <w:sz w:val="24"/>
          <w:szCs w:val="24"/>
        </w:rPr>
        <w:t xml:space="preserve"> </w:t>
      </w:r>
      <w:proofErr w:type="spellStart"/>
      <w:r w:rsidRPr="007B4B68">
        <w:rPr>
          <w:position w:val="2"/>
          <w:sz w:val="24"/>
          <w:szCs w:val="24"/>
        </w:rPr>
        <w:t>state</w:t>
      </w:r>
      <w:proofErr w:type="spellEnd"/>
      <w:r w:rsidRPr="007B4B68">
        <w:rPr>
          <w:position w:val="2"/>
          <w:sz w:val="24"/>
          <w:szCs w:val="24"/>
        </w:rPr>
        <w:t xml:space="preserve"> AUC på ca. 110 mg time/l.</w:t>
      </w:r>
    </w:p>
    <w:p w14:paraId="6829C695" w14:textId="77777777" w:rsidR="00C5280D" w:rsidRPr="007B4B68" w:rsidRDefault="00C5280D" w:rsidP="00F87DD9">
      <w:pPr>
        <w:ind w:left="851"/>
        <w:rPr>
          <w:sz w:val="24"/>
          <w:szCs w:val="24"/>
        </w:rPr>
      </w:pPr>
    </w:p>
    <w:p w14:paraId="25B43F90" w14:textId="77777777" w:rsidR="00C5280D" w:rsidRPr="007B4B68" w:rsidRDefault="00C5280D" w:rsidP="00B94CD5">
      <w:pPr>
        <w:ind w:left="851"/>
        <w:rPr>
          <w:i/>
          <w:sz w:val="24"/>
          <w:szCs w:val="24"/>
        </w:rPr>
      </w:pPr>
      <w:r w:rsidRPr="007B4B68">
        <w:rPr>
          <w:i/>
          <w:sz w:val="24"/>
          <w:szCs w:val="24"/>
        </w:rPr>
        <w:t>Vægt</w:t>
      </w:r>
    </w:p>
    <w:p w14:paraId="0EF72D57" w14:textId="77777777" w:rsidR="00C5280D" w:rsidRPr="007B4B68" w:rsidRDefault="00C5280D" w:rsidP="00B94CD5">
      <w:pPr>
        <w:ind w:left="851"/>
        <w:rPr>
          <w:sz w:val="24"/>
          <w:szCs w:val="24"/>
        </w:rPr>
      </w:pPr>
      <w:r w:rsidRPr="007B4B68">
        <w:rPr>
          <w:sz w:val="24"/>
          <w:szCs w:val="24"/>
        </w:rPr>
        <w:t xml:space="preserve">Selvom det i en </w:t>
      </w:r>
      <w:proofErr w:type="spellStart"/>
      <w:r w:rsidRPr="007B4B68">
        <w:rPr>
          <w:sz w:val="24"/>
          <w:szCs w:val="24"/>
        </w:rPr>
        <w:t>populationsfarmakokinetisk</w:t>
      </w:r>
      <w:proofErr w:type="spellEnd"/>
      <w:r w:rsidRPr="007B4B68">
        <w:rPr>
          <w:sz w:val="24"/>
          <w:szCs w:val="24"/>
        </w:rPr>
        <w:t xml:space="preserve"> analyse blev fundet, at vægten var årsag til variabilitet i </w:t>
      </w:r>
      <w:proofErr w:type="spellStart"/>
      <w:r w:rsidRPr="007B4B68">
        <w:rPr>
          <w:sz w:val="24"/>
          <w:szCs w:val="24"/>
        </w:rPr>
        <w:t>clearance</w:t>
      </w:r>
      <w:proofErr w:type="spellEnd"/>
      <w:r w:rsidRPr="007B4B68">
        <w:rPr>
          <w:sz w:val="24"/>
          <w:szCs w:val="24"/>
        </w:rPr>
        <w:t xml:space="preserve">, har vægten kun ringe klinisk betydning for </w:t>
      </w:r>
      <w:proofErr w:type="spellStart"/>
      <w:r w:rsidRPr="007B4B68">
        <w:rPr>
          <w:sz w:val="24"/>
          <w:szCs w:val="24"/>
        </w:rPr>
        <w:t>anidulafungins</w:t>
      </w:r>
      <w:proofErr w:type="spellEnd"/>
      <w:r w:rsidRPr="007B4B68">
        <w:rPr>
          <w:sz w:val="24"/>
          <w:szCs w:val="24"/>
        </w:rPr>
        <w:t xml:space="preserve"> farmakokinetik.</w:t>
      </w:r>
    </w:p>
    <w:p w14:paraId="3B9314A8" w14:textId="77777777" w:rsidR="00C5280D" w:rsidRPr="007B4B68" w:rsidRDefault="00C5280D" w:rsidP="00B94CD5">
      <w:pPr>
        <w:ind w:left="851"/>
        <w:rPr>
          <w:sz w:val="24"/>
          <w:szCs w:val="24"/>
        </w:rPr>
      </w:pPr>
    </w:p>
    <w:p w14:paraId="148C57C3" w14:textId="77777777" w:rsidR="00C5280D" w:rsidRPr="007B4B68" w:rsidRDefault="00C5280D" w:rsidP="00B94CD5">
      <w:pPr>
        <w:ind w:left="851"/>
        <w:rPr>
          <w:i/>
          <w:sz w:val="24"/>
          <w:szCs w:val="24"/>
        </w:rPr>
      </w:pPr>
      <w:r w:rsidRPr="007B4B68">
        <w:rPr>
          <w:i/>
          <w:sz w:val="24"/>
          <w:szCs w:val="24"/>
        </w:rPr>
        <w:t>Køn</w:t>
      </w:r>
    </w:p>
    <w:p w14:paraId="670F8870" w14:textId="77777777" w:rsidR="00C5280D" w:rsidRPr="007B4B68" w:rsidRDefault="00C5280D" w:rsidP="00B94CD5">
      <w:pPr>
        <w:ind w:left="851"/>
        <w:rPr>
          <w:sz w:val="24"/>
          <w:szCs w:val="24"/>
        </w:rPr>
      </w:pPr>
      <w:r w:rsidRPr="007B4B68">
        <w:rPr>
          <w:sz w:val="24"/>
          <w:szCs w:val="24"/>
        </w:rPr>
        <w:t xml:space="preserve">Plasmakoncentrationen af </w:t>
      </w:r>
      <w:proofErr w:type="spellStart"/>
      <w:r w:rsidRPr="007B4B68">
        <w:rPr>
          <w:sz w:val="24"/>
          <w:szCs w:val="24"/>
        </w:rPr>
        <w:t>anidulafungin</w:t>
      </w:r>
      <w:proofErr w:type="spellEnd"/>
      <w:r w:rsidRPr="007B4B68">
        <w:rPr>
          <w:sz w:val="24"/>
          <w:szCs w:val="24"/>
        </w:rPr>
        <w:t xml:space="preserve"> var den samme hos raske mænd og kvinder. I patientstudier med gentagne doser var </w:t>
      </w:r>
      <w:proofErr w:type="spellStart"/>
      <w:r w:rsidRPr="007B4B68">
        <w:rPr>
          <w:sz w:val="24"/>
          <w:szCs w:val="24"/>
        </w:rPr>
        <w:t>lægemiddelclearance</w:t>
      </w:r>
      <w:proofErr w:type="spellEnd"/>
      <w:r w:rsidRPr="007B4B68">
        <w:rPr>
          <w:sz w:val="24"/>
          <w:szCs w:val="24"/>
        </w:rPr>
        <w:t xml:space="preserve"> en anelse hurtigere hos mænd (ca. 22 %).</w:t>
      </w:r>
    </w:p>
    <w:p w14:paraId="59F21E28" w14:textId="77777777" w:rsidR="00C5280D" w:rsidRPr="007B4B68" w:rsidRDefault="00C5280D" w:rsidP="00B94CD5">
      <w:pPr>
        <w:ind w:left="851"/>
        <w:rPr>
          <w:sz w:val="24"/>
          <w:szCs w:val="24"/>
        </w:rPr>
      </w:pPr>
    </w:p>
    <w:p w14:paraId="387BCCD5" w14:textId="77777777" w:rsidR="00C5280D" w:rsidRPr="007B4B68" w:rsidRDefault="00C5280D" w:rsidP="00B94CD5">
      <w:pPr>
        <w:ind w:left="851"/>
        <w:rPr>
          <w:i/>
          <w:sz w:val="24"/>
          <w:szCs w:val="24"/>
        </w:rPr>
      </w:pPr>
      <w:r w:rsidRPr="007B4B68">
        <w:rPr>
          <w:i/>
          <w:sz w:val="24"/>
          <w:szCs w:val="24"/>
        </w:rPr>
        <w:t>Ældre</w:t>
      </w:r>
    </w:p>
    <w:p w14:paraId="006DDB3A" w14:textId="77777777" w:rsidR="00C5280D" w:rsidRPr="007B4B68" w:rsidRDefault="00C5280D" w:rsidP="00B94CD5">
      <w:pPr>
        <w:ind w:left="851"/>
        <w:rPr>
          <w:sz w:val="24"/>
          <w:szCs w:val="24"/>
        </w:rPr>
      </w:pPr>
      <w:r w:rsidRPr="007B4B68">
        <w:rPr>
          <w:sz w:val="24"/>
          <w:szCs w:val="24"/>
        </w:rPr>
        <w:t xml:space="preserve">I den </w:t>
      </w:r>
      <w:proofErr w:type="spellStart"/>
      <w:r w:rsidRPr="007B4B68">
        <w:rPr>
          <w:sz w:val="24"/>
          <w:szCs w:val="24"/>
        </w:rPr>
        <w:t>populationsfarmakokinetiske</w:t>
      </w:r>
      <w:proofErr w:type="spellEnd"/>
      <w:r w:rsidRPr="007B4B68">
        <w:rPr>
          <w:sz w:val="24"/>
          <w:szCs w:val="24"/>
        </w:rPr>
        <w:t xml:space="preserve"> analyse var forskellen i den </w:t>
      </w:r>
      <w:proofErr w:type="spellStart"/>
      <w:r w:rsidRPr="007B4B68">
        <w:rPr>
          <w:sz w:val="24"/>
          <w:szCs w:val="24"/>
        </w:rPr>
        <w:t>mediane</w:t>
      </w:r>
      <w:proofErr w:type="spellEnd"/>
      <w:r w:rsidRPr="007B4B68">
        <w:rPr>
          <w:sz w:val="24"/>
          <w:szCs w:val="24"/>
        </w:rPr>
        <w:t xml:space="preserve"> </w:t>
      </w:r>
      <w:proofErr w:type="spellStart"/>
      <w:r w:rsidRPr="007B4B68">
        <w:rPr>
          <w:sz w:val="24"/>
          <w:szCs w:val="24"/>
        </w:rPr>
        <w:t>clearance</w:t>
      </w:r>
      <w:proofErr w:type="spellEnd"/>
      <w:r w:rsidRPr="007B4B68">
        <w:rPr>
          <w:sz w:val="24"/>
          <w:szCs w:val="24"/>
        </w:rPr>
        <w:t xml:space="preserve"> mellem ældregruppen (patienter ≥65 år, median CL=1,07 l/time) og ikke-ældregruppen (patienter &lt;65 år, median CL=1,22 l/time) lille, mens spredningen af </w:t>
      </w:r>
      <w:proofErr w:type="spellStart"/>
      <w:r w:rsidRPr="007B4B68">
        <w:rPr>
          <w:sz w:val="24"/>
          <w:szCs w:val="24"/>
        </w:rPr>
        <w:t>clearance</w:t>
      </w:r>
      <w:proofErr w:type="spellEnd"/>
      <w:r w:rsidRPr="007B4B68">
        <w:rPr>
          <w:sz w:val="24"/>
          <w:szCs w:val="24"/>
        </w:rPr>
        <w:t xml:space="preserve"> var den samme.</w:t>
      </w:r>
    </w:p>
    <w:p w14:paraId="117FFD5D" w14:textId="77777777" w:rsidR="00C5280D" w:rsidRPr="007B4B68" w:rsidRDefault="00C5280D" w:rsidP="00B94CD5">
      <w:pPr>
        <w:ind w:left="851"/>
        <w:rPr>
          <w:sz w:val="24"/>
          <w:szCs w:val="24"/>
        </w:rPr>
      </w:pPr>
    </w:p>
    <w:p w14:paraId="7627A296" w14:textId="77777777" w:rsidR="00C5280D" w:rsidRPr="007B4B68" w:rsidRDefault="00C5280D" w:rsidP="00B94CD5">
      <w:pPr>
        <w:ind w:left="851"/>
        <w:rPr>
          <w:i/>
          <w:sz w:val="24"/>
          <w:szCs w:val="24"/>
        </w:rPr>
      </w:pPr>
      <w:r w:rsidRPr="007B4B68">
        <w:rPr>
          <w:i/>
          <w:sz w:val="24"/>
          <w:szCs w:val="24"/>
        </w:rPr>
        <w:t>Race</w:t>
      </w:r>
    </w:p>
    <w:p w14:paraId="69955CF9" w14:textId="77777777" w:rsidR="00C5280D" w:rsidRPr="007B4B68" w:rsidRDefault="00C5280D" w:rsidP="00B94CD5">
      <w:pPr>
        <w:ind w:left="851"/>
        <w:rPr>
          <w:sz w:val="24"/>
          <w:szCs w:val="24"/>
        </w:rPr>
      </w:pPr>
      <w:proofErr w:type="spellStart"/>
      <w:r w:rsidRPr="007B4B68">
        <w:rPr>
          <w:sz w:val="24"/>
          <w:szCs w:val="24"/>
        </w:rPr>
        <w:t>Anidulafungins</w:t>
      </w:r>
      <w:proofErr w:type="spellEnd"/>
      <w:r w:rsidRPr="007B4B68">
        <w:rPr>
          <w:sz w:val="24"/>
          <w:szCs w:val="24"/>
        </w:rPr>
        <w:t xml:space="preserve"> farmakokinetik var ens blandt personer af europæisk, sort, asiatisk og latinamerikansk afstamning.</w:t>
      </w:r>
    </w:p>
    <w:p w14:paraId="221CA416" w14:textId="77777777" w:rsidR="00C5280D" w:rsidRPr="007B4B68" w:rsidRDefault="00C5280D" w:rsidP="00B94CD5">
      <w:pPr>
        <w:ind w:left="851"/>
        <w:rPr>
          <w:sz w:val="24"/>
          <w:szCs w:val="24"/>
        </w:rPr>
      </w:pPr>
    </w:p>
    <w:p w14:paraId="3FCF9B7C" w14:textId="77777777" w:rsidR="00C5280D" w:rsidRPr="007B4B68" w:rsidRDefault="00C5280D" w:rsidP="00B94CD5">
      <w:pPr>
        <w:ind w:left="851"/>
        <w:rPr>
          <w:i/>
          <w:sz w:val="24"/>
          <w:szCs w:val="24"/>
        </w:rPr>
      </w:pPr>
      <w:r w:rsidRPr="007B4B68">
        <w:rPr>
          <w:i/>
          <w:sz w:val="24"/>
          <w:szCs w:val="24"/>
        </w:rPr>
        <w:t>hiv-status</w:t>
      </w:r>
    </w:p>
    <w:p w14:paraId="1A8CC66E" w14:textId="77777777" w:rsidR="00C5280D" w:rsidRPr="007B4B68" w:rsidRDefault="00C5280D" w:rsidP="00B94CD5">
      <w:pPr>
        <w:ind w:left="851"/>
        <w:rPr>
          <w:sz w:val="24"/>
          <w:szCs w:val="24"/>
        </w:rPr>
      </w:pPr>
      <w:r w:rsidRPr="007B4B68">
        <w:rPr>
          <w:sz w:val="24"/>
          <w:szCs w:val="24"/>
        </w:rPr>
        <w:t xml:space="preserve">Dosisjustering er ikke nødvendig i tilfælde af hiv-infektion, uanset samtidig </w:t>
      </w:r>
      <w:proofErr w:type="spellStart"/>
      <w:r w:rsidRPr="007B4B68">
        <w:rPr>
          <w:sz w:val="24"/>
          <w:szCs w:val="24"/>
        </w:rPr>
        <w:t>anti-retroviralbehandling</w:t>
      </w:r>
      <w:proofErr w:type="spellEnd"/>
      <w:r w:rsidRPr="007B4B68">
        <w:rPr>
          <w:sz w:val="24"/>
          <w:szCs w:val="24"/>
        </w:rPr>
        <w:t>.</w:t>
      </w:r>
    </w:p>
    <w:p w14:paraId="25A53065" w14:textId="77777777" w:rsidR="00C5280D" w:rsidRPr="007B4B68" w:rsidRDefault="00C5280D" w:rsidP="00B94CD5">
      <w:pPr>
        <w:ind w:left="851"/>
        <w:rPr>
          <w:sz w:val="24"/>
          <w:szCs w:val="24"/>
        </w:rPr>
      </w:pPr>
    </w:p>
    <w:p w14:paraId="4D3E62A4" w14:textId="77777777" w:rsidR="00C5280D" w:rsidRPr="007B4B68" w:rsidRDefault="00C5280D" w:rsidP="00B94CD5">
      <w:pPr>
        <w:ind w:left="851"/>
        <w:rPr>
          <w:i/>
          <w:sz w:val="24"/>
          <w:szCs w:val="24"/>
        </w:rPr>
      </w:pPr>
      <w:r w:rsidRPr="007B4B68">
        <w:rPr>
          <w:i/>
          <w:sz w:val="24"/>
          <w:szCs w:val="24"/>
        </w:rPr>
        <w:t>Leverinsufficiens</w:t>
      </w:r>
    </w:p>
    <w:p w14:paraId="6D5B0026" w14:textId="77777777" w:rsidR="00C5280D" w:rsidRPr="007B4B68" w:rsidRDefault="00C5280D" w:rsidP="00B94CD5">
      <w:pPr>
        <w:ind w:left="851"/>
        <w:rPr>
          <w:sz w:val="24"/>
          <w:szCs w:val="24"/>
        </w:rPr>
      </w:pPr>
      <w:proofErr w:type="spellStart"/>
      <w:r w:rsidRPr="007B4B68">
        <w:rPr>
          <w:sz w:val="24"/>
          <w:szCs w:val="24"/>
        </w:rPr>
        <w:t>Anidulafungin</w:t>
      </w:r>
      <w:proofErr w:type="spellEnd"/>
      <w:r w:rsidRPr="007B4B68">
        <w:rPr>
          <w:sz w:val="24"/>
          <w:szCs w:val="24"/>
        </w:rPr>
        <w:t xml:space="preserve"> </w:t>
      </w:r>
      <w:proofErr w:type="spellStart"/>
      <w:r w:rsidRPr="007B4B68">
        <w:rPr>
          <w:sz w:val="24"/>
          <w:szCs w:val="24"/>
        </w:rPr>
        <w:t>metaboliseres</w:t>
      </w:r>
      <w:proofErr w:type="spellEnd"/>
      <w:r w:rsidRPr="007B4B68">
        <w:rPr>
          <w:sz w:val="24"/>
          <w:szCs w:val="24"/>
        </w:rPr>
        <w:t xml:space="preserve"> ikke </w:t>
      </w:r>
      <w:proofErr w:type="spellStart"/>
      <w:r w:rsidRPr="007B4B68">
        <w:rPr>
          <w:sz w:val="24"/>
          <w:szCs w:val="24"/>
        </w:rPr>
        <w:t>hepatisk</w:t>
      </w:r>
      <w:proofErr w:type="spellEnd"/>
      <w:r w:rsidRPr="007B4B68">
        <w:rPr>
          <w:sz w:val="24"/>
          <w:szCs w:val="24"/>
        </w:rPr>
        <w:t xml:space="preserve">. </w:t>
      </w:r>
      <w:proofErr w:type="spellStart"/>
      <w:r w:rsidRPr="007B4B68">
        <w:rPr>
          <w:sz w:val="24"/>
          <w:szCs w:val="24"/>
        </w:rPr>
        <w:t>Anidulafungins</w:t>
      </w:r>
      <w:proofErr w:type="spellEnd"/>
      <w:r w:rsidRPr="007B4B68">
        <w:rPr>
          <w:sz w:val="24"/>
          <w:szCs w:val="24"/>
        </w:rPr>
        <w:t xml:space="preserve"> farmakokinetik blev undersøgt hos forsøgspersoner med nedsat leverfunktion, Child-</w:t>
      </w:r>
      <w:proofErr w:type="spellStart"/>
      <w:r w:rsidRPr="007B4B68">
        <w:rPr>
          <w:sz w:val="24"/>
          <w:szCs w:val="24"/>
        </w:rPr>
        <w:t>Pugh</w:t>
      </w:r>
      <w:proofErr w:type="spellEnd"/>
      <w:r w:rsidRPr="007B4B68">
        <w:rPr>
          <w:sz w:val="24"/>
          <w:szCs w:val="24"/>
        </w:rPr>
        <w:t xml:space="preserve">-klasse A, B eller C. Hos forsøgspersoner med alle grader af nedsat leverfunktion ses ingen stigning i </w:t>
      </w:r>
      <w:proofErr w:type="spellStart"/>
      <w:r w:rsidRPr="007B4B68">
        <w:rPr>
          <w:sz w:val="24"/>
          <w:szCs w:val="24"/>
        </w:rPr>
        <w:t>anidulafunginkoncentrationen</w:t>
      </w:r>
      <w:proofErr w:type="spellEnd"/>
      <w:r w:rsidRPr="007B4B68">
        <w:rPr>
          <w:sz w:val="24"/>
          <w:szCs w:val="24"/>
        </w:rPr>
        <w:t>. Skønt der ses et lille fald i AUC hos patienter med Child-</w:t>
      </w:r>
      <w:proofErr w:type="spellStart"/>
      <w:r w:rsidRPr="007B4B68">
        <w:rPr>
          <w:sz w:val="24"/>
          <w:szCs w:val="24"/>
        </w:rPr>
        <w:t>Pugh</w:t>
      </w:r>
      <w:proofErr w:type="spellEnd"/>
      <w:r w:rsidRPr="007B4B68">
        <w:rPr>
          <w:sz w:val="24"/>
          <w:szCs w:val="24"/>
        </w:rPr>
        <w:t xml:space="preserve"> C nedsat leverfunktion, er faldet inden for de grænser, der er estimeret hos raske forsøgspersoner.</w:t>
      </w:r>
    </w:p>
    <w:p w14:paraId="57219216" w14:textId="77777777" w:rsidR="00C5280D" w:rsidRPr="007B4B68" w:rsidRDefault="00C5280D" w:rsidP="00B94CD5">
      <w:pPr>
        <w:ind w:left="851"/>
        <w:rPr>
          <w:sz w:val="24"/>
          <w:szCs w:val="24"/>
        </w:rPr>
      </w:pPr>
    </w:p>
    <w:p w14:paraId="3DEE3F91" w14:textId="77777777" w:rsidR="00C5280D" w:rsidRPr="007B4B68" w:rsidRDefault="00C5280D" w:rsidP="00B94CD5">
      <w:pPr>
        <w:ind w:left="851"/>
        <w:rPr>
          <w:i/>
          <w:sz w:val="24"/>
          <w:szCs w:val="24"/>
        </w:rPr>
      </w:pPr>
      <w:r w:rsidRPr="007B4B68">
        <w:rPr>
          <w:i/>
          <w:sz w:val="24"/>
          <w:szCs w:val="24"/>
        </w:rPr>
        <w:t>Nyreinsufficiens</w:t>
      </w:r>
    </w:p>
    <w:p w14:paraId="780974E4" w14:textId="77777777" w:rsidR="00C5280D" w:rsidRPr="007B4B68" w:rsidRDefault="00C5280D" w:rsidP="00B94CD5">
      <w:pPr>
        <w:ind w:left="851"/>
        <w:rPr>
          <w:sz w:val="24"/>
          <w:szCs w:val="24"/>
        </w:rPr>
      </w:pPr>
      <w:proofErr w:type="spellStart"/>
      <w:r w:rsidRPr="007B4B68">
        <w:rPr>
          <w:sz w:val="24"/>
          <w:szCs w:val="24"/>
        </w:rPr>
        <w:t>Anidulafungin</w:t>
      </w:r>
      <w:proofErr w:type="spellEnd"/>
      <w:r w:rsidRPr="007B4B68">
        <w:rPr>
          <w:sz w:val="24"/>
          <w:szCs w:val="24"/>
        </w:rPr>
        <w:t xml:space="preserve"> har en ubetydelig </w:t>
      </w:r>
      <w:proofErr w:type="spellStart"/>
      <w:r w:rsidRPr="007B4B68">
        <w:rPr>
          <w:sz w:val="24"/>
          <w:szCs w:val="24"/>
        </w:rPr>
        <w:t>renal</w:t>
      </w:r>
      <w:proofErr w:type="spellEnd"/>
      <w:r w:rsidRPr="007B4B68">
        <w:rPr>
          <w:sz w:val="24"/>
          <w:szCs w:val="24"/>
        </w:rPr>
        <w:t xml:space="preserve"> </w:t>
      </w:r>
      <w:proofErr w:type="spellStart"/>
      <w:r w:rsidRPr="007B4B68">
        <w:rPr>
          <w:sz w:val="24"/>
          <w:szCs w:val="24"/>
        </w:rPr>
        <w:t>clearance</w:t>
      </w:r>
      <w:proofErr w:type="spellEnd"/>
      <w:r w:rsidRPr="007B4B68">
        <w:rPr>
          <w:sz w:val="24"/>
          <w:szCs w:val="24"/>
        </w:rPr>
        <w:t xml:space="preserve"> (&lt;1 %). I et klinisk studie med forsøgspersoner, der har let, moderat, svær eller end-stage (dialyseafhængig) nedsat nyrefunktion var </w:t>
      </w:r>
      <w:proofErr w:type="spellStart"/>
      <w:r w:rsidRPr="007B4B68">
        <w:rPr>
          <w:sz w:val="24"/>
          <w:szCs w:val="24"/>
        </w:rPr>
        <w:t>anidulafungins</w:t>
      </w:r>
      <w:proofErr w:type="spellEnd"/>
      <w:r w:rsidRPr="007B4B68">
        <w:rPr>
          <w:sz w:val="24"/>
          <w:szCs w:val="24"/>
        </w:rPr>
        <w:t xml:space="preserve"> farmakokinetik den samme som hos forsøgspersoner med normal nyrefunktion.</w:t>
      </w:r>
    </w:p>
    <w:p w14:paraId="1DD63927" w14:textId="77777777" w:rsidR="00C5280D" w:rsidRPr="007B4B68" w:rsidRDefault="00C5280D" w:rsidP="00B94CD5">
      <w:pPr>
        <w:ind w:left="851"/>
        <w:rPr>
          <w:sz w:val="24"/>
          <w:szCs w:val="24"/>
        </w:rPr>
      </w:pPr>
      <w:proofErr w:type="spellStart"/>
      <w:r w:rsidRPr="007B4B68">
        <w:rPr>
          <w:sz w:val="24"/>
          <w:szCs w:val="24"/>
        </w:rPr>
        <w:t>Anidulafungin</w:t>
      </w:r>
      <w:proofErr w:type="spellEnd"/>
      <w:r w:rsidRPr="007B4B68">
        <w:rPr>
          <w:sz w:val="24"/>
          <w:szCs w:val="24"/>
        </w:rPr>
        <w:t xml:space="preserve"> er ikke </w:t>
      </w:r>
      <w:proofErr w:type="spellStart"/>
      <w:r w:rsidRPr="007B4B68">
        <w:rPr>
          <w:sz w:val="24"/>
          <w:szCs w:val="24"/>
        </w:rPr>
        <w:t>dialyserbar</w:t>
      </w:r>
      <w:proofErr w:type="spellEnd"/>
      <w:r w:rsidRPr="007B4B68">
        <w:rPr>
          <w:sz w:val="24"/>
          <w:szCs w:val="24"/>
        </w:rPr>
        <w:t>, og kan gives uden hensyn til tidspunktet for hæmodialyse.</w:t>
      </w:r>
    </w:p>
    <w:p w14:paraId="3E5B5D6B" w14:textId="00C7E655" w:rsidR="008B26BC" w:rsidRDefault="008B26BC">
      <w:pPr>
        <w:rPr>
          <w:sz w:val="24"/>
          <w:szCs w:val="24"/>
        </w:rPr>
      </w:pPr>
      <w:r>
        <w:rPr>
          <w:sz w:val="24"/>
          <w:szCs w:val="24"/>
        </w:rPr>
        <w:br w:type="page"/>
      </w:r>
    </w:p>
    <w:p w14:paraId="0FDC0CD2" w14:textId="77777777" w:rsidR="00C5280D" w:rsidRPr="007B4B68" w:rsidRDefault="00C5280D" w:rsidP="00B94CD5">
      <w:pPr>
        <w:ind w:left="851"/>
        <w:rPr>
          <w:sz w:val="24"/>
          <w:szCs w:val="24"/>
        </w:rPr>
      </w:pPr>
    </w:p>
    <w:p w14:paraId="134EC56F" w14:textId="77777777" w:rsidR="00A86667" w:rsidRPr="007B4B68" w:rsidRDefault="00A86667" w:rsidP="00A86667">
      <w:pPr>
        <w:ind w:left="851"/>
        <w:rPr>
          <w:i/>
          <w:sz w:val="24"/>
          <w:szCs w:val="24"/>
        </w:rPr>
      </w:pPr>
      <w:r w:rsidRPr="00A65E5F">
        <w:rPr>
          <w:i/>
          <w:sz w:val="24"/>
          <w:szCs w:val="24"/>
        </w:rPr>
        <w:t>Pædiatrisk population</w:t>
      </w:r>
    </w:p>
    <w:p w14:paraId="4FF8E168" w14:textId="77777777" w:rsidR="00A86667" w:rsidRPr="007B4B68" w:rsidRDefault="00A86667" w:rsidP="00A86667">
      <w:pPr>
        <w:ind w:left="851"/>
        <w:rPr>
          <w:sz w:val="24"/>
          <w:szCs w:val="24"/>
        </w:rPr>
      </w:pPr>
      <w:r w:rsidRPr="007B4B68">
        <w:rPr>
          <w:sz w:val="24"/>
          <w:szCs w:val="24"/>
        </w:rPr>
        <w:t xml:space="preserve">Farmakokinetikken af </w:t>
      </w:r>
      <w:proofErr w:type="spellStart"/>
      <w:r w:rsidRPr="007B4B68">
        <w:rPr>
          <w:sz w:val="24"/>
          <w:szCs w:val="24"/>
        </w:rPr>
        <w:t>anidulafungin</w:t>
      </w:r>
      <w:proofErr w:type="spellEnd"/>
      <w:r w:rsidRPr="007B4B68">
        <w:rPr>
          <w:sz w:val="24"/>
          <w:szCs w:val="24"/>
        </w:rPr>
        <w:t xml:space="preserve"> blev undersøgt efter mindst 5 daglige doser hos 24 immunkompromitterende børn (2-11 år) og unge (12-17 år) med </w:t>
      </w:r>
      <w:proofErr w:type="spellStart"/>
      <w:r w:rsidRPr="007B4B68">
        <w:rPr>
          <w:sz w:val="24"/>
          <w:szCs w:val="24"/>
        </w:rPr>
        <w:t>neutropeni</w:t>
      </w:r>
      <w:proofErr w:type="spellEnd"/>
      <w:r w:rsidRPr="007B4B68">
        <w:rPr>
          <w:sz w:val="24"/>
          <w:szCs w:val="24"/>
        </w:rPr>
        <w:t xml:space="preserve">. </w:t>
      </w:r>
      <w:proofErr w:type="spellStart"/>
      <w:r w:rsidRPr="007B4B68">
        <w:rPr>
          <w:sz w:val="24"/>
          <w:szCs w:val="24"/>
        </w:rPr>
        <w:t>Steady</w:t>
      </w:r>
      <w:proofErr w:type="spellEnd"/>
      <w:r w:rsidRPr="007B4B68">
        <w:rPr>
          <w:sz w:val="24"/>
          <w:szCs w:val="24"/>
        </w:rPr>
        <w:t xml:space="preserve"> </w:t>
      </w:r>
      <w:proofErr w:type="spellStart"/>
      <w:r w:rsidRPr="007B4B68">
        <w:rPr>
          <w:sz w:val="24"/>
          <w:szCs w:val="24"/>
        </w:rPr>
        <w:t>state</w:t>
      </w:r>
      <w:proofErr w:type="spellEnd"/>
      <w:r w:rsidRPr="007B4B68">
        <w:rPr>
          <w:sz w:val="24"/>
          <w:szCs w:val="24"/>
        </w:rPr>
        <w:t xml:space="preserve"> blev opnået </w:t>
      </w:r>
      <w:r w:rsidRPr="007B4B68">
        <w:rPr>
          <w:position w:val="2"/>
          <w:sz w:val="24"/>
          <w:szCs w:val="24"/>
        </w:rPr>
        <w:t xml:space="preserve">den første dag efter en initialdosis (2 gange vedligeholdelsesdosis), og </w:t>
      </w:r>
      <w:proofErr w:type="spellStart"/>
      <w:r w:rsidRPr="007B4B68">
        <w:rPr>
          <w:position w:val="2"/>
          <w:sz w:val="24"/>
          <w:szCs w:val="24"/>
        </w:rPr>
        <w:t>steady</w:t>
      </w:r>
      <w:proofErr w:type="spellEnd"/>
      <w:r w:rsidRPr="007B4B68">
        <w:rPr>
          <w:position w:val="2"/>
          <w:sz w:val="24"/>
          <w:szCs w:val="24"/>
        </w:rPr>
        <w:t xml:space="preserve"> </w:t>
      </w:r>
      <w:proofErr w:type="spellStart"/>
      <w:r w:rsidRPr="007B4B68">
        <w:rPr>
          <w:position w:val="2"/>
          <w:sz w:val="24"/>
          <w:szCs w:val="24"/>
        </w:rPr>
        <w:t>state</w:t>
      </w:r>
      <w:proofErr w:type="spellEnd"/>
      <w:r w:rsidRPr="007B4B68">
        <w:rPr>
          <w:position w:val="2"/>
          <w:sz w:val="24"/>
          <w:szCs w:val="24"/>
        </w:rPr>
        <w:t xml:space="preserve"> </w:t>
      </w:r>
      <w:proofErr w:type="spellStart"/>
      <w:r w:rsidRPr="007B4B68">
        <w:rPr>
          <w:position w:val="2"/>
          <w:sz w:val="24"/>
          <w:szCs w:val="24"/>
        </w:rPr>
        <w:t>C</w:t>
      </w:r>
      <w:r w:rsidRPr="007B4B68">
        <w:rPr>
          <w:position w:val="2"/>
          <w:sz w:val="24"/>
          <w:szCs w:val="24"/>
          <w:vertAlign w:val="subscript"/>
        </w:rPr>
        <w:t>max</w:t>
      </w:r>
      <w:proofErr w:type="spellEnd"/>
      <w:r w:rsidRPr="007B4B68">
        <w:rPr>
          <w:position w:val="2"/>
          <w:sz w:val="24"/>
          <w:szCs w:val="24"/>
        </w:rPr>
        <w:t xml:space="preserve"> og </w:t>
      </w:r>
      <w:proofErr w:type="spellStart"/>
      <w:r w:rsidRPr="007B4B68">
        <w:rPr>
          <w:position w:val="2"/>
          <w:sz w:val="24"/>
          <w:szCs w:val="24"/>
        </w:rPr>
        <w:t>AUC</w:t>
      </w:r>
      <w:r w:rsidRPr="007B4B68">
        <w:rPr>
          <w:position w:val="2"/>
          <w:sz w:val="24"/>
          <w:szCs w:val="24"/>
          <w:vertAlign w:val="subscript"/>
        </w:rPr>
        <w:t>ss</w:t>
      </w:r>
      <w:proofErr w:type="spellEnd"/>
      <w:r w:rsidRPr="007B4B68">
        <w:rPr>
          <w:sz w:val="24"/>
          <w:szCs w:val="24"/>
        </w:rPr>
        <w:t xml:space="preserve"> </w:t>
      </w:r>
      <w:r w:rsidRPr="007B4B68">
        <w:rPr>
          <w:position w:val="2"/>
          <w:sz w:val="24"/>
          <w:szCs w:val="24"/>
        </w:rPr>
        <w:t xml:space="preserve">steg </w:t>
      </w:r>
      <w:r w:rsidRPr="007B4B68">
        <w:rPr>
          <w:sz w:val="24"/>
          <w:szCs w:val="24"/>
        </w:rPr>
        <w:t>dosisproportionalt. I denne population er systemisk eksponering efter daglig vedligeholdelsesdosis på 0,75 mg/kg/dag og 1,5 mg/kg/dag sammenlignelig med den, der ses hos voksne, der får henholdsvis 50 mg/dag og 100 mg/dag. Begge regimer er veltålte hos disse</w:t>
      </w:r>
      <w:r w:rsidRPr="007B4B68">
        <w:rPr>
          <w:spacing w:val="-12"/>
          <w:sz w:val="24"/>
          <w:szCs w:val="24"/>
        </w:rPr>
        <w:t xml:space="preserve"> </w:t>
      </w:r>
      <w:r w:rsidRPr="007B4B68">
        <w:rPr>
          <w:sz w:val="24"/>
          <w:szCs w:val="24"/>
        </w:rPr>
        <w:t>patienter.</w:t>
      </w:r>
    </w:p>
    <w:p w14:paraId="19EC2175" w14:textId="77777777" w:rsidR="00A86667" w:rsidRDefault="00A86667" w:rsidP="00A86667">
      <w:pPr>
        <w:tabs>
          <w:tab w:val="left" w:pos="851"/>
        </w:tabs>
        <w:ind w:left="851" w:hanging="851"/>
        <w:rPr>
          <w:sz w:val="24"/>
          <w:szCs w:val="24"/>
        </w:rPr>
      </w:pPr>
    </w:p>
    <w:p w14:paraId="12CC54B5" w14:textId="77777777" w:rsidR="00A86667" w:rsidRPr="00A65E5F" w:rsidRDefault="00A86667" w:rsidP="00A86667">
      <w:pPr>
        <w:pStyle w:val="Brdtekst"/>
        <w:spacing w:before="2"/>
        <w:ind w:left="851" w:right="895"/>
        <w:jc w:val="both"/>
        <w:rPr>
          <w:sz w:val="24"/>
          <w:szCs w:val="24"/>
        </w:rPr>
      </w:pPr>
      <w:proofErr w:type="spellStart"/>
      <w:r w:rsidRPr="00A65E5F">
        <w:rPr>
          <w:sz w:val="24"/>
          <w:szCs w:val="24"/>
        </w:rPr>
        <w:t>Anidulafungins</w:t>
      </w:r>
      <w:proofErr w:type="spellEnd"/>
      <w:r w:rsidRPr="00A65E5F">
        <w:rPr>
          <w:sz w:val="24"/>
          <w:szCs w:val="24"/>
        </w:rPr>
        <w:t xml:space="preserve"> farmakokinetik blev undersøgt hos 66 pædiatriske patienter (1 måned til &lt; 18 år) med ICC i et </w:t>
      </w:r>
      <w:proofErr w:type="spellStart"/>
      <w:r w:rsidRPr="00A65E5F">
        <w:rPr>
          <w:sz w:val="24"/>
          <w:szCs w:val="24"/>
        </w:rPr>
        <w:t>prospektivt</w:t>
      </w:r>
      <w:proofErr w:type="spellEnd"/>
      <w:r w:rsidRPr="00A65E5F">
        <w:rPr>
          <w:sz w:val="24"/>
          <w:szCs w:val="24"/>
        </w:rPr>
        <w:t xml:space="preserve">, åbent, ikke-komparativt pædiatrisk studie efter administration af en støddosis på 3,0 mg/kg og en vedligeholdelsesdosis på 1,5 mg/kg/dag (se pkt. 5.1). Baseret på </w:t>
      </w:r>
      <w:proofErr w:type="spellStart"/>
      <w:r w:rsidRPr="00A65E5F">
        <w:rPr>
          <w:sz w:val="24"/>
          <w:szCs w:val="24"/>
        </w:rPr>
        <w:t>populationsfarmakokinetisk</w:t>
      </w:r>
      <w:proofErr w:type="spellEnd"/>
      <w:r w:rsidRPr="00A65E5F">
        <w:rPr>
          <w:sz w:val="24"/>
          <w:szCs w:val="24"/>
        </w:rPr>
        <w:t xml:space="preserve"> analyse af samlede data fra voksne og pædiatriske patienter med ICC var de gennemsnitlige eksponeringsparametre (AUC</w:t>
      </w:r>
      <w:r w:rsidRPr="00A65E5F">
        <w:rPr>
          <w:position w:val="2"/>
          <w:sz w:val="24"/>
          <w:szCs w:val="24"/>
          <w:vertAlign w:val="subscript"/>
        </w:rPr>
        <w:t>0-</w:t>
      </w:r>
      <w:proofErr w:type="gramStart"/>
      <w:r w:rsidRPr="00A65E5F">
        <w:rPr>
          <w:position w:val="2"/>
          <w:sz w:val="24"/>
          <w:szCs w:val="24"/>
          <w:vertAlign w:val="subscript"/>
        </w:rPr>
        <w:t>24,ss</w:t>
      </w:r>
      <w:proofErr w:type="gramEnd"/>
      <w:r w:rsidRPr="00A65E5F">
        <w:rPr>
          <w:position w:val="2"/>
          <w:sz w:val="24"/>
          <w:szCs w:val="24"/>
          <w:vertAlign w:val="subscript"/>
        </w:rPr>
        <w:t xml:space="preserve"> </w:t>
      </w:r>
      <w:r w:rsidRPr="00A65E5F">
        <w:rPr>
          <w:sz w:val="24"/>
          <w:szCs w:val="24"/>
        </w:rPr>
        <w:t>og C</w:t>
      </w:r>
      <w:proofErr w:type="spellStart"/>
      <w:r w:rsidRPr="00A65E5F">
        <w:rPr>
          <w:position w:val="2"/>
          <w:sz w:val="24"/>
          <w:szCs w:val="24"/>
          <w:vertAlign w:val="subscript"/>
        </w:rPr>
        <w:t>min,ss</w:t>
      </w:r>
      <w:proofErr w:type="spellEnd"/>
      <w:r w:rsidRPr="00A65E5F">
        <w:rPr>
          <w:sz w:val="24"/>
          <w:szCs w:val="24"/>
        </w:rPr>
        <w:t xml:space="preserve">) ved </w:t>
      </w:r>
      <w:proofErr w:type="spellStart"/>
      <w:r w:rsidRPr="00A65E5F">
        <w:rPr>
          <w:sz w:val="24"/>
          <w:szCs w:val="24"/>
        </w:rPr>
        <w:t>steady</w:t>
      </w:r>
      <w:proofErr w:type="spellEnd"/>
      <w:r w:rsidRPr="00A65E5F">
        <w:rPr>
          <w:sz w:val="24"/>
          <w:szCs w:val="24"/>
        </w:rPr>
        <w:t xml:space="preserve"> </w:t>
      </w:r>
      <w:proofErr w:type="spellStart"/>
      <w:r w:rsidRPr="00A65E5F">
        <w:rPr>
          <w:sz w:val="24"/>
          <w:szCs w:val="24"/>
        </w:rPr>
        <w:t>state</w:t>
      </w:r>
      <w:proofErr w:type="spellEnd"/>
      <w:r w:rsidRPr="00A65E5F">
        <w:rPr>
          <w:sz w:val="24"/>
          <w:szCs w:val="24"/>
        </w:rPr>
        <w:t xml:space="preserve"> hos de samlede pædiatriske patienter på tværs af aldersgrupper (1 måned til &lt; 2 år, 2 til &lt; 5 år og 5 til &lt; 18 år) sammenlignelig med dem hos voksne, der fik en støddosis på 200 mg og en vedligeholdelsesdosis på 100 mg/dag. Legemsvægtjusteret CL (l/t/kg) og distributionsvolumen ved </w:t>
      </w:r>
      <w:proofErr w:type="spellStart"/>
      <w:r w:rsidRPr="00A65E5F">
        <w:rPr>
          <w:sz w:val="24"/>
          <w:szCs w:val="24"/>
        </w:rPr>
        <w:t>steady</w:t>
      </w:r>
      <w:proofErr w:type="spellEnd"/>
      <w:r w:rsidRPr="00A65E5F">
        <w:rPr>
          <w:sz w:val="24"/>
          <w:szCs w:val="24"/>
        </w:rPr>
        <w:t xml:space="preserve"> </w:t>
      </w:r>
      <w:proofErr w:type="spellStart"/>
      <w:r w:rsidRPr="00A65E5F">
        <w:rPr>
          <w:sz w:val="24"/>
          <w:szCs w:val="24"/>
        </w:rPr>
        <w:t>state</w:t>
      </w:r>
      <w:proofErr w:type="spellEnd"/>
      <w:r w:rsidRPr="00A65E5F">
        <w:rPr>
          <w:sz w:val="24"/>
          <w:szCs w:val="24"/>
        </w:rPr>
        <w:t xml:space="preserve"> (l/kg) var ensartet på tværs af aldersgrupper.</w:t>
      </w:r>
    </w:p>
    <w:p w14:paraId="023E4A2F" w14:textId="77777777" w:rsidR="009260DE" w:rsidRPr="007B4B68" w:rsidRDefault="009260DE" w:rsidP="00B94CD5">
      <w:pPr>
        <w:tabs>
          <w:tab w:val="left" w:pos="851"/>
        </w:tabs>
        <w:ind w:left="851" w:hanging="851"/>
        <w:rPr>
          <w:sz w:val="24"/>
          <w:szCs w:val="24"/>
        </w:rPr>
      </w:pPr>
    </w:p>
    <w:p w14:paraId="2AB08EDE" w14:textId="5C643C60" w:rsidR="009260DE" w:rsidRPr="007B4B68" w:rsidRDefault="009260DE" w:rsidP="00B94CD5">
      <w:pPr>
        <w:tabs>
          <w:tab w:val="left" w:pos="851"/>
        </w:tabs>
        <w:ind w:left="851" w:hanging="851"/>
        <w:rPr>
          <w:b/>
          <w:sz w:val="24"/>
          <w:szCs w:val="24"/>
        </w:rPr>
      </w:pPr>
      <w:r w:rsidRPr="007B4B68">
        <w:rPr>
          <w:b/>
          <w:sz w:val="24"/>
          <w:szCs w:val="24"/>
        </w:rPr>
        <w:t>5.3</w:t>
      </w:r>
      <w:r w:rsidRPr="007B4B68">
        <w:rPr>
          <w:b/>
          <w:sz w:val="24"/>
          <w:szCs w:val="24"/>
        </w:rPr>
        <w:tab/>
      </w:r>
      <w:bookmarkStart w:id="1" w:name="_Hlk143256142"/>
      <w:r w:rsidR="00A32012" w:rsidRPr="00421BF6">
        <w:rPr>
          <w:b/>
          <w:sz w:val="24"/>
          <w:szCs w:val="24"/>
        </w:rPr>
        <w:t>Non-kliniske sikkerhedsdata</w:t>
      </w:r>
      <w:bookmarkEnd w:id="1"/>
    </w:p>
    <w:p w14:paraId="11EDF183" w14:textId="77777777" w:rsidR="00C5280D" w:rsidRPr="007B4B68" w:rsidRDefault="00C5280D" w:rsidP="00B94CD5">
      <w:pPr>
        <w:ind w:left="851"/>
        <w:rPr>
          <w:sz w:val="24"/>
          <w:szCs w:val="24"/>
        </w:rPr>
      </w:pPr>
      <w:r w:rsidRPr="007B4B68">
        <w:rPr>
          <w:sz w:val="24"/>
          <w:szCs w:val="24"/>
        </w:rPr>
        <w:t xml:space="preserve">Hos både rotter og aber, der fik 4-6 gange højere doser end den forventede kliniske terapeutiske dosis, sås tegn på levertoksicitet, herunder forhøjede enzymer og morfologisk ændring i studier af 3 måneders varighed. </w:t>
      </w:r>
      <w:r w:rsidRPr="007B4B68">
        <w:rPr>
          <w:i/>
          <w:sz w:val="24"/>
          <w:szCs w:val="24"/>
        </w:rPr>
        <w:t xml:space="preserve">In </w:t>
      </w:r>
      <w:proofErr w:type="spellStart"/>
      <w:r w:rsidRPr="007B4B68">
        <w:rPr>
          <w:i/>
          <w:sz w:val="24"/>
          <w:szCs w:val="24"/>
        </w:rPr>
        <w:t>vitro</w:t>
      </w:r>
      <w:proofErr w:type="spellEnd"/>
      <w:r w:rsidRPr="007B4B68">
        <w:rPr>
          <w:i/>
          <w:sz w:val="24"/>
          <w:szCs w:val="24"/>
        </w:rPr>
        <w:t xml:space="preserve">- </w:t>
      </w:r>
      <w:r w:rsidRPr="007B4B68">
        <w:rPr>
          <w:sz w:val="24"/>
          <w:szCs w:val="24"/>
        </w:rPr>
        <w:t xml:space="preserve">og </w:t>
      </w:r>
      <w:r w:rsidRPr="007B4B68">
        <w:rPr>
          <w:i/>
          <w:sz w:val="24"/>
          <w:szCs w:val="24"/>
        </w:rPr>
        <w:t xml:space="preserve">in </w:t>
      </w:r>
      <w:proofErr w:type="spellStart"/>
      <w:r w:rsidRPr="007B4B68">
        <w:rPr>
          <w:i/>
          <w:sz w:val="24"/>
          <w:szCs w:val="24"/>
        </w:rPr>
        <w:t>vivo</w:t>
      </w:r>
      <w:r w:rsidRPr="007B4B68">
        <w:rPr>
          <w:sz w:val="24"/>
          <w:szCs w:val="24"/>
        </w:rPr>
        <w:t>-genotoksicitetsstudier</w:t>
      </w:r>
      <w:proofErr w:type="spellEnd"/>
      <w:r w:rsidRPr="007B4B68">
        <w:rPr>
          <w:sz w:val="24"/>
          <w:szCs w:val="24"/>
        </w:rPr>
        <w:t xml:space="preserve"> med </w:t>
      </w:r>
      <w:proofErr w:type="spellStart"/>
      <w:r w:rsidRPr="007B4B68">
        <w:rPr>
          <w:sz w:val="24"/>
          <w:szCs w:val="24"/>
        </w:rPr>
        <w:t>anidulafungin</w:t>
      </w:r>
      <w:proofErr w:type="spellEnd"/>
      <w:r w:rsidRPr="007B4B68">
        <w:rPr>
          <w:sz w:val="24"/>
          <w:szCs w:val="24"/>
        </w:rPr>
        <w:t xml:space="preserve"> viser ingen tegn på genotoksicitet. Der er ikke udført langtidsstudier med dyr til vurdering af </w:t>
      </w:r>
      <w:proofErr w:type="spellStart"/>
      <w:r w:rsidRPr="007B4B68">
        <w:rPr>
          <w:sz w:val="24"/>
          <w:szCs w:val="24"/>
        </w:rPr>
        <w:t>anidulafungins</w:t>
      </w:r>
      <w:proofErr w:type="spellEnd"/>
      <w:r w:rsidRPr="007B4B68">
        <w:rPr>
          <w:sz w:val="24"/>
          <w:szCs w:val="24"/>
        </w:rPr>
        <w:t xml:space="preserve"> </w:t>
      </w:r>
      <w:proofErr w:type="spellStart"/>
      <w:r w:rsidRPr="007B4B68">
        <w:rPr>
          <w:sz w:val="24"/>
          <w:szCs w:val="24"/>
        </w:rPr>
        <w:t>karcinogenicitet</w:t>
      </w:r>
      <w:proofErr w:type="spellEnd"/>
      <w:r w:rsidRPr="007B4B68">
        <w:rPr>
          <w:sz w:val="24"/>
          <w:szCs w:val="24"/>
        </w:rPr>
        <w:t>.</w:t>
      </w:r>
    </w:p>
    <w:p w14:paraId="7056E25D" w14:textId="77777777" w:rsidR="00C5280D" w:rsidRPr="007B4B68" w:rsidRDefault="00C5280D" w:rsidP="00B94CD5">
      <w:pPr>
        <w:ind w:left="851"/>
        <w:rPr>
          <w:sz w:val="24"/>
          <w:szCs w:val="24"/>
        </w:rPr>
      </w:pPr>
    </w:p>
    <w:p w14:paraId="5036F754" w14:textId="77777777" w:rsidR="00C5280D" w:rsidRPr="007B4B68" w:rsidRDefault="00C5280D" w:rsidP="00B94CD5">
      <w:pPr>
        <w:ind w:left="851"/>
        <w:rPr>
          <w:sz w:val="24"/>
          <w:szCs w:val="24"/>
        </w:rPr>
      </w:pPr>
      <w:r w:rsidRPr="007B4B68">
        <w:rPr>
          <w:sz w:val="24"/>
          <w:szCs w:val="24"/>
        </w:rPr>
        <w:t xml:space="preserve">Administration af </w:t>
      </w:r>
      <w:proofErr w:type="spellStart"/>
      <w:r w:rsidRPr="007B4B68">
        <w:rPr>
          <w:sz w:val="24"/>
          <w:szCs w:val="24"/>
        </w:rPr>
        <w:t>anidulafungin</w:t>
      </w:r>
      <w:proofErr w:type="spellEnd"/>
      <w:r w:rsidRPr="007B4B68">
        <w:rPr>
          <w:sz w:val="24"/>
          <w:szCs w:val="24"/>
        </w:rPr>
        <w:t xml:space="preserve"> til rotter tyder ikke på påvirkning af reproduktion, herunder fertilitet hos hanner og hunner.</w:t>
      </w:r>
    </w:p>
    <w:p w14:paraId="67BB40EF" w14:textId="77777777" w:rsidR="00C5280D" w:rsidRPr="007B4B68" w:rsidRDefault="00C5280D" w:rsidP="00B94CD5">
      <w:pPr>
        <w:ind w:left="851"/>
        <w:rPr>
          <w:sz w:val="24"/>
          <w:szCs w:val="24"/>
        </w:rPr>
      </w:pPr>
    </w:p>
    <w:p w14:paraId="15B6EE7D" w14:textId="77777777" w:rsidR="00C5280D" w:rsidRPr="007B4B68" w:rsidRDefault="00C5280D" w:rsidP="00B94CD5">
      <w:pPr>
        <w:ind w:left="851"/>
        <w:rPr>
          <w:sz w:val="24"/>
          <w:szCs w:val="24"/>
        </w:rPr>
      </w:pPr>
      <w:proofErr w:type="spellStart"/>
      <w:r w:rsidRPr="007B4B68">
        <w:rPr>
          <w:sz w:val="24"/>
          <w:szCs w:val="24"/>
        </w:rPr>
        <w:t>Anidulafungin</w:t>
      </w:r>
      <w:proofErr w:type="spellEnd"/>
      <w:r w:rsidRPr="007B4B68">
        <w:rPr>
          <w:sz w:val="24"/>
          <w:szCs w:val="24"/>
        </w:rPr>
        <w:t xml:space="preserve"> krydser placentabarrieren hos rotter, og er målt i fosterplasma.</w:t>
      </w:r>
    </w:p>
    <w:p w14:paraId="25E7E6D6" w14:textId="77777777" w:rsidR="00C5280D" w:rsidRPr="007B4B68" w:rsidRDefault="00C5280D" w:rsidP="00B94CD5">
      <w:pPr>
        <w:ind w:left="851"/>
        <w:rPr>
          <w:sz w:val="24"/>
          <w:szCs w:val="24"/>
        </w:rPr>
      </w:pPr>
    </w:p>
    <w:p w14:paraId="4C8F66C6" w14:textId="046D49C6" w:rsidR="00C5280D" w:rsidRPr="007B4B68" w:rsidRDefault="00C5280D" w:rsidP="00B94CD5">
      <w:pPr>
        <w:ind w:left="851"/>
        <w:rPr>
          <w:sz w:val="24"/>
          <w:szCs w:val="24"/>
        </w:rPr>
      </w:pPr>
      <w:r w:rsidRPr="007B4B68">
        <w:rPr>
          <w:sz w:val="24"/>
          <w:szCs w:val="24"/>
        </w:rPr>
        <w:t xml:space="preserve">Studier af embryoets/fostrets udvikling blev udført med doser på 0,2-2 gange (rotter) og 1-4 gange (kaniner) den foreslåede terapeutiske vedligeholdelsesdosis på 100 mg/døgn. </w:t>
      </w:r>
      <w:proofErr w:type="spellStart"/>
      <w:r w:rsidRPr="007B4B68">
        <w:rPr>
          <w:sz w:val="24"/>
          <w:szCs w:val="24"/>
        </w:rPr>
        <w:t>Anidulafungin</w:t>
      </w:r>
      <w:proofErr w:type="spellEnd"/>
      <w:r w:rsidRPr="007B4B68">
        <w:rPr>
          <w:sz w:val="24"/>
          <w:szCs w:val="24"/>
        </w:rPr>
        <w:t xml:space="preserve"> producerede ikke nogen lægemiddelrelateret toksi</w:t>
      </w:r>
      <w:r w:rsidR="00B12178">
        <w:rPr>
          <w:sz w:val="24"/>
          <w:szCs w:val="24"/>
        </w:rPr>
        <w:t>ci</w:t>
      </w:r>
      <w:r w:rsidRPr="007B4B68">
        <w:rPr>
          <w:sz w:val="24"/>
          <w:szCs w:val="24"/>
        </w:rPr>
        <w:t xml:space="preserve">tet for udvikling hos rotter ved den højeste undersøgte dosis. Udviklingspåvirkning, der er set hos kaniner (let reduceret fødselsvægt), opstod kun ved den højeste undersøgte dosis, der også producerede </w:t>
      </w:r>
      <w:proofErr w:type="spellStart"/>
      <w:r w:rsidRPr="007B4B68">
        <w:rPr>
          <w:sz w:val="24"/>
          <w:szCs w:val="24"/>
        </w:rPr>
        <w:t>materneltoksicitet</w:t>
      </w:r>
      <w:proofErr w:type="spellEnd"/>
      <w:r w:rsidRPr="007B4B68">
        <w:rPr>
          <w:sz w:val="24"/>
          <w:szCs w:val="24"/>
        </w:rPr>
        <w:t>.</w:t>
      </w:r>
    </w:p>
    <w:p w14:paraId="34669B43" w14:textId="77777777" w:rsidR="00C5280D" w:rsidRPr="007B4B68" w:rsidRDefault="00C5280D" w:rsidP="00B94CD5">
      <w:pPr>
        <w:ind w:left="851"/>
        <w:rPr>
          <w:sz w:val="24"/>
          <w:szCs w:val="24"/>
        </w:rPr>
      </w:pPr>
    </w:p>
    <w:p w14:paraId="5D531725" w14:textId="77777777" w:rsidR="00A86667" w:rsidRPr="007B4B68" w:rsidRDefault="00A86667" w:rsidP="00A86667">
      <w:pPr>
        <w:ind w:left="851"/>
        <w:rPr>
          <w:sz w:val="24"/>
          <w:szCs w:val="24"/>
        </w:rPr>
      </w:pPr>
      <w:r w:rsidRPr="007B4B68">
        <w:rPr>
          <w:sz w:val="24"/>
          <w:szCs w:val="24"/>
        </w:rPr>
        <w:t xml:space="preserve">Koncentrationen af </w:t>
      </w:r>
      <w:proofErr w:type="spellStart"/>
      <w:r w:rsidRPr="007B4B68">
        <w:rPr>
          <w:sz w:val="24"/>
          <w:szCs w:val="24"/>
        </w:rPr>
        <w:t>anidulafungin</w:t>
      </w:r>
      <w:proofErr w:type="spellEnd"/>
      <w:r w:rsidRPr="007B4B68">
        <w:rPr>
          <w:sz w:val="24"/>
          <w:szCs w:val="24"/>
        </w:rPr>
        <w:t xml:space="preserve"> i hjernen hos </w:t>
      </w:r>
      <w:proofErr w:type="spellStart"/>
      <w:r w:rsidRPr="007B4B68">
        <w:rPr>
          <w:sz w:val="24"/>
          <w:szCs w:val="24"/>
        </w:rPr>
        <w:t>uinficerede</w:t>
      </w:r>
      <w:proofErr w:type="spellEnd"/>
      <w:r w:rsidRPr="007B4B68">
        <w:rPr>
          <w:sz w:val="24"/>
          <w:szCs w:val="24"/>
        </w:rPr>
        <w:t xml:space="preserve"> voksne og nyfødte rotter efter en enkelt dosis var lav (</w:t>
      </w:r>
      <w:proofErr w:type="spellStart"/>
      <w:r w:rsidRPr="007B4B68">
        <w:rPr>
          <w:sz w:val="24"/>
          <w:szCs w:val="24"/>
        </w:rPr>
        <w:t>hjerne:plasma-ratio</w:t>
      </w:r>
      <w:proofErr w:type="spellEnd"/>
      <w:r w:rsidRPr="007B4B68">
        <w:rPr>
          <w:sz w:val="24"/>
          <w:szCs w:val="24"/>
        </w:rPr>
        <w:t xml:space="preserve"> på ca. 0,2). Koncentrationen i hjernen øgedes dog hos </w:t>
      </w:r>
      <w:proofErr w:type="spellStart"/>
      <w:r w:rsidRPr="007B4B68">
        <w:rPr>
          <w:sz w:val="24"/>
          <w:szCs w:val="24"/>
        </w:rPr>
        <w:t>uinficerede</w:t>
      </w:r>
      <w:proofErr w:type="spellEnd"/>
      <w:r w:rsidRPr="007B4B68">
        <w:rPr>
          <w:sz w:val="24"/>
          <w:szCs w:val="24"/>
        </w:rPr>
        <w:t xml:space="preserve"> nyfødte rotter efter 5 daglige doser (</w:t>
      </w:r>
      <w:proofErr w:type="spellStart"/>
      <w:r w:rsidRPr="007B4B68">
        <w:rPr>
          <w:sz w:val="24"/>
          <w:szCs w:val="24"/>
        </w:rPr>
        <w:t>hjerne:plasma-ratio</w:t>
      </w:r>
      <w:proofErr w:type="spellEnd"/>
      <w:r w:rsidRPr="007B4B68">
        <w:rPr>
          <w:sz w:val="24"/>
          <w:szCs w:val="24"/>
        </w:rPr>
        <w:t xml:space="preserve"> på ca. 0,7). I </w:t>
      </w:r>
      <w:proofErr w:type="spellStart"/>
      <w:r w:rsidRPr="007B4B68">
        <w:rPr>
          <w:sz w:val="24"/>
          <w:szCs w:val="24"/>
        </w:rPr>
        <w:t>fler</w:t>
      </w:r>
      <w:proofErr w:type="spellEnd"/>
      <w:r w:rsidRPr="007B4B68">
        <w:rPr>
          <w:sz w:val="24"/>
          <w:szCs w:val="24"/>
        </w:rPr>
        <w:t xml:space="preserve">-dosisstudier med kaniner med dissemineret </w:t>
      </w:r>
      <w:proofErr w:type="spellStart"/>
      <w:r w:rsidRPr="007B4B68">
        <w:rPr>
          <w:sz w:val="24"/>
          <w:szCs w:val="24"/>
        </w:rPr>
        <w:t>candidiasis</w:t>
      </w:r>
      <w:proofErr w:type="spellEnd"/>
      <w:r w:rsidRPr="007B4B68">
        <w:rPr>
          <w:sz w:val="24"/>
          <w:szCs w:val="24"/>
        </w:rPr>
        <w:t xml:space="preserve"> samt hos mus med </w:t>
      </w:r>
      <w:proofErr w:type="spellStart"/>
      <w:r w:rsidRPr="007B4B68">
        <w:rPr>
          <w:sz w:val="24"/>
          <w:szCs w:val="24"/>
        </w:rPr>
        <w:t>candidainfektion</w:t>
      </w:r>
      <w:proofErr w:type="spellEnd"/>
      <w:r w:rsidRPr="007B4B68">
        <w:rPr>
          <w:sz w:val="24"/>
          <w:szCs w:val="24"/>
        </w:rPr>
        <w:t xml:space="preserve"> i centralnervesystemet </w:t>
      </w:r>
      <w:r w:rsidRPr="00A65E5F">
        <w:rPr>
          <w:sz w:val="24"/>
          <w:szCs w:val="24"/>
        </w:rPr>
        <w:t>(CNS)</w:t>
      </w:r>
      <w:r w:rsidRPr="00A65E5F">
        <w:t xml:space="preserve"> </w:t>
      </w:r>
      <w:r w:rsidRPr="007B4B68">
        <w:rPr>
          <w:sz w:val="24"/>
          <w:szCs w:val="24"/>
        </w:rPr>
        <w:t xml:space="preserve">er det vist, at </w:t>
      </w:r>
      <w:proofErr w:type="spellStart"/>
      <w:r w:rsidRPr="007B4B68">
        <w:rPr>
          <w:sz w:val="24"/>
          <w:szCs w:val="24"/>
        </w:rPr>
        <w:t>anidulafungin</w:t>
      </w:r>
      <w:proofErr w:type="spellEnd"/>
      <w:r w:rsidRPr="007B4B68">
        <w:rPr>
          <w:sz w:val="24"/>
          <w:szCs w:val="24"/>
        </w:rPr>
        <w:t xml:space="preserve"> kan reducere svampebelastningen i hjernen.</w:t>
      </w:r>
      <w:r>
        <w:rPr>
          <w:sz w:val="24"/>
          <w:szCs w:val="24"/>
        </w:rPr>
        <w:t xml:space="preserve"> </w:t>
      </w:r>
      <w:r w:rsidRPr="00A65E5F">
        <w:rPr>
          <w:sz w:val="24"/>
          <w:szCs w:val="24"/>
        </w:rPr>
        <w:t xml:space="preserve">Resultaterne fra </w:t>
      </w:r>
      <w:proofErr w:type="spellStart"/>
      <w:r w:rsidRPr="00A65E5F">
        <w:rPr>
          <w:sz w:val="24"/>
          <w:szCs w:val="24"/>
        </w:rPr>
        <w:t>farmakokinetiskefarmakodynamiske</w:t>
      </w:r>
      <w:proofErr w:type="spellEnd"/>
      <w:r w:rsidRPr="00A65E5F">
        <w:rPr>
          <w:sz w:val="24"/>
          <w:szCs w:val="24"/>
        </w:rPr>
        <w:t xml:space="preserve"> studier i kaninmodeller med dissemineret </w:t>
      </w:r>
      <w:proofErr w:type="spellStart"/>
      <w:r w:rsidRPr="00A65E5F">
        <w:rPr>
          <w:sz w:val="24"/>
          <w:szCs w:val="24"/>
        </w:rPr>
        <w:t>candidiasis</w:t>
      </w:r>
      <w:proofErr w:type="spellEnd"/>
      <w:r w:rsidRPr="00A65E5F">
        <w:rPr>
          <w:sz w:val="24"/>
          <w:szCs w:val="24"/>
        </w:rPr>
        <w:t xml:space="preserve"> og </w:t>
      </w:r>
      <w:proofErr w:type="spellStart"/>
      <w:r w:rsidRPr="00A65E5F">
        <w:rPr>
          <w:sz w:val="24"/>
          <w:szCs w:val="24"/>
        </w:rPr>
        <w:t>hæmatogen</w:t>
      </w:r>
      <w:proofErr w:type="spellEnd"/>
      <w:r w:rsidRPr="00A65E5F">
        <w:rPr>
          <w:sz w:val="24"/>
          <w:szCs w:val="24"/>
        </w:rPr>
        <w:t xml:space="preserve"> </w:t>
      </w:r>
      <w:proofErr w:type="spellStart"/>
      <w:r w:rsidRPr="00A65E5F">
        <w:rPr>
          <w:i/>
          <w:iCs/>
          <w:sz w:val="24"/>
          <w:szCs w:val="24"/>
        </w:rPr>
        <w:t>Candida</w:t>
      </w:r>
      <w:r w:rsidRPr="00A65E5F">
        <w:rPr>
          <w:sz w:val="24"/>
          <w:szCs w:val="24"/>
        </w:rPr>
        <w:t>-meningoencephalitis</w:t>
      </w:r>
      <w:proofErr w:type="spellEnd"/>
      <w:r w:rsidRPr="00A65E5F">
        <w:rPr>
          <w:sz w:val="24"/>
          <w:szCs w:val="24"/>
        </w:rPr>
        <w:t xml:space="preserve"> indikerede, at der var behov for højere </w:t>
      </w:r>
      <w:proofErr w:type="spellStart"/>
      <w:r w:rsidRPr="00A65E5F">
        <w:rPr>
          <w:sz w:val="24"/>
          <w:szCs w:val="24"/>
        </w:rPr>
        <w:t>anidulafungindoser</w:t>
      </w:r>
      <w:proofErr w:type="spellEnd"/>
      <w:r w:rsidRPr="00A65E5F">
        <w:rPr>
          <w:sz w:val="24"/>
          <w:szCs w:val="24"/>
        </w:rPr>
        <w:t xml:space="preserve"> til optimal behandling af infektioner i CNS-væv i forhold til ikke-CNS-væv (se pkt. 4.4).</w:t>
      </w:r>
    </w:p>
    <w:p w14:paraId="61F3609D" w14:textId="77777777" w:rsidR="00C5280D" w:rsidRPr="007B4B68" w:rsidRDefault="00C5280D" w:rsidP="00B94CD5">
      <w:pPr>
        <w:ind w:left="851"/>
        <w:rPr>
          <w:sz w:val="24"/>
          <w:szCs w:val="24"/>
        </w:rPr>
      </w:pPr>
    </w:p>
    <w:p w14:paraId="50CE5AB9" w14:textId="57ABBCC2" w:rsidR="00C5280D" w:rsidRDefault="00C5280D" w:rsidP="00B94CD5">
      <w:pPr>
        <w:ind w:left="851"/>
        <w:rPr>
          <w:sz w:val="24"/>
          <w:szCs w:val="24"/>
        </w:rPr>
      </w:pPr>
      <w:r w:rsidRPr="007B4B68">
        <w:rPr>
          <w:sz w:val="24"/>
          <w:szCs w:val="24"/>
        </w:rPr>
        <w:t xml:space="preserve">Rotter fik </w:t>
      </w:r>
      <w:proofErr w:type="spellStart"/>
      <w:r w:rsidRPr="007B4B68">
        <w:rPr>
          <w:sz w:val="24"/>
          <w:szCs w:val="24"/>
        </w:rPr>
        <w:t>anidulafungin</w:t>
      </w:r>
      <w:proofErr w:type="spellEnd"/>
      <w:r w:rsidRPr="007B4B68">
        <w:rPr>
          <w:sz w:val="24"/>
          <w:szCs w:val="24"/>
        </w:rPr>
        <w:t xml:space="preserve">-doser på tre dosisniveauer og anæstesi inden for 1 time. Som anæstesi blev der anvendt en kombination af </w:t>
      </w:r>
      <w:proofErr w:type="spellStart"/>
      <w:r w:rsidRPr="007B4B68">
        <w:rPr>
          <w:sz w:val="24"/>
          <w:szCs w:val="24"/>
        </w:rPr>
        <w:t>ketamin</w:t>
      </w:r>
      <w:proofErr w:type="spellEnd"/>
      <w:r w:rsidRPr="007B4B68">
        <w:rPr>
          <w:sz w:val="24"/>
          <w:szCs w:val="24"/>
        </w:rPr>
        <w:t xml:space="preserve"> og </w:t>
      </w:r>
      <w:proofErr w:type="spellStart"/>
      <w:r w:rsidRPr="007B4B68">
        <w:rPr>
          <w:sz w:val="24"/>
          <w:szCs w:val="24"/>
        </w:rPr>
        <w:t>xylazin</w:t>
      </w:r>
      <w:proofErr w:type="spellEnd"/>
      <w:r w:rsidRPr="007B4B68">
        <w:rPr>
          <w:sz w:val="24"/>
          <w:szCs w:val="24"/>
        </w:rPr>
        <w:t>. Rotter i højdosis-gruppen oplevede infusionsrelaterede bivirkninger, der blev forværret af anæstesien. Nogle rotter i middeldosis-gruppen oplevede de samme reaktioner, men kun efter administration af anæstesi. Der var ingen bivirkninger i lavdosis-gruppen uanset om de fik anæstesi eller ej, og ingen infusionsrelaterede bivirkninger i middeldosis-gruppen, når anæstesi ikke blev givet.</w:t>
      </w:r>
    </w:p>
    <w:p w14:paraId="727541E7" w14:textId="176E3C8C" w:rsidR="00A86667" w:rsidRDefault="00A86667" w:rsidP="00B94CD5">
      <w:pPr>
        <w:ind w:left="851"/>
        <w:rPr>
          <w:sz w:val="24"/>
          <w:szCs w:val="24"/>
        </w:rPr>
      </w:pPr>
    </w:p>
    <w:p w14:paraId="7B15839F" w14:textId="2AAA6781" w:rsidR="00A86667" w:rsidRPr="007B4B68" w:rsidRDefault="00A86667" w:rsidP="00A86667">
      <w:pPr>
        <w:ind w:left="851"/>
        <w:rPr>
          <w:sz w:val="24"/>
          <w:szCs w:val="24"/>
        </w:rPr>
      </w:pPr>
      <w:r w:rsidRPr="00A65E5F">
        <w:rPr>
          <w:sz w:val="24"/>
          <w:szCs w:val="24"/>
        </w:rPr>
        <w:t xml:space="preserve">Studier udført hos unge rotter indikerede ikke større modtagelighed for </w:t>
      </w:r>
      <w:proofErr w:type="spellStart"/>
      <w:r w:rsidRPr="00A65E5F">
        <w:rPr>
          <w:sz w:val="24"/>
          <w:szCs w:val="24"/>
        </w:rPr>
        <w:t>anidulafungin-hepatotoksicitet</w:t>
      </w:r>
      <w:proofErr w:type="spellEnd"/>
      <w:r w:rsidRPr="00A65E5F">
        <w:rPr>
          <w:sz w:val="24"/>
          <w:szCs w:val="24"/>
        </w:rPr>
        <w:t xml:space="preserve"> sammenlignet med voksne dyr.</w:t>
      </w:r>
    </w:p>
    <w:p w14:paraId="22542D64" w14:textId="77777777" w:rsidR="009260DE" w:rsidRPr="007B4B68" w:rsidRDefault="009260DE" w:rsidP="00B94CD5">
      <w:pPr>
        <w:tabs>
          <w:tab w:val="left" w:pos="851"/>
        </w:tabs>
        <w:ind w:left="851" w:hanging="851"/>
        <w:rPr>
          <w:sz w:val="24"/>
          <w:szCs w:val="24"/>
        </w:rPr>
      </w:pPr>
    </w:p>
    <w:p w14:paraId="125E0ECD" w14:textId="77777777" w:rsidR="009260DE" w:rsidRPr="007B4B68" w:rsidRDefault="009260DE" w:rsidP="00B94CD5">
      <w:pPr>
        <w:tabs>
          <w:tab w:val="left" w:pos="851"/>
        </w:tabs>
        <w:ind w:left="851" w:hanging="851"/>
        <w:rPr>
          <w:sz w:val="24"/>
          <w:szCs w:val="24"/>
        </w:rPr>
      </w:pPr>
    </w:p>
    <w:p w14:paraId="3D6A8E2A" w14:textId="77777777" w:rsidR="009260DE" w:rsidRPr="007B4B68" w:rsidRDefault="009260DE" w:rsidP="00B94CD5">
      <w:pPr>
        <w:tabs>
          <w:tab w:val="left" w:pos="851"/>
        </w:tabs>
        <w:ind w:left="851" w:hanging="851"/>
        <w:rPr>
          <w:b/>
          <w:sz w:val="24"/>
          <w:szCs w:val="24"/>
        </w:rPr>
      </w:pPr>
      <w:r w:rsidRPr="007B4B68">
        <w:rPr>
          <w:b/>
          <w:sz w:val="24"/>
          <w:szCs w:val="24"/>
        </w:rPr>
        <w:t>6.</w:t>
      </w:r>
      <w:r w:rsidRPr="007B4B68">
        <w:rPr>
          <w:b/>
          <w:sz w:val="24"/>
          <w:szCs w:val="24"/>
        </w:rPr>
        <w:tab/>
        <w:t>FARMACEUTISKE OPLYSNINGER</w:t>
      </w:r>
    </w:p>
    <w:p w14:paraId="3BDCA3DF" w14:textId="77777777" w:rsidR="009260DE" w:rsidRPr="007B4B68" w:rsidRDefault="009260DE" w:rsidP="00B94CD5">
      <w:pPr>
        <w:tabs>
          <w:tab w:val="left" w:pos="851"/>
        </w:tabs>
        <w:ind w:left="851" w:hanging="851"/>
        <w:rPr>
          <w:sz w:val="24"/>
          <w:szCs w:val="24"/>
        </w:rPr>
      </w:pPr>
    </w:p>
    <w:p w14:paraId="1A8767D9" w14:textId="77777777" w:rsidR="009260DE" w:rsidRPr="007B4B68" w:rsidRDefault="009260DE" w:rsidP="00B94CD5">
      <w:pPr>
        <w:tabs>
          <w:tab w:val="left" w:pos="851"/>
        </w:tabs>
        <w:ind w:left="851" w:hanging="851"/>
        <w:rPr>
          <w:b/>
          <w:sz w:val="24"/>
          <w:szCs w:val="24"/>
        </w:rPr>
      </w:pPr>
      <w:r w:rsidRPr="007B4B68">
        <w:rPr>
          <w:b/>
          <w:sz w:val="24"/>
          <w:szCs w:val="24"/>
        </w:rPr>
        <w:t>6.1</w:t>
      </w:r>
      <w:r w:rsidRPr="007B4B68">
        <w:rPr>
          <w:b/>
          <w:sz w:val="24"/>
          <w:szCs w:val="24"/>
        </w:rPr>
        <w:tab/>
        <w:t>Hjælpestoffer</w:t>
      </w:r>
    </w:p>
    <w:p w14:paraId="2CAB366A" w14:textId="77777777" w:rsidR="00C5280D" w:rsidRPr="007B4B68" w:rsidRDefault="00C5280D" w:rsidP="00B94CD5">
      <w:pPr>
        <w:ind w:left="851"/>
        <w:rPr>
          <w:sz w:val="24"/>
          <w:szCs w:val="24"/>
        </w:rPr>
      </w:pPr>
      <w:proofErr w:type="spellStart"/>
      <w:r w:rsidRPr="007B4B68">
        <w:rPr>
          <w:sz w:val="24"/>
          <w:szCs w:val="24"/>
        </w:rPr>
        <w:t>Fructose</w:t>
      </w:r>
      <w:proofErr w:type="spellEnd"/>
      <w:r w:rsidRPr="007B4B68">
        <w:rPr>
          <w:sz w:val="24"/>
          <w:szCs w:val="24"/>
        </w:rPr>
        <w:t xml:space="preserve"> </w:t>
      </w:r>
    </w:p>
    <w:p w14:paraId="3F534884" w14:textId="77777777" w:rsidR="00C5280D" w:rsidRPr="007B4B68" w:rsidRDefault="00C5280D" w:rsidP="00B94CD5">
      <w:pPr>
        <w:ind w:left="851"/>
        <w:rPr>
          <w:sz w:val="24"/>
          <w:szCs w:val="24"/>
        </w:rPr>
      </w:pPr>
      <w:proofErr w:type="spellStart"/>
      <w:r w:rsidRPr="007B4B68">
        <w:rPr>
          <w:sz w:val="24"/>
          <w:szCs w:val="24"/>
        </w:rPr>
        <w:t>Mannitol</w:t>
      </w:r>
      <w:proofErr w:type="spellEnd"/>
      <w:r w:rsidRPr="007B4B68">
        <w:rPr>
          <w:sz w:val="24"/>
          <w:szCs w:val="24"/>
        </w:rPr>
        <w:t xml:space="preserve"> </w:t>
      </w:r>
    </w:p>
    <w:p w14:paraId="7911B8C8" w14:textId="77777777" w:rsidR="00C5280D" w:rsidRPr="007B4B68" w:rsidRDefault="00C5280D" w:rsidP="00B94CD5">
      <w:pPr>
        <w:ind w:left="851"/>
        <w:rPr>
          <w:sz w:val="24"/>
          <w:szCs w:val="24"/>
        </w:rPr>
      </w:pPr>
      <w:proofErr w:type="spellStart"/>
      <w:r w:rsidRPr="007B4B68">
        <w:rPr>
          <w:sz w:val="24"/>
          <w:szCs w:val="24"/>
        </w:rPr>
        <w:t>Polysorbat</w:t>
      </w:r>
      <w:proofErr w:type="spellEnd"/>
      <w:r w:rsidRPr="007B4B68">
        <w:rPr>
          <w:sz w:val="24"/>
          <w:szCs w:val="24"/>
        </w:rPr>
        <w:t xml:space="preserve"> 80 </w:t>
      </w:r>
    </w:p>
    <w:p w14:paraId="37EABFC7" w14:textId="77777777" w:rsidR="00C5280D" w:rsidRPr="007B4B68" w:rsidRDefault="00C5280D" w:rsidP="00B94CD5">
      <w:pPr>
        <w:ind w:left="851"/>
        <w:rPr>
          <w:sz w:val="24"/>
          <w:szCs w:val="24"/>
        </w:rPr>
      </w:pPr>
      <w:r w:rsidRPr="007B4B68">
        <w:rPr>
          <w:sz w:val="24"/>
          <w:szCs w:val="24"/>
        </w:rPr>
        <w:t>Vinsyre</w:t>
      </w:r>
    </w:p>
    <w:p w14:paraId="43CBF728" w14:textId="77777777" w:rsidR="00C5280D" w:rsidRPr="007B4B68" w:rsidRDefault="00C5280D" w:rsidP="00B94CD5">
      <w:pPr>
        <w:ind w:left="851"/>
        <w:rPr>
          <w:sz w:val="24"/>
          <w:szCs w:val="24"/>
        </w:rPr>
      </w:pPr>
      <w:r w:rsidRPr="007B4B68">
        <w:rPr>
          <w:sz w:val="24"/>
          <w:szCs w:val="24"/>
        </w:rPr>
        <w:t xml:space="preserve">Natriumhydroxid og/eller saltsyre (til pH-justering) </w:t>
      </w:r>
    </w:p>
    <w:p w14:paraId="56DA4C3B" w14:textId="77777777" w:rsidR="009260DE" w:rsidRPr="007B4B68" w:rsidRDefault="009260DE" w:rsidP="00B94CD5">
      <w:pPr>
        <w:tabs>
          <w:tab w:val="left" w:pos="851"/>
        </w:tabs>
        <w:ind w:left="851" w:hanging="851"/>
        <w:rPr>
          <w:sz w:val="24"/>
          <w:szCs w:val="24"/>
        </w:rPr>
      </w:pPr>
    </w:p>
    <w:p w14:paraId="0FAB50B9" w14:textId="77777777" w:rsidR="009260DE" w:rsidRPr="007B4B68" w:rsidRDefault="009260DE" w:rsidP="00B94CD5">
      <w:pPr>
        <w:tabs>
          <w:tab w:val="left" w:pos="851"/>
        </w:tabs>
        <w:ind w:left="851" w:hanging="851"/>
        <w:rPr>
          <w:b/>
          <w:sz w:val="24"/>
          <w:szCs w:val="24"/>
        </w:rPr>
      </w:pPr>
      <w:r w:rsidRPr="007B4B68">
        <w:rPr>
          <w:b/>
          <w:sz w:val="24"/>
          <w:szCs w:val="24"/>
        </w:rPr>
        <w:t>6.2</w:t>
      </w:r>
      <w:r w:rsidRPr="007B4B68">
        <w:rPr>
          <w:b/>
          <w:sz w:val="24"/>
          <w:szCs w:val="24"/>
        </w:rPr>
        <w:tab/>
        <w:t>Uforligeligheder</w:t>
      </w:r>
    </w:p>
    <w:p w14:paraId="0647D000" w14:textId="77777777" w:rsidR="00C5280D" w:rsidRPr="007B4B68" w:rsidRDefault="00C5280D" w:rsidP="00B94CD5">
      <w:pPr>
        <w:ind w:left="851"/>
        <w:rPr>
          <w:sz w:val="24"/>
          <w:szCs w:val="24"/>
        </w:rPr>
      </w:pPr>
      <w:r w:rsidRPr="007B4B68">
        <w:rPr>
          <w:sz w:val="24"/>
          <w:szCs w:val="24"/>
        </w:rPr>
        <w:t>Dette lægemiddel må ikke blandes med andre lægemidler eller elektrolytter end dem, der er anført under pkt. 6.6.</w:t>
      </w:r>
    </w:p>
    <w:p w14:paraId="7141EDCD" w14:textId="77777777" w:rsidR="009260DE" w:rsidRPr="007B4B68" w:rsidRDefault="009260DE" w:rsidP="00B94CD5">
      <w:pPr>
        <w:tabs>
          <w:tab w:val="left" w:pos="851"/>
        </w:tabs>
        <w:ind w:left="851" w:hanging="851"/>
        <w:rPr>
          <w:sz w:val="24"/>
          <w:szCs w:val="24"/>
        </w:rPr>
      </w:pPr>
    </w:p>
    <w:p w14:paraId="094CD74C" w14:textId="77777777" w:rsidR="009260DE" w:rsidRPr="007B4B68" w:rsidRDefault="009260DE" w:rsidP="00B94CD5">
      <w:pPr>
        <w:tabs>
          <w:tab w:val="left" w:pos="851"/>
        </w:tabs>
        <w:ind w:left="851" w:hanging="851"/>
        <w:rPr>
          <w:b/>
          <w:sz w:val="24"/>
          <w:szCs w:val="24"/>
        </w:rPr>
      </w:pPr>
      <w:r w:rsidRPr="007B4B68">
        <w:rPr>
          <w:b/>
          <w:sz w:val="24"/>
          <w:szCs w:val="24"/>
        </w:rPr>
        <w:t>6.3</w:t>
      </w:r>
      <w:r w:rsidRPr="007B4B68">
        <w:rPr>
          <w:b/>
          <w:sz w:val="24"/>
          <w:szCs w:val="24"/>
        </w:rPr>
        <w:tab/>
        <w:t>Opbevaringstid</w:t>
      </w:r>
    </w:p>
    <w:p w14:paraId="2183E8D0" w14:textId="77777777" w:rsidR="00C5280D" w:rsidRPr="007B4B68" w:rsidRDefault="009260DE" w:rsidP="00B94CD5">
      <w:pPr>
        <w:ind w:left="851" w:hanging="851"/>
        <w:rPr>
          <w:sz w:val="24"/>
          <w:szCs w:val="24"/>
        </w:rPr>
      </w:pPr>
      <w:r w:rsidRPr="007B4B68">
        <w:rPr>
          <w:sz w:val="24"/>
          <w:szCs w:val="24"/>
        </w:rPr>
        <w:tab/>
      </w:r>
      <w:r w:rsidR="00C5280D" w:rsidRPr="007B4B68">
        <w:rPr>
          <w:sz w:val="24"/>
          <w:szCs w:val="24"/>
        </w:rPr>
        <w:t>3 år</w:t>
      </w:r>
    </w:p>
    <w:p w14:paraId="5C874469" w14:textId="77777777" w:rsidR="00C5280D" w:rsidRPr="007B4B68" w:rsidRDefault="00C5280D" w:rsidP="00B94CD5">
      <w:pPr>
        <w:ind w:left="851" w:hanging="851"/>
        <w:rPr>
          <w:sz w:val="24"/>
          <w:szCs w:val="24"/>
        </w:rPr>
      </w:pPr>
    </w:p>
    <w:p w14:paraId="3A9063B8" w14:textId="77777777" w:rsidR="00A86667" w:rsidRPr="007B4B68" w:rsidRDefault="00A86667" w:rsidP="00A86667">
      <w:pPr>
        <w:ind w:left="851"/>
        <w:rPr>
          <w:sz w:val="24"/>
          <w:szCs w:val="24"/>
        </w:rPr>
      </w:pPr>
      <w:r w:rsidRPr="007B4B68">
        <w:rPr>
          <w:sz w:val="24"/>
          <w:szCs w:val="24"/>
        </w:rPr>
        <w:t>Kan opbevares uden for køleskab ved</w:t>
      </w:r>
      <w:r>
        <w:rPr>
          <w:sz w:val="24"/>
          <w:szCs w:val="24"/>
        </w:rPr>
        <w:t xml:space="preserve"> temperaturer på op til</w:t>
      </w:r>
      <w:r w:rsidRPr="007B4B68">
        <w:rPr>
          <w:sz w:val="24"/>
          <w:szCs w:val="24"/>
        </w:rPr>
        <w:t xml:space="preserve"> 25 ºC i op til 96 timer</w:t>
      </w:r>
      <w:r>
        <w:rPr>
          <w:sz w:val="24"/>
          <w:szCs w:val="24"/>
        </w:rPr>
        <w:t>,</w:t>
      </w:r>
      <w:r w:rsidRPr="007B4B68">
        <w:rPr>
          <w:sz w:val="24"/>
          <w:szCs w:val="24"/>
        </w:rPr>
        <w:t xml:space="preserve"> og pulveret kan derefter sættes tilbage på køl.</w:t>
      </w:r>
    </w:p>
    <w:p w14:paraId="504E6A20" w14:textId="77777777" w:rsidR="00A86667" w:rsidRPr="007B4B68" w:rsidRDefault="00A86667" w:rsidP="00A86667">
      <w:pPr>
        <w:ind w:left="851" w:hanging="851"/>
        <w:rPr>
          <w:sz w:val="24"/>
          <w:szCs w:val="24"/>
          <w:u w:val="single"/>
        </w:rPr>
      </w:pPr>
    </w:p>
    <w:p w14:paraId="6B4A371F" w14:textId="77777777" w:rsidR="00A86667" w:rsidRPr="007B4B68" w:rsidRDefault="00A86667" w:rsidP="00A86667">
      <w:pPr>
        <w:ind w:left="851"/>
        <w:rPr>
          <w:sz w:val="24"/>
          <w:szCs w:val="24"/>
          <w:u w:val="single"/>
        </w:rPr>
      </w:pPr>
      <w:proofErr w:type="spellStart"/>
      <w:r w:rsidRPr="007B4B68">
        <w:rPr>
          <w:sz w:val="24"/>
          <w:szCs w:val="24"/>
          <w:u w:val="single"/>
        </w:rPr>
        <w:t>Rekonstitueret</w:t>
      </w:r>
      <w:proofErr w:type="spellEnd"/>
      <w:r w:rsidRPr="007B4B68">
        <w:rPr>
          <w:sz w:val="24"/>
          <w:szCs w:val="24"/>
          <w:u w:val="single"/>
        </w:rPr>
        <w:t xml:space="preserve"> opløsning</w:t>
      </w:r>
    </w:p>
    <w:p w14:paraId="193196E0" w14:textId="77777777" w:rsidR="00A86667" w:rsidRPr="007B4B68" w:rsidRDefault="00A86667" w:rsidP="00A86667">
      <w:pPr>
        <w:ind w:left="851"/>
        <w:rPr>
          <w:sz w:val="24"/>
          <w:szCs w:val="24"/>
        </w:rPr>
      </w:pPr>
    </w:p>
    <w:p w14:paraId="1E75D789" w14:textId="77777777" w:rsidR="00A86667" w:rsidRPr="007B4B68" w:rsidRDefault="00A86667" w:rsidP="00A86667">
      <w:pPr>
        <w:ind w:left="851"/>
        <w:rPr>
          <w:sz w:val="24"/>
          <w:szCs w:val="24"/>
        </w:rPr>
      </w:pPr>
      <w:r>
        <w:rPr>
          <w:sz w:val="24"/>
          <w:szCs w:val="24"/>
        </w:rPr>
        <w:t xml:space="preserve">Den </w:t>
      </w:r>
      <w:proofErr w:type="spellStart"/>
      <w:r>
        <w:rPr>
          <w:sz w:val="24"/>
          <w:szCs w:val="24"/>
        </w:rPr>
        <w:t>rekonstituerede</w:t>
      </w:r>
      <w:proofErr w:type="spellEnd"/>
      <w:r>
        <w:rPr>
          <w:sz w:val="24"/>
          <w:szCs w:val="24"/>
        </w:rPr>
        <w:t xml:space="preserve"> opløsning er dokumenteret kemisk og fysisk stabil i 24 timer ved 25</w:t>
      </w:r>
      <w:r w:rsidRPr="007B4B68">
        <w:rPr>
          <w:sz w:val="24"/>
          <w:szCs w:val="24"/>
        </w:rPr>
        <w:t>ºC</w:t>
      </w:r>
      <w:r>
        <w:rPr>
          <w:sz w:val="24"/>
          <w:szCs w:val="24"/>
        </w:rPr>
        <w:t>.</w:t>
      </w:r>
    </w:p>
    <w:p w14:paraId="29DA532D" w14:textId="77777777" w:rsidR="00A86667" w:rsidRPr="007B4B68" w:rsidRDefault="00A86667" w:rsidP="00A86667">
      <w:pPr>
        <w:ind w:left="851"/>
        <w:rPr>
          <w:sz w:val="24"/>
          <w:szCs w:val="24"/>
        </w:rPr>
      </w:pPr>
    </w:p>
    <w:p w14:paraId="37B5A5DD" w14:textId="77777777" w:rsidR="00A86667" w:rsidRPr="007B4B68" w:rsidRDefault="00A86667" w:rsidP="00A86667">
      <w:pPr>
        <w:ind w:left="851"/>
        <w:rPr>
          <w:sz w:val="24"/>
          <w:szCs w:val="24"/>
        </w:rPr>
      </w:pPr>
      <w:r w:rsidRPr="007B4B68">
        <w:rPr>
          <w:sz w:val="24"/>
          <w:szCs w:val="24"/>
        </w:rPr>
        <w:t xml:space="preserve">Ud fra et mikrobiologisk synspunkt, og hvis god aseptisk praksis følges, kan den </w:t>
      </w:r>
      <w:proofErr w:type="spellStart"/>
      <w:r w:rsidRPr="007B4B68">
        <w:rPr>
          <w:sz w:val="24"/>
          <w:szCs w:val="24"/>
        </w:rPr>
        <w:t>rekonstituerede</w:t>
      </w:r>
      <w:proofErr w:type="spellEnd"/>
      <w:r w:rsidRPr="007B4B68">
        <w:rPr>
          <w:sz w:val="24"/>
          <w:szCs w:val="24"/>
        </w:rPr>
        <w:t xml:space="preserve"> opløsning anvendes i op til 24 timer, ved opbevaring ved 25 ºC.</w:t>
      </w:r>
    </w:p>
    <w:p w14:paraId="4EA8D1D2" w14:textId="77777777" w:rsidR="00A86667" w:rsidRPr="007B4B68" w:rsidRDefault="00A86667" w:rsidP="00A86667">
      <w:pPr>
        <w:ind w:left="851"/>
        <w:rPr>
          <w:sz w:val="24"/>
          <w:szCs w:val="24"/>
        </w:rPr>
      </w:pPr>
    </w:p>
    <w:p w14:paraId="3D864A85" w14:textId="77777777" w:rsidR="00A86667" w:rsidRPr="007B4B68" w:rsidRDefault="00A86667" w:rsidP="00A86667">
      <w:pPr>
        <w:ind w:left="851"/>
        <w:rPr>
          <w:sz w:val="24"/>
          <w:szCs w:val="24"/>
          <w:u w:val="single"/>
        </w:rPr>
      </w:pPr>
      <w:r w:rsidRPr="007B4B68">
        <w:rPr>
          <w:sz w:val="24"/>
          <w:szCs w:val="24"/>
          <w:u w:val="single"/>
        </w:rPr>
        <w:t>Infusionsopløsning</w:t>
      </w:r>
    </w:p>
    <w:p w14:paraId="63E59300" w14:textId="77777777" w:rsidR="00A86667" w:rsidRPr="007B4B68" w:rsidRDefault="00A86667" w:rsidP="00A86667">
      <w:pPr>
        <w:ind w:left="851"/>
        <w:rPr>
          <w:sz w:val="24"/>
          <w:szCs w:val="24"/>
          <w:highlight w:val="yellow"/>
        </w:rPr>
      </w:pPr>
    </w:p>
    <w:p w14:paraId="79455A29" w14:textId="77777777" w:rsidR="00A86667" w:rsidRPr="007B4B68" w:rsidRDefault="00A86667" w:rsidP="00A86667">
      <w:pPr>
        <w:ind w:left="851"/>
        <w:rPr>
          <w:sz w:val="24"/>
          <w:szCs w:val="24"/>
        </w:rPr>
      </w:pPr>
      <w:r w:rsidRPr="007B4B68">
        <w:rPr>
          <w:sz w:val="24"/>
          <w:szCs w:val="24"/>
        </w:rPr>
        <w:t xml:space="preserve">Kemisk og fysisk stabilitet under anvendelse af infusionsopløsningen er påvist i 48 timer ved 25 °C eller i </w:t>
      </w:r>
      <w:r w:rsidRPr="007B4B68">
        <w:rPr>
          <w:noProof/>
          <w:sz w:val="24"/>
          <w:szCs w:val="24"/>
        </w:rPr>
        <w:t xml:space="preserve">72 timer ved </w:t>
      </w:r>
      <w:bookmarkStart w:id="2" w:name="_Hlk33616844"/>
      <w:r w:rsidRPr="007B4B68">
        <w:rPr>
          <w:noProof/>
          <w:sz w:val="24"/>
          <w:szCs w:val="24"/>
        </w:rPr>
        <w:t>-20</w:t>
      </w:r>
      <w:r>
        <w:rPr>
          <w:noProof/>
          <w:sz w:val="24"/>
          <w:szCs w:val="24"/>
        </w:rPr>
        <w:t xml:space="preserve"> </w:t>
      </w:r>
      <w:r w:rsidRPr="007B4B68">
        <w:rPr>
          <w:noProof/>
          <w:sz w:val="24"/>
          <w:szCs w:val="24"/>
        </w:rPr>
        <w:t>ºC</w:t>
      </w:r>
      <w:bookmarkEnd w:id="2"/>
      <w:r>
        <w:rPr>
          <w:noProof/>
          <w:sz w:val="24"/>
          <w:szCs w:val="24"/>
        </w:rPr>
        <w:t>.</w:t>
      </w:r>
    </w:p>
    <w:p w14:paraId="74A0DE10" w14:textId="77777777" w:rsidR="00A86667" w:rsidRPr="007B4B68" w:rsidRDefault="00A86667" w:rsidP="00A86667">
      <w:pPr>
        <w:ind w:left="851"/>
        <w:rPr>
          <w:sz w:val="24"/>
          <w:szCs w:val="24"/>
          <w:highlight w:val="yellow"/>
        </w:rPr>
      </w:pPr>
    </w:p>
    <w:p w14:paraId="5A73FFBA" w14:textId="77777777" w:rsidR="00A86667" w:rsidRPr="007B4B68" w:rsidRDefault="00A86667" w:rsidP="00A86667">
      <w:pPr>
        <w:pStyle w:val="Sidehoved"/>
        <w:tabs>
          <w:tab w:val="left" w:pos="1304"/>
        </w:tabs>
        <w:ind w:left="851"/>
        <w:rPr>
          <w:szCs w:val="24"/>
        </w:rPr>
      </w:pPr>
      <w:r>
        <w:rPr>
          <w:szCs w:val="24"/>
        </w:rPr>
        <w:t xml:space="preserve">Ud fra </w:t>
      </w:r>
      <w:r w:rsidRPr="007B4B68">
        <w:rPr>
          <w:szCs w:val="24"/>
        </w:rPr>
        <w:t>et mikrobiologisk synspunkt</w:t>
      </w:r>
      <w:r>
        <w:rPr>
          <w:szCs w:val="24"/>
        </w:rPr>
        <w:t>,</w:t>
      </w:r>
      <w:r w:rsidRPr="007B4B68">
        <w:rPr>
          <w:szCs w:val="24"/>
        </w:rPr>
        <w:t xml:space="preserve"> skal produktet anvendes øjeblikkeligt. Hvis det ikke bruges øjeblikkeligt, er opbevaringstider og -betingelser inden brug brugerens ansvar og vil normalt ikke være længere end 24 timer ved 2 til 8 °</w:t>
      </w:r>
      <w:r>
        <w:rPr>
          <w:szCs w:val="24"/>
        </w:rPr>
        <w:t>C</w:t>
      </w:r>
      <w:r w:rsidRPr="007B4B68">
        <w:rPr>
          <w:szCs w:val="24"/>
        </w:rPr>
        <w:t xml:space="preserve">, medmindre </w:t>
      </w:r>
      <w:proofErr w:type="spellStart"/>
      <w:r w:rsidRPr="007B4B68">
        <w:rPr>
          <w:szCs w:val="24"/>
        </w:rPr>
        <w:t>rekonstituering</w:t>
      </w:r>
      <w:proofErr w:type="spellEnd"/>
      <w:r w:rsidRPr="007B4B68">
        <w:rPr>
          <w:szCs w:val="24"/>
        </w:rPr>
        <w:t>/fortynding har fundet sted under kontrollerede og validerede aseptiske forhold.</w:t>
      </w:r>
    </w:p>
    <w:p w14:paraId="79ABAC3E" w14:textId="77777777" w:rsidR="009260DE" w:rsidRPr="007B4B68" w:rsidRDefault="009260DE" w:rsidP="00B94CD5">
      <w:pPr>
        <w:tabs>
          <w:tab w:val="left" w:pos="851"/>
        </w:tabs>
        <w:ind w:left="851" w:hanging="851"/>
        <w:rPr>
          <w:sz w:val="24"/>
          <w:szCs w:val="24"/>
        </w:rPr>
      </w:pPr>
    </w:p>
    <w:p w14:paraId="557E89D3" w14:textId="77777777" w:rsidR="00A86667" w:rsidRDefault="00A86667" w:rsidP="00B94CD5">
      <w:pPr>
        <w:tabs>
          <w:tab w:val="left" w:pos="851"/>
        </w:tabs>
        <w:ind w:left="851" w:hanging="851"/>
        <w:rPr>
          <w:b/>
          <w:sz w:val="24"/>
          <w:szCs w:val="24"/>
        </w:rPr>
      </w:pPr>
    </w:p>
    <w:p w14:paraId="49FBCEF8" w14:textId="1E0F8C1A" w:rsidR="009260DE" w:rsidRPr="007B4B68" w:rsidRDefault="009260DE" w:rsidP="00B94CD5">
      <w:pPr>
        <w:tabs>
          <w:tab w:val="left" w:pos="851"/>
        </w:tabs>
        <w:ind w:left="851" w:hanging="851"/>
        <w:rPr>
          <w:b/>
          <w:sz w:val="24"/>
          <w:szCs w:val="24"/>
        </w:rPr>
      </w:pPr>
      <w:r w:rsidRPr="007B4B68">
        <w:rPr>
          <w:b/>
          <w:sz w:val="24"/>
          <w:szCs w:val="24"/>
        </w:rPr>
        <w:t>6.4</w:t>
      </w:r>
      <w:r w:rsidRPr="007B4B68">
        <w:rPr>
          <w:b/>
          <w:sz w:val="24"/>
          <w:szCs w:val="24"/>
        </w:rPr>
        <w:tab/>
        <w:t>Særlige opbevaringsforhold</w:t>
      </w:r>
    </w:p>
    <w:p w14:paraId="2380AEB4" w14:textId="77777777" w:rsidR="00A86667" w:rsidRPr="007B4B68" w:rsidRDefault="00A86667" w:rsidP="00A86667">
      <w:pPr>
        <w:ind w:left="851"/>
        <w:rPr>
          <w:noProof/>
          <w:sz w:val="24"/>
          <w:szCs w:val="24"/>
        </w:rPr>
      </w:pPr>
      <w:r w:rsidRPr="007B4B68">
        <w:rPr>
          <w:noProof/>
          <w:sz w:val="24"/>
          <w:szCs w:val="24"/>
        </w:rPr>
        <w:t>Opbevares i køleskab (2 ºC</w:t>
      </w:r>
      <w:r>
        <w:rPr>
          <w:noProof/>
          <w:sz w:val="24"/>
          <w:szCs w:val="24"/>
        </w:rPr>
        <w:t xml:space="preserve"> </w:t>
      </w:r>
      <w:r w:rsidRPr="007B4B68">
        <w:rPr>
          <w:noProof/>
          <w:sz w:val="24"/>
          <w:szCs w:val="24"/>
        </w:rPr>
        <w:t>-</w:t>
      </w:r>
      <w:r>
        <w:rPr>
          <w:noProof/>
          <w:sz w:val="24"/>
          <w:szCs w:val="24"/>
        </w:rPr>
        <w:t xml:space="preserve"> </w:t>
      </w:r>
      <w:r w:rsidRPr="007B4B68">
        <w:rPr>
          <w:noProof/>
          <w:sz w:val="24"/>
          <w:szCs w:val="24"/>
        </w:rPr>
        <w:t>8 ºC).</w:t>
      </w:r>
    </w:p>
    <w:p w14:paraId="1ABB0064" w14:textId="77777777" w:rsidR="00A86667" w:rsidRPr="007B4B68" w:rsidRDefault="00A86667" w:rsidP="00A86667">
      <w:pPr>
        <w:ind w:left="851" w:hanging="851"/>
        <w:rPr>
          <w:noProof/>
          <w:sz w:val="24"/>
          <w:szCs w:val="24"/>
        </w:rPr>
      </w:pPr>
    </w:p>
    <w:p w14:paraId="130ABD5E" w14:textId="77777777" w:rsidR="00A86667" w:rsidRPr="007B4B68" w:rsidRDefault="00A86667" w:rsidP="00A86667">
      <w:pPr>
        <w:ind w:left="851"/>
        <w:rPr>
          <w:noProof/>
          <w:sz w:val="24"/>
          <w:szCs w:val="24"/>
        </w:rPr>
      </w:pPr>
      <w:r w:rsidRPr="007B4B68">
        <w:rPr>
          <w:noProof/>
          <w:sz w:val="24"/>
          <w:szCs w:val="24"/>
        </w:rPr>
        <w:t>Opbevaringsbetingelser efter rekonstitution og fortynding</w:t>
      </w:r>
      <w:r>
        <w:rPr>
          <w:noProof/>
          <w:sz w:val="24"/>
          <w:szCs w:val="24"/>
        </w:rPr>
        <w:t xml:space="preserve"> er anført i</w:t>
      </w:r>
      <w:r w:rsidRPr="007B4B68">
        <w:rPr>
          <w:noProof/>
          <w:sz w:val="24"/>
          <w:szCs w:val="24"/>
        </w:rPr>
        <w:t xml:space="preserve"> pkt. 6.3.</w:t>
      </w:r>
    </w:p>
    <w:p w14:paraId="28FD40FA" w14:textId="77777777" w:rsidR="0085480A" w:rsidRPr="007B4B68" w:rsidRDefault="0085480A" w:rsidP="00B94CD5">
      <w:pPr>
        <w:ind w:left="851"/>
        <w:rPr>
          <w:noProof/>
          <w:sz w:val="24"/>
          <w:szCs w:val="24"/>
        </w:rPr>
      </w:pPr>
    </w:p>
    <w:p w14:paraId="737A0E4F" w14:textId="77777777" w:rsidR="00A86667" w:rsidRPr="007B4B68" w:rsidRDefault="009260DE" w:rsidP="00A86667">
      <w:pPr>
        <w:tabs>
          <w:tab w:val="left" w:pos="851"/>
        </w:tabs>
        <w:ind w:left="851" w:hanging="851"/>
        <w:rPr>
          <w:b/>
          <w:sz w:val="24"/>
          <w:szCs w:val="24"/>
        </w:rPr>
      </w:pPr>
      <w:r w:rsidRPr="007B4B68">
        <w:rPr>
          <w:b/>
          <w:sz w:val="24"/>
          <w:szCs w:val="24"/>
        </w:rPr>
        <w:t>6.5</w:t>
      </w:r>
      <w:r w:rsidRPr="007B4B68">
        <w:rPr>
          <w:b/>
          <w:sz w:val="24"/>
          <w:szCs w:val="24"/>
        </w:rPr>
        <w:tab/>
      </w:r>
      <w:r w:rsidR="00A86667" w:rsidRPr="007B4B68">
        <w:rPr>
          <w:b/>
          <w:sz w:val="24"/>
          <w:szCs w:val="24"/>
        </w:rPr>
        <w:t>Emballagetype og pakningsstørrelser</w:t>
      </w:r>
    </w:p>
    <w:p w14:paraId="2C83DE71" w14:textId="77777777" w:rsidR="00A86667" w:rsidRPr="007B4B68" w:rsidRDefault="00A86667" w:rsidP="00A86667">
      <w:pPr>
        <w:suppressAutoHyphens/>
        <w:ind w:left="851"/>
        <w:rPr>
          <w:sz w:val="24"/>
          <w:szCs w:val="24"/>
        </w:rPr>
      </w:pPr>
      <w:r w:rsidRPr="007B4B68">
        <w:rPr>
          <w:sz w:val="24"/>
          <w:szCs w:val="24"/>
        </w:rPr>
        <w:t>30 ml eller 50 ml hætteglas (type 1 glas) med elastomer-prop (</w:t>
      </w:r>
      <w:proofErr w:type="spellStart"/>
      <w:r w:rsidRPr="007B4B68">
        <w:rPr>
          <w:sz w:val="24"/>
          <w:szCs w:val="24"/>
          <w:lang w:eastAsia="sv-SE"/>
        </w:rPr>
        <w:t>chlorobutylgummi</w:t>
      </w:r>
      <w:proofErr w:type="spellEnd"/>
      <w:r w:rsidRPr="007B4B68">
        <w:rPr>
          <w:sz w:val="24"/>
          <w:szCs w:val="24"/>
        </w:rPr>
        <w:t>) og aluminiumsforsegling med flip-</w:t>
      </w:r>
      <w:proofErr w:type="spellStart"/>
      <w:r w:rsidRPr="007B4B68">
        <w:rPr>
          <w:sz w:val="24"/>
          <w:szCs w:val="24"/>
        </w:rPr>
        <w:t>off</w:t>
      </w:r>
      <w:proofErr w:type="spellEnd"/>
      <w:r w:rsidRPr="007B4B68">
        <w:rPr>
          <w:sz w:val="24"/>
          <w:szCs w:val="24"/>
        </w:rPr>
        <w:t xml:space="preserve"> hætte.</w:t>
      </w:r>
    </w:p>
    <w:p w14:paraId="2B26B071" w14:textId="36659E63" w:rsidR="00C82B4A" w:rsidRPr="007B4B68" w:rsidRDefault="00C82B4A" w:rsidP="00A86667">
      <w:pPr>
        <w:tabs>
          <w:tab w:val="left" w:pos="851"/>
        </w:tabs>
        <w:ind w:left="851" w:hanging="851"/>
        <w:rPr>
          <w:sz w:val="24"/>
          <w:szCs w:val="24"/>
        </w:rPr>
      </w:pPr>
    </w:p>
    <w:p w14:paraId="064BA470" w14:textId="77777777" w:rsidR="00C82B4A" w:rsidRPr="007B4B68" w:rsidRDefault="00C82B4A" w:rsidP="00B94CD5">
      <w:pPr>
        <w:suppressAutoHyphens/>
        <w:ind w:left="851"/>
        <w:rPr>
          <w:sz w:val="24"/>
          <w:szCs w:val="24"/>
        </w:rPr>
      </w:pPr>
      <w:r w:rsidRPr="007B4B68">
        <w:rPr>
          <w:sz w:val="24"/>
          <w:szCs w:val="24"/>
        </w:rPr>
        <w:t>Pakningsstørrelse:1 eller 5 hætteglas.</w:t>
      </w:r>
    </w:p>
    <w:p w14:paraId="1EF017CF" w14:textId="77777777" w:rsidR="00C82B4A" w:rsidRPr="007B4B68" w:rsidRDefault="00C82B4A" w:rsidP="00B94CD5">
      <w:pPr>
        <w:suppressAutoHyphens/>
        <w:ind w:left="851"/>
        <w:rPr>
          <w:sz w:val="24"/>
          <w:szCs w:val="24"/>
        </w:rPr>
      </w:pPr>
    </w:p>
    <w:p w14:paraId="7BCE1FBC" w14:textId="77777777" w:rsidR="00C82B4A" w:rsidRPr="007B4B68" w:rsidRDefault="00C82B4A" w:rsidP="00B94CD5">
      <w:pPr>
        <w:suppressAutoHyphens/>
        <w:ind w:left="851"/>
        <w:rPr>
          <w:sz w:val="24"/>
          <w:szCs w:val="24"/>
        </w:rPr>
      </w:pPr>
      <w:r w:rsidRPr="007B4B68">
        <w:rPr>
          <w:sz w:val="24"/>
          <w:szCs w:val="24"/>
        </w:rPr>
        <w:t>Ikke alle pakningsstørrelser er nødvendigvis markedsført.</w:t>
      </w:r>
    </w:p>
    <w:p w14:paraId="30611E47" w14:textId="77777777" w:rsidR="009260DE" w:rsidRPr="007B4B68" w:rsidRDefault="009260DE" w:rsidP="00B94CD5">
      <w:pPr>
        <w:tabs>
          <w:tab w:val="left" w:pos="851"/>
        </w:tabs>
        <w:ind w:left="851" w:hanging="851"/>
        <w:rPr>
          <w:sz w:val="24"/>
          <w:szCs w:val="24"/>
        </w:rPr>
      </w:pPr>
    </w:p>
    <w:p w14:paraId="3163CD50" w14:textId="77777777" w:rsidR="00A86667" w:rsidRPr="007B4B68" w:rsidRDefault="009260DE" w:rsidP="00A86667">
      <w:pPr>
        <w:tabs>
          <w:tab w:val="left" w:pos="851"/>
        </w:tabs>
        <w:ind w:left="851" w:hanging="851"/>
        <w:rPr>
          <w:b/>
          <w:sz w:val="24"/>
          <w:szCs w:val="24"/>
        </w:rPr>
      </w:pPr>
      <w:r w:rsidRPr="007B4B68">
        <w:rPr>
          <w:b/>
          <w:sz w:val="24"/>
          <w:szCs w:val="24"/>
        </w:rPr>
        <w:t>6.6</w:t>
      </w:r>
      <w:r w:rsidRPr="007B4B68">
        <w:rPr>
          <w:b/>
          <w:sz w:val="24"/>
          <w:szCs w:val="24"/>
        </w:rPr>
        <w:tab/>
      </w:r>
      <w:r w:rsidR="00A86667" w:rsidRPr="007B4B68">
        <w:rPr>
          <w:b/>
          <w:sz w:val="24"/>
          <w:szCs w:val="24"/>
        </w:rPr>
        <w:t xml:space="preserve">Regler for </w:t>
      </w:r>
      <w:r w:rsidR="00A86667">
        <w:rPr>
          <w:b/>
          <w:sz w:val="24"/>
          <w:szCs w:val="24"/>
        </w:rPr>
        <w:t xml:space="preserve">bortskaffelse </w:t>
      </w:r>
      <w:r w:rsidR="00A86667" w:rsidRPr="007B4B68">
        <w:rPr>
          <w:b/>
          <w:sz w:val="24"/>
          <w:szCs w:val="24"/>
        </w:rPr>
        <w:t>og anden håndtering</w:t>
      </w:r>
    </w:p>
    <w:p w14:paraId="5CC83959" w14:textId="77777777" w:rsidR="00A86667" w:rsidRPr="007B4B68" w:rsidRDefault="00A86667" w:rsidP="00A86667">
      <w:pPr>
        <w:ind w:left="851"/>
        <w:rPr>
          <w:sz w:val="24"/>
          <w:szCs w:val="24"/>
        </w:rPr>
      </w:pPr>
      <w:r w:rsidRPr="007B4B68">
        <w:rPr>
          <w:sz w:val="24"/>
          <w:szCs w:val="24"/>
        </w:rPr>
        <w:t xml:space="preserve">Ingen særlige forholdsregler vedrørende </w:t>
      </w:r>
      <w:r>
        <w:rPr>
          <w:sz w:val="24"/>
          <w:szCs w:val="24"/>
        </w:rPr>
        <w:t>bortskaffelse</w:t>
      </w:r>
      <w:r w:rsidRPr="007B4B68">
        <w:rPr>
          <w:sz w:val="24"/>
          <w:szCs w:val="24"/>
        </w:rPr>
        <w:t>.</w:t>
      </w:r>
    </w:p>
    <w:p w14:paraId="3D462037" w14:textId="4A4AC491" w:rsidR="00C82B4A" w:rsidRPr="007B4B68" w:rsidRDefault="00C82B4A" w:rsidP="00A86667">
      <w:pPr>
        <w:tabs>
          <w:tab w:val="left" w:pos="851"/>
        </w:tabs>
        <w:ind w:left="851" w:hanging="851"/>
        <w:rPr>
          <w:sz w:val="24"/>
          <w:szCs w:val="24"/>
        </w:rPr>
      </w:pPr>
    </w:p>
    <w:p w14:paraId="464EA071" w14:textId="15D5E88B" w:rsidR="00C82B4A" w:rsidRPr="007B4B68" w:rsidRDefault="00C82B4A" w:rsidP="00B94CD5">
      <w:pPr>
        <w:ind w:left="851"/>
        <w:rPr>
          <w:sz w:val="24"/>
          <w:szCs w:val="24"/>
        </w:rPr>
      </w:pPr>
      <w:proofErr w:type="spellStart"/>
      <w:r w:rsidRPr="007B4B68">
        <w:rPr>
          <w:sz w:val="24"/>
          <w:szCs w:val="24"/>
        </w:rPr>
        <w:t>Anidulafungin</w:t>
      </w:r>
      <w:proofErr w:type="spellEnd"/>
      <w:r w:rsidRPr="007B4B68">
        <w:rPr>
          <w:sz w:val="24"/>
          <w:szCs w:val="24"/>
        </w:rPr>
        <w:t xml:space="preserve"> </w:t>
      </w:r>
      <w:r w:rsidR="002F3582" w:rsidRPr="007B4B68">
        <w:rPr>
          <w:sz w:val="24"/>
          <w:szCs w:val="24"/>
        </w:rPr>
        <w:t>"</w:t>
      </w:r>
      <w:proofErr w:type="spellStart"/>
      <w:r w:rsidR="002F3582" w:rsidRPr="007B4B68">
        <w:rPr>
          <w:sz w:val="24"/>
          <w:szCs w:val="24"/>
        </w:rPr>
        <w:t>Reig</w:t>
      </w:r>
      <w:proofErr w:type="spellEnd"/>
      <w:r w:rsidR="002F3582" w:rsidRPr="007B4B68">
        <w:rPr>
          <w:sz w:val="24"/>
          <w:szCs w:val="24"/>
        </w:rPr>
        <w:t xml:space="preserve"> </w:t>
      </w:r>
      <w:proofErr w:type="spellStart"/>
      <w:r w:rsidR="002F3582" w:rsidRPr="007B4B68">
        <w:rPr>
          <w:sz w:val="24"/>
          <w:szCs w:val="24"/>
        </w:rPr>
        <w:t>Jofre</w:t>
      </w:r>
      <w:proofErr w:type="spellEnd"/>
      <w:r w:rsidR="002F3582" w:rsidRPr="007B4B68">
        <w:rPr>
          <w:sz w:val="24"/>
          <w:szCs w:val="24"/>
        </w:rPr>
        <w:t>"</w:t>
      </w:r>
      <w:r w:rsidRPr="007B4B68">
        <w:rPr>
          <w:sz w:val="24"/>
          <w:szCs w:val="24"/>
        </w:rPr>
        <w:t xml:space="preserve"> skal </w:t>
      </w:r>
      <w:proofErr w:type="spellStart"/>
      <w:r w:rsidRPr="007B4B68">
        <w:rPr>
          <w:sz w:val="24"/>
          <w:szCs w:val="24"/>
        </w:rPr>
        <w:t>rekonstitueres</w:t>
      </w:r>
      <w:proofErr w:type="spellEnd"/>
      <w:r w:rsidRPr="007B4B68">
        <w:rPr>
          <w:sz w:val="24"/>
          <w:szCs w:val="24"/>
        </w:rPr>
        <w:t xml:space="preserve"> med vand til injektionsvæsker, og derefter må det KUN fortyndes med 9 mg/ml (0,9 %) </w:t>
      </w:r>
      <w:proofErr w:type="spellStart"/>
      <w:r w:rsidRPr="007B4B68">
        <w:rPr>
          <w:sz w:val="24"/>
          <w:szCs w:val="24"/>
        </w:rPr>
        <w:t>natriumchloridinjektionsvæske</w:t>
      </w:r>
      <w:proofErr w:type="spellEnd"/>
      <w:r w:rsidRPr="007B4B68">
        <w:rPr>
          <w:sz w:val="24"/>
          <w:szCs w:val="24"/>
        </w:rPr>
        <w:t xml:space="preserve"> eller 50 mg/ml (5 %) </w:t>
      </w:r>
      <w:proofErr w:type="spellStart"/>
      <w:r w:rsidRPr="007B4B68">
        <w:rPr>
          <w:sz w:val="24"/>
          <w:szCs w:val="24"/>
        </w:rPr>
        <w:t>glucoseinfusionsvæske</w:t>
      </w:r>
      <w:proofErr w:type="spellEnd"/>
      <w:r w:rsidRPr="007B4B68">
        <w:rPr>
          <w:sz w:val="24"/>
          <w:szCs w:val="24"/>
        </w:rPr>
        <w:t xml:space="preserve">. Der er ikke foretaget forligelighedsundersøgelser med andre intravenøse substanser, additiver eller lægemidler end 9 mg/ml (0,9 %) </w:t>
      </w:r>
      <w:proofErr w:type="spellStart"/>
      <w:r w:rsidRPr="007B4B68">
        <w:rPr>
          <w:sz w:val="24"/>
          <w:szCs w:val="24"/>
        </w:rPr>
        <w:t>natriumchloridinfusionsvæske</w:t>
      </w:r>
      <w:proofErr w:type="spellEnd"/>
      <w:r w:rsidRPr="007B4B68">
        <w:rPr>
          <w:sz w:val="24"/>
          <w:szCs w:val="24"/>
        </w:rPr>
        <w:t xml:space="preserve"> eller 50 mg/ml (5 %) </w:t>
      </w:r>
      <w:proofErr w:type="spellStart"/>
      <w:r w:rsidRPr="007B4B68">
        <w:rPr>
          <w:sz w:val="24"/>
          <w:szCs w:val="24"/>
        </w:rPr>
        <w:t>glucoseinfusionsvæske</w:t>
      </w:r>
      <w:proofErr w:type="spellEnd"/>
      <w:r w:rsidRPr="007B4B68">
        <w:rPr>
          <w:sz w:val="24"/>
          <w:szCs w:val="24"/>
        </w:rPr>
        <w:t>.</w:t>
      </w:r>
    </w:p>
    <w:p w14:paraId="516DED4F" w14:textId="77777777" w:rsidR="00C82B4A" w:rsidRPr="007B4B68" w:rsidRDefault="00C82B4A" w:rsidP="00B94CD5">
      <w:pPr>
        <w:ind w:left="851"/>
        <w:rPr>
          <w:sz w:val="24"/>
          <w:szCs w:val="24"/>
        </w:rPr>
      </w:pPr>
    </w:p>
    <w:p w14:paraId="2C1C9EE2" w14:textId="77777777" w:rsidR="00A86667" w:rsidRPr="00A65E5F" w:rsidRDefault="00A86667" w:rsidP="00A86667">
      <w:pPr>
        <w:ind w:left="851"/>
        <w:rPr>
          <w:bCs/>
          <w:sz w:val="24"/>
          <w:szCs w:val="24"/>
          <w:u w:val="single"/>
        </w:rPr>
      </w:pPr>
      <w:proofErr w:type="spellStart"/>
      <w:r w:rsidRPr="00A65E5F">
        <w:rPr>
          <w:bCs/>
          <w:sz w:val="24"/>
          <w:szCs w:val="24"/>
          <w:u w:val="single"/>
        </w:rPr>
        <w:t>Rekonstituering</w:t>
      </w:r>
      <w:proofErr w:type="spellEnd"/>
    </w:p>
    <w:p w14:paraId="61080EF4" w14:textId="77777777" w:rsidR="00A86667" w:rsidRPr="007B4B68" w:rsidRDefault="00A86667" w:rsidP="00A86667">
      <w:pPr>
        <w:ind w:left="851"/>
        <w:rPr>
          <w:b/>
          <w:sz w:val="24"/>
          <w:szCs w:val="24"/>
        </w:rPr>
      </w:pPr>
    </w:p>
    <w:p w14:paraId="0D329217" w14:textId="77777777" w:rsidR="00A86667" w:rsidRPr="007B4B68" w:rsidRDefault="00A86667" w:rsidP="00A86667">
      <w:pPr>
        <w:ind w:left="851"/>
        <w:rPr>
          <w:sz w:val="24"/>
          <w:szCs w:val="24"/>
        </w:rPr>
      </w:pPr>
      <w:r w:rsidRPr="007B4B68">
        <w:rPr>
          <w:sz w:val="24"/>
          <w:szCs w:val="24"/>
        </w:rPr>
        <w:t xml:space="preserve">Hvert hætteglas </w:t>
      </w:r>
      <w:proofErr w:type="spellStart"/>
      <w:r w:rsidRPr="007B4B68">
        <w:rPr>
          <w:sz w:val="24"/>
          <w:szCs w:val="24"/>
        </w:rPr>
        <w:t>rekonstitueres</w:t>
      </w:r>
      <w:proofErr w:type="spellEnd"/>
      <w:r w:rsidRPr="007B4B68">
        <w:rPr>
          <w:sz w:val="24"/>
          <w:szCs w:val="24"/>
        </w:rPr>
        <w:t xml:space="preserve"> med 30 ml vand til injektionsvæsker for at opnå en koncentration på 3,33 mg/ml under aseptiske forhold. </w:t>
      </w:r>
      <w:proofErr w:type="spellStart"/>
      <w:r w:rsidRPr="007B4B68">
        <w:rPr>
          <w:sz w:val="24"/>
          <w:szCs w:val="24"/>
        </w:rPr>
        <w:t>Rekonstitutionstiden</w:t>
      </w:r>
      <w:proofErr w:type="spellEnd"/>
      <w:r w:rsidRPr="007B4B68">
        <w:rPr>
          <w:sz w:val="24"/>
          <w:szCs w:val="24"/>
        </w:rPr>
        <w:t xml:space="preserve"> kan være op til 5 minutter. Hvis der ses partikler eller misfarvning efter yderligere fortynding, skal opløsningen kasseres.</w:t>
      </w:r>
    </w:p>
    <w:p w14:paraId="681B41F6" w14:textId="77777777" w:rsidR="00A86667" w:rsidRPr="007B4B68" w:rsidRDefault="00A86667" w:rsidP="00A86667">
      <w:pPr>
        <w:ind w:left="851"/>
        <w:rPr>
          <w:sz w:val="24"/>
          <w:szCs w:val="24"/>
        </w:rPr>
      </w:pPr>
    </w:p>
    <w:p w14:paraId="78BE70C0" w14:textId="77777777" w:rsidR="00A86667" w:rsidRPr="00A65E5F" w:rsidRDefault="00A86667" w:rsidP="00A86667">
      <w:pPr>
        <w:ind w:left="851"/>
        <w:rPr>
          <w:bCs/>
          <w:sz w:val="24"/>
          <w:szCs w:val="24"/>
          <w:u w:val="single"/>
        </w:rPr>
      </w:pPr>
      <w:r w:rsidRPr="00A65E5F">
        <w:rPr>
          <w:bCs/>
          <w:sz w:val="24"/>
          <w:szCs w:val="24"/>
          <w:u w:val="single"/>
        </w:rPr>
        <w:t>Fortynding og infusion</w:t>
      </w:r>
    </w:p>
    <w:p w14:paraId="3CF875A7" w14:textId="77777777" w:rsidR="00A86667" w:rsidRPr="002932AE" w:rsidRDefault="00A86667" w:rsidP="00A86667">
      <w:pPr>
        <w:ind w:left="851"/>
        <w:jc w:val="both"/>
        <w:rPr>
          <w:sz w:val="24"/>
          <w:szCs w:val="24"/>
        </w:rPr>
      </w:pPr>
      <w:r w:rsidRPr="002932AE">
        <w:rPr>
          <w:sz w:val="24"/>
          <w:szCs w:val="24"/>
        </w:rPr>
        <w:t>Opløsningen bør kontrolleres visuelt for partikler og misfarvning før administration. Opløsningen skal kasseres, hvis der ses partikler eller misfarvning.</w:t>
      </w:r>
    </w:p>
    <w:p w14:paraId="22C663E8" w14:textId="77777777" w:rsidR="00A86667" w:rsidRDefault="00A86667" w:rsidP="00A86667">
      <w:pPr>
        <w:ind w:left="851"/>
        <w:rPr>
          <w:b/>
          <w:sz w:val="24"/>
          <w:szCs w:val="24"/>
        </w:rPr>
      </w:pPr>
    </w:p>
    <w:p w14:paraId="2FF385C3" w14:textId="77777777" w:rsidR="00A86667" w:rsidRPr="00A65E5F" w:rsidRDefault="00A86667" w:rsidP="00A86667">
      <w:pPr>
        <w:ind w:firstLine="851"/>
        <w:rPr>
          <w:bCs/>
          <w:sz w:val="24"/>
          <w:szCs w:val="24"/>
          <w:u w:val="single"/>
        </w:rPr>
      </w:pPr>
      <w:r w:rsidRPr="00A65E5F">
        <w:rPr>
          <w:bCs/>
          <w:sz w:val="24"/>
          <w:szCs w:val="24"/>
          <w:u w:val="single"/>
        </w:rPr>
        <w:t>Voksne patienter</w:t>
      </w:r>
    </w:p>
    <w:p w14:paraId="2C5F5272" w14:textId="77777777" w:rsidR="00A86667" w:rsidRPr="007B4B68" w:rsidRDefault="00A86667" w:rsidP="00A86667">
      <w:pPr>
        <w:ind w:left="851"/>
        <w:rPr>
          <w:b/>
          <w:sz w:val="24"/>
          <w:szCs w:val="24"/>
        </w:rPr>
      </w:pPr>
    </w:p>
    <w:p w14:paraId="5FEAB9A0" w14:textId="77777777" w:rsidR="00A86667" w:rsidRDefault="00A86667" w:rsidP="00A86667">
      <w:pPr>
        <w:ind w:left="851"/>
        <w:rPr>
          <w:sz w:val="24"/>
          <w:szCs w:val="24"/>
        </w:rPr>
      </w:pPr>
      <w:r w:rsidRPr="007B4B68">
        <w:rPr>
          <w:sz w:val="24"/>
          <w:szCs w:val="24"/>
        </w:rPr>
        <w:t xml:space="preserve">Indholdet af det (de) </w:t>
      </w:r>
      <w:proofErr w:type="spellStart"/>
      <w:r w:rsidRPr="007B4B68">
        <w:rPr>
          <w:sz w:val="24"/>
          <w:szCs w:val="24"/>
        </w:rPr>
        <w:t>rekonstituerede</w:t>
      </w:r>
      <w:proofErr w:type="spellEnd"/>
      <w:r w:rsidRPr="007B4B68">
        <w:rPr>
          <w:sz w:val="24"/>
          <w:szCs w:val="24"/>
        </w:rPr>
        <w:t xml:space="preserve"> hætteglas overføres aseptisk til den intravenøse pose (eller flaske), der indeholder enten 9 mg/ml (0,9 %) </w:t>
      </w:r>
      <w:proofErr w:type="spellStart"/>
      <w:r w:rsidRPr="007B4B68">
        <w:rPr>
          <w:sz w:val="24"/>
          <w:szCs w:val="24"/>
        </w:rPr>
        <w:t>natriumchloridinfusionsvæske</w:t>
      </w:r>
      <w:proofErr w:type="spellEnd"/>
      <w:r w:rsidRPr="007B4B68">
        <w:rPr>
          <w:sz w:val="24"/>
          <w:szCs w:val="24"/>
        </w:rPr>
        <w:t xml:space="preserve"> eller 50 mg/ml (5%) </w:t>
      </w:r>
      <w:proofErr w:type="spellStart"/>
      <w:r w:rsidRPr="007B4B68">
        <w:rPr>
          <w:sz w:val="24"/>
          <w:szCs w:val="24"/>
        </w:rPr>
        <w:t>glucoseinfusionsvæske</w:t>
      </w:r>
      <w:proofErr w:type="spellEnd"/>
      <w:r w:rsidRPr="007B4B68">
        <w:rPr>
          <w:sz w:val="24"/>
          <w:szCs w:val="24"/>
        </w:rPr>
        <w:t xml:space="preserve">. Herved opnås en koncentration af </w:t>
      </w:r>
      <w:proofErr w:type="spellStart"/>
      <w:r w:rsidRPr="007B4B68">
        <w:rPr>
          <w:sz w:val="24"/>
          <w:szCs w:val="24"/>
        </w:rPr>
        <w:t>anidulafungin</w:t>
      </w:r>
      <w:proofErr w:type="spellEnd"/>
      <w:r w:rsidRPr="007B4B68">
        <w:rPr>
          <w:sz w:val="24"/>
          <w:szCs w:val="24"/>
        </w:rPr>
        <w:t xml:space="preserve"> på 0,77 mg/ml. I tabellen nedenfor er angivet, hvor meget volumen der kræves til hver dosis.</w:t>
      </w:r>
    </w:p>
    <w:p w14:paraId="4AE023A3" w14:textId="587D856E" w:rsidR="00A86667" w:rsidRDefault="00A86667" w:rsidP="00A86667">
      <w:pPr>
        <w:ind w:left="851"/>
        <w:rPr>
          <w:sz w:val="24"/>
          <w:szCs w:val="24"/>
        </w:rPr>
      </w:pPr>
    </w:p>
    <w:p w14:paraId="6274AB98" w14:textId="30E7CFDE" w:rsidR="00A86667" w:rsidRDefault="00A86667" w:rsidP="00A86667">
      <w:pPr>
        <w:ind w:left="851"/>
        <w:rPr>
          <w:sz w:val="24"/>
          <w:szCs w:val="24"/>
        </w:rPr>
      </w:pPr>
    </w:p>
    <w:p w14:paraId="481E55D5" w14:textId="4ECFB295" w:rsidR="00A86667" w:rsidRDefault="00A86667" w:rsidP="00A86667">
      <w:pPr>
        <w:ind w:left="851"/>
        <w:rPr>
          <w:sz w:val="24"/>
          <w:szCs w:val="24"/>
        </w:rPr>
      </w:pPr>
    </w:p>
    <w:p w14:paraId="1102CEAE" w14:textId="33BFA6CE" w:rsidR="00A86667" w:rsidRDefault="00A86667" w:rsidP="00A86667">
      <w:pPr>
        <w:ind w:left="851"/>
        <w:rPr>
          <w:sz w:val="24"/>
          <w:szCs w:val="24"/>
        </w:rPr>
      </w:pPr>
    </w:p>
    <w:p w14:paraId="5A6EEC26" w14:textId="6C665A4C" w:rsidR="00A86667" w:rsidRDefault="00A86667" w:rsidP="00A86667">
      <w:pPr>
        <w:ind w:left="851"/>
        <w:rPr>
          <w:sz w:val="24"/>
          <w:szCs w:val="24"/>
        </w:rPr>
      </w:pPr>
    </w:p>
    <w:p w14:paraId="2DA3166A" w14:textId="649F9D46" w:rsidR="00A86667" w:rsidRDefault="00A86667" w:rsidP="00A86667">
      <w:pPr>
        <w:ind w:left="851"/>
        <w:rPr>
          <w:sz w:val="24"/>
          <w:szCs w:val="24"/>
        </w:rPr>
      </w:pPr>
    </w:p>
    <w:p w14:paraId="5A616C2E" w14:textId="6680142C" w:rsidR="00A86667" w:rsidRDefault="00A86667" w:rsidP="00A86667">
      <w:pPr>
        <w:ind w:left="851"/>
        <w:rPr>
          <w:sz w:val="24"/>
          <w:szCs w:val="24"/>
        </w:rPr>
      </w:pPr>
    </w:p>
    <w:p w14:paraId="5A92D8AA" w14:textId="4E8ED530" w:rsidR="00A86667" w:rsidRDefault="00A86667" w:rsidP="00A86667">
      <w:pPr>
        <w:ind w:left="851"/>
        <w:rPr>
          <w:sz w:val="24"/>
          <w:szCs w:val="24"/>
        </w:rPr>
      </w:pPr>
    </w:p>
    <w:p w14:paraId="58956DB3" w14:textId="779E4F01" w:rsidR="00A86667" w:rsidRDefault="00A86667" w:rsidP="00A86667">
      <w:pPr>
        <w:ind w:left="851"/>
        <w:rPr>
          <w:sz w:val="24"/>
          <w:szCs w:val="24"/>
        </w:rPr>
      </w:pPr>
    </w:p>
    <w:p w14:paraId="0F49D78C" w14:textId="1EDEC4D7" w:rsidR="00A86667" w:rsidRDefault="00A86667" w:rsidP="00A86667">
      <w:pPr>
        <w:ind w:left="851"/>
        <w:rPr>
          <w:sz w:val="24"/>
          <w:szCs w:val="24"/>
        </w:rPr>
      </w:pPr>
    </w:p>
    <w:p w14:paraId="633241AC" w14:textId="1A0E4DF6" w:rsidR="00A86667" w:rsidRDefault="00A86667" w:rsidP="00A86667">
      <w:pPr>
        <w:ind w:left="851"/>
        <w:rPr>
          <w:sz w:val="24"/>
          <w:szCs w:val="24"/>
        </w:rPr>
      </w:pPr>
    </w:p>
    <w:p w14:paraId="43F3D33C" w14:textId="77777777" w:rsidR="00A86667" w:rsidRDefault="00A86667" w:rsidP="00A86667">
      <w:pPr>
        <w:ind w:left="851"/>
        <w:rPr>
          <w:sz w:val="24"/>
          <w:szCs w:val="24"/>
        </w:rPr>
      </w:pPr>
    </w:p>
    <w:p w14:paraId="13C40F5E" w14:textId="77777777" w:rsidR="00A86667" w:rsidRPr="00A65E5F" w:rsidRDefault="00A86667" w:rsidP="00A86667">
      <w:pPr>
        <w:ind w:left="851"/>
        <w:rPr>
          <w:bCs/>
          <w:sz w:val="24"/>
          <w:szCs w:val="24"/>
          <w:u w:val="single"/>
        </w:rPr>
      </w:pPr>
      <w:r w:rsidRPr="00A65E5F">
        <w:rPr>
          <w:bCs/>
          <w:sz w:val="24"/>
          <w:szCs w:val="24"/>
          <w:u w:val="single"/>
        </w:rPr>
        <w:t xml:space="preserve">Krav til fortynding ved </w:t>
      </w:r>
      <w:proofErr w:type="spellStart"/>
      <w:r w:rsidRPr="00A65E5F">
        <w:rPr>
          <w:bCs/>
          <w:sz w:val="24"/>
          <w:szCs w:val="24"/>
          <w:u w:val="single"/>
        </w:rPr>
        <w:t>Anidulafungin</w:t>
      </w:r>
      <w:proofErr w:type="spellEnd"/>
      <w:r w:rsidRPr="00A65E5F">
        <w:rPr>
          <w:bCs/>
          <w:sz w:val="24"/>
          <w:szCs w:val="24"/>
          <w:u w:val="single"/>
        </w:rPr>
        <w:t xml:space="preserve"> "</w:t>
      </w:r>
      <w:proofErr w:type="spellStart"/>
      <w:r w:rsidRPr="00A65E5F">
        <w:rPr>
          <w:bCs/>
          <w:sz w:val="24"/>
          <w:szCs w:val="24"/>
          <w:u w:val="single"/>
        </w:rPr>
        <w:t>Reig</w:t>
      </w:r>
      <w:proofErr w:type="spellEnd"/>
      <w:r w:rsidRPr="00A65E5F">
        <w:rPr>
          <w:bCs/>
          <w:sz w:val="24"/>
          <w:szCs w:val="24"/>
          <w:u w:val="single"/>
        </w:rPr>
        <w:t xml:space="preserve"> </w:t>
      </w:r>
      <w:proofErr w:type="spellStart"/>
      <w:r w:rsidRPr="00A65E5F">
        <w:rPr>
          <w:bCs/>
          <w:sz w:val="24"/>
          <w:szCs w:val="24"/>
          <w:u w:val="single"/>
        </w:rPr>
        <w:t>Jofre</w:t>
      </w:r>
      <w:proofErr w:type="spellEnd"/>
      <w:r w:rsidRPr="00A65E5F">
        <w:rPr>
          <w:bCs/>
          <w:sz w:val="24"/>
          <w:szCs w:val="24"/>
          <w:u w:val="single"/>
        </w:rPr>
        <w:t>"-administration</w:t>
      </w:r>
    </w:p>
    <w:p w14:paraId="638E32E2" w14:textId="77777777" w:rsidR="00A86667" w:rsidRPr="007B4B68" w:rsidRDefault="00A86667" w:rsidP="00A86667">
      <w:pPr>
        <w:ind w:left="851" w:hanging="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997"/>
        <w:gridCol w:w="1517"/>
        <w:gridCol w:w="1242"/>
        <w:gridCol w:w="1654"/>
        <w:gridCol w:w="1795"/>
        <w:gridCol w:w="1381"/>
      </w:tblGrid>
      <w:tr w:rsidR="00A86667" w:rsidRPr="00601AA1" w14:paraId="3BD8D8BD" w14:textId="77777777" w:rsidTr="00A65E5F">
        <w:trPr>
          <w:trHeight w:val="1266"/>
        </w:trPr>
        <w:tc>
          <w:tcPr>
            <w:tcW w:w="541" w:type="pct"/>
            <w:tcBorders>
              <w:top w:val="single" w:sz="4" w:space="0" w:color="000000"/>
              <w:left w:val="single" w:sz="4" w:space="0" w:color="000000"/>
              <w:bottom w:val="single" w:sz="4" w:space="0" w:color="000000"/>
              <w:right w:val="single" w:sz="4" w:space="0" w:color="000000"/>
            </w:tcBorders>
            <w:hideMark/>
          </w:tcPr>
          <w:p w14:paraId="6142E89C" w14:textId="77777777" w:rsidR="00A86667" w:rsidRPr="00601AA1" w:rsidRDefault="00A86667" w:rsidP="00A65E5F">
            <w:pPr>
              <w:rPr>
                <w:sz w:val="22"/>
                <w:szCs w:val="22"/>
              </w:rPr>
            </w:pPr>
            <w:r w:rsidRPr="00601AA1">
              <w:rPr>
                <w:sz w:val="22"/>
                <w:szCs w:val="22"/>
              </w:rPr>
              <w:t>Dosis</w:t>
            </w:r>
          </w:p>
        </w:tc>
        <w:tc>
          <w:tcPr>
            <w:tcW w:w="518" w:type="pct"/>
            <w:tcBorders>
              <w:top w:val="single" w:sz="4" w:space="0" w:color="000000"/>
              <w:left w:val="single" w:sz="4" w:space="0" w:color="000000"/>
              <w:bottom w:val="single" w:sz="4" w:space="0" w:color="000000"/>
              <w:right w:val="single" w:sz="4" w:space="0" w:color="000000"/>
            </w:tcBorders>
            <w:hideMark/>
          </w:tcPr>
          <w:p w14:paraId="5EE280B6" w14:textId="77777777" w:rsidR="00A86667" w:rsidRPr="00601AA1" w:rsidRDefault="00A86667" w:rsidP="00A65E5F">
            <w:pPr>
              <w:rPr>
                <w:sz w:val="22"/>
                <w:szCs w:val="22"/>
              </w:rPr>
            </w:pPr>
            <w:r w:rsidRPr="00601AA1">
              <w:rPr>
                <w:sz w:val="22"/>
                <w:szCs w:val="22"/>
              </w:rPr>
              <w:t>Antal hætte- glas</w:t>
            </w:r>
          </w:p>
          <w:p w14:paraId="3270B05E" w14:textId="77777777" w:rsidR="00A86667" w:rsidRPr="00601AA1" w:rsidRDefault="00A86667" w:rsidP="00A65E5F">
            <w:pPr>
              <w:rPr>
                <w:sz w:val="22"/>
                <w:szCs w:val="22"/>
              </w:rPr>
            </w:pPr>
            <w:r w:rsidRPr="00601AA1">
              <w:rPr>
                <w:sz w:val="22"/>
                <w:szCs w:val="22"/>
              </w:rPr>
              <w:t>med pulver</w:t>
            </w:r>
          </w:p>
        </w:tc>
        <w:tc>
          <w:tcPr>
            <w:tcW w:w="788" w:type="pct"/>
            <w:tcBorders>
              <w:top w:val="single" w:sz="4" w:space="0" w:color="000000"/>
              <w:left w:val="single" w:sz="4" w:space="0" w:color="000000"/>
              <w:bottom w:val="single" w:sz="4" w:space="0" w:color="000000"/>
              <w:right w:val="single" w:sz="4" w:space="0" w:color="000000"/>
            </w:tcBorders>
            <w:hideMark/>
          </w:tcPr>
          <w:p w14:paraId="282ACF5B" w14:textId="77777777" w:rsidR="00A86667" w:rsidRPr="00601AA1" w:rsidRDefault="00A86667" w:rsidP="00A65E5F">
            <w:pPr>
              <w:rPr>
                <w:sz w:val="22"/>
                <w:szCs w:val="22"/>
              </w:rPr>
            </w:pPr>
            <w:r w:rsidRPr="00601AA1">
              <w:rPr>
                <w:sz w:val="22"/>
                <w:szCs w:val="22"/>
              </w:rPr>
              <w:t xml:space="preserve">Total </w:t>
            </w:r>
            <w:proofErr w:type="spellStart"/>
            <w:r w:rsidRPr="00601AA1">
              <w:rPr>
                <w:sz w:val="22"/>
                <w:szCs w:val="22"/>
              </w:rPr>
              <w:t>rekonstitueret</w:t>
            </w:r>
            <w:proofErr w:type="spellEnd"/>
            <w:r w:rsidRPr="00601AA1">
              <w:rPr>
                <w:sz w:val="22"/>
                <w:szCs w:val="22"/>
              </w:rPr>
              <w:t xml:space="preserve"> volumen</w:t>
            </w:r>
          </w:p>
        </w:tc>
        <w:tc>
          <w:tcPr>
            <w:tcW w:w="645" w:type="pct"/>
            <w:tcBorders>
              <w:top w:val="single" w:sz="4" w:space="0" w:color="000000"/>
              <w:left w:val="single" w:sz="4" w:space="0" w:color="000000"/>
              <w:bottom w:val="single" w:sz="4" w:space="0" w:color="000000"/>
              <w:right w:val="single" w:sz="4" w:space="0" w:color="000000"/>
            </w:tcBorders>
            <w:hideMark/>
          </w:tcPr>
          <w:p w14:paraId="0D619B4C" w14:textId="77777777" w:rsidR="00A86667" w:rsidRPr="00601AA1" w:rsidRDefault="00A86667" w:rsidP="00A65E5F">
            <w:pPr>
              <w:rPr>
                <w:sz w:val="22"/>
                <w:szCs w:val="22"/>
              </w:rPr>
            </w:pPr>
            <w:r w:rsidRPr="00601AA1">
              <w:rPr>
                <w:sz w:val="22"/>
                <w:szCs w:val="22"/>
              </w:rPr>
              <w:t xml:space="preserve">Infusions- </w:t>
            </w:r>
            <w:proofErr w:type="spellStart"/>
            <w:r w:rsidRPr="00601AA1">
              <w:rPr>
                <w:sz w:val="22"/>
                <w:szCs w:val="22"/>
              </w:rPr>
              <w:t>volumen</w:t>
            </w:r>
            <w:r w:rsidRPr="00601AA1">
              <w:rPr>
                <w:sz w:val="22"/>
                <w:szCs w:val="22"/>
                <w:vertAlign w:val="superscript"/>
              </w:rPr>
              <w:t>A</w:t>
            </w:r>
            <w:proofErr w:type="spellEnd"/>
          </w:p>
        </w:tc>
        <w:tc>
          <w:tcPr>
            <w:tcW w:w="859" w:type="pct"/>
            <w:tcBorders>
              <w:top w:val="single" w:sz="4" w:space="0" w:color="000000"/>
              <w:left w:val="single" w:sz="4" w:space="0" w:color="000000"/>
              <w:bottom w:val="single" w:sz="4" w:space="0" w:color="000000"/>
              <w:right w:val="single" w:sz="4" w:space="0" w:color="000000"/>
            </w:tcBorders>
            <w:hideMark/>
          </w:tcPr>
          <w:p w14:paraId="748F5FCA" w14:textId="77777777" w:rsidR="00A86667" w:rsidRPr="00601AA1" w:rsidRDefault="00A86667" w:rsidP="00A65E5F">
            <w:pPr>
              <w:rPr>
                <w:sz w:val="22"/>
                <w:szCs w:val="22"/>
              </w:rPr>
            </w:pPr>
            <w:r w:rsidRPr="00601AA1">
              <w:rPr>
                <w:sz w:val="22"/>
                <w:szCs w:val="22"/>
              </w:rPr>
              <w:t>Total infusions-</w:t>
            </w:r>
            <w:proofErr w:type="spellStart"/>
            <w:r w:rsidRPr="00601AA1">
              <w:rPr>
                <w:sz w:val="22"/>
                <w:szCs w:val="22"/>
              </w:rPr>
              <w:t>volumen</w:t>
            </w:r>
            <w:r w:rsidRPr="00601AA1">
              <w:rPr>
                <w:sz w:val="22"/>
                <w:szCs w:val="22"/>
                <w:vertAlign w:val="superscript"/>
              </w:rPr>
              <w:t>B</w:t>
            </w:r>
            <w:proofErr w:type="spellEnd"/>
          </w:p>
        </w:tc>
        <w:tc>
          <w:tcPr>
            <w:tcW w:w="932" w:type="pct"/>
            <w:tcBorders>
              <w:top w:val="single" w:sz="4" w:space="0" w:color="000000"/>
              <w:left w:val="single" w:sz="4" w:space="0" w:color="000000"/>
              <w:bottom w:val="single" w:sz="4" w:space="0" w:color="000000"/>
              <w:right w:val="single" w:sz="4" w:space="0" w:color="000000"/>
            </w:tcBorders>
            <w:hideMark/>
          </w:tcPr>
          <w:p w14:paraId="3B5AB687" w14:textId="77777777" w:rsidR="00A86667" w:rsidRPr="00601AA1" w:rsidRDefault="00A86667" w:rsidP="00A65E5F">
            <w:pPr>
              <w:rPr>
                <w:sz w:val="22"/>
                <w:szCs w:val="22"/>
              </w:rPr>
            </w:pPr>
            <w:r w:rsidRPr="00601AA1">
              <w:rPr>
                <w:sz w:val="22"/>
                <w:szCs w:val="22"/>
              </w:rPr>
              <w:t>Infusionshastig</w:t>
            </w:r>
            <w:r>
              <w:rPr>
                <w:sz w:val="22"/>
                <w:szCs w:val="22"/>
              </w:rPr>
              <w:softHyphen/>
              <w:t>hed</w:t>
            </w:r>
          </w:p>
        </w:tc>
        <w:tc>
          <w:tcPr>
            <w:tcW w:w="717" w:type="pct"/>
            <w:tcBorders>
              <w:top w:val="single" w:sz="4" w:space="0" w:color="000000"/>
              <w:left w:val="single" w:sz="4" w:space="0" w:color="000000"/>
              <w:bottom w:val="single" w:sz="4" w:space="0" w:color="000000"/>
              <w:right w:val="single" w:sz="4" w:space="0" w:color="000000"/>
            </w:tcBorders>
            <w:hideMark/>
          </w:tcPr>
          <w:p w14:paraId="2219337C" w14:textId="77777777" w:rsidR="00A86667" w:rsidRPr="00601AA1" w:rsidRDefault="00A86667" w:rsidP="00A65E5F">
            <w:pPr>
              <w:rPr>
                <w:sz w:val="22"/>
                <w:szCs w:val="22"/>
              </w:rPr>
            </w:pPr>
            <w:r w:rsidRPr="00601AA1">
              <w:rPr>
                <w:sz w:val="22"/>
                <w:szCs w:val="22"/>
              </w:rPr>
              <w:t>Mindste varighed af Infusionen</w:t>
            </w:r>
          </w:p>
        </w:tc>
      </w:tr>
      <w:tr w:rsidR="00A86667" w:rsidRPr="00601AA1" w14:paraId="0CCE1E4C" w14:textId="77777777" w:rsidTr="00A65E5F">
        <w:trPr>
          <w:trHeight w:val="251"/>
        </w:trPr>
        <w:tc>
          <w:tcPr>
            <w:tcW w:w="541" w:type="pct"/>
            <w:tcBorders>
              <w:top w:val="single" w:sz="4" w:space="0" w:color="000000"/>
              <w:left w:val="single" w:sz="4" w:space="0" w:color="000000"/>
              <w:bottom w:val="single" w:sz="4" w:space="0" w:color="000000"/>
              <w:right w:val="single" w:sz="4" w:space="0" w:color="000000"/>
            </w:tcBorders>
            <w:hideMark/>
          </w:tcPr>
          <w:p w14:paraId="08FFA973" w14:textId="77777777" w:rsidR="00A86667" w:rsidRPr="00601AA1" w:rsidRDefault="00A86667" w:rsidP="00A65E5F">
            <w:pPr>
              <w:rPr>
                <w:sz w:val="22"/>
                <w:szCs w:val="22"/>
              </w:rPr>
            </w:pPr>
            <w:r w:rsidRPr="00601AA1">
              <w:rPr>
                <w:sz w:val="22"/>
                <w:szCs w:val="22"/>
              </w:rPr>
              <w:t>100 mg</w:t>
            </w:r>
          </w:p>
        </w:tc>
        <w:tc>
          <w:tcPr>
            <w:tcW w:w="518" w:type="pct"/>
            <w:tcBorders>
              <w:top w:val="single" w:sz="4" w:space="0" w:color="000000"/>
              <w:left w:val="single" w:sz="4" w:space="0" w:color="000000"/>
              <w:bottom w:val="single" w:sz="4" w:space="0" w:color="000000"/>
              <w:right w:val="single" w:sz="4" w:space="0" w:color="000000"/>
            </w:tcBorders>
            <w:hideMark/>
          </w:tcPr>
          <w:p w14:paraId="53144BA3" w14:textId="77777777" w:rsidR="00A86667" w:rsidRPr="00601AA1" w:rsidRDefault="00A86667" w:rsidP="00A65E5F">
            <w:pPr>
              <w:rPr>
                <w:sz w:val="22"/>
                <w:szCs w:val="22"/>
              </w:rPr>
            </w:pPr>
            <w:r w:rsidRPr="00601AA1">
              <w:rPr>
                <w:sz w:val="22"/>
                <w:szCs w:val="22"/>
              </w:rPr>
              <w:t>1</w:t>
            </w:r>
          </w:p>
        </w:tc>
        <w:tc>
          <w:tcPr>
            <w:tcW w:w="788" w:type="pct"/>
            <w:tcBorders>
              <w:top w:val="single" w:sz="4" w:space="0" w:color="000000"/>
              <w:left w:val="single" w:sz="4" w:space="0" w:color="000000"/>
              <w:bottom w:val="single" w:sz="4" w:space="0" w:color="000000"/>
              <w:right w:val="single" w:sz="4" w:space="0" w:color="000000"/>
            </w:tcBorders>
            <w:hideMark/>
          </w:tcPr>
          <w:p w14:paraId="4CA68228" w14:textId="77777777" w:rsidR="00A86667" w:rsidRPr="00601AA1" w:rsidRDefault="00A86667" w:rsidP="00A65E5F">
            <w:pPr>
              <w:rPr>
                <w:sz w:val="22"/>
                <w:szCs w:val="22"/>
              </w:rPr>
            </w:pPr>
            <w:r w:rsidRPr="00601AA1">
              <w:rPr>
                <w:sz w:val="22"/>
                <w:szCs w:val="22"/>
              </w:rPr>
              <w:t>30 ml</w:t>
            </w:r>
          </w:p>
        </w:tc>
        <w:tc>
          <w:tcPr>
            <w:tcW w:w="645" w:type="pct"/>
            <w:tcBorders>
              <w:top w:val="single" w:sz="4" w:space="0" w:color="000000"/>
              <w:left w:val="single" w:sz="4" w:space="0" w:color="000000"/>
              <w:bottom w:val="single" w:sz="4" w:space="0" w:color="000000"/>
              <w:right w:val="single" w:sz="4" w:space="0" w:color="000000"/>
            </w:tcBorders>
            <w:hideMark/>
          </w:tcPr>
          <w:p w14:paraId="2ADC1F7C" w14:textId="77777777" w:rsidR="00A86667" w:rsidRPr="00601AA1" w:rsidRDefault="00A86667" w:rsidP="00A65E5F">
            <w:pPr>
              <w:rPr>
                <w:sz w:val="22"/>
                <w:szCs w:val="22"/>
              </w:rPr>
            </w:pPr>
            <w:r w:rsidRPr="00601AA1">
              <w:rPr>
                <w:sz w:val="22"/>
                <w:szCs w:val="22"/>
              </w:rPr>
              <w:t>100 ml</w:t>
            </w:r>
          </w:p>
        </w:tc>
        <w:tc>
          <w:tcPr>
            <w:tcW w:w="859" w:type="pct"/>
            <w:tcBorders>
              <w:top w:val="single" w:sz="4" w:space="0" w:color="000000"/>
              <w:left w:val="single" w:sz="4" w:space="0" w:color="000000"/>
              <w:bottom w:val="single" w:sz="4" w:space="0" w:color="000000"/>
              <w:right w:val="single" w:sz="4" w:space="0" w:color="000000"/>
            </w:tcBorders>
            <w:hideMark/>
          </w:tcPr>
          <w:p w14:paraId="59B0A18D" w14:textId="77777777" w:rsidR="00A86667" w:rsidRPr="00601AA1" w:rsidRDefault="00A86667" w:rsidP="00A65E5F">
            <w:pPr>
              <w:rPr>
                <w:sz w:val="22"/>
                <w:szCs w:val="22"/>
              </w:rPr>
            </w:pPr>
            <w:r w:rsidRPr="00601AA1">
              <w:rPr>
                <w:sz w:val="22"/>
                <w:szCs w:val="22"/>
              </w:rPr>
              <w:t>130 ml</w:t>
            </w:r>
          </w:p>
        </w:tc>
        <w:tc>
          <w:tcPr>
            <w:tcW w:w="932" w:type="pct"/>
            <w:tcBorders>
              <w:top w:val="single" w:sz="4" w:space="0" w:color="000000"/>
              <w:left w:val="single" w:sz="4" w:space="0" w:color="000000"/>
              <w:bottom w:val="single" w:sz="4" w:space="0" w:color="000000"/>
              <w:right w:val="single" w:sz="4" w:space="0" w:color="000000"/>
            </w:tcBorders>
            <w:hideMark/>
          </w:tcPr>
          <w:p w14:paraId="68327F54" w14:textId="77777777" w:rsidR="00A86667" w:rsidRDefault="00A86667" w:rsidP="00A65E5F">
            <w:pPr>
              <w:rPr>
                <w:sz w:val="22"/>
                <w:szCs w:val="22"/>
              </w:rPr>
            </w:pPr>
            <w:r w:rsidRPr="00601AA1">
              <w:rPr>
                <w:sz w:val="22"/>
                <w:szCs w:val="22"/>
              </w:rPr>
              <w:t>1,4 ml/min</w:t>
            </w:r>
          </w:p>
          <w:p w14:paraId="744BA2F0" w14:textId="77777777" w:rsidR="00A86667" w:rsidRPr="00A65E5F" w:rsidRDefault="00A86667" w:rsidP="00A65E5F">
            <w:pPr>
              <w:rPr>
                <w:sz w:val="22"/>
                <w:szCs w:val="22"/>
                <w:lang w:val="sv-SE"/>
              </w:rPr>
            </w:pPr>
            <w:r w:rsidRPr="00A65E5F">
              <w:rPr>
                <w:sz w:val="22"/>
                <w:szCs w:val="22"/>
                <w:lang w:val="sv-SE"/>
              </w:rPr>
              <w:t>eller</w:t>
            </w:r>
          </w:p>
          <w:p w14:paraId="14B6C0D5" w14:textId="77777777" w:rsidR="00A86667" w:rsidRPr="00601AA1" w:rsidRDefault="00A86667" w:rsidP="00A65E5F">
            <w:pPr>
              <w:rPr>
                <w:sz w:val="22"/>
                <w:szCs w:val="22"/>
              </w:rPr>
            </w:pPr>
            <w:r>
              <w:rPr>
                <w:sz w:val="22"/>
                <w:szCs w:val="22"/>
                <w:lang w:val="sv-SE"/>
              </w:rPr>
              <w:t xml:space="preserve">84 </w:t>
            </w:r>
            <w:r w:rsidRPr="00A65E5F">
              <w:rPr>
                <w:sz w:val="22"/>
                <w:szCs w:val="22"/>
                <w:lang w:val="sv-SE"/>
              </w:rPr>
              <w:t>ml/</w:t>
            </w:r>
            <w:proofErr w:type="spellStart"/>
            <w:r w:rsidRPr="00A65E5F">
              <w:rPr>
                <w:sz w:val="22"/>
                <w:szCs w:val="22"/>
                <w:lang w:val="sv-SE"/>
              </w:rPr>
              <w:t>time</w:t>
            </w:r>
            <w:proofErr w:type="spellEnd"/>
          </w:p>
        </w:tc>
        <w:tc>
          <w:tcPr>
            <w:tcW w:w="717" w:type="pct"/>
            <w:tcBorders>
              <w:top w:val="single" w:sz="4" w:space="0" w:color="000000"/>
              <w:left w:val="single" w:sz="4" w:space="0" w:color="000000"/>
              <w:bottom w:val="single" w:sz="4" w:space="0" w:color="000000"/>
              <w:right w:val="single" w:sz="4" w:space="0" w:color="000000"/>
            </w:tcBorders>
            <w:hideMark/>
          </w:tcPr>
          <w:p w14:paraId="421077BB" w14:textId="77777777" w:rsidR="00A86667" w:rsidRPr="00601AA1" w:rsidRDefault="00A86667" w:rsidP="00A65E5F">
            <w:pPr>
              <w:rPr>
                <w:sz w:val="22"/>
                <w:szCs w:val="22"/>
              </w:rPr>
            </w:pPr>
            <w:r w:rsidRPr="00601AA1">
              <w:rPr>
                <w:sz w:val="22"/>
                <w:szCs w:val="22"/>
              </w:rPr>
              <w:t>90 min</w:t>
            </w:r>
          </w:p>
        </w:tc>
      </w:tr>
      <w:tr w:rsidR="00A86667" w:rsidRPr="00601AA1" w14:paraId="62938F56" w14:textId="77777777" w:rsidTr="00A65E5F">
        <w:trPr>
          <w:trHeight w:val="526"/>
        </w:trPr>
        <w:tc>
          <w:tcPr>
            <w:tcW w:w="541" w:type="pct"/>
            <w:tcBorders>
              <w:top w:val="single" w:sz="4" w:space="0" w:color="000000"/>
              <w:left w:val="single" w:sz="4" w:space="0" w:color="000000"/>
              <w:bottom w:val="single" w:sz="4" w:space="0" w:color="000000"/>
              <w:right w:val="single" w:sz="4" w:space="0" w:color="000000"/>
            </w:tcBorders>
            <w:hideMark/>
          </w:tcPr>
          <w:p w14:paraId="5A6D0986" w14:textId="77777777" w:rsidR="00A86667" w:rsidRPr="00601AA1" w:rsidRDefault="00A86667" w:rsidP="00A65E5F">
            <w:pPr>
              <w:rPr>
                <w:sz w:val="22"/>
                <w:szCs w:val="22"/>
              </w:rPr>
            </w:pPr>
            <w:r w:rsidRPr="00601AA1">
              <w:rPr>
                <w:sz w:val="22"/>
                <w:szCs w:val="22"/>
              </w:rPr>
              <w:t>200 mg</w:t>
            </w:r>
          </w:p>
        </w:tc>
        <w:tc>
          <w:tcPr>
            <w:tcW w:w="518" w:type="pct"/>
            <w:tcBorders>
              <w:top w:val="single" w:sz="4" w:space="0" w:color="000000"/>
              <w:left w:val="single" w:sz="4" w:space="0" w:color="000000"/>
              <w:bottom w:val="single" w:sz="4" w:space="0" w:color="000000"/>
              <w:right w:val="single" w:sz="4" w:space="0" w:color="000000"/>
            </w:tcBorders>
            <w:hideMark/>
          </w:tcPr>
          <w:p w14:paraId="24133133" w14:textId="77777777" w:rsidR="00A86667" w:rsidRPr="00601AA1" w:rsidRDefault="00A86667" w:rsidP="00A65E5F">
            <w:pPr>
              <w:rPr>
                <w:sz w:val="22"/>
                <w:szCs w:val="22"/>
              </w:rPr>
            </w:pPr>
            <w:r w:rsidRPr="00601AA1">
              <w:rPr>
                <w:sz w:val="22"/>
                <w:szCs w:val="22"/>
              </w:rPr>
              <w:t>2</w:t>
            </w:r>
          </w:p>
        </w:tc>
        <w:tc>
          <w:tcPr>
            <w:tcW w:w="788" w:type="pct"/>
            <w:tcBorders>
              <w:top w:val="single" w:sz="4" w:space="0" w:color="000000"/>
              <w:left w:val="single" w:sz="4" w:space="0" w:color="000000"/>
              <w:bottom w:val="single" w:sz="4" w:space="0" w:color="000000"/>
              <w:right w:val="single" w:sz="4" w:space="0" w:color="000000"/>
            </w:tcBorders>
            <w:hideMark/>
          </w:tcPr>
          <w:p w14:paraId="0F532B00" w14:textId="77777777" w:rsidR="00A86667" w:rsidRPr="00601AA1" w:rsidRDefault="00A86667" w:rsidP="00A65E5F">
            <w:pPr>
              <w:rPr>
                <w:sz w:val="22"/>
                <w:szCs w:val="22"/>
              </w:rPr>
            </w:pPr>
            <w:r w:rsidRPr="00601AA1">
              <w:rPr>
                <w:sz w:val="22"/>
                <w:szCs w:val="22"/>
              </w:rPr>
              <w:t>60 ml</w:t>
            </w:r>
          </w:p>
        </w:tc>
        <w:tc>
          <w:tcPr>
            <w:tcW w:w="645" w:type="pct"/>
            <w:tcBorders>
              <w:top w:val="single" w:sz="4" w:space="0" w:color="000000"/>
              <w:left w:val="single" w:sz="4" w:space="0" w:color="000000"/>
              <w:bottom w:val="single" w:sz="4" w:space="0" w:color="000000"/>
              <w:right w:val="single" w:sz="4" w:space="0" w:color="000000"/>
            </w:tcBorders>
            <w:hideMark/>
          </w:tcPr>
          <w:p w14:paraId="04A55EB1" w14:textId="77777777" w:rsidR="00A86667" w:rsidRPr="00601AA1" w:rsidRDefault="00A86667" w:rsidP="00A65E5F">
            <w:pPr>
              <w:rPr>
                <w:sz w:val="22"/>
                <w:szCs w:val="22"/>
              </w:rPr>
            </w:pPr>
            <w:r w:rsidRPr="00601AA1">
              <w:rPr>
                <w:sz w:val="22"/>
                <w:szCs w:val="22"/>
              </w:rPr>
              <w:t>200 ml</w:t>
            </w:r>
          </w:p>
        </w:tc>
        <w:tc>
          <w:tcPr>
            <w:tcW w:w="859" w:type="pct"/>
            <w:tcBorders>
              <w:top w:val="single" w:sz="4" w:space="0" w:color="000000"/>
              <w:left w:val="single" w:sz="4" w:space="0" w:color="000000"/>
              <w:bottom w:val="single" w:sz="4" w:space="0" w:color="000000"/>
              <w:right w:val="single" w:sz="4" w:space="0" w:color="000000"/>
            </w:tcBorders>
            <w:hideMark/>
          </w:tcPr>
          <w:p w14:paraId="572E6EE9" w14:textId="77777777" w:rsidR="00A86667" w:rsidRPr="00601AA1" w:rsidRDefault="00A86667" w:rsidP="00A65E5F">
            <w:pPr>
              <w:rPr>
                <w:sz w:val="22"/>
                <w:szCs w:val="22"/>
              </w:rPr>
            </w:pPr>
            <w:r w:rsidRPr="00601AA1">
              <w:rPr>
                <w:sz w:val="22"/>
                <w:szCs w:val="22"/>
              </w:rPr>
              <w:t>260 ml</w:t>
            </w:r>
          </w:p>
        </w:tc>
        <w:tc>
          <w:tcPr>
            <w:tcW w:w="932" w:type="pct"/>
            <w:tcBorders>
              <w:top w:val="single" w:sz="4" w:space="0" w:color="000000"/>
              <w:left w:val="single" w:sz="4" w:space="0" w:color="000000"/>
              <w:bottom w:val="single" w:sz="4" w:space="0" w:color="000000"/>
              <w:right w:val="single" w:sz="4" w:space="0" w:color="000000"/>
            </w:tcBorders>
            <w:hideMark/>
          </w:tcPr>
          <w:p w14:paraId="2B61CCD8" w14:textId="77777777" w:rsidR="00A86667" w:rsidRDefault="00A86667" w:rsidP="00A65E5F">
            <w:pPr>
              <w:rPr>
                <w:sz w:val="22"/>
                <w:szCs w:val="22"/>
              </w:rPr>
            </w:pPr>
            <w:r w:rsidRPr="00601AA1">
              <w:rPr>
                <w:sz w:val="22"/>
                <w:szCs w:val="22"/>
              </w:rPr>
              <w:t>1,4 ml/min</w:t>
            </w:r>
          </w:p>
          <w:p w14:paraId="61FC3908" w14:textId="77777777" w:rsidR="00A86667" w:rsidRPr="00C81E0B" w:rsidRDefault="00A86667" w:rsidP="00A65E5F">
            <w:pPr>
              <w:rPr>
                <w:sz w:val="22"/>
                <w:szCs w:val="22"/>
                <w:lang w:val="sv-SE"/>
              </w:rPr>
            </w:pPr>
            <w:r w:rsidRPr="00C81E0B">
              <w:rPr>
                <w:sz w:val="22"/>
                <w:szCs w:val="22"/>
                <w:lang w:val="sv-SE"/>
              </w:rPr>
              <w:t>eller</w:t>
            </w:r>
          </w:p>
          <w:p w14:paraId="2424DB73" w14:textId="77777777" w:rsidR="00A86667" w:rsidRPr="00601AA1" w:rsidRDefault="00A86667" w:rsidP="00A65E5F">
            <w:pPr>
              <w:rPr>
                <w:sz w:val="22"/>
                <w:szCs w:val="22"/>
              </w:rPr>
            </w:pPr>
            <w:r>
              <w:rPr>
                <w:sz w:val="22"/>
                <w:szCs w:val="22"/>
                <w:lang w:val="sv-SE"/>
              </w:rPr>
              <w:t xml:space="preserve">84 </w:t>
            </w:r>
            <w:r w:rsidRPr="00C81E0B">
              <w:rPr>
                <w:sz w:val="22"/>
                <w:szCs w:val="22"/>
                <w:lang w:val="sv-SE"/>
              </w:rPr>
              <w:t>ml/</w:t>
            </w:r>
            <w:proofErr w:type="spellStart"/>
            <w:r w:rsidRPr="00C81E0B">
              <w:rPr>
                <w:sz w:val="22"/>
                <w:szCs w:val="22"/>
                <w:lang w:val="sv-SE"/>
              </w:rPr>
              <w:t>time</w:t>
            </w:r>
            <w:proofErr w:type="spellEnd"/>
          </w:p>
        </w:tc>
        <w:tc>
          <w:tcPr>
            <w:tcW w:w="717" w:type="pct"/>
            <w:tcBorders>
              <w:top w:val="single" w:sz="4" w:space="0" w:color="000000"/>
              <w:left w:val="single" w:sz="4" w:space="0" w:color="000000"/>
              <w:bottom w:val="single" w:sz="4" w:space="0" w:color="000000"/>
              <w:right w:val="single" w:sz="4" w:space="0" w:color="000000"/>
            </w:tcBorders>
            <w:hideMark/>
          </w:tcPr>
          <w:p w14:paraId="350381B3" w14:textId="77777777" w:rsidR="00A86667" w:rsidRPr="00601AA1" w:rsidRDefault="00A86667" w:rsidP="00A65E5F">
            <w:pPr>
              <w:rPr>
                <w:sz w:val="22"/>
                <w:szCs w:val="22"/>
              </w:rPr>
            </w:pPr>
            <w:r w:rsidRPr="00601AA1">
              <w:rPr>
                <w:sz w:val="22"/>
                <w:szCs w:val="22"/>
              </w:rPr>
              <w:t>180 min</w:t>
            </w:r>
          </w:p>
        </w:tc>
      </w:tr>
    </w:tbl>
    <w:p w14:paraId="51EEB1E1" w14:textId="77777777" w:rsidR="00A86667" w:rsidRPr="0026468D" w:rsidRDefault="00A86667" w:rsidP="00A86667">
      <w:pPr>
        <w:ind w:left="142" w:hanging="142"/>
        <w:rPr>
          <w:sz w:val="20"/>
        </w:rPr>
      </w:pPr>
      <w:r w:rsidRPr="0026468D">
        <w:rPr>
          <w:sz w:val="20"/>
          <w:vertAlign w:val="superscript"/>
        </w:rPr>
        <w:t>A</w:t>
      </w:r>
      <w:r w:rsidRPr="0026468D">
        <w:rPr>
          <w:sz w:val="20"/>
          <w:vertAlign w:val="superscript"/>
        </w:rPr>
        <w:tab/>
      </w:r>
      <w:r w:rsidRPr="0026468D">
        <w:rPr>
          <w:sz w:val="20"/>
        </w:rPr>
        <w:t xml:space="preserve">Enten 9 mg/ml (0,9 %) </w:t>
      </w:r>
      <w:proofErr w:type="spellStart"/>
      <w:r w:rsidRPr="0026468D">
        <w:rPr>
          <w:sz w:val="20"/>
        </w:rPr>
        <w:t>natriumchloridinfusionsvæske</w:t>
      </w:r>
      <w:proofErr w:type="spellEnd"/>
      <w:r w:rsidRPr="0026468D">
        <w:rPr>
          <w:sz w:val="20"/>
        </w:rPr>
        <w:t xml:space="preserve"> eller 50 mg/ml (5 %) </w:t>
      </w:r>
      <w:proofErr w:type="spellStart"/>
      <w:r w:rsidRPr="0026468D">
        <w:rPr>
          <w:sz w:val="20"/>
        </w:rPr>
        <w:t>glucoseinfusions</w:t>
      </w:r>
      <w:r w:rsidRPr="0026468D">
        <w:rPr>
          <w:sz w:val="20"/>
        </w:rPr>
        <w:softHyphen/>
        <w:t>væske</w:t>
      </w:r>
      <w:proofErr w:type="spellEnd"/>
      <w:r w:rsidRPr="0026468D">
        <w:rPr>
          <w:sz w:val="20"/>
        </w:rPr>
        <w:t>.</w:t>
      </w:r>
    </w:p>
    <w:p w14:paraId="4D2AE432" w14:textId="77777777" w:rsidR="00A86667" w:rsidRPr="0026468D" w:rsidRDefault="00A86667" w:rsidP="00A86667">
      <w:pPr>
        <w:ind w:left="142" w:hanging="142"/>
        <w:rPr>
          <w:sz w:val="20"/>
        </w:rPr>
      </w:pPr>
      <w:r w:rsidRPr="0026468D">
        <w:rPr>
          <w:sz w:val="20"/>
          <w:vertAlign w:val="superscript"/>
        </w:rPr>
        <w:t>B</w:t>
      </w:r>
      <w:r w:rsidRPr="0026468D">
        <w:rPr>
          <w:sz w:val="20"/>
          <w:vertAlign w:val="superscript"/>
        </w:rPr>
        <w:tab/>
      </w:r>
      <w:r w:rsidRPr="0026468D">
        <w:rPr>
          <w:sz w:val="20"/>
        </w:rPr>
        <w:t>Koncentration af infusionsopløsning er 0,77 mg/ml.</w:t>
      </w:r>
    </w:p>
    <w:p w14:paraId="01813BBE" w14:textId="77777777" w:rsidR="00A86667" w:rsidRPr="007B4B68" w:rsidRDefault="00A86667" w:rsidP="00A86667">
      <w:pPr>
        <w:ind w:left="851" w:hanging="851"/>
        <w:rPr>
          <w:sz w:val="24"/>
          <w:szCs w:val="24"/>
        </w:rPr>
      </w:pPr>
    </w:p>
    <w:p w14:paraId="55DD98E0" w14:textId="77777777" w:rsidR="00A86667" w:rsidRPr="007B4B68" w:rsidRDefault="00A86667" w:rsidP="00A86667">
      <w:pPr>
        <w:ind w:left="851"/>
        <w:rPr>
          <w:sz w:val="24"/>
          <w:szCs w:val="24"/>
        </w:rPr>
      </w:pPr>
      <w:r w:rsidRPr="007B4B68">
        <w:rPr>
          <w:sz w:val="24"/>
          <w:szCs w:val="24"/>
        </w:rPr>
        <w:t>Infusionshastigheden bør ikke overskride 1,1 mg/min. (svarende til 1,4 ml/min.</w:t>
      </w:r>
      <w:r>
        <w:rPr>
          <w:sz w:val="24"/>
          <w:szCs w:val="24"/>
        </w:rPr>
        <w:t xml:space="preserve"> </w:t>
      </w:r>
      <w:r>
        <w:t xml:space="preserve">eller 84 ml/time </w:t>
      </w:r>
      <w:r w:rsidRPr="007B4B68">
        <w:rPr>
          <w:sz w:val="24"/>
          <w:szCs w:val="24"/>
        </w:rPr>
        <w:t xml:space="preserve">efter </w:t>
      </w:r>
      <w:proofErr w:type="spellStart"/>
      <w:r w:rsidRPr="007B4B68">
        <w:rPr>
          <w:sz w:val="24"/>
          <w:szCs w:val="24"/>
        </w:rPr>
        <w:t>rekonstitution</w:t>
      </w:r>
      <w:proofErr w:type="spellEnd"/>
      <w:r w:rsidRPr="007B4B68">
        <w:rPr>
          <w:sz w:val="24"/>
          <w:szCs w:val="24"/>
        </w:rPr>
        <w:t xml:space="preserve"> og fortynding jvf. instruktionerne) (se pkt. 4.2, 4.4 og 4.8).</w:t>
      </w:r>
    </w:p>
    <w:p w14:paraId="313EB3B3" w14:textId="77777777" w:rsidR="00A86667" w:rsidRDefault="00A86667" w:rsidP="00A86667">
      <w:pPr>
        <w:ind w:left="851"/>
        <w:rPr>
          <w:sz w:val="24"/>
          <w:szCs w:val="24"/>
        </w:rPr>
      </w:pPr>
    </w:p>
    <w:p w14:paraId="4D80B5AA" w14:textId="77777777" w:rsidR="00A86667" w:rsidRPr="00A65E5F" w:rsidRDefault="00A86667" w:rsidP="00A86667">
      <w:pPr>
        <w:ind w:firstLine="851"/>
        <w:rPr>
          <w:sz w:val="24"/>
          <w:szCs w:val="24"/>
          <w:u w:val="single"/>
        </w:rPr>
      </w:pPr>
      <w:r w:rsidRPr="00A65E5F">
        <w:rPr>
          <w:sz w:val="24"/>
          <w:szCs w:val="24"/>
          <w:u w:val="single"/>
        </w:rPr>
        <w:t xml:space="preserve">Pædiatriske patienter </w:t>
      </w:r>
    </w:p>
    <w:p w14:paraId="5DC61A37" w14:textId="77777777" w:rsidR="00A86667" w:rsidRPr="00A65E5F" w:rsidRDefault="00A86667" w:rsidP="00A86667">
      <w:pPr>
        <w:rPr>
          <w:sz w:val="24"/>
          <w:szCs w:val="24"/>
        </w:rPr>
      </w:pPr>
    </w:p>
    <w:p w14:paraId="13E8998F" w14:textId="77777777" w:rsidR="00A86667" w:rsidRPr="00A65E5F" w:rsidRDefault="00A86667" w:rsidP="00A86667">
      <w:pPr>
        <w:ind w:left="720"/>
        <w:rPr>
          <w:sz w:val="24"/>
          <w:szCs w:val="24"/>
        </w:rPr>
      </w:pPr>
      <w:r w:rsidRPr="00A65E5F">
        <w:rPr>
          <w:sz w:val="24"/>
          <w:szCs w:val="24"/>
        </w:rPr>
        <w:t xml:space="preserve">Hos pædiatriske patienter i alderen 1 måned &lt; 18 år varierer mængden af infusionsopløsning, der er påkrævet for at administrere dosen, afhængigt af patientens vægt. Den </w:t>
      </w:r>
      <w:proofErr w:type="spellStart"/>
      <w:r w:rsidRPr="00A65E5F">
        <w:rPr>
          <w:sz w:val="24"/>
          <w:szCs w:val="24"/>
        </w:rPr>
        <w:t>rekonstituerede</w:t>
      </w:r>
      <w:proofErr w:type="spellEnd"/>
      <w:r w:rsidRPr="00A65E5F">
        <w:rPr>
          <w:sz w:val="24"/>
          <w:szCs w:val="24"/>
        </w:rPr>
        <w:t xml:space="preserve"> opløsning skal fortyndes yderligere til en koncentration på 0,77 mg/ml i den endelige infusionsopløsning. Det anbefales at anvende en indstillelig sprøjte eller infusionspumpe. </w:t>
      </w:r>
      <w:r w:rsidRPr="00A65E5F">
        <w:rPr>
          <w:b/>
          <w:bCs/>
          <w:sz w:val="24"/>
          <w:szCs w:val="24"/>
        </w:rPr>
        <w:t xml:space="preserve">Infusionshastigheden bør ikke overskride 1,1 mg/min. (svarende til 1,4 ml/min. eller 84 ml/time efter </w:t>
      </w:r>
      <w:proofErr w:type="spellStart"/>
      <w:r w:rsidRPr="00A65E5F">
        <w:rPr>
          <w:b/>
          <w:bCs/>
          <w:sz w:val="24"/>
          <w:szCs w:val="24"/>
        </w:rPr>
        <w:t>rekonstitution</w:t>
      </w:r>
      <w:proofErr w:type="spellEnd"/>
      <w:r w:rsidRPr="00A65E5F">
        <w:rPr>
          <w:b/>
          <w:bCs/>
          <w:sz w:val="24"/>
          <w:szCs w:val="24"/>
        </w:rPr>
        <w:t xml:space="preserve"> og fortynding jvf. instruktionerne)</w:t>
      </w:r>
      <w:r w:rsidRPr="00A65E5F">
        <w:rPr>
          <w:sz w:val="24"/>
          <w:szCs w:val="24"/>
        </w:rPr>
        <w:t xml:space="preserve"> (se pkt. 4.2 og 4.4). </w:t>
      </w:r>
    </w:p>
    <w:p w14:paraId="5D57B3CD" w14:textId="77777777" w:rsidR="00A86667" w:rsidRPr="00A65E5F" w:rsidRDefault="00A86667" w:rsidP="00A86667">
      <w:pPr>
        <w:rPr>
          <w:sz w:val="24"/>
          <w:szCs w:val="24"/>
        </w:rPr>
      </w:pPr>
    </w:p>
    <w:p w14:paraId="0899A9CD" w14:textId="77777777" w:rsidR="00A86667" w:rsidRPr="00A65E5F" w:rsidRDefault="00A86667" w:rsidP="00A86667">
      <w:pPr>
        <w:numPr>
          <w:ilvl w:val="0"/>
          <w:numId w:val="7"/>
        </w:numPr>
        <w:rPr>
          <w:sz w:val="24"/>
          <w:szCs w:val="24"/>
        </w:rPr>
      </w:pPr>
      <w:r w:rsidRPr="00A65E5F">
        <w:rPr>
          <w:sz w:val="24"/>
          <w:szCs w:val="24"/>
        </w:rPr>
        <w:t xml:space="preserve">Beregn patientdosis, og </w:t>
      </w:r>
      <w:proofErr w:type="spellStart"/>
      <w:r w:rsidRPr="00A65E5F">
        <w:rPr>
          <w:sz w:val="24"/>
          <w:szCs w:val="24"/>
        </w:rPr>
        <w:t>rekonstituer</w:t>
      </w:r>
      <w:proofErr w:type="spellEnd"/>
      <w:r w:rsidRPr="00A65E5F">
        <w:rPr>
          <w:sz w:val="24"/>
          <w:szCs w:val="24"/>
        </w:rPr>
        <w:t xml:space="preserve"> de(t) nødvendige hætteglas i henhold til instruktionerne for </w:t>
      </w:r>
      <w:proofErr w:type="spellStart"/>
      <w:r w:rsidRPr="00A65E5F">
        <w:rPr>
          <w:sz w:val="24"/>
          <w:szCs w:val="24"/>
        </w:rPr>
        <w:t>rekonstituering</w:t>
      </w:r>
      <w:proofErr w:type="spellEnd"/>
      <w:r w:rsidRPr="00A65E5F">
        <w:rPr>
          <w:sz w:val="24"/>
          <w:szCs w:val="24"/>
        </w:rPr>
        <w:t xml:space="preserve">, så der opnås en koncentration på 3,33 mg/ml (se pkt. 2 og 4.2). </w:t>
      </w:r>
    </w:p>
    <w:p w14:paraId="0A13C749" w14:textId="77777777" w:rsidR="00A86667" w:rsidRPr="00A65E5F" w:rsidRDefault="00A86667" w:rsidP="00A86667">
      <w:pPr>
        <w:ind w:firstLine="720"/>
        <w:rPr>
          <w:sz w:val="24"/>
          <w:szCs w:val="24"/>
        </w:rPr>
      </w:pPr>
    </w:p>
    <w:p w14:paraId="33D0FCA2" w14:textId="77777777" w:rsidR="00A86667" w:rsidRPr="00A65E5F" w:rsidRDefault="00A86667" w:rsidP="00A86667">
      <w:pPr>
        <w:numPr>
          <w:ilvl w:val="0"/>
          <w:numId w:val="7"/>
        </w:numPr>
        <w:rPr>
          <w:sz w:val="24"/>
          <w:szCs w:val="24"/>
        </w:rPr>
      </w:pPr>
      <w:r w:rsidRPr="00A65E5F">
        <w:rPr>
          <w:sz w:val="24"/>
          <w:szCs w:val="24"/>
        </w:rPr>
        <w:t xml:space="preserve">Beregn det nødvendige volumen (ml) af den </w:t>
      </w:r>
      <w:proofErr w:type="spellStart"/>
      <w:r w:rsidRPr="00A65E5F">
        <w:rPr>
          <w:sz w:val="24"/>
          <w:szCs w:val="24"/>
        </w:rPr>
        <w:t>rekonstituerede</w:t>
      </w:r>
      <w:proofErr w:type="spellEnd"/>
      <w:r w:rsidRPr="00A65E5F">
        <w:rPr>
          <w:sz w:val="24"/>
          <w:szCs w:val="24"/>
        </w:rPr>
        <w:t xml:space="preserve"> </w:t>
      </w:r>
      <w:proofErr w:type="spellStart"/>
      <w:r w:rsidRPr="00A65E5F">
        <w:rPr>
          <w:sz w:val="24"/>
          <w:szCs w:val="24"/>
        </w:rPr>
        <w:t>anidulafungin</w:t>
      </w:r>
      <w:proofErr w:type="spellEnd"/>
      <w:r w:rsidRPr="00A65E5F">
        <w:rPr>
          <w:sz w:val="24"/>
          <w:szCs w:val="24"/>
        </w:rPr>
        <w:t xml:space="preserve">: </w:t>
      </w:r>
    </w:p>
    <w:p w14:paraId="7378A6C5" w14:textId="77777777" w:rsidR="00A86667" w:rsidRPr="00A65E5F" w:rsidRDefault="00A86667" w:rsidP="00A86667">
      <w:pPr>
        <w:ind w:firstLine="720"/>
        <w:rPr>
          <w:sz w:val="24"/>
          <w:szCs w:val="24"/>
        </w:rPr>
      </w:pPr>
    </w:p>
    <w:p w14:paraId="76A2BE30" w14:textId="77777777" w:rsidR="00A86667" w:rsidRPr="00A65E5F" w:rsidRDefault="00A86667" w:rsidP="00A86667">
      <w:pPr>
        <w:numPr>
          <w:ilvl w:val="0"/>
          <w:numId w:val="6"/>
        </w:numPr>
        <w:rPr>
          <w:sz w:val="24"/>
          <w:szCs w:val="24"/>
          <w:lang w:val="en-US"/>
        </w:rPr>
      </w:pPr>
      <w:proofErr w:type="spellStart"/>
      <w:r w:rsidRPr="00A65E5F">
        <w:rPr>
          <w:sz w:val="24"/>
          <w:szCs w:val="24"/>
          <w:u w:val="single"/>
          <w:lang w:val="en-US"/>
        </w:rPr>
        <w:t>Volumen</w:t>
      </w:r>
      <w:proofErr w:type="spellEnd"/>
      <w:r w:rsidRPr="00A65E5F">
        <w:rPr>
          <w:sz w:val="24"/>
          <w:szCs w:val="24"/>
          <w:u w:val="single"/>
          <w:lang w:val="en-US"/>
        </w:rPr>
        <w:t xml:space="preserve"> anidulafungin (ml)</w:t>
      </w:r>
      <w:r w:rsidRPr="00A65E5F">
        <w:rPr>
          <w:sz w:val="24"/>
          <w:szCs w:val="24"/>
          <w:lang w:val="en-US"/>
        </w:rPr>
        <w:t xml:space="preserve"> = </w:t>
      </w:r>
      <w:proofErr w:type="spellStart"/>
      <w:r w:rsidRPr="00A65E5F">
        <w:rPr>
          <w:sz w:val="24"/>
          <w:szCs w:val="24"/>
          <w:lang w:val="en-US"/>
        </w:rPr>
        <w:t>Dosis</w:t>
      </w:r>
      <w:proofErr w:type="spellEnd"/>
      <w:r w:rsidRPr="00A65E5F">
        <w:rPr>
          <w:sz w:val="24"/>
          <w:szCs w:val="24"/>
          <w:lang w:val="en-US"/>
        </w:rPr>
        <w:t xml:space="preserve"> anidulafungin ÷ 3,33 mg/ml </w:t>
      </w:r>
    </w:p>
    <w:p w14:paraId="5C67238F" w14:textId="77777777" w:rsidR="00A86667" w:rsidRPr="00A65E5F" w:rsidRDefault="00A86667" w:rsidP="00A86667">
      <w:pPr>
        <w:ind w:left="1495"/>
        <w:rPr>
          <w:sz w:val="24"/>
          <w:szCs w:val="24"/>
          <w:lang w:val="en-US"/>
        </w:rPr>
      </w:pPr>
    </w:p>
    <w:p w14:paraId="7BCC02FB" w14:textId="77777777" w:rsidR="00A86667" w:rsidRPr="00A65E5F" w:rsidRDefault="00A86667" w:rsidP="00A86667">
      <w:pPr>
        <w:numPr>
          <w:ilvl w:val="0"/>
          <w:numId w:val="7"/>
        </w:numPr>
        <w:rPr>
          <w:sz w:val="24"/>
          <w:szCs w:val="24"/>
        </w:rPr>
      </w:pPr>
      <w:r w:rsidRPr="00A65E5F">
        <w:rPr>
          <w:sz w:val="24"/>
          <w:szCs w:val="24"/>
        </w:rPr>
        <w:t xml:space="preserve">Beregn de samlede </w:t>
      </w:r>
      <w:proofErr w:type="gramStart"/>
      <w:r w:rsidRPr="00A65E5F">
        <w:rPr>
          <w:sz w:val="24"/>
          <w:szCs w:val="24"/>
        </w:rPr>
        <w:t>volumen</w:t>
      </w:r>
      <w:proofErr w:type="gramEnd"/>
      <w:r w:rsidRPr="00A65E5F">
        <w:rPr>
          <w:sz w:val="24"/>
          <w:szCs w:val="24"/>
        </w:rPr>
        <w:t xml:space="preserve"> af doseringsopløsningen (ml), der er nødvendig for at opnå en endelig koncentration på 0,77 mg/ml: </w:t>
      </w:r>
    </w:p>
    <w:p w14:paraId="5C9B55D0" w14:textId="77777777" w:rsidR="00A86667" w:rsidRPr="00A65E5F" w:rsidRDefault="00A86667" w:rsidP="00A86667">
      <w:pPr>
        <w:ind w:left="720"/>
        <w:rPr>
          <w:sz w:val="24"/>
          <w:szCs w:val="24"/>
        </w:rPr>
      </w:pPr>
    </w:p>
    <w:p w14:paraId="4E37E580" w14:textId="77777777" w:rsidR="00A86667" w:rsidRPr="00A65E5F" w:rsidRDefault="00A86667" w:rsidP="00A86667">
      <w:pPr>
        <w:numPr>
          <w:ilvl w:val="0"/>
          <w:numId w:val="6"/>
        </w:numPr>
        <w:rPr>
          <w:sz w:val="24"/>
          <w:szCs w:val="24"/>
          <w:lang w:val="nb-NO"/>
        </w:rPr>
      </w:pPr>
      <w:r w:rsidRPr="00A65E5F">
        <w:rPr>
          <w:sz w:val="24"/>
          <w:szCs w:val="24"/>
          <w:lang w:val="nb-NO"/>
        </w:rPr>
        <w:t xml:space="preserve">Doseringsopløsning i alt (ml) = anidulafungin-dosis (mg) ÷ 0,77 mg/ml </w:t>
      </w:r>
    </w:p>
    <w:p w14:paraId="516C50A4" w14:textId="77777777" w:rsidR="00A86667" w:rsidRPr="00A65E5F" w:rsidRDefault="00A86667" w:rsidP="00A86667">
      <w:pPr>
        <w:ind w:firstLine="720"/>
        <w:rPr>
          <w:sz w:val="24"/>
          <w:szCs w:val="24"/>
          <w:lang w:val="nb-NO"/>
        </w:rPr>
      </w:pPr>
    </w:p>
    <w:p w14:paraId="435E880F" w14:textId="77777777" w:rsidR="00A86667" w:rsidRPr="00A65E5F" w:rsidRDefault="00A86667" w:rsidP="00A86667">
      <w:pPr>
        <w:numPr>
          <w:ilvl w:val="0"/>
          <w:numId w:val="7"/>
        </w:numPr>
        <w:rPr>
          <w:sz w:val="24"/>
          <w:szCs w:val="24"/>
          <w:lang w:val="nb-NO"/>
        </w:rPr>
      </w:pPr>
      <w:r w:rsidRPr="00A65E5F">
        <w:rPr>
          <w:sz w:val="24"/>
          <w:szCs w:val="24"/>
          <w:lang w:val="nb-NO"/>
        </w:rPr>
        <w:t xml:space="preserve">Beregn det samlede volumen til fortynding [5 % dextrose til injektion, USP eller 0,9 % natriumchlorid til injektion, USP (normalt saltvand)], der er nødvendigt for at tilberede doseringsopløsningen: </w:t>
      </w:r>
    </w:p>
    <w:p w14:paraId="1C96712E" w14:textId="77777777" w:rsidR="00A86667" w:rsidRPr="00A65E5F" w:rsidRDefault="00A86667" w:rsidP="00A86667">
      <w:pPr>
        <w:ind w:left="720"/>
        <w:rPr>
          <w:sz w:val="24"/>
          <w:szCs w:val="24"/>
          <w:lang w:val="nb-NO"/>
        </w:rPr>
      </w:pPr>
    </w:p>
    <w:p w14:paraId="5280C15C" w14:textId="77777777" w:rsidR="00A86667" w:rsidRPr="00A65E5F" w:rsidRDefault="00A86667" w:rsidP="00A86667">
      <w:pPr>
        <w:numPr>
          <w:ilvl w:val="0"/>
          <w:numId w:val="6"/>
        </w:numPr>
        <w:rPr>
          <w:sz w:val="24"/>
          <w:szCs w:val="24"/>
        </w:rPr>
      </w:pPr>
      <w:r w:rsidRPr="00A65E5F">
        <w:rPr>
          <w:sz w:val="24"/>
          <w:szCs w:val="24"/>
        </w:rPr>
        <w:t xml:space="preserve">Volumen fortyndingsmiddel (ml) = Samlet volumen af doseringsopløsningen (ml) volumen af </w:t>
      </w:r>
      <w:proofErr w:type="spellStart"/>
      <w:r w:rsidRPr="00A65E5F">
        <w:rPr>
          <w:sz w:val="24"/>
          <w:szCs w:val="24"/>
        </w:rPr>
        <w:t>anidulafungin</w:t>
      </w:r>
      <w:proofErr w:type="spellEnd"/>
      <w:r w:rsidRPr="00A65E5F">
        <w:rPr>
          <w:sz w:val="24"/>
          <w:szCs w:val="24"/>
        </w:rPr>
        <w:t xml:space="preserve"> (ml) </w:t>
      </w:r>
    </w:p>
    <w:p w14:paraId="3086C37C" w14:textId="77777777" w:rsidR="00A86667" w:rsidRPr="00A65E5F" w:rsidRDefault="00A86667" w:rsidP="00A86667">
      <w:pPr>
        <w:ind w:left="1495"/>
        <w:rPr>
          <w:sz w:val="24"/>
          <w:szCs w:val="24"/>
        </w:rPr>
      </w:pPr>
    </w:p>
    <w:p w14:paraId="3D063674" w14:textId="77777777" w:rsidR="00A86667" w:rsidRPr="00A65E5F" w:rsidRDefault="00A86667" w:rsidP="00A86667">
      <w:pPr>
        <w:numPr>
          <w:ilvl w:val="0"/>
          <w:numId w:val="7"/>
        </w:numPr>
        <w:rPr>
          <w:sz w:val="24"/>
          <w:szCs w:val="24"/>
        </w:rPr>
      </w:pPr>
      <w:r w:rsidRPr="00A65E5F">
        <w:rPr>
          <w:sz w:val="24"/>
          <w:szCs w:val="24"/>
        </w:rPr>
        <w:t xml:space="preserve">Overfør de nødvendige volumener (ml) af </w:t>
      </w:r>
      <w:proofErr w:type="spellStart"/>
      <w:r w:rsidRPr="00A65E5F">
        <w:rPr>
          <w:sz w:val="24"/>
          <w:szCs w:val="24"/>
        </w:rPr>
        <w:t>anidulafungin</w:t>
      </w:r>
      <w:proofErr w:type="spellEnd"/>
      <w:r w:rsidRPr="00A65E5F">
        <w:rPr>
          <w:sz w:val="24"/>
          <w:szCs w:val="24"/>
        </w:rPr>
        <w:t xml:space="preserve"> og 5 % </w:t>
      </w:r>
      <w:proofErr w:type="spellStart"/>
      <w:r w:rsidRPr="00A65E5F">
        <w:rPr>
          <w:sz w:val="24"/>
          <w:szCs w:val="24"/>
        </w:rPr>
        <w:t>dextrose</w:t>
      </w:r>
      <w:proofErr w:type="spellEnd"/>
      <w:r w:rsidRPr="00A65E5F">
        <w:rPr>
          <w:sz w:val="24"/>
          <w:szCs w:val="24"/>
        </w:rPr>
        <w:t xml:space="preserve"> til injektion, USP eller 0,9 % natriumklorid til injektion, USP (normalt saltvand) til den infusionssprøjte eller intravenøse pose, der skal bruges til administrationen.</w:t>
      </w:r>
    </w:p>
    <w:p w14:paraId="3263C1C7" w14:textId="77777777" w:rsidR="00A86667" w:rsidRPr="00CB20B3" w:rsidRDefault="00A86667" w:rsidP="00A86667">
      <w:pPr>
        <w:ind w:left="851"/>
        <w:rPr>
          <w:sz w:val="24"/>
          <w:szCs w:val="24"/>
        </w:rPr>
      </w:pPr>
    </w:p>
    <w:p w14:paraId="380DCDA1" w14:textId="77777777" w:rsidR="00A86667" w:rsidRPr="007B4B68" w:rsidRDefault="00A86667" w:rsidP="00A86667">
      <w:pPr>
        <w:ind w:left="851"/>
        <w:rPr>
          <w:sz w:val="24"/>
          <w:szCs w:val="24"/>
        </w:rPr>
      </w:pPr>
    </w:p>
    <w:p w14:paraId="04966745" w14:textId="77777777" w:rsidR="00A86667" w:rsidRDefault="00A86667" w:rsidP="00A86667">
      <w:pPr>
        <w:ind w:left="851"/>
        <w:rPr>
          <w:sz w:val="24"/>
          <w:szCs w:val="24"/>
        </w:rPr>
      </w:pPr>
      <w:r w:rsidRPr="007B4B68">
        <w:rPr>
          <w:sz w:val="24"/>
          <w:szCs w:val="24"/>
        </w:rPr>
        <w:t>Ikke anvendt lægemiddel samt affald heraf skal bortskaffes i henhold til lokale</w:t>
      </w:r>
      <w:r>
        <w:rPr>
          <w:sz w:val="24"/>
          <w:szCs w:val="24"/>
        </w:rPr>
        <w:t xml:space="preserve"> </w:t>
      </w:r>
      <w:r w:rsidRPr="007B4B68">
        <w:rPr>
          <w:sz w:val="24"/>
          <w:szCs w:val="24"/>
        </w:rPr>
        <w:t>retningslinjer.</w:t>
      </w:r>
    </w:p>
    <w:p w14:paraId="3144053B" w14:textId="30F46D94" w:rsidR="00C82B4A" w:rsidRPr="007B4B68" w:rsidRDefault="00C82B4A" w:rsidP="00B94CD5">
      <w:pPr>
        <w:ind w:left="851"/>
        <w:rPr>
          <w:sz w:val="24"/>
          <w:szCs w:val="24"/>
        </w:rPr>
      </w:pPr>
    </w:p>
    <w:p w14:paraId="44B41A16" w14:textId="77777777" w:rsidR="009260DE" w:rsidRPr="007B4B68" w:rsidRDefault="009260DE" w:rsidP="00B94CD5">
      <w:pPr>
        <w:tabs>
          <w:tab w:val="left" w:pos="851"/>
        </w:tabs>
        <w:ind w:left="851" w:hanging="851"/>
        <w:jc w:val="both"/>
        <w:rPr>
          <w:sz w:val="24"/>
          <w:szCs w:val="24"/>
        </w:rPr>
      </w:pPr>
    </w:p>
    <w:p w14:paraId="4C598F97" w14:textId="77777777" w:rsidR="009260DE" w:rsidRPr="007B4B68" w:rsidRDefault="009260DE" w:rsidP="00B94CD5">
      <w:pPr>
        <w:tabs>
          <w:tab w:val="left" w:pos="851"/>
        </w:tabs>
        <w:ind w:left="851" w:hanging="851"/>
        <w:rPr>
          <w:b/>
          <w:sz w:val="24"/>
          <w:szCs w:val="24"/>
        </w:rPr>
      </w:pPr>
      <w:r w:rsidRPr="007B4B68">
        <w:rPr>
          <w:b/>
          <w:sz w:val="24"/>
          <w:szCs w:val="24"/>
        </w:rPr>
        <w:t>7.</w:t>
      </w:r>
      <w:r w:rsidRPr="007B4B68">
        <w:rPr>
          <w:b/>
          <w:sz w:val="24"/>
          <w:szCs w:val="24"/>
        </w:rPr>
        <w:tab/>
        <w:t>INDEHAVER AF MARKEDSFØRINGSTILLADELSEN</w:t>
      </w:r>
    </w:p>
    <w:p w14:paraId="3EF06300" w14:textId="77777777" w:rsidR="00C82B4A" w:rsidRPr="007B4B68" w:rsidRDefault="00C82B4A" w:rsidP="00B94CD5">
      <w:pPr>
        <w:autoSpaceDE w:val="0"/>
        <w:autoSpaceDN w:val="0"/>
        <w:adjustRightInd w:val="0"/>
        <w:ind w:left="851"/>
        <w:rPr>
          <w:sz w:val="24"/>
          <w:szCs w:val="24"/>
          <w:lang w:eastAsia="sv-SE"/>
        </w:rPr>
      </w:pPr>
      <w:r w:rsidRPr="007B4B68">
        <w:rPr>
          <w:sz w:val="24"/>
          <w:szCs w:val="24"/>
          <w:lang w:eastAsia="sv-SE"/>
        </w:rPr>
        <w:t>Bioglan AB</w:t>
      </w:r>
    </w:p>
    <w:p w14:paraId="2712BB90" w14:textId="77777777" w:rsidR="00C82B4A" w:rsidRPr="007B4B68" w:rsidRDefault="00C82B4A" w:rsidP="00B94CD5">
      <w:pPr>
        <w:autoSpaceDE w:val="0"/>
        <w:autoSpaceDN w:val="0"/>
        <w:adjustRightInd w:val="0"/>
        <w:ind w:left="851"/>
        <w:rPr>
          <w:sz w:val="24"/>
          <w:szCs w:val="24"/>
          <w:lang w:eastAsia="sv-SE"/>
        </w:rPr>
      </w:pPr>
      <w:r w:rsidRPr="007B4B68">
        <w:rPr>
          <w:sz w:val="24"/>
          <w:szCs w:val="24"/>
          <w:lang w:eastAsia="sv-SE"/>
        </w:rPr>
        <w:t>P.O. Box 50310</w:t>
      </w:r>
    </w:p>
    <w:p w14:paraId="14B23E82" w14:textId="023719C2" w:rsidR="00C82B4A" w:rsidRPr="007B4B68" w:rsidRDefault="00C82B4A" w:rsidP="00B94CD5">
      <w:pPr>
        <w:autoSpaceDE w:val="0"/>
        <w:autoSpaceDN w:val="0"/>
        <w:adjustRightInd w:val="0"/>
        <w:ind w:left="851"/>
        <w:rPr>
          <w:sz w:val="24"/>
          <w:szCs w:val="24"/>
          <w:lang w:eastAsia="sv-SE"/>
        </w:rPr>
      </w:pPr>
      <w:r w:rsidRPr="007B4B68">
        <w:rPr>
          <w:sz w:val="24"/>
          <w:szCs w:val="24"/>
          <w:lang w:eastAsia="sv-SE"/>
        </w:rPr>
        <w:t>SE-202 13 Malm</w:t>
      </w:r>
      <w:r w:rsidR="002F3582" w:rsidRPr="007B4B68">
        <w:rPr>
          <w:sz w:val="24"/>
          <w:szCs w:val="24"/>
          <w:lang w:eastAsia="sv-SE"/>
        </w:rPr>
        <w:t>ø</w:t>
      </w:r>
    </w:p>
    <w:p w14:paraId="1514C7BD" w14:textId="3730BBAB" w:rsidR="00C82B4A" w:rsidRPr="007B4B68" w:rsidRDefault="00C82B4A" w:rsidP="00B94CD5">
      <w:pPr>
        <w:autoSpaceDE w:val="0"/>
        <w:autoSpaceDN w:val="0"/>
        <w:adjustRightInd w:val="0"/>
        <w:ind w:left="851"/>
        <w:rPr>
          <w:sz w:val="24"/>
          <w:szCs w:val="24"/>
          <w:lang w:eastAsia="sv-SE"/>
        </w:rPr>
      </w:pPr>
      <w:r w:rsidRPr="007B4B68">
        <w:rPr>
          <w:sz w:val="24"/>
          <w:szCs w:val="24"/>
          <w:lang w:eastAsia="sv-SE"/>
        </w:rPr>
        <w:t>S</w:t>
      </w:r>
      <w:r w:rsidR="002F3582" w:rsidRPr="007B4B68">
        <w:rPr>
          <w:sz w:val="24"/>
          <w:szCs w:val="24"/>
          <w:lang w:eastAsia="sv-SE"/>
        </w:rPr>
        <w:t>verige</w:t>
      </w:r>
    </w:p>
    <w:p w14:paraId="7DA65059" w14:textId="77777777" w:rsidR="009260DE" w:rsidRPr="007B4B68" w:rsidRDefault="009260DE" w:rsidP="00B94CD5">
      <w:pPr>
        <w:tabs>
          <w:tab w:val="left" w:pos="851"/>
        </w:tabs>
        <w:ind w:left="851" w:hanging="851"/>
        <w:rPr>
          <w:sz w:val="24"/>
          <w:szCs w:val="24"/>
        </w:rPr>
      </w:pPr>
    </w:p>
    <w:p w14:paraId="70656DBA" w14:textId="0C6D14B5" w:rsidR="009260DE" w:rsidRPr="007B4B68" w:rsidRDefault="009260DE" w:rsidP="00B94CD5">
      <w:pPr>
        <w:tabs>
          <w:tab w:val="left" w:pos="851"/>
        </w:tabs>
        <w:ind w:left="851" w:hanging="851"/>
        <w:rPr>
          <w:b/>
          <w:sz w:val="24"/>
          <w:szCs w:val="24"/>
        </w:rPr>
      </w:pPr>
      <w:r w:rsidRPr="007B4B68">
        <w:rPr>
          <w:b/>
          <w:sz w:val="24"/>
          <w:szCs w:val="24"/>
        </w:rPr>
        <w:t>8.</w:t>
      </w:r>
      <w:r w:rsidRPr="007B4B68">
        <w:rPr>
          <w:b/>
          <w:sz w:val="24"/>
          <w:szCs w:val="24"/>
        </w:rPr>
        <w:tab/>
        <w:t>MARKEDSFØRINGSTILLADELSESNUMMER (</w:t>
      </w:r>
      <w:r w:rsidR="00A32012">
        <w:rPr>
          <w:b/>
          <w:sz w:val="24"/>
          <w:szCs w:val="24"/>
        </w:rPr>
        <w:t>-</w:t>
      </w:r>
      <w:bookmarkStart w:id="3" w:name="_GoBack"/>
      <w:bookmarkEnd w:id="3"/>
      <w:r w:rsidRPr="007B4B68">
        <w:rPr>
          <w:b/>
          <w:sz w:val="24"/>
          <w:szCs w:val="24"/>
        </w:rPr>
        <w:t>NUMRE)</w:t>
      </w:r>
    </w:p>
    <w:p w14:paraId="7E2F5B19" w14:textId="16E3E452" w:rsidR="009260DE" w:rsidRPr="007B4B68" w:rsidRDefault="002F3582" w:rsidP="00B94CD5">
      <w:pPr>
        <w:tabs>
          <w:tab w:val="left" w:pos="851"/>
        </w:tabs>
        <w:ind w:left="851" w:hanging="851"/>
        <w:rPr>
          <w:sz w:val="24"/>
          <w:szCs w:val="24"/>
        </w:rPr>
      </w:pPr>
      <w:r w:rsidRPr="007B4B68">
        <w:rPr>
          <w:sz w:val="24"/>
          <w:szCs w:val="24"/>
        </w:rPr>
        <w:tab/>
      </w:r>
      <w:r w:rsidR="00E6150E" w:rsidRPr="007B4B68">
        <w:rPr>
          <w:sz w:val="24"/>
          <w:szCs w:val="24"/>
        </w:rPr>
        <w:t>62628</w:t>
      </w:r>
    </w:p>
    <w:p w14:paraId="79C6C8E3" w14:textId="77777777" w:rsidR="009260DE" w:rsidRPr="007B4B68" w:rsidRDefault="009260DE" w:rsidP="00B94CD5">
      <w:pPr>
        <w:tabs>
          <w:tab w:val="left" w:pos="851"/>
        </w:tabs>
        <w:ind w:left="851" w:hanging="851"/>
        <w:jc w:val="both"/>
        <w:rPr>
          <w:sz w:val="24"/>
          <w:szCs w:val="24"/>
        </w:rPr>
      </w:pPr>
    </w:p>
    <w:p w14:paraId="5A15A194" w14:textId="77777777" w:rsidR="009260DE" w:rsidRPr="007B4B68" w:rsidRDefault="009260DE" w:rsidP="00B94CD5">
      <w:pPr>
        <w:tabs>
          <w:tab w:val="left" w:pos="851"/>
        </w:tabs>
        <w:ind w:left="851" w:hanging="851"/>
        <w:rPr>
          <w:b/>
          <w:sz w:val="24"/>
          <w:szCs w:val="24"/>
        </w:rPr>
      </w:pPr>
      <w:r w:rsidRPr="007B4B68">
        <w:rPr>
          <w:b/>
          <w:sz w:val="24"/>
          <w:szCs w:val="24"/>
        </w:rPr>
        <w:t>9.</w:t>
      </w:r>
      <w:r w:rsidRPr="007B4B68">
        <w:rPr>
          <w:b/>
          <w:sz w:val="24"/>
          <w:szCs w:val="24"/>
        </w:rPr>
        <w:tab/>
        <w:t>DATO FOR FØRSTE MARKEDSFØRINGSTILLADELSE</w:t>
      </w:r>
    </w:p>
    <w:p w14:paraId="0AE48103" w14:textId="6B7962B3" w:rsidR="009260DE" w:rsidRPr="007B4B68" w:rsidRDefault="002F3582" w:rsidP="00B94CD5">
      <w:pPr>
        <w:tabs>
          <w:tab w:val="left" w:pos="851"/>
        </w:tabs>
        <w:ind w:left="851" w:hanging="851"/>
        <w:rPr>
          <w:sz w:val="24"/>
          <w:szCs w:val="24"/>
        </w:rPr>
      </w:pPr>
      <w:r w:rsidRPr="007B4B68">
        <w:rPr>
          <w:sz w:val="24"/>
          <w:szCs w:val="24"/>
        </w:rPr>
        <w:tab/>
      </w:r>
      <w:r w:rsidR="0026468D">
        <w:rPr>
          <w:sz w:val="24"/>
          <w:szCs w:val="24"/>
        </w:rPr>
        <w:t>22. april 2020</w:t>
      </w:r>
    </w:p>
    <w:p w14:paraId="7B36062F" w14:textId="506F9E15" w:rsidR="00162E3A" w:rsidRDefault="00162E3A">
      <w:pPr>
        <w:rPr>
          <w:sz w:val="24"/>
          <w:szCs w:val="24"/>
        </w:rPr>
      </w:pPr>
      <w:r>
        <w:rPr>
          <w:sz w:val="24"/>
          <w:szCs w:val="24"/>
        </w:rPr>
        <w:br w:type="page"/>
      </w:r>
    </w:p>
    <w:p w14:paraId="6510714E" w14:textId="77777777" w:rsidR="009260DE" w:rsidRPr="007B4B68" w:rsidRDefault="009260DE" w:rsidP="00B94CD5">
      <w:pPr>
        <w:tabs>
          <w:tab w:val="left" w:pos="851"/>
        </w:tabs>
        <w:ind w:left="851" w:hanging="851"/>
        <w:rPr>
          <w:sz w:val="24"/>
          <w:szCs w:val="24"/>
        </w:rPr>
      </w:pPr>
    </w:p>
    <w:p w14:paraId="62983ED2" w14:textId="77777777" w:rsidR="009260DE" w:rsidRPr="007B4B68" w:rsidRDefault="009260DE" w:rsidP="00B94CD5">
      <w:pPr>
        <w:tabs>
          <w:tab w:val="left" w:pos="851"/>
        </w:tabs>
        <w:ind w:left="851" w:hanging="851"/>
        <w:rPr>
          <w:b/>
          <w:sz w:val="24"/>
          <w:szCs w:val="24"/>
        </w:rPr>
      </w:pPr>
      <w:r w:rsidRPr="007B4B68">
        <w:rPr>
          <w:b/>
          <w:sz w:val="24"/>
          <w:szCs w:val="24"/>
        </w:rPr>
        <w:t>10.</w:t>
      </w:r>
      <w:r w:rsidRPr="007B4B68">
        <w:rPr>
          <w:b/>
          <w:sz w:val="24"/>
          <w:szCs w:val="24"/>
        </w:rPr>
        <w:tab/>
        <w:t>DATO FOR ÆNDRING AF TEKSTEN</w:t>
      </w:r>
    </w:p>
    <w:p w14:paraId="05AEE0F9" w14:textId="00B27E63" w:rsidR="009260DE" w:rsidRPr="007B4B68" w:rsidRDefault="002F3582" w:rsidP="00B94CD5">
      <w:pPr>
        <w:tabs>
          <w:tab w:val="left" w:pos="851"/>
        </w:tabs>
        <w:ind w:left="851" w:hanging="851"/>
        <w:rPr>
          <w:sz w:val="24"/>
          <w:szCs w:val="24"/>
        </w:rPr>
      </w:pPr>
      <w:r w:rsidRPr="007B4B68">
        <w:rPr>
          <w:sz w:val="24"/>
          <w:szCs w:val="24"/>
        </w:rPr>
        <w:tab/>
      </w:r>
      <w:r w:rsidR="00A87F93">
        <w:rPr>
          <w:sz w:val="24"/>
          <w:szCs w:val="24"/>
        </w:rPr>
        <w:t>29. februar 2024</w:t>
      </w:r>
    </w:p>
    <w:sectPr w:rsidR="009260DE" w:rsidRPr="007B4B68"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D36BE" w14:textId="77777777" w:rsidR="00A87F93" w:rsidRDefault="00A87F93">
      <w:r>
        <w:separator/>
      </w:r>
    </w:p>
  </w:endnote>
  <w:endnote w:type="continuationSeparator" w:id="0">
    <w:p w14:paraId="0D5350C2" w14:textId="77777777" w:rsidR="00A87F93" w:rsidRDefault="00A8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0F1ED" w14:textId="77777777" w:rsidR="00A87F93" w:rsidRDefault="00A87F93">
    <w:pPr>
      <w:pStyle w:val="Sidefod"/>
      <w:pBdr>
        <w:bottom w:val="single" w:sz="6" w:space="1" w:color="auto"/>
      </w:pBdr>
    </w:pPr>
  </w:p>
  <w:p w14:paraId="11DDEFCF" w14:textId="77777777" w:rsidR="00A87F93" w:rsidRDefault="00A87F93" w:rsidP="00C42586">
    <w:pPr>
      <w:pStyle w:val="Sidefod"/>
      <w:tabs>
        <w:tab w:val="clear" w:pos="4819"/>
        <w:tab w:val="left" w:pos="8505"/>
      </w:tabs>
      <w:rPr>
        <w:i/>
        <w:sz w:val="18"/>
        <w:szCs w:val="18"/>
      </w:rPr>
    </w:pPr>
  </w:p>
  <w:p w14:paraId="0A45A275" w14:textId="61234B2B" w:rsidR="00A87F93" w:rsidRPr="00B373D7" w:rsidRDefault="00A87F9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Anidulafungin Reig Jofre, pulver til koncentrat til infusionsvæske, opløsning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77552" w14:textId="77777777" w:rsidR="00A87F93" w:rsidRDefault="00A87F93">
      <w:r>
        <w:separator/>
      </w:r>
    </w:p>
  </w:footnote>
  <w:footnote w:type="continuationSeparator" w:id="0">
    <w:p w14:paraId="24C44A19" w14:textId="77777777" w:rsidR="00A87F93" w:rsidRDefault="00A87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3750"/>
    <w:multiLevelType w:val="hybridMultilevel"/>
    <w:tmpl w:val="B9B4AFC2"/>
    <w:lvl w:ilvl="0" w:tplc="2CBA4830">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131A46"/>
    <w:multiLevelType w:val="hybridMultilevel"/>
    <w:tmpl w:val="3FAAE02A"/>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A9"/>
    <w:rsid w:val="00003272"/>
    <w:rsid w:val="000259B9"/>
    <w:rsid w:val="00041491"/>
    <w:rsid w:val="00050D16"/>
    <w:rsid w:val="00061C3F"/>
    <w:rsid w:val="00074F2A"/>
    <w:rsid w:val="000841BA"/>
    <w:rsid w:val="000A1CA8"/>
    <w:rsid w:val="000A466B"/>
    <w:rsid w:val="000B058C"/>
    <w:rsid w:val="000E4EE6"/>
    <w:rsid w:val="001454E2"/>
    <w:rsid w:val="001628A9"/>
    <w:rsid w:val="00162E3A"/>
    <w:rsid w:val="001B5F0E"/>
    <w:rsid w:val="00206CE8"/>
    <w:rsid w:val="0021526C"/>
    <w:rsid w:val="00244E9D"/>
    <w:rsid w:val="0026468D"/>
    <w:rsid w:val="00275659"/>
    <w:rsid w:val="00283A2B"/>
    <w:rsid w:val="002B30AD"/>
    <w:rsid w:val="002C2C01"/>
    <w:rsid w:val="002F3582"/>
    <w:rsid w:val="00303959"/>
    <w:rsid w:val="00355139"/>
    <w:rsid w:val="003769C2"/>
    <w:rsid w:val="003A0C6B"/>
    <w:rsid w:val="003A29AE"/>
    <w:rsid w:val="003A32D7"/>
    <w:rsid w:val="003B4074"/>
    <w:rsid w:val="003C769A"/>
    <w:rsid w:val="003E0CCE"/>
    <w:rsid w:val="003F1838"/>
    <w:rsid w:val="003F28FB"/>
    <w:rsid w:val="0045746C"/>
    <w:rsid w:val="0049087F"/>
    <w:rsid w:val="0049104B"/>
    <w:rsid w:val="004E3B12"/>
    <w:rsid w:val="005078DD"/>
    <w:rsid w:val="00532310"/>
    <w:rsid w:val="00565F0F"/>
    <w:rsid w:val="00581862"/>
    <w:rsid w:val="00594A86"/>
    <w:rsid w:val="00596D86"/>
    <w:rsid w:val="00601AA1"/>
    <w:rsid w:val="0063578E"/>
    <w:rsid w:val="00637F5A"/>
    <w:rsid w:val="006560B1"/>
    <w:rsid w:val="00660834"/>
    <w:rsid w:val="00674128"/>
    <w:rsid w:val="006756DD"/>
    <w:rsid w:val="006C4FD2"/>
    <w:rsid w:val="00737275"/>
    <w:rsid w:val="00740EEC"/>
    <w:rsid w:val="0077245D"/>
    <w:rsid w:val="0078011A"/>
    <w:rsid w:val="00780C32"/>
    <w:rsid w:val="00782AF4"/>
    <w:rsid w:val="00790EE7"/>
    <w:rsid w:val="007B4B68"/>
    <w:rsid w:val="007B6649"/>
    <w:rsid w:val="007E6471"/>
    <w:rsid w:val="00800EB3"/>
    <w:rsid w:val="0080483C"/>
    <w:rsid w:val="0081285A"/>
    <w:rsid w:val="0082576E"/>
    <w:rsid w:val="00825BE7"/>
    <w:rsid w:val="008275BC"/>
    <w:rsid w:val="0085480A"/>
    <w:rsid w:val="0086754E"/>
    <w:rsid w:val="008B0CF9"/>
    <w:rsid w:val="008B26BC"/>
    <w:rsid w:val="008C0E6C"/>
    <w:rsid w:val="008F0DFF"/>
    <w:rsid w:val="00907B83"/>
    <w:rsid w:val="00907F75"/>
    <w:rsid w:val="009260DE"/>
    <w:rsid w:val="0093258A"/>
    <w:rsid w:val="00977B2E"/>
    <w:rsid w:val="009B6DCC"/>
    <w:rsid w:val="009C7BA3"/>
    <w:rsid w:val="009D1F5A"/>
    <w:rsid w:val="00A20FCD"/>
    <w:rsid w:val="00A32012"/>
    <w:rsid w:val="00A86667"/>
    <w:rsid w:val="00A87F93"/>
    <w:rsid w:val="00AA4054"/>
    <w:rsid w:val="00AF2B66"/>
    <w:rsid w:val="00B003BF"/>
    <w:rsid w:val="00B12178"/>
    <w:rsid w:val="00B373D7"/>
    <w:rsid w:val="00B4113F"/>
    <w:rsid w:val="00B94CD5"/>
    <w:rsid w:val="00BA4C41"/>
    <w:rsid w:val="00C36276"/>
    <w:rsid w:val="00C42586"/>
    <w:rsid w:val="00C5280D"/>
    <w:rsid w:val="00C60CCD"/>
    <w:rsid w:val="00C82B4A"/>
    <w:rsid w:val="00C84483"/>
    <w:rsid w:val="00C94482"/>
    <w:rsid w:val="00C95551"/>
    <w:rsid w:val="00CA4305"/>
    <w:rsid w:val="00CB20D7"/>
    <w:rsid w:val="00D020B0"/>
    <w:rsid w:val="00D11748"/>
    <w:rsid w:val="00D366CF"/>
    <w:rsid w:val="00DB0217"/>
    <w:rsid w:val="00DC5274"/>
    <w:rsid w:val="00DC6CEF"/>
    <w:rsid w:val="00DE2F8A"/>
    <w:rsid w:val="00E108AA"/>
    <w:rsid w:val="00E21897"/>
    <w:rsid w:val="00E3749A"/>
    <w:rsid w:val="00E558F4"/>
    <w:rsid w:val="00E6150E"/>
    <w:rsid w:val="00E67648"/>
    <w:rsid w:val="00E7437F"/>
    <w:rsid w:val="00E83043"/>
    <w:rsid w:val="00E865B8"/>
    <w:rsid w:val="00EC0B9B"/>
    <w:rsid w:val="00ED5E9F"/>
    <w:rsid w:val="00F17732"/>
    <w:rsid w:val="00F44EEC"/>
    <w:rsid w:val="00F66D4F"/>
    <w:rsid w:val="00F7793E"/>
    <w:rsid w:val="00F87DD9"/>
    <w:rsid w:val="00FB6D01"/>
    <w:rsid w:val="00FD40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DB21C"/>
  <w15:chartTrackingRefBased/>
  <w15:docId w15:val="{BC8D83CF-B115-4A2D-B2D9-91E61228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C5280D"/>
    <w:rPr>
      <w:color w:val="0000FF"/>
      <w:u w:val="single"/>
    </w:rPr>
  </w:style>
  <w:style w:type="character" w:customStyle="1" w:styleId="Overskrift1Tegn">
    <w:name w:val="Overskrift 1 Tegn"/>
    <w:basedOn w:val="Standardskrifttypeiafsnit"/>
    <w:link w:val="Overskrift1"/>
    <w:rsid w:val="00C5280D"/>
    <w:rPr>
      <w:rFonts w:ascii="Arial" w:hAnsi="Arial"/>
      <w:b/>
      <w:kern w:val="28"/>
      <w:sz w:val="28"/>
      <w:lang w:eastAsia="en-US"/>
    </w:rPr>
  </w:style>
  <w:style w:type="paragraph" w:styleId="Brdtekst">
    <w:name w:val="Body Text"/>
    <w:basedOn w:val="Normal"/>
    <w:link w:val="BrdtekstTegn"/>
    <w:uiPriority w:val="1"/>
    <w:unhideWhenUsed/>
    <w:qFormat/>
    <w:rsid w:val="00C5280D"/>
    <w:pPr>
      <w:widowControl w:val="0"/>
      <w:autoSpaceDE w:val="0"/>
      <w:autoSpaceDN w:val="0"/>
    </w:pPr>
    <w:rPr>
      <w:sz w:val="22"/>
      <w:szCs w:val="22"/>
    </w:rPr>
  </w:style>
  <w:style w:type="character" w:customStyle="1" w:styleId="BrdtekstTegn">
    <w:name w:val="Brødtekst Tegn"/>
    <w:basedOn w:val="Standardskrifttypeiafsnit"/>
    <w:link w:val="Brdtekst"/>
    <w:uiPriority w:val="1"/>
    <w:rsid w:val="00C5280D"/>
    <w:rPr>
      <w:sz w:val="22"/>
      <w:szCs w:val="22"/>
      <w:lang w:eastAsia="en-US"/>
    </w:rPr>
  </w:style>
  <w:style w:type="paragraph" w:customStyle="1" w:styleId="TableParagraph">
    <w:name w:val="Table Paragraph"/>
    <w:basedOn w:val="Normal"/>
    <w:uiPriority w:val="1"/>
    <w:qFormat/>
    <w:rsid w:val="00C5280D"/>
    <w:pPr>
      <w:widowControl w:val="0"/>
      <w:autoSpaceDE w:val="0"/>
      <w:autoSpaceDN w:val="0"/>
    </w:pPr>
    <w:rPr>
      <w:sz w:val="22"/>
      <w:szCs w:val="22"/>
    </w:rPr>
  </w:style>
  <w:style w:type="table" w:styleId="Tabel-Gitter">
    <w:name w:val="Table Grid"/>
    <w:basedOn w:val="Tabel-Normal"/>
    <w:uiPriority w:val="59"/>
    <w:rsid w:val="00DC6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8117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1303814">
      <w:bodyDiv w:val="1"/>
      <w:marLeft w:val="0"/>
      <w:marRight w:val="0"/>
      <w:marTop w:val="0"/>
      <w:marBottom w:val="0"/>
      <w:divBdr>
        <w:top w:val="none" w:sz="0" w:space="0" w:color="auto"/>
        <w:left w:val="none" w:sz="0" w:space="0" w:color="auto"/>
        <w:bottom w:val="none" w:sz="0" w:space="0" w:color="auto"/>
        <w:right w:val="none" w:sz="0" w:space="0" w:color="auto"/>
      </w:divBdr>
    </w:div>
    <w:div w:id="309746634">
      <w:bodyDiv w:val="1"/>
      <w:marLeft w:val="0"/>
      <w:marRight w:val="0"/>
      <w:marTop w:val="0"/>
      <w:marBottom w:val="0"/>
      <w:divBdr>
        <w:top w:val="none" w:sz="0" w:space="0" w:color="auto"/>
        <w:left w:val="none" w:sz="0" w:space="0" w:color="auto"/>
        <w:bottom w:val="none" w:sz="0" w:space="0" w:color="auto"/>
        <w:right w:val="none" w:sz="0" w:space="0" w:color="auto"/>
      </w:divBdr>
    </w:div>
    <w:div w:id="359209615">
      <w:bodyDiv w:val="1"/>
      <w:marLeft w:val="0"/>
      <w:marRight w:val="0"/>
      <w:marTop w:val="0"/>
      <w:marBottom w:val="0"/>
      <w:divBdr>
        <w:top w:val="none" w:sz="0" w:space="0" w:color="auto"/>
        <w:left w:val="none" w:sz="0" w:space="0" w:color="auto"/>
        <w:bottom w:val="none" w:sz="0" w:space="0" w:color="auto"/>
        <w:right w:val="none" w:sz="0" w:space="0" w:color="auto"/>
      </w:divBdr>
    </w:div>
    <w:div w:id="387998007">
      <w:bodyDiv w:val="1"/>
      <w:marLeft w:val="0"/>
      <w:marRight w:val="0"/>
      <w:marTop w:val="0"/>
      <w:marBottom w:val="0"/>
      <w:divBdr>
        <w:top w:val="none" w:sz="0" w:space="0" w:color="auto"/>
        <w:left w:val="none" w:sz="0" w:space="0" w:color="auto"/>
        <w:bottom w:val="none" w:sz="0" w:space="0" w:color="auto"/>
        <w:right w:val="none" w:sz="0" w:space="0" w:color="auto"/>
      </w:divBdr>
    </w:div>
    <w:div w:id="448941529">
      <w:bodyDiv w:val="1"/>
      <w:marLeft w:val="0"/>
      <w:marRight w:val="0"/>
      <w:marTop w:val="0"/>
      <w:marBottom w:val="0"/>
      <w:divBdr>
        <w:top w:val="none" w:sz="0" w:space="0" w:color="auto"/>
        <w:left w:val="none" w:sz="0" w:space="0" w:color="auto"/>
        <w:bottom w:val="none" w:sz="0" w:space="0" w:color="auto"/>
        <w:right w:val="none" w:sz="0" w:space="0" w:color="auto"/>
      </w:divBdr>
    </w:div>
    <w:div w:id="581649125">
      <w:bodyDiv w:val="1"/>
      <w:marLeft w:val="0"/>
      <w:marRight w:val="0"/>
      <w:marTop w:val="0"/>
      <w:marBottom w:val="0"/>
      <w:divBdr>
        <w:top w:val="none" w:sz="0" w:space="0" w:color="auto"/>
        <w:left w:val="none" w:sz="0" w:space="0" w:color="auto"/>
        <w:bottom w:val="none" w:sz="0" w:space="0" w:color="auto"/>
        <w:right w:val="none" w:sz="0" w:space="0" w:color="auto"/>
      </w:divBdr>
    </w:div>
    <w:div w:id="585768174">
      <w:bodyDiv w:val="1"/>
      <w:marLeft w:val="0"/>
      <w:marRight w:val="0"/>
      <w:marTop w:val="0"/>
      <w:marBottom w:val="0"/>
      <w:divBdr>
        <w:top w:val="none" w:sz="0" w:space="0" w:color="auto"/>
        <w:left w:val="none" w:sz="0" w:space="0" w:color="auto"/>
        <w:bottom w:val="none" w:sz="0" w:space="0" w:color="auto"/>
        <w:right w:val="none" w:sz="0" w:space="0" w:color="auto"/>
      </w:divBdr>
    </w:div>
    <w:div w:id="629045563">
      <w:bodyDiv w:val="1"/>
      <w:marLeft w:val="0"/>
      <w:marRight w:val="0"/>
      <w:marTop w:val="0"/>
      <w:marBottom w:val="0"/>
      <w:divBdr>
        <w:top w:val="none" w:sz="0" w:space="0" w:color="auto"/>
        <w:left w:val="none" w:sz="0" w:space="0" w:color="auto"/>
        <w:bottom w:val="none" w:sz="0" w:space="0" w:color="auto"/>
        <w:right w:val="none" w:sz="0" w:space="0" w:color="auto"/>
      </w:divBdr>
    </w:div>
    <w:div w:id="747577125">
      <w:bodyDiv w:val="1"/>
      <w:marLeft w:val="0"/>
      <w:marRight w:val="0"/>
      <w:marTop w:val="0"/>
      <w:marBottom w:val="0"/>
      <w:divBdr>
        <w:top w:val="none" w:sz="0" w:space="0" w:color="auto"/>
        <w:left w:val="none" w:sz="0" w:space="0" w:color="auto"/>
        <w:bottom w:val="none" w:sz="0" w:space="0" w:color="auto"/>
        <w:right w:val="none" w:sz="0" w:space="0" w:color="auto"/>
      </w:divBdr>
    </w:div>
    <w:div w:id="843008213">
      <w:bodyDiv w:val="1"/>
      <w:marLeft w:val="0"/>
      <w:marRight w:val="0"/>
      <w:marTop w:val="0"/>
      <w:marBottom w:val="0"/>
      <w:divBdr>
        <w:top w:val="none" w:sz="0" w:space="0" w:color="auto"/>
        <w:left w:val="none" w:sz="0" w:space="0" w:color="auto"/>
        <w:bottom w:val="none" w:sz="0" w:space="0" w:color="auto"/>
        <w:right w:val="none" w:sz="0" w:space="0" w:color="auto"/>
      </w:divBdr>
    </w:div>
    <w:div w:id="918247633">
      <w:bodyDiv w:val="1"/>
      <w:marLeft w:val="0"/>
      <w:marRight w:val="0"/>
      <w:marTop w:val="0"/>
      <w:marBottom w:val="0"/>
      <w:divBdr>
        <w:top w:val="none" w:sz="0" w:space="0" w:color="auto"/>
        <w:left w:val="none" w:sz="0" w:space="0" w:color="auto"/>
        <w:bottom w:val="none" w:sz="0" w:space="0" w:color="auto"/>
        <w:right w:val="none" w:sz="0" w:space="0" w:color="auto"/>
      </w:divBdr>
    </w:div>
    <w:div w:id="969474805">
      <w:bodyDiv w:val="1"/>
      <w:marLeft w:val="0"/>
      <w:marRight w:val="0"/>
      <w:marTop w:val="0"/>
      <w:marBottom w:val="0"/>
      <w:divBdr>
        <w:top w:val="none" w:sz="0" w:space="0" w:color="auto"/>
        <w:left w:val="none" w:sz="0" w:space="0" w:color="auto"/>
        <w:bottom w:val="none" w:sz="0" w:space="0" w:color="auto"/>
        <w:right w:val="none" w:sz="0" w:space="0" w:color="auto"/>
      </w:divBdr>
    </w:div>
    <w:div w:id="1079988230">
      <w:bodyDiv w:val="1"/>
      <w:marLeft w:val="0"/>
      <w:marRight w:val="0"/>
      <w:marTop w:val="0"/>
      <w:marBottom w:val="0"/>
      <w:divBdr>
        <w:top w:val="none" w:sz="0" w:space="0" w:color="auto"/>
        <w:left w:val="none" w:sz="0" w:space="0" w:color="auto"/>
        <w:bottom w:val="none" w:sz="0" w:space="0" w:color="auto"/>
        <w:right w:val="none" w:sz="0" w:space="0" w:color="auto"/>
      </w:divBdr>
    </w:div>
    <w:div w:id="1219363379">
      <w:bodyDiv w:val="1"/>
      <w:marLeft w:val="0"/>
      <w:marRight w:val="0"/>
      <w:marTop w:val="0"/>
      <w:marBottom w:val="0"/>
      <w:divBdr>
        <w:top w:val="none" w:sz="0" w:space="0" w:color="auto"/>
        <w:left w:val="none" w:sz="0" w:space="0" w:color="auto"/>
        <w:bottom w:val="none" w:sz="0" w:space="0" w:color="auto"/>
        <w:right w:val="none" w:sz="0" w:space="0" w:color="auto"/>
      </w:divBdr>
    </w:div>
    <w:div w:id="1240095766">
      <w:bodyDiv w:val="1"/>
      <w:marLeft w:val="0"/>
      <w:marRight w:val="0"/>
      <w:marTop w:val="0"/>
      <w:marBottom w:val="0"/>
      <w:divBdr>
        <w:top w:val="none" w:sz="0" w:space="0" w:color="auto"/>
        <w:left w:val="none" w:sz="0" w:space="0" w:color="auto"/>
        <w:bottom w:val="none" w:sz="0" w:space="0" w:color="auto"/>
        <w:right w:val="none" w:sz="0" w:space="0" w:color="auto"/>
      </w:divBdr>
    </w:div>
    <w:div w:id="1266427660">
      <w:bodyDiv w:val="1"/>
      <w:marLeft w:val="0"/>
      <w:marRight w:val="0"/>
      <w:marTop w:val="0"/>
      <w:marBottom w:val="0"/>
      <w:divBdr>
        <w:top w:val="none" w:sz="0" w:space="0" w:color="auto"/>
        <w:left w:val="none" w:sz="0" w:space="0" w:color="auto"/>
        <w:bottom w:val="none" w:sz="0" w:space="0" w:color="auto"/>
        <w:right w:val="none" w:sz="0" w:space="0" w:color="auto"/>
      </w:divBdr>
    </w:div>
    <w:div w:id="1491099962">
      <w:bodyDiv w:val="1"/>
      <w:marLeft w:val="0"/>
      <w:marRight w:val="0"/>
      <w:marTop w:val="0"/>
      <w:marBottom w:val="0"/>
      <w:divBdr>
        <w:top w:val="none" w:sz="0" w:space="0" w:color="auto"/>
        <w:left w:val="none" w:sz="0" w:space="0" w:color="auto"/>
        <w:bottom w:val="none" w:sz="0" w:space="0" w:color="auto"/>
        <w:right w:val="none" w:sz="0" w:space="0" w:color="auto"/>
      </w:divBdr>
    </w:div>
    <w:div w:id="1572961077">
      <w:bodyDiv w:val="1"/>
      <w:marLeft w:val="0"/>
      <w:marRight w:val="0"/>
      <w:marTop w:val="0"/>
      <w:marBottom w:val="0"/>
      <w:divBdr>
        <w:top w:val="none" w:sz="0" w:space="0" w:color="auto"/>
        <w:left w:val="none" w:sz="0" w:space="0" w:color="auto"/>
        <w:bottom w:val="none" w:sz="0" w:space="0" w:color="auto"/>
        <w:right w:val="none" w:sz="0" w:space="0" w:color="auto"/>
      </w:divBdr>
    </w:div>
    <w:div w:id="1674332933">
      <w:bodyDiv w:val="1"/>
      <w:marLeft w:val="0"/>
      <w:marRight w:val="0"/>
      <w:marTop w:val="0"/>
      <w:marBottom w:val="0"/>
      <w:divBdr>
        <w:top w:val="none" w:sz="0" w:space="0" w:color="auto"/>
        <w:left w:val="none" w:sz="0" w:space="0" w:color="auto"/>
        <w:bottom w:val="none" w:sz="0" w:space="0" w:color="auto"/>
        <w:right w:val="none" w:sz="0" w:space="0" w:color="auto"/>
      </w:divBdr>
    </w:div>
    <w:div w:id="1752968014">
      <w:bodyDiv w:val="1"/>
      <w:marLeft w:val="0"/>
      <w:marRight w:val="0"/>
      <w:marTop w:val="0"/>
      <w:marBottom w:val="0"/>
      <w:divBdr>
        <w:top w:val="none" w:sz="0" w:space="0" w:color="auto"/>
        <w:left w:val="none" w:sz="0" w:space="0" w:color="auto"/>
        <w:bottom w:val="none" w:sz="0" w:space="0" w:color="auto"/>
        <w:right w:val="none" w:sz="0" w:space="0" w:color="auto"/>
      </w:divBdr>
    </w:div>
    <w:div w:id="1954248395">
      <w:bodyDiv w:val="1"/>
      <w:marLeft w:val="0"/>
      <w:marRight w:val="0"/>
      <w:marTop w:val="0"/>
      <w:marBottom w:val="0"/>
      <w:divBdr>
        <w:top w:val="none" w:sz="0" w:space="0" w:color="auto"/>
        <w:left w:val="none" w:sz="0" w:space="0" w:color="auto"/>
        <w:bottom w:val="none" w:sz="0" w:space="0" w:color="auto"/>
        <w:right w:val="none" w:sz="0" w:space="0" w:color="auto"/>
      </w:divBdr>
    </w:div>
    <w:div w:id="2002854832">
      <w:bodyDiv w:val="1"/>
      <w:marLeft w:val="0"/>
      <w:marRight w:val="0"/>
      <w:marTop w:val="0"/>
      <w:marBottom w:val="0"/>
      <w:divBdr>
        <w:top w:val="none" w:sz="0" w:space="0" w:color="auto"/>
        <w:left w:val="none" w:sz="0" w:space="0" w:color="auto"/>
        <w:bottom w:val="none" w:sz="0" w:space="0" w:color="auto"/>
        <w:right w:val="none" w:sz="0" w:space="0" w:color="auto"/>
      </w:divBdr>
    </w:div>
    <w:div w:id="207588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6EE14-2577-4F63-8E1B-C18F4F63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5775</Words>
  <Characters>37194</Characters>
  <Application>Microsoft Office Word</Application>
  <DocSecurity>0</DocSecurity>
  <Lines>309</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2023031412_x000d_
4.1, 4.2, 4.4, 4.7, 4.8, 5.1, 5.2, 5.3, 6.3, 6.4, 6.6, QRD, redaktionelle rettelser_x000d_
</dc:description>
  <cp:lastModifiedBy>Gitte Ronnovius</cp:lastModifiedBy>
  <cp:revision>3</cp:revision>
  <cp:lastPrinted>2012-08-22T08:53:00Z</cp:lastPrinted>
  <dcterms:created xsi:type="dcterms:W3CDTF">2024-02-27T09:59:00Z</dcterms:created>
  <dcterms:modified xsi:type="dcterms:W3CDTF">2024-02-27T10:32:00Z</dcterms:modified>
</cp:coreProperties>
</file>