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C262C" w14:textId="77777777" w:rsidR="004A3BF4" w:rsidRPr="00C65FFA" w:rsidRDefault="00056601" w:rsidP="004A3BF4">
      <w:pPr>
        <w:rPr>
          <w:sz w:val="24"/>
          <w:szCs w:val="24"/>
          <w:lang w:val="en-GB"/>
        </w:rPr>
      </w:pPr>
      <w:r w:rsidRPr="00C65FFA">
        <w:rPr>
          <w:noProof/>
          <w:sz w:val="24"/>
          <w:szCs w:val="24"/>
          <w:lang w:val="en-GB"/>
        </w:rPr>
        <w:drawing>
          <wp:inline distT="0" distB="0" distL="0" distR="0" wp14:anchorId="64CCB316" wp14:editId="1BFF34D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ED14E22" w14:textId="77777777" w:rsidR="006B3847" w:rsidRPr="00C65FFA" w:rsidRDefault="006B3847" w:rsidP="006B3847">
      <w:pPr>
        <w:rPr>
          <w:sz w:val="24"/>
          <w:szCs w:val="24"/>
          <w:lang w:val="en-GB"/>
        </w:rPr>
      </w:pPr>
    </w:p>
    <w:p w14:paraId="4EAF5AC6" w14:textId="4C159847" w:rsidR="006B3847" w:rsidRPr="005A36CC" w:rsidRDefault="006B3847" w:rsidP="006B3847">
      <w:pPr>
        <w:tabs>
          <w:tab w:val="right" w:pos="9356"/>
        </w:tabs>
        <w:rPr>
          <w:b/>
          <w:sz w:val="24"/>
          <w:szCs w:val="24"/>
        </w:rPr>
      </w:pPr>
      <w:r w:rsidRPr="005A36CC">
        <w:rPr>
          <w:b/>
          <w:sz w:val="24"/>
          <w:szCs w:val="24"/>
        </w:rPr>
        <w:tab/>
      </w:r>
      <w:r w:rsidR="008D5701">
        <w:rPr>
          <w:b/>
          <w:sz w:val="24"/>
          <w:szCs w:val="24"/>
        </w:rPr>
        <w:t>18 Septe</w:t>
      </w:r>
      <w:bookmarkStart w:id="0" w:name="_GoBack"/>
      <w:bookmarkEnd w:id="0"/>
      <w:r w:rsidR="008D5701">
        <w:rPr>
          <w:b/>
          <w:sz w:val="24"/>
          <w:szCs w:val="24"/>
        </w:rPr>
        <w:t>mber 2024</w:t>
      </w:r>
    </w:p>
    <w:p w14:paraId="383A3167" w14:textId="77777777" w:rsidR="006B3847" w:rsidRPr="005A36CC" w:rsidRDefault="006B3847" w:rsidP="006B3847">
      <w:pPr>
        <w:rPr>
          <w:sz w:val="24"/>
          <w:szCs w:val="24"/>
        </w:rPr>
      </w:pPr>
    </w:p>
    <w:p w14:paraId="2B85FD3C" w14:textId="77777777" w:rsidR="007C5D2A" w:rsidRPr="005A36CC" w:rsidRDefault="007C5D2A" w:rsidP="007C5D2A">
      <w:pPr>
        <w:rPr>
          <w:sz w:val="24"/>
          <w:szCs w:val="24"/>
        </w:rPr>
      </w:pPr>
    </w:p>
    <w:p w14:paraId="4E509ED8" w14:textId="77777777" w:rsidR="007C5D2A" w:rsidRPr="005A36CC" w:rsidRDefault="007C5D2A" w:rsidP="007C5D2A">
      <w:pPr>
        <w:rPr>
          <w:sz w:val="24"/>
          <w:szCs w:val="24"/>
        </w:rPr>
      </w:pPr>
    </w:p>
    <w:p w14:paraId="05EA9937" w14:textId="77777777" w:rsidR="007C5D2A" w:rsidRPr="00C65FFA" w:rsidRDefault="007C5D2A" w:rsidP="007C5D2A">
      <w:pPr>
        <w:jc w:val="center"/>
        <w:rPr>
          <w:b/>
          <w:sz w:val="24"/>
          <w:szCs w:val="24"/>
          <w:lang w:val="en-GB"/>
        </w:rPr>
      </w:pPr>
      <w:bookmarkStart w:id="1" w:name="_Hlk49158549"/>
      <w:r w:rsidRPr="00C65FFA">
        <w:rPr>
          <w:b/>
          <w:sz w:val="24"/>
          <w:szCs w:val="24"/>
          <w:lang w:val="en-GB"/>
        </w:rPr>
        <w:t>SUMMARY OF PRODUCT CHARACTERISTICS</w:t>
      </w:r>
    </w:p>
    <w:bookmarkEnd w:id="1"/>
    <w:p w14:paraId="1404972B" w14:textId="77777777" w:rsidR="007C5D2A" w:rsidRPr="00C65FFA" w:rsidRDefault="007C5D2A" w:rsidP="007C5D2A">
      <w:pPr>
        <w:jc w:val="center"/>
        <w:rPr>
          <w:sz w:val="24"/>
          <w:szCs w:val="24"/>
          <w:lang w:val="en-GB"/>
        </w:rPr>
      </w:pPr>
    </w:p>
    <w:p w14:paraId="0F280B57" w14:textId="77777777" w:rsidR="007C5D2A" w:rsidRPr="00C65FFA" w:rsidRDefault="007C5D2A" w:rsidP="007C5D2A">
      <w:pPr>
        <w:jc w:val="center"/>
        <w:rPr>
          <w:b/>
          <w:sz w:val="24"/>
          <w:szCs w:val="24"/>
          <w:lang w:val="en-GB"/>
        </w:rPr>
      </w:pPr>
      <w:r w:rsidRPr="00C65FFA">
        <w:rPr>
          <w:b/>
          <w:sz w:val="24"/>
          <w:szCs w:val="24"/>
          <w:lang w:val="en-GB"/>
        </w:rPr>
        <w:t>for</w:t>
      </w:r>
    </w:p>
    <w:p w14:paraId="0E47BD5C" w14:textId="77777777" w:rsidR="007C5D2A" w:rsidRPr="00C65FFA" w:rsidRDefault="007C5D2A" w:rsidP="007C5D2A">
      <w:pPr>
        <w:jc w:val="center"/>
        <w:rPr>
          <w:sz w:val="24"/>
          <w:szCs w:val="24"/>
          <w:lang w:val="en-GB"/>
        </w:rPr>
      </w:pPr>
    </w:p>
    <w:p w14:paraId="1C83A29C" w14:textId="1E095687" w:rsidR="006C77DE" w:rsidRPr="00C65FFA" w:rsidRDefault="006C77DE" w:rsidP="006C77DE">
      <w:pPr>
        <w:jc w:val="center"/>
        <w:rPr>
          <w:b/>
          <w:sz w:val="24"/>
          <w:szCs w:val="24"/>
          <w:lang w:val="en-US"/>
        </w:rPr>
      </w:pPr>
      <w:proofErr w:type="spellStart"/>
      <w:r w:rsidRPr="00C65FFA">
        <w:rPr>
          <w:b/>
          <w:sz w:val="24"/>
          <w:szCs w:val="24"/>
          <w:lang w:val="en-GB"/>
        </w:rPr>
        <w:t>Anopyrin</w:t>
      </w:r>
      <w:proofErr w:type="spellEnd"/>
      <w:r w:rsidRPr="00C65FFA">
        <w:rPr>
          <w:b/>
          <w:sz w:val="24"/>
          <w:szCs w:val="24"/>
          <w:lang w:val="en-GB"/>
        </w:rPr>
        <w:t>,</w:t>
      </w:r>
      <w:r w:rsidRPr="00C65FFA">
        <w:rPr>
          <w:rStyle w:val="Kommentarhenvisning"/>
          <w:b/>
          <w:sz w:val="24"/>
          <w:szCs w:val="24"/>
          <w:lang w:val="en-GB"/>
        </w:rPr>
        <w:t xml:space="preserve"> </w:t>
      </w:r>
      <w:proofErr w:type="spellStart"/>
      <w:r w:rsidRPr="00C65FFA">
        <w:rPr>
          <w:rStyle w:val="Kommentarhenvisning"/>
          <w:b/>
          <w:sz w:val="24"/>
          <w:szCs w:val="24"/>
          <w:lang w:val="en-GB"/>
        </w:rPr>
        <w:t>ga</w:t>
      </w:r>
      <w:r w:rsidRPr="00C65FFA">
        <w:rPr>
          <w:b/>
          <w:sz w:val="24"/>
          <w:szCs w:val="24"/>
          <w:lang w:val="en-US"/>
        </w:rPr>
        <w:t>stro</w:t>
      </w:r>
      <w:proofErr w:type="spellEnd"/>
      <w:r w:rsidRPr="00C65FFA">
        <w:rPr>
          <w:b/>
          <w:sz w:val="24"/>
          <w:szCs w:val="24"/>
          <w:lang w:val="en-US"/>
        </w:rPr>
        <w:t>-resistant tablet</w:t>
      </w:r>
      <w:r w:rsidR="00AA51E1" w:rsidRPr="00C65FFA">
        <w:rPr>
          <w:b/>
          <w:sz w:val="24"/>
          <w:szCs w:val="24"/>
          <w:lang w:val="en-US"/>
        </w:rPr>
        <w:t>s</w:t>
      </w:r>
      <w:r w:rsidRPr="00C65FFA">
        <w:rPr>
          <w:b/>
          <w:sz w:val="24"/>
          <w:szCs w:val="24"/>
          <w:lang w:val="en-US"/>
        </w:rPr>
        <w:t xml:space="preserve"> 100 mg</w:t>
      </w:r>
    </w:p>
    <w:p w14:paraId="115AC282" w14:textId="77777777" w:rsidR="007C5D2A" w:rsidRPr="00C65FFA" w:rsidRDefault="007C5D2A" w:rsidP="007C5D2A">
      <w:pPr>
        <w:jc w:val="both"/>
        <w:rPr>
          <w:sz w:val="24"/>
          <w:szCs w:val="24"/>
          <w:lang w:val="en-GB"/>
        </w:rPr>
      </w:pPr>
    </w:p>
    <w:p w14:paraId="61E4A39B" w14:textId="77777777" w:rsidR="0042292D" w:rsidRPr="00C65FFA" w:rsidRDefault="0042292D" w:rsidP="007C5D2A">
      <w:pPr>
        <w:jc w:val="both"/>
        <w:rPr>
          <w:sz w:val="24"/>
          <w:szCs w:val="24"/>
          <w:lang w:val="en-GB"/>
        </w:rPr>
      </w:pPr>
    </w:p>
    <w:p w14:paraId="1B655BDC" w14:textId="77777777" w:rsidR="008F2F8C" w:rsidRPr="00C65FFA" w:rsidRDefault="008F2F8C" w:rsidP="008F2F8C">
      <w:pPr>
        <w:tabs>
          <w:tab w:val="left" w:pos="8222"/>
        </w:tabs>
        <w:ind w:left="851" w:hanging="851"/>
        <w:rPr>
          <w:b/>
          <w:sz w:val="24"/>
          <w:szCs w:val="24"/>
          <w:lang w:val="en-GB"/>
        </w:rPr>
      </w:pPr>
      <w:r w:rsidRPr="00C65FFA">
        <w:rPr>
          <w:b/>
          <w:sz w:val="24"/>
          <w:szCs w:val="24"/>
          <w:lang w:val="en-GB"/>
        </w:rPr>
        <w:t>0.</w:t>
      </w:r>
      <w:r w:rsidRPr="00C65FFA">
        <w:rPr>
          <w:b/>
          <w:sz w:val="24"/>
          <w:szCs w:val="24"/>
          <w:lang w:val="en-GB"/>
        </w:rPr>
        <w:tab/>
      </w:r>
      <w:proofErr w:type="gramStart"/>
      <w:r w:rsidRPr="00C65FFA">
        <w:rPr>
          <w:b/>
          <w:sz w:val="24"/>
          <w:szCs w:val="24"/>
          <w:lang w:val="en-GB"/>
        </w:rPr>
        <w:t>D.SP.NO</w:t>
      </w:r>
      <w:proofErr w:type="gramEnd"/>
      <w:r w:rsidRPr="00C65FFA">
        <w:rPr>
          <w:b/>
          <w:sz w:val="24"/>
          <w:szCs w:val="24"/>
          <w:lang w:val="en-GB"/>
        </w:rPr>
        <w:t>.</w:t>
      </w:r>
    </w:p>
    <w:p w14:paraId="416977FD" w14:textId="77777777" w:rsidR="006C77DE" w:rsidRPr="00C65FFA" w:rsidRDefault="006C77DE" w:rsidP="006C77DE">
      <w:pPr>
        <w:tabs>
          <w:tab w:val="left" w:pos="8222"/>
        </w:tabs>
        <w:ind w:left="851"/>
        <w:rPr>
          <w:sz w:val="24"/>
          <w:szCs w:val="24"/>
          <w:lang w:val="en-GB"/>
        </w:rPr>
      </w:pPr>
      <w:r w:rsidRPr="00C65FFA">
        <w:rPr>
          <w:sz w:val="24"/>
          <w:szCs w:val="24"/>
          <w:lang w:val="en-GB"/>
        </w:rPr>
        <w:t>32573</w:t>
      </w:r>
    </w:p>
    <w:p w14:paraId="7F87D953" w14:textId="77777777" w:rsidR="007C5D2A" w:rsidRPr="00C65FFA" w:rsidRDefault="007C5D2A" w:rsidP="007C5D2A">
      <w:pPr>
        <w:tabs>
          <w:tab w:val="left" w:pos="851"/>
        </w:tabs>
        <w:jc w:val="both"/>
        <w:rPr>
          <w:sz w:val="24"/>
          <w:szCs w:val="24"/>
          <w:lang w:val="en-GB"/>
        </w:rPr>
      </w:pPr>
    </w:p>
    <w:p w14:paraId="19A94090" w14:textId="77777777" w:rsidR="007C5D2A" w:rsidRPr="00C65FFA" w:rsidRDefault="009925C9" w:rsidP="007C5D2A">
      <w:pPr>
        <w:tabs>
          <w:tab w:val="left" w:pos="851"/>
        </w:tabs>
        <w:ind w:left="851" w:hanging="851"/>
        <w:rPr>
          <w:sz w:val="24"/>
          <w:szCs w:val="24"/>
          <w:lang w:val="en-GB"/>
        </w:rPr>
      </w:pPr>
      <w:r w:rsidRPr="00C65FFA">
        <w:rPr>
          <w:b/>
          <w:sz w:val="24"/>
          <w:szCs w:val="24"/>
          <w:lang w:val="en-GB"/>
        </w:rPr>
        <w:t>1.</w:t>
      </w:r>
      <w:r w:rsidR="007C5D2A" w:rsidRPr="00C65FFA">
        <w:rPr>
          <w:b/>
          <w:sz w:val="24"/>
          <w:szCs w:val="24"/>
          <w:lang w:val="en-GB"/>
        </w:rPr>
        <w:tab/>
        <w:t>NAME OF THE MEDICINAL PRODUCT</w:t>
      </w:r>
    </w:p>
    <w:p w14:paraId="0D1E8E16" w14:textId="6DF27F44" w:rsidR="007C5D2A" w:rsidRPr="00C65FFA" w:rsidRDefault="006C77DE" w:rsidP="004A3BF4">
      <w:pPr>
        <w:tabs>
          <w:tab w:val="left" w:pos="851"/>
        </w:tabs>
        <w:ind w:left="851"/>
        <w:rPr>
          <w:sz w:val="24"/>
          <w:szCs w:val="24"/>
          <w:lang w:val="en-GB"/>
        </w:rPr>
      </w:pPr>
      <w:proofErr w:type="spellStart"/>
      <w:r w:rsidRPr="00C65FFA">
        <w:rPr>
          <w:sz w:val="24"/>
          <w:szCs w:val="24"/>
          <w:lang w:val="en-GB"/>
        </w:rPr>
        <w:t>Anopyrin</w:t>
      </w:r>
      <w:proofErr w:type="spellEnd"/>
    </w:p>
    <w:p w14:paraId="683D9730" w14:textId="77777777" w:rsidR="007C5D2A" w:rsidRPr="00C65FFA" w:rsidRDefault="007C5D2A" w:rsidP="004A3BF4">
      <w:pPr>
        <w:tabs>
          <w:tab w:val="left" w:pos="851"/>
        </w:tabs>
        <w:ind w:left="851"/>
        <w:rPr>
          <w:sz w:val="24"/>
          <w:szCs w:val="24"/>
          <w:lang w:val="en-GB"/>
        </w:rPr>
      </w:pPr>
    </w:p>
    <w:p w14:paraId="1DDE0B4B" w14:textId="77777777" w:rsidR="007C5D2A" w:rsidRPr="00C65FFA" w:rsidRDefault="009925C9" w:rsidP="007C5D2A">
      <w:pPr>
        <w:ind w:left="851" w:hanging="851"/>
        <w:rPr>
          <w:b/>
          <w:sz w:val="24"/>
          <w:szCs w:val="24"/>
          <w:lang w:val="en-GB"/>
        </w:rPr>
      </w:pPr>
      <w:r w:rsidRPr="00C65FFA">
        <w:rPr>
          <w:b/>
          <w:sz w:val="24"/>
          <w:szCs w:val="24"/>
          <w:lang w:val="en-GB"/>
        </w:rPr>
        <w:t>2.</w:t>
      </w:r>
      <w:r w:rsidR="007C5D2A" w:rsidRPr="00C65FFA">
        <w:rPr>
          <w:b/>
          <w:sz w:val="24"/>
          <w:szCs w:val="24"/>
          <w:lang w:val="en-GB"/>
        </w:rPr>
        <w:tab/>
        <w:t>QUALITATIVE AND QUANTITATIVE COMPOSITION</w:t>
      </w:r>
    </w:p>
    <w:p w14:paraId="15720BA8" w14:textId="77777777" w:rsidR="007D6869" w:rsidRPr="00C65FFA" w:rsidRDefault="007D6869" w:rsidP="007D0DEE">
      <w:pPr>
        <w:ind w:left="851"/>
        <w:rPr>
          <w:sz w:val="24"/>
          <w:szCs w:val="24"/>
          <w:lang w:val="en-US"/>
        </w:rPr>
      </w:pPr>
      <w:r w:rsidRPr="00C65FFA">
        <w:rPr>
          <w:sz w:val="24"/>
          <w:szCs w:val="24"/>
          <w:lang w:val="en-US"/>
        </w:rPr>
        <w:t>Each gastro-resistant tablet contains 100 mg acetylsalicylic acid.</w:t>
      </w:r>
    </w:p>
    <w:p w14:paraId="5335E700" w14:textId="77777777" w:rsidR="007D6869" w:rsidRPr="00C65FFA" w:rsidRDefault="007D6869" w:rsidP="007D0DEE">
      <w:pPr>
        <w:ind w:left="851"/>
        <w:rPr>
          <w:sz w:val="24"/>
          <w:szCs w:val="24"/>
          <w:u w:val="single"/>
          <w:lang w:val="en-US"/>
        </w:rPr>
      </w:pPr>
    </w:p>
    <w:p w14:paraId="55EBC2F7" w14:textId="77777777" w:rsidR="007D6869" w:rsidRPr="00C65FFA" w:rsidRDefault="007D6869" w:rsidP="007D0DEE">
      <w:pPr>
        <w:ind w:left="851"/>
        <w:rPr>
          <w:sz w:val="24"/>
          <w:szCs w:val="24"/>
          <w:u w:val="single"/>
          <w:lang w:val="en-US"/>
        </w:rPr>
      </w:pPr>
      <w:r w:rsidRPr="00C65FFA">
        <w:rPr>
          <w:sz w:val="24"/>
          <w:szCs w:val="24"/>
          <w:u w:val="single"/>
          <w:lang w:val="en-US"/>
        </w:rPr>
        <w:t>Excipients with known effect</w:t>
      </w:r>
    </w:p>
    <w:p w14:paraId="50A36102" w14:textId="77777777" w:rsidR="007D6869" w:rsidRPr="00C65FFA" w:rsidRDefault="007D6869" w:rsidP="007D0DEE">
      <w:pPr>
        <w:ind w:left="851"/>
        <w:rPr>
          <w:sz w:val="24"/>
          <w:szCs w:val="24"/>
          <w:lang w:val="en-US"/>
        </w:rPr>
      </w:pPr>
      <w:r w:rsidRPr="00C65FFA">
        <w:rPr>
          <w:sz w:val="24"/>
          <w:szCs w:val="24"/>
          <w:lang w:val="en-US"/>
        </w:rPr>
        <w:t>Lactose monohydrate</w:t>
      </w:r>
      <w:r w:rsidRPr="00C65FFA">
        <w:rPr>
          <w:sz w:val="24"/>
          <w:szCs w:val="24"/>
          <w:lang w:val="en-US"/>
        </w:rPr>
        <w:tab/>
      </w:r>
      <w:r w:rsidRPr="00C65FFA">
        <w:rPr>
          <w:sz w:val="24"/>
          <w:szCs w:val="24"/>
          <w:lang w:val="en-US"/>
        </w:rPr>
        <w:tab/>
        <w:t>60 mg per tablet</w:t>
      </w:r>
    </w:p>
    <w:p w14:paraId="26CD7D6B" w14:textId="77777777" w:rsidR="007D6869" w:rsidRPr="00C65FFA" w:rsidRDefault="007D6869" w:rsidP="007D0DEE">
      <w:pPr>
        <w:ind w:left="851"/>
        <w:rPr>
          <w:sz w:val="24"/>
          <w:szCs w:val="24"/>
          <w:lang w:val="en-US"/>
        </w:rPr>
      </w:pPr>
    </w:p>
    <w:p w14:paraId="345136BB"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For the full list of excipients, see section 6.1.</w:t>
      </w:r>
    </w:p>
    <w:p w14:paraId="19EA1B9C" w14:textId="77777777" w:rsidR="007C5D2A" w:rsidRPr="00C65FFA" w:rsidRDefault="007C5D2A" w:rsidP="004A3BF4">
      <w:pPr>
        <w:tabs>
          <w:tab w:val="left" w:pos="851"/>
        </w:tabs>
        <w:ind w:left="851"/>
        <w:rPr>
          <w:sz w:val="24"/>
          <w:szCs w:val="24"/>
          <w:lang w:val="en-GB"/>
        </w:rPr>
      </w:pPr>
    </w:p>
    <w:p w14:paraId="4531F727"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t>3.</w:t>
      </w:r>
      <w:r w:rsidRPr="00C65FFA">
        <w:rPr>
          <w:b/>
          <w:sz w:val="24"/>
          <w:szCs w:val="24"/>
          <w:lang w:val="en-GB"/>
        </w:rPr>
        <w:tab/>
        <w:t>PHARMACEUTICAL FORM</w:t>
      </w:r>
    </w:p>
    <w:p w14:paraId="2DFDC8F7" w14:textId="013A2E15" w:rsidR="007D6869" w:rsidRPr="00C65FFA" w:rsidRDefault="007D6869" w:rsidP="007D0DEE">
      <w:pPr>
        <w:ind w:left="851"/>
        <w:rPr>
          <w:sz w:val="24"/>
          <w:szCs w:val="24"/>
          <w:lang w:val="en-US"/>
        </w:rPr>
      </w:pPr>
      <w:r w:rsidRPr="00C65FFA">
        <w:rPr>
          <w:sz w:val="24"/>
          <w:szCs w:val="24"/>
          <w:lang w:val="en-US"/>
        </w:rPr>
        <w:t>Gastro-resistant table</w:t>
      </w:r>
      <w:r w:rsidR="00AA51E1" w:rsidRPr="00C65FFA">
        <w:rPr>
          <w:sz w:val="24"/>
          <w:szCs w:val="24"/>
          <w:lang w:val="en-US"/>
        </w:rPr>
        <w:t>ts</w:t>
      </w:r>
    </w:p>
    <w:p w14:paraId="7C1386B1" w14:textId="77777777" w:rsidR="007D6869" w:rsidRPr="00C65FFA" w:rsidRDefault="007D6869" w:rsidP="007D0DEE">
      <w:pPr>
        <w:ind w:left="851"/>
        <w:rPr>
          <w:sz w:val="24"/>
          <w:szCs w:val="24"/>
          <w:lang w:val="en-US"/>
        </w:rPr>
      </w:pPr>
      <w:r w:rsidRPr="00C65FFA">
        <w:rPr>
          <w:sz w:val="24"/>
          <w:szCs w:val="24"/>
          <w:lang w:val="en-US"/>
        </w:rPr>
        <w:t>White, round, biconvex film-coated tablets with a diameter of about 8.1 mm.</w:t>
      </w:r>
    </w:p>
    <w:p w14:paraId="397D6484" w14:textId="77777777" w:rsidR="007C5D2A" w:rsidRPr="00C65FFA" w:rsidRDefault="007C5D2A" w:rsidP="004A3BF4">
      <w:pPr>
        <w:tabs>
          <w:tab w:val="left" w:pos="851"/>
        </w:tabs>
        <w:ind w:left="851"/>
        <w:rPr>
          <w:sz w:val="24"/>
          <w:szCs w:val="24"/>
          <w:lang w:val="en-GB"/>
        </w:rPr>
      </w:pPr>
    </w:p>
    <w:p w14:paraId="1A86017C" w14:textId="77777777" w:rsidR="007C5D2A" w:rsidRPr="00C65FFA" w:rsidRDefault="007C5D2A" w:rsidP="004A3BF4">
      <w:pPr>
        <w:tabs>
          <w:tab w:val="left" w:pos="851"/>
        </w:tabs>
        <w:ind w:left="851"/>
        <w:rPr>
          <w:sz w:val="24"/>
          <w:szCs w:val="24"/>
          <w:lang w:val="en-GB"/>
        </w:rPr>
      </w:pPr>
    </w:p>
    <w:p w14:paraId="21F3AA3F" w14:textId="77777777" w:rsidR="007C5D2A" w:rsidRPr="00C65FFA" w:rsidRDefault="007C5D2A" w:rsidP="007C5D2A">
      <w:pPr>
        <w:ind w:left="851" w:hanging="851"/>
        <w:rPr>
          <w:b/>
          <w:sz w:val="24"/>
          <w:szCs w:val="24"/>
          <w:lang w:val="en-GB"/>
        </w:rPr>
      </w:pPr>
      <w:r w:rsidRPr="00C65FFA">
        <w:rPr>
          <w:b/>
          <w:sz w:val="24"/>
          <w:szCs w:val="24"/>
          <w:lang w:val="en-GB"/>
        </w:rPr>
        <w:t>4.</w:t>
      </w:r>
      <w:r w:rsidRPr="00C65FFA">
        <w:rPr>
          <w:b/>
          <w:sz w:val="24"/>
          <w:szCs w:val="24"/>
          <w:lang w:val="en-GB"/>
        </w:rPr>
        <w:tab/>
        <w:t>CLINICAL PARTICULARS</w:t>
      </w:r>
    </w:p>
    <w:p w14:paraId="1BD6EF35" w14:textId="77777777" w:rsidR="007C5D2A" w:rsidRPr="00C65FFA" w:rsidRDefault="007C5D2A" w:rsidP="004A3BF4">
      <w:pPr>
        <w:tabs>
          <w:tab w:val="left" w:pos="851"/>
        </w:tabs>
        <w:ind w:left="851"/>
        <w:rPr>
          <w:sz w:val="24"/>
          <w:szCs w:val="24"/>
          <w:lang w:val="en-GB"/>
        </w:rPr>
      </w:pPr>
    </w:p>
    <w:p w14:paraId="1FA38033" w14:textId="77777777" w:rsidR="007C5D2A" w:rsidRPr="00C65FFA" w:rsidRDefault="007C5D2A" w:rsidP="007C5D2A">
      <w:pPr>
        <w:ind w:left="851" w:hanging="851"/>
        <w:rPr>
          <w:b/>
          <w:sz w:val="24"/>
          <w:szCs w:val="24"/>
          <w:u w:val="single"/>
          <w:lang w:val="en-GB"/>
        </w:rPr>
      </w:pPr>
      <w:r w:rsidRPr="00C65FFA">
        <w:rPr>
          <w:b/>
          <w:sz w:val="24"/>
          <w:szCs w:val="24"/>
          <w:lang w:val="en-GB"/>
        </w:rPr>
        <w:t>4.1</w:t>
      </w:r>
      <w:r w:rsidRPr="00C65FFA">
        <w:rPr>
          <w:b/>
          <w:sz w:val="24"/>
          <w:szCs w:val="24"/>
          <w:lang w:val="en-GB"/>
        </w:rPr>
        <w:tab/>
        <w:t>Therapeutic indications</w:t>
      </w:r>
    </w:p>
    <w:p w14:paraId="597DC6C2"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Secondary prevention of myocardial infarction, transient ischaemic attacks (TIA), and ischaemic stroke.</w:t>
      </w:r>
    </w:p>
    <w:p w14:paraId="493EE76E"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Prevention of cardiovascular morbidity in patients suffering from stable angina pectoris.</w:t>
      </w:r>
    </w:p>
    <w:p w14:paraId="0D413078"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History of unstable angina pectoris, except during the acute phase.</w:t>
      </w:r>
    </w:p>
    <w:p w14:paraId="18ED2657"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Prevention of graft occlusion after coronary artery bypass grafting (CABG).</w:t>
      </w:r>
    </w:p>
    <w:p w14:paraId="5CE49AAA"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Coronary angioplasty, except during the acute phase.</w:t>
      </w:r>
    </w:p>
    <w:p w14:paraId="490E5B67" w14:textId="77777777" w:rsidR="007D6869" w:rsidRPr="00C65FFA" w:rsidRDefault="007D6869" w:rsidP="007D6869">
      <w:pPr>
        <w:rPr>
          <w:sz w:val="24"/>
          <w:szCs w:val="24"/>
          <w:lang w:val="en-US"/>
        </w:rPr>
      </w:pPr>
    </w:p>
    <w:p w14:paraId="46D54A9F" w14:textId="02EB8282" w:rsidR="007D6869" w:rsidRPr="00DD202F" w:rsidRDefault="00C65FFA" w:rsidP="00C65FFA">
      <w:pPr>
        <w:ind w:left="851"/>
        <w:rPr>
          <w:sz w:val="24"/>
          <w:szCs w:val="24"/>
          <w:lang w:val="en-US"/>
        </w:rPr>
      </w:pPr>
      <w:proofErr w:type="spellStart"/>
      <w:r w:rsidRPr="00DD202F">
        <w:rPr>
          <w:sz w:val="24"/>
          <w:szCs w:val="24"/>
          <w:lang w:val="en-US"/>
        </w:rPr>
        <w:t>Anopyrin</w:t>
      </w:r>
      <w:proofErr w:type="spellEnd"/>
      <w:r w:rsidR="007D6869" w:rsidRPr="00DD202F">
        <w:rPr>
          <w:sz w:val="24"/>
          <w:szCs w:val="24"/>
          <w:lang w:val="en-US"/>
        </w:rPr>
        <w:t xml:space="preserve"> is not recommended in emergency situations.</w:t>
      </w:r>
    </w:p>
    <w:p w14:paraId="052C5B59" w14:textId="221695C0" w:rsidR="008D09CC" w:rsidRDefault="008D09CC">
      <w:pPr>
        <w:rPr>
          <w:sz w:val="24"/>
          <w:szCs w:val="24"/>
          <w:lang w:val="en-GB"/>
        </w:rPr>
      </w:pPr>
      <w:r>
        <w:rPr>
          <w:sz w:val="24"/>
          <w:szCs w:val="24"/>
          <w:lang w:val="en-GB"/>
        </w:rPr>
        <w:br w:type="page"/>
      </w:r>
    </w:p>
    <w:p w14:paraId="577BBA38" w14:textId="77777777" w:rsidR="007C5D2A" w:rsidRPr="00C65FFA" w:rsidRDefault="007C5D2A" w:rsidP="00A85D26">
      <w:pPr>
        <w:tabs>
          <w:tab w:val="left" w:pos="851"/>
        </w:tabs>
        <w:ind w:left="851"/>
        <w:rPr>
          <w:sz w:val="24"/>
          <w:szCs w:val="24"/>
          <w:lang w:val="en-GB"/>
        </w:rPr>
      </w:pPr>
    </w:p>
    <w:p w14:paraId="11B9112B" w14:textId="77777777" w:rsidR="007C5D2A" w:rsidRPr="00C65FFA" w:rsidRDefault="009925C9" w:rsidP="007C5D2A">
      <w:pPr>
        <w:tabs>
          <w:tab w:val="left" w:pos="851"/>
        </w:tabs>
        <w:ind w:left="851" w:hanging="851"/>
        <w:rPr>
          <w:sz w:val="24"/>
          <w:szCs w:val="24"/>
          <w:lang w:val="en-GB"/>
        </w:rPr>
      </w:pPr>
      <w:r w:rsidRPr="00C65FFA">
        <w:rPr>
          <w:b/>
          <w:sz w:val="24"/>
          <w:szCs w:val="24"/>
          <w:lang w:val="en-GB"/>
        </w:rPr>
        <w:t>4.2</w:t>
      </w:r>
      <w:r w:rsidR="007C5D2A" w:rsidRPr="00C65FFA">
        <w:rPr>
          <w:b/>
          <w:sz w:val="24"/>
          <w:szCs w:val="24"/>
          <w:lang w:val="en-GB"/>
        </w:rPr>
        <w:tab/>
        <w:t>Posology and method of administration</w:t>
      </w:r>
    </w:p>
    <w:p w14:paraId="3F89AF06" w14:textId="77777777" w:rsidR="00C65FFA" w:rsidRPr="00C65FFA" w:rsidRDefault="00C65FFA" w:rsidP="00AA51E1">
      <w:pPr>
        <w:ind w:left="851"/>
        <w:rPr>
          <w:sz w:val="24"/>
          <w:szCs w:val="24"/>
          <w:lang w:val="en-US"/>
        </w:rPr>
      </w:pPr>
    </w:p>
    <w:p w14:paraId="1E6D1FE3" w14:textId="44EFD34B" w:rsidR="007D6869" w:rsidRPr="00C65FFA" w:rsidRDefault="007D6869" w:rsidP="00AA51E1">
      <w:pPr>
        <w:ind w:left="851"/>
        <w:rPr>
          <w:sz w:val="24"/>
          <w:szCs w:val="24"/>
          <w:u w:val="single"/>
          <w:lang w:val="en-US"/>
        </w:rPr>
      </w:pPr>
      <w:r w:rsidRPr="00C65FFA">
        <w:rPr>
          <w:sz w:val="24"/>
          <w:szCs w:val="24"/>
          <w:u w:val="single"/>
          <w:lang w:val="en-US"/>
        </w:rPr>
        <w:t>Posology</w:t>
      </w:r>
    </w:p>
    <w:p w14:paraId="5B6D0428" w14:textId="77777777" w:rsidR="007D6869" w:rsidRPr="00C65FFA" w:rsidRDefault="007D6869" w:rsidP="00AA51E1">
      <w:pPr>
        <w:ind w:left="851"/>
        <w:rPr>
          <w:i/>
          <w:sz w:val="24"/>
          <w:szCs w:val="24"/>
          <w:u w:val="single"/>
          <w:lang w:val="en-US"/>
        </w:rPr>
      </w:pPr>
      <w:r w:rsidRPr="00C65FFA">
        <w:rPr>
          <w:i/>
          <w:sz w:val="24"/>
          <w:szCs w:val="24"/>
          <w:u w:val="single"/>
          <w:lang w:val="en-US"/>
        </w:rPr>
        <w:t>Adults</w:t>
      </w:r>
    </w:p>
    <w:p w14:paraId="00455152" w14:textId="4D962946" w:rsidR="007D6869" w:rsidRPr="00C65FFA" w:rsidRDefault="007D6869" w:rsidP="00AA51E1">
      <w:pPr>
        <w:ind w:left="851"/>
        <w:rPr>
          <w:sz w:val="24"/>
          <w:szCs w:val="24"/>
          <w:lang w:val="en-US"/>
        </w:rPr>
      </w:pPr>
      <w:r w:rsidRPr="00C65FFA">
        <w:rPr>
          <w:sz w:val="24"/>
          <w:szCs w:val="24"/>
          <w:lang w:val="en-US"/>
        </w:rPr>
        <w:t xml:space="preserve">The pharmaceutical form of </w:t>
      </w:r>
      <w:proofErr w:type="spellStart"/>
      <w:r w:rsidR="00C65FFA" w:rsidRPr="00C65FFA">
        <w:rPr>
          <w:sz w:val="24"/>
          <w:szCs w:val="24"/>
          <w:lang w:val="en-US"/>
        </w:rPr>
        <w:t>Anopyrin</w:t>
      </w:r>
      <w:proofErr w:type="spellEnd"/>
      <w:r w:rsidRPr="00C65FFA">
        <w:rPr>
          <w:sz w:val="24"/>
          <w:szCs w:val="24"/>
          <w:lang w:val="en-US"/>
        </w:rPr>
        <w:t xml:space="preserve"> is gastro-resistant tablet which should not be crushed or divided and the only dose achievable is 100 mg and its multiples. Therefore, </w:t>
      </w:r>
      <w:proofErr w:type="spellStart"/>
      <w:r w:rsidR="00C65FFA" w:rsidRPr="00C65FFA">
        <w:rPr>
          <w:sz w:val="24"/>
          <w:szCs w:val="24"/>
          <w:lang w:val="en-US"/>
        </w:rPr>
        <w:t>Anopyrin</w:t>
      </w:r>
      <w:proofErr w:type="spellEnd"/>
      <w:r w:rsidRPr="00C65FFA">
        <w:rPr>
          <w:sz w:val="24"/>
          <w:szCs w:val="24"/>
          <w:lang w:val="en-US"/>
        </w:rPr>
        <w:t xml:space="preserve"> is not suitable for all dosages described below. For the dosages where the </w:t>
      </w:r>
      <w:proofErr w:type="spellStart"/>
      <w:r w:rsidR="00C65FFA" w:rsidRPr="00C65FFA">
        <w:rPr>
          <w:sz w:val="24"/>
          <w:szCs w:val="24"/>
          <w:lang w:val="en-US"/>
        </w:rPr>
        <w:t>Anopyrin</w:t>
      </w:r>
      <w:proofErr w:type="spellEnd"/>
      <w:r w:rsidRPr="00C65FFA">
        <w:rPr>
          <w:sz w:val="24"/>
          <w:szCs w:val="24"/>
          <w:lang w:val="en-US"/>
        </w:rPr>
        <w:t xml:space="preserve"> is not suitable, other medicinal products containing acetylsalicylic acid should be used.</w:t>
      </w:r>
    </w:p>
    <w:p w14:paraId="7E4D61A5" w14:textId="77777777" w:rsidR="007D6869" w:rsidRPr="00C65FFA" w:rsidRDefault="007D6869" w:rsidP="00AA51E1">
      <w:pPr>
        <w:ind w:left="851"/>
        <w:rPr>
          <w:sz w:val="24"/>
          <w:szCs w:val="24"/>
          <w:lang w:val="en-US"/>
        </w:rPr>
      </w:pPr>
    </w:p>
    <w:p w14:paraId="79A7F33F" w14:textId="77777777" w:rsidR="007D6869" w:rsidRPr="00C65FFA" w:rsidRDefault="007D6869" w:rsidP="00AA51E1">
      <w:pPr>
        <w:ind w:left="851"/>
        <w:rPr>
          <w:i/>
          <w:sz w:val="24"/>
          <w:szCs w:val="24"/>
          <w:lang w:val="en-US"/>
        </w:rPr>
      </w:pPr>
      <w:r w:rsidRPr="00C65FFA">
        <w:rPr>
          <w:i/>
          <w:sz w:val="24"/>
          <w:szCs w:val="24"/>
          <w:lang w:val="en-US"/>
        </w:rPr>
        <w:t>Secondary prevention of myocardial infarction</w:t>
      </w:r>
    </w:p>
    <w:p w14:paraId="3B2BAD4D" w14:textId="77777777" w:rsidR="007D6869" w:rsidRPr="00C65FFA" w:rsidRDefault="007D6869" w:rsidP="00AA51E1">
      <w:pPr>
        <w:ind w:left="851"/>
        <w:rPr>
          <w:sz w:val="24"/>
          <w:szCs w:val="24"/>
          <w:lang w:val="en-US"/>
        </w:rPr>
      </w:pPr>
      <w:r w:rsidRPr="00C65FFA">
        <w:rPr>
          <w:sz w:val="24"/>
          <w:szCs w:val="24"/>
          <w:lang w:val="en-US"/>
        </w:rPr>
        <w:t>The recommended dose is 75</w:t>
      </w:r>
      <w:r w:rsidRPr="00C65FFA">
        <w:rPr>
          <w:sz w:val="24"/>
          <w:szCs w:val="24"/>
          <w:lang w:val="en-US"/>
        </w:rPr>
        <w:noBreakHyphen/>
        <w:t>150 mg once daily.</w:t>
      </w:r>
    </w:p>
    <w:p w14:paraId="15A42EBA" w14:textId="77777777" w:rsidR="007D6869" w:rsidRPr="00C65FFA" w:rsidRDefault="007D6869" w:rsidP="00AA51E1">
      <w:pPr>
        <w:ind w:left="851"/>
        <w:rPr>
          <w:sz w:val="24"/>
          <w:szCs w:val="24"/>
          <w:lang w:val="en-US"/>
        </w:rPr>
      </w:pPr>
    </w:p>
    <w:p w14:paraId="56A1618C" w14:textId="77777777" w:rsidR="007D6869" w:rsidRPr="00C65FFA" w:rsidRDefault="007D6869" w:rsidP="00AA51E1">
      <w:pPr>
        <w:ind w:left="851"/>
        <w:rPr>
          <w:i/>
          <w:sz w:val="24"/>
          <w:szCs w:val="24"/>
          <w:lang w:val="en-US"/>
        </w:rPr>
      </w:pPr>
      <w:r w:rsidRPr="00C65FFA">
        <w:rPr>
          <w:i/>
          <w:sz w:val="24"/>
          <w:szCs w:val="24"/>
          <w:lang w:val="en-US"/>
        </w:rPr>
        <w:t>Prevention of cardiovascular morbidity in patients suffering from stable angina pectoris</w:t>
      </w:r>
    </w:p>
    <w:p w14:paraId="082818BF" w14:textId="77777777" w:rsidR="007D6869" w:rsidRPr="00C65FFA" w:rsidRDefault="007D6869" w:rsidP="00AA51E1">
      <w:pPr>
        <w:ind w:left="851"/>
        <w:rPr>
          <w:sz w:val="24"/>
          <w:szCs w:val="24"/>
          <w:lang w:val="en-US"/>
        </w:rPr>
      </w:pPr>
      <w:r w:rsidRPr="00C65FFA">
        <w:rPr>
          <w:sz w:val="24"/>
          <w:szCs w:val="24"/>
          <w:lang w:val="en-US"/>
        </w:rPr>
        <w:t>The recommended dose is 75</w:t>
      </w:r>
      <w:r w:rsidRPr="00C65FFA">
        <w:rPr>
          <w:sz w:val="24"/>
          <w:szCs w:val="24"/>
          <w:lang w:val="en-US"/>
        </w:rPr>
        <w:noBreakHyphen/>
        <w:t>150 mg once daily.</w:t>
      </w:r>
    </w:p>
    <w:p w14:paraId="054A058C" w14:textId="77777777" w:rsidR="007D6869" w:rsidRPr="00C65FFA" w:rsidRDefault="007D6869" w:rsidP="00AA51E1">
      <w:pPr>
        <w:ind w:left="851"/>
        <w:rPr>
          <w:sz w:val="24"/>
          <w:szCs w:val="24"/>
          <w:lang w:val="en-US"/>
        </w:rPr>
      </w:pPr>
    </w:p>
    <w:p w14:paraId="03C37B25" w14:textId="77777777" w:rsidR="007D6869" w:rsidRPr="00C65FFA" w:rsidRDefault="007D6869" w:rsidP="00AA51E1">
      <w:pPr>
        <w:ind w:left="851"/>
        <w:rPr>
          <w:i/>
          <w:sz w:val="24"/>
          <w:szCs w:val="24"/>
          <w:lang w:val="en-US"/>
        </w:rPr>
      </w:pPr>
      <w:r w:rsidRPr="00C65FFA">
        <w:rPr>
          <w:i/>
          <w:sz w:val="24"/>
          <w:szCs w:val="24"/>
          <w:lang w:val="en-US"/>
        </w:rPr>
        <w:t>History of unstable angina pectoris, except during the acute phase</w:t>
      </w:r>
    </w:p>
    <w:p w14:paraId="7D57DF27" w14:textId="77777777" w:rsidR="007D6869" w:rsidRPr="00C65FFA" w:rsidRDefault="007D6869" w:rsidP="00AA51E1">
      <w:pPr>
        <w:ind w:left="851"/>
        <w:rPr>
          <w:sz w:val="24"/>
          <w:szCs w:val="24"/>
          <w:lang w:val="en-US"/>
        </w:rPr>
      </w:pPr>
      <w:r w:rsidRPr="00C65FFA">
        <w:rPr>
          <w:sz w:val="24"/>
          <w:szCs w:val="24"/>
          <w:lang w:val="en-US"/>
        </w:rPr>
        <w:t>The recommended dose is 75</w:t>
      </w:r>
      <w:r w:rsidRPr="00C65FFA">
        <w:rPr>
          <w:sz w:val="24"/>
          <w:szCs w:val="24"/>
          <w:lang w:val="en-US"/>
        </w:rPr>
        <w:noBreakHyphen/>
        <w:t>150 mg once daily.</w:t>
      </w:r>
    </w:p>
    <w:p w14:paraId="2F18DB86" w14:textId="77777777" w:rsidR="007D6869" w:rsidRPr="00C65FFA" w:rsidRDefault="007D6869" w:rsidP="00AA51E1">
      <w:pPr>
        <w:ind w:left="851"/>
        <w:rPr>
          <w:sz w:val="24"/>
          <w:szCs w:val="24"/>
          <w:lang w:val="en-US"/>
        </w:rPr>
      </w:pPr>
    </w:p>
    <w:p w14:paraId="67AA5CFF" w14:textId="77777777" w:rsidR="007D6869" w:rsidRPr="00C65FFA" w:rsidRDefault="007D6869" w:rsidP="00AA51E1">
      <w:pPr>
        <w:ind w:left="851"/>
        <w:rPr>
          <w:i/>
          <w:sz w:val="24"/>
          <w:szCs w:val="24"/>
          <w:lang w:val="en-US"/>
        </w:rPr>
      </w:pPr>
      <w:r w:rsidRPr="00C65FFA">
        <w:rPr>
          <w:i/>
          <w:sz w:val="24"/>
          <w:szCs w:val="24"/>
          <w:lang w:val="en-US"/>
        </w:rPr>
        <w:t>Prevention of graft occlusion after CABG</w:t>
      </w:r>
    </w:p>
    <w:p w14:paraId="0DBEA11E" w14:textId="77777777" w:rsidR="007D6869" w:rsidRPr="00C65FFA" w:rsidRDefault="007D6869" w:rsidP="00AA51E1">
      <w:pPr>
        <w:ind w:left="851"/>
        <w:rPr>
          <w:sz w:val="24"/>
          <w:szCs w:val="24"/>
          <w:lang w:val="en-US"/>
        </w:rPr>
      </w:pPr>
      <w:r w:rsidRPr="00C65FFA">
        <w:rPr>
          <w:sz w:val="24"/>
          <w:szCs w:val="24"/>
          <w:lang w:val="en-US"/>
        </w:rPr>
        <w:t>The recommended dose is 75</w:t>
      </w:r>
      <w:r w:rsidRPr="00C65FFA">
        <w:rPr>
          <w:sz w:val="24"/>
          <w:szCs w:val="24"/>
          <w:lang w:val="en-US"/>
        </w:rPr>
        <w:noBreakHyphen/>
        <w:t>150 mg once daily.</w:t>
      </w:r>
    </w:p>
    <w:p w14:paraId="6537C6C0" w14:textId="77777777" w:rsidR="007D6869" w:rsidRPr="00C65FFA" w:rsidRDefault="007D6869" w:rsidP="00AA51E1">
      <w:pPr>
        <w:ind w:left="851"/>
        <w:rPr>
          <w:sz w:val="24"/>
          <w:szCs w:val="24"/>
          <w:lang w:val="en-US"/>
        </w:rPr>
      </w:pPr>
    </w:p>
    <w:p w14:paraId="27D09F33" w14:textId="77777777" w:rsidR="007D6869" w:rsidRPr="00C65FFA" w:rsidRDefault="007D6869" w:rsidP="00AA51E1">
      <w:pPr>
        <w:ind w:left="851"/>
        <w:rPr>
          <w:i/>
          <w:sz w:val="24"/>
          <w:szCs w:val="24"/>
          <w:lang w:val="en-US"/>
        </w:rPr>
      </w:pPr>
      <w:r w:rsidRPr="00C65FFA">
        <w:rPr>
          <w:i/>
          <w:sz w:val="24"/>
          <w:szCs w:val="24"/>
          <w:lang w:val="en-US"/>
        </w:rPr>
        <w:t>Coronary angioplasty, except during the acute phase</w:t>
      </w:r>
    </w:p>
    <w:p w14:paraId="09782D24" w14:textId="77777777" w:rsidR="007D6869" w:rsidRPr="00C65FFA" w:rsidRDefault="007D6869" w:rsidP="00AA51E1">
      <w:pPr>
        <w:ind w:left="851"/>
        <w:rPr>
          <w:sz w:val="24"/>
          <w:szCs w:val="24"/>
          <w:lang w:val="en-US"/>
        </w:rPr>
      </w:pPr>
      <w:r w:rsidRPr="00C65FFA">
        <w:rPr>
          <w:sz w:val="24"/>
          <w:szCs w:val="24"/>
          <w:lang w:val="en-US"/>
        </w:rPr>
        <w:t>The recommended dose is 75</w:t>
      </w:r>
      <w:r w:rsidRPr="00C65FFA">
        <w:rPr>
          <w:sz w:val="24"/>
          <w:szCs w:val="24"/>
          <w:lang w:val="en-US"/>
        </w:rPr>
        <w:noBreakHyphen/>
        <w:t>150 mg once daily.</w:t>
      </w:r>
    </w:p>
    <w:p w14:paraId="626867BD" w14:textId="77777777" w:rsidR="007D6869" w:rsidRPr="00C65FFA" w:rsidRDefault="007D6869" w:rsidP="00AA51E1">
      <w:pPr>
        <w:ind w:left="851"/>
        <w:rPr>
          <w:sz w:val="24"/>
          <w:szCs w:val="24"/>
          <w:lang w:val="en-US"/>
        </w:rPr>
      </w:pPr>
    </w:p>
    <w:p w14:paraId="5A609733" w14:textId="77777777" w:rsidR="007D6869" w:rsidRPr="00C65FFA" w:rsidRDefault="007D6869" w:rsidP="00AA51E1">
      <w:pPr>
        <w:ind w:left="851"/>
        <w:rPr>
          <w:i/>
          <w:sz w:val="24"/>
          <w:szCs w:val="24"/>
          <w:lang w:val="en-US"/>
        </w:rPr>
      </w:pPr>
      <w:r w:rsidRPr="00C65FFA">
        <w:rPr>
          <w:i/>
          <w:sz w:val="24"/>
          <w:szCs w:val="24"/>
          <w:lang w:val="en-US"/>
        </w:rPr>
        <w:t xml:space="preserve">Secondary prevention of TIA and </w:t>
      </w:r>
      <w:proofErr w:type="spellStart"/>
      <w:r w:rsidRPr="00C65FFA">
        <w:rPr>
          <w:i/>
          <w:sz w:val="24"/>
          <w:szCs w:val="24"/>
          <w:lang w:val="en-US"/>
        </w:rPr>
        <w:t>ischaemic</w:t>
      </w:r>
      <w:proofErr w:type="spellEnd"/>
      <w:r w:rsidRPr="00C65FFA">
        <w:rPr>
          <w:i/>
          <w:sz w:val="24"/>
          <w:szCs w:val="24"/>
          <w:lang w:val="en-US"/>
        </w:rPr>
        <w:t xml:space="preserve"> stroke</w:t>
      </w:r>
    </w:p>
    <w:p w14:paraId="46955BB0" w14:textId="77777777" w:rsidR="007D6869" w:rsidRPr="00C65FFA" w:rsidRDefault="007D6869" w:rsidP="00AA51E1">
      <w:pPr>
        <w:ind w:left="851"/>
        <w:rPr>
          <w:sz w:val="24"/>
          <w:szCs w:val="24"/>
          <w:lang w:val="en-US"/>
        </w:rPr>
      </w:pPr>
      <w:r w:rsidRPr="00C65FFA">
        <w:rPr>
          <w:sz w:val="24"/>
          <w:szCs w:val="24"/>
          <w:lang w:val="en-US"/>
        </w:rPr>
        <w:t>The recommended dose is 75</w:t>
      </w:r>
      <w:r w:rsidRPr="00C65FFA">
        <w:rPr>
          <w:sz w:val="24"/>
          <w:szCs w:val="24"/>
          <w:lang w:val="en-US"/>
        </w:rPr>
        <w:noBreakHyphen/>
        <w:t>300 mg once daily.</w:t>
      </w:r>
    </w:p>
    <w:p w14:paraId="6AEB58CF" w14:textId="77777777" w:rsidR="007D6869" w:rsidRPr="00C65FFA" w:rsidRDefault="007D6869" w:rsidP="00AA51E1">
      <w:pPr>
        <w:ind w:left="851"/>
        <w:rPr>
          <w:sz w:val="24"/>
          <w:szCs w:val="24"/>
          <w:lang w:val="en-US"/>
        </w:rPr>
      </w:pPr>
    </w:p>
    <w:p w14:paraId="61BAF04A" w14:textId="33136472" w:rsidR="007D6869" w:rsidRPr="00C65FFA" w:rsidRDefault="00C65FFA" w:rsidP="00AA51E1">
      <w:pPr>
        <w:ind w:left="851"/>
        <w:rPr>
          <w:sz w:val="24"/>
          <w:szCs w:val="24"/>
          <w:lang w:val="en-US"/>
        </w:rPr>
      </w:pPr>
      <w:proofErr w:type="spellStart"/>
      <w:r w:rsidRPr="00C65FFA">
        <w:rPr>
          <w:sz w:val="24"/>
          <w:szCs w:val="24"/>
          <w:lang w:val="en-US"/>
        </w:rPr>
        <w:t>Anopyrin</w:t>
      </w:r>
      <w:proofErr w:type="spellEnd"/>
      <w:r w:rsidR="007D6869" w:rsidRPr="00C65FFA">
        <w:rPr>
          <w:sz w:val="24"/>
          <w:szCs w:val="24"/>
          <w:lang w:val="en-US"/>
        </w:rPr>
        <w:t xml:space="preserve"> should not be used at higher doses unless advised by a doctor. The dose should not exceed 300 mg a day.</w:t>
      </w:r>
    </w:p>
    <w:p w14:paraId="5BA120B8" w14:textId="77777777" w:rsidR="007D6869" w:rsidRPr="00C65FFA" w:rsidRDefault="007D6869" w:rsidP="00AA51E1">
      <w:pPr>
        <w:ind w:left="851"/>
        <w:rPr>
          <w:sz w:val="24"/>
          <w:szCs w:val="24"/>
          <w:lang w:val="en-US"/>
        </w:rPr>
      </w:pPr>
    </w:p>
    <w:p w14:paraId="4F712AE1" w14:textId="77777777" w:rsidR="007D6869" w:rsidRPr="00C65FFA" w:rsidRDefault="007D6869" w:rsidP="00AA51E1">
      <w:pPr>
        <w:ind w:left="851"/>
        <w:rPr>
          <w:i/>
          <w:sz w:val="24"/>
          <w:szCs w:val="24"/>
          <w:u w:val="single"/>
          <w:lang w:val="en-US"/>
        </w:rPr>
      </w:pPr>
      <w:r w:rsidRPr="00C65FFA">
        <w:rPr>
          <w:i/>
          <w:sz w:val="24"/>
          <w:szCs w:val="24"/>
          <w:u w:val="single"/>
          <w:lang w:val="en-US"/>
        </w:rPr>
        <w:t>Elderly</w:t>
      </w:r>
    </w:p>
    <w:p w14:paraId="4386D321" w14:textId="77777777" w:rsidR="007D6869" w:rsidRPr="00C65FFA" w:rsidRDefault="007D6869" w:rsidP="00AA51E1">
      <w:pPr>
        <w:ind w:left="851"/>
        <w:rPr>
          <w:sz w:val="24"/>
          <w:szCs w:val="24"/>
          <w:lang w:val="en-US"/>
        </w:rPr>
      </w:pPr>
      <w:r w:rsidRPr="00C65FFA">
        <w:rPr>
          <w:sz w:val="24"/>
          <w:szCs w:val="24"/>
          <w:lang w:val="en-US"/>
        </w:rPr>
        <w:t>In general, acetylsalicylic acid should be used with caution in elderly patients who are more prone to adverse events. The usual adult dose is recommended in the absence of severe renal or hepatic insufficiency (see sections 4.3 and 4.4). Treatment should be reviewed at regular intervals.</w:t>
      </w:r>
    </w:p>
    <w:p w14:paraId="265E6737" w14:textId="77777777" w:rsidR="007D6869" w:rsidRPr="00C65FFA" w:rsidRDefault="007D6869" w:rsidP="00AA51E1">
      <w:pPr>
        <w:ind w:left="851"/>
        <w:rPr>
          <w:sz w:val="24"/>
          <w:szCs w:val="24"/>
          <w:lang w:val="en-US"/>
        </w:rPr>
      </w:pPr>
    </w:p>
    <w:p w14:paraId="0EAA74BC" w14:textId="77777777" w:rsidR="007D6869" w:rsidRPr="00C65FFA" w:rsidRDefault="007D6869" w:rsidP="00AA51E1">
      <w:pPr>
        <w:ind w:left="851"/>
        <w:rPr>
          <w:i/>
          <w:sz w:val="24"/>
          <w:szCs w:val="24"/>
          <w:u w:val="single"/>
          <w:lang w:val="en-US"/>
        </w:rPr>
      </w:pPr>
      <w:r w:rsidRPr="00C65FFA">
        <w:rPr>
          <w:i/>
          <w:sz w:val="24"/>
          <w:szCs w:val="24"/>
          <w:u w:val="single"/>
          <w:lang w:val="en-US"/>
        </w:rPr>
        <w:t>Paediatric population</w:t>
      </w:r>
    </w:p>
    <w:p w14:paraId="3C4D1C46" w14:textId="77777777" w:rsidR="007D6869" w:rsidRPr="00C65FFA" w:rsidRDefault="007D6869" w:rsidP="00AA51E1">
      <w:pPr>
        <w:ind w:left="851"/>
        <w:rPr>
          <w:sz w:val="24"/>
          <w:szCs w:val="24"/>
          <w:lang w:val="en-US"/>
        </w:rPr>
      </w:pPr>
      <w:r w:rsidRPr="00C65FFA">
        <w:rPr>
          <w:sz w:val="24"/>
          <w:szCs w:val="24"/>
          <w:lang w:val="en-US"/>
        </w:rPr>
        <w:t>Acetylsalicylic acid should not be administered to children and adolescents younger than 16 years, except on medical advice where the benefit outweighs the risk (see section 4.4).</w:t>
      </w:r>
    </w:p>
    <w:p w14:paraId="75428A4F" w14:textId="77777777" w:rsidR="007D6869" w:rsidRPr="00C65FFA" w:rsidRDefault="007D6869" w:rsidP="00AA51E1">
      <w:pPr>
        <w:ind w:left="851"/>
        <w:rPr>
          <w:sz w:val="24"/>
          <w:szCs w:val="24"/>
          <w:lang w:val="en-US"/>
        </w:rPr>
      </w:pPr>
    </w:p>
    <w:p w14:paraId="14C0F396" w14:textId="77777777" w:rsidR="007D6869" w:rsidRPr="00C65FFA" w:rsidRDefault="007D6869" w:rsidP="00AA51E1">
      <w:pPr>
        <w:ind w:left="851"/>
        <w:rPr>
          <w:sz w:val="24"/>
          <w:szCs w:val="24"/>
          <w:u w:val="single"/>
          <w:lang w:val="en-US"/>
        </w:rPr>
      </w:pPr>
      <w:r w:rsidRPr="00C65FFA">
        <w:rPr>
          <w:sz w:val="24"/>
          <w:szCs w:val="24"/>
          <w:u w:val="single"/>
          <w:lang w:val="en-US"/>
        </w:rPr>
        <w:t>Method of administration</w:t>
      </w:r>
    </w:p>
    <w:p w14:paraId="494D70C6" w14:textId="77777777" w:rsidR="007D6869" w:rsidRPr="00C65FFA" w:rsidRDefault="007D6869" w:rsidP="00AA51E1">
      <w:pPr>
        <w:ind w:left="851"/>
        <w:rPr>
          <w:sz w:val="24"/>
          <w:szCs w:val="24"/>
          <w:lang w:val="en-US"/>
        </w:rPr>
      </w:pPr>
      <w:r w:rsidRPr="00C65FFA">
        <w:rPr>
          <w:sz w:val="24"/>
          <w:szCs w:val="24"/>
          <w:lang w:val="en-US"/>
        </w:rPr>
        <w:t>For oral use.</w:t>
      </w:r>
    </w:p>
    <w:p w14:paraId="3AEC2702" w14:textId="77777777" w:rsidR="007D6869" w:rsidRPr="00C65FFA" w:rsidRDefault="007D6869" w:rsidP="00AA51E1">
      <w:pPr>
        <w:ind w:left="851"/>
        <w:rPr>
          <w:sz w:val="24"/>
          <w:szCs w:val="24"/>
          <w:lang w:val="en-US"/>
        </w:rPr>
      </w:pPr>
      <w:r w:rsidRPr="00C65FFA">
        <w:rPr>
          <w:sz w:val="24"/>
          <w:szCs w:val="24"/>
          <w:lang w:val="en-US"/>
        </w:rPr>
        <w:t>The tablets should be swallowed whole with sufficient fluid (1/2 glass of water). Due to the gastro-resistant coating the tablets should not be crushed, broken or chewed because coating prevents irritant effects on the gut.</w:t>
      </w:r>
    </w:p>
    <w:p w14:paraId="10A151B8" w14:textId="77777777" w:rsidR="007D6869" w:rsidRPr="00C65FFA" w:rsidRDefault="007D6869" w:rsidP="00AA51E1">
      <w:pPr>
        <w:ind w:left="851"/>
        <w:rPr>
          <w:sz w:val="24"/>
          <w:szCs w:val="24"/>
          <w:lang w:val="en-US"/>
        </w:rPr>
      </w:pPr>
    </w:p>
    <w:p w14:paraId="17C8B917" w14:textId="77777777" w:rsidR="007D6869" w:rsidRPr="00C65FFA" w:rsidRDefault="007D6869" w:rsidP="00AA51E1">
      <w:pPr>
        <w:ind w:left="851"/>
        <w:rPr>
          <w:sz w:val="24"/>
          <w:szCs w:val="24"/>
          <w:u w:val="single"/>
          <w:lang w:val="en-US"/>
        </w:rPr>
      </w:pPr>
      <w:r w:rsidRPr="00C65FFA">
        <w:rPr>
          <w:sz w:val="24"/>
          <w:szCs w:val="24"/>
          <w:u w:val="single"/>
          <w:lang w:val="en-US"/>
        </w:rPr>
        <w:t>Duration of administration</w:t>
      </w:r>
    </w:p>
    <w:p w14:paraId="0A717882" w14:textId="77777777" w:rsidR="007D6869" w:rsidRPr="00C65FFA" w:rsidRDefault="007D6869" w:rsidP="00AA51E1">
      <w:pPr>
        <w:ind w:left="851"/>
        <w:rPr>
          <w:sz w:val="24"/>
          <w:szCs w:val="24"/>
          <w:lang w:val="en-US"/>
        </w:rPr>
      </w:pPr>
      <w:r w:rsidRPr="00C65FFA">
        <w:rPr>
          <w:sz w:val="24"/>
          <w:szCs w:val="24"/>
          <w:lang w:val="en-US"/>
        </w:rPr>
        <w:t>Long-term treatment with the lowest possible dose.</w:t>
      </w:r>
    </w:p>
    <w:p w14:paraId="04DCA98F" w14:textId="77777777" w:rsidR="007C5D2A" w:rsidRPr="00C65FFA" w:rsidRDefault="007C5D2A" w:rsidP="00A85D26">
      <w:pPr>
        <w:tabs>
          <w:tab w:val="left" w:pos="851"/>
        </w:tabs>
        <w:ind w:left="851"/>
        <w:rPr>
          <w:sz w:val="24"/>
          <w:szCs w:val="24"/>
          <w:lang w:val="en-GB"/>
        </w:rPr>
      </w:pPr>
    </w:p>
    <w:p w14:paraId="20617AF7"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lastRenderedPageBreak/>
        <w:t>4.3</w:t>
      </w:r>
      <w:r w:rsidRPr="00C65FFA">
        <w:rPr>
          <w:b/>
          <w:sz w:val="24"/>
          <w:szCs w:val="24"/>
          <w:lang w:val="en-GB"/>
        </w:rPr>
        <w:tab/>
        <w:t>Contraindications</w:t>
      </w:r>
    </w:p>
    <w:p w14:paraId="3D5C63DD"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bookmarkStart w:id="2" w:name="OLE_LINK5"/>
      <w:r w:rsidRPr="00C65FFA">
        <w:rPr>
          <w:rFonts w:ascii="Times New Roman" w:hAnsi="Times New Roman"/>
          <w:sz w:val="24"/>
          <w:szCs w:val="24"/>
          <w:lang w:val="en-GB"/>
        </w:rPr>
        <w:t>Hypersensitivity to salicylic acid compounds or NSAIDs and to any of the excipients listed in section 6.1.</w:t>
      </w:r>
    </w:p>
    <w:p w14:paraId="1C6FF503"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A history of asthma caused by salicylates or substances with a similar mechanism of action, especially NSAIDs.</w:t>
      </w:r>
    </w:p>
    <w:p w14:paraId="0E172D1D"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Acute gastrointestinal ulcers.</w:t>
      </w:r>
    </w:p>
    <w:p w14:paraId="2A2A6DC7"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A history of gastrointestinal bleeding or perforation (gastric or intestinal failure) caused by previous NSAID therapy.</w:t>
      </w:r>
    </w:p>
    <w:p w14:paraId="38C246A2"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Active or a history of recurrent gastric and duodenal ulcer/haemorrhage with episodes of ulceration or bleeding, or other kinds of bleeding such as cerebrovascular haemorrhages.</w:t>
      </w:r>
    </w:p>
    <w:p w14:paraId="101C7871"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Haemorrhagic diathesis; coagulation disorders such as haemophilia and thrombocytopenia.</w:t>
      </w:r>
    </w:p>
    <w:p w14:paraId="2F453462"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Severe hepatic impairment.</w:t>
      </w:r>
    </w:p>
    <w:p w14:paraId="0CF76953"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Severe renal impairment.</w:t>
      </w:r>
    </w:p>
    <w:p w14:paraId="0A9040D7"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Doses &gt; 100 mg/day during the third trimester of pregnancy (see section 4.6).</w:t>
      </w:r>
    </w:p>
    <w:p w14:paraId="5B14279C" w14:textId="77777777" w:rsidR="007D6869" w:rsidRPr="00C65FFA" w:rsidRDefault="007D6869" w:rsidP="007D0DEE">
      <w:pPr>
        <w:pStyle w:val="Listeafsnit"/>
        <w:numPr>
          <w:ilvl w:val="0"/>
          <w:numId w:val="5"/>
        </w:numPr>
        <w:ind w:left="1276" w:hanging="425"/>
        <w:contextualSpacing w:val="0"/>
        <w:rPr>
          <w:rFonts w:ascii="Times New Roman" w:hAnsi="Times New Roman"/>
          <w:sz w:val="24"/>
          <w:szCs w:val="24"/>
          <w:lang w:val="en-GB"/>
        </w:rPr>
      </w:pPr>
      <w:r w:rsidRPr="00C65FFA">
        <w:rPr>
          <w:rFonts w:ascii="Times New Roman" w:hAnsi="Times New Roman"/>
          <w:sz w:val="24"/>
          <w:szCs w:val="24"/>
          <w:lang w:val="en-GB"/>
        </w:rPr>
        <w:t>Methotrexate used at doses &gt; 15 mg/week (see section 4.5).</w:t>
      </w:r>
    </w:p>
    <w:bookmarkEnd w:id="2"/>
    <w:p w14:paraId="46E3482F" w14:textId="77777777" w:rsidR="007C5D2A" w:rsidRPr="00C65FFA" w:rsidRDefault="007C5D2A" w:rsidP="003E0341">
      <w:pPr>
        <w:tabs>
          <w:tab w:val="left" w:pos="851"/>
        </w:tabs>
        <w:ind w:left="851"/>
        <w:rPr>
          <w:sz w:val="24"/>
          <w:szCs w:val="24"/>
          <w:lang w:val="en-GB"/>
        </w:rPr>
      </w:pPr>
    </w:p>
    <w:p w14:paraId="185514B5" w14:textId="77777777" w:rsidR="007C5D2A" w:rsidRPr="00C65FFA" w:rsidRDefault="007C5D2A" w:rsidP="007C5D2A">
      <w:pPr>
        <w:tabs>
          <w:tab w:val="left" w:pos="851"/>
        </w:tabs>
        <w:rPr>
          <w:b/>
          <w:sz w:val="24"/>
          <w:szCs w:val="24"/>
          <w:lang w:val="en-GB"/>
        </w:rPr>
      </w:pPr>
      <w:r w:rsidRPr="00C65FFA">
        <w:rPr>
          <w:b/>
          <w:sz w:val="24"/>
          <w:szCs w:val="24"/>
          <w:lang w:val="en-GB"/>
        </w:rPr>
        <w:t>4.4</w:t>
      </w:r>
      <w:r w:rsidRPr="00C65FFA">
        <w:rPr>
          <w:b/>
          <w:sz w:val="24"/>
          <w:szCs w:val="24"/>
          <w:lang w:val="en-GB"/>
        </w:rPr>
        <w:tab/>
        <w:t>Special warnings and precautions for use</w:t>
      </w:r>
    </w:p>
    <w:p w14:paraId="18A2794E" w14:textId="77777777" w:rsidR="007D6869" w:rsidRPr="00C65FFA" w:rsidRDefault="007D6869" w:rsidP="007D0DEE">
      <w:pPr>
        <w:ind w:left="851"/>
        <w:rPr>
          <w:sz w:val="24"/>
          <w:szCs w:val="24"/>
          <w:lang w:val="en-US"/>
        </w:rPr>
      </w:pPr>
      <w:r w:rsidRPr="00C65FFA">
        <w:rPr>
          <w:sz w:val="24"/>
          <w:szCs w:val="24"/>
          <w:lang w:val="en-US"/>
        </w:rPr>
        <w:t>Acetylsalicylic acid is not suitable for use as an anti-inflammatory, analgesic or antipyretic.</w:t>
      </w:r>
    </w:p>
    <w:p w14:paraId="2C1459F0" w14:textId="77777777" w:rsidR="007D6869" w:rsidRPr="00C65FFA" w:rsidRDefault="007D6869" w:rsidP="007D0DEE">
      <w:pPr>
        <w:autoSpaceDE w:val="0"/>
        <w:autoSpaceDN w:val="0"/>
        <w:adjustRightInd w:val="0"/>
        <w:ind w:left="851"/>
        <w:rPr>
          <w:sz w:val="24"/>
          <w:szCs w:val="24"/>
          <w:lang w:val="en-US"/>
        </w:rPr>
      </w:pPr>
    </w:p>
    <w:p w14:paraId="23CB134C"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 xml:space="preserve">There is an increased risk of </w:t>
      </w:r>
      <w:proofErr w:type="spellStart"/>
      <w:r w:rsidRPr="00C65FFA">
        <w:rPr>
          <w:sz w:val="24"/>
          <w:szCs w:val="24"/>
          <w:lang w:val="en-US"/>
        </w:rPr>
        <w:t>haemorrhage</w:t>
      </w:r>
      <w:proofErr w:type="spellEnd"/>
      <w:r w:rsidRPr="00C65FFA">
        <w:rPr>
          <w:sz w:val="24"/>
          <w:szCs w:val="24"/>
          <w:lang w:val="en-US"/>
        </w:rPr>
        <w:t xml:space="preserve"> and prolongation of bleeding time particularly during or after surgery (even in cases of minor procedures, e.g. tooth extraction) because of the inhibitory effect on platelet aggregation of acetylsalicylic acid which persists for 4 – 8 days after administration. </w:t>
      </w:r>
    </w:p>
    <w:p w14:paraId="40B00C8C"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Use with caution before surgery, including tooth extraction. Temporary discontinuation of treatment may be necessary.</w:t>
      </w:r>
    </w:p>
    <w:p w14:paraId="3CDE2AB4"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Acetylsalicylic acid is not recommended during menorrhagia where it may increase menstrual bleeding.</w:t>
      </w:r>
    </w:p>
    <w:p w14:paraId="32191F0C"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 xml:space="preserve">Acetylsalicylic acid is to be used with caution in cases of hypertension and when patients have a past history of gastric or duodenal ulcer or </w:t>
      </w:r>
      <w:proofErr w:type="spellStart"/>
      <w:r w:rsidRPr="00C65FFA">
        <w:rPr>
          <w:sz w:val="24"/>
          <w:szCs w:val="24"/>
          <w:lang w:val="en-US"/>
        </w:rPr>
        <w:t>haemorrhagic</w:t>
      </w:r>
      <w:proofErr w:type="spellEnd"/>
      <w:r w:rsidRPr="00C65FFA">
        <w:rPr>
          <w:sz w:val="24"/>
          <w:szCs w:val="24"/>
          <w:lang w:val="en-US"/>
        </w:rPr>
        <w:t xml:space="preserve"> episodes or are undergoing therapy with anticoagulants.</w:t>
      </w:r>
    </w:p>
    <w:p w14:paraId="08C8D92B" w14:textId="77777777" w:rsidR="007D6869" w:rsidRPr="00C65FFA" w:rsidRDefault="007D6869" w:rsidP="007D0DEE">
      <w:pPr>
        <w:ind w:left="851"/>
        <w:rPr>
          <w:sz w:val="24"/>
          <w:szCs w:val="24"/>
          <w:lang w:val="en-US"/>
        </w:rPr>
      </w:pPr>
      <w:r w:rsidRPr="00C65FFA">
        <w:rPr>
          <w:sz w:val="24"/>
          <w:szCs w:val="24"/>
          <w:lang w:val="en-US"/>
        </w:rPr>
        <w:t>Patients should report any unusual bleeding symptoms to their physician. If gastrointestinal bleeding or ulceration occurs the treatment should be withdrawn.</w:t>
      </w:r>
    </w:p>
    <w:p w14:paraId="1C3FF6E1" w14:textId="77777777" w:rsidR="007D6869" w:rsidRPr="00C65FFA" w:rsidRDefault="007D6869" w:rsidP="007D0DEE">
      <w:pPr>
        <w:ind w:left="851"/>
        <w:rPr>
          <w:sz w:val="24"/>
          <w:szCs w:val="24"/>
          <w:lang w:val="en-US"/>
        </w:rPr>
      </w:pPr>
    </w:p>
    <w:p w14:paraId="5CEEC850" w14:textId="77777777" w:rsidR="007D6869" w:rsidRPr="00C65FFA" w:rsidRDefault="007D6869" w:rsidP="007D0DEE">
      <w:pPr>
        <w:ind w:left="851"/>
        <w:rPr>
          <w:sz w:val="24"/>
          <w:szCs w:val="24"/>
          <w:lang w:val="en-US"/>
        </w:rPr>
      </w:pPr>
      <w:r w:rsidRPr="00C65FFA">
        <w:rPr>
          <w:sz w:val="24"/>
          <w:szCs w:val="24"/>
          <w:lang w:val="en-US"/>
        </w:rPr>
        <w:t>Acetylsalicylic acid should be used with caution in patients with moderately impaired renal or hepatic function (contraindicated if severe, see section 4.3), or in patients who are dehydrated since the use of NSAIDs may result in deterioration of renal function. Liver function tests should be performed regularly in patients presenting slight or moderate hepatic insufficiency.</w:t>
      </w:r>
    </w:p>
    <w:p w14:paraId="4F879634" w14:textId="77777777" w:rsidR="007D6869" w:rsidRPr="00C65FFA" w:rsidRDefault="007D6869" w:rsidP="007D0DEE">
      <w:pPr>
        <w:ind w:left="851"/>
        <w:rPr>
          <w:sz w:val="24"/>
          <w:szCs w:val="24"/>
          <w:lang w:val="en-US"/>
        </w:rPr>
      </w:pPr>
    </w:p>
    <w:p w14:paraId="1F9A2D5F" w14:textId="77777777" w:rsidR="007D6869" w:rsidRPr="00C65FFA" w:rsidRDefault="007D6869" w:rsidP="007D0DEE">
      <w:pPr>
        <w:ind w:left="851"/>
        <w:rPr>
          <w:sz w:val="24"/>
          <w:szCs w:val="24"/>
          <w:lang w:val="en-US"/>
        </w:rPr>
      </w:pPr>
      <w:r w:rsidRPr="00C65FFA">
        <w:rPr>
          <w:sz w:val="24"/>
          <w:szCs w:val="24"/>
          <w:lang w:val="en-US"/>
        </w:rPr>
        <w:t>Acetylsalicylic acid may promote bronchospasm and asthma attacks or other hypersensitivity reactions. Risk factors are existing asthma, hay fever, nasal polyps or chronic respiratory diseases. The same applies for patients who also show allergic reaction to other substances (e.g. with skin reactions, itching or urticaria). Acetylsalicylic acid should not be used in patients with a history of asthma caused by salicylates or NSAIDs (see section 4.3).</w:t>
      </w:r>
    </w:p>
    <w:p w14:paraId="78CB5F3D" w14:textId="77777777" w:rsidR="007D6869" w:rsidRPr="00C65FFA" w:rsidRDefault="007D6869" w:rsidP="007D0DEE">
      <w:pPr>
        <w:ind w:left="851"/>
        <w:rPr>
          <w:sz w:val="24"/>
          <w:szCs w:val="24"/>
          <w:lang w:val="en-US"/>
        </w:rPr>
      </w:pPr>
    </w:p>
    <w:p w14:paraId="2D119D2C" w14:textId="6BFCB79D" w:rsidR="007D6869" w:rsidRPr="00C65FFA" w:rsidRDefault="007D6869" w:rsidP="007D0DEE">
      <w:pPr>
        <w:ind w:left="851"/>
        <w:rPr>
          <w:sz w:val="24"/>
          <w:szCs w:val="24"/>
          <w:lang w:val="en-US"/>
        </w:rPr>
      </w:pPr>
      <w:r w:rsidRPr="00C65FFA">
        <w:rPr>
          <w:sz w:val="24"/>
          <w:szCs w:val="24"/>
          <w:lang w:val="en-US"/>
        </w:rPr>
        <w:t xml:space="preserve">Serious skin reactions, including Stevens-Johnson syndrome, have rarely been reported in association with the use of acetylsalicylic acid (see section 4.8). The treatment with </w:t>
      </w:r>
      <w:proofErr w:type="spellStart"/>
      <w:r w:rsidR="00C65FFA" w:rsidRPr="00C65FFA">
        <w:rPr>
          <w:sz w:val="24"/>
          <w:szCs w:val="24"/>
          <w:lang w:val="en-US"/>
        </w:rPr>
        <w:lastRenderedPageBreak/>
        <w:t>Anopyrin</w:t>
      </w:r>
      <w:proofErr w:type="spellEnd"/>
      <w:r w:rsidRPr="00C65FFA">
        <w:rPr>
          <w:sz w:val="24"/>
          <w:szCs w:val="24"/>
          <w:lang w:val="en-US"/>
        </w:rPr>
        <w:t xml:space="preserve"> should be discontinued at the first appearance of skin rash, mucosal lesions, or any other sign of hypersensitivity.</w:t>
      </w:r>
    </w:p>
    <w:p w14:paraId="17C77E1F" w14:textId="77777777" w:rsidR="007D6869" w:rsidRPr="00C65FFA" w:rsidRDefault="007D6869" w:rsidP="007D0DEE">
      <w:pPr>
        <w:ind w:left="851"/>
        <w:rPr>
          <w:sz w:val="24"/>
          <w:szCs w:val="24"/>
          <w:lang w:val="en-US"/>
        </w:rPr>
      </w:pPr>
    </w:p>
    <w:p w14:paraId="5B3E3CA2" w14:textId="77777777" w:rsidR="007D6869" w:rsidRPr="00C65FFA" w:rsidRDefault="007D6869" w:rsidP="007D0DEE">
      <w:pPr>
        <w:ind w:left="851"/>
        <w:rPr>
          <w:sz w:val="24"/>
          <w:szCs w:val="24"/>
          <w:lang w:val="en-US"/>
        </w:rPr>
      </w:pPr>
      <w:r w:rsidRPr="00C65FFA">
        <w:rPr>
          <w:sz w:val="24"/>
          <w:szCs w:val="24"/>
          <w:lang w:val="en-US"/>
        </w:rPr>
        <w:t>Elderly patients are particularly susceptible to the adverse effects of NSAIDs and acetylsalicylic acid especially gastrointestinal bleeding and perforation which may be fatal (see section 4.2). Where prolonged therapy is required, these patients should be reviewed regularly.</w:t>
      </w:r>
    </w:p>
    <w:p w14:paraId="7DA8F6BA" w14:textId="77777777" w:rsidR="007D6869" w:rsidRPr="00C65FFA" w:rsidRDefault="007D6869" w:rsidP="007D0DEE">
      <w:pPr>
        <w:ind w:left="851"/>
        <w:rPr>
          <w:sz w:val="24"/>
          <w:szCs w:val="24"/>
          <w:lang w:val="en-US"/>
        </w:rPr>
      </w:pPr>
    </w:p>
    <w:p w14:paraId="560E42A4" w14:textId="77777777" w:rsidR="007D6869" w:rsidRPr="00C65FFA" w:rsidRDefault="007D6869" w:rsidP="007D0DEE">
      <w:pPr>
        <w:ind w:left="851"/>
        <w:rPr>
          <w:sz w:val="24"/>
          <w:szCs w:val="24"/>
          <w:lang w:val="en-US"/>
        </w:rPr>
      </w:pPr>
      <w:r w:rsidRPr="00C65FFA">
        <w:rPr>
          <w:sz w:val="24"/>
          <w:szCs w:val="24"/>
          <w:lang w:val="en-US"/>
        </w:rPr>
        <w:t xml:space="preserve">Concomitant treatment with acetylsalicylic acid and drugs that alter </w:t>
      </w:r>
      <w:proofErr w:type="spellStart"/>
      <w:r w:rsidRPr="00C65FFA">
        <w:rPr>
          <w:sz w:val="24"/>
          <w:szCs w:val="24"/>
          <w:lang w:val="en-US"/>
        </w:rPr>
        <w:t>haemostasis</w:t>
      </w:r>
      <w:proofErr w:type="spellEnd"/>
      <w:r w:rsidRPr="00C65FFA">
        <w:rPr>
          <w:sz w:val="24"/>
          <w:szCs w:val="24"/>
          <w:lang w:val="en-US"/>
        </w:rPr>
        <w:t xml:space="preserve"> (i.e. anticoagulants, thrombolytic agents, antiplatelet agents, anti-inflammatory drugs and selective serotonin reuptake inhibitors) is not recommended, unless strictly indicated, because they may enhance the risk of </w:t>
      </w:r>
      <w:proofErr w:type="spellStart"/>
      <w:r w:rsidRPr="00C65FFA">
        <w:rPr>
          <w:sz w:val="24"/>
          <w:szCs w:val="24"/>
          <w:lang w:val="en-US"/>
        </w:rPr>
        <w:t>haemorrhage</w:t>
      </w:r>
      <w:proofErr w:type="spellEnd"/>
      <w:r w:rsidRPr="00C65FFA">
        <w:rPr>
          <w:sz w:val="24"/>
          <w:szCs w:val="24"/>
          <w:lang w:val="en-US"/>
        </w:rPr>
        <w:t xml:space="preserve"> (see section 4.5). If the combination cannot be avoided, close observation for signs of bleeding and monitoring of bleeding time is recommended.</w:t>
      </w:r>
    </w:p>
    <w:p w14:paraId="7C1F7E31" w14:textId="77777777" w:rsidR="007D6869" w:rsidRPr="00C65FFA" w:rsidRDefault="007D6869" w:rsidP="007D0DEE">
      <w:pPr>
        <w:ind w:left="851"/>
        <w:rPr>
          <w:sz w:val="24"/>
          <w:szCs w:val="24"/>
          <w:lang w:val="en-US"/>
        </w:rPr>
      </w:pPr>
    </w:p>
    <w:p w14:paraId="5F391E3A" w14:textId="77777777" w:rsidR="007D6869" w:rsidRPr="00C65FFA" w:rsidRDefault="007D6869" w:rsidP="007D0DEE">
      <w:pPr>
        <w:ind w:left="851"/>
        <w:rPr>
          <w:sz w:val="24"/>
          <w:szCs w:val="24"/>
          <w:lang w:val="en-US"/>
        </w:rPr>
      </w:pPr>
      <w:r w:rsidRPr="00C65FFA">
        <w:rPr>
          <w:sz w:val="24"/>
          <w:szCs w:val="24"/>
          <w:lang w:val="en-US"/>
        </w:rPr>
        <w:t xml:space="preserve">Caution should be advised in patients receiving concomitant medications which could increase the risk of ulceration, such as oral corticosteroids, selective serotonin-reuptake inhibitors and </w:t>
      </w:r>
      <w:proofErr w:type="spellStart"/>
      <w:r w:rsidRPr="00C65FFA">
        <w:rPr>
          <w:sz w:val="24"/>
          <w:szCs w:val="24"/>
          <w:lang w:val="en-US"/>
        </w:rPr>
        <w:t>deferasirox</w:t>
      </w:r>
      <w:proofErr w:type="spellEnd"/>
      <w:r w:rsidRPr="00C65FFA">
        <w:rPr>
          <w:sz w:val="24"/>
          <w:szCs w:val="24"/>
          <w:lang w:val="en-US"/>
        </w:rPr>
        <w:t xml:space="preserve"> (see section 4.5).</w:t>
      </w:r>
    </w:p>
    <w:p w14:paraId="2D497DCC" w14:textId="77777777" w:rsidR="007D6869" w:rsidRPr="00C65FFA" w:rsidRDefault="007D6869" w:rsidP="007D0DEE">
      <w:pPr>
        <w:ind w:left="851"/>
        <w:rPr>
          <w:sz w:val="24"/>
          <w:szCs w:val="24"/>
          <w:lang w:val="en-US"/>
        </w:rPr>
      </w:pPr>
    </w:p>
    <w:p w14:paraId="776BD612" w14:textId="77777777" w:rsidR="007D6869" w:rsidRPr="00C65FFA" w:rsidRDefault="007D6869" w:rsidP="007D0DEE">
      <w:pPr>
        <w:ind w:left="851"/>
        <w:rPr>
          <w:sz w:val="24"/>
          <w:szCs w:val="24"/>
          <w:lang w:val="en-US"/>
        </w:rPr>
      </w:pPr>
      <w:r w:rsidRPr="00C65FFA">
        <w:rPr>
          <w:sz w:val="24"/>
          <w:szCs w:val="24"/>
          <w:lang w:val="en-US"/>
        </w:rPr>
        <w:t>The risk of GI bleeding could also be enhanced by alcohol (see section 4.5).</w:t>
      </w:r>
    </w:p>
    <w:p w14:paraId="7F005E01" w14:textId="77777777" w:rsidR="007D6869" w:rsidRPr="00C65FFA" w:rsidRDefault="007D6869" w:rsidP="007D0DEE">
      <w:pPr>
        <w:ind w:left="851"/>
        <w:rPr>
          <w:sz w:val="24"/>
          <w:szCs w:val="24"/>
          <w:lang w:val="en-US"/>
        </w:rPr>
      </w:pPr>
    </w:p>
    <w:p w14:paraId="4C235B1A" w14:textId="77777777" w:rsidR="007D6869" w:rsidRPr="00C65FFA" w:rsidRDefault="007D6869" w:rsidP="007D0DEE">
      <w:pPr>
        <w:ind w:left="851"/>
        <w:rPr>
          <w:sz w:val="24"/>
          <w:szCs w:val="24"/>
          <w:lang w:val="en-US"/>
        </w:rPr>
      </w:pPr>
      <w:r w:rsidRPr="00C65FFA">
        <w:rPr>
          <w:sz w:val="24"/>
          <w:szCs w:val="24"/>
          <w:lang w:val="en-US"/>
        </w:rPr>
        <w:t>Acetylsalicylic acid in low doses reduces uric acid excretion. Due to this fact, patients who tend to have reduced uric acid excretion may experience gout attacks (see sections 4.5 and 4.8).</w:t>
      </w:r>
    </w:p>
    <w:p w14:paraId="036ACF56" w14:textId="77777777" w:rsidR="007D6869" w:rsidRPr="00C65FFA" w:rsidRDefault="007D6869" w:rsidP="007D0DEE">
      <w:pPr>
        <w:ind w:left="851"/>
        <w:rPr>
          <w:sz w:val="24"/>
          <w:szCs w:val="24"/>
          <w:lang w:val="en-US"/>
        </w:rPr>
      </w:pPr>
    </w:p>
    <w:p w14:paraId="33A0D662" w14:textId="77777777" w:rsidR="007D6869" w:rsidRPr="00C65FFA" w:rsidRDefault="007D6869" w:rsidP="007D0DEE">
      <w:pPr>
        <w:ind w:left="851"/>
        <w:rPr>
          <w:sz w:val="24"/>
          <w:szCs w:val="24"/>
          <w:lang w:val="en-US"/>
        </w:rPr>
      </w:pPr>
      <w:r w:rsidRPr="00C65FFA">
        <w:rPr>
          <w:sz w:val="24"/>
          <w:szCs w:val="24"/>
          <w:lang w:val="en-US"/>
        </w:rPr>
        <w:t xml:space="preserve">The risk of </w:t>
      </w:r>
      <w:proofErr w:type="spellStart"/>
      <w:r w:rsidRPr="00C65FFA">
        <w:rPr>
          <w:sz w:val="24"/>
          <w:szCs w:val="24"/>
          <w:lang w:val="en-US"/>
        </w:rPr>
        <w:t>hypoglycaemic</w:t>
      </w:r>
      <w:proofErr w:type="spellEnd"/>
      <w:r w:rsidRPr="00C65FFA">
        <w:rPr>
          <w:sz w:val="24"/>
          <w:szCs w:val="24"/>
          <w:lang w:val="en-US"/>
        </w:rPr>
        <w:t xml:space="preserve"> effect with sulfonylureas and insulins may be potentiated with acetylsalicylic acid taken at overdosage (see section 4.5).</w:t>
      </w:r>
    </w:p>
    <w:p w14:paraId="3C4D33A9" w14:textId="77777777" w:rsidR="007D6869" w:rsidRPr="00C65FFA" w:rsidRDefault="007D6869" w:rsidP="007D0DEE">
      <w:pPr>
        <w:ind w:left="851"/>
        <w:rPr>
          <w:sz w:val="24"/>
          <w:szCs w:val="24"/>
          <w:lang w:val="en-US"/>
        </w:rPr>
      </w:pPr>
    </w:p>
    <w:p w14:paraId="78C3ADDD" w14:textId="77777777" w:rsidR="007D6869" w:rsidRPr="00C65FFA" w:rsidRDefault="007D6869" w:rsidP="007D0DEE">
      <w:pPr>
        <w:ind w:left="851"/>
        <w:rPr>
          <w:sz w:val="24"/>
          <w:szCs w:val="24"/>
          <w:lang w:val="en-US"/>
        </w:rPr>
      </w:pPr>
      <w:r w:rsidRPr="00C65FFA">
        <w:rPr>
          <w:sz w:val="24"/>
          <w:szCs w:val="24"/>
          <w:lang w:val="en-US"/>
        </w:rPr>
        <w:t>Acetylsalicylic acid should be used with caution in patients with glucose-6-phosphate dehydrogenase deficiency.</w:t>
      </w:r>
    </w:p>
    <w:p w14:paraId="05F1DE77" w14:textId="77777777" w:rsidR="007D6869" w:rsidRPr="00C65FFA" w:rsidRDefault="007D6869" w:rsidP="007D0DEE">
      <w:pPr>
        <w:ind w:left="851"/>
        <w:rPr>
          <w:sz w:val="24"/>
          <w:szCs w:val="24"/>
          <w:u w:val="single"/>
          <w:lang w:val="en-US"/>
        </w:rPr>
      </w:pPr>
    </w:p>
    <w:p w14:paraId="2AF0335A" w14:textId="77777777" w:rsidR="007D6869" w:rsidRPr="00C65FFA" w:rsidRDefault="007D6869" w:rsidP="007D0DEE">
      <w:pPr>
        <w:ind w:left="851"/>
        <w:rPr>
          <w:sz w:val="24"/>
          <w:szCs w:val="24"/>
          <w:u w:val="single"/>
          <w:lang w:val="en-US"/>
        </w:rPr>
      </w:pPr>
      <w:r w:rsidRPr="00C65FFA">
        <w:rPr>
          <w:sz w:val="24"/>
          <w:szCs w:val="24"/>
          <w:u w:val="single"/>
          <w:lang w:val="en-US"/>
        </w:rPr>
        <w:t>Paediatric population</w:t>
      </w:r>
    </w:p>
    <w:p w14:paraId="5BEEDF68" w14:textId="77777777" w:rsidR="007D6869" w:rsidRPr="00C65FFA" w:rsidRDefault="007D6869" w:rsidP="007D0DEE">
      <w:pPr>
        <w:ind w:left="851"/>
        <w:rPr>
          <w:sz w:val="24"/>
          <w:szCs w:val="24"/>
          <w:lang w:val="en-US"/>
        </w:rPr>
      </w:pPr>
      <w:r w:rsidRPr="00C65FFA">
        <w:rPr>
          <w:sz w:val="24"/>
          <w:szCs w:val="24"/>
          <w:lang w:val="en-US"/>
        </w:rPr>
        <w:t xml:space="preserve">Recommended for use in adults and adolescents from 16 years of age. This medicinal product is not recommended for use in adolescents/children under 16 years unless the expected benefits outweigh the risks. Acetylsalicylic acid may be a contributory factor in the causation of Reye’s syndrome in some children. Reye’s syndrome is a very rare disease which affects the brain and liver, and can be fatal. For this reason, children and adolescents under 16 years who have or are recovering from chicken pox or flu-like symptoms should not use this medicinal product. When using this product, if changes in </w:t>
      </w:r>
      <w:proofErr w:type="spellStart"/>
      <w:r w:rsidRPr="00C65FFA">
        <w:rPr>
          <w:sz w:val="24"/>
          <w:szCs w:val="24"/>
          <w:lang w:val="en-US"/>
        </w:rPr>
        <w:t>behaviour</w:t>
      </w:r>
      <w:proofErr w:type="spellEnd"/>
      <w:r w:rsidRPr="00C65FFA">
        <w:rPr>
          <w:sz w:val="24"/>
          <w:szCs w:val="24"/>
          <w:lang w:val="en-US"/>
        </w:rPr>
        <w:t xml:space="preserve"> with nausea and vomiting occur, the patient should consult a doctor because these symptoms could be an early sign of Reye’s syndrome, which requires immediate medical treatment.</w:t>
      </w:r>
    </w:p>
    <w:p w14:paraId="75FD7F35" w14:textId="77777777" w:rsidR="007D6869" w:rsidRPr="00C65FFA" w:rsidRDefault="007D6869" w:rsidP="007D0DEE">
      <w:pPr>
        <w:ind w:left="851"/>
        <w:rPr>
          <w:sz w:val="24"/>
          <w:szCs w:val="24"/>
          <w:lang w:val="en-US"/>
        </w:rPr>
      </w:pPr>
    </w:p>
    <w:p w14:paraId="1905F9B6" w14:textId="77777777" w:rsidR="007D6869" w:rsidRPr="00C65FFA" w:rsidRDefault="007D6869" w:rsidP="007D0DEE">
      <w:pPr>
        <w:ind w:left="851"/>
        <w:rPr>
          <w:sz w:val="24"/>
          <w:szCs w:val="24"/>
          <w:u w:val="single"/>
          <w:lang w:val="en-US"/>
        </w:rPr>
      </w:pPr>
      <w:r w:rsidRPr="00C65FFA">
        <w:rPr>
          <w:sz w:val="24"/>
          <w:szCs w:val="24"/>
          <w:u w:val="single"/>
          <w:lang w:val="en-US"/>
        </w:rPr>
        <w:t>Excipients</w:t>
      </w:r>
    </w:p>
    <w:p w14:paraId="15496C7F" w14:textId="77777777" w:rsidR="007D6869" w:rsidRPr="00C65FFA" w:rsidRDefault="007D6869" w:rsidP="007D0DEE">
      <w:pPr>
        <w:ind w:left="851"/>
        <w:rPr>
          <w:sz w:val="24"/>
          <w:szCs w:val="24"/>
          <w:lang w:val="en-US"/>
        </w:rPr>
      </w:pPr>
      <w:r w:rsidRPr="00C65FFA">
        <w:rPr>
          <w:sz w:val="24"/>
          <w:szCs w:val="24"/>
          <w:lang w:val="en-US"/>
        </w:rPr>
        <w:t>This medicinal product contains lactose. Patients with rare hereditary problems of galactose intolerance, total lactase deficiency or glucose-galactose malabsorption should not take this medicinal product.</w:t>
      </w:r>
    </w:p>
    <w:p w14:paraId="3C55773B" w14:textId="7009EDE6" w:rsidR="008D09CC" w:rsidRDefault="008D09CC">
      <w:pPr>
        <w:rPr>
          <w:sz w:val="24"/>
          <w:szCs w:val="24"/>
          <w:lang w:val="en-GB"/>
        </w:rPr>
      </w:pPr>
      <w:r>
        <w:rPr>
          <w:sz w:val="24"/>
          <w:szCs w:val="24"/>
          <w:lang w:val="en-GB"/>
        </w:rPr>
        <w:br w:type="page"/>
      </w:r>
    </w:p>
    <w:p w14:paraId="47F8799B" w14:textId="77777777" w:rsidR="007C5D2A" w:rsidRPr="00C65FFA" w:rsidRDefault="007C5D2A" w:rsidP="003E0341">
      <w:pPr>
        <w:tabs>
          <w:tab w:val="left" w:pos="851"/>
        </w:tabs>
        <w:ind w:left="851"/>
        <w:rPr>
          <w:sz w:val="24"/>
          <w:szCs w:val="24"/>
          <w:lang w:val="en-GB"/>
        </w:rPr>
      </w:pPr>
    </w:p>
    <w:p w14:paraId="35CBE142" w14:textId="77777777" w:rsidR="007C5D2A" w:rsidRPr="00C65FFA" w:rsidRDefault="007C5D2A" w:rsidP="007C5D2A">
      <w:pPr>
        <w:ind w:left="851" w:hanging="851"/>
        <w:rPr>
          <w:b/>
          <w:sz w:val="24"/>
          <w:szCs w:val="24"/>
          <w:lang w:val="en-GB"/>
        </w:rPr>
      </w:pPr>
      <w:r w:rsidRPr="00C65FFA">
        <w:rPr>
          <w:b/>
          <w:sz w:val="24"/>
          <w:szCs w:val="24"/>
          <w:lang w:val="en-GB"/>
        </w:rPr>
        <w:t>4.5</w:t>
      </w:r>
      <w:r w:rsidRPr="00C65FFA">
        <w:rPr>
          <w:b/>
          <w:sz w:val="24"/>
          <w:szCs w:val="24"/>
          <w:lang w:val="en-GB"/>
        </w:rPr>
        <w:tab/>
        <w:t>Interaction with other medicinal products and other forms of interaction</w:t>
      </w:r>
    </w:p>
    <w:p w14:paraId="70A6E489" w14:textId="77777777" w:rsidR="00C65FFA" w:rsidRDefault="00C65FFA" w:rsidP="007D0DEE">
      <w:pPr>
        <w:ind w:left="851"/>
        <w:rPr>
          <w:sz w:val="24"/>
          <w:szCs w:val="24"/>
          <w:lang w:val="en-GB"/>
        </w:rPr>
      </w:pPr>
    </w:p>
    <w:p w14:paraId="26B85908" w14:textId="2278000E" w:rsidR="007D6869" w:rsidRPr="00C65FFA" w:rsidRDefault="007D6869" w:rsidP="007D0DEE">
      <w:pPr>
        <w:ind w:left="851"/>
        <w:rPr>
          <w:sz w:val="24"/>
          <w:szCs w:val="24"/>
          <w:u w:val="single"/>
          <w:lang w:val="en-US"/>
        </w:rPr>
      </w:pPr>
      <w:r w:rsidRPr="00C65FFA">
        <w:rPr>
          <w:sz w:val="24"/>
          <w:szCs w:val="24"/>
          <w:u w:val="single"/>
          <w:lang w:val="en-US"/>
        </w:rPr>
        <w:t>Contraindicated combinations</w:t>
      </w:r>
    </w:p>
    <w:p w14:paraId="093C48A6" w14:textId="77777777" w:rsidR="007D6869" w:rsidRPr="00C65FFA" w:rsidRDefault="007D6869" w:rsidP="007D0DEE">
      <w:pPr>
        <w:ind w:left="851"/>
        <w:rPr>
          <w:i/>
          <w:sz w:val="24"/>
          <w:szCs w:val="24"/>
          <w:lang w:val="en-US"/>
        </w:rPr>
      </w:pPr>
      <w:r w:rsidRPr="00C65FFA">
        <w:rPr>
          <w:i/>
          <w:sz w:val="24"/>
          <w:szCs w:val="24"/>
          <w:lang w:val="en-US"/>
        </w:rPr>
        <w:t>Methotrexate (used at doses &gt; 15 mg/week)</w:t>
      </w:r>
    </w:p>
    <w:p w14:paraId="68BBB961" w14:textId="77777777" w:rsidR="007D6869" w:rsidRPr="00C65FFA" w:rsidRDefault="007D6869" w:rsidP="007D0DEE">
      <w:pPr>
        <w:ind w:left="851"/>
        <w:rPr>
          <w:i/>
          <w:sz w:val="24"/>
          <w:szCs w:val="24"/>
          <w:lang w:val="en-US"/>
        </w:rPr>
      </w:pPr>
      <w:r w:rsidRPr="00C65FFA">
        <w:rPr>
          <w:sz w:val="24"/>
          <w:szCs w:val="24"/>
          <w:lang w:val="en-US"/>
        </w:rPr>
        <w:t xml:space="preserve">The combined drugs, methotrexate and acetylsalicylic acid, enhance </w:t>
      </w:r>
      <w:proofErr w:type="spellStart"/>
      <w:r w:rsidRPr="00C65FFA">
        <w:rPr>
          <w:sz w:val="24"/>
          <w:szCs w:val="24"/>
          <w:lang w:val="en-US"/>
        </w:rPr>
        <w:t>haematological</w:t>
      </w:r>
      <w:proofErr w:type="spellEnd"/>
      <w:r w:rsidRPr="00C65FFA">
        <w:rPr>
          <w:sz w:val="24"/>
          <w:szCs w:val="24"/>
          <w:lang w:val="en-US"/>
        </w:rPr>
        <w:t xml:space="preserve"> toxicity of methotrexate due to the decreased renal clearance of methotrexate by acetylsalicylic acid. Therefore, the concomitant use of methotrexate (at doses &gt;15 mg/week) with acetylsalicylic acid is contraindicated (see section 4.3).</w:t>
      </w:r>
    </w:p>
    <w:p w14:paraId="04C3BD78" w14:textId="77777777" w:rsidR="007D6869" w:rsidRPr="00C65FFA" w:rsidRDefault="007D6869" w:rsidP="007D0DEE">
      <w:pPr>
        <w:ind w:left="851"/>
        <w:rPr>
          <w:sz w:val="24"/>
          <w:szCs w:val="24"/>
          <w:lang w:val="en-US"/>
        </w:rPr>
      </w:pPr>
    </w:p>
    <w:p w14:paraId="64486867" w14:textId="77777777" w:rsidR="007D6869" w:rsidRPr="00C65FFA" w:rsidRDefault="007D6869" w:rsidP="007D0DEE">
      <w:pPr>
        <w:ind w:left="851"/>
        <w:rPr>
          <w:sz w:val="24"/>
          <w:szCs w:val="24"/>
          <w:u w:val="single"/>
          <w:lang w:val="en-US"/>
        </w:rPr>
      </w:pPr>
      <w:r w:rsidRPr="00C65FFA">
        <w:rPr>
          <w:sz w:val="24"/>
          <w:szCs w:val="24"/>
          <w:u w:val="single"/>
          <w:lang w:val="en-US"/>
        </w:rPr>
        <w:t>Not recommended combinations</w:t>
      </w:r>
    </w:p>
    <w:p w14:paraId="48DA2005" w14:textId="77777777" w:rsidR="007D6869" w:rsidRPr="00C65FFA" w:rsidRDefault="007D6869" w:rsidP="007D0DEE">
      <w:pPr>
        <w:ind w:left="851"/>
        <w:rPr>
          <w:i/>
          <w:sz w:val="24"/>
          <w:szCs w:val="24"/>
          <w:lang w:val="en-US"/>
        </w:rPr>
      </w:pPr>
      <w:r w:rsidRPr="00C65FFA">
        <w:rPr>
          <w:i/>
          <w:sz w:val="24"/>
          <w:szCs w:val="24"/>
          <w:lang w:val="en-US"/>
        </w:rPr>
        <w:t>Uricosuric agents, e.g. probenecid, sulfinpyrazone</w:t>
      </w:r>
    </w:p>
    <w:p w14:paraId="730B292B" w14:textId="77777777" w:rsidR="007D6869" w:rsidRPr="00C65FFA" w:rsidRDefault="007D6869" w:rsidP="007D0DEE">
      <w:pPr>
        <w:ind w:left="851"/>
        <w:rPr>
          <w:sz w:val="24"/>
          <w:szCs w:val="24"/>
          <w:lang w:val="en-US"/>
        </w:rPr>
      </w:pPr>
      <w:r w:rsidRPr="00C65FFA">
        <w:rPr>
          <w:sz w:val="24"/>
          <w:szCs w:val="24"/>
          <w:lang w:val="en-US"/>
        </w:rPr>
        <w:t>Salicylates reverse the effect of probenecid and sulfinpyrazone due to inhibition of tubular resorption. The combination should be avoided.</w:t>
      </w:r>
    </w:p>
    <w:p w14:paraId="0E375028" w14:textId="77777777" w:rsidR="007D6869" w:rsidRPr="00C65FFA" w:rsidRDefault="007D6869" w:rsidP="007D0DEE">
      <w:pPr>
        <w:ind w:left="851"/>
        <w:rPr>
          <w:sz w:val="24"/>
          <w:szCs w:val="24"/>
          <w:lang w:val="en-US"/>
        </w:rPr>
      </w:pPr>
    </w:p>
    <w:p w14:paraId="7B0AD9FB" w14:textId="77777777" w:rsidR="007D6869" w:rsidRPr="00C65FFA" w:rsidRDefault="007D6869" w:rsidP="007D0DEE">
      <w:pPr>
        <w:ind w:left="851"/>
        <w:rPr>
          <w:sz w:val="24"/>
          <w:szCs w:val="24"/>
          <w:u w:val="single"/>
          <w:lang w:val="en-US"/>
        </w:rPr>
      </w:pPr>
      <w:r w:rsidRPr="00C65FFA">
        <w:rPr>
          <w:sz w:val="24"/>
          <w:szCs w:val="24"/>
          <w:u w:val="single"/>
          <w:lang w:val="en-US"/>
        </w:rPr>
        <w:t xml:space="preserve">Combinations requiring precautions for use or to be </w:t>
      </w:r>
      <w:proofErr w:type="gramStart"/>
      <w:r w:rsidRPr="00C65FFA">
        <w:rPr>
          <w:sz w:val="24"/>
          <w:szCs w:val="24"/>
          <w:u w:val="single"/>
          <w:lang w:val="en-US"/>
        </w:rPr>
        <w:t>taken into account</w:t>
      </w:r>
      <w:proofErr w:type="gramEnd"/>
    </w:p>
    <w:p w14:paraId="6A596F03" w14:textId="77777777" w:rsidR="007D6869" w:rsidRPr="00C65FFA" w:rsidRDefault="007D6869" w:rsidP="007D0DEE">
      <w:pPr>
        <w:ind w:left="851"/>
        <w:rPr>
          <w:sz w:val="24"/>
          <w:szCs w:val="24"/>
          <w:lang w:val="en-US"/>
        </w:rPr>
      </w:pPr>
      <w:r w:rsidRPr="00C65FFA">
        <w:rPr>
          <w:i/>
          <w:sz w:val="24"/>
          <w:szCs w:val="24"/>
          <w:lang w:val="en-US"/>
        </w:rPr>
        <w:t>Anticoagulants and thrombolytics</w:t>
      </w:r>
    </w:p>
    <w:p w14:paraId="0404B79C" w14:textId="77777777" w:rsidR="007D6869" w:rsidRPr="00C65FFA" w:rsidRDefault="007D6869" w:rsidP="007D0DEE">
      <w:pPr>
        <w:ind w:left="851"/>
        <w:rPr>
          <w:sz w:val="24"/>
          <w:szCs w:val="24"/>
          <w:lang w:val="en-US"/>
        </w:rPr>
      </w:pPr>
      <w:r w:rsidRPr="00C65FFA">
        <w:rPr>
          <w:sz w:val="24"/>
          <w:szCs w:val="24"/>
          <w:lang w:val="en-US"/>
        </w:rPr>
        <w:t>Acetylsalicylic acid may increase the effects of thrombolytic agents. Increased risk of bleeding due to inhibited thrombocyte function, injury of the duodenal mucosa and displacement of oral anticoagulants from their plasma protein binding sites. Patients that are treated concomitantly with acetylsalicylic acid and other antithrombotic agents should be carefully monitored for signs of bleeding and bleeding time (see section 4.4).</w:t>
      </w:r>
    </w:p>
    <w:p w14:paraId="44049644" w14:textId="77777777" w:rsidR="007D6869" w:rsidRPr="00C65FFA" w:rsidRDefault="007D6869" w:rsidP="007D0DEE">
      <w:pPr>
        <w:ind w:left="851"/>
        <w:rPr>
          <w:sz w:val="24"/>
          <w:szCs w:val="24"/>
          <w:lang w:val="en-US"/>
        </w:rPr>
      </w:pPr>
      <w:r w:rsidRPr="00C65FFA">
        <w:rPr>
          <w:sz w:val="24"/>
          <w:szCs w:val="24"/>
          <w:lang w:val="en-US"/>
        </w:rPr>
        <w:t xml:space="preserve">Particularly, treatment with acetylsalicylic acid should not be initiated within the first 24 hours after treatment with alteplase in acute stroke patients. </w:t>
      </w:r>
    </w:p>
    <w:p w14:paraId="7F058A30" w14:textId="77777777" w:rsidR="007D6869" w:rsidRPr="00C65FFA" w:rsidRDefault="007D6869" w:rsidP="007D0DEE">
      <w:pPr>
        <w:ind w:left="851"/>
        <w:rPr>
          <w:sz w:val="24"/>
          <w:szCs w:val="24"/>
          <w:lang w:val="en-US"/>
        </w:rPr>
      </w:pPr>
    </w:p>
    <w:p w14:paraId="12934B53" w14:textId="77777777" w:rsidR="007D6869" w:rsidRPr="00C65FFA" w:rsidRDefault="007D6869" w:rsidP="007D0DEE">
      <w:pPr>
        <w:ind w:left="851"/>
        <w:rPr>
          <w:i/>
          <w:sz w:val="24"/>
          <w:szCs w:val="24"/>
          <w:lang w:val="en-US"/>
        </w:rPr>
      </w:pPr>
      <w:r w:rsidRPr="00C65FFA">
        <w:rPr>
          <w:i/>
          <w:sz w:val="24"/>
          <w:szCs w:val="24"/>
          <w:lang w:val="en-US"/>
        </w:rPr>
        <w:t>Anti-platelet agents (e.g.</w:t>
      </w:r>
      <w:r w:rsidRPr="00C65FFA">
        <w:rPr>
          <w:i/>
          <w:sz w:val="24"/>
          <w:szCs w:val="24"/>
          <w:lang w:val="en-US" w:eastAsia="en-GB"/>
        </w:rPr>
        <w:t xml:space="preserve"> clopidogrel, ticlopidine, cilostazol and dipyridamole)</w:t>
      </w:r>
      <w:r w:rsidRPr="00C65FFA">
        <w:rPr>
          <w:i/>
          <w:sz w:val="24"/>
          <w:szCs w:val="24"/>
          <w:lang w:val="en-US"/>
        </w:rPr>
        <w:t xml:space="preserve"> and selective serotonin reuptake inhibitors (SSRIs; such as sertraline or paroxetine)</w:t>
      </w:r>
    </w:p>
    <w:p w14:paraId="37BD7A9B" w14:textId="77777777" w:rsidR="007D6869" w:rsidRPr="00C65FFA" w:rsidRDefault="007D6869" w:rsidP="007D0DEE">
      <w:pPr>
        <w:ind w:left="851"/>
        <w:rPr>
          <w:sz w:val="24"/>
          <w:szCs w:val="24"/>
          <w:lang w:val="en-US"/>
        </w:rPr>
      </w:pPr>
      <w:r w:rsidRPr="00C65FFA">
        <w:rPr>
          <w:sz w:val="24"/>
          <w:szCs w:val="24"/>
          <w:lang w:val="en-US"/>
        </w:rPr>
        <w:t>Increased risk of gastrointestinal bleeding (see section 4.4).</w:t>
      </w:r>
    </w:p>
    <w:p w14:paraId="7B1562C6" w14:textId="77777777" w:rsidR="007D6869" w:rsidRPr="00C65FFA" w:rsidRDefault="007D6869" w:rsidP="007D0DEE">
      <w:pPr>
        <w:ind w:left="851"/>
        <w:rPr>
          <w:sz w:val="24"/>
          <w:szCs w:val="24"/>
          <w:lang w:val="en-US"/>
        </w:rPr>
      </w:pPr>
    </w:p>
    <w:p w14:paraId="7E7B374B" w14:textId="77777777" w:rsidR="007D6869" w:rsidRPr="00C65FFA" w:rsidRDefault="007D6869" w:rsidP="007D0DEE">
      <w:pPr>
        <w:ind w:left="851"/>
        <w:rPr>
          <w:i/>
          <w:sz w:val="24"/>
          <w:szCs w:val="24"/>
          <w:lang w:val="en-US"/>
        </w:rPr>
      </w:pPr>
      <w:r w:rsidRPr="00C65FFA">
        <w:rPr>
          <w:i/>
          <w:sz w:val="24"/>
          <w:szCs w:val="24"/>
          <w:lang w:val="en-US"/>
        </w:rPr>
        <w:t xml:space="preserve">Antidiabetics, e.g. </w:t>
      </w:r>
      <w:proofErr w:type="spellStart"/>
      <w:r w:rsidRPr="00C65FFA">
        <w:rPr>
          <w:i/>
          <w:sz w:val="24"/>
          <w:szCs w:val="24"/>
          <w:lang w:val="en-US"/>
        </w:rPr>
        <w:t>sulphonylureas</w:t>
      </w:r>
      <w:proofErr w:type="spellEnd"/>
      <w:r w:rsidRPr="00C65FFA">
        <w:rPr>
          <w:i/>
          <w:sz w:val="24"/>
          <w:szCs w:val="24"/>
          <w:lang w:val="en-US"/>
        </w:rPr>
        <w:t xml:space="preserve"> and insulin</w:t>
      </w:r>
    </w:p>
    <w:p w14:paraId="580531B4" w14:textId="77777777" w:rsidR="007D6869" w:rsidRPr="00C65FFA" w:rsidRDefault="007D6869" w:rsidP="007D0DEE">
      <w:pPr>
        <w:ind w:left="851"/>
        <w:rPr>
          <w:sz w:val="24"/>
          <w:szCs w:val="24"/>
          <w:lang w:val="en-US"/>
        </w:rPr>
      </w:pPr>
      <w:r w:rsidRPr="00C65FFA">
        <w:rPr>
          <w:sz w:val="24"/>
          <w:szCs w:val="24"/>
          <w:lang w:val="en-US"/>
        </w:rPr>
        <w:t xml:space="preserve">Salicylates may increase the </w:t>
      </w:r>
      <w:proofErr w:type="spellStart"/>
      <w:r w:rsidRPr="00C65FFA">
        <w:rPr>
          <w:sz w:val="24"/>
          <w:szCs w:val="24"/>
          <w:lang w:val="en-US"/>
        </w:rPr>
        <w:t>hypoglycaemic</w:t>
      </w:r>
      <w:proofErr w:type="spellEnd"/>
      <w:r w:rsidRPr="00C65FFA">
        <w:rPr>
          <w:sz w:val="24"/>
          <w:szCs w:val="24"/>
          <w:lang w:val="en-US"/>
        </w:rPr>
        <w:t xml:space="preserve"> effect of antidiabetics. Thus, some downward re-adjustment of the dosage of the antidiabetic may be appropriate if large doses of salicylates are used. Increased blood glucose controls are recommended.</w:t>
      </w:r>
    </w:p>
    <w:p w14:paraId="5A50B12A" w14:textId="77777777" w:rsidR="007D6869" w:rsidRPr="00C65FFA" w:rsidRDefault="007D6869" w:rsidP="007D0DEE">
      <w:pPr>
        <w:ind w:left="851"/>
        <w:rPr>
          <w:i/>
          <w:sz w:val="24"/>
          <w:szCs w:val="24"/>
          <w:lang w:val="en-US"/>
        </w:rPr>
      </w:pPr>
    </w:p>
    <w:p w14:paraId="64A96BE0" w14:textId="77777777" w:rsidR="007D6869" w:rsidRPr="00C65FFA" w:rsidRDefault="007D6869" w:rsidP="007D0DEE">
      <w:pPr>
        <w:ind w:left="851"/>
        <w:rPr>
          <w:i/>
          <w:sz w:val="24"/>
          <w:szCs w:val="24"/>
          <w:lang w:val="en-US"/>
        </w:rPr>
      </w:pPr>
      <w:r w:rsidRPr="00C65FFA">
        <w:rPr>
          <w:i/>
          <w:sz w:val="24"/>
          <w:szCs w:val="24"/>
          <w:lang w:val="en-US"/>
        </w:rPr>
        <w:t>Digoxin and lithium</w:t>
      </w:r>
    </w:p>
    <w:p w14:paraId="529C657D" w14:textId="77777777" w:rsidR="007D6869" w:rsidRPr="00C65FFA" w:rsidRDefault="007D6869" w:rsidP="007D0DEE">
      <w:pPr>
        <w:ind w:left="851"/>
        <w:rPr>
          <w:sz w:val="24"/>
          <w:szCs w:val="24"/>
          <w:lang w:val="en-US"/>
        </w:rPr>
      </w:pPr>
      <w:r w:rsidRPr="00C65FFA">
        <w:rPr>
          <w:sz w:val="24"/>
          <w:szCs w:val="24"/>
          <w:lang w:val="en-US"/>
        </w:rPr>
        <w:t>Acetylsalicylic acid impairs the renal excretion of digoxin and lithium, resulting in increased plasma concentrations. Monitoring of plasma concentrations of digoxin and lithium is recommended when initiating and terminating treatment with acetylsalicylic acid. Dose adjustment may be necessary.</w:t>
      </w:r>
    </w:p>
    <w:p w14:paraId="54EE4294" w14:textId="77777777" w:rsidR="007D6869" w:rsidRPr="00C65FFA" w:rsidRDefault="007D6869" w:rsidP="007D0DEE">
      <w:pPr>
        <w:ind w:left="851"/>
        <w:rPr>
          <w:i/>
          <w:sz w:val="24"/>
          <w:szCs w:val="24"/>
          <w:lang w:val="en-US"/>
        </w:rPr>
      </w:pPr>
    </w:p>
    <w:p w14:paraId="537CFD42" w14:textId="77777777" w:rsidR="007D6869" w:rsidRPr="00C65FFA" w:rsidRDefault="007D6869" w:rsidP="007D0DEE">
      <w:pPr>
        <w:ind w:left="851"/>
        <w:rPr>
          <w:i/>
          <w:sz w:val="24"/>
          <w:szCs w:val="24"/>
          <w:lang w:val="en-US"/>
        </w:rPr>
      </w:pPr>
      <w:r w:rsidRPr="00C65FFA">
        <w:rPr>
          <w:i/>
          <w:sz w:val="24"/>
          <w:szCs w:val="24"/>
          <w:lang w:val="en-US"/>
        </w:rPr>
        <w:t>Diuretics and antihypertensives</w:t>
      </w:r>
    </w:p>
    <w:p w14:paraId="7D0CB07A" w14:textId="77777777" w:rsidR="007D6869" w:rsidRPr="00C65FFA" w:rsidRDefault="007D6869" w:rsidP="007D0DEE">
      <w:pPr>
        <w:ind w:left="851"/>
        <w:rPr>
          <w:bCs/>
          <w:iCs/>
          <w:sz w:val="24"/>
          <w:szCs w:val="24"/>
          <w:lang w:val="en-US"/>
        </w:rPr>
      </w:pPr>
      <w:r w:rsidRPr="00C65FFA">
        <w:rPr>
          <w:sz w:val="24"/>
          <w:szCs w:val="24"/>
          <w:lang w:val="en-US"/>
        </w:rPr>
        <w:t>NSAIDs may decrease the antihypertensive effects of diuretics and other antihypertensive agents. Blood pressure should be well monitored.</w:t>
      </w:r>
    </w:p>
    <w:p w14:paraId="6ADB40EA" w14:textId="77777777" w:rsidR="007D6869" w:rsidRPr="00C65FFA" w:rsidRDefault="007D6869" w:rsidP="007D0DEE">
      <w:pPr>
        <w:ind w:left="851"/>
        <w:rPr>
          <w:sz w:val="24"/>
          <w:szCs w:val="24"/>
          <w:lang w:val="en-US"/>
        </w:rPr>
      </w:pPr>
      <w:r w:rsidRPr="00C65FFA">
        <w:rPr>
          <w:sz w:val="24"/>
          <w:szCs w:val="24"/>
          <w:lang w:val="en-US"/>
        </w:rPr>
        <w:t>Concomitant use of acetylsalicylic acid with ACE inhibitors, angiotensin II receptor antagonists and calcium channel blockers could increase the risk of acute renal failure, especially at high acetylsalicylic acid doses. For such combination therapy, low-dose acetylsalicylic acid (≤ 100 mg daily) should be used.</w:t>
      </w:r>
    </w:p>
    <w:p w14:paraId="78562FF0" w14:textId="77777777" w:rsidR="007D6869" w:rsidRPr="00C65FFA" w:rsidRDefault="007D6869" w:rsidP="007D0DEE">
      <w:pPr>
        <w:ind w:left="851"/>
        <w:rPr>
          <w:sz w:val="24"/>
          <w:szCs w:val="24"/>
          <w:lang w:val="en-US"/>
        </w:rPr>
      </w:pPr>
    </w:p>
    <w:p w14:paraId="1D7A0FC9" w14:textId="77777777" w:rsidR="007D6869" w:rsidRPr="00C65FFA" w:rsidRDefault="007D6869" w:rsidP="007D0DEE">
      <w:pPr>
        <w:ind w:left="851"/>
        <w:rPr>
          <w:sz w:val="24"/>
          <w:szCs w:val="24"/>
          <w:lang w:val="en-US"/>
        </w:rPr>
      </w:pPr>
      <w:r w:rsidRPr="00C65FFA">
        <w:rPr>
          <w:sz w:val="24"/>
          <w:szCs w:val="24"/>
          <w:lang w:val="en-US"/>
        </w:rPr>
        <w:t>Loop diuretics: Risk of acute renal failure due to the decreased glomerular filtration via decreased renal prostaglandin synthesis. Hydrating the patient and monitoring renal function at the start of the treatment is recommended.</w:t>
      </w:r>
    </w:p>
    <w:p w14:paraId="6EBC66C3" w14:textId="77777777" w:rsidR="007D6869" w:rsidRPr="00C65FFA" w:rsidRDefault="007D6869" w:rsidP="007D0DEE">
      <w:pPr>
        <w:ind w:left="851"/>
        <w:rPr>
          <w:sz w:val="24"/>
          <w:szCs w:val="24"/>
          <w:lang w:val="en-US"/>
        </w:rPr>
      </w:pPr>
      <w:r w:rsidRPr="00C65FFA">
        <w:rPr>
          <w:sz w:val="24"/>
          <w:szCs w:val="24"/>
          <w:lang w:val="en-US"/>
        </w:rPr>
        <w:lastRenderedPageBreak/>
        <w:t>Patients concomitantly treated with verapamil and acetylsalicylic acid should be carefully monitored for signs of bleeding and bleeding time.</w:t>
      </w:r>
    </w:p>
    <w:p w14:paraId="4CBF3163" w14:textId="77777777" w:rsidR="007D6869" w:rsidRPr="00C65FFA" w:rsidRDefault="007D6869" w:rsidP="007D0DEE">
      <w:pPr>
        <w:ind w:left="851"/>
        <w:rPr>
          <w:sz w:val="24"/>
          <w:szCs w:val="24"/>
          <w:lang w:val="en-US"/>
        </w:rPr>
      </w:pPr>
    </w:p>
    <w:p w14:paraId="5DD68831" w14:textId="77777777" w:rsidR="007D6869" w:rsidRPr="00C65FFA" w:rsidRDefault="007D6869" w:rsidP="007D0DEE">
      <w:pPr>
        <w:ind w:left="851"/>
        <w:rPr>
          <w:i/>
          <w:sz w:val="24"/>
          <w:szCs w:val="24"/>
          <w:lang w:val="en-US"/>
        </w:rPr>
      </w:pPr>
      <w:r w:rsidRPr="00C65FFA">
        <w:rPr>
          <w:i/>
          <w:sz w:val="24"/>
          <w:szCs w:val="24"/>
          <w:lang w:val="en-US"/>
        </w:rPr>
        <w:t>Carbonic anhydrase inhibitors (acetazolamide)</w:t>
      </w:r>
    </w:p>
    <w:p w14:paraId="0A33A8DB" w14:textId="77777777" w:rsidR="007D6869" w:rsidRPr="00C65FFA" w:rsidRDefault="007D6869" w:rsidP="007D0DEE">
      <w:pPr>
        <w:ind w:left="851"/>
        <w:rPr>
          <w:sz w:val="24"/>
          <w:szCs w:val="24"/>
          <w:lang w:val="en-US"/>
        </w:rPr>
      </w:pPr>
      <w:r w:rsidRPr="00C65FFA">
        <w:rPr>
          <w:sz w:val="24"/>
          <w:szCs w:val="24"/>
          <w:lang w:val="en-US"/>
        </w:rPr>
        <w:t>May result in severe acidosis and increased central nervous system toxicity.</w:t>
      </w:r>
    </w:p>
    <w:p w14:paraId="7AE17FFE" w14:textId="77777777" w:rsidR="007D6869" w:rsidRPr="00C65FFA" w:rsidRDefault="007D6869" w:rsidP="007D0DEE">
      <w:pPr>
        <w:ind w:left="851"/>
        <w:rPr>
          <w:sz w:val="24"/>
          <w:szCs w:val="24"/>
          <w:lang w:val="en-US"/>
        </w:rPr>
      </w:pPr>
    </w:p>
    <w:p w14:paraId="37F83A72" w14:textId="77777777" w:rsidR="007D6869" w:rsidRPr="00C65FFA" w:rsidRDefault="007D6869" w:rsidP="007D0DEE">
      <w:pPr>
        <w:ind w:left="851"/>
        <w:rPr>
          <w:sz w:val="24"/>
          <w:szCs w:val="24"/>
          <w:lang w:val="en-US"/>
        </w:rPr>
      </w:pPr>
      <w:r w:rsidRPr="00C65FFA">
        <w:rPr>
          <w:i/>
          <w:sz w:val="24"/>
          <w:szCs w:val="24"/>
          <w:lang w:val="en-US"/>
        </w:rPr>
        <w:t>Systemic corticosteroids</w:t>
      </w:r>
    </w:p>
    <w:p w14:paraId="48E6F4F7" w14:textId="77777777" w:rsidR="007D6869" w:rsidRPr="00C65FFA" w:rsidRDefault="007D6869" w:rsidP="007D0DEE">
      <w:pPr>
        <w:ind w:left="851"/>
        <w:rPr>
          <w:sz w:val="24"/>
          <w:szCs w:val="24"/>
          <w:lang w:val="en-US"/>
        </w:rPr>
      </w:pPr>
      <w:r w:rsidRPr="00C65FFA">
        <w:rPr>
          <w:sz w:val="24"/>
          <w:szCs w:val="24"/>
          <w:lang w:val="en-US"/>
        </w:rPr>
        <w:t>The risk of gastrointestinal ulceration and bleeding may be increased when acetylsalicylic acid and corticosteroids are co-administered (see section 4.4).</w:t>
      </w:r>
    </w:p>
    <w:p w14:paraId="5F50817E" w14:textId="77777777" w:rsidR="007D6869" w:rsidRPr="00C65FFA" w:rsidRDefault="007D6869" w:rsidP="007D0DEE">
      <w:pPr>
        <w:ind w:left="851"/>
        <w:rPr>
          <w:sz w:val="24"/>
          <w:szCs w:val="24"/>
          <w:lang w:val="en-US"/>
        </w:rPr>
      </w:pPr>
    </w:p>
    <w:p w14:paraId="2E84AFD7" w14:textId="77777777" w:rsidR="007D6869" w:rsidRPr="00C65FFA" w:rsidRDefault="007D6869" w:rsidP="007D0DEE">
      <w:pPr>
        <w:ind w:left="851"/>
        <w:rPr>
          <w:i/>
          <w:sz w:val="24"/>
          <w:szCs w:val="24"/>
          <w:lang w:val="en-US"/>
        </w:rPr>
      </w:pPr>
      <w:r w:rsidRPr="00C65FFA">
        <w:rPr>
          <w:i/>
          <w:sz w:val="24"/>
          <w:szCs w:val="24"/>
          <w:lang w:val="en-US"/>
        </w:rPr>
        <w:t>Methotrexate (used at doses &lt; 15 mg/week)</w:t>
      </w:r>
    </w:p>
    <w:p w14:paraId="335AA89E" w14:textId="77777777" w:rsidR="007D6869" w:rsidRPr="00C65FFA" w:rsidRDefault="007D6869" w:rsidP="007D0DEE">
      <w:pPr>
        <w:ind w:left="851"/>
        <w:rPr>
          <w:sz w:val="24"/>
          <w:szCs w:val="24"/>
          <w:lang w:val="en-US"/>
        </w:rPr>
      </w:pPr>
      <w:r w:rsidRPr="00C65FFA">
        <w:rPr>
          <w:sz w:val="24"/>
          <w:szCs w:val="24"/>
          <w:lang w:val="en-US"/>
        </w:rPr>
        <w:t xml:space="preserve">The combined drugs, methotrexate and acetylsalicylic acid, may increase </w:t>
      </w:r>
      <w:proofErr w:type="spellStart"/>
      <w:r w:rsidRPr="00C65FFA">
        <w:rPr>
          <w:sz w:val="24"/>
          <w:szCs w:val="24"/>
          <w:lang w:val="en-US"/>
        </w:rPr>
        <w:t>haematological</w:t>
      </w:r>
      <w:proofErr w:type="spellEnd"/>
      <w:r w:rsidRPr="00C65FFA">
        <w:rPr>
          <w:sz w:val="24"/>
          <w:szCs w:val="24"/>
          <w:lang w:val="en-US"/>
        </w:rPr>
        <w:t xml:space="preserve"> toxicity of methotrexate due to decreased renal clearance of methotrexate by acetylsalicylic acid. Weekly blood count checks should be done during the first weeks of the combination. Enhanced monitoring should take place in the presence of even mildly impaired renal function, as well, as in elderly.</w:t>
      </w:r>
    </w:p>
    <w:p w14:paraId="38038340" w14:textId="77777777" w:rsidR="007D6869" w:rsidRPr="00C65FFA" w:rsidRDefault="007D6869" w:rsidP="007D0DEE">
      <w:pPr>
        <w:ind w:left="851"/>
        <w:rPr>
          <w:sz w:val="24"/>
          <w:szCs w:val="24"/>
          <w:lang w:val="en-US"/>
        </w:rPr>
      </w:pPr>
    </w:p>
    <w:p w14:paraId="79CEFD85" w14:textId="77777777" w:rsidR="007D6869" w:rsidRPr="00C65FFA" w:rsidRDefault="007D6869" w:rsidP="007D0DEE">
      <w:pPr>
        <w:ind w:left="851"/>
        <w:rPr>
          <w:i/>
          <w:sz w:val="24"/>
          <w:szCs w:val="24"/>
          <w:lang w:val="en-US"/>
        </w:rPr>
      </w:pPr>
      <w:r w:rsidRPr="00C65FFA">
        <w:rPr>
          <w:i/>
          <w:sz w:val="24"/>
          <w:szCs w:val="24"/>
          <w:lang w:val="en-US"/>
        </w:rPr>
        <w:t>Other NSAIDs</w:t>
      </w:r>
    </w:p>
    <w:p w14:paraId="14E0DE44" w14:textId="77777777" w:rsidR="007D6869" w:rsidRPr="00C65FFA" w:rsidRDefault="007D6869" w:rsidP="007D0DEE">
      <w:pPr>
        <w:ind w:left="851"/>
        <w:rPr>
          <w:sz w:val="24"/>
          <w:szCs w:val="24"/>
          <w:lang w:val="en-US"/>
        </w:rPr>
      </w:pPr>
      <w:r w:rsidRPr="00C65FFA">
        <w:rPr>
          <w:sz w:val="24"/>
          <w:szCs w:val="24"/>
          <w:lang w:val="en-US"/>
        </w:rPr>
        <w:t>Increased risk of ulcerations and gastrointestinal bleeding due to synergistic effects.</w:t>
      </w:r>
    </w:p>
    <w:p w14:paraId="11BB8F6D" w14:textId="77777777" w:rsidR="007D6869" w:rsidRPr="00C65FFA" w:rsidRDefault="007D6869" w:rsidP="007D0DEE">
      <w:pPr>
        <w:ind w:left="851"/>
        <w:rPr>
          <w:sz w:val="24"/>
          <w:szCs w:val="24"/>
          <w:lang w:val="en-US"/>
        </w:rPr>
      </w:pPr>
    </w:p>
    <w:p w14:paraId="637A0F54" w14:textId="77777777" w:rsidR="007D6869" w:rsidRPr="00DD202F" w:rsidRDefault="007D6869" w:rsidP="007D0DEE">
      <w:pPr>
        <w:ind w:left="851"/>
        <w:rPr>
          <w:i/>
          <w:sz w:val="24"/>
          <w:szCs w:val="24"/>
          <w:lang w:val="en-US"/>
        </w:rPr>
      </w:pPr>
      <w:r w:rsidRPr="00DD202F">
        <w:rPr>
          <w:i/>
          <w:sz w:val="24"/>
          <w:szCs w:val="24"/>
          <w:lang w:val="en-US"/>
        </w:rPr>
        <w:t>Ibuprofen</w:t>
      </w:r>
    </w:p>
    <w:p w14:paraId="5CAAF556" w14:textId="77777777" w:rsidR="007D6869" w:rsidRPr="00C65FFA" w:rsidRDefault="007D6869" w:rsidP="007D0DEE">
      <w:pPr>
        <w:ind w:left="851"/>
        <w:rPr>
          <w:sz w:val="24"/>
          <w:szCs w:val="24"/>
          <w:lang w:val="en-US" w:eastAsia="en-GB"/>
        </w:rPr>
      </w:pPr>
      <w:r w:rsidRPr="00C65FFA">
        <w:rPr>
          <w:sz w:val="24"/>
          <w:szCs w:val="24"/>
          <w:lang w:val="en-US" w:eastAsia="en-GB"/>
        </w:rPr>
        <w:t>Experimental data suggest that ibuprofen may inhibit the effect of low dose acetylsalicylic acid on platelet aggregation when they are dosed concomitantly. However, the limitations of these data and the uncertainties regarding extrapolation of ex vivo data to the clinical situation imply that no firm conclusions can be made for regular ibuprofen use, and no clinically relevant effect is considered to be likely for occasional ibuprofen use (see section 5.1).</w:t>
      </w:r>
    </w:p>
    <w:p w14:paraId="2592CCB2" w14:textId="77777777" w:rsidR="007D6869" w:rsidRPr="00C65FFA" w:rsidRDefault="007D6869" w:rsidP="007D0DEE">
      <w:pPr>
        <w:ind w:left="851"/>
        <w:rPr>
          <w:sz w:val="24"/>
          <w:szCs w:val="24"/>
          <w:lang w:val="en-US" w:eastAsia="en-GB"/>
        </w:rPr>
      </w:pPr>
    </w:p>
    <w:p w14:paraId="0BC38416" w14:textId="77777777" w:rsidR="007D6869" w:rsidRPr="00C65FFA" w:rsidRDefault="007D6869" w:rsidP="007D0DEE">
      <w:pPr>
        <w:ind w:left="851"/>
        <w:rPr>
          <w:i/>
          <w:sz w:val="24"/>
          <w:szCs w:val="24"/>
          <w:lang w:val="en-US" w:eastAsia="en-GB"/>
        </w:rPr>
      </w:pPr>
      <w:r w:rsidRPr="00C65FFA">
        <w:rPr>
          <w:i/>
          <w:sz w:val="24"/>
          <w:szCs w:val="24"/>
          <w:lang w:val="en-US" w:eastAsia="en-GB"/>
        </w:rPr>
        <w:t>Metamizole</w:t>
      </w:r>
    </w:p>
    <w:p w14:paraId="66AEF50A" w14:textId="77777777" w:rsidR="007D6869" w:rsidRPr="00C65FFA" w:rsidRDefault="007D6869" w:rsidP="007D0DEE">
      <w:pPr>
        <w:ind w:left="851"/>
        <w:rPr>
          <w:sz w:val="24"/>
          <w:szCs w:val="24"/>
          <w:lang w:val="en-US" w:eastAsia="en-GB"/>
        </w:rPr>
      </w:pPr>
      <w:r w:rsidRPr="00C65FFA">
        <w:rPr>
          <w:sz w:val="24"/>
          <w:szCs w:val="24"/>
          <w:lang w:val="en-US" w:eastAsia="en-GB"/>
        </w:rPr>
        <w:t xml:space="preserve">Metamizole may reduce the effect of acetylsalicylic acid on platelet aggregation when taken concomitantly. Therefore, this combination should be used with caution </w:t>
      </w:r>
      <w:r w:rsidRPr="00C65FFA">
        <w:rPr>
          <w:sz w:val="24"/>
          <w:szCs w:val="24"/>
          <w:lang w:val="en-US"/>
        </w:rPr>
        <w:t>in patients taking low dose acetylsalicylic acid for cardio protection</w:t>
      </w:r>
      <w:r w:rsidRPr="00C65FFA">
        <w:rPr>
          <w:sz w:val="24"/>
          <w:szCs w:val="24"/>
          <w:lang w:val="en-US" w:eastAsia="en-GB"/>
        </w:rPr>
        <w:t>.</w:t>
      </w:r>
    </w:p>
    <w:p w14:paraId="60FB718C" w14:textId="77777777" w:rsidR="007D6869" w:rsidRPr="00C65FFA" w:rsidRDefault="007D6869" w:rsidP="007D0DEE">
      <w:pPr>
        <w:ind w:left="851"/>
        <w:rPr>
          <w:sz w:val="24"/>
          <w:szCs w:val="24"/>
          <w:lang w:val="en-US" w:eastAsia="en-GB"/>
        </w:rPr>
      </w:pPr>
    </w:p>
    <w:p w14:paraId="293FFDCC" w14:textId="77777777" w:rsidR="007D6869" w:rsidRPr="00C65FFA" w:rsidRDefault="007D6869" w:rsidP="007D0DEE">
      <w:pPr>
        <w:ind w:left="851"/>
        <w:rPr>
          <w:i/>
          <w:sz w:val="24"/>
          <w:szCs w:val="24"/>
          <w:lang w:val="en-US" w:eastAsia="en-GB"/>
        </w:rPr>
      </w:pPr>
      <w:r w:rsidRPr="00C65FFA">
        <w:rPr>
          <w:i/>
          <w:sz w:val="24"/>
          <w:szCs w:val="24"/>
          <w:lang w:val="en-US" w:eastAsia="en-GB"/>
        </w:rPr>
        <w:t>Ciclosporin, tacrolimus</w:t>
      </w:r>
    </w:p>
    <w:p w14:paraId="16F85134" w14:textId="77777777" w:rsidR="007D6869" w:rsidRPr="00C65FFA" w:rsidRDefault="007D6869" w:rsidP="007D0DEE">
      <w:pPr>
        <w:ind w:left="851"/>
        <w:rPr>
          <w:sz w:val="24"/>
          <w:szCs w:val="24"/>
          <w:lang w:val="en-US" w:eastAsia="en-GB"/>
        </w:rPr>
      </w:pPr>
      <w:r w:rsidRPr="00C65FFA">
        <w:rPr>
          <w:sz w:val="24"/>
          <w:szCs w:val="24"/>
          <w:lang w:val="en-US" w:eastAsia="en-GB"/>
        </w:rPr>
        <w:t>Concomitant use of NSAIDs and ciclosporin or tacrolimus may increase the nephrotoxic effect of ciclosporin and tacrolimus. The renal function should be monitored in case of concomitant use of these agents and acetylsalicylic acid.</w:t>
      </w:r>
    </w:p>
    <w:p w14:paraId="4F50066A" w14:textId="77777777" w:rsidR="007D6869" w:rsidRPr="00C65FFA" w:rsidRDefault="007D6869" w:rsidP="007D0DEE">
      <w:pPr>
        <w:ind w:left="851"/>
        <w:rPr>
          <w:sz w:val="24"/>
          <w:szCs w:val="24"/>
          <w:lang w:val="en-US"/>
        </w:rPr>
      </w:pPr>
    </w:p>
    <w:p w14:paraId="4C12F822" w14:textId="77777777" w:rsidR="007D6869" w:rsidRPr="00C65FFA" w:rsidRDefault="007D6869" w:rsidP="007D0DEE">
      <w:pPr>
        <w:ind w:left="851"/>
        <w:rPr>
          <w:i/>
          <w:sz w:val="24"/>
          <w:szCs w:val="24"/>
          <w:lang w:val="en-US"/>
        </w:rPr>
      </w:pPr>
      <w:r w:rsidRPr="00C65FFA">
        <w:rPr>
          <w:i/>
          <w:sz w:val="24"/>
          <w:szCs w:val="24"/>
          <w:lang w:val="en-US"/>
        </w:rPr>
        <w:t>Valproate</w:t>
      </w:r>
    </w:p>
    <w:p w14:paraId="0EC61236" w14:textId="77777777" w:rsidR="007D6869" w:rsidRPr="00C65FFA" w:rsidRDefault="007D6869" w:rsidP="007D0DEE">
      <w:pPr>
        <w:ind w:left="851"/>
        <w:rPr>
          <w:sz w:val="24"/>
          <w:szCs w:val="24"/>
          <w:lang w:val="en-US"/>
        </w:rPr>
      </w:pPr>
      <w:r w:rsidRPr="00C65FFA">
        <w:rPr>
          <w:sz w:val="24"/>
          <w:szCs w:val="24"/>
          <w:lang w:val="en-US"/>
        </w:rPr>
        <w:t>Acetylsalicylic acid has been reported to decrease the binding of valproate to serum albumin, thereby increasing its free plasma concentrations at steady state. Valproate levels should be well monitored during concomitant administration.</w:t>
      </w:r>
    </w:p>
    <w:p w14:paraId="5FB55DA2" w14:textId="77777777" w:rsidR="007D6869" w:rsidRPr="00C65FFA" w:rsidRDefault="007D6869" w:rsidP="007D0DEE">
      <w:pPr>
        <w:ind w:left="851"/>
        <w:rPr>
          <w:sz w:val="24"/>
          <w:szCs w:val="24"/>
          <w:lang w:val="en-US"/>
        </w:rPr>
      </w:pPr>
    </w:p>
    <w:p w14:paraId="4BD5FCA6" w14:textId="77777777" w:rsidR="007D6869" w:rsidRPr="00C65FFA" w:rsidRDefault="007D6869" w:rsidP="007D0DEE">
      <w:pPr>
        <w:ind w:left="851"/>
        <w:rPr>
          <w:i/>
          <w:sz w:val="24"/>
          <w:szCs w:val="24"/>
          <w:lang w:val="en-US"/>
        </w:rPr>
      </w:pPr>
      <w:r w:rsidRPr="00C65FFA">
        <w:rPr>
          <w:i/>
          <w:sz w:val="24"/>
          <w:szCs w:val="24"/>
          <w:lang w:val="en-US"/>
        </w:rPr>
        <w:t>Phenytoin</w:t>
      </w:r>
    </w:p>
    <w:p w14:paraId="6B4A3C40" w14:textId="77777777" w:rsidR="007D6869" w:rsidRPr="00C65FFA" w:rsidRDefault="007D6869" w:rsidP="007D0DEE">
      <w:pPr>
        <w:ind w:left="851"/>
        <w:rPr>
          <w:sz w:val="24"/>
          <w:szCs w:val="24"/>
          <w:lang w:val="en-US"/>
        </w:rPr>
      </w:pPr>
      <w:r w:rsidRPr="00C65FFA">
        <w:rPr>
          <w:sz w:val="24"/>
          <w:szCs w:val="24"/>
          <w:lang w:val="en-US"/>
        </w:rPr>
        <w:t>Salicylate diminishes the binding of phenytoin to plasma albumin. This may lead to decreased total phenytoin levels in plasma, but increased free phenytoin fraction. The unbound concentration, and thereby the therapeutic effect, does not appear to be significantly altered.</w:t>
      </w:r>
    </w:p>
    <w:p w14:paraId="19F65C30" w14:textId="225DFC43" w:rsidR="008D09CC" w:rsidRDefault="008D09CC">
      <w:pPr>
        <w:rPr>
          <w:sz w:val="24"/>
          <w:szCs w:val="24"/>
          <w:lang w:val="en-US"/>
        </w:rPr>
      </w:pPr>
      <w:r>
        <w:rPr>
          <w:sz w:val="24"/>
          <w:szCs w:val="24"/>
          <w:lang w:val="en-US"/>
        </w:rPr>
        <w:br w:type="page"/>
      </w:r>
    </w:p>
    <w:p w14:paraId="0AA35EB9" w14:textId="77777777" w:rsidR="007D6869" w:rsidRPr="00C65FFA" w:rsidRDefault="007D6869" w:rsidP="007D0DEE">
      <w:pPr>
        <w:ind w:left="851"/>
        <w:rPr>
          <w:sz w:val="24"/>
          <w:szCs w:val="24"/>
          <w:lang w:val="en-US"/>
        </w:rPr>
      </w:pPr>
    </w:p>
    <w:p w14:paraId="1B3B5782" w14:textId="77777777" w:rsidR="007D6869" w:rsidRPr="00C65FFA" w:rsidRDefault="007D6869" w:rsidP="007D0DEE">
      <w:pPr>
        <w:ind w:left="851"/>
        <w:rPr>
          <w:i/>
          <w:sz w:val="24"/>
          <w:szCs w:val="24"/>
          <w:lang w:val="en-US"/>
        </w:rPr>
      </w:pPr>
      <w:r w:rsidRPr="00C65FFA">
        <w:rPr>
          <w:i/>
          <w:sz w:val="24"/>
          <w:szCs w:val="24"/>
          <w:lang w:val="en-US"/>
        </w:rPr>
        <w:t>Alcohol</w:t>
      </w:r>
    </w:p>
    <w:p w14:paraId="4E98E74C" w14:textId="77777777" w:rsidR="007D6869" w:rsidRPr="00C65FFA" w:rsidRDefault="007D6869" w:rsidP="007D0DEE">
      <w:pPr>
        <w:ind w:left="851"/>
        <w:rPr>
          <w:rStyle w:val="longtext1"/>
          <w:sz w:val="24"/>
          <w:szCs w:val="24"/>
          <w:lang w:val="en-US"/>
        </w:rPr>
      </w:pPr>
      <w:r w:rsidRPr="00C65FFA">
        <w:rPr>
          <w:rStyle w:val="longtext1"/>
          <w:sz w:val="24"/>
          <w:szCs w:val="24"/>
          <w:lang w:val="en-US"/>
        </w:rPr>
        <w:t>Concomitant administration of alcohol and acetylsalicylic acid increases the risk of gastrointestinal bleeding.</w:t>
      </w:r>
    </w:p>
    <w:p w14:paraId="742BEFE8" w14:textId="77777777" w:rsidR="007C5D2A" w:rsidRPr="00C65FFA" w:rsidRDefault="007C5D2A" w:rsidP="003E0341">
      <w:pPr>
        <w:tabs>
          <w:tab w:val="left" w:pos="851"/>
        </w:tabs>
        <w:ind w:left="851"/>
        <w:rPr>
          <w:sz w:val="24"/>
          <w:szCs w:val="24"/>
          <w:lang w:val="en-GB"/>
        </w:rPr>
      </w:pPr>
    </w:p>
    <w:p w14:paraId="549F7B29"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t>4.6</w:t>
      </w:r>
      <w:r w:rsidRPr="00C65FFA">
        <w:rPr>
          <w:b/>
          <w:sz w:val="24"/>
          <w:szCs w:val="24"/>
          <w:lang w:val="en-GB"/>
        </w:rPr>
        <w:tab/>
      </w:r>
      <w:r w:rsidR="004860D3" w:rsidRPr="00C65FFA">
        <w:rPr>
          <w:b/>
          <w:sz w:val="24"/>
          <w:szCs w:val="24"/>
          <w:lang w:val="en-GB"/>
        </w:rPr>
        <w:t>Fertility, p</w:t>
      </w:r>
      <w:r w:rsidRPr="00C65FFA">
        <w:rPr>
          <w:b/>
          <w:sz w:val="24"/>
          <w:szCs w:val="24"/>
          <w:lang w:val="en-GB"/>
        </w:rPr>
        <w:t>regnancy and lactation</w:t>
      </w:r>
    </w:p>
    <w:p w14:paraId="3545D719" w14:textId="77777777" w:rsidR="00C65FFA" w:rsidRDefault="00C65FFA" w:rsidP="007D0DEE">
      <w:pPr>
        <w:ind w:left="851"/>
        <w:rPr>
          <w:sz w:val="24"/>
          <w:szCs w:val="24"/>
          <w:lang w:val="en-US"/>
        </w:rPr>
      </w:pPr>
    </w:p>
    <w:p w14:paraId="039BB8B7" w14:textId="4D9A5899" w:rsidR="007D6869" w:rsidRPr="00C65FFA" w:rsidRDefault="007D6869" w:rsidP="007D0DEE">
      <w:pPr>
        <w:ind w:left="851"/>
        <w:rPr>
          <w:sz w:val="24"/>
          <w:szCs w:val="24"/>
          <w:u w:val="single"/>
          <w:lang w:val="en-US"/>
        </w:rPr>
      </w:pPr>
      <w:r w:rsidRPr="00C65FFA">
        <w:rPr>
          <w:sz w:val="24"/>
          <w:szCs w:val="24"/>
          <w:u w:val="single"/>
          <w:lang w:val="en-US"/>
        </w:rPr>
        <w:t>Pregnancy</w:t>
      </w:r>
    </w:p>
    <w:p w14:paraId="0809E5C1" w14:textId="77777777" w:rsidR="007D6869" w:rsidRPr="00C65FFA" w:rsidRDefault="007D6869" w:rsidP="007D0DEE">
      <w:pPr>
        <w:ind w:left="851"/>
        <w:rPr>
          <w:i/>
          <w:sz w:val="24"/>
          <w:szCs w:val="24"/>
          <w:lang w:val="en-US"/>
        </w:rPr>
      </w:pPr>
      <w:r w:rsidRPr="00C65FFA">
        <w:rPr>
          <w:i/>
          <w:sz w:val="24"/>
          <w:szCs w:val="24"/>
          <w:lang w:val="en-US"/>
        </w:rPr>
        <w:t>Low doses (up to 100 mg/day)</w:t>
      </w:r>
    </w:p>
    <w:p w14:paraId="7EBFC319" w14:textId="77777777" w:rsidR="007D6869" w:rsidRPr="00C65FFA" w:rsidRDefault="007D6869" w:rsidP="007D0DEE">
      <w:pPr>
        <w:ind w:left="851"/>
        <w:rPr>
          <w:sz w:val="24"/>
          <w:szCs w:val="24"/>
          <w:lang w:val="en-US"/>
        </w:rPr>
      </w:pPr>
      <w:r w:rsidRPr="00C65FFA">
        <w:rPr>
          <w:sz w:val="24"/>
          <w:szCs w:val="24"/>
          <w:lang w:val="en-US"/>
        </w:rPr>
        <w:t xml:space="preserve">Clinical studies indicate that doses up to 100 mg/day for restricted obstetrical use, which require </w:t>
      </w:r>
      <w:proofErr w:type="spellStart"/>
      <w:r w:rsidRPr="00C65FFA">
        <w:rPr>
          <w:sz w:val="24"/>
          <w:szCs w:val="24"/>
          <w:lang w:val="en-US"/>
        </w:rPr>
        <w:t>specialised</w:t>
      </w:r>
      <w:proofErr w:type="spellEnd"/>
      <w:r w:rsidRPr="00C65FFA">
        <w:rPr>
          <w:sz w:val="24"/>
          <w:szCs w:val="24"/>
          <w:lang w:val="en-US"/>
        </w:rPr>
        <w:t xml:space="preserve"> monitoring, appear safe.</w:t>
      </w:r>
    </w:p>
    <w:p w14:paraId="1DAC99CF" w14:textId="77777777" w:rsidR="007D6869" w:rsidRPr="00C65FFA" w:rsidRDefault="007D6869" w:rsidP="007D0DEE">
      <w:pPr>
        <w:ind w:left="851"/>
        <w:rPr>
          <w:i/>
          <w:sz w:val="24"/>
          <w:szCs w:val="24"/>
          <w:lang w:val="en-US"/>
        </w:rPr>
      </w:pPr>
    </w:p>
    <w:p w14:paraId="01955A44" w14:textId="77777777" w:rsidR="007D6869" w:rsidRPr="00C65FFA" w:rsidRDefault="007D6869" w:rsidP="007D0DEE">
      <w:pPr>
        <w:ind w:left="851"/>
        <w:rPr>
          <w:i/>
          <w:sz w:val="24"/>
          <w:szCs w:val="24"/>
          <w:lang w:val="en-US"/>
        </w:rPr>
      </w:pPr>
      <w:r w:rsidRPr="00C65FFA">
        <w:rPr>
          <w:i/>
          <w:sz w:val="24"/>
          <w:szCs w:val="24"/>
          <w:lang w:val="en-US"/>
        </w:rPr>
        <w:t>Doses of 100</w:t>
      </w:r>
      <w:r w:rsidRPr="00C65FFA">
        <w:rPr>
          <w:i/>
          <w:sz w:val="24"/>
          <w:szCs w:val="24"/>
          <w:lang w:val="en-US"/>
        </w:rPr>
        <w:noBreakHyphen/>
        <w:t>500 mg/day</w:t>
      </w:r>
    </w:p>
    <w:p w14:paraId="59B4A1CB" w14:textId="77777777" w:rsidR="007D6869" w:rsidRPr="00C65FFA" w:rsidRDefault="007D6869" w:rsidP="007D0DEE">
      <w:pPr>
        <w:ind w:left="851"/>
        <w:rPr>
          <w:sz w:val="24"/>
          <w:szCs w:val="24"/>
          <w:lang w:val="en-US"/>
        </w:rPr>
      </w:pPr>
      <w:r w:rsidRPr="00C65FFA">
        <w:rPr>
          <w:sz w:val="24"/>
          <w:szCs w:val="24"/>
          <w:lang w:val="en-US"/>
        </w:rPr>
        <w:t xml:space="preserve">There is insufficient clinical experience regarding the use of doses above 100 mg/day up to 500 mg/day. Therefore, the recommendations below for doses of 500 mg/day and above apply also for this dose range. </w:t>
      </w:r>
    </w:p>
    <w:p w14:paraId="01AFC058" w14:textId="77777777" w:rsidR="007D6869" w:rsidRPr="00C65FFA" w:rsidRDefault="007D6869" w:rsidP="007D0DEE">
      <w:pPr>
        <w:ind w:left="851"/>
        <w:rPr>
          <w:i/>
          <w:sz w:val="24"/>
          <w:szCs w:val="24"/>
          <w:lang w:val="en-US"/>
        </w:rPr>
      </w:pPr>
    </w:p>
    <w:p w14:paraId="4E729582" w14:textId="77777777" w:rsidR="007D6869" w:rsidRPr="00C65FFA" w:rsidRDefault="007D6869" w:rsidP="007D0DEE">
      <w:pPr>
        <w:ind w:left="851"/>
        <w:rPr>
          <w:i/>
          <w:sz w:val="24"/>
          <w:szCs w:val="24"/>
          <w:lang w:val="en-US"/>
        </w:rPr>
      </w:pPr>
      <w:r w:rsidRPr="00C65FFA">
        <w:rPr>
          <w:i/>
          <w:sz w:val="24"/>
          <w:szCs w:val="24"/>
          <w:lang w:val="en-US"/>
        </w:rPr>
        <w:t>Doses of 500 mg/day and above</w:t>
      </w:r>
    </w:p>
    <w:p w14:paraId="1CDE7625" w14:textId="77777777" w:rsidR="007D6869" w:rsidRPr="00C65FFA" w:rsidRDefault="007D6869" w:rsidP="007D0DEE">
      <w:pPr>
        <w:ind w:left="851"/>
        <w:rPr>
          <w:sz w:val="24"/>
          <w:szCs w:val="24"/>
          <w:lang w:val="en-US"/>
        </w:rPr>
      </w:pPr>
      <w:r w:rsidRPr="00C65FFA">
        <w:rPr>
          <w:sz w:val="24"/>
          <w:szCs w:val="24"/>
          <w:lang w:val="en-US"/>
        </w:rPr>
        <w:t>Inhibition of prostaglandin synthesis may adversely affect the pregnancy and/or the embryo/</w:t>
      </w:r>
      <w:proofErr w:type="spellStart"/>
      <w:r w:rsidRPr="00C65FFA">
        <w:rPr>
          <w:sz w:val="24"/>
          <w:szCs w:val="24"/>
          <w:lang w:val="en-US"/>
        </w:rPr>
        <w:t>foetal</w:t>
      </w:r>
      <w:proofErr w:type="spellEnd"/>
      <w:r w:rsidRPr="00C65FFA">
        <w:rPr>
          <w:sz w:val="24"/>
          <w:szCs w:val="24"/>
          <w:lang w:val="en-US"/>
        </w:rPr>
        <w:t xml:space="preserve"> development. Data from epidemiological studies suggest an increased risk of miscarriage and of cardiac malformation and gastroschisis after use of a prostaglandin synthesis inhibitor in early pregnancy. The absolute risk for cardiovascular malformation was increased from less than 1%, up to approximately 1.5%. The risk is believed to increase with dose and duration of therapy. In animals, administration of a prostaglandin synthesis inhibitor has been shown to result in increased pre- and post-implantation loss and embryo-</w:t>
      </w:r>
      <w:proofErr w:type="spellStart"/>
      <w:r w:rsidRPr="00C65FFA">
        <w:rPr>
          <w:sz w:val="24"/>
          <w:szCs w:val="24"/>
          <w:lang w:val="en-US"/>
        </w:rPr>
        <w:t>foetal</w:t>
      </w:r>
      <w:proofErr w:type="spellEnd"/>
      <w:r w:rsidRPr="00C65FFA">
        <w:rPr>
          <w:sz w:val="24"/>
          <w:szCs w:val="24"/>
          <w:lang w:val="en-US"/>
        </w:rPr>
        <w:t xml:space="preserve"> lethality. In addition, increased incidences of various malformations, including cardiovascular, have been reported in animals given a prostaglandin synthesis inhibitor during the organogenetic period. During the first and second trimester of pregnancy, acetylsalicylic acid should not be given unless clearly necessary. If acetylsalicylic acid is used by a woman attempting to conceive, or during the first and second trimester of pregnancy, the dose should be kept as low and duration of treatment as short as possible. </w:t>
      </w:r>
    </w:p>
    <w:p w14:paraId="1D6732B9" w14:textId="77777777" w:rsidR="007D6869" w:rsidRPr="00C65FFA" w:rsidRDefault="007D6869" w:rsidP="007D0DEE">
      <w:pPr>
        <w:ind w:left="851"/>
        <w:rPr>
          <w:sz w:val="24"/>
          <w:szCs w:val="24"/>
          <w:lang w:val="en-US"/>
        </w:rPr>
      </w:pPr>
      <w:r w:rsidRPr="00C65FFA">
        <w:rPr>
          <w:sz w:val="24"/>
          <w:szCs w:val="24"/>
          <w:lang w:val="en-US"/>
        </w:rPr>
        <w:t>During the third trimester of pregnancy, all prostaglandin synthesis inhibitors may expose the </w:t>
      </w:r>
      <w:proofErr w:type="spellStart"/>
      <w:r w:rsidRPr="00C65FFA">
        <w:rPr>
          <w:sz w:val="24"/>
          <w:szCs w:val="24"/>
          <w:lang w:val="en-US"/>
        </w:rPr>
        <w:t>foetus</w:t>
      </w:r>
      <w:proofErr w:type="spellEnd"/>
      <w:r w:rsidRPr="00C65FFA">
        <w:rPr>
          <w:sz w:val="24"/>
          <w:szCs w:val="24"/>
          <w:lang w:val="en-US"/>
        </w:rPr>
        <w:t xml:space="preserve"> to</w:t>
      </w:r>
    </w:p>
    <w:p w14:paraId="1B11AF69" w14:textId="710E75A8" w:rsidR="007D6869" w:rsidRPr="00C65FFA" w:rsidRDefault="007D6869" w:rsidP="00C65FFA">
      <w:pPr>
        <w:pStyle w:val="Listeafsnit"/>
        <w:numPr>
          <w:ilvl w:val="0"/>
          <w:numId w:val="6"/>
        </w:numPr>
        <w:ind w:left="1276" w:hanging="425"/>
        <w:rPr>
          <w:rFonts w:ascii="Times New Roman" w:hAnsi="Times New Roman"/>
          <w:sz w:val="24"/>
          <w:szCs w:val="24"/>
          <w:lang w:val="en-GB"/>
        </w:rPr>
      </w:pPr>
      <w:r w:rsidRPr="00C65FFA">
        <w:rPr>
          <w:rFonts w:ascii="Times New Roman" w:hAnsi="Times New Roman"/>
          <w:sz w:val="24"/>
          <w:szCs w:val="24"/>
          <w:lang w:val="en-GB"/>
        </w:rPr>
        <w:t>cardiopulmonary toxicity (with premature closure of the ductus arteriosus and pulmonary hypertension).</w:t>
      </w:r>
    </w:p>
    <w:p w14:paraId="10831E92" w14:textId="66E98491" w:rsidR="007D6869" w:rsidRPr="00C65FFA" w:rsidRDefault="007D6869" w:rsidP="00C65FFA">
      <w:pPr>
        <w:pStyle w:val="Listeafsnit"/>
        <w:numPr>
          <w:ilvl w:val="0"/>
          <w:numId w:val="6"/>
        </w:numPr>
        <w:ind w:left="1276" w:hanging="425"/>
        <w:rPr>
          <w:rFonts w:ascii="Times New Roman" w:hAnsi="Times New Roman"/>
          <w:sz w:val="24"/>
          <w:szCs w:val="24"/>
          <w:lang w:val="en-GB"/>
        </w:rPr>
      </w:pPr>
      <w:r w:rsidRPr="00C65FFA">
        <w:rPr>
          <w:rFonts w:ascii="Times New Roman" w:hAnsi="Times New Roman"/>
          <w:sz w:val="24"/>
          <w:szCs w:val="24"/>
          <w:lang w:val="en-GB"/>
        </w:rPr>
        <w:t>renal dysfunction, which may progress to renal failure with oligo-</w:t>
      </w:r>
      <w:proofErr w:type="spellStart"/>
      <w:r w:rsidRPr="00C65FFA">
        <w:rPr>
          <w:rFonts w:ascii="Times New Roman" w:hAnsi="Times New Roman"/>
          <w:sz w:val="24"/>
          <w:szCs w:val="24"/>
          <w:lang w:val="en-GB"/>
        </w:rPr>
        <w:t>hydroamniosis</w:t>
      </w:r>
      <w:proofErr w:type="spellEnd"/>
      <w:r w:rsidRPr="00C65FFA">
        <w:rPr>
          <w:rFonts w:ascii="Times New Roman" w:hAnsi="Times New Roman"/>
          <w:sz w:val="24"/>
          <w:szCs w:val="24"/>
          <w:lang w:val="en-GB"/>
        </w:rPr>
        <w:t>.</w:t>
      </w:r>
    </w:p>
    <w:p w14:paraId="11388F33" w14:textId="77777777" w:rsidR="007D6869" w:rsidRPr="00C65FFA" w:rsidRDefault="007D6869" w:rsidP="007D0DEE">
      <w:pPr>
        <w:ind w:left="851"/>
        <w:rPr>
          <w:sz w:val="24"/>
          <w:szCs w:val="24"/>
          <w:lang w:val="en-US"/>
        </w:rPr>
      </w:pPr>
    </w:p>
    <w:p w14:paraId="41DA47EE" w14:textId="77777777" w:rsidR="007D6869" w:rsidRPr="00C65FFA" w:rsidRDefault="007D6869" w:rsidP="007D0DEE">
      <w:pPr>
        <w:ind w:left="851"/>
        <w:rPr>
          <w:sz w:val="24"/>
          <w:szCs w:val="24"/>
          <w:lang w:val="en-US"/>
        </w:rPr>
      </w:pPr>
      <w:r w:rsidRPr="00C65FFA">
        <w:rPr>
          <w:sz w:val="24"/>
          <w:szCs w:val="24"/>
          <w:lang w:val="en-US"/>
        </w:rPr>
        <w:t>The mother and the neonate, at the end of pregnancy, to</w:t>
      </w:r>
    </w:p>
    <w:p w14:paraId="6E065C56" w14:textId="729D3036" w:rsidR="007D6869" w:rsidRPr="00C65FFA" w:rsidRDefault="007D6869" w:rsidP="00C65FFA">
      <w:pPr>
        <w:pStyle w:val="Listeafsnit"/>
        <w:numPr>
          <w:ilvl w:val="0"/>
          <w:numId w:val="8"/>
        </w:numPr>
        <w:ind w:left="1276" w:hanging="425"/>
        <w:rPr>
          <w:rFonts w:ascii="Times New Roman" w:hAnsi="Times New Roman"/>
          <w:sz w:val="24"/>
          <w:szCs w:val="24"/>
          <w:lang w:val="en-GB"/>
        </w:rPr>
      </w:pPr>
      <w:r w:rsidRPr="00C65FFA">
        <w:rPr>
          <w:rFonts w:ascii="Times New Roman" w:hAnsi="Times New Roman"/>
          <w:sz w:val="24"/>
          <w:szCs w:val="24"/>
          <w:lang w:val="en-GB"/>
        </w:rPr>
        <w:t>possible prolongation of bleeding time, an anti-aggregating effect which may occur even at very low doses.</w:t>
      </w:r>
    </w:p>
    <w:p w14:paraId="05113825" w14:textId="26AD12C8" w:rsidR="007D6869" w:rsidRPr="00C65FFA" w:rsidRDefault="007D6869" w:rsidP="00C65FFA">
      <w:pPr>
        <w:pStyle w:val="Listeafsnit"/>
        <w:numPr>
          <w:ilvl w:val="0"/>
          <w:numId w:val="8"/>
        </w:numPr>
        <w:ind w:left="1276" w:hanging="425"/>
        <w:rPr>
          <w:rFonts w:ascii="Times New Roman" w:hAnsi="Times New Roman"/>
          <w:sz w:val="24"/>
          <w:szCs w:val="24"/>
          <w:lang w:val="en-GB"/>
        </w:rPr>
      </w:pPr>
      <w:r w:rsidRPr="00C65FFA">
        <w:rPr>
          <w:rFonts w:ascii="Times New Roman" w:hAnsi="Times New Roman"/>
          <w:sz w:val="24"/>
          <w:szCs w:val="24"/>
          <w:lang w:val="en-GB"/>
        </w:rPr>
        <w:t>inhibition of uterine contractions resulting in delayed or prolonged labour.</w:t>
      </w:r>
    </w:p>
    <w:p w14:paraId="00A3A24F" w14:textId="77777777" w:rsidR="007D6869" w:rsidRPr="00C65FFA" w:rsidRDefault="007D6869" w:rsidP="007D0DEE">
      <w:pPr>
        <w:ind w:left="851"/>
        <w:rPr>
          <w:sz w:val="24"/>
          <w:szCs w:val="24"/>
          <w:lang w:val="en-US"/>
        </w:rPr>
      </w:pPr>
      <w:r w:rsidRPr="00C65FFA">
        <w:rPr>
          <w:sz w:val="24"/>
          <w:szCs w:val="24"/>
          <w:lang w:val="en-US"/>
        </w:rPr>
        <w:t>Consequently, acetylsalicylic acid at doses higher than 100 mg/day is contraindicated during the third trimester of pregnancy.</w:t>
      </w:r>
    </w:p>
    <w:p w14:paraId="20967363" w14:textId="77777777" w:rsidR="007D6869" w:rsidRPr="00C65FFA" w:rsidRDefault="007D6869" w:rsidP="007D0DEE">
      <w:pPr>
        <w:ind w:left="851"/>
        <w:rPr>
          <w:b/>
          <w:i/>
          <w:sz w:val="24"/>
          <w:szCs w:val="24"/>
          <w:lang w:val="en-US"/>
        </w:rPr>
      </w:pPr>
    </w:p>
    <w:p w14:paraId="46D569C4" w14:textId="77777777" w:rsidR="007D6869" w:rsidRPr="00C65FFA" w:rsidRDefault="007D6869" w:rsidP="007D0DEE">
      <w:pPr>
        <w:ind w:left="851"/>
        <w:rPr>
          <w:sz w:val="24"/>
          <w:szCs w:val="24"/>
          <w:u w:val="single"/>
          <w:lang w:val="en-US"/>
        </w:rPr>
      </w:pPr>
      <w:r w:rsidRPr="00C65FFA">
        <w:rPr>
          <w:sz w:val="24"/>
          <w:szCs w:val="24"/>
          <w:u w:val="single"/>
          <w:lang w:val="en-US"/>
        </w:rPr>
        <w:t>Breast-feeding</w:t>
      </w:r>
    </w:p>
    <w:p w14:paraId="04477084" w14:textId="77777777" w:rsidR="007D6869" w:rsidRPr="00C65FFA" w:rsidRDefault="007D6869" w:rsidP="007D0DEE">
      <w:pPr>
        <w:ind w:left="851"/>
        <w:rPr>
          <w:i/>
          <w:sz w:val="24"/>
          <w:szCs w:val="24"/>
          <w:lang w:val="en-US"/>
        </w:rPr>
      </w:pPr>
      <w:r w:rsidRPr="00C65FFA">
        <w:rPr>
          <w:sz w:val="24"/>
          <w:szCs w:val="24"/>
          <w:lang w:val="en-US"/>
        </w:rPr>
        <w:t>Low quantities of salicylates and of their metabolites are excreted into the breast milk. Since adverse effects for the infant have not been reported up to now, short-term use of the recommended dose does not require suspending lactation. In cases of long-term use and/or administration of higher doses, breastfeeding should be discontinued.</w:t>
      </w:r>
    </w:p>
    <w:p w14:paraId="43B42DC0" w14:textId="77777777" w:rsidR="007D6869" w:rsidRPr="00C65FFA" w:rsidRDefault="007D6869" w:rsidP="007D0DEE">
      <w:pPr>
        <w:ind w:left="851"/>
        <w:rPr>
          <w:b/>
          <w:sz w:val="24"/>
          <w:szCs w:val="24"/>
          <w:lang w:val="en-US"/>
        </w:rPr>
      </w:pPr>
    </w:p>
    <w:p w14:paraId="724C089F" w14:textId="77777777" w:rsidR="007D6869" w:rsidRPr="00C65FFA" w:rsidRDefault="007D6869" w:rsidP="007D0DEE">
      <w:pPr>
        <w:ind w:left="851"/>
        <w:rPr>
          <w:sz w:val="24"/>
          <w:szCs w:val="24"/>
          <w:u w:val="single"/>
          <w:lang w:val="en-US"/>
        </w:rPr>
      </w:pPr>
      <w:r w:rsidRPr="00C65FFA">
        <w:rPr>
          <w:sz w:val="24"/>
          <w:szCs w:val="24"/>
          <w:u w:val="single"/>
          <w:lang w:val="en-US"/>
        </w:rPr>
        <w:lastRenderedPageBreak/>
        <w:t>Fertility</w:t>
      </w:r>
    </w:p>
    <w:p w14:paraId="69F3AED9" w14:textId="77777777" w:rsidR="007D6869" w:rsidRPr="00DD202F" w:rsidRDefault="007D6869" w:rsidP="007D0DEE">
      <w:pPr>
        <w:ind w:left="851"/>
        <w:rPr>
          <w:sz w:val="24"/>
          <w:szCs w:val="24"/>
          <w:lang w:val="en-US"/>
        </w:rPr>
      </w:pPr>
      <w:r w:rsidRPr="00C65FFA">
        <w:rPr>
          <w:sz w:val="24"/>
          <w:szCs w:val="24"/>
          <w:lang w:val="en-US"/>
        </w:rPr>
        <w:t xml:space="preserve">There is some evidence that drugs that inhibit cyclooxygenase/prostaglandin synthesis may affect female fertility via an effect on ovulation. </w:t>
      </w:r>
      <w:r w:rsidRPr="00DD202F">
        <w:rPr>
          <w:sz w:val="24"/>
          <w:szCs w:val="24"/>
          <w:lang w:val="en-US"/>
        </w:rPr>
        <w:t>This effect is reversible after discontinuation of treatment.</w:t>
      </w:r>
    </w:p>
    <w:p w14:paraId="37878E6F" w14:textId="77777777" w:rsidR="007C5D2A" w:rsidRPr="00C65FFA" w:rsidRDefault="007C5D2A" w:rsidP="003E0341">
      <w:pPr>
        <w:tabs>
          <w:tab w:val="left" w:pos="851"/>
        </w:tabs>
        <w:ind w:left="851"/>
        <w:rPr>
          <w:sz w:val="24"/>
          <w:szCs w:val="24"/>
          <w:lang w:val="en-GB"/>
        </w:rPr>
      </w:pPr>
    </w:p>
    <w:p w14:paraId="66700E44"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t>4.7</w:t>
      </w:r>
      <w:r w:rsidRPr="00C65FFA">
        <w:rPr>
          <w:b/>
          <w:sz w:val="24"/>
          <w:szCs w:val="24"/>
          <w:lang w:val="en-GB"/>
        </w:rPr>
        <w:tab/>
        <w:t>Effects on ability to drive and use machines</w:t>
      </w:r>
    </w:p>
    <w:p w14:paraId="7F5D3A0B" w14:textId="77777777" w:rsidR="00C65FFA" w:rsidRDefault="00C65FFA" w:rsidP="007D0DEE">
      <w:pPr>
        <w:ind w:left="851"/>
        <w:rPr>
          <w:sz w:val="24"/>
          <w:szCs w:val="24"/>
          <w:lang w:val="en-GB"/>
        </w:rPr>
      </w:pPr>
      <w:r>
        <w:rPr>
          <w:sz w:val="24"/>
          <w:szCs w:val="24"/>
          <w:lang w:val="en-GB"/>
        </w:rPr>
        <w:t>No traffic warning.</w:t>
      </w:r>
    </w:p>
    <w:p w14:paraId="4B5DEAC7" w14:textId="368528E6" w:rsidR="007D6869" w:rsidRPr="00C65FFA" w:rsidRDefault="007D6869" w:rsidP="007D0DEE">
      <w:pPr>
        <w:ind w:left="851"/>
        <w:rPr>
          <w:sz w:val="24"/>
          <w:szCs w:val="24"/>
          <w:lang w:val="en-US"/>
        </w:rPr>
      </w:pPr>
      <w:r w:rsidRPr="00C65FFA">
        <w:rPr>
          <w:sz w:val="24"/>
          <w:szCs w:val="24"/>
          <w:lang w:val="en-US"/>
        </w:rPr>
        <w:t>No studies on the effects on the ability to drive and use machines have been performed with acetylsalicylic acid.</w:t>
      </w:r>
    </w:p>
    <w:p w14:paraId="6D04A00B" w14:textId="77777777" w:rsidR="007D6869" w:rsidRPr="00C65FFA" w:rsidRDefault="007D6869" w:rsidP="007D0DEE">
      <w:pPr>
        <w:ind w:left="851"/>
        <w:rPr>
          <w:sz w:val="24"/>
          <w:szCs w:val="24"/>
          <w:lang w:val="en-US"/>
        </w:rPr>
      </w:pPr>
      <w:r w:rsidRPr="00C65FFA">
        <w:rPr>
          <w:sz w:val="24"/>
          <w:szCs w:val="24"/>
          <w:lang w:val="en-US"/>
        </w:rPr>
        <w:t>Based on the pharmacodynamic properties and the side effects of acetylsalicylic acid, no influence on the reactivity and the ability to drive or use machines is expected.</w:t>
      </w:r>
    </w:p>
    <w:p w14:paraId="7A444F88" w14:textId="77777777" w:rsidR="007C5D2A" w:rsidRPr="00C65FFA" w:rsidRDefault="007C5D2A" w:rsidP="003E0341">
      <w:pPr>
        <w:tabs>
          <w:tab w:val="left" w:pos="851"/>
        </w:tabs>
        <w:ind w:left="851"/>
        <w:rPr>
          <w:sz w:val="24"/>
          <w:szCs w:val="24"/>
          <w:lang w:val="en-GB"/>
        </w:rPr>
      </w:pPr>
    </w:p>
    <w:p w14:paraId="29AC1BF4"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t>4.8</w:t>
      </w:r>
      <w:r w:rsidRPr="00C65FFA">
        <w:rPr>
          <w:b/>
          <w:sz w:val="24"/>
          <w:szCs w:val="24"/>
          <w:lang w:val="en-GB"/>
        </w:rPr>
        <w:tab/>
        <w:t>Undesirable effects</w:t>
      </w:r>
    </w:p>
    <w:p w14:paraId="0FB559DD" w14:textId="77777777" w:rsidR="007D6869" w:rsidRPr="00C65FFA" w:rsidRDefault="007D6869" w:rsidP="007D0DEE">
      <w:pPr>
        <w:ind w:left="851"/>
        <w:rPr>
          <w:sz w:val="24"/>
          <w:szCs w:val="24"/>
          <w:lang w:val="en-US"/>
        </w:rPr>
      </w:pPr>
      <w:r w:rsidRPr="00C65FFA">
        <w:rPr>
          <w:sz w:val="24"/>
          <w:szCs w:val="24"/>
          <w:lang w:val="en-US"/>
        </w:rPr>
        <w:t xml:space="preserve">The most common adverse reactions to acetylsalicylic acid are gastrointestinal disorders including nausea and vomiting. Additional gastrointestinal </w:t>
      </w:r>
      <w:proofErr w:type="spellStart"/>
      <w:r w:rsidRPr="00C65FFA">
        <w:rPr>
          <w:sz w:val="24"/>
          <w:szCs w:val="24"/>
          <w:lang w:val="en-US"/>
        </w:rPr>
        <w:t>haemorrhage</w:t>
      </w:r>
      <w:proofErr w:type="spellEnd"/>
      <w:r w:rsidRPr="00C65FFA">
        <w:rPr>
          <w:sz w:val="24"/>
          <w:szCs w:val="24"/>
          <w:lang w:val="en-US"/>
        </w:rPr>
        <w:t xml:space="preserve"> and ulcer have been observed.</w:t>
      </w:r>
    </w:p>
    <w:p w14:paraId="3B453E84" w14:textId="77777777" w:rsidR="007D6869" w:rsidRPr="00C65FFA" w:rsidRDefault="007D6869" w:rsidP="007D0DEE">
      <w:pPr>
        <w:ind w:left="851"/>
        <w:rPr>
          <w:sz w:val="24"/>
          <w:szCs w:val="24"/>
          <w:lang w:val="en-US"/>
        </w:rPr>
      </w:pPr>
    </w:p>
    <w:p w14:paraId="6A7C0F83" w14:textId="77777777" w:rsidR="007D6869" w:rsidRPr="00C65FFA" w:rsidRDefault="007D6869" w:rsidP="007D0DEE">
      <w:pPr>
        <w:ind w:left="851"/>
        <w:rPr>
          <w:sz w:val="24"/>
          <w:szCs w:val="24"/>
          <w:u w:val="single"/>
          <w:lang w:val="en-US"/>
        </w:rPr>
      </w:pPr>
      <w:r w:rsidRPr="00C65FFA">
        <w:rPr>
          <w:sz w:val="24"/>
          <w:szCs w:val="24"/>
          <w:u w:val="single"/>
          <w:lang w:val="en-US"/>
        </w:rPr>
        <w:t>Tabulated list of adverse reactions</w:t>
      </w:r>
    </w:p>
    <w:p w14:paraId="346C1252" w14:textId="77777777" w:rsidR="007D6869" w:rsidRPr="00C65FFA" w:rsidRDefault="007D6869" w:rsidP="007D0DEE">
      <w:pPr>
        <w:ind w:left="851"/>
        <w:rPr>
          <w:sz w:val="24"/>
          <w:szCs w:val="24"/>
          <w:lang w:val="en-US"/>
        </w:rPr>
      </w:pPr>
      <w:r w:rsidRPr="00C65FFA">
        <w:rPr>
          <w:sz w:val="24"/>
          <w:szCs w:val="24"/>
          <w:lang w:val="en-US"/>
        </w:rPr>
        <w:t xml:space="preserve">Side effects are grouped on the basis of System Organ Class. Within each system organ </w:t>
      </w:r>
      <w:proofErr w:type="gramStart"/>
      <w:r w:rsidRPr="00C65FFA">
        <w:rPr>
          <w:sz w:val="24"/>
          <w:szCs w:val="24"/>
          <w:lang w:val="en-US"/>
        </w:rPr>
        <w:t>class</w:t>
      </w:r>
      <w:proofErr w:type="gramEnd"/>
      <w:r w:rsidRPr="00C65FFA">
        <w:rPr>
          <w:sz w:val="24"/>
          <w:szCs w:val="24"/>
          <w:lang w:val="en-US"/>
        </w:rPr>
        <w:t xml:space="preserve"> the frequencies are defined as: Very common (≥ 1/10), common (≥ 1/100 to &lt; 1/10), uncommon (≥ 1/1 000 to &lt; 1/100), rare (≥ 1/10 000 to &lt; 1/1 000), very rare (&lt; 1/10 000), not known (frequency cannot be estimated from the available data).</w:t>
      </w:r>
    </w:p>
    <w:p w14:paraId="3107A5B0" w14:textId="77777777" w:rsidR="007D6869" w:rsidRPr="00C65FFA" w:rsidRDefault="007D6869" w:rsidP="007D6869">
      <w:pPr>
        <w:rPr>
          <w:sz w:val="24"/>
          <w:szCs w:val="24"/>
          <w:lang w:val="en-US"/>
        </w:rPr>
      </w:pPr>
    </w:p>
    <w:tbl>
      <w:tblPr>
        <w:tblStyle w:val="Tabel-Gitter"/>
        <w:tblW w:w="5000" w:type="pct"/>
        <w:tblLook w:val="04A0" w:firstRow="1" w:lastRow="0" w:firstColumn="1" w:lastColumn="0" w:noHBand="0" w:noVBand="1"/>
      </w:tblPr>
      <w:tblGrid>
        <w:gridCol w:w="1736"/>
        <w:gridCol w:w="1653"/>
        <w:gridCol w:w="1661"/>
        <w:gridCol w:w="2103"/>
        <w:gridCol w:w="2475"/>
      </w:tblGrid>
      <w:tr w:rsidR="007D6869" w:rsidRPr="00C65FFA" w14:paraId="3CB33C99" w14:textId="77777777" w:rsidTr="007D0DEE">
        <w:tc>
          <w:tcPr>
            <w:tcW w:w="918" w:type="pct"/>
          </w:tcPr>
          <w:p w14:paraId="0D6C18DF" w14:textId="77777777" w:rsidR="007D6869" w:rsidRPr="008D09CC" w:rsidRDefault="007D6869" w:rsidP="007D0DEE">
            <w:pPr>
              <w:rPr>
                <w:rFonts w:ascii="Times New Roman" w:hAnsi="Times New Roman"/>
                <w:b/>
                <w:sz w:val="24"/>
                <w:szCs w:val="24"/>
                <w:lang w:val="en-GB"/>
              </w:rPr>
            </w:pPr>
            <w:r w:rsidRPr="008D09CC">
              <w:rPr>
                <w:rFonts w:ascii="Times New Roman" w:hAnsi="Times New Roman"/>
                <w:b/>
                <w:sz w:val="24"/>
                <w:szCs w:val="24"/>
                <w:lang w:val="en-GB"/>
              </w:rPr>
              <w:t>System organ class</w:t>
            </w:r>
          </w:p>
        </w:tc>
        <w:tc>
          <w:tcPr>
            <w:tcW w:w="878" w:type="pct"/>
          </w:tcPr>
          <w:p w14:paraId="0702E4E1" w14:textId="77777777" w:rsidR="007D6869" w:rsidRPr="008D09CC" w:rsidRDefault="007D6869" w:rsidP="007D0DEE">
            <w:pPr>
              <w:rPr>
                <w:rFonts w:ascii="Times New Roman" w:hAnsi="Times New Roman"/>
                <w:b/>
                <w:sz w:val="24"/>
                <w:szCs w:val="24"/>
                <w:lang w:val="en-GB"/>
              </w:rPr>
            </w:pPr>
            <w:r w:rsidRPr="008D09CC">
              <w:rPr>
                <w:rFonts w:ascii="Times New Roman" w:hAnsi="Times New Roman"/>
                <w:b/>
                <w:sz w:val="24"/>
                <w:szCs w:val="24"/>
                <w:lang w:val="en-GB"/>
              </w:rPr>
              <w:t>Common</w:t>
            </w:r>
          </w:p>
        </w:tc>
        <w:tc>
          <w:tcPr>
            <w:tcW w:w="881" w:type="pct"/>
          </w:tcPr>
          <w:p w14:paraId="15133241" w14:textId="77777777" w:rsidR="007D6869" w:rsidRPr="008D09CC" w:rsidRDefault="007D6869" w:rsidP="007D0DEE">
            <w:pPr>
              <w:rPr>
                <w:rFonts w:ascii="Times New Roman" w:hAnsi="Times New Roman"/>
                <w:b/>
                <w:sz w:val="24"/>
                <w:szCs w:val="24"/>
                <w:lang w:val="en-GB"/>
              </w:rPr>
            </w:pPr>
            <w:r w:rsidRPr="008D09CC">
              <w:rPr>
                <w:rFonts w:ascii="Times New Roman" w:hAnsi="Times New Roman"/>
                <w:b/>
                <w:sz w:val="24"/>
                <w:szCs w:val="24"/>
                <w:lang w:val="en-GB"/>
              </w:rPr>
              <w:t>Uncommon</w:t>
            </w:r>
          </w:p>
        </w:tc>
        <w:tc>
          <w:tcPr>
            <w:tcW w:w="1020" w:type="pct"/>
          </w:tcPr>
          <w:p w14:paraId="1C7BA907" w14:textId="77777777" w:rsidR="007D6869" w:rsidRPr="008D09CC" w:rsidRDefault="007D6869" w:rsidP="007D0DEE">
            <w:pPr>
              <w:rPr>
                <w:rFonts w:ascii="Times New Roman" w:hAnsi="Times New Roman"/>
                <w:b/>
                <w:sz w:val="24"/>
                <w:szCs w:val="24"/>
                <w:lang w:val="en-GB"/>
              </w:rPr>
            </w:pPr>
            <w:r w:rsidRPr="008D09CC">
              <w:rPr>
                <w:rFonts w:ascii="Times New Roman" w:hAnsi="Times New Roman"/>
                <w:b/>
                <w:sz w:val="24"/>
                <w:szCs w:val="24"/>
                <w:lang w:val="en-GB"/>
              </w:rPr>
              <w:t>Rare</w:t>
            </w:r>
          </w:p>
        </w:tc>
        <w:tc>
          <w:tcPr>
            <w:tcW w:w="1303" w:type="pct"/>
          </w:tcPr>
          <w:p w14:paraId="4F103AF9" w14:textId="77777777" w:rsidR="007D6869" w:rsidRPr="008D09CC" w:rsidRDefault="007D6869" w:rsidP="007D0DEE">
            <w:pPr>
              <w:rPr>
                <w:rFonts w:ascii="Times New Roman" w:hAnsi="Times New Roman"/>
                <w:b/>
                <w:sz w:val="24"/>
                <w:szCs w:val="24"/>
                <w:lang w:val="en-GB"/>
              </w:rPr>
            </w:pPr>
            <w:r w:rsidRPr="008D09CC">
              <w:rPr>
                <w:rFonts w:ascii="Times New Roman" w:hAnsi="Times New Roman"/>
                <w:b/>
                <w:sz w:val="24"/>
                <w:szCs w:val="24"/>
                <w:lang w:val="en-GB"/>
              </w:rPr>
              <w:t>Not known</w:t>
            </w:r>
          </w:p>
        </w:tc>
      </w:tr>
      <w:tr w:rsidR="007D6869" w:rsidRPr="005A36CC" w14:paraId="092317B1" w14:textId="77777777" w:rsidTr="007D0DEE">
        <w:tc>
          <w:tcPr>
            <w:tcW w:w="918" w:type="pct"/>
          </w:tcPr>
          <w:p w14:paraId="432880C4"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Blood and lymphatic system disorders</w:t>
            </w:r>
          </w:p>
        </w:tc>
        <w:tc>
          <w:tcPr>
            <w:tcW w:w="878" w:type="pct"/>
          </w:tcPr>
          <w:p w14:paraId="03E0A81D"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Increased bleeding tendencies</w:t>
            </w:r>
          </w:p>
        </w:tc>
        <w:tc>
          <w:tcPr>
            <w:tcW w:w="881" w:type="pct"/>
          </w:tcPr>
          <w:p w14:paraId="5C9E09E5" w14:textId="77777777" w:rsidR="007D6869" w:rsidRPr="008D09CC" w:rsidRDefault="007D6869" w:rsidP="007D0DEE">
            <w:pPr>
              <w:rPr>
                <w:rFonts w:ascii="Times New Roman" w:hAnsi="Times New Roman"/>
                <w:sz w:val="24"/>
                <w:szCs w:val="24"/>
                <w:lang w:val="en-GB"/>
              </w:rPr>
            </w:pPr>
          </w:p>
        </w:tc>
        <w:tc>
          <w:tcPr>
            <w:tcW w:w="1020" w:type="pct"/>
          </w:tcPr>
          <w:p w14:paraId="35EE7A39"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Thrombocytopenia,</w:t>
            </w:r>
          </w:p>
          <w:p w14:paraId="18D3A2FE"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agranulocytosis,</w:t>
            </w:r>
          </w:p>
          <w:p w14:paraId="0A20AC4A"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plastic anaemia</w:t>
            </w:r>
          </w:p>
        </w:tc>
        <w:tc>
          <w:tcPr>
            <w:tcW w:w="1303" w:type="pct"/>
          </w:tcPr>
          <w:p w14:paraId="227E4756"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Cases of bleeding with prolonged bleeding time such as epistaxis, gingival bleeding. Symptoms may persist for a period of 4 – 8 days after acetylsalicylic acid discontinuation. As a </w:t>
            </w:r>
            <w:proofErr w:type="gramStart"/>
            <w:r w:rsidRPr="008D09CC">
              <w:rPr>
                <w:rFonts w:ascii="Times New Roman" w:hAnsi="Times New Roman"/>
                <w:sz w:val="24"/>
                <w:szCs w:val="24"/>
                <w:lang w:val="en-GB"/>
              </w:rPr>
              <w:t>result</w:t>
            </w:r>
            <w:proofErr w:type="gramEnd"/>
            <w:r w:rsidRPr="008D09CC">
              <w:rPr>
                <w:rFonts w:ascii="Times New Roman" w:hAnsi="Times New Roman"/>
                <w:sz w:val="24"/>
                <w:szCs w:val="24"/>
                <w:lang w:val="en-GB"/>
              </w:rPr>
              <w:t xml:space="preserve"> there may be an increased risk of bleeding during surgical procedures.</w:t>
            </w:r>
          </w:p>
          <w:p w14:paraId="61836769"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Existing (haematemesis, melaena) or occult gastrointestinal bleeding, which may lead to iron deficiency anaemia (more common at higher doses).</w:t>
            </w:r>
          </w:p>
        </w:tc>
      </w:tr>
      <w:tr w:rsidR="007D6869" w:rsidRPr="00C65FFA" w14:paraId="41C67F46" w14:textId="77777777" w:rsidTr="007D0DEE">
        <w:tc>
          <w:tcPr>
            <w:tcW w:w="918" w:type="pct"/>
          </w:tcPr>
          <w:p w14:paraId="22508E09"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Immune system disorders</w:t>
            </w:r>
          </w:p>
        </w:tc>
        <w:tc>
          <w:tcPr>
            <w:tcW w:w="878" w:type="pct"/>
          </w:tcPr>
          <w:p w14:paraId="0765B39C" w14:textId="77777777" w:rsidR="007D6869" w:rsidRPr="008D09CC" w:rsidRDefault="007D6869" w:rsidP="007D0DEE">
            <w:pPr>
              <w:rPr>
                <w:rFonts w:ascii="Times New Roman" w:hAnsi="Times New Roman"/>
                <w:sz w:val="24"/>
                <w:szCs w:val="24"/>
                <w:lang w:val="en-GB"/>
              </w:rPr>
            </w:pPr>
          </w:p>
        </w:tc>
        <w:tc>
          <w:tcPr>
            <w:tcW w:w="881" w:type="pct"/>
          </w:tcPr>
          <w:p w14:paraId="63A80DF5" w14:textId="77777777" w:rsidR="007D6869" w:rsidRPr="008D09CC" w:rsidRDefault="007D6869" w:rsidP="007D0DEE">
            <w:pPr>
              <w:rPr>
                <w:rFonts w:ascii="Times New Roman" w:hAnsi="Times New Roman"/>
                <w:sz w:val="24"/>
                <w:szCs w:val="24"/>
                <w:lang w:val="en-GB"/>
              </w:rPr>
            </w:pPr>
          </w:p>
        </w:tc>
        <w:tc>
          <w:tcPr>
            <w:tcW w:w="1020" w:type="pct"/>
          </w:tcPr>
          <w:p w14:paraId="412C693D"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Hypersensitivity reactions,</w:t>
            </w:r>
          </w:p>
          <w:p w14:paraId="5FCE1EF4"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angio-oedema,</w:t>
            </w:r>
          </w:p>
          <w:p w14:paraId="01864FA9"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allergic oedema,</w:t>
            </w:r>
          </w:p>
          <w:p w14:paraId="18AAB1C8"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lastRenderedPageBreak/>
              <w:t>anaphylactic reactions including shock</w:t>
            </w:r>
          </w:p>
        </w:tc>
        <w:tc>
          <w:tcPr>
            <w:tcW w:w="1303" w:type="pct"/>
          </w:tcPr>
          <w:p w14:paraId="6772FFA6" w14:textId="77777777" w:rsidR="007D6869" w:rsidRPr="008D09CC" w:rsidRDefault="007D6869" w:rsidP="007D0DEE">
            <w:pPr>
              <w:rPr>
                <w:rFonts w:ascii="Times New Roman" w:hAnsi="Times New Roman"/>
                <w:sz w:val="24"/>
                <w:szCs w:val="24"/>
                <w:lang w:val="en-GB"/>
              </w:rPr>
            </w:pPr>
          </w:p>
        </w:tc>
      </w:tr>
      <w:tr w:rsidR="007D6869" w:rsidRPr="00C65FFA" w14:paraId="64907624" w14:textId="77777777" w:rsidTr="007D0DEE">
        <w:tc>
          <w:tcPr>
            <w:tcW w:w="918" w:type="pct"/>
          </w:tcPr>
          <w:p w14:paraId="770D7B3D"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Metabolism and nutrition disorders</w:t>
            </w:r>
          </w:p>
        </w:tc>
        <w:tc>
          <w:tcPr>
            <w:tcW w:w="878" w:type="pct"/>
          </w:tcPr>
          <w:p w14:paraId="5B3DD90E" w14:textId="77777777" w:rsidR="007D6869" w:rsidRPr="008D09CC" w:rsidRDefault="007D6869" w:rsidP="007D0DEE">
            <w:pPr>
              <w:rPr>
                <w:rFonts w:ascii="Times New Roman" w:hAnsi="Times New Roman"/>
                <w:sz w:val="24"/>
                <w:szCs w:val="24"/>
                <w:lang w:val="en-GB"/>
              </w:rPr>
            </w:pPr>
          </w:p>
        </w:tc>
        <w:tc>
          <w:tcPr>
            <w:tcW w:w="881" w:type="pct"/>
          </w:tcPr>
          <w:p w14:paraId="6EBCDEB3" w14:textId="77777777" w:rsidR="007D6869" w:rsidRPr="008D09CC" w:rsidRDefault="007D6869" w:rsidP="007D0DEE">
            <w:pPr>
              <w:rPr>
                <w:rFonts w:ascii="Times New Roman" w:hAnsi="Times New Roman"/>
                <w:sz w:val="24"/>
                <w:szCs w:val="24"/>
                <w:lang w:val="en-GB"/>
              </w:rPr>
            </w:pPr>
          </w:p>
        </w:tc>
        <w:tc>
          <w:tcPr>
            <w:tcW w:w="1020" w:type="pct"/>
          </w:tcPr>
          <w:p w14:paraId="5EB87974" w14:textId="77777777" w:rsidR="007D6869" w:rsidRPr="008D09CC" w:rsidRDefault="007D6869" w:rsidP="007D0DEE">
            <w:pPr>
              <w:rPr>
                <w:rFonts w:ascii="Times New Roman" w:hAnsi="Times New Roman"/>
                <w:sz w:val="24"/>
                <w:szCs w:val="24"/>
                <w:lang w:val="en-GB"/>
              </w:rPr>
            </w:pPr>
          </w:p>
        </w:tc>
        <w:tc>
          <w:tcPr>
            <w:tcW w:w="1303" w:type="pct"/>
          </w:tcPr>
          <w:p w14:paraId="66183DDE"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Hyperuricemia,</w:t>
            </w:r>
          </w:p>
          <w:p w14:paraId="4B0A489C"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hypoglycaemia</w:t>
            </w:r>
          </w:p>
        </w:tc>
      </w:tr>
      <w:tr w:rsidR="007D6869" w:rsidRPr="00C65FFA" w14:paraId="36B9A902" w14:textId="77777777" w:rsidTr="007D0DEE">
        <w:tc>
          <w:tcPr>
            <w:tcW w:w="918" w:type="pct"/>
          </w:tcPr>
          <w:p w14:paraId="15112B62"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Nervous system disorders</w:t>
            </w:r>
          </w:p>
        </w:tc>
        <w:tc>
          <w:tcPr>
            <w:tcW w:w="878" w:type="pct"/>
          </w:tcPr>
          <w:p w14:paraId="4EB9FC15" w14:textId="77777777" w:rsidR="007D6869" w:rsidRPr="008D09CC" w:rsidRDefault="007D6869" w:rsidP="007D0DEE">
            <w:pPr>
              <w:rPr>
                <w:rFonts w:ascii="Times New Roman" w:hAnsi="Times New Roman"/>
                <w:sz w:val="24"/>
                <w:szCs w:val="24"/>
                <w:lang w:val="en-GB"/>
              </w:rPr>
            </w:pPr>
          </w:p>
        </w:tc>
        <w:tc>
          <w:tcPr>
            <w:tcW w:w="881" w:type="pct"/>
          </w:tcPr>
          <w:p w14:paraId="50089548" w14:textId="77777777" w:rsidR="007D6869" w:rsidRPr="008D09CC" w:rsidRDefault="007D6869" w:rsidP="007D0DEE">
            <w:pPr>
              <w:rPr>
                <w:rFonts w:ascii="Times New Roman" w:hAnsi="Times New Roman"/>
                <w:sz w:val="24"/>
                <w:szCs w:val="24"/>
                <w:lang w:val="en-GB"/>
              </w:rPr>
            </w:pPr>
          </w:p>
        </w:tc>
        <w:tc>
          <w:tcPr>
            <w:tcW w:w="1020" w:type="pct"/>
          </w:tcPr>
          <w:p w14:paraId="7453DB52"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Intracranial haemorrhage</w:t>
            </w:r>
          </w:p>
        </w:tc>
        <w:tc>
          <w:tcPr>
            <w:tcW w:w="1303" w:type="pct"/>
          </w:tcPr>
          <w:p w14:paraId="5011D5C5"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Headache,</w:t>
            </w:r>
          </w:p>
          <w:p w14:paraId="5742BF81"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vertigo</w:t>
            </w:r>
          </w:p>
        </w:tc>
      </w:tr>
      <w:tr w:rsidR="007D6869" w:rsidRPr="00C65FFA" w14:paraId="7C7CD046" w14:textId="77777777" w:rsidTr="007D0DEE">
        <w:tc>
          <w:tcPr>
            <w:tcW w:w="918" w:type="pct"/>
          </w:tcPr>
          <w:p w14:paraId="0B956FD8"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Ear and labyrinth disorders</w:t>
            </w:r>
          </w:p>
        </w:tc>
        <w:tc>
          <w:tcPr>
            <w:tcW w:w="878" w:type="pct"/>
          </w:tcPr>
          <w:p w14:paraId="7EF07B32" w14:textId="77777777" w:rsidR="007D6869" w:rsidRPr="008D09CC" w:rsidRDefault="007D6869" w:rsidP="007D0DEE">
            <w:pPr>
              <w:rPr>
                <w:rFonts w:ascii="Times New Roman" w:hAnsi="Times New Roman"/>
                <w:sz w:val="24"/>
                <w:szCs w:val="24"/>
                <w:lang w:val="en-GB"/>
              </w:rPr>
            </w:pPr>
          </w:p>
        </w:tc>
        <w:tc>
          <w:tcPr>
            <w:tcW w:w="881" w:type="pct"/>
          </w:tcPr>
          <w:p w14:paraId="6AB3232D" w14:textId="77777777" w:rsidR="007D6869" w:rsidRPr="008D09CC" w:rsidRDefault="007D6869" w:rsidP="007D0DEE">
            <w:pPr>
              <w:rPr>
                <w:rFonts w:ascii="Times New Roman" w:hAnsi="Times New Roman"/>
                <w:sz w:val="24"/>
                <w:szCs w:val="24"/>
                <w:lang w:val="en-GB"/>
              </w:rPr>
            </w:pPr>
          </w:p>
        </w:tc>
        <w:tc>
          <w:tcPr>
            <w:tcW w:w="1020" w:type="pct"/>
          </w:tcPr>
          <w:p w14:paraId="7559527B" w14:textId="77777777" w:rsidR="007D6869" w:rsidRPr="008D09CC" w:rsidRDefault="007D6869" w:rsidP="007D0DEE">
            <w:pPr>
              <w:rPr>
                <w:rFonts w:ascii="Times New Roman" w:hAnsi="Times New Roman"/>
                <w:sz w:val="24"/>
                <w:szCs w:val="24"/>
                <w:lang w:val="en-GB"/>
              </w:rPr>
            </w:pPr>
          </w:p>
        </w:tc>
        <w:tc>
          <w:tcPr>
            <w:tcW w:w="1303" w:type="pct"/>
          </w:tcPr>
          <w:p w14:paraId="7EBE306A"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Reduced hearing ability,</w:t>
            </w:r>
          </w:p>
          <w:p w14:paraId="61545CE6"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tinnitus</w:t>
            </w:r>
          </w:p>
        </w:tc>
      </w:tr>
      <w:tr w:rsidR="007D6869" w:rsidRPr="00C65FFA" w14:paraId="473353F0" w14:textId="77777777" w:rsidTr="007D0DEE">
        <w:tc>
          <w:tcPr>
            <w:tcW w:w="918" w:type="pct"/>
          </w:tcPr>
          <w:p w14:paraId="5B4EFCC6"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Vascular disorders</w:t>
            </w:r>
          </w:p>
        </w:tc>
        <w:tc>
          <w:tcPr>
            <w:tcW w:w="878" w:type="pct"/>
          </w:tcPr>
          <w:p w14:paraId="00440EC7" w14:textId="77777777" w:rsidR="007D6869" w:rsidRPr="008D09CC" w:rsidRDefault="007D6869" w:rsidP="007D0DEE">
            <w:pPr>
              <w:rPr>
                <w:rFonts w:ascii="Times New Roman" w:hAnsi="Times New Roman"/>
                <w:sz w:val="24"/>
                <w:szCs w:val="24"/>
                <w:lang w:val="en-GB"/>
              </w:rPr>
            </w:pPr>
          </w:p>
        </w:tc>
        <w:tc>
          <w:tcPr>
            <w:tcW w:w="881" w:type="pct"/>
          </w:tcPr>
          <w:p w14:paraId="4DF78969" w14:textId="77777777" w:rsidR="007D6869" w:rsidRPr="008D09CC" w:rsidRDefault="007D6869" w:rsidP="007D0DEE">
            <w:pPr>
              <w:rPr>
                <w:rFonts w:ascii="Times New Roman" w:hAnsi="Times New Roman"/>
                <w:sz w:val="24"/>
                <w:szCs w:val="24"/>
                <w:lang w:val="en-GB"/>
              </w:rPr>
            </w:pPr>
          </w:p>
        </w:tc>
        <w:tc>
          <w:tcPr>
            <w:tcW w:w="1020" w:type="pct"/>
          </w:tcPr>
          <w:p w14:paraId="2C5F65ED"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Haemorrhagic vasculitis</w:t>
            </w:r>
          </w:p>
        </w:tc>
        <w:tc>
          <w:tcPr>
            <w:tcW w:w="1303" w:type="pct"/>
          </w:tcPr>
          <w:p w14:paraId="62D602B9" w14:textId="77777777" w:rsidR="007D6869" w:rsidRPr="008D09CC" w:rsidRDefault="007D6869" w:rsidP="007D0DEE">
            <w:pPr>
              <w:rPr>
                <w:rFonts w:ascii="Times New Roman" w:hAnsi="Times New Roman"/>
                <w:sz w:val="24"/>
                <w:szCs w:val="24"/>
                <w:lang w:val="en-GB"/>
              </w:rPr>
            </w:pPr>
          </w:p>
        </w:tc>
      </w:tr>
      <w:tr w:rsidR="007D6869" w:rsidRPr="00C65FFA" w14:paraId="7CDEEE5E" w14:textId="77777777" w:rsidTr="007D0DEE">
        <w:tc>
          <w:tcPr>
            <w:tcW w:w="918" w:type="pct"/>
          </w:tcPr>
          <w:p w14:paraId="17280B23"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Respiratory, thoracic and mediastinal disorders</w:t>
            </w:r>
          </w:p>
        </w:tc>
        <w:tc>
          <w:tcPr>
            <w:tcW w:w="878" w:type="pct"/>
          </w:tcPr>
          <w:p w14:paraId="763FF53C" w14:textId="77777777" w:rsidR="007D6869" w:rsidRPr="008D09CC" w:rsidRDefault="007D6869" w:rsidP="007D0DEE">
            <w:pPr>
              <w:rPr>
                <w:rFonts w:ascii="Times New Roman" w:hAnsi="Times New Roman"/>
                <w:sz w:val="24"/>
                <w:szCs w:val="24"/>
                <w:lang w:val="en-GB"/>
              </w:rPr>
            </w:pPr>
          </w:p>
        </w:tc>
        <w:tc>
          <w:tcPr>
            <w:tcW w:w="881" w:type="pct"/>
          </w:tcPr>
          <w:p w14:paraId="0EAFEF7E"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Rhinitis,</w:t>
            </w:r>
          </w:p>
          <w:p w14:paraId="0E836F72"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dyspnoea</w:t>
            </w:r>
          </w:p>
        </w:tc>
        <w:tc>
          <w:tcPr>
            <w:tcW w:w="1020" w:type="pct"/>
          </w:tcPr>
          <w:p w14:paraId="63572481"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Bronchospasm,</w:t>
            </w:r>
          </w:p>
          <w:p w14:paraId="21205CA1"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asthma attacks</w:t>
            </w:r>
          </w:p>
        </w:tc>
        <w:tc>
          <w:tcPr>
            <w:tcW w:w="1303" w:type="pct"/>
          </w:tcPr>
          <w:p w14:paraId="718E5850" w14:textId="77777777" w:rsidR="007D6869" w:rsidRPr="008D09CC" w:rsidRDefault="007D6869" w:rsidP="007D0DEE">
            <w:pPr>
              <w:rPr>
                <w:rFonts w:ascii="Times New Roman" w:hAnsi="Times New Roman"/>
                <w:sz w:val="24"/>
                <w:szCs w:val="24"/>
                <w:lang w:val="en-GB"/>
              </w:rPr>
            </w:pPr>
          </w:p>
        </w:tc>
      </w:tr>
      <w:tr w:rsidR="007D6869" w:rsidRPr="005A36CC" w14:paraId="49300C1E" w14:textId="77777777" w:rsidTr="007D0DEE">
        <w:tc>
          <w:tcPr>
            <w:tcW w:w="918" w:type="pct"/>
          </w:tcPr>
          <w:p w14:paraId="0F6B8F5A"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Gastrointestinal disorders</w:t>
            </w:r>
          </w:p>
        </w:tc>
        <w:tc>
          <w:tcPr>
            <w:tcW w:w="878" w:type="pct"/>
          </w:tcPr>
          <w:p w14:paraId="2C672545"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Dyspepsia,</w:t>
            </w:r>
          </w:p>
          <w:p w14:paraId="0C0D9D0A"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nausea,</w:t>
            </w:r>
          </w:p>
          <w:p w14:paraId="014E3B5D"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vomiting,</w:t>
            </w:r>
          </w:p>
          <w:p w14:paraId="31481123"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diarrhoea</w:t>
            </w:r>
          </w:p>
        </w:tc>
        <w:tc>
          <w:tcPr>
            <w:tcW w:w="881" w:type="pct"/>
          </w:tcPr>
          <w:p w14:paraId="34C647F4" w14:textId="77777777" w:rsidR="007D6869" w:rsidRPr="008D09CC" w:rsidRDefault="007D6869" w:rsidP="007D0DEE">
            <w:pPr>
              <w:rPr>
                <w:rFonts w:ascii="Times New Roman" w:hAnsi="Times New Roman"/>
                <w:sz w:val="24"/>
                <w:szCs w:val="24"/>
                <w:lang w:val="en-GB"/>
              </w:rPr>
            </w:pPr>
          </w:p>
        </w:tc>
        <w:tc>
          <w:tcPr>
            <w:tcW w:w="1020" w:type="pct"/>
          </w:tcPr>
          <w:p w14:paraId="35C3319F"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Severe gastrointestinal haemorrhage</w:t>
            </w:r>
          </w:p>
        </w:tc>
        <w:tc>
          <w:tcPr>
            <w:tcW w:w="1303" w:type="pct"/>
          </w:tcPr>
          <w:p w14:paraId="1C537805"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Gastric or duodenal ulcers and perforation</w:t>
            </w:r>
          </w:p>
        </w:tc>
      </w:tr>
      <w:tr w:rsidR="007D6869" w:rsidRPr="005A36CC" w14:paraId="1089ADB7" w14:textId="77777777" w:rsidTr="007D0DEE">
        <w:tc>
          <w:tcPr>
            <w:tcW w:w="918" w:type="pct"/>
          </w:tcPr>
          <w:p w14:paraId="534DAC7F"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Hepatobiliary disorders</w:t>
            </w:r>
          </w:p>
        </w:tc>
        <w:tc>
          <w:tcPr>
            <w:tcW w:w="878" w:type="pct"/>
          </w:tcPr>
          <w:p w14:paraId="65DF568E" w14:textId="77777777" w:rsidR="007D6869" w:rsidRPr="008D09CC" w:rsidRDefault="007D6869" w:rsidP="007D0DEE">
            <w:pPr>
              <w:rPr>
                <w:rFonts w:ascii="Times New Roman" w:hAnsi="Times New Roman"/>
                <w:sz w:val="24"/>
                <w:szCs w:val="24"/>
                <w:lang w:val="en-GB"/>
              </w:rPr>
            </w:pPr>
          </w:p>
        </w:tc>
        <w:tc>
          <w:tcPr>
            <w:tcW w:w="881" w:type="pct"/>
          </w:tcPr>
          <w:p w14:paraId="44087E4C" w14:textId="77777777" w:rsidR="007D6869" w:rsidRPr="008D09CC" w:rsidRDefault="007D6869" w:rsidP="007D0DEE">
            <w:pPr>
              <w:rPr>
                <w:rFonts w:ascii="Times New Roman" w:hAnsi="Times New Roman"/>
                <w:sz w:val="24"/>
                <w:szCs w:val="24"/>
                <w:lang w:val="en-GB"/>
              </w:rPr>
            </w:pPr>
          </w:p>
        </w:tc>
        <w:tc>
          <w:tcPr>
            <w:tcW w:w="1020" w:type="pct"/>
          </w:tcPr>
          <w:p w14:paraId="14E1F4FD"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Reye’s syndrome</w:t>
            </w:r>
          </w:p>
        </w:tc>
        <w:tc>
          <w:tcPr>
            <w:tcW w:w="1303" w:type="pct"/>
          </w:tcPr>
          <w:p w14:paraId="3B805D69"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Hepatic insufficiency,</w:t>
            </w:r>
          </w:p>
          <w:p w14:paraId="468C5445"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hepatic enzyme increased</w:t>
            </w:r>
          </w:p>
        </w:tc>
      </w:tr>
      <w:tr w:rsidR="007D6869" w:rsidRPr="00C65FFA" w14:paraId="32BB9850" w14:textId="77777777" w:rsidTr="007D0DEE">
        <w:tc>
          <w:tcPr>
            <w:tcW w:w="918" w:type="pct"/>
          </w:tcPr>
          <w:p w14:paraId="0CDA065F"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Skin and subcutaneous tissue disorders</w:t>
            </w:r>
          </w:p>
        </w:tc>
        <w:tc>
          <w:tcPr>
            <w:tcW w:w="878" w:type="pct"/>
          </w:tcPr>
          <w:p w14:paraId="23332987" w14:textId="77777777" w:rsidR="007D6869" w:rsidRPr="008D09CC" w:rsidRDefault="007D6869" w:rsidP="007D0DEE">
            <w:pPr>
              <w:rPr>
                <w:rFonts w:ascii="Times New Roman" w:hAnsi="Times New Roman"/>
                <w:sz w:val="24"/>
                <w:szCs w:val="24"/>
                <w:lang w:val="en-GB"/>
              </w:rPr>
            </w:pPr>
          </w:p>
        </w:tc>
        <w:tc>
          <w:tcPr>
            <w:tcW w:w="881" w:type="pct"/>
          </w:tcPr>
          <w:p w14:paraId="7CCCF0AA"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Urticaria</w:t>
            </w:r>
          </w:p>
        </w:tc>
        <w:tc>
          <w:tcPr>
            <w:tcW w:w="1020" w:type="pct"/>
          </w:tcPr>
          <w:p w14:paraId="5D3994AE"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Stevens-Johnson syndrome,</w:t>
            </w:r>
          </w:p>
          <w:p w14:paraId="0509B8D9" w14:textId="77777777" w:rsidR="007D6869" w:rsidRPr="008D09CC" w:rsidRDefault="007D6869" w:rsidP="007D0DEE">
            <w:pPr>
              <w:rPr>
                <w:rFonts w:ascii="Times New Roman" w:hAnsi="Times New Roman"/>
                <w:sz w:val="24"/>
                <w:szCs w:val="24"/>
                <w:lang w:val="en-GB"/>
              </w:rPr>
            </w:pPr>
            <w:proofErr w:type="spellStart"/>
            <w:r w:rsidRPr="008D09CC">
              <w:rPr>
                <w:rFonts w:ascii="Times New Roman" w:hAnsi="Times New Roman"/>
                <w:sz w:val="24"/>
                <w:szCs w:val="24"/>
                <w:lang w:val="en-GB"/>
              </w:rPr>
              <w:t>Lyells</w:t>
            </w:r>
            <w:proofErr w:type="spellEnd"/>
            <w:r w:rsidRPr="008D09CC">
              <w:rPr>
                <w:rFonts w:ascii="Times New Roman" w:hAnsi="Times New Roman"/>
                <w:sz w:val="24"/>
                <w:szCs w:val="24"/>
                <w:lang w:val="en-GB"/>
              </w:rPr>
              <w:t xml:space="preserve"> syndrome,</w:t>
            </w:r>
          </w:p>
          <w:p w14:paraId="610503F1"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purpura,</w:t>
            </w:r>
          </w:p>
          <w:p w14:paraId="18752DB6"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erythema nodosum,</w:t>
            </w:r>
          </w:p>
          <w:p w14:paraId="62676DF1"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erythema multiforme</w:t>
            </w:r>
          </w:p>
        </w:tc>
        <w:tc>
          <w:tcPr>
            <w:tcW w:w="1303" w:type="pct"/>
          </w:tcPr>
          <w:p w14:paraId="34F193B0" w14:textId="77777777" w:rsidR="007D6869" w:rsidRPr="008D09CC" w:rsidRDefault="007D6869" w:rsidP="007D0DEE">
            <w:pPr>
              <w:rPr>
                <w:rFonts w:ascii="Times New Roman" w:hAnsi="Times New Roman"/>
                <w:sz w:val="24"/>
                <w:szCs w:val="24"/>
                <w:lang w:val="en-GB"/>
              </w:rPr>
            </w:pPr>
          </w:p>
        </w:tc>
      </w:tr>
      <w:tr w:rsidR="007D6869" w:rsidRPr="005A36CC" w14:paraId="0A86726C" w14:textId="77777777" w:rsidTr="007D0DEE">
        <w:tc>
          <w:tcPr>
            <w:tcW w:w="918" w:type="pct"/>
          </w:tcPr>
          <w:p w14:paraId="61CEF294"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Renal and urinary disorders</w:t>
            </w:r>
          </w:p>
        </w:tc>
        <w:tc>
          <w:tcPr>
            <w:tcW w:w="878" w:type="pct"/>
          </w:tcPr>
          <w:p w14:paraId="5B3CF679" w14:textId="77777777" w:rsidR="007D6869" w:rsidRPr="008D09CC" w:rsidRDefault="007D6869" w:rsidP="007D0DEE">
            <w:pPr>
              <w:rPr>
                <w:rFonts w:ascii="Times New Roman" w:hAnsi="Times New Roman"/>
                <w:sz w:val="24"/>
                <w:szCs w:val="24"/>
                <w:lang w:val="en-GB"/>
              </w:rPr>
            </w:pPr>
          </w:p>
        </w:tc>
        <w:tc>
          <w:tcPr>
            <w:tcW w:w="881" w:type="pct"/>
          </w:tcPr>
          <w:p w14:paraId="4CC87093" w14:textId="77777777" w:rsidR="007D6869" w:rsidRPr="008D09CC" w:rsidRDefault="007D6869" w:rsidP="007D0DEE">
            <w:pPr>
              <w:rPr>
                <w:rFonts w:ascii="Times New Roman" w:hAnsi="Times New Roman"/>
                <w:sz w:val="24"/>
                <w:szCs w:val="24"/>
                <w:lang w:val="en-GB"/>
              </w:rPr>
            </w:pPr>
          </w:p>
        </w:tc>
        <w:tc>
          <w:tcPr>
            <w:tcW w:w="1020" w:type="pct"/>
          </w:tcPr>
          <w:p w14:paraId="40939177" w14:textId="77777777" w:rsidR="007D6869" w:rsidRPr="008D09CC" w:rsidRDefault="007D6869" w:rsidP="007D0DEE">
            <w:pPr>
              <w:rPr>
                <w:rFonts w:ascii="Times New Roman" w:hAnsi="Times New Roman"/>
                <w:sz w:val="24"/>
                <w:szCs w:val="24"/>
                <w:lang w:val="en-GB"/>
              </w:rPr>
            </w:pPr>
          </w:p>
        </w:tc>
        <w:tc>
          <w:tcPr>
            <w:tcW w:w="1303" w:type="pct"/>
          </w:tcPr>
          <w:p w14:paraId="784068CE"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Impaired renal function,</w:t>
            </w:r>
          </w:p>
          <w:p w14:paraId="5A019A39"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acute renal failure</w:t>
            </w:r>
          </w:p>
        </w:tc>
      </w:tr>
      <w:tr w:rsidR="007D6869" w:rsidRPr="00C65FFA" w14:paraId="3A267560" w14:textId="77777777" w:rsidTr="007D0DEE">
        <w:tc>
          <w:tcPr>
            <w:tcW w:w="918" w:type="pct"/>
          </w:tcPr>
          <w:p w14:paraId="62E05A6C"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Reproductive system and breast disorders</w:t>
            </w:r>
          </w:p>
        </w:tc>
        <w:tc>
          <w:tcPr>
            <w:tcW w:w="878" w:type="pct"/>
          </w:tcPr>
          <w:p w14:paraId="53F9BC1F" w14:textId="77777777" w:rsidR="007D6869" w:rsidRPr="008D09CC" w:rsidRDefault="007D6869" w:rsidP="007D0DEE">
            <w:pPr>
              <w:rPr>
                <w:rFonts w:ascii="Times New Roman" w:hAnsi="Times New Roman"/>
                <w:sz w:val="24"/>
                <w:szCs w:val="24"/>
                <w:lang w:val="en-GB"/>
              </w:rPr>
            </w:pPr>
          </w:p>
        </w:tc>
        <w:tc>
          <w:tcPr>
            <w:tcW w:w="881" w:type="pct"/>
          </w:tcPr>
          <w:p w14:paraId="2EB2D7C4" w14:textId="77777777" w:rsidR="007D6869" w:rsidRPr="008D09CC" w:rsidRDefault="007D6869" w:rsidP="007D0DEE">
            <w:pPr>
              <w:rPr>
                <w:rFonts w:ascii="Times New Roman" w:hAnsi="Times New Roman"/>
                <w:sz w:val="24"/>
                <w:szCs w:val="24"/>
                <w:lang w:val="en-GB"/>
              </w:rPr>
            </w:pPr>
          </w:p>
        </w:tc>
        <w:tc>
          <w:tcPr>
            <w:tcW w:w="1020" w:type="pct"/>
          </w:tcPr>
          <w:p w14:paraId="1E0C4043" w14:textId="77777777" w:rsidR="007D6869" w:rsidRPr="008D09CC" w:rsidRDefault="007D6869" w:rsidP="007D0DEE">
            <w:pPr>
              <w:rPr>
                <w:rFonts w:ascii="Times New Roman" w:hAnsi="Times New Roman"/>
                <w:sz w:val="24"/>
                <w:szCs w:val="24"/>
                <w:lang w:val="en-GB"/>
              </w:rPr>
            </w:pPr>
            <w:r w:rsidRPr="008D09CC">
              <w:rPr>
                <w:rFonts w:ascii="Times New Roman" w:hAnsi="Times New Roman"/>
                <w:sz w:val="24"/>
                <w:szCs w:val="24"/>
                <w:lang w:val="en-GB"/>
              </w:rPr>
              <w:t>Menorrhagia</w:t>
            </w:r>
          </w:p>
        </w:tc>
        <w:tc>
          <w:tcPr>
            <w:tcW w:w="1303" w:type="pct"/>
          </w:tcPr>
          <w:p w14:paraId="570A1DCF" w14:textId="77777777" w:rsidR="007D6869" w:rsidRPr="008D09CC" w:rsidRDefault="007D6869" w:rsidP="007D0DEE">
            <w:pPr>
              <w:rPr>
                <w:rFonts w:ascii="Times New Roman" w:hAnsi="Times New Roman"/>
                <w:sz w:val="24"/>
                <w:szCs w:val="24"/>
                <w:lang w:val="en-GB"/>
              </w:rPr>
            </w:pPr>
          </w:p>
        </w:tc>
      </w:tr>
    </w:tbl>
    <w:p w14:paraId="7071C248" w14:textId="77777777" w:rsidR="007D6869" w:rsidRPr="00C65FFA" w:rsidRDefault="007D6869" w:rsidP="007D6869">
      <w:pPr>
        <w:rPr>
          <w:sz w:val="24"/>
          <w:szCs w:val="24"/>
        </w:rPr>
      </w:pPr>
    </w:p>
    <w:p w14:paraId="01EC70A1" w14:textId="77777777" w:rsidR="007D0DEE" w:rsidRPr="00C65FFA" w:rsidRDefault="007D0DEE" w:rsidP="007D0DEE">
      <w:pPr>
        <w:ind w:left="851"/>
        <w:rPr>
          <w:sz w:val="24"/>
          <w:szCs w:val="24"/>
          <w:u w:val="single"/>
          <w:lang w:val="en-GB"/>
        </w:rPr>
      </w:pPr>
      <w:r w:rsidRPr="00C65FFA">
        <w:rPr>
          <w:sz w:val="24"/>
          <w:szCs w:val="24"/>
          <w:u w:val="single"/>
          <w:lang w:val="en-GB"/>
        </w:rPr>
        <w:t>Reporting of suspected adverse reactions</w:t>
      </w:r>
    </w:p>
    <w:p w14:paraId="66A97401" w14:textId="77777777" w:rsidR="007D0DEE" w:rsidRPr="00C65FFA" w:rsidRDefault="007D0DEE" w:rsidP="007D0DEE">
      <w:pPr>
        <w:ind w:left="851"/>
        <w:rPr>
          <w:sz w:val="24"/>
          <w:szCs w:val="24"/>
          <w:lang w:val="en-GB"/>
        </w:rPr>
      </w:pPr>
      <w:r w:rsidRPr="00C65FFA">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DD427F4" w14:textId="77777777" w:rsidR="007D0DEE" w:rsidRPr="00C65FFA" w:rsidRDefault="007D0DEE" w:rsidP="007D0DEE">
      <w:pPr>
        <w:ind w:left="851"/>
        <w:rPr>
          <w:sz w:val="24"/>
          <w:szCs w:val="24"/>
          <w:lang w:val="en-GB"/>
        </w:rPr>
      </w:pPr>
    </w:p>
    <w:p w14:paraId="1F0D811A" w14:textId="77777777" w:rsidR="007D0DEE" w:rsidRPr="00C65FFA" w:rsidRDefault="007D0DEE" w:rsidP="007D0DEE">
      <w:pPr>
        <w:ind w:left="851"/>
        <w:rPr>
          <w:sz w:val="24"/>
          <w:szCs w:val="24"/>
        </w:rPr>
      </w:pPr>
      <w:r w:rsidRPr="00C65FFA">
        <w:rPr>
          <w:sz w:val="24"/>
          <w:szCs w:val="24"/>
        </w:rPr>
        <w:t>Lægemiddelstyrelsen</w:t>
      </w:r>
    </w:p>
    <w:p w14:paraId="641E8488" w14:textId="77777777" w:rsidR="007D0DEE" w:rsidRPr="00C65FFA" w:rsidRDefault="007D0DEE" w:rsidP="007D0DEE">
      <w:pPr>
        <w:ind w:left="851"/>
        <w:rPr>
          <w:sz w:val="24"/>
          <w:szCs w:val="24"/>
        </w:rPr>
      </w:pPr>
      <w:r w:rsidRPr="00C65FFA">
        <w:rPr>
          <w:sz w:val="24"/>
          <w:szCs w:val="24"/>
        </w:rPr>
        <w:t>Axel Heides Gade 1</w:t>
      </w:r>
    </w:p>
    <w:p w14:paraId="01CF3731" w14:textId="77777777" w:rsidR="007D0DEE" w:rsidRPr="00C65FFA" w:rsidRDefault="007D0DEE" w:rsidP="007D0DEE">
      <w:pPr>
        <w:ind w:left="851"/>
        <w:rPr>
          <w:sz w:val="24"/>
          <w:szCs w:val="24"/>
        </w:rPr>
      </w:pPr>
      <w:r w:rsidRPr="00C65FFA">
        <w:rPr>
          <w:sz w:val="24"/>
          <w:szCs w:val="24"/>
        </w:rPr>
        <w:t>DK-2300 København S</w:t>
      </w:r>
    </w:p>
    <w:p w14:paraId="058507DB" w14:textId="77777777" w:rsidR="007D0DEE" w:rsidRPr="00DD202F" w:rsidRDefault="007D0DEE" w:rsidP="007D0DEE">
      <w:pPr>
        <w:ind w:left="851"/>
        <w:rPr>
          <w:sz w:val="24"/>
          <w:szCs w:val="24"/>
          <w:lang w:val="en-US"/>
        </w:rPr>
      </w:pPr>
      <w:r w:rsidRPr="00DD202F">
        <w:rPr>
          <w:sz w:val="24"/>
          <w:szCs w:val="24"/>
          <w:lang w:val="en-US"/>
        </w:rPr>
        <w:t>Website: www.meldenbivirkning.dk</w:t>
      </w:r>
    </w:p>
    <w:p w14:paraId="3C835084" w14:textId="77777777" w:rsidR="007C5D2A" w:rsidRPr="00C65FFA" w:rsidRDefault="007C5D2A" w:rsidP="007A4CC6">
      <w:pPr>
        <w:tabs>
          <w:tab w:val="left" w:pos="851"/>
        </w:tabs>
        <w:ind w:left="851"/>
        <w:rPr>
          <w:sz w:val="24"/>
          <w:szCs w:val="24"/>
          <w:lang w:val="en-GB"/>
        </w:rPr>
      </w:pPr>
    </w:p>
    <w:p w14:paraId="14B4A069"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lastRenderedPageBreak/>
        <w:t>4.9</w:t>
      </w:r>
      <w:r w:rsidRPr="00C65FFA">
        <w:rPr>
          <w:b/>
          <w:sz w:val="24"/>
          <w:szCs w:val="24"/>
          <w:lang w:val="en-GB"/>
        </w:rPr>
        <w:tab/>
        <w:t>Overdose</w:t>
      </w:r>
    </w:p>
    <w:p w14:paraId="094F1E31"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Although considerable inter-individual variations are involved, it can be considered that the toxic dose is about 200 mg/kg in adults and 100 mg/kg in children. The lethal dose of acetylsalicylic acid is 25 – 30 grams. Plasma salicylate concentrations above 300 mg/l indicate intoxication. Plasma concentrations above 500 mg/l in adults and 300 mg/l in children generally cause severe toxicity.</w:t>
      </w:r>
    </w:p>
    <w:p w14:paraId="3B45F6AC" w14:textId="77777777" w:rsidR="007D6869" w:rsidRPr="00C65FFA" w:rsidRDefault="007D6869" w:rsidP="007D0DEE">
      <w:pPr>
        <w:ind w:left="851"/>
        <w:rPr>
          <w:sz w:val="24"/>
          <w:szCs w:val="24"/>
          <w:lang w:val="en-US"/>
        </w:rPr>
      </w:pPr>
      <w:r w:rsidRPr="00C65FFA">
        <w:rPr>
          <w:sz w:val="24"/>
          <w:szCs w:val="24"/>
          <w:lang w:val="en-US"/>
        </w:rPr>
        <w:t>Overdose may be harmful for elderly patients and particularly for small children (therapeutic overdose or frequent accidental intoxications may be fatal).</w:t>
      </w:r>
    </w:p>
    <w:p w14:paraId="0614F928" w14:textId="77777777" w:rsidR="007D6869" w:rsidRPr="00C65FFA" w:rsidRDefault="007D6869" w:rsidP="007D0DEE">
      <w:pPr>
        <w:ind w:left="851"/>
        <w:rPr>
          <w:sz w:val="24"/>
          <w:szCs w:val="24"/>
          <w:lang w:val="en-US"/>
        </w:rPr>
      </w:pPr>
    </w:p>
    <w:p w14:paraId="6DA730BF" w14:textId="77777777" w:rsidR="007D6869" w:rsidRPr="00C65FFA" w:rsidRDefault="007D6869" w:rsidP="00105234">
      <w:pPr>
        <w:ind w:left="851"/>
        <w:rPr>
          <w:sz w:val="24"/>
          <w:szCs w:val="24"/>
          <w:u w:val="single"/>
          <w:lang w:val="en-US"/>
        </w:rPr>
      </w:pPr>
      <w:r w:rsidRPr="00C65FFA">
        <w:rPr>
          <w:sz w:val="24"/>
          <w:szCs w:val="24"/>
          <w:u w:val="single"/>
          <w:lang w:val="en-US"/>
        </w:rPr>
        <w:t>Symptoms of moderate intoxications</w:t>
      </w:r>
    </w:p>
    <w:p w14:paraId="4205F896" w14:textId="77777777" w:rsidR="007D6869" w:rsidRPr="00C65FFA" w:rsidRDefault="007D6869" w:rsidP="00105234">
      <w:pPr>
        <w:ind w:left="851"/>
        <w:rPr>
          <w:sz w:val="24"/>
          <w:szCs w:val="24"/>
          <w:lang w:val="en-US"/>
        </w:rPr>
      </w:pPr>
      <w:r w:rsidRPr="00C65FFA">
        <w:rPr>
          <w:sz w:val="24"/>
          <w:szCs w:val="24"/>
          <w:lang w:val="en-US"/>
        </w:rPr>
        <w:t>Tinnitus, hearing disorders, headache, vertigo, confusion and gastrointestinal symptoms (nausea, vomiting and abdominal pain).</w:t>
      </w:r>
    </w:p>
    <w:p w14:paraId="7A1E6D3A" w14:textId="77777777" w:rsidR="007D6869" w:rsidRPr="00C65FFA" w:rsidRDefault="007D6869" w:rsidP="00105234">
      <w:pPr>
        <w:ind w:left="851"/>
        <w:rPr>
          <w:sz w:val="24"/>
          <w:szCs w:val="24"/>
          <w:lang w:val="en-US"/>
        </w:rPr>
      </w:pPr>
    </w:p>
    <w:p w14:paraId="7C5148FF" w14:textId="77777777" w:rsidR="007D6869" w:rsidRPr="00C65FFA" w:rsidRDefault="007D6869" w:rsidP="007D0DEE">
      <w:pPr>
        <w:ind w:left="851"/>
        <w:rPr>
          <w:bCs/>
          <w:iCs/>
          <w:sz w:val="24"/>
          <w:szCs w:val="24"/>
          <w:u w:val="single"/>
          <w:lang w:val="en-US"/>
        </w:rPr>
      </w:pPr>
      <w:r w:rsidRPr="00C65FFA">
        <w:rPr>
          <w:bCs/>
          <w:iCs/>
          <w:sz w:val="24"/>
          <w:szCs w:val="24"/>
          <w:u w:val="single"/>
          <w:lang w:val="en-US"/>
        </w:rPr>
        <w:t>Symptoms of severe intoxications</w:t>
      </w:r>
    </w:p>
    <w:p w14:paraId="556A5373"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 xml:space="preserve">Symptoms are related to severe disruption of the acid-base balance. In the first instance hyperventilation occurs, which results in respiratory alkalosis. Respiratory acidosis ensues due to suppression of the respiratory </w:t>
      </w:r>
      <w:proofErr w:type="spellStart"/>
      <w:r w:rsidRPr="00C65FFA">
        <w:rPr>
          <w:sz w:val="24"/>
          <w:szCs w:val="24"/>
          <w:lang w:val="en-US"/>
        </w:rPr>
        <w:t>centre</w:t>
      </w:r>
      <w:proofErr w:type="spellEnd"/>
      <w:r w:rsidRPr="00C65FFA">
        <w:rPr>
          <w:sz w:val="24"/>
          <w:szCs w:val="24"/>
          <w:lang w:val="en-US"/>
        </w:rPr>
        <w:t>. In addition, metabolic acidosis occurs as a result of the presence of salicylate.</w:t>
      </w:r>
    </w:p>
    <w:p w14:paraId="6B104382"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Since younger children are often not seen until they have reached a late stage of intoxication, they are usually in the stage of acidosis.</w:t>
      </w:r>
    </w:p>
    <w:p w14:paraId="69FABF2C"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 xml:space="preserve">Furthermore, the following symptoms may occur: feelings of restlessness, convulsions, hallucinations; pulmonary </w:t>
      </w:r>
      <w:proofErr w:type="spellStart"/>
      <w:r w:rsidRPr="00C65FFA">
        <w:rPr>
          <w:sz w:val="24"/>
          <w:szCs w:val="24"/>
          <w:lang w:val="en-US"/>
        </w:rPr>
        <w:t>oedema</w:t>
      </w:r>
      <w:proofErr w:type="spellEnd"/>
      <w:r w:rsidRPr="00C65FFA">
        <w:rPr>
          <w:sz w:val="24"/>
          <w:szCs w:val="24"/>
          <w:lang w:val="en-US"/>
        </w:rPr>
        <w:t>; hyperthermia and perspiration, resulting in dehydration</w:t>
      </w:r>
      <w:r w:rsidRPr="00C65FFA" w:rsidDel="00094BC8">
        <w:rPr>
          <w:sz w:val="24"/>
          <w:szCs w:val="24"/>
          <w:lang w:val="en-US"/>
        </w:rPr>
        <w:t xml:space="preserve"> </w:t>
      </w:r>
      <w:r w:rsidRPr="00C65FFA">
        <w:rPr>
          <w:sz w:val="24"/>
          <w:szCs w:val="24"/>
          <w:lang w:val="en-US"/>
        </w:rPr>
        <w:t xml:space="preserve">and </w:t>
      </w:r>
      <w:proofErr w:type="spellStart"/>
      <w:r w:rsidRPr="00C65FFA">
        <w:rPr>
          <w:sz w:val="24"/>
          <w:szCs w:val="24"/>
          <w:lang w:val="en-US"/>
        </w:rPr>
        <w:t>hypoglycaemia</w:t>
      </w:r>
      <w:proofErr w:type="spellEnd"/>
      <w:r w:rsidRPr="00C65FFA">
        <w:rPr>
          <w:sz w:val="24"/>
          <w:szCs w:val="24"/>
          <w:lang w:val="en-US"/>
        </w:rPr>
        <w:t>.</w:t>
      </w:r>
    </w:p>
    <w:p w14:paraId="5384D905"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Depression of the nervous system may lead to coma, cardiovascular collapse or respiratory arrest.</w:t>
      </w:r>
    </w:p>
    <w:p w14:paraId="2A866D15" w14:textId="77777777" w:rsidR="007D6869" w:rsidRPr="00C65FFA" w:rsidRDefault="007D6869" w:rsidP="007D0DEE">
      <w:pPr>
        <w:ind w:left="851"/>
        <w:rPr>
          <w:bCs/>
          <w:iCs/>
          <w:sz w:val="24"/>
          <w:szCs w:val="24"/>
          <w:lang w:val="en-US"/>
        </w:rPr>
      </w:pPr>
    </w:p>
    <w:p w14:paraId="0213976C" w14:textId="77777777" w:rsidR="007D6869" w:rsidRPr="00C65FFA" w:rsidRDefault="007D6869" w:rsidP="007D0DEE">
      <w:pPr>
        <w:ind w:left="851"/>
        <w:rPr>
          <w:sz w:val="24"/>
          <w:szCs w:val="24"/>
          <w:u w:val="single"/>
          <w:lang w:val="en-US"/>
        </w:rPr>
      </w:pPr>
      <w:r w:rsidRPr="00C65FFA">
        <w:rPr>
          <w:bCs/>
          <w:iCs/>
          <w:sz w:val="24"/>
          <w:szCs w:val="24"/>
          <w:u w:val="single"/>
          <w:lang w:val="en-US"/>
        </w:rPr>
        <w:t>Management</w:t>
      </w:r>
    </w:p>
    <w:p w14:paraId="44A4C714"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If a toxic dose has been ingested, hospital admission is required.</w:t>
      </w:r>
    </w:p>
    <w:p w14:paraId="007610A1"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Activated charcoal in at least one initial dose (50 g for an adult, 1 g/kg body weight for a child up to 12 years) should be given to all patients who present within 2 hours of ingestion. In general, whole bowel irrigation is not routinely used for salicylate toxicity but can be considered for massive ingestions.</w:t>
      </w:r>
    </w:p>
    <w:p w14:paraId="4C68AA1C"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 xml:space="preserve">Elimination is increased by urinary </w:t>
      </w:r>
      <w:proofErr w:type="spellStart"/>
      <w:r w:rsidRPr="00C65FFA">
        <w:rPr>
          <w:sz w:val="24"/>
          <w:szCs w:val="24"/>
          <w:lang w:val="en-US"/>
        </w:rPr>
        <w:t>alkalinization</w:t>
      </w:r>
      <w:proofErr w:type="spellEnd"/>
      <w:r w:rsidRPr="00C65FFA">
        <w:rPr>
          <w:sz w:val="24"/>
          <w:szCs w:val="24"/>
          <w:lang w:val="en-US"/>
        </w:rPr>
        <w:t xml:space="preserve"> by sodium bicarbonate. The urine pH should be monitored. Correct metabolic acidosis with intravenous sodium bicarbonate (first check serum potassium).</w:t>
      </w:r>
    </w:p>
    <w:p w14:paraId="6652C1CC"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 xml:space="preserve">In the event of severe intoxication, </w:t>
      </w:r>
      <w:proofErr w:type="spellStart"/>
      <w:r w:rsidRPr="00C65FFA">
        <w:rPr>
          <w:sz w:val="24"/>
          <w:szCs w:val="24"/>
          <w:lang w:val="en-US"/>
        </w:rPr>
        <w:t>haemodialysis</w:t>
      </w:r>
      <w:proofErr w:type="spellEnd"/>
      <w:r w:rsidRPr="00C65FFA">
        <w:rPr>
          <w:sz w:val="24"/>
          <w:szCs w:val="24"/>
          <w:lang w:val="en-US"/>
        </w:rPr>
        <w:t xml:space="preserve"> is to be preferred. Other symptoms to be treated symptomatically.</w:t>
      </w:r>
    </w:p>
    <w:p w14:paraId="2C9C0DA1" w14:textId="77777777" w:rsidR="007C5D2A" w:rsidRPr="00C65FFA" w:rsidRDefault="007C5D2A" w:rsidP="003E0341">
      <w:pPr>
        <w:tabs>
          <w:tab w:val="left" w:pos="851"/>
        </w:tabs>
        <w:ind w:left="851"/>
        <w:rPr>
          <w:sz w:val="24"/>
          <w:szCs w:val="24"/>
          <w:lang w:val="en-GB"/>
        </w:rPr>
      </w:pPr>
    </w:p>
    <w:p w14:paraId="79C39D98" w14:textId="77777777" w:rsidR="008F2F8C" w:rsidRPr="00C65FFA" w:rsidRDefault="0042292D" w:rsidP="0042292D">
      <w:pPr>
        <w:tabs>
          <w:tab w:val="left" w:pos="851"/>
        </w:tabs>
        <w:rPr>
          <w:b/>
          <w:sz w:val="24"/>
          <w:szCs w:val="24"/>
          <w:lang w:val="en-GB"/>
        </w:rPr>
      </w:pPr>
      <w:r w:rsidRPr="00C65FFA">
        <w:rPr>
          <w:b/>
          <w:sz w:val="24"/>
          <w:szCs w:val="24"/>
          <w:lang w:val="en-GB"/>
        </w:rPr>
        <w:t>4.10</w:t>
      </w:r>
      <w:r w:rsidRPr="00C65FFA">
        <w:rPr>
          <w:b/>
          <w:sz w:val="24"/>
          <w:szCs w:val="24"/>
          <w:lang w:val="en-GB"/>
        </w:rPr>
        <w:tab/>
        <w:t>Legal status</w:t>
      </w:r>
    </w:p>
    <w:p w14:paraId="18AD35C5" w14:textId="4A73A57F" w:rsidR="007D0DEE" w:rsidRPr="00C65FFA" w:rsidRDefault="007D0DEE" w:rsidP="007D0DEE">
      <w:pPr>
        <w:pStyle w:val="LMSBrdtekst"/>
        <w:ind w:left="851"/>
        <w:rPr>
          <w:bCs/>
          <w:sz w:val="24"/>
          <w:szCs w:val="24"/>
          <w:lang w:val="en-US"/>
        </w:rPr>
      </w:pPr>
      <w:r w:rsidRPr="00C65FFA">
        <w:rPr>
          <w:bCs/>
          <w:sz w:val="24"/>
          <w:szCs w:val="24"/>
          <w:lang w:val="en-US"/>
        </w:rPr>
        <w:t xml:space="preserve">HX: </w:t>
      </w:r>
      <w:bookmarkStart w:id="3" w:name="_Hlk126327936"/>
      <w:r w:rsidRPr="00C65FFA">
        <w:rPr>
          <w:bCs/>
          <w:sz w:val="24"/>
          <w:szCs w:val="24"/>
          <w:lang w:val="en-US"/>
        </w:rPr>
        <w:t xml:space="preserve">Packages containing no more than </w:t>
      </w:r>
      <w:bookmarkEnd w:id="3"/>
      <w:r w:rsidRPr="00C65FFA">
        <w:rPr>
          <w:bCs/>
          <w:sz w:val="24"/>
          <w:szCs w:val="24"/>
          <w:lang w:val="en-US"/>
        </w:rPr>
        <w:t>50 pcs.</w:t>
      </w:r>
    </w:p>
    <w:p w14:paraId="47F4777F" w14:textId="7485EFC0" w:rsidR="007D0DEE" w:rsidRPr="00C65FFA" w:rsidRDefault="007D0DEE" w:rsidP="007D0DEE">
      <w:pPr>
        <w:pStyle w:val="LMSBrdtekst"/>
        <w:ind w:left="851"/>
        <w:rPr>
          <w:bCs/>
          <w:sz w:val="24"/>
          <w:szCs w:val="24"/>
          <w:lang w:val="en-US"/>
        </w:rPr>
      </w:pPr>
      <w:r w:rsidRPr="00C65FFA">
        <w:rPr>
          <w:bCs/>
          <w:sz w:val="24"/>
          <w:szCs w:val="24"/>
          <w:lang w:val="en-US"/>
        </w:rPr>
        <w:t>HA: Packages containing no more than 100 pcs.</w:t>
      </w:r>
    </w:p>
    <w:p w14:paraId="4306DA6D" w14:textId="77777777" w:rsidR="0091596D" w:rsidRPr="00566EDC" w:rsidRDefault="0091596D" w:rsidP="0091596D">
      <w:pPr>
        <w:tabs>
          <w:tab w:val="left" w:pos="851"/>
        </w:tabs>
        <w:ind w:left="851"/>
        <w:rPr>
          <w:sz w:val="24"/>
          <w:szCs w:val="24"/>
          <w:lang w:val="en-US"/>
        </w:rPr>
      </w:pPr>
      <w:r>
        <w:rPr>
          <w:sz w:val="24"/>
          <w:szCs w:val="24"/>
          <w:lang w:val="en-US"/>
        </w:rPr>
        <w:t>B: No upper limit</w:t>
      </w:r>
    </w:p>
    <w:p w14:paraId="6FC96988" w14:textId="77777777" w:rsidR="007C5D2A" w:rsidRPr="00C65FFA" w:rsidRDefault="007C5D2A" w:rsidP="003E0341">
      <w:pPr>
        <w:tabs>
          <w:tab w:val="left" w:pos="851"/>
        </w:tabs>
        <w:ind w:left="851"/>
        <w:rPr>
          <w:sz w:val="24"/>
          <w:szCs w:val="24"/>
          <w:lang w:val="en-US"/>
        </w:rPr>
      </w:pPr>
    </w:p>
    <w:p w14:paraId="1CE28171" w14:textId="77777777" w:rsidR="00AD2E36" w:rsidRPr="00C65FFA" w:rsidRDefault="00AD2E36" w:rsidP="003E0341">
      <w:pPr>
        <w:tabs>
          <w:tab w:val="left" w:pos="851"/>
        </w:tabs>
        <w:ind w:left="851"/>
        <w:rPr>
          <w:sz w:val="24"/>
          <w:szCs w:val="24"/>
          <w:lang w:val="en-US"/>
        </w:rPr>
      </w:pPr>
    </w:p>
    <w:p w14:paraId="388C896B" w14:textId="77777777" w:rsidR="007C5D2A" w:rsidRPr="00C65FFA" w:rsidRDefault="007C5D2A" w:rsidP="007C5D2A">
      <w:pPr>
        <w:tabs>
          <w:tab w:val="left" w:pos="851"/>
        </w:tabs>
        <w:rPr>
          <w:b/>
          <w:sz w:val="24"/>
          <w:szCs w:val="24"/>
          <w:lang w:val="en-GB"/>
        </w:rPr>
      </w:pPr>
      <w:r w:rsidRPr="00C65FFA">
        <w:rPr>
          <w:b/>
          <w:sz w:val="24"/>
          <w:szCs w:val="24"/>
          <w:lang w:val="en-GB"/>
        </w:rPr>
        <w:t>5.</w:t>
      </w:r>
      <w:r w:rsidRPr="00C65FFA">
        <w:rPr>
          <w:b/>
          <w:sz w:val="24"/>
          <w:szCs w:val="24"/>
          <w:lang w:val="en-GB"/>
        </w:rPr>
        <w:tab/>
        <w:t>PHARMACOLOGICAL PROPERTIES</w:t>
      </w:r>
    </w:p>
    <w:p w14:paraId="02809EA6" w14:textId="77777777" w:rsidR="007C5D2A" w:rsidRPr="00C65FFA" w:rsidRDefault="007C5D2A" w:rsidP="003E0341">
      <w:pPr>
        <w:tabs>
          <w:tab w:val="left" w:pos="851"/>
        </w:tabs>
        <w:ind w:left="851"/>
        <w:rPr>
          <w:sz w:val="24"/>
          <w:szCs w:val="24"/>
          <w:lang w:val="en-GB"/>
        </w:rPr>
      </w:pPr>
    </w:p>
    <w:p w14:paraId="1B52F271"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t>5.1</w:t>
      </w:r>
      <w:r w:rsidRPr="00C65FFA">
        <w:rPr>
          <w:b/>
          <w:sz w:val="24"/>
          <w:szCs w:val="24"/>
          <w:lang w:val="en-GB"/>
        </w:rPr>
        <w:tab/>
        <w:t>Pharmacodynamic properties</w:t>
      </w:r>
      <w:r w:rsidRPr="00C65FFA">
        <w:rPr>
          <w:b/>
          <w:sz w:val="24"/>
          <w:szCs w:val="24"/>
          <w:lang w:val="en-GB"/>
        </w:rPr>
        <w:tab/>
      </w:r>
    </w:p>
    <w:p w14:paraId="58CDC570" w14:textId="7C791FB8" w:rsidR="007D6869" w:rsidRPr="00C65FFA" w:rsidRDefault="007D6869" w:rsidP="007D0DEE">
      <w:pPr>
        <w:autoSpaceDE w:val="0"/>
        <w:autoSpaceDN w:val="0"/>
        <w:adjustRightInd w:val="0"/>
        <w:ind w:left="851"/>
        <w:rPr>
          <w:sz w:val="24"/>
          <w:szCs w:val="24"/>
          <w:lang w:val="en-US"/>
        </w:rPr>
      </w:pPr>
      <w:r w:rsidRPr="00C65FFA">
        <w:rPr>
          <w:sz w:val="24"/>
          <w:szCs w:val="24"/>
          <w:lang w:val="en-US"/>
        </w:rPr>
        <w:t>Pharmacotherapeutic group: antithrombotic agents, platelet aggregation inhibitors excl. heparin</w:t>
      </w:r>
      <w:r w:rsidR="00105234" w:rsidRPr="00C65FFA">
        <w:rPr>
          <w:sz w:val="24"/>
          <w:szCs w:val="24"/>
          <w:lang w:val="en-US"/>
        </w:rPr>
        <w:t xml:space="preserve">, </w:t>
      </w:r>
      <w:r w:rsidRPr="00C65FFA">
        <w:rPr>
          <w:sz w:val="24"/>
          <w:szCs w:val="24"/>
          <w:lang w:val="en-US"/>
        </w:rPr>
        <w:t>ATC code: B01AC06.</w:t>
      </w:r>
    </w:p>
    <w:p w14:paraId="691C370C" w14:textId="3875A484" w:rsidR="008D09CC" w:rsidRDefault="008D09CC">
      <w:pPr>
        <w:rPr>
          <w:sz w:val="24"/>
          <w:szCs w:val="24"/>
          <w:lang w:val="en-US"/>
        </w:rPr>
      </w:pPr>
      <w:r>
        <w:rPr>
          <w:sz w:val="24"/>
          <w:szCs w:val="24"/>
          <w:lang w:val="en-US"/>
        </w:rPr>
        <w:br w:type="page"/>
      </w:r>
    </w:p>
    <w:p w14:paraId="14353678" w14:textId="77777777" w:rsidR="007D6869" w:rsidRPr="00C65FFA" w:rsidRDefault="007D6869" w:rsidP="007D0DEE">
      <w:pPr>
        <w:ind w:left="851"/>
        <w:rPr>
          <w:sz w:val="24"/>
          <w:szCs w:val="24"/>
          <w:lang w:val="en-US"/>
        </w:rPr>
      </w:pPr>
    </w:p>
    <w:p w14:paraId="7A78ADA2" w14:textId="77777777" w:rsidR="007D6869" w:rsidRPr="00C65FFA" w:rsidRDefault="007D6869" w:rsidP="007D0DEE">
      <w:pPr>
        <w:ind w:left="851"/>
        <w:rPr>
          <w:sz w:val="24"/>
          <w:szCs w:val="24"/>
          <w:u w:val="single"/>
          <w:lang w:val="en-US"/>
        </w:rPr>
      </w:pPr>
      <w:r w:rsidRPr="00C65FFA">
        <w:rPr>
          <w:sz w:val="24"/>
          <w:szCs w:val="24"/>
          <w:u w:val="single"/>
          <w:lang w:val="en-US"/>
        </w:rPr>
        <w:t>Mechanism of action</w:t>
      </w:r>
    </w:p>
    <w:p w14:paraId="02AA1DBC" w14:textId="77777777" w:rsidR="007D6869" w:rsidRPr="00C65FFA" w:rsidRDefault="007D6869" w:rsidP="007D0DEE">
      <w:pPr>
        <w:ind w:left="851"/>
        <w:rPr>
          <w:sz w:val="24"/>
          <w:szCs w:val="24"/>
          <w:lang w:val="en-US"/>
        </w:rPr>
      </w:pPr>
      <w:r w:rsidRPr="00C65FFA">
        <w:rPr>
          <w:sz w:val="24"/>
          <w:szCs w:val="24"/>
          <w:lang w:val="en-US"/>
        </w:rPr>
        <w:t>Acetylsalicylic acid inhibits the platelet activation: blocking the platelet cyclooxygenase by acetylation, it inhibits thromboxane A</w:t>
      </w:r>
      <w:r w:rsidRPr="00C65FFA">
        <w:rPr>
          <w:sz w:val="24"/>
          <w:szCs w:val="24"/>
          <w:vertAlign w:val="subscript"/>
          <w:lang w:val="en-US"/>
        </w:rPr>
        <w:t>2</w:t>
      </w:r>
      <w:r w:rsidRPr="00C65FFA">
        <w:rPr>
          <w:sz w:val="24"/>
          <w:szCs w:val="24"/>
          <w:lang w:val="en-US"/>
        </w:rPr>
        <w:t xml:space="preserve"> synthesis, a physiological activating substance released by the platelets and which would play a role in the complications of the atheromatous lesions.</w:t>
      </w:r>
    </w:p>
    <w:p w14:paraId="53436EC4" w14:textId="77777777" w:rsidR="007D6869" w:rsidRPr="00C65FFA" w:rsidRDefault="007D6869" w:rsidP="007D0DEE">
      <w:pPr>
        <w:ind w:left="851"/>
        <w:rPr>
          <w:sz w:val="24"/>
          <w:szCs w:val="24"/>
          <w:lang w:val="en-US"/>
        </w:rPr>
      </w:pPr>
      <w:r w:rsidRPr="00C65FFA">
        <w:rPr>
          <w:sz w:val="24"/>
          <w:szCs w:val="24"/>
          <w:lang w:val="en-US"/>
        </w:rPr>
        <w:t>Inhibition of TXA</w:t>
      </w:r>
      <w:r w:rsidRPr="00C65FFA">
        <w:rPr>
          <w:sz w:val="24"/>
          <w:szCs w:val="24"/>
          <w:vertAlign w:val="subscript"/>
          <w:lang w:val="en-US"/>
        </w:rPr>
        <w:t>2</w:t>
      </w:r>
      <w:r w:rsidRPr="00C65FFA">
        <w:rPr>
          <w:sz w:val="24"/>
          <w:szCs w:val="24"/>
          <w:lang w:val="en-US"/>
        </w:rPr>
        <w:t xml:space="preserve">-synthesis is irreversible, because thrombocytes, which have no nucleus, are not capable (due to lack of protein synthesis capability) to </w:t>
      </w:r>
      <w:proofErr w:type="spellStart"/>
      <w:r w:rsidRPr="00C65FFA">
        <w:rPr>
          <w:sz w:val="24"/>
          <w:szCs w:val="24"/>
          <w:lang w:val="en-US"/>
        </w:rPr>
        <w:t>synthesise</w:t>
      </w:r>
      <w:proofErr w:type="spellEnd"/>
      <w:r w:rsidRPr="00C65FFA">
        <w:rPr>
          <w:sz w:val="24"/>
          <w:szCs w:val="24"/>
          <w:lang w:val="en-US"/>
        </w:rPr>
        <w:t xml:space="preserve"> new cyclooxygenase, which had been acetylated by acetylsalicylic acid.</w:t>
      </w:r>
    </w:p>
    <w:p w14:paraId="5CFD3B42" w14:textId="77777777" w:rsidR="007D6869" w:rsidRPr="00C65FFA" w:rsidRDefault="007D6869" w:rsidP="007D0DEE">
      <w:pPr>
        <w:ind w:left="851"/>
        <w:rPr>
          <w:sz w:val="24"/>
          <w:szCs w:val="24"/>
          <w:lang w:val="en-US"/>
        </w:rPr>
      </w:pPr>
    </w:p>
    <w:p w14:paraId="79D72C96" w14:textId="77777777" w:rsidR="007D6869" w:rsidRPr="00C65FFA" w:rsidRDefault="007D6869" w:rsidP="00105234">
      <w:pPr>
        <w:ind w:left="851"/>
        <w:rPr>
          <w:sz w:val="24"/>
          <w:szCs w:val="24"/>
          <w:u w:val="single"/>
          <w:lang w:val="en-US"/>
        </w:rPr>
      </w:pPr>
      <w:r w:rsidRPr="00C65FFA">
        <w:rPr>
          <w:sz w:val="24"/>
          <w:szCs w:val="24"/>
          <w:u w:val="single"/>
          <w:lang w:val="en-US"/>
        </w:rPr>
        <w:t>Pharmacodynamic effects</w:t>
      </w:r>
    </w:p>
    <w:p w14:paraId="4ED67FFC" w14:textId="77777777" w:rsidR="007D6869" w:rsidRPr="00C65FFA" w:rsidRDefault="007D6869" w:rsidP="007D0DEE">
      <w:pPr>
        <w:ind w:left="851"/>
        <w:rPr>
          <w:sz w:val="24"/>
          <w:szCs w:val="24"/>
          <w:lang w:val="en-US"/>
        </w:rPr>
      </w:pPr>
      <w:r w:rsidRPr="00C65FFA">
        <w:rPr>
          <w:sz w:val="24"/>
          <w:szCs w:val="24"/>
          <w:lang w:val="en-US"/>
        </w:rPr>
        <w:t>The repeated doses from 20 – 325 mg involve an inhibition of the enzymatic activity from 30 – 95%.</w:t>
      </w:r>
    </w:p>
    <w:p w14:paraId="15F8CC61" w14:textId="77777777" w:rsidR="007D6869" w:rsidRPr="00C65FFA" w:rsidRDefault="007D6869" w:rsidP="007D0DEE">
      <w:pPr>
        <w:ind w:left="851"/>
        <w:rPr>
          <w:sz w:val="24"/>
          <w:szCs w:val="24"/>
          <w:lang w:val="en-US"/>
        </w:rPr>
      </w:pPr>
      <w:r w:rsidRPr="00C65FFA">
        <w:rPr>
          <w:sz w:val="24"/>
          <w:szCs w:val="24"/>
          <w:lang w:val="en-US"/>
        </w:rPr>
        <w:t>Due to the irreversible nature of the binding, the effect persists for the lifespan of a thrombocyte (7 – 10 days). The inhibiting effect does not exhaust during prolonged treatments and the enzymatic activity gradually begins again upon renewal of the platelets 24 – 48 hours after treatment interruption.</w:t>
      </w:r>
    </w:p>
    <w:p w14:paraId="04C552F3" w14:textId="77777777" w:rsidR="007D6869" w:rsidRPr="00C65FFA" w:rsidRDefault="007D6869" w:rsidP="007D0DEE">
      <w:pPr>
        <w:autoSpaceDE w:val="0"/>
        <w:autoSpaceDN w:val="0"/>
        <w:adjustRightInd w:val="0"/>
        <w:ind w:left="851"/>
        <w:rPr>
          <w:sz w:val="24"/>
          <w:szCs w:val="24"/>
          <w:lang w:val="en-US"/>
        </w:rPr>
      </w:pPr>
      <w:r w:rsidRPr="00C65FFA">
        <w:rPr>
          <w:sz w:val="24"/>
          <w:szCs w:val="24"/>
          <w:lang w:val="en-US"/>
        </w:rPr>
        <w:t>Acetylsalicylic acid extends bleeding time on average by approximately 50 – 100%, but individual variations can be observed.</w:t>
      </w:r>
    </w:p>
    <w:p w14:paraId="210BE01D" w14:textId="77777777" w:rsidR="007D6869" w:rsidRPr="00C65FFA" w:rsidRDefault="007D6869" w:rsidP="007D0DEE">
      <w:pPr>
        <w:autoSpaceDE w:val="0"/>
        <w:autoSpaceDN w:val="0"/>
        <w:adjustRightInd w:val="0"/>
        <w:ind w:left="851"/>
        <w:rPr>
          <w:sz w:val="24"/>
          <w:szCs w:val="24"/>
          <w:lang w:val="en-US" w:eastAsia="en-GB"/>
        </w:rPr>
      </w:pPr>
      <w:r w:rsidRPr="00C65FFA">
        <w:rPr>
          <w:sz w:val="24"/>
          <w:szCs w:val="24"/>
          <w:lang w:val="en-US" w:eastAsia="en-GB"/>
        </w:rPr>
        <w:t>Experimental data suggest that ibuprofen may inhibit the effect of low dose acetylsalicylic acid on platelet aggregation when they are dosed concomitantly. In one study, when a single dose of ibuprofen 400 mg was taken within 8 h before or within 30 min after immediate release acetylsalicylic acid dosing (81 mg), a decreased effect of acetylsalicylic acid on the formation of thromboxane or platelet aggregation occurred. However, the limitations of these data and the uncertainties regarding extrapolation of ex vivo data to the clinical situation imply that no firm conclusions can be made for regular ibuprofen use, and no clinically relevant effect is considered to be likely for occasional ibuprofen use.</w:t>
      </w:r>
    </w:p>
    <w:p w14:paraId="19A6E0A0" w14:textId="77777777" w:rsidR="007C5D2A" w:rsidRPr="00C65FFA" w:rsidRDefault="007C5D2A" w:rsidP="003E0341">
      <w:pPr>
        <w:tabs>
          <w:tab w:val="left" w:pos="851"/>
        </w:tabs>
        <w:ind w:left="851"/>
        <w:rPr>
          <w:sz w:val="24"/>
          <w:szCs w:val="24"/>
          <w:lang w:val="en-GB"/>
        </w:rPr>
      </w:pPr>
    </w:p>
    <w:p w14:paraId="320420EF" w14:textId="77777777" w:rsidR="007C5D2A" w:rsidRPr="00C65FFA" w:rsidRDefault="007C5D2A" w:rsidP="007C5D2A">
      <w:pPr>
        <w:tabs>
          <w:tab w:val="left" w:pos="851"/>
        </w:tabs>
        <w:ind w:left="851" w:hanging="851"/>
        <w:rPr>
          <w:b/>
          <w:sz w:val="24"/>
          <w:szCs w:val="24"/>
          <w:lang w:val="en-GB"/>
        </w:rPr>
      </w:pPr>
      <w:r w:rsidRPr="00C65FFA">
        <w:rPr>
          <w:b/>
          <w:sz w:val="24"/>
          <w:szCs w:val="24"/>
          <w:lang w:val="en-GB"/>
        </w:rPr>
        <w:t>5.2</w:t>
      </w:r>
      <w:r w:rsidRPr="00C65FFA">
        <w:rPr>
          <w:b/>
          <w:sz w:val="24"/>
          <w:szCs w:val="24"/>
          <w:lang w:val="en-GB"/>
        </w:rPr>
        <w:tab/>
        <w:t>Pharmacokinetic properties</w:t>
      </w:r>
      <w:r w:rsidRPr="00C65FFA">
        <w:rPr>
          <w:b/>
          <w:sz w:val="24"/>
          <w:szCs w:val="24"/>
          <w:lang w:val="en-GB"/>
        </w:rPr>
        <w:tab/>
      </w:r>
    </w:p>
    <w:p w14:paraId="740284E8" w14:textId="77777777" w:rsidR="00C65FFA" w:rsidRDefault="00C65FFA" w:rsidP="007D0DEE">
      <w:pPr>
        <w:ind w:left="851"/>
        <w:rPr>
          <w:sz w:val="24"/>
          <w:szCs w:val="24"/>
          <w:u w:val="single"/>
          <w:lang w:val="en-US"/>
        </w:rPr>
      </w:pPr>
    </w:p>
    <w:p w14:paraId="7CCC15F2" w14:textId="2D7EC96F" w:rsidR="007D6869" w:rsidRPr="00C65FFA" w:rsidRDefault="007D6869" w:rsidP="007D0DEE">
      <w:pPr>
        <w:ind w:left="851"/>
        <w:rPr>
          <w:sz w:val="24"/>
          <w:szCs w:val="24"/>
          <w:u w:val="single"/>
          <w:lang w:val="en-US"/>
        </w:rPr>
      </w:pPr>
      <w:r w:rsidRPr="00C65FFA">
        <w:rPr>
          <w:sz w:val="24"/>
          <w:szCs w:val="24"/>
          <w:u w:val="single"/>
          <w:lang w:val="en-US"/>
        </w:rPr>
        <w:t>Absorption</w:t>
      </w:r>
    </w:p>
    <w:p w14:paraId="3C72EC63" w14:textId="77777777" w:rsidR="007D6869" w:rsidRPr="00C65FFA" w:rsidRDefault="007D6869" w:rsidP="007D0DEE">
      <w:pPr>
        <w:ind w:left="851"/>
        <w:rPr>
          <w:sz w:val="24"/>
          <w:szCs w:val="24"/>
          <w:lang w:val="en-US"/>
        </w:rPr>
      </w:pPr>
      <w:r w:rsidRPr="00C65FFA">
        <w:rPr>
          <w:sz w:val="24"/>
          <w:szCs w:val="24"/>
          <w:lang w:val="en-US"/>
        </w:rPr>
        <w:t xml:space="preserve">After oral administration, acetylsalicylic acid is rapidly and completely absorbed from the gastrointestinal tract. The principal site of absorption is the proximal small intestine. However, a significant portion of the dosage is already </w:t>
      </w:r>
      <w:proofErr w:type="spellStart"/>
      <w:r w:rsidRPr="00C65FFA">
        <w:rPr>
          <w:sz w:val="24"/>
          <w:szCs w:val="24"/>
          <w:lang w:val="en-US"/>
        </w:rPr>
        <w:t>hydrolysed</w:t>
      </w:r>
      <w:proofErr w:type="spellEnd"/>
      <w:r w:rsidRPr="00C65FFA">
        <w:rPr>
          <w:sz w:val="24"/>
          <w:szCs w:val="24"/>
          <w:lang w:val="en-US"/>
        </w:rPr>
        <w:t xml:space="preserve"> to salicylic acid in the intestinal wall during the absorption process. The degree of hydrolysis is dependent on the rate of absorption.</w:t>
      </w:r>
    </w:p>
    <w:p w14:paraId="1FE35507" w14:textId="455F58C6" w:rsidR="007D6869" w:rsidRPr="00C65FFA" w:rsidRDefault="007D6869" w:rsidP="007D0DEE">
      <w:pPr>
        <w:ind w:left="851"/>
        <w:rPr>
          <w:sz w:val="24"/>
          <w:szCs w:val="24"/>
          <w:lang w:val="en-US"/>
        </w:rPr>
      </w:pPr>
      <w:r w:rsidRPr="00C65FFA">
        <w:rPr>
          <w:sz w:val="24"/>
          <w:szCs w:val="24"/>
          <w:lang w:val="en-US"/>
        </w:rPr>
        <w:t xml:space="preserve">After intake of </w:t>
      </w:r>
      <w:proofErr w:type="spellStart"/>
      <w:r w:rsidR="00C65FFA" w:rsidRPr="00C65FFA">
        <w:rPr>
          <w:sz w:val="24"/>
          <w:szCs w:val="24"/>
          <w:lang w:val="en-US"/>
        </w:rPr>
        <w:t>Anopyrin</w:t>
      </w:r>
      <w:proofErr w:type="spellEnd"/>
      <w:r w:rsidRPr="00C65FFA">
        <w:rPr>
          <w:sz w:val="24"/>
          <w:szCs w:val="24"/>
          <w:lang w:val="en-US"/>
        </w:rPr>
        <w:t xml:space="preserve"> gastro-resistant tablets the maximum plasma levels of acetylsalicylic acid and salicylic acid are reached after about 3.5 and 4.5 hours, respectively, following administration in the fasted state. If the tablets are taken with food, maximum plasma levels are reached approximately 3 hours later than in the fasted state.</w:t>
      </w:r>
    </w:p>
    <w:p w14:paraId="6F41B6D2" w14:textId="77777777" w:rsidR="007D6869" w:rsidRPr="00C65FFA" w:rsidRDefault="007D6869" w:rsidP="007D0DEE">
      <w:pPr>
        <w:ind w:left="851"/>
        <w:rPr>
          <w:sz w:val="24"/>
          <w:szCs w:val="24"/>
          <w:u w:val="single"/>
          <w:lang w:val="en-US"/>
        </w:rPr>
      </w:pPr>
    </w:p>
    <w:p w14:paraId="470F88DB" w14:textId="77777777" w:rsidR="007D6869" w:rsidRPr="00C65FFA" w:rsidRDefault="007D6869" w:rsidP="007D0DEE">
      <w:pPr>
        <w:ind w:left="851"/>
        <w:rPr>
          <w:sz w:val="24"/>
          <w:szCs w:val="24"/>
          <w:u w:val="single"/>
          <w:lang w:val="en-US"/>
        </w:rPr>
      </w:pPr>
      <w:r w:rsidRPr="00C65FFA">
        <w:rPr>
          <w:sz w:val="24"/>
          <w:szCs w:val="24"/>
          <w:u w:val="single"/>
          <w:lang w:val="en-US"/>
        </w:rPr>
        <w:t>Distribution</w:t>
      </w:r>
    </w:p>
    <w:p w14:paraId="3A02090F" w14:textId="77777777" w:rsidR="007D6869" w:rsidRPr="00C65FFA" w:rsidRDefault="007D6869" w:rsidP="007D0DEE">
      <w:pPr>
        <w:ind w:left="851"/>
        <w:rPr>
          <w:sz w:val="24"/>
          <w:szCs w:val="24"/>
          <w:lang w:val="en-US"/>
        </w:rPr>
      </w:pPr>
      <w:r w:rsidRPr="00C65FFA">
        <w:rPr>
          <w:sz w:val="24"/>
          <w:szCs w:val="24"/>
          <w:lang w:val="en-US"/>
        </w:rPr>
        <w:t xml:space="preserve">Acetylsalicylic acid as well as the main metabolite salicylic acid, are extensively bound to plasma proteins, primarily albumin, and distributed rapidly into all parts of the body. The degree of protein binding of salicylic acid is strongly </w:t>
      </w:r>
      <w:proofErr w:type="spellStart"/>
      <w:r w:rsidRPr="00C65FFA">
        <w:rPr>
          <w:sz w:val="24"/>
          <w:szCs w:val="24"/>
          <w:lang w:val="en-US"/>
        </w:rPr>
        <w:t>dependant</w:t>
      </w:r>
      <w:proofErr w:type="spellEnd"/>
      <w:r w:rsidRPr="00C65FFA">
        <w:rPr>
          <w:sz w:val="24"/>
          <w:szCs w:val="24"/>
          <w:lang w:val="en-US"/>
        </w:rPr>
        <w:t xml:space="preserve"> of both the salicylic acid and albumin concentration. The volume of distribution of acetylsalicylic acid is ca. 0.16 l/kg of body weight. Salicylic acid slowly diffuses into the synovial fluid, crosses the placental barrier and passes into breast milk.</w:t>
      </w:r>
    </w:p>
    <w:p w14:paraId="7B225392" w14:textId="58775D41" w:rsidR="008D09CC" w:rsidRDefault="008D09CC">
      <w:pPr>
        <w:rPr>
          <w:sz w:val="24"/>
          <w:szCs w:val="24"/>
          <w:lang w:val="en-US"/>
        </w:rPr>
      </w:pPr>
      <w:r>
        <w:rPr>
          <w:sz w:val="24"/>
          <w:szCs w:val="24"/>
          <w:lang w:val="en-US"/>
        </w:rPr>
        <w:br w:type="page"/>
      </w:r>
    </w:p>
    <w:p w14:paraId="76416146" w14:textId="77777777" w:rsidR="007D6869" w:rsidRPr="00C65FFA" w:rsidRDefault="007D6869" w:rsidP="007D0DEE">
      <w:pPr>
        <w:ind w:left="851"/>
        <w:rPr>
          <w:sz w:val="24"/>
          <w:szCs w:val="24"/>
          <w:lang w:val="en-US"/>
        </w:rPr>
      </w:pPr>
    </w:p>
    <w:p w14:paraId="6EED010C" w14:textId="77777777" w:rsidR="007D6869" w:rsidRPr="00C65FFA" w:rsidRDefault="007D6869" w:rsidP="007D0DEE">
      <w:pPr>
        <w:ind w:left="851"/>
        <w:rPr>
          <w:sz w:val="24"/>
          <w:szCs w:val="24"/>
          <w:u w:val="single"/>
          <w:lang w:val="en-US"/>
        </w:rPr>
      </w:pPr>
      <w:r w:rsidRPr="00C65FFA">
        <w:rPr>
          <w:sz w:val="24"/>
          <w:szCs w:val="24"/>
          <w:u w:val="single"/>
          <w:lang w:val="en-US"/>
        </w:rPr>
        <w:t>Biotransformation</w:t>
      </w:r>
    </w:p>
    <w:p w14:paraId="154E10B0" w14:textId="77777777" w:rsidR="007D6869" w:rsidRPr="00C65FFA" w:rsidRDefault="007D6869" w:rsidP="007D0DEE">
      <w:pPr>
        <w:ind w:left="851"/>
        <w:rPr>
          <w:sz w:val="24"/>
          <w:szCs w:val="24"/>
          <w:lang w:val="en-US"/>
        </w:rPr>
      </w:pPr>
      <w:r w:rsidRPr="00C65FFA">
        <w:rPr>
          <w:sz w:val="24"/>
          <w:szCs w:val="24"/>
          <w:lang w:val="en-US" w:eastAsia="nl-NL"/>
        </w:rPr>
        <w:t xml:space="preserve">Acetylsalicylic acid is rapidly </w:t>
      </w:r>
      <w:proofErr w:type="spellStart"/>
      <w:r w:rsidRPr="00C65FFA">
        <w:rPr>
          <w:sz w:val="24"/>
          <w:szCs w:val="24"/>
          <w:lang w:val="en-US" w:eastAsia="nl-NL"/>
        </w:rPr>
        <w:t>metabolised</w:t>
      </w:r>
      <w:proofErr w:type="spellEnd"/>
      <w:r w:rsidRPr="00C65FFA">
        <w:rPr>
          <w:sz w:val="24"/>
          <w:szCs w:val="24"/>
          <w:lang w:val="en-US" w:eastAsia="nl-NL"/>
        </w:rPr>
        <w:t xml:space="preserve"> to salicylic acid, with a half-life of 15 – 30 minutes. </w:t>
      </w:r>
      <w:r w:rsidRPr="00C65FFA">
        <w:rPr>
          <w:sz w:val="24"/>
          <w:szCs w:val="24"/>
          <w:lang w:val="en-US"/>
        </w:rPr>
        <w:t xml:space="preserve">Salicylic acid is subsequently predominantly converted into glycine and glucuronic acid conjugates, and traces of </w:t>
      </w:r>
      <w:proofErr w:type="spellStart"/>
      <w:r w:rsidRPr="00C65FFA">
        <w:rPr>
          <w:sz w:val="24"/>
          <w:szCs w:val="24"/>
          <w:lang w:val="en-US"/>
        </w:rPr>
        <w:t>gentisic</w:t>
      </w:r>
      <w:proofErr w:type="spellEnd"/>
      <w:r w:rsidRPr="00C65FFA">
        <w:rPr>
          <w:sz w:val="24"/>
          <w:szCs w:val="24"/>
          <w:lang w:val="en-US"/>
        </w:rPr>
        <w:t xml:space="preserve"> acid.</w:t>
      </w:r>
    </w:p>
    <w:p w14:paraId="6EE2F5FE" w14:textId="77777777" w:rsidR="007D6869" w:rsidRPr="00C65FFA" w:rsidRDefault="007D6869" w:rsidP="007D0DEE">
      <w:pPr>
        <w:ind w:left="851"/>
        <w:rPr>
          <w:sz w:val="24"/>
          <w:szCs w:val="24"/>
          <w:lang w:val="en-US"/>
        </w:rPr>
      </w:pPr>
      <w:r w:rsidRPr="00C65FFA">
        <w:rPr>
          <w:sz w:val="24"/>
          <w:szCs w:val="24"/>
          <w:lang w:val="en-US"/>
        </w:rPr>
        <w:t xml:space="preserve">Elimination kinetics of salicylic acid is dose-dependent, because the metabolism is limited by liver enzyme capacity. Thus, elimination half-time varies and is 2 – 3 hours after low doses, </w:t>
      </w:r>
      <w:r w:rsidRPr="00C65FFA">
        <w:rPr>
          <w:sz w:val="24"/>
          <w:szCs w:val="24"/>
          <w:lang w:val="en-US" w:eastAsia="nl-NL"/>
        </w:rPr>
        <w:t xml:space="preserve">12 hours after usual </w:t>
      </w:r>
      <w:proofErr w:type="spellStart"/>
      <w:r w:rsidRPr="00C65FFA">
        <w:rPr>
          <w:sz w:val="24"/>
          <w:szCs w:val="24"/>
          <w:lang w:val="en-US" w:eastAsia="nl-NL"/>
        </w:rPr>
        <w:t>analgetic</w:t>
      </w:r>
      <w:proofErr w:type="spellEnd"/>
      <w:r w:rsidRPr="00C65FFA">
        <w:rPr>
          <w:sz w:val="24"/>
          <w:szCs w:val="24"/>
          <w:lang w:val="en-US" w:eastAsia="nl-NL"/>
        </w:rPr>
        <w:t xml:space="preserve"> doses and 15 – 30 hours after high therapeutic doses or intoxication.</w:t>
      </w:r>
    </w:p>
    <w:p w14:paraId="14040B1C" w14:textId="77777777" w:rsidR="007D6869" w:rsidRPr="00C65FFA" w:rsidRDefault="007D6869" w:rsidP="007D0DEE">
      <w:pPr>
        <w:ind w:left="851"/>
        <w:rPr>
          <w:sz w:val="24"/>
          <w:szCs w:val="24"/>
          <w:lang w:val="en-US"/>
        </w:rPr>
      </w:pPr>
    </w:p>
    <w:p w14:paraId="7A2AF222" w14:textId="77777777" w:rsidR="007D6869" w:rsidRPr="00C65FFA" w:rsidRDefault="007D6869" w:rsidP="007D0DEE">
      <w:pPr>
        <w:ind w:left="851"/>
        <w:rPr>
          <w:sz w:val="24"/>
          <w:szCs w:val="24"/>
          <w:u w:val="single"/>
          <w:lang w:val="en-US"/>
        </w:rPr>
      </w:pPr>
      <w:r w:rsidRPr="00C65FFA">
        <w:rPr>
          <w:sz w:val="24"/>
          <w:szCs w:val="24"/>
          <w:u w:val="single"/>
          <w:lang w:val="en-US"/>
        </w:rPr>
        <w:t>Elimination</w:t>
      </w:r>
    </w:p>
    <w:p w14:paraId="5C97EEB2" w14:textId="77777777" w:rsidR="007D6869" w:rsidRPr="00C65FFA" w:rsidRDefault="007D6869" w:rsidP="007D0DEE">
      <w:pPr>
        <w:ind w:left="851"/>
        <w:rPr>
          <w:sz w:val="24"/>
          <w:szCs w:val="24"/>
          <w:lang w:val="en-US"/>
        </w:rPr>
      </w:pPr>
      <w:r w:rsidRPr="00C65FFA">
        <w:rPr>
          <w:sz w:val="24"/>
          <w:szCs w:val="24"/>
          <w:lang w:val="en-US"/>
        </w:rPr>
        <w:t>Salicylic acid and its metabolites are predominantly excreted via the kidneys.</w:t>
      </w:r>
    </w:p>
    <w:p w14:paraId="63EAA494" w14:textId="77777777" w:rsidR="007C5D2A" w:rsidRPr="00C65FFA" w:rsidRDefault="007C5D2A" w:rsidP="003E0341">
      <w:pPr>
        <w:tabs>
          <w:tab w:val="left" w:pos="851"/>
        </w:tabs>
        <w:ind w:left="851"/>
        <w:rPr>
          <w:sz w:val="24"/>
          <w:szCs w:val="24"/>
          <w:lang w:val="en-GB"/>
        </w:rPr>
      </w:pPr>
    </w:p>
    <w:p w14:paraId="3BB8A3EC" w14:textId="77777777" w:rsidR="007C5D2A" w:rsidRPr="00C65FFA" w:rsidRDefault="00180A12" w:rsidP="007C5D2A">
      <w:pPr>
        <w:tabs>
          <w:tab w:val="left" w:pos="851"/>
        </w:tabs>
        <w:ind w:left="851" w:hanging="851"/>
        <w:rPr>
          <w:b/>
          <w:sz w:val="24"/>
          <w:szCs w:val="24"/>
          <w:lang w:val="en-GB"/>
        </w:rPr>
      </w:pPr>
      <w:r w:rsidRPr="00C65FFA">
        <w:rPr>
          <w:b/>
          <w:sz w:val="24"/>
          <w:szCs w:val="24"/>
          <w:lang w:val="en-GB"/>
        </w:rPr>
        <w:t>5.3</w:t>
      </w:r>
      <w:r w:rsidRPr="00C65FFA">
        <w:rPr>
          <w:b/>
          <w:sz w:val="24"/>
          <w:szCs w:val="24"/>
          <w:lang w:val="en-GB"/>
        </w:rPr>
        <w:tab/>
        <w:t>Preclinical safety data</w:t>
      </w:r>
    </w:p>
    <w:p w14:paraId="5FF555D3" w14:textId="77777777" w:rsidR="007D6869" w:rsidRPr="00C65FFA" w:rsidRDefault="007D6869" w:rsidP="007D0DEE">
      <w:pPr>
        <w:ind w:left="851"/>
        <w:rPr>
          <w:sz w:val="24"/>
          <w:szCs w:val="24"/>
          <w:lang w:val="en-US"/>
        </w:rPr>
      </w:pPr>
      <w:r w:rsidRPr="00C65FFA">
        <w:rPr>
          <w:sz w:val="24"/>
          <w:szCs w:val="24"/>
          <w:lang w:val="en-US"/>
        </w:rPr>
        <w:t>The preclinical safety profile of acetylsalicylic acid is well documented.</w:t>
      </w:r>
    </w:p>
    <w:p w14:paraId="61EA6EC5" w14:textId="77777777" w:rsidR="007D6869" w:rsidRPr="00C65FFA" w:rsidRDefault="007D6869" w:rsidP="007D0DEE">
      <w:pPr>
        <w:ind w:left="851"/>
        <w:rPr>
          <w:sz w:val="24"/>
          <w:szCs w:val="24"/>
          <w:lang w:val="en-US"/>
        </w:rPr>
      </w:pPr>
      <w:r w:rsidRPr="00C65FFA">
        <w:rPr>
          <w:sz w:val="24"/>
          <w:szCs w:val="24"/>
          <w:lang w:val="en-US"/>
        </w:rPr>
        <w:t>In experimental animal studies, salicylates have shown no other organ injury than renal damage.</w:t>
      </w:r>
    </w:p>
    <w:p w14:paraId="79A863B7" w14:textId="77777777" w:rsidR="007D6869" w:rsidRPr="00C65FFA" w:rsidRDefault="007D6869" w:rsidP="007D0DEE">
      <w:pPr>
        <w:ind w:left="851"/>
        <w:rPr>
          <w:sz w:val="24"/>
          <w:szCs w:val="24"/>
          <w:lang w:val="en-US"/>
        </w:rPr>
      </w:pPr>
      <w:r w:rsidRPr="00C65FFA">
        <w:rPr>
          <w:sz w:val="24"/>
          <w:szCs w:val="24"/>
          <w:lang w:val="en-US"/>
        </w:rPr>
        <w:t>In rat studies, fetotoxicity and teratogenic effects were observed with acetylsalicylic acid at </w:t>
      </w:r>
      <w:proofErr w:type="spellStart"/>
      <w:r w:rsidRPr="00C65FFA">
        <w:rPr>
          <w:sz w:val="24"/>
          <w:szCs w:val="24"/>
          <w:lang w:val="en-US"/>
        </w:rPr>
        <w:t>maternotoxic</w:t>
      </w:r>
      <w:proofErr w:type="spellEnd"/>
      <w:r w:rsidRPr="00C65FFA">
        <w:rPr>
          <w:sz w:val="24"/>
          <w:szCs w:val="24"/>
          <w:lang w:val="en-US"/>
        </w:rPr>
        <w:t xml:space="preserve"> doses. Clinical relevance is unknown as the doses used in non-clinical studies are much higher (7 times at least) than the maximal recommended doses in targeted cardiovascular indications.</w:t>
      </w:r>
    </w:p>
    <w:p w14:paraId="4C064FC0" w14:textId="77777777" w:rsidR="007D6869" w:rsidRPr="00C65FFA" w:rsidRDefault="007D6869" w:rsidP="007D0DEE">
      <w:pPr>
        <w:ind w:left="851"/>
        <w:rPr>
          <w:sz w:val="24"/>
          <w:szCs w:val="24"/>
          <w:lang w:val="en-US"/>
        </w:rPr>
      </w:pPr>
      <w:r w:rsidRPr="00C65FFA">
        <w:rPr>
          <w:sz w:val="24"/>
          <w:szCs w:val="24"/>
          <w:lang w:val="en-US"/>
        </w:rPr>
        <w:t>A</w:t>
      </w:r>
      <w:r w:rsidRPr="00C65FFA">
        <w:rPr>
          <w:sz w:val="24"/>
          <w:szCs w:val="24"/>
          <w:lang w:val="en-US" w:eastAsia="en-GB"/>
        </w:rPr>
        <w:t xml:space="preserve">cetylsalicylic acid </w:t>
      </w:r>
      <w:r w:rsidRPr="00C65FFA">
        <w:rPr>
          <w:sz w:val="24"/>
          <w:szCs w:val="24"/>
          <w:lang w:val="en-US"/>
        </w:rPr>
        <w:t>was extensively investigated with regard to mutagenic and carcinogenic effects. The results as a whole show no relevant signs for any mutagenic or carcinogenic effects in mice and rat studies.</w:t>
      </w:r>
    </w:p>
    <w:p w14:paraId="74D5126F" w14:textId="77777777" w:rsidR="007C5D2A" w:rsidRPr="00C65FFA" w:rsidRDefault="007C5D2A" w:rsidP="003E0341">
      <w:pPr>
        <w:tabs>
          <w:tab w:val="left" w:pos="851"/>
        </w:tabs>
        <w:ind w:left="851"/>
        <w:rPr>
          <w:sz w:val="24"/>
          <w:szCs w:val="24"/>
          <w:lang w:val="en-GB"/>
        </w:rPr>
      </w:pPr>
    </w:p>
    <w:p w14:paraId="2D312423" w14:textId="77777777" w:rsidR="007C5D2A" w:rsidRPr="00C65FFA" w:rsidRDefault="007C5D2A" w:rsidP="003E0341">
      <w:pPr>
        <w:tabs>
          <w:tab w:val="left" w:pos="851"/>
        </w:tabs>
        <w:ind w:left="851"/>
        <w:rPr>
          <w:sz w:val="24"/>
          <w:szCs w:val="24"/>
          <w:lang w:val="en-GB"/>
        </w:rPr>
      </w:pPr>
    </w:p>
    <w:p w14:paraId="51441746" w14:textId="77777777" w:rsidR="007C5D2A" w:rsidRPr="00C65FFA" w:rsidRDefault="009925C9" w:rsidP="007C5D2A">
      <w:pPr>
        <w:ind w:left="851" w:hanging="851"/>
        <w:rPr>
          <w:b/>
          <w:sz w:val="24"/>
          <w:szCs w:val="24"/>
          <w:lang w:val="en-GB"/>
        </w:rPr>
      </w:pPr>
      <w:r w:rsidRPr="00C65FFA">
        <w:rPr>
          <w:b/>
          <w:sz w:val="24"/>
          <w:szCs w:val="24"/>
          <w:lang w:val="en-GB"/>
        </w:rPr>
        <w:t>6.</w:t>
      </w:r>
      <w:r w:rsidR="007C5D2A" w:rsidRPr="00C65FFA">
        <w:rPr>
          <w:b/>
          <w:sz w:val="24"/>
          <w:szCs w:val="24"/>
          <w:lang w:val="en-GB"/>
        </w:rPr>
        <w:tab/>
        <w:t>PHARMACEUTICAL PARTICULARS</w:t>
      </w:r>
    </w:p>
    <w:p w14:paraId="3C3DB9FD" w14:textId="77777777" w:rsidR="007C5D2A" w:rsidRPr="00C65FFA" w:rsidRDefault="007C5D2A" w:rsidP="003E0341">
      <w:pPr>
        <w:tabs>
          <w:tab w:val="left" w:pos="851"/>
        </w:tabs>
        <w:ind w:left="851"/>
        <w:rPr>
          <w:sz w:val="24"/>
          <w:szCs w:val="24"/>
          <w:lang w:val="en-GB"/>
        </w:rPr>
      </w:pPr>
    </w:p>
    <w:p w14:paraId="2714E56B" w14:textId="77777777" w:rsidR="007C5D2A" w:rsidRPr="00C65FFA" w:rsidRDefault="007C5D2A" w:rsidP="007C5D2A">
      <w:pPr>
        <w:ind w:left="851" w:hanging="851"/>
        <w:rPr>
          <w:b/>
          <w:sz w:val="24"/>
          <w:szCs w:val="24"/>
          <w:lang w:val="en-GB"/>
        </w:rPr>
      </w:pPr>
      <w:r w:rsidRPr="00C65FFA">
        <w:rPr>
          <w:b/>
          <w:sz w:val="24"/>
          <w:szCs w:val="24"/>
          <w:lang w:val="en-GB"/>
        </w:rPr>
        <w:t>6.1</w:t>
      </w:r>
      <w:r w:rsidRPr="00C65FFA">
        <w:rPr>
          <w:b/>
          <w:sz w:val="24"/>
          <w:szCs w:val="24"/>
          <w:lang w:val="en-GB"/>
        </w:rPr>
        <w:tab/>
        <w:t>List of excipients</w:t>
      </w:r>
    </w:p>
    <w:p w14:paraId="2D9F798D" w14:textId="77777777" w:rsidR="007D6869" w:rsidRPr="00C65FFA" w:rsidRDefault="007D6869" w:rsidP="007D0DEE">
      <w:pPr>
        <w:ind w:left="851"/>
        <w:rPr>
          <w:sz w:val="24"/>
          <w:szCs w:val="24"/>
          <w:lang w:val="en-US"/>
        </w:rPr>
      </w:pPr>
      <w:r w:rsidRPr="00C65FFA">
        <w:rPr>
          <w:sz w:val="24"/>
          <w:szCs w:val="24"/>
          <w:lang w:val="en-US"/>
        </w:rPr>
        <w:t>Lactose monohydrate</w:t>
      </w:r>
    </w:p>
    <w:p w14:paraId="5A06DC5B" w14:textId="77777777" w:rsidR="007D6869" w:rsidRPr="00C65FFA" w:rsidRDefault="007D6869" w:rsidP="007D0DEE">
      <w:pPr>
        <w:ind w:left="851"/>
        <w:rPr>
          <w:sz w:val="24"/>
          <w:szCs w:val="24"/>
          <w:lang w:val="en-US"/>
        </w:rPr>
      </w:pPr>
      <w:r w:rsidRPr="00C65FFA">
        <w:rPr>
          <w:sz w:val="24"/>
          <w:szCs w:val="24"/>
          <w:lang w:val="en-US"/>
        </w:rPr>
        <w:t>Microcrystalline cellulose</w:t>
      </w:r>
    </w:p>
    <w:p w14:paraId="5440697F" w14:textId="77777777" w:rsidR="007D6869" w:rsidRPr="00C65FFA" w:rsidRDefault="007D6869" w:rsidP="007D0DEE">
      <w:pPr>
        <w:ind w:left="851"/>
        <w:rPr>
          <w:sz w:val="24"/>
          <w:szCs w:val="24"/>
          <w:lang w:val="en-US"/>
        </w:rPr>
      </w:pPr>
      <w:r w:rsidRPr="00C65FFA">
        <w:rPr>
          <w:sz w:val="24"/>
          <w:szCs w:val="24"/>
          <w:lang w:val="en-US"/>
        </w:rPr>
        <w:t>Silica, colloidal anhydrous</w:t>
      </w:r>
    </w:p>
    <w:p w14:paraId="461C1031" w14:textId="77777777" w:rsidR="007D6869" w:rsidRPr="00C65FFA" w:rsidRDefault="007D6869" w:rsidP="007D0DEE">
      <w:pPr>
        <w:ind w:left="851"/>
        <w:rPr>
          <w:sz w:val="24"/>
          <w:szCs w:val="24"/>
          <w:lang w:val="en-US"/>
        </w:rPr>
      </w:pPr>
      <w:r w:rsidRPr="00C65FFA">
        <w:rPr>
          <w:sz w:val="24"/>
          <w:szCs w:val="24"/>
          <w:lang w:val="en-US"/>
        </w:rPr>
        <w:t>Potato starch</w:t>
      </w:r>
    </w:p>
    <w:p w14:paraId="3DA60696" w14:textId="77777777" w:rsidR="007D6869" w:rsidRPr="00C65FFA" w:rsidRDefault="007D6869" w:rsidP="007D0DEE">
      <w:pPr>
        <w:ind w:left="851"/>
        <w:rPr>
          <w:sz w:val="24"/>
          <w:szCs w:val="24"/>
          <w:lang w:val="en-US"/>
        </w:rPr>
      </w:pPr>
      <w:r w:rsidRPr="00C65FFA">
        <w:rPr>
          <w:sz w:val="24"/>
          <w:szCs w:val="24"/>
          <w:lang w:val="en-US"/>
        </w:rPr>
        <w:t>Talc</w:t>
      </w:r>
    </w:p>
    <w:p w14:paraId="255779B7" w14:textId="77777777" w:rsidR="007D6869" w:rsidRPr="00C65FFA" w:rsidRDefault="007D6869" w:rsidP="007D0DEE">
      <w:pPr>
        <w:ind w:left="851"/>
        <w:rPr>
          <w:sz w:val="24"/>
          <w:szCs w:val="24"/>
          <w:lang w:val="en-US"/>
        </w:rPr>
      </w:pPr>
      <w:r w:rsidRPr="00C65FFA">
        <w:rPr>
          <w:sz w:val="24"/>
          <w:szCs w:val="24"/>
          <w:lang w:val="en-US"/>
        </w:rPr>
        <w:t>Triacetin</w:t>
      </w:r>
    </w:p>
    <w:p w14:paraId="27E5376D" w14:textId="77777777" w:rsidR="007D6869" w:rsidRPr="00C65FFA" w:rsidRDefault="007D6869" w:rsidP="007D0DEE">
      <w:pPr>
        <w:ind w:left="851"/>
        <w:rPr>
          <w:sz w:val="24"/>
          <w:szCs w:val="24"/>
          <w:lang w:val="en-US"/>
        </w:rPr>
      </w:pPr>
      <w:r w:rsidRPr="00C65FFA">
        <w:rPr>
          <w:sz w:val="24"/>
          <w:szCs w:val="24"/>
          <w:lang w:val="en-US"/>
        </w:rPr>
        <w:t>Methacrylic acid-</w:t>
      </w:r>
      <w:proofErr w:type="spellStart"/>
      <w:r w:rsidRPr="00C65FFA">
        <w:rPr>
          <w:sz w:val="24"/>
          <w:szCs w:val="24"/>
          <w:lang w:val="en-US"/>
        </w:rPr>
        <w:t>ethylacrylate</w:t>
      </w:r>
      <w:proofErr w:type="spellEnd"/>
      <w:r w:rsidRPr="00C65FFA">
        <w:rPr>
          <w:sz w:val="24"/>
          <w:szCs w:val="24"/>
          <w:lang w:val="en-US"/>
        </w:rPr>
        <w:t xml:space="preserve"> copolymer (1:1)</w:t>
      </w:r>
    </w:p>
    <w:p w14:paraId="353AE3D5" w14:textId="77777777" w:rsidR="007C5D2A" w:rsidRPr="00C65FFA" w:rsidRDefault="007C5D2A" w:rsidP="003D727E">
      <w:pPr>
        <w:tabs>
          <w:tab w:val="left" w:pos="851"/>
        </w:tabs>
        <w:ind w:left="851"/>
        <w:rPr>
          <w:sz w:val="24"/>
          <w:szCs w:val="24"/>
          <w:lang w:val="en-GB"/>
        </w:rPr>
      </w:pPr>
    </w:p>
    <w:p w14:paraId="2F43430A" w14:textId="77777777" w:rsidR="007C5D2A" w:rsidRPr="00C65FFA" w:rsidRDefault="007C5D2A" w:rsidP="007C5D2A">
      <w:pPr>
        <w:ind w:left="851" w:hanging="851"/>
        <w:rPr>
          <w:b/>
          <w:sz w:val="24"/>
          <w:szCs w:val="24"/>
          <w:lang w:val="en-GB"/>
        </w:rPr>
      </w:pPr>
      <w:r w:rsidRPr="00C65FFA">
        <w:rPr>
          <w:b/>
          <w:sz w:val="24"/>
          <w:szCs w:val="24"/>
          <w:lang w:val="en-GB"/>
        </w:rPr>
        <w:t>6.2</w:t>
      </w:r>
      <w:r w:rsidRPr="00C65FFA">
        <w:rPr>
          <w:b/>
          <w:sz w:val="24"/>
          <w:szCs w:val="24"/>
          <w:lang w:val="en-GB"/>
        </w:rPr>
        <w:tab/>
        <w:t>Incompatibilities</w:t>
      </w:r>
    </w:p>
    <w:p w14:paraId="57EBFB74" w14:textId="77777777" w:rsidR="007D6869" w:rsidRPr="00C65FFA" w:rsidRDefault="007D6869" w:rsidP="007D0DEE">
      <w:pPr>
        <w:ind w:left="851"/>
        <w:rPr>
          <w:sz w:val="24"/>
          <w:szCs w:val="24"/>
          <w:lang w:val="en-US"/>
        </w:rPr>
      </w:pPr>
      <w:r w:rsidRPr="00C65FFA">
        <w:rPr>
          <w:sz w:val="24"/>
          <w:szCs w:val="24"/>
          <w:lang w:val="en-US"/>
        </w:rPr>
        <w:t>Not applicable.</w:t>
      </w:r>
    </w:p>
    <w:p w14:paraId="4DE3D0E4" w14:textId="77777777" w:rsidR="007C5D2A" w:rsidRPr="00C65FFA" w:rsidRDefault="007C5D2A" w:rsidP="003E0341">
      <w:pPr>
        <w:tabs>
          <w:tab w:val="left" w:pos="851"/>
        </w:tabs>
        <w:ind w:left="851"/>
        <w:rPr>
          <w:sz w:val="24"/>
          <w:szCs w:val="24"/>
          <w:lang w:val="en-GB"/>
        </w:rPr>
      </w:pPr>
    </w:p>
    <w:p w14:paraId="37D1AB25" w14:textId="77777777" w:rsidR="007C5D2A" w:rsidRPr="00C65FFA" w:rsidRDefault="007C5D2A" w:rsidP="007C5D2A">
      <w:pPr>
        <w:ind w:left="851" w:hanging="851"/>
        <w:rPr>
          <w:b/>
          <w:sz w:val="24"/>
          <w:szCs w:val="24"/>
          <w:lang w:val="en-GB"/>
        </w:rPr>
      </w:pPr>
      <w:r w:rsidRPr="00C65FFA">
        <w:rPr>
          <w:b/>
          <w:sz w:val="24"/>
          <w:szCs w:val="24"/>
          <w:lang w:val="en-GB"/>
        </w:rPr>
        <w:t>6.3</w:t>
      </w:r>
      <w:r w:rsidRPr="00C65FFA">
        <w:rPr>
          <w:b/>
          <w:sz w:val="24"/>
          <w:szCs w:val="24"/>
          <w:lang w:val="en-GB"/>
        </w:rPr>
        <w:tab/>
        <w:t>Shelf</w:t>
      </w:r>
      <w:r w:rsidR="00B45DC5" w:rsidRPr="00C65FFA">
        <w:rPr>
          <w:b/>
          <w:sz w:val="24"/>
          <w:szCs w:val="24"/>
          <w:lang w:val="en-GB"/>
        </w:rPr>
        <w:t xml:space="preserve"> </w:t>
      </w:r>
      <w:r w:rsidRPr="00C65FFA">
        <w:rPr>
          <w:b/>
          <w:sz w:val="24"/>
          <w:szCs w:val="24"/>
          <w:lang w:val="en-GB"/>
        </w:rPr>
        <w:t>life</w:t>
      </w:r>
    </w:p>
    <w:p w14:paraId="68DD3921" w14:textId="77777777" w:rsidR="007D6869" w:rsidRPr="00C65FFA" w:rsidRDefault="007D6869" w:rsidP="007D0DEE">
      <w:pPr>
        <w:ind w:left="851"/>
        <w:rPr>
          <w:sz w:val="24"/>
          <w:szCs w:val="24"/>
          <w:lang w:val="en-US"/>
        </w:rPr>
      </w:pPr>
      <w:r w:rsidRPr="00C65FFA">
        <w:rPr>
          <w:sz w:val="24"/>
          <w:szCs w:val="24"/>
          <w:lang w:val="en-US"/>
        </w:rPr>
        <w:t>3 years.</w:t>
      </w:r>
    </w:p>
    <w:p w14:paraId="613D9D55" w14:textId="77777777" w:rsidR="007C5D2A" w:rsidRPr="00C65FFA" w:rsidRDefault="007C5D2A" w:rsidP="003E0341">
      <w:pPr>
        <w:tabs>
          <w:tab w:val="left" w:pos="851"/>
        </w:tabs>
        <w:ind w:left="851"/>
        <w:rPr>
          <w:sz w:val="24"/>
          <w:szCs w:val="24"/>
          <w:lang w:val="en-GB"/>
        </w:rPr>
      </w:pPr>
    </w:p>
    <w:p w14:paraId="13C9B7C6" w14:textId="77777777" w:rsidR="007C5D2A" w:rsidRPr="00C65FFA" w:rsidRDefault="007C5D2A" w:rsidP="007C5D2A">
      <w:pPr>
        <w:ind w:left="851" w:hanging="851"/>
        <w:rPr>
          <w:b/>
          <w:sz w:val="24"/>
          <w:szCs w:val="24"/>
          <w:lang w:val="en-GB"/>
        </w:rPr>
      </w:pPr>
      <w:r w:rsidRPr="00C65FFA">
        <w:rPr>
          <w:b/>
          <w:sz w:val="24"/>
          <w:szCs w:val="24"/>
          <w:lang w:val="en-GB"/>
        </w:rPr>
        <w:t>6.4</w:t>
      </w:r>
      <w:r w:rsidRPr="00C65FFA">
        <w:rPr>
          <w:b/>
          <w:sz w:val="24"/>
          <w:szCs w:val="24"/>
          <w:lang w:val="en-GB"/>
        </w:rPr>
        <w:tab/>
        <w:t>Special precautions for storage</w:t>
      </w:r>
    </w:p>
    <w:p w14:paraId="31396127" w14:textId="77777777" w:rsidR="007D6869" w:rsidRPr="00C65FFA" w:rsidRDefault="007D6869" w:rsidP="007D0DEE">
      <w:pPr>
        <w:ind w:left="851"/>
        <w:rPr>
          <w:sz w:val="24"/>
          <w:szCs w:val="24"/>
          <w:lang w:val="en-US"/>
        </w:rPr>
      </w:pPr>
      <w:r w:rsidRPr="00C65FFA">
        <w:rPr>
          <w:sz w:val="24"/>
          <w:szCs w:val="24"/>
          <w:lang w:val="en-US"/>
        </w:rPr>
        <w:t>Do not store above 30 °C.</w:t>
      </w:r>
    </w:p>
    <w:p w14:paraId="44585F75" w14:textId="77777777" w:rsidR="007C5D2A" w:rsidRPr="00C65FFA" w:rsidRDefault="007C5D2A" w:rsidP="003E0341">
      <w:pPr>
        <w:tabs>
          <w:tab w:val="left" w:pos="851"/>
        </w:tabs>
        <w:ind w:left="851"/>
        <w:rPr>
          <w:sz w:val="24"/>
          <w:szCs w:val="24"/>
          <w:lang w:val="en-GB"/>
        </w:rPr>
      </w:pPr>
    </w:p>
    <w:p w14:paraId="0D52F48F" w14:textId="77777777" w:rsidR="007C5D2A" w:rsidRPr="00C65FFA" w:rsidRDefault="007C5D2A" w:rsidP="007C5D2A">
      <w:pPr>
        <w:ind w:left="851" w:hanging="851"/>
        <w:rPr>
          <w:b/>
          <w:sz w:val="24"/>
          <w:szCs w:val="24"/>
          <w:lang w:val="en-GB"/>
        </w:rPr>
      </w:pPr>
      <w:r w:rsidRPr="00C65FFA">
        <w:rPr>
          <w:b/>
          <w:sz w:val="24"/>
          <w:szCs w:val="24"/>
          <w:lang w:val="en-GB"/>
        </w:rPr>
        <w:t>6.5</w:t>
      </w:r>
      <w:r w:rsidRPr="00C65FFA">
        <w:rPr>
          <w:b/>
          <w:sz w:val="24"/>
          <w:szCs w:val="24"/>
          <w:lang w:val="en-GB"/>
        </w:rPr>
        <w:tab/>
        <w:t>Nature and contents of container</w:t>
      </w:r>
    </w:p>
    <w:p w14:paraId="57B4309C" w14:textId="77777777" w:rsidR="007D6869" w:rsidRPr="00C65FFA" w:rsidRDefault="007D6869" w:rsidP="007D0DEE">
      <w:pPr>
        <w:ind w:left="851"/>
        <w:rPr>
          <w:sz w:val="24"/>
          <w:szCs w:val="24"/>
          <w:lang w:val="en-US"/>
        </w:rPr>
      </w:pPr>
      <w:r w:rsidRPr="00C65FFA">
        <w:rPr>
          <w:sz w:val="24"/>
          <w:szCs w:val="24"/>
          <w:lang w:val="en-US"/>
        </w:rPr>
        <w:t>Blister (PVC/Alu).</w:t>
      </w:r>
    </w:p>
    <w:p w14:paraId="36B9B321" w14:textId="77777777" w:rsidR="007D6869" w:rsidRPr="00C65FFA" w:rsidRDefault="007D6869" w:rsidP="007D0DEE">
      <w:pPr>
        <w:ind w:left="851"/>
        <w:rPr>
          <w:sz w:val="24"/>
          <w:szCs w:val="24"/>
          <w:lang w:val="en-US"/>
        </w:rPr>
      </w:pPr>
    </w:p>
    <w:p w14:paraId="0D19C665" w14:textId="77777777" w:rsidR="007D6869" w:rsidRPr="00C65FFA" w:rsidRDefault="007D6869" w:rsidP="007D0DEE">
      <w:pPr>
        <w:ind w:left="851"/>
        <w:rPr>
          <w:iCs/>
          <w:sz w:val="24"/>
          <w:szCs w:val="24"/>
          <w:u w:val="single"/>
          <w:lang w:val="en-US"/>
        </w:rPr>
      </w:pPr>
      <w:r w:rsidRPr="00C65FFA">
        <w:rPr>
          <w:iCs/>
          <w:sz w:val="24"/>
          <w:szCs w:val="24"/>
          <w:u w:val="single"/>
          <w:lang w:val="en-US"/>
        </w:rPr>
        <w:t>Pack sizes</w:t>
      </w:r>
    </w:p>
    <w:p w14:paraId="30DCB628" w14:textId="1F932F40" w:rsidR="007D6869" w:rsidRPr="00C65FFA" w:rsidRDefault="007D6869" w:rsidP="007D0DEE">
      <w:pPr>
        <w:ind w:left="851"/>
        <w:rPr>
          <w:sz w:val="24"/>
          <w:szCs w:val="24"/>
          <w:lang w:val="en-US"/>
        </w:rPr>
      </w:pPr>
      <w:r w:rsidRPr="00C65FFA">
        <w:rPr>
          <w:sz w:val="24"/>
          <w:szCs w:val="24"/>
          <w:lang w:val="en-US"/>
        </w:rPr>
        <w:t>30</w:t>
      </w:r>
      <w:r w:rsidR="008D5701">
        <w:rPr>
          <w:sz w:val="24"/>
          <w:szCs w:val="24"/>
          <w:lang w:val="en-US"/>
        </w:rPr>
        <w:t>, 90</w:t>
      </w:r>
      <w:r w:rsidRPr="00C65FFA">
        <w:rPr>
          <w:sz w:val="24"/>
          <w:szCs w:val="24"/>
          <w:lang w:val="en-US"/>
        </w:rPr>
        <w:t xml:space="preserve"> or 100 gastro-resistant tablets.</w:t>
      </w:r>
    </w:p>
    <w:p w14:paraId="1E44EF7B" w14:textId="77777777" w:rsidR="007D6869" w:rsidRPr="00C65FFA" w:rsidRDefault="007D6869" w:rsidP="007D0DEE">
      <w:pPr>
        <w:ind w:left="851"/>
        <w:rPr>
          <w:sz w:val="24"/>
          <w:szCs w:val="24"/>
          <w:lang w:val="en-US"/>
        </w:rPr>
      </w:pPr>
      <w:r w:rsidRPr="00C65FFA">
        <w:rPr>
          <w:sz w:val="24"/>
          <w:szCs w:val="24"/>
          <w:lang w:val="en-US"/>
        </w:rPr>
        <w:lastRenderedPageBreak/>
        <w:t>Not all pack sizes may be marketed.</w:t>
      </w:r>
    </w:p>
    <w:p w14:paraId="45BA8EC6" w14:textId="77777777" w:rsidR="007C5D2A" w:rsidRPr="00C65FFA" w:rsidRDefault="007C5D2A" w:rsidP="003E0341">
      <w:pPr>
        <w:tabs>
          <w:tab w:val="left" w:pos="851"/>
        </w:tabs>
        <w:ind w:left="851"/>
        <w:rPr>
          <w:sz w:val="24"/>
          <w:szCs w:val="24"/>
          <w:lang w:val="en-GB"/>
        </w:rPr>
      </w:pPr>
    </w:p>
    <w:p w14:paraId="21040F7C" w14:textId="77777777" w:rsidR="007C5D2A" w:rsidRPr="00C65FFA" w:rsidRDefault="007C5D2A" w:rsidP="007C5D2A">
      <w:pPr>
        <w:ind w:left="851" w:hanging="851"/>
        <w:rPr>
          <w:b/>
          <w:sz w:val="24"/>
          <w:szCs w:val="24"/>
          <w:lang w:val="en-GB"/>
        </w:rPr>
      </w:pPr>
      <w:r w:rsidRPr="00C65FFA">
        <w:rPr>
          <w:b/>
          <w:sz w:val="24"/>
          <w:szCs w:val="24"/>
          <w:lang w:val="en-GB"/>
        </w:rPr>
        <w:t>6.6</w:t>
      </w:r>
      <w:r w:rsidRPr="00C65FFA">
        <w:rPr>
          <w:b/>
          <w:sz w:val="24"/>
          <w:szCs w:val="24"/>
          <w:lang w:val="en-GB"/>
        </w:rPr>
        <w:tab/>
        <w:t>Special precautions for disposal and other handling</w:t>
      </w:r>
    </w:p>
    <w:p w14:paraId="17544550" w14:textId="77777777" w:rsidR="007D6869" w:rsidRPr="00C65FFA" w:rsidRDefault="007D6869" w:rsidP="007D0DEE">
      <w:pPr>
        <w:ind w:left="851"/>
        <w:rPr>
          <w:sz w:val="24"/>
          <w:szCs w:val="24"/>
          <w:lang w:val="en-US"/>
        </w:rPr>
      </w:pPr>
      <w:r w:rsidRPr="00C65FFA">
        <w:rPr>
          <w:sz w:val="24"/>
          <w:szCs w:val="24"/>
          <w:lang w:val="en-US"/>
        </w:rPr>
        <w:t>Any unused medicinal product or waste material should be disposed of in accordance with local requirements.</w:t>
      </w:r>
    </w:p>
    <w:p w14:paraId="366DF57B" w14:textId="77777777" w:rsidR="007C5D2A" w:rsidRPr="00C65FFA" w:rsidRDefault="007C5D2A" w:rsidP="00AB4376">
      <w:pPr>
        <w:tabs>
          <w:tab w:val="left" w:pos="851"/>
        </w:tabs>
        <w:ind w:left="851"/>
        <w:rPr>
          <w:sz w:val="24"/>
          <w:szCs w:val="24"/>
          <w:lang w:val="en-GB"/>
        </w:rPr>
      </w:pPr>
    </w:p>
    <w:p w14:paraId="336F4D32" w14:textId="77777777" w:rsidR="007C5D2A" w:rsidRPr="00C65FFA" w:rsidRDefault="007C5D2A" w:rsidP="007C5D2A">
      <w:pPr>
        <w:tabs>
          <w:tab w:val="left" w:pos="851"/>
        </w:tabs>
        <w:ind w:left="851" w:hanging="851"/>
        <w:jc w:val="both"/>
        <w:rPr>
          <w:b/>
          <w:sz w:val="24"/>
          <w:szCs w:val="24"/>
          <w:lang w:val="en-GB"/>
        </w:rPr>
      </w:pPr>
      <w:r w:rsidRPr="00C65FFA">
        <w:rPr>
          <w:b/>
          <w:sz w:val="24"/>
          <w:szCs w:val="24"/>
          <w:lang w:val="en-GB"/>
        </w:rPr>
        <w:t>7.</w:t>
      </w:r>
      <w:r w:rsidRPr="00C65FFA">
        <w:rPr>
          <w:b/>
          <w:sz w:val="24"/>
          <w:szCs w:val="24"/>
          <w:lang w:val="en-GB"/>
        </w:rPr>
        <w:tab/>
        <w:t>MARKETING AUTHORISATION HOLDER</w:t>
      </w:r>
    </w:p>
    <w:p w14:paraId="3CD499D3" w14:textId="77777777" w:rsidR="006C77DE" w:rsidRPr="00C65FFA" w:rsidRDefault="006C77DE" w:rsidP="006C77DE">
      <w:pPr>
        <w:tabs>
          <w:tab w:val="left" w:pos="851"/>
        </w:tabs>
        <w:ind w:left="851"/>
        <w:jc w:val="both"/>
        <w:rPr>
          <w:sz w:val="24"/>
          <w:szCs w:val="24"/>
          <w:lang w:val="en-GB"/>
        </w:rPr>
      </w:pPr>
      <w:proofErr w:type="spellStart"/>
      <w:r w:rsidRPr="00C65FFA">
        <w:rPr>
          <w:sz w:val="24"/>
          <w:szCs w:val="24"/>
          <w:lang w:val="en-GB"/>
        </w:rPr>
        <w:t>Zentiva</w:t>
      </w:r>
      <w:proofErr w:type="spellEnd"/>
      <w:r w:rsidRPr="00C65FFA">
        <w:rPr>
          <w:sz w:val="24"/>
          <w:szCs w:val="24"/>
          <w:lang w:val="en-GB"/>
        </w:rPr>
        <w:t xml:space="preserve"> </w:t>
      </w:r>
      <w:proofErr w:type="spellStart"/>
      <w:r w:rsidRPr="00C65FFA">
        <w:rPr>
          <w:sz w:val="24"/>
          <w:szCs w:val="24"/>
          <w:lang w:val="en-GB"/>
        </w:rPr>
        <w:t>k.s.</w:t>
      </w:r>
      <w:proofErr w:type="spellEnd"/>
    </w:p>
    <w:p w14:paraId="431E0C5E" w14:textId="77777777" w:rsidR="006C77DE" w:rsidRPr="00C65FFA" w:rsidRDefault="006C77DE" w:rsidP="006C77DE">
      <w:pPr>
        <w:tabs>
          <w:tab w:val="left" w:pos="851"/>
        </w:tabs>
        <w:ind w:left="851"/>
        <w:jc w:val="both"/>
        <w:rPr>
          <w:sz w:val="24"/>
          <w:szCs w:val="24"/>
          <w:lang w:val="en-GB"/>
        </w:rPr>
      </w:pPr>
      <w:r w:rsidRPr="00C65FFA">
        <w:rPr>
          <w:sz w:val="24"/>
          <w:szCs w:val="24"/>
          <w:lang w:val="en-GB"/>
        </w:rPr>
        <w:t xml:space="preserve">U </w:t>
      </w:r>
      <w:proofErr w:type="spellStart"/>
      <w:r w:rsidRPr="00C65FFA">
        <w:rPr>
          <w:sz w:val="24"/>
          <w:szCs w:val="24"/>
          <w:lang w:val="en-GB"/>
        </w:rPr>
        <w:t>Kabelovny</w:t>
      </w:r>
      <w:proofErr w:type="spellEnd"/>
      <w:r w:rsidRPr="00C65FFA">
        <w:rPr>
          <w:sz w:val="24"/>
          <w:szCs w:val="24"/>
          <w:lang w:val="en-GB"/>
        </w:rPr>
        <w:t xml:space="preserve"> 130</w:t>
      </w:r>
    </w:p>
    <w:p w14:paraId="72CD4E62" w14:textId="77777777" w:rsidR="006C77DE" w:rsidRPr="00C65FFA" w:rsidRDefault="006C77DE" w:rsidP="006C77DE">
      <w:pPr>
        <w:tabs>
          <w:tab w:val="left" w:pos="851"/>
        </w:tabs>
        <w:ind w:left="851"/>
        <w:jc w:val="both"/>
        <w:rPr>
          <w:sz w:val="24"/>
          <w:szCs w:val="24"/>
          <w:lang w:val="en-GB"/>
        </w:rPr>
      </w:pPr>
      <w:proofErr w:type="spellStart"/>
      <w:r w:rsidRPr="00C65FFA">
        <w:rPr>
          <w:sz w:val="24"/>
          <w:szCs w:val="24"/>
          <w:lang w:val="en-GB"/>
        </w:rPr>
        <w:t>Dolni</w:t>
      </w:r>
      <w:proofErr w:type="spellEnd"/>
      <w:r w:rsidRPr="00C65FFA">
        <w:rPr>
          <w:sz w:val="24"/>
          <w:szCs w:val="24"/>
          <w:lang w:val="en-GB"/>
        </w:rPr>
        <w:t xml:space="preserve"> </w:t>
      </w:r>
      <w:proofErr w:type="spellStart"/>
      <w:r w:rsidRPr="00C65FFA">
        <w:rPr>
          <w:sz w:val="24"/>
          <w:szCs w:val="24"/>
          <w:lang w:val="en-GB"/>
        </w:rPr>
        <w:t>Mecholupy</w:t>
      </w:r>
      <w:proofErr w:type="spellEnd"/>
    </w:p>
    <w:p w14:paraId="4944F671" w14:textId="77777777" w:rsidR="006C77DE" w:rsidRPr="00C65FFA" w:rsidRDefault="006C77DE" w:rsidP="006C77DE">
      <w:pPr>
        <w:tabs>
          <w:tab w:val="left" w:pos="851"/>
        </w:tabs>
        <w:ind w:left="851"/>
        <w:jc w:val="both"/>
        <w:rPr>
          <w:sz w:val="24"/>
          <w:szCs w:val="24"/>
          <w:lang w:val="en-GB"/>
        </w:rPr>
      </w:pPr>
      <w:r w:rsidRPr="00C65FFA">
        <w:rPr>
          <w:sz w:val="24"/>
          <w:szCs w:val="24"/>
          <w:lang w:val="en-GB"/>
        </w:rPr>
        <w:t>102 37 Prague</w:t>
      </w:r>
    </w:p>
    <w:p w14:paraId="75AF3C2B" w14:textId="77777777" w:rsidR="006C77DE" w:rsidRPr="00C65FFA" w:rsidRDefault="006C77DE" w:rsidP="006C77DE">
      <w:pPr>
        <w:tabs>
          <w:tab w:val="left" w:pos="851"/>
        </w:tabs>
        <w:ind w:left="851"/>
        <w:jc w:val="both"/>
        <w:rPr>
          <w:sz w:val="24"/>
          <w:szCs w:val="24"/>
          <w:lang w:val="en-GB"/>
        </w:rPr>
      </w:pPr>
      <w:r w:rsidRPr="00C65FFA">
        <w:rPr>
          <w:sz w:val="24"/>
          <w:szCs w:val="24"/>
          <w:lang w:val="en-GB"/>
        </w:rPr>
        <w:t>Czechia</w:t>
      </w:r>
    </w:p>
    <w:p w14:paraId="5EA425C5" w14:textId="77777777" w:rsidR="006C77DE" w:rsidRPr="00C65FFA" w:rsidRDefault="006C77DE" w:rsidP="006C77DE">
      <w:pPr>
        <w:tabs>
          <w:tab w:val="left" w:pos="851"/>
        </w:tabs>
        <w:ind w:left="851"/>
        <w:jc w:val="both"/>
        <w:rPr>
          <w:sz w:val="24"/>
          <w:szCs w:val="24"/>
          <w:lang w:val="en-GB"/>
        </w:rPr>
      </w:pPr>
    </w:p>
    <w:p w14:paraId="5A49E2FD" w14:textId="77777777" w:rsidR="006C77DE" w:rsidRPr="00C65FFA" w:rsidRDefault="006C77DE" w:rsidP="006C77DE">
      <w:pPr>
        <w:tabs>
          <w:tab w:val="left" w:pos="851"/>
        </w:tabs>
        <w:ind w:left="851"/>
        <w:jc w:val="both"/>
        <w:rPr>
          <w:b/>
          <w:sz w:val="24"/>
          <w:szCs w:val="24"/>
          <w:lang w:val="en-GB"/>
        </w:rPr>
      </w:pPr>
      <w:r w:rsidRPr="00C65FFA">
        <w:rPr>
          <w:b/>
          <w:sz w:val="24"/>
          <w:szCs w:val="24"/>
          <w:lang w:val="en-GB"/>
        </w:rPr>
        <w:t>Representative</w:t>
      </w:r>
    </w:p>
    <w:p w14:paraId="5F95D761" w14:textId="77777777" w:rsidR="006C77DE" w:rsidRPr="00C65FFA" w:rsidRDefault="006C77DE" w:rsidP="006C77DE">
      <w:pPr>
        <w:tabs>
          <w:tab w:val="left" w:pos="851"/>
        </w:tabs>
        <w:ind w:left="851"/>
        <w:jc w:val="both"/>
        <w:rPr>
          <w:sz w:val="24"/>
          <w:szCs w:val="24"/>
          <w:lang w:val="en-GB"/>
        </w:rPr>
      </w:pPr>
      <w:proofErr w:type="spellStart"/>
      <w:r w:rsidRPr="00C65FFA">
        <w:rPr>
          <w:sz w:val="24"/>
          <w:szCs w:val="24"/>
          <w:lang w:val="en-GB"/>
        </w:rPr>
        <w:t>Zentiva</w:t>
      </w:r>
      <w:proofErr w:type="spellEnd"/>
      <w:r w:rsidRPr="00C65FFA">
        <w:rPr>
          <w:sz w:val="24"/>
          <w:szCs w:val="24"/>
          <w:lang w:val="en-GB"/>
        </w:rPr>
        <w:t xml:space="preserve"> Denmark </w:t>
      </w:r>
      <w:proofErr w:type="spellStart"/>
      <w:r w:rsidRPr="00C65FFA">
        <w:rPr>
          <w:sz w:val="24"/>
          <w:szCs w:val="24"/>
          <w:lang w:val="en-GB"/>
        </w:rPr>
        <w:t>ApS</w:t>
      </w:r>
      <w:proofErr w:type="spellEnd"/>
      <w:r w:rsidRPr="00C65FFA">
        <w:rPr>
          <w:sz w:val="24"/>
          <w:szCs w:val="24"/>
          <w:lang w:val="en-GB"/>
        </w:rPr>
        <w:t xml:space="preserve"> c/o</w:t>
      </w:r>
    </w:p>
    <w:p w14:paraId="12748B6B" w14:textId="77777777" w:rsidR="006C77DE" w:rsidRPr="00C65FFA" w:rsidRDefault="006C77DE" w:rsidP="006C77DE">
      <w:pPr>
        <w:tabs>
          <w:tab w:val="left" w:pos="851"/>
        </w:tabs>
        <w:ind w:left="851"/>
        <w:jc w:val="both"/>
        <w:rPr>
          <w:sz w:val="24"/>
          <w:szCs w:val="24"/>
          <w:lang w:val="en-GB"/>
        </w:rPr>
      </w:pPr>
      <w:r w:rsidRPr="00C65FFA">
        <w:rPr>
          <w:sz w:val="24"/>
          <w:szCs w:val="24"/>
          <w:lang w:val="en-GB"/>
        </w:rPr>
        <w:t>Harbour House</w:t>
      </w:r>
    </w:p>
    <w:p w14:paraId="1C153FEC" w14:textId="77777777" w:rsidR="006C77DE" w:rsidRPr="00C65FFA" w:rsidRDefault="006C77DE" w:rsidP="006C77DE">
      <w:pPr>
        <w:tabs>
          <w:tab w:val="left" w:pos="851"/>
        </w:tabs>
        <w:ind w:left="851"/>
        <w:jc w:val="both"/>
        <w:rPr>
          <w:sz w:val="24"/>
          <w:szCs w:val="24"/>
          <w:lang w:val="en-GB"/>
        </w:rPr>
      </w:pPr>
      <w:proofErr w:type="spellStart"/>
      <w:r w:rsidRPr="00C65FFA">
        <w:rPr>
          <w:sz w:val="24"/>
          <w:szCs w:val="24"/>
          <w:lang w:val="en-GB"/>
        </w:rPr>
        <w:t>Sundkrogsgade</w:t>
      </w:r>
      <w:proofErr w:type="spellEnd"/>
      <w:r w:rsidRPr="00C65FFA">
        <w:rPr>
          <w:sz w:val="24"/>
          <w:szCs w:val="24"/>
          <w:lang w:val="en-GB"/>
        </w:rPr>
        <w:t xml:space="preserve"> 21</w:t>
      </w:r>
    </w:p>
    <w:p w14:paraId="7641EF1D" w14:textId="77777777" w:rsidR="006C77DE" w:rsidRPr="00C65FFA" w:rsidRDefault="006C77DE" w:rsidP="006C77DE">
      <w:pPr>
        <w:tabs>
          <w:tab w:val="left" w:pos="851"/>
        </w:tabs>
        <w:ind w:left="851"/>
        <w:jc w:val="both"/>
        <w:rPr>
          <w:sz w:val="24"/>
          <w:szCs w:val="24"/>
          <w:lang w:val="en-GB"/>
        </w:rPr>
      </w:pPr>
      <w:r w:rsidRPr="00C65FFA">
        <w:rPr>
          <w:sz w:val="24"/>
          <w:szCs w:val="24"/>
          <w:lang w:val="en-GB"/>
        </w:rPr>
        <w:t xml:space="preserve">2100 </w:t>
      </w:r>
      <w:proofErr w:type="spellStart"/>
      <w:r w:rsidRPr="00C65FFA">
        <w:rPr>
          <w:sz w:val="24"/>
          <w:szCs w:val="24"/>
          <w:lang w:val="en-GB"/>
        </w:rPr>
        <w:t>København</w:t>
      </w:r>
      <w:proofErr w:type="spellEnd"/>
    </w:p>
    <w:p w14:paraId="100B1C59" w14:textId="77777777" w:rsidR="008A24F6" w:rsidRPr="00C65FFA" w:rsidRDefault="008A24F6" w:rsidP="003E0341">
      <w:pPr>
        <w:tabs>
          <w:tab w:val="left" w:pos="851"/>
        </w:tabs>
        <w:ind w:left="851"/>
        <w:jc w:val="both"/>
        <w:rPr>
          <w:sz w:val="24"/>
          <w:szCs w:val="24"/>
          <w:lang w:val="en-GB"/>
        </w:rPr>
      </w:pPr>
    </w:p>
    <w:p w14:paraId="154B47CB" w14:textId="77777777" w:rsidR="007C5D2A" w:rsidRPr="00C65FFA" w:rsidRDefault="007C5D2A" w:rsidP="007C5D2A">
      <w:pPr>
        <w:ind w:left="851" w:hanging="851"/>
        <w:jc w:val="both"/>
        <w:rPr>
          <w:b/>
          <w:sz w:val="24"/>
          <w:szCs w:val="24"/>
          <w:lang w:val="en-GB"/>
        </w:rPr>
      </w:pPr>
      <w:r w:rsidRPr="00C65FFA">
        <w:rPr>
          <w:b/>
          <w:sz w:val="24"/>
          <w:szCs w:val="24"/>
          <w:lang w:val="en-GB"/>
        </w:rPr>
        <w:t>8.</w:t>
      </w:r>
      <w:r w:rsidRPr="00C65FFA">
        <w:rPr>
          <w:b/>
          <w:sz w:val="24"/>
          <w:szCs w:val="24"/>
          <w:lang w:val="en-GB"/>
        </w:rPr>
        <w:tab/>
        <w:t>MARKETING AUTHORISATION NUMBER(S)</w:t>
      </w:r>
    </w:p>
    <w:p w14:paraId="040DF8D6" w14:textId="1F2577D4" w:rsidR="007C5D2A" w:rsidRPr="00C65FFA" w:rsidRDefault="007D0DEE" w:rsidP="00A85D26">
      <w:pPr>
        <w:tabs>
          <w:tab w:val="left" w:pos="851"/>
        </w:tabs>
        <w:ind w:left="851"/>
        <w:jc w:val="both"/>
        <w:rPr>
          <w:sz w:val="24"/>
          <w:szCs w:val="24"/>
          <w:lang w:val="en-GB"/>
        </w:rPr>
      </w:pPr>
      <w:r w:rsidRPr="00C65FFA">
        <w:rPr>
          <w:sz w:val="24"/>
          <w:szCs w:val="24"/>
          <w:lang w:val="en-GB"/>
        </w:rPr>
        <w:t>66409</w:t>
      </w:r>
    </w:p>
    <w:p w14:paraId="270FE52A" w14:textId="77777777" w:rsidR="007C5D2A" w:rsidRPr="00C65FFA" w:rsidRDefault="007C5D2A" w:rsidP="00180A12">
      <w:pPr>
        <w:tabs>
          <w:tab w:val="left" w:pos="851"/>
        </w:tabs>
        <w:ind w:left="851"/>
        <w:jc w:val="both"/>
        <w:rPr>
          <w:sz w:val="24"/>
          <w:szCs w:val="24"/>
          <w:lang w:val="en-GB"/>
        </w:rPr>
      </w:pPr>
    </w:p>
    <w:p w14:paraId="27D7314F" w14:textId="77777777" w:rsidR="007C5D2A" w:rsidRPr="00C65FFA" w:rsidRDefault="007C5D2A" w:rsidP="007C5D2A">
      <w:pPr>
        <w:tabs>
          <w:tab w:val="left" w:pos="851"/>
        </w:tabs>
        <w:jc w:val="both"/>
        <w:rPr>
          <w:sz w:val="24"/>
          <w:szCs w:val="24"/>
          <w:lang w:val="en-GB"/>
        </w:rPr>
      </w:pPr>
      <w:r w:rsidRPr="00C65FFA">
        <w:rPr>
          <w:b/>
          <w:sz w:val="24"/>
          <w:szCs w:val="24"/>
          <w:lang w:val="en-GB"/>
        </w:rPr>
        <w:t>9.</w:t>
      </w:r>
      <w:r w:rsidRPr="00C65FFA">
        <w:rPr>
          <w:b/>
          <w:sz w:val="24"/>
          <w:szCs w:val="24"/>
          <w:lang w:val="en-GB"/>
        </w:rPr>
        <w:tab/>
        <w:t>DATE OF FIRST AUTHORISATION</w:t>
      </w:r>
    </w:p>
    <w:p w14:paraId="058B6E42" w14:textId="4239011C" w:rsidR="007C5D2A" w:rsidRPr="00C65FFA" w:rsidRDefault="00775DA4" w:rsidP="00A85D26">
      <w:pPr>
        <w:ind w:left="851"/>
        <w:jc w:val="both"/>
        <w:rPr>
          <w:sz w:val="24"/>
          <w:szCs w:val="24"/>
          <w:lang w:val="en-GB"/>
        </w:rPr>
      </w:pPr>
      <w:r>
        <w:rPr>
          <w:sz w:val="24"/>
          <w:szCs w:val="24"/>
          <w:lang w:val="en-GB"/>
        </w:rPr>
        <w:t>6 February 2023</w:t>
      </w:r>
    </w:p>
    <w:p w14:paraId="51118330" w14:textId="77777777" w:rsidR="007C5D2A" w:rsidRPr="00C65FFA" w:rsidRDefault="007C5D2A" w:rsidP="003E0341">
      <w:pPr>
        <w:tabs>
          <w:tab w:val="left" w:pos="851"/>
        </w:tabs>
        <w:ind w:left="851"/>
        <w:jc w:val="both"/>
        <w:rPr>
          <w:sz w:val="24"/>
          <w:szCs w:val="24"/>
          <w:lang w:val="en-GB"/>
        </w:rPr>
      </w:pPr>
    </w:p>
    <w:p w14:paraId="27E29E88" w14:textId="77777777" w:rsidR="007C5D2A" w:rsidRPr="00C65FFA" w:rsidRDefault="007C5D2A" w:rsidP="007C5D2A">
      <w:pPr>
        <w:tabs>
          <w:tab w:val="left" w:pos="851"/>
        </w:tabs>
        <w:jc w:val="both"/>
        <w:rPr>
          <w:sz w:val="24"/>
          <w:szCs w:val="24"/>
          <w:lang w:val="en-GB"/>
        </w:rPr>
      </w:pPr>
      <w:r w:rsidRPr="00C65FFA">
        <w:rPr>
          <w:b/>
          <w:sz w:val="24"/>
          <w:szCs w:val="24"/>
          <w:lang w:val="en-GB"/>
        </w:rPr>
        <w:t>10.</w:t>
      </w:r>
      <w:r w:rsidRPr="00C65FFA">
        <w:rPr>
          <w:b/>
          <w:sz w:val="24"/>
          <w:szCs w:val="24"/>
          <w:lang w:val="en-GB"/>
        </w:rPr>
        <w:tab/>
        <w:t>DATE OF REVISION OF THE TEXT</w:t>
      </w:r>
    </w:p>
    <w:p w14:paraId="3BE895EF" w14:textId="434DEB51" w:rsidR="007C5D2A" w:rsidRPr="00C65FFA" w:rsidRDefault="008D5701" w:rsidP="003E0341">
      <w:pPr>
        <w:tabs>
          <w:tab w:val="left" w:pos="851"/>
        </w:tabs>
        <w:ind w:left="851"/>
        <w:jc w:val="both"/>
        <w:rPr>
          <w:sz w:val="24"/>
          <w:szCs w:val="24"/>
          <w:lang w:val="en-GB"/>
        </w:rPr>
      </w:pPr>
      <w:r>
        <w:rPr>
          <w:sz w:val="24"/>
          <w:szCs w:val="24"/>
          <w:lang w:val="en-GB"/>
        </w:rPr>
        <w:t>18 September 2024</w:t>
      </w:r>
    </w:p>
    <w:sectPr w:rsidR="007C5D2A" w:rsidRPr="00C65FFA"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8A15" w14:textId="77777777" w:rsidR="00CE5444" w:rsidRDefault="00CE5444">
      <w:r>
        <w:separator/>
      </w:r>
    </w:p>
  </w:endnote>
  <w:endnote w:type="continuationSeparator" w:id="0">
    <w:p w14:paraId="18AAD088" w14:textId="77777777" w:rsidR="00CE5444" w:rsidRDefault="00CE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AA2ED"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5F5B0" w14:textId="77777777" w:rsidR="00864538" w:rsidRDefault="00864538">
    <w:pPr>
      <w:pStyle w:val="Sidefod"/>
      <w:pBdr>
        <w:bottom w:val="single" w:sz="6" w:space="1" w:color="auto"/>
      </w:pBdr>
    </w:pPr>
  </w:p>
  <w:p w14:paraId="542F5347" w14:textId="77777777" w:rsidR="00864538" w:rsidRDefault="00864538">
    <w:pPr>
      <w:pStyle w:val="Sidefod"/>
      <w:tabs>
        <w:tab w:val="clear" w:pos="4819"/>
        <w:tab w:val="left" w:pos="8647"/>
      </w:tabs>
      <w:rPr>
        <w:i/>
        <w:snapToGrid w:val="0"/>
        <w:sz w:val="18"/>
      </w:rPr>
    </w:pPr>
  </w:p>
  <w:p w14:paraId="369AABAD" w14:textId="697615B9" w:rsidR="00864538" w:rsidRPr="008D09CC" w:rsidRDefault="00E36A80" w:rsidP="00AC033C">
    <w:pPr>
      <w:pStyle w:val="Sidefod"/>
      <w:tabs>
        <w:tab w:val="clear" w:pos="4819"/>
        <w:tab w:val="left" w:pos="8364"/>
      </w:tabs>
      <w:rPr>
        <w:i/>
        <w:sz w:val="18"/>
        <w:lang w:val="en-US"/>
      </w:rPr>
    </w:pPr>
    <w:r>
      <w:rPr>
        <w:i/>
        <w:snapToGrid w:val="0"/>
        <w:sz w:val="18"/>
      </w:rPr>
      <w:fldChar w:fldCharType="begin"/>
    </w:r>
    <w:r w:rsidR="00864538" w:rsidRPr="008D09CC">
      <w:rPr>
        <w:i/>
        <w:snapToGrid w:val="0"/>
        <w:sz w:val="18"/>
        <w:lang w:val="en-US"/>
      </w:rPr>
      <w:instrText xml:space="preserve"> FILENAME </w:instrText>
    </w:r>
    <w:r>
      <w:rPr>
        <w:i/>
        <w:snapToGrid w:val="0"/>
        <w:sz w:val="18"/>
      </w:rPr>
      <w:fldChar w:fldCharType="separate"/>
    </w:r>
    <w:r w:rsidR="008D09CC" w:rsidRPr="008D09CC">
      <w:rPr>
        <w:i/>
        <w:noProof/>
        <w:snapToGrid w:val="0"/>
        <w:sz w:val="18"/>
        <w:lang w:val="en-US"/>
      </w:rPr>
      <w:t>Anopyrin, enterotabletter 100 mg.docx</w:t>
    </w:r>
    <w:r>
      <w:rPr>
        <w:i/>
        <w:snapToGrid w:val="0"/>
        <w:sz w:val="18"/>
      </w:rPr>
      <w:fldChar w:fldCharType="end"/>
    </w:r>
    <w:r w:rsidR="00864538" w:rsidRPr="008D09CC">
      <w:rPr>
        <w:i/>
        <w:snapToGrid w:val="0"/>
        <w:sz w:val="18"/>
        <w:lang w:val="en-US"/>
      </w:rPr>
      <w:tab/>
      <w:t xml:space="preserve">Page </w:t>
    </w:r>
    <w:r>
      <w:rPr>
        <w:i/>
        <w:snapToGrid w:val="0"/>
        <w:sz w:val="18"/>
      </w:rPr>
      <w:fldChar w:fldCharType="begin"/>
    </w:r>
    <w:r w:rsidR="00864538" w:rsidRPr="008D09CC">
      <w:rPr>
        <w:i/>
        <w:snapToGrid w:val="0"/>
        <w:sz w:val="18"/>
        <w:lang w:val="en-US"/>
      </w:rPr>
      <w:instrText xml:space="preserve"> PAGE </w:instrText>
    </w:r>
    <w:r>
      <w:rPr>
        <w:i/>
        <w:snapToGrid w:val="0"/>
        <w:sz w:val="18"/>
      </w:rPr>
      <w:fldChar w:fldCharType="separate"/>
    </w:r>
    <w:r w:rsidR="00AC033C" w:rsidRPr="008D09CC">
      <w:rPr>
        <w:i/>
        <w:noProof/>
        <w:snapToGrid w:val="0"/>
        <w:sz w:val="18"/>
        <w:lang w:val="en-US"/>
      </w:rPr>
      <w:t>1</w:t>
    </w:r>
    <w:r>
      <w:rPr>
        <w:i/>
        <w:snapToGrid w:val="0"/>
        <w:sz w:val="18"/>
      </w:rPr>
      <w:fldChar w:fldCharType="end"/>
    </w:r>
    <w:r w:rsidR="00864538" w:rsidRPr="008D09CC">
      <w:rPr>
        <w:i/>
        <w:snapToGrid w:val="0"/>
        <w:sz w:val="18"/>
        <w:lang w:val="en-US"/>
      </w:rPr>
      <w:t xml:space="preserve"> of </w:t>
    </w:r>
    <w:r>
      <w:rPr>
        <w:i/>
        <w:snapToGrid w:val="0"/>
        <w:sz w:val="18"/>
      </w:rPr>
      <w:fldChar w:fldCharType="begin"/>
    </w:r>
    <w:r w:rsidR="00864538" w:rsidRPr="008D09CC">
      <w:rPr>
        <w:i/>
        <w:snapToGrid w:val="0"/>
        <w:sz w:val="18"/>
        <w:lang w:val="en-US"/>
      </w:rPr>
      <w:instrText xml:space="preserve"> NUMPAGES </w:instrText>
    </w:r>
    <w:r>
      <w:rPr>
        <w:i/>
        <w:snapToGrid w:val="0"/>
        <w:sz w:val="18"/>
      </w:rPr>
      <w:fldChar w:fldCharType="separate"/>
    </w:r>
    <w:r w:rsidR="00AC033C" w:rsidRPr="008D09C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0F9A3" w14:textId="77777777" w:rsidR="00864538" w:rsidRDefault="00864538">
    <w:pPr>
      <w:pStyle w:val="Sidefod"/>
      <w:pBdr>
        <w:bottom w:val="single" w:sz="6" w:space="1" w:color="auto"/>
      </w:pBdr>
      <w:tabs>
        <w:tab w:val="clear" w:pos="4819"/>
        <w:tab w:val="left" w:pos="8789"/>
      </w:tabs>
      <w:rPr>
        <w:i/>
        <w:snapToGrid w:val="0"/>
        <w:sz w:val="18"/>
      </w:rPr>
    </w:pPr>
  </w:p>
  <w:p w14:paraId="1915E830" w14:textId="77777777" w:rsidR="00864538" w:rsidRDefault="00864538">
    <w:pPr>
      <w:pStyle w:val="Sidefod"/>
      <w:tabs>
        <w:tab w:val="clear" w:pos="4819"/>
        <w:tab w:val="left" w:pos="8789"/>
      </w:tabs>
      <w:rPr>
        <w:i/>
        <w:snapToGrid w:val="0"/>
        <w:sz w:val="18"/>
      </w:rPr>
    </w:pPr>
  </w:p>
  <w:p w14:paraId="78794A95" w14:textId="29D1C89D" w:rsidR="00864538" w:rsidRPr="008D09CC" w:rsidRDefault="00E36A80">
    <w:pPr>
      <w:pStyle w:val="Sidefod"/>
      <w:tabs>
        <w:tab w:val="clear" w:pos="4819"/>
        <w:tab w:val="left" w:pos="8647"/>
      </w:tabs>
      <w:rPr>
        <w:i/>
        <w:sz w:val="18"/>
        <w:lang w:val="en-US"/>
      </w:rPr>
    </w:pPr>
    <w:r>
      <w:rPr>
        <w:i/>
        <w:snapToGrid w:val="0"/>
        <w:sz w:val="18"/>
      </w:rPr>
      <w:fldChar w:fldCharType="begin"/>
    </w:r>
    <w:r w:rsidR="00864538" w:rsidRPr="008D09CC">
      <w:rPr>
        <w:i/>
        <w:snapToGrid w:val="0"/>
        <w:sz w:val="18"/>
        <w:lang w:val="en-US"/>
      </w:rPr>
      <w:instrText xml:space="preserve"> FILENAME </w:instrText>
    </w:r>
    <w:r>
      <w:rPr>
        <w:i/>
        <w:snapToGrid w:val="0"/>
        <w:sz w:val="18"/>
      </w:rPr>
      <w:fldChar w:fldCharType="separate"/>
    </w:r>
    <w:r w:rsidR="008D09CC" w:rsidRPr="008D09CC">
      <w:rPr>
        <w:i/>
        <w:noProof/>
        <w:snapToGrid w:val="0"/>
        <w:sz w:val="18"/>
        <w:lang w:val="en-US"/>
      </w:rPr>
      <w:t>Anopyrin, enterotabletter 100 mg.docx</w:t>
    </w:r>
    <w:r>
      <w:rPr>
        <w:i/>
        <w:snapToGrid w:val="0"/>
        <w:sz w:val="18"/>
      </w:rPr>
      <w:fldChar w:fldCharType="end"/>
    </w:r>
    <w:r w:rsidR="00864538" w:rsidRPr="008D09CC">
      <w:rPr>
        <w:i/>
        <w:snapToGrid w:val="0"/>
        <w:sz w:val="18"/>
        <w:lang w:val="en-US"/>
      </w:rPr>
      <w:tab/>
      <w:t xml:space="preserve">Page </w:t>
    </w:r>
    <w:r>
      <w:rPr>
        <w:i/>
        <w:snapToGrid w:val="0"/>
        <w:sz w:val="18"/>
      </w:rPr>
      <w:fldChar w:fldCharType="begin"/>
    </w:r>
    <w:r w:rsidR="00864538" w:rsidRPr="008D09CC">
      <w:rPr>
        <w:i/>
        <w:snapToGrid w:val="0"/>
        <w:sz w:val="18"/>
        <w:lang w:val="en-US"/>
      </w:rPr>
      <w:instrText xml:space="preserve"> PAGE </w:instrText>
    </w:r>
    <w:r>
      <w:rPr>
        <w:i/>
        <w:snapToGrid w:val="0"/>
        <w:sz w:val="18"/>
      </w:rPr>
      <w:fldChar w:fldCharType="separate"/>
    </w:r>
    <w:r w:rsidR="00D97B77" w:rsidRPr="008D09CC">
      <w:rPr>
        <w:i/>
        <w:noProof/>
        <w:snapToGrid w:val="0"/>
        <w:sz w:val="18"/>
        <w:lang w:val="en-US"/>
      </w:rPr>
      <w:t>1</w:t>
    </w:r>
    <w:r>
      <w:rPr>
        <w:i/>
        <w:snapToGrid w:val="0"/>
        <w:sz w:val="18"/>
      </w:rPr>
      <w:fldChar w:fldCharType="end"/>
    </w:r>
    <w:r w:rsidR="00864538" w:rsidRPr="008D09CC">
      <w:rPr>
        <w:i/>
        <w:snapToGrid w:val="0"/>
        <w:sz w:val="18"/>
        <w:lang w:val="en-US"/>
      </w:rPr>
      <w:t xml:space="preserve"> of </w:t>
    </w:r>
    <w:r>
      <w:rPr>
        <w:i/>
        <w:snapToGrid w:val="0"/>
        <w:sz w:val="18"/>
      </w:rPr>
      <w:fldChar w:fldCharType="begin"/>
    </w:r>
    <w:r w:rsidR="00864538" w:rsidRPr="008D09CC">
      <w:rPr>
        <w:i/>
        <w:snapToGrid w:val="0"/>
        <w:sz w:val="18"/>
        <w:lang w:val="en-US"/>
      </w:rPr>
      <w:instrText xml:space="preserve"> NUMPAGES </w:instrText>
    </w:r>
    <w:r>
      <w:rPr>
        <w:i/>
        <w:snapToGrid w:val="0"/>
        <w:sz w:val="18"/>
      </w:rPr>
      <w:fldChar w:fldCharType="separate"/>
    </w:r>
    <w:r w:rsidR="00E1290F" w:rsidRPr="008D09C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1DCA6" w14:textId="77777777" w:rsidR="00CE5444" w:rsidRDefault="00CE5444">
      <w:r>
        <w:separator/>
      </w:r>
    </w:p>
  </w:footnote>
  <w:footnote w:type="continuationSeparator" w:id="0">
    <w:p w14:paraId="531B278C" w14:textId="77777777" w:rsidR="00CE5444" w:rsidRDefault="00CE5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EDB2B"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63AE"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4BCA"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566185"/>
    <w:multiLevelType w:val="hybridMultilevel"/>
    <w:tmpl w:val="D7625CEA"/>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E747D3"/>
    <w:multiLevelType w:val="hybridMultilevel"/>
    <w:tmpl w:val="35A4287C"/>
    <w:lvl w:ilvl="0" w:tplc="3D38D5E2">
      <w:start w:val="4"/>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2C45F00"/>
    <w:multiLevelType w:val="hybridMultilevel"/>
    <w:tmpl w:val="96C48CA6"/>
    <w:lvl w:ilvl="0" w:tplc="A89E69E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56511D83"/>
    <w:multiLevelType w:val="hybridMultilevel"/>
    <w:tmpl w:val="ADA413A4"/>
    <w:lvl w:ilvl="0" w:tplc="A88452C0">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7"/>
  </w:num>
  <w:num w:numId="4">
    <w:abstractNumId w:val="1"/>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44"/>
    <w:rsid w:val="00056601"/>
    <w:rsid w:val="000C3846"/>
    <w:rsid w:val="000C6218"/>
    <w:rsid w:val="000D3C9D"/>
    <w:rsid w:val="000F0D47"/>
    <w:rsid w:val="00105234"/>
    <w:rsid w:val="001242DE"/>
    <w:rsid w:val="00180A12"/>
    <w:rsid w:val="00214331"/>
    <w:rsid w:val="00214CF4"/>
    <w:rsid w:val="002445CB"/>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36CC"/>
    <w:rsid w:val="005A498B"/>
    <w:rsid w:val="00617BB8"/>
    <w:rsid w:val="006207FF"/>
    <w:rsid w:val="00680052"/>
    <w:rsid w:val="00683267"/>
    <w:rsid w:val="006844E9"/>
    <w:rsid w:val="006B3847"/>
    <w:rsid w:val="006C77DE"/>
    <w:rsid w:val="0075453D"/>
    <w:rsid w:val="00775DA4"/>
    <w:rsid w:val="007A4CC6"/>
    <w:rsid w:val="007C3623"/>
    <w:rsid w:val="007C5D2A"/>
    <w:rsid w:val="007D0DEE"/>
    <w:rsid w:val="007D6869"/>
    <w:rsid w:val="007F1E00"/>
    <w:rsid w:val="00827444"/>
    <w:rsid w:val="008400E3"/>
    <w:rsid w:val="00864538"/>
    <w:rsid w:val="00873B4F"/>
    <w:rsid w:val="008A24F6"/>
    <w:rsid w:val="008D09CC"/>
    <w:rsid w:val="008D5701"/>
    <w:rsid w:val="008E51AE"/>
    <w:rsid w:val="008F2F8C"/>
    <w:rsid w:val="0091596D"/>
    <w:rsid w:val="009925C9"/>
    <w:rsid w:val="00A179D0"/>
    <w:rsid w:val="00A358A3"/>
    <w:rsid w:val="00A46747"/>
    <w:rsid w:val="00A80446"/>
    <w:rsid w:val="00A85D26"/>
    <w:rsid w:val="00A9153A"/>
    <w:rsid w:val="00AA51E1"/>
    <w:rsid w:val="00AB4376"/>
    <w:rsid w:val="00AC033C"/>
    <w:rsid w:val="00AD2E36"/>
    <w:rsid w:val="00B45DC5"/>
    <w:rsid w:val="00BD3490"/>
    <w:rsid w:val="00C26226"/>
    <w:rsid w:val="00C3571D"/>
    <w:rsid w:val="00C54F0B"/>
    <w:rsid w:val="00C65FFA"/>
    <w:rsid w:val="00C82621"/>
    <w:rsid w:val="00CB1423"/>
    <w:rsid w:val="00CE5444"/>
    <w:rsid w:val="00D02508"/>
    <w:rsid w:val="00D778CC"/>
    <w:rsid w:val="00D82FE9"/>
    <w:rsid w:val="00D97B77"/>
    <w:rsid w:val="00DB6A85"/>
    <w:rsid w:val="00DD202F"/>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E19A4"/>
  <w15:chartTrackingRefBased/>
  <w15:docId w15:val="{89D9C276-4188-49FE-B09E-301BBE97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link w:val="ListeafsnitTegn"/>
    <w:uiPriority w:val="34"/>
    <w:qFormat/>
    <w:rsid w:val="007D6869"/>
    <w:pPr>
      <w:ind w:left="720"/>
      <w:contextualSpacing/>
    </w:pPr>
    <w:rPr>
      <w:rFonts w:ascii="Arial" w:hAnsi="Arial"/>
      <w:sz w:val="22"/>
      <w:lang w:val="de-DE" w:eastAsia="de-DE"/>
    </w:rPr>
  </w:style>
  <w:style w:type="character" w:customStyle="1" w:styleId="ListeafsnitTegn">
    <w:name w:val="Listeafsnit Tegn"/>
    <w:basedOn w:val="Standardskrifttypeiafsnit"/>
    <w:link w:val="Listeafsnit"/>
    <w:uiPriority w:val="34"/>
    <w:locked/>
    <w:rsid w:val="007D6869"/>
    <w:rPr>
      <w:rFonts w:ascii="Arial" w:hAnsi="Arial"/>
      <w:sz w:val="22"/>
      <w:lang w:val="de-DE" w:eastAsia="de-DE"/>
    </w:rPr>
  </w:style>
  <w:style w:type="character" w:customStyle="1" w:styleId="longtext1">
    <w:name w:val="long_text1"/>
    <w:basedOn w:val="Standardskrifttypeiafsnit"/>
    <w:rsid w:val="007D6869"/>
    <w:rPr>
      <w:sz w:val="20"/>
      <w:szCs w:val="20"/>
    </w:rPr>
  </w:style>
  <w:style w:type="character" w:styleId="Hyperlink">
    <w:name w:val="Hyperlink"/>
    <w:basedOn w:val="Standardskrifttypeiafsnit"/>
    <w:unhideWhenUsed/>
    <w:rsid w:val="007D6869"/>
    <w:rPr>
      <w:color w:val="0000FF"/>
      <w:u w:val="single"/>
    </w:rPr>
  </w:style>
  <w:style w:type="table" w:styleId="Tabel-Gitter">
    <w:name w:val="Table Grid"/>
    <w:basedOn w:val="Tabel-Normal"/>
    <w:uiPriority w:val="59"/>
    <w:rsid w:val="007D6869"/>
    <w:rPr>
      <w:rFonts w:ascii="Calibri" w:hAnsi="Calibri"/>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SBrdtekst">
    <w:name w:val="LMSBrødtekst"/>
    <w:rsid w:val="007D0DEE"/>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4</TotalTime>
  <Pages>13</Pages>
  <Words>3930</Words>
  <Characters>23926</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2024082529, var. 2: pkt. 6.5 - tilføjelse af 90 stk.</dc:description>
  <cp:lastModifiedBy>Helle Venn</cp:lastModifiedBy>
  <cp:revision>3</cp:revision>
  <cp:lastPrinted>2006-02-24T09:31:00Z</cp:lastPrinted>
  <dcterms:created xsi:type="dcterms:W3CDTF">2024-09-18T07:01:00Z</dcterms:created>
  <dcterms:modified xsi:type="dcterms:W3CDTF">2024-09-18T07:04:00Z</dcterms:modified>
</cp:coreProperties>
</file>