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7FA3" w14:textId="77777777" w:rsidR="004A3BF4" w:rsidRPr="004A55EF" w:rsidRDefault="00056601" w:rsidP="004A3BF4">
      <w:pPr>
        <w:rPr>
          <w:sz w:val="24"/>
          <w:szCs w:val="24"/>
          <w:lang w:val="en-GB"/>
        </w:rPr>
      </w:pPr>
      <w:r w:rsidRPr="004A55EF">
        <w:rPr>
          <w:noProof/>
          <w:sz w:val="24"/>
          <w:szCs w:val="24"/>
          <w:lang w:val="en-GB"/>
        </w:rPr>
        <w:drawing>
          <wp:inline distT="0" distB="0" distL="0" distR="0" wp14:anchorId="03A9794D" wp14:editId="179F39F2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57A0" w14:textId="77777777" w:rsidR="006B3847" w:rsidRPr="004A55EF" w:rsidRDefault="006B3847" w:rsidP="006B3847">
      <w:pPr>
        <w:rPr>
          <w:sz w:val="24"/>
          <w:szCs w:val="24"/>
          <w:lang w:val="en-GB"/>
        </w:rPr>
      </w:pPr>
    </w:p>
    <w:p w14:paraId="7BF44C92" w14:textId="02C92BFF" w:rsidR="006B3847" w:rsidRPr="00735396" w:rsidRDefault="006B3847" w:rsidP="006B3847">
      <w:pPr>
        <w:tabs>
          <w:tab w:val="right" w:pos="9356"/>
        </w:tabs>
        <w:rPr>
          <w:b/>
          <w:sz w:val="24"/>
          <w:szCs w:val="24"/>
        </w:rPr>
      </w:pPr>
      <w:r w:rsidRPr="00AB600E">
        <w:rPr>
          <w:b/>
          <w:sz w:val="24"/>
          <w:szCs w:val="24"/>
        </w:rPr>
        <w:tab/>
      </w:r>
      <w:r w:rsidR="00E97412">
        <w:rPr>
          <w:b/>
          <w:sz w:val="24"/>
          <w:szCs w:val="24"/>
        </w:rPr>
        <w:t>8</w:t>
      </w:r>
      <w:r w:rsidR="003E4797">
        <w:rPr>
          <w:b/>
          <w:sz w:val="24"/>
          <w:szCs w:val="24"/>
        </w:rPr>
        <w:t xml:space="preserve">. </w:t>
      </w:r>
      <w:r w:rsidR="008F37DC">
        <w:rPr>
          <w:b/>
          <w:sz w:val="24"/>
          <w:szCs w:val="24"/>
        </w:rPr>
        <w:t>december</w:t>
      </w:r>
      <w:r w:rsidR="003E4797">
        <w:rPr>
          <w:b/>
          <w:sz w:val="24"/>
          <w:szCs w:val="24"/>
        </w:rPr>
        <w:t xml:space="preserve"> 202</w:t>
      </w:r>
      <w:r w:rsidR="008F37DC">
        <w:rPr>
          <w:b/>
          <w:sz w:val="24"/>
          <w:szCs w:val="24"/>
        </w:rPr>
        <w:t>3</w:t>
      </w:r>
    </w:p>
    <w:p w14:paraId="662A66C3" w14:textId="77777777" w:rsidR="006B3847" w:rsidRPr="00735396" w:rsidRDefault="006B3847" w:rsidP="006B3847">
      <w:pPr>
        <w:rPr>
          <w:sz w:val="24"/>
          <w:szCs w:val="24"/>
        </w:rPr>
      </w:pPr>
    </w:p>
    <w:p w14:paraId="03B52C12" w14:textId="77777777" w:rsidR="007C5D2A" w:rsidRPr="00735396" w:rsidRDefault="007C5D2A" w:rsidP="007C5D2A">
      <w:pPr>
        <w:rPr>
          <w:sz w:val="24"/>
          <w:szCs w:val="24"/>
        </w:rPr>
      </w:pPr>
    </w:p>
    <w:p w14:paraId="47B91423" w14:textId="77777777" w:rsidR="000131AE" w:rsidRPr="00735396" w:rsidRDefault="000131AE" w:rsidP="007C5D2A">
      <w:pPr>
        <w:jc w:val="center"/>
        <w:rPr>
          <w:sz w:val="24"/>
          <w:szCs w:val="24"/>
        </w:rPr>
      </w:pPr>
      <w:bookmarkStart w:id="0" w:name="_Hlk49158549"/>
    </w:p>
    <w:bookmarkEnd w:id="0"/>
    <w:p w14:paraId="007916A0" w14:textId="77777777" w:rsidR="00DC22F9" w:rsidRDefault="00DC22F9" w:rsidP="00DC22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14:paraId="76F86DD1" w14:textId="77777777" w:rsidR="007C5D2A" w:rsidRPr="00735396" w:rsidRDefault="007C5D2A" w:rsidP="007C5D2A">
      <w:pPr>
        <w:jc w:val="center"/>
        <w:rPr>
          <w:sz w:val="24"/>
          <w:szCs w:val="24"/>
        </w:rPr>
      </w:pPr>
    </w:p>
    <w:p w14:paraId="3399DED7" w14:textId="77777777" w:rsidR="007C5D2A" w:rsidRPr="00735396" w:rsidRDefault="007C5D2A" w:rsidP="007C5D2A">
      <w:pPr>
        <w:jc w:val="center"/>
        <w:rPr>
          <w:b/>
          <w:sz w:val="24"/>
          <w:szCs w:val="24"/>
        </w:rPr>
      </w:pPr>
      <w:r w:rsidRPr="00735396">
        <w:rPr>
          <w:b/>
          <w:sz w:val="24"/>
          <w:szCs w:val="24"/>
        </w:rPr>
        <w:t>for</w:t>
      </w:r>
    </w:p>
    <w:p w14:paraId="3106B7F2" w14:textId="77777777" w:rsidR="007C5D2A" w:rsidRPr="00735396" w:rsidRDefault="007C5D2A" w:rsidP="007C5D2A">
      <w:pPr>
        <w:jc w:val="center"/>
        <w:rPr>
          <w:sz w:val="24"/>
          <w:szCs w:val="24"/>
        </w:rPr>
      </w:pPr>
    </w:p>
    <w:p w14:paraId="69CB9095" w14:textId="7B9E9906" w:rsidR="007C5D2A" w:rsidRPr="005555A4" w:rsidRDefault="003134D0" w:rsidP="007C5D2A">
      <w:pPr>
        <w:jc w:val="center"/>
        <w:rPr>
          <w:b/>
          <w:sz w:val="24"/>
          <w:szCs w:val="24"/>
        </w:rPr>
      </w:pPr>
      <w:r w:rsidRPr="005555A4">
        <w:rPr>
          <w:b/>
          <w:sz w:val="24"/>
          <w:szCs w:val="24"/>
        </w:rPr>
        <w:t>Apixa</w:t>
      </w:r>
      <w:r w:rsidR="00AB0713" w:rsidRPr="005555A4">
        <w:rPr>
          <w:b/>
          <w:sz w:val="24"/>
          <w:szCs w:val="24"/>
        </w:rPr>
        <w:t>ban "Stada", film</w:t>
      </w:r>
      <w:r w:rsidR="00DC22F9" w:rsidRPr="005555A4">
        <w:rPr>
          <w:b/>
          <w:sz w:val="24"/>
          <w:szCs w:val="24"/>
        </w:rPr>
        <w:t>overtrukne</w:t>
      </w:r>
      <w:r w:rsidR="00AB0713" w:rsidRPr="005555A4">
        <w:rPr>
          <w:b/>
          <w:sz w:val="24"/>
          <w:szCs w:val="24"/>
        </w:rPr>
        <w:t xml:space="preserve"> tablet</w:t>
      </w:r>
      <w:r w:rsidR="00DC22F9" w:rsidRPr="005555A4">
        <w:rPr>
          <w:b/>
          <w:sz w:val="24"/>
          <w:szCs w:val="24"/>
        </w:rPr>
        <w:t>ter</w:t>
      </w:r>
      <w:r w:rsidR="004F0176" w:rsidRPr="005555A4">
        <w:rPr>
          <w:b/>
          <w:sz w:val="24"/>
          <w:szCs w:val="24"/>
        </w:rPr>
        <w:t xml:space="preserve"> 5 mg</w:t>
      </w:r>
    </w:p>
    <w:p w14:paraId="4176A3E2" w14:textId="77777777" w:rsidR="007C5D2A" w:rsidRPr="005555A4" w:rsidRDefault="007C5D2A" w:rsidP="007C5D2A">
      <w:pPr>
        <w:jc w:val="both"/>
        <w:rPr>
          <w:sz w:val="24"/>
          <w:szCs w:val="24"/>
        </w:rPr>
      </w:pPr>
    </w:p>
    <w:p w14:paraId="7F79E353" w14:textId="77777777" w:rsidR="0042292D" w:rsidRPr="005555A4" w:rsidRDefault="0042292D" w:rsidP="007C5D2A">
      <w:pPr>
        <w:jc w:val="both"/>
        <w:rPr>
          <w:sz w:val="24"/>
          <w:szCs w:val="24"/>
        </w:rPr>
      </w:pPr>
    </w:p>
    <w:p w14:paraId="3B4AD3A9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  <w:t>D.SP.NR.</w:t>
      </w:r>
    </w:p>
    <w:p w14:paraId="40A6C95F" w14:textId="77777777" w:rsidR="005555A4" w:rsidRPr="00C103C5" w:rsidRDefault="005555A4" w:rsidP="005555A4">
      <w:pPr>
        <w:tabs>
          <w:tab w:val="left" w:pos="8222"/>
        </w:tabs>
        <w:ind w:left="851"/>
        <w:rPr>
          <w:sz w:val="24"/>
          <w:szCs w:val="24"/>
        </w:rPr>
      </w:pPr>
      <w:r w:rsidRPr="00C103C5">
        <w:rPr>
          <w:sz w:val="24"/>
          <w:szCs w:val="24"/>
        </w:rPr>
        <w:t>31832</w:t>
      </w:r>
    </w:p>
    <w:p w14:paraId="59880638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26381D6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LÆGEMIDLETS NAVN</w:t>
      </w:r>
    </w:p>
    <w:p w14:paraId="4E78D35F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Apixaban "Stada"</w:t>
      </w:r>
    </w:p>
    <w:p w14:paraId="0C51BB2E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6869B1E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KVALITATIV OG KVANTITATIV SAMMENSÆTNING</w:t>
      </w:r>
    </w:p>
    <w:p w14:paraId="64F9ABB5" w14:textId="30EFF78A" w:rsidR="005555A4" w:rsidRPr="00C103C5" w:rsidRDefault="005555A4" w:rsidP="005555A4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>Hver filmovertrukke</w:t>
      </w:r>
      <w:r>
        <w:rPr>
          <w:bCs/>
          <w:sz w:val="24"/>
          <w:szCs w:val="24"/>
        </w:rPr>
        <w:t>t</w:t>
      </w:r>
      <w:r w:rsidRPr="00C103C5">
        <w:rPr>
          <w:bCs/>
          <w:sz w:val="24"/>
          <w:szCs w:val="24"/>
        </w:rPr>
        <w:t xml:space="preserve"> tablet indeholder 5 mg apixaban.</w:t>
      </w:r>
    </w:p>
    <w:p w14:paraId="593D287A" w14:textId="77777777" w:rsidR="005555A4" w:rsidRPr="00C103C5" w:rsidRDefault="005555A4" w:rsidP="005555A4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72FC7EAD" w14:textId="77777777" w:rsidR="00DF6511" w:rsidRDefault="00DF6511" w:rsidP="005555A4">
      <w:pPr>
        <w:tabs>
          <w:tab w:val="left" w:pos="851"/>
        </w:tabs>
        <w:ind w:left="851"/>
        <w:rPr>
          <w:bCs/>
          <w:sz w:val="24"/>
          <w:szCs w:val="24"/>
          <w:u w:val="single"/>
          <w:lang w:val="fr-LU"/>
        </w:rPr>
      </w:pPr>
      <w:r w:rsidRPr="00DF6511">
        <w:rPr>
          <w:bCs/>
          <w:sz w:val="24"/>
          <w:szCs w:val="24"/>
          <w:u w:val="single"/>
        </w:rPr>
        <w:t>Hjælpestof, s</w:t>
      </w:r>
      <w:r w:rsidRPr="00DF6511">
        <w:rPr>
          <w:bCs/>
          <w:sz w:val="24"/>
          <w:szCs w:val="24"/>
          <w:u w:val="single"/>
          <w:lang w:val="fr-LU"/>
        </w:rPr>
        <w:t>om behandleren skal være opmærksom på</w:t>
      </w:r>
    </w:p>
    <w:p w14:paraId="25ACC50A" w14:textId="0ABC4054" w:rsidR="005555A4" w:rsidRPr="00C103C5" w:rsidRDefault="005555A4" w:rsidP="005555A4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>Hver 5 mg filmovertrukke</w:t>
      </w:r>
      <w:r>
        <w:rPr>
          <w:bCs/>
          <w:sz w:val="24"/>
          <w:szCs w:val="24"/>
        </w:rPr>
        <w:t>t</w:t>
      </w:r>
      <w:r w:rsidRPr="00C103C5">
        <w:rPr>
          <w:bCs/>
          <w:sz w:val="24"/>
          <w:szCs w:val="24"/>
        </w:rPr>
        <w:t xml:space="preserve"> tablet indeholder </w:t>
      </w:r>
      <w:r w:rsidR="00421F1C">
        <w:rPr>
          <w:bCs/>
          <w:sz w:val="24"/>
          <w:szCs w:val="24"/>
        </w:rPr>
        <w:t>1,60</w:t>
      </w:r>
      <w:r w:rsidRPr="00C103C5">
        <w:rPr>
          <w:bCs/>
          <w:sz w:val="24"/>
          <w:szCs w:val="24"/>
        </w:rPr>
        <w:t xml:space="preserve"> mg lactose.</w:t>
      </w:r>
    </w:p>
    <w:p w14:paraId="700FE18E" w14:textId="77777777" w:rsidR="005555A4" w:rsidRPr="00C103C5" w:rsidRDefault="005555A4" w:rsidP="005555A4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 xml:space="preserve"> </w:t>
      </w:r>
    </w:p>
    <w:p w14:paraId="2C4CE505" w14:textId="77777777" w:rsidR="005555A4" w:rsidRPr="00C103C5" w:rsidRDefault="005555A4" w:rsidP="005555A4">
      <w:pPr>
        <w:tabs>
          <w:tab w:val="left" w:pos="851"/>
        </w:tabs>
        <w:ind w:left="851"/>
        <w:rPr>
          <w:bCs/>
          <w:sz w:val="24"/>
          <w:szCs w:val="24"/>
        </w:rPr>
      </w:pPr>
      <w:r w:rsidRPr="00C103C5">
        <w:rPr>
          <w:bCs/>
          <w:sz w:val="24"/>
          <w:szCs w:val="24"/>
        </w:rPr>
        <w:t>Alle hj</w:t>
      </w:r>
      <w:r w:rsidRPr="00C103C5">
        <w:rPr>
          <w:rFonts w:hint="eastAsia"/>
          <w:bCs/>
          <w:sz w:val="24"/>
          <w:szCs w:val="24"/>
        </w:rPr>
        <w:t>æ</w:t>
      </w:r>
      <w:r w:rsidRPr="00C103C5">
        <w:rPr>
          <w:bCs/>
          <w:sz w:val="24"/>
          <w:szCs w:val="24"/>
        </w:rPr>
        <w:t>lpestoffer er anf</w:t>
      </w:r>
      <w:r w:rsidRPr="00C103C5">
        <w:rPr>
          <w:rFonts w:hint="eastAsia"/>
          <w:bCs/>
          <w:sz w:val="24"/>
          <w:szCs w:val="24"/>
        </w:rPr>
        <w:t>ø</w:t>
      </w:r>
      <w:r w:rsidRPr="00C103C5">
        <w:rPr>
          <w:bCs/>
          <w:sz w:val="24"/>
          <w:szCs w:val="24"/>
        </w:rPr>
        <w:t>rt under pkt. 6.1.</w:t>
      </w:r>
    </w:p>
    <w:p w14:paraId="1CFAC1F7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AEFEFB4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LÆGEMIDDELFORM</w:t>
      </w:r>
    </w:p>
    <w:p w14:paraId="41CBB777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103C5">
        <w:rPr>
          <w:sz w:val="24"/>
          <w:szCs w:val="24"/>
        </w:rPr>
        <w:t>Filmovertrukne tabletter (tabletter)</w:t>
      </w:r>
    </w:p>
    <w:p w14:paraId="3F4A195C" w14:textId="77777777" w:rsidR="005555A4" w:rsidRPr="00C103C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8BBC30E" w14:textId="192D2F04" w:rsidR="005555A4" w:rsidRDefault="00421F1C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Lyserøde, ovale, filmovertrukne</w:t>
      </w:r>
      <w:r w:rsidR="005555A4" w:rsidRPr="00C103C5">
        <w:rPr>
          <w:sz w:val="24"/>
          <w:szCs w:val="24"/>
        </w:rPr>
        <w:t xml:space="preserve"> tabletter med en </w:t>
      </w:r>
      <w:r w:rsidR="00174B18">
        <w:rPr>
          <w:sz w:val="24"/>
          <w:szCs w:val="24"/>
        </w:rPr>
        <w:t xml:space="preserve">delekærv på den ene side og med en </w:t>
      </w:r>
      <w:r w:rsidR="005555A4" w:rsidRPr="00C103C5">
        <w:rPr>
          <w:sz w:val="24"/>
          <w:szCs w:val="24"/>
        </w:rPr>
        <w:t>gennemsnitlig tykkelse på 4,</w:t>
      </w:r>
      <w:r w:rsidR="00174B18">
        <w:rPr>
          <w:sz w:val="24"/>
          <w:szCs w:val="24"/>
        </w:rPr>
        <w:t>4</w:t>
      </w:r>
      <w:r w:rsidR="005555A4" w:rsidRPr="00C103C5">
        <w:rPr>
          <w:sz w:val="24"/>
          <w:szCs w:val="24"/>
        </w:rPr>
        <w:t xml:space="preserve"> mm ± 0,4 mm</w:t>
      </w:r>
      <w:r w:rsidR="00174B18">
        <w:rPr>
          <w:sz w:val="24"/>
          <w:szCs w:val="24"/>
        </w:rPr>
        <w:t>, en længde på 11 mm</w:t>
      </w:r>
      <w:r w:rsidR="005555A4" w:rsidRPr="00C103C5">
        <w:rPr>
          <w:sz w:val="24"/>
          <w:szCs w:val="24"/>
        </w:rPr>
        <w:t xml:space="preserve"> og en diameter på 6 mm.</w:t>
      </w:r>
    </w:p>
    <w:p w14:paraId="75715ECD" w14:textId="194EE113" w:rsidR="00174B18" w:rsidRDefault="00174B18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CB87F9E" w14:textId="77777777" w:rsidR="00174B18" w:rsidRPr="00174B18" w:rsidRDefault="00174B18" w:rsidP="00174B18">
      <w:pPr>
        <w:tabs>
          <w:tab w:val="left" w:pos="851"/>
        </w:tabs>
        <w:ind w:left="851"/>
        <w:rPr>
          <w:sz w:val="24"/>
          <w:szCs w:val="24"/>
        </w:rPr>
      </w:pPr>
      <w:r w:rsidRPr="00174B18">
        <w:rPr>
          <w:sz w:val="24"/>
          <w:szCs w:val="24"/>
        </w:rPr>
        <w:t xml:space="preserve">Tabletten kan deles i to lige store dele. </w:t>
      </w:r>
    </w:p>
    <w:p w14:paraId="7636A163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8DA40BD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7F24A2E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KLINISKE OPLYSNINGER</w:t>
      </w:r>
    </w:p>
    <w:p w14:paraId="0514B768" w14:textId="77777777" w:rsidR="005555A4" w:rsidRDefault="005555A4" w:rsidP="005555A4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6CCCB74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  <w:t>Terapeutiske indikationer</w:t>
      </w:r>
    </w:p>
    <w:p w14:paraId="660AB9F3" w14:textId="77777777" w:rsidR="005555A4" w:rsidRPr="00C32BBB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32BBB">
        <w:rPr>
          <w:sz w:val="24"/>
          <w:szCs w:val="24"/>
        </w:rPr>
        <w:t>Forebyggelse af apopleksi og systemisk emboli hos voksne patienter med non-valvul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>r atrieflimren</w:t>
      </w:r>
      <w:r>
        <w:rPr>
          <w:sz w:val="24"/>
          <w:szCs w:val="24"/>
        </w:rPr>
        <w:t xml:space="preserve"> </w:t>
      </w:r>
      <w:r w:rsidRPr="00C32BBB">
        <w:rPr>
          <w:sz w:val="24"/>
          <w:szCs w:val="24"/>
        </w:rPr>
        <w:t>(NVAF) med en eller flere risikofaktorer, s</w:t>
      </w:r>
      <w:r w:rsidRPr="00C32BBB">
        <w:rPr>
          <w:rFonts w:hint="eastAsia"/>
          <w:sz w:val="24"/>
          <w:szCs w:val="24"/>
        </w:rPr>
        <w:t>å</w:t>
      </w:r>
      <w:r w:rsidRPr="00C32BBB">
        <w:rPr>
          <w:sz w:val="24"/>
          <w:szCs w:val="24"/>
        </w:rPr>
        <w:t>som apopleksi eller transitorisk isk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 xml:space="preserve">misk attak (TIA) i anamnesen, alder </w:t>
      </w:r>
      <w:r w:rsidRPr="00C32BBB">
        <w:rPr>
          <w:rFonts w:hint="eastAsia"/>
          <w:sz w:val="24"/>
          <w:szCs w:val="24"/>
        </w:rPr>
        <w:t>≥</w:t>
      </w:r>
      <w:r w:rsidRPr="00C32BBB">
        <w:rPr>
          <w:sz w:val="24"/>
          <w:szCs w:val="24"/>
        </w:rPr>
        <w:t xml:space="preserve"> 75 </w:t>
      </w:r>
      <w:r w:rsidRPr="00C32BBB">
        <w:rPr>
          <w:rFonts w:hint="eastAsia"/>
          <w:sz w:val="24"/>
          <w:szCs w:val="24"/>
        </w:rPr>
        <w:t>å</w:t>
      </w:r>
      <w:r w:rsidRPr="00C32BBB">
        <w:rPr>
          <w:sz w:val="24"/>
          <w:szCs w:val="24"/>
        </w:rPr>
        <w:t xml:space="preserve">r, hypertension, diabetes mellitus, symptomatisk hjertesvigt (NYHA-klasse </w:t>
      </w:r>
      <w:r w:rsidRPr="00C32BBB">
        <w:rPr>
          <w:rFonts w:hint="eastAsia"/>
          <w:sz w:val="24"/>
          <w:szCs w:val="24"/>
        </w:rPr>
        <w:t>≥</w:t>
      </w:r>
      <w:r w:rsidRPr="00C32BBB">
        <w:rPr>
          <w:sz w:val="24"/>
          <w:szCs w:val="24"/>
        </w:rPr>
        <w:t xml:space="preserve"> II).</w:t>
      </w:r>
    </w:p>
    <w:p w14:paraId="448C7EE3" w14:textId="77777777" w:rsidR="005555A4" w:rsidRPr="00C32BBB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CEC9B9C" w14:textId="77777777" w:rsidR="005555A4" w:rsidRPr="00C32BBB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32BBB">
        <w:rPr>
          <w:sz w:val="24"/>
          <w:szCs w:val="24"/>
        </w:rPr>
        <w:t>Behandling af dyb venetrombose (DVT) og lungeemboli (LE) samt forebyggelse af recidiverende</w:t>
      </w:r>
      <w:r>
        <w:rPr>
          <w:sz w:val="24"/>
          <w:szCs w:val="24"/>
        </w:rPr>
        <w:t xml:space="preserve"> </w:t>
      </w:r>
      <w:r w:rsidRPr="00C32BBB">
        <w:rPr>
          <w:sz w:val="24"/>
          <w:szCs w:val="24"/>
        </w:rPr>
        <w:t>DVT og LE hos voksne (se pkt. 4.4 vedr</w:t>
      </w:r>
      <w:r>
        <w:rPr>
          <w:sz w:val="24"/>
          <w:szCs w:val="24"/>
        </w:rPr>
        <w:t>ørende</w:t>
      </w:r>
      <w:r w:rsidRPr="00C32BBB">
        <w:rPr>
          <w:sz w:val="24"/>
          <w:szCs w:val="24"/>
        </w:rPr>
        <w:t xml:space="preserve"> h</w:t>
      </w:r>
      <w:r w:rsidRPr="00C32BBB">
        <w:rPr>
          <w:rFonts w:hint="eastAsia"/>
          <w:sz w:val="24"/>
          <w:szCs w:val="24"/>
        </w:rPr>
        <w:t>æ</w:t>
      </w:r>
      <w:r w:rsidRPr="00C32BBB">
        <w:rPr>
          <w:sz w:val="24"/>
          <w:szCs w:val="24"/>
        </w:rPr>
        <w:t>modynamisk ustabile LE</w:t>
      </w:r>
      <w:r w:rsidRPr="00C32BBB">
        <w:rPr>
          <w:rFonts w:hint="eastAsia"/>
          <w:sz w:val="24"/>
          <w:szCs w:val="24"/>
        </w:rPr>
        <w:t>‑</w:t>
      </w:r>
      <w:r w:rsidRPr="00C32BBB">
        <w:rPr>
          <w:sz w:val="24"/>
          <w:szCs w:val="24"/>
        </w:rPr>
        <w:t>patienter).</w:t>
      </w:r>
    </w:p>
    <w:p w14:paraId="7C1AA502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53928CD" w14:textId="08720448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  <w:t xml:space="preserve">Dosering og </w:t>
      </w:r>
      <w:r w:rsidR="000B6798">
        <w:rPr>
          <w:b/>
          <w:sz w:val="24"/>
          <w:szCs w:val="24"/>
        </w:rPr>
        <w:t>administration</w:t>
      </w:r>
    </w:p>
    <w:p w14:paraId="1CDF09AE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3831D72" w14:textId="77777777" w:rsidR="005555A4" w:rsidRPr="00BE2218" w:rsidRDefault="005555A4" w:rsidP="005555A4">
      <w:pPr>
        <w:tabs>
          <w:tab w:val="left" w:pos="851"/>
        </w:tabs>
        <w:ind w:left="851"/>
        <w:rPr>
          <w:b/>
          <w:sz w:val="24"/>
          <w:szCs w:val="24"/>
        </w:rPr>
      </w:pPr>
      <w:r w:rsidRPr="00BE2218">
        <w:rPr>
          <w:b/>
          <w:sz w:val="24"/>
          <w:szCs w:val="24"/>
        </w:rPr>
        <w:t>Dosering</w:t>
      </w:r>
    </w:p>
    <w:p w14:paraId="2714C3C4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2A7051A" w14:textId="77777777" w:rsidR="005555A4" w:rsidRPr="00D20532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D20532">
        <w:rPr>
          <w:iCs/>
          <w:sz w:val="24"/>
          <w:szCs w:val="24"/>
          <w:u w:val="single"/>
        </w:rPr>
        <w:t>Forebyggelse af apopleksi og systemisk emboli hos patienter med non-valvulær atrieflimren (NVAF)</w:t>
      </w:r>
    </w:p>
    <w:p w14:paraId="3C7B9A8D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 xml:space="preserve">Den anbefalede dosis apixaban er 5 mg indtaget oralt to 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>.</w:t>
      </w:r>
    </w:p>
    <w:p w14:paraId="6CE4E079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3846637" w14:textId="77777777" w:rsidR="005555A4" w:rsidRPr="006C068D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6C068D">
        <w:rPr>
          <w:i/>
          <w:iCs/>
          <w:sz w:val="24"/>
          <w:szCs w:val="24"/>
        </w:rPr>
        <w:t>Dosisreduktion</w:t>
      </w:r>
    </w:p>
    <w:p w14:paraId="295200F5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 xml:space="preserve">Den anbefalede dosis apixaban er 2,5 mg indtaget oralt to 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hos patienter med NVAF og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med mindst to af 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 xml:space="preserve">lgende karakteristika: alder </w:t>
      </w:r>
      <w:r w:rsidRPr="006C068D">
        <w:rPr>
          <w:rFonts w:hint="eastAsia"/>
          <w:sz w:val="24"/>
          <w:szCs w:val="24"/>
        </w:rPr>
        <w:t>≥</w:t>
      </w:r>
      <w:r w:rsidRPr="006C068D">
        <w:rPr>
          <w:sz w:val="24"/>
          <w:szCs w:val="24"/>
        </w:rPr>
        <w:t xml:space="preserve"> 80 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r, kropsv</w:t>
      </w:r>
      <w:r w:rsidRPr="006C068D">
        <w:rPr>
          <w:rFonts w:hint="eastAsia"/>
          <w:sz w:val="24"/>
          <w:szCs w:val="24"/>
        </w:rPr>
        <w:t>æ</w:t>
      </w:r>
      <w:r w:rsidRPr="006C068D">
        <w:rPr>
          <w:sz w:val="24"/>
          <w:szCs w:val="24"/>
        </w:rPr>
        <w:t xml:space="preserve">gt </w:t>
      </w:r>
      <w:r w:rsidRPr="006C068D">
        <w:rPr>
          <w:rFonts w:hint="eastAsia"/>
          <w:sz w:val="24"/>
          <w:szCs w:val="24"/>
        </w:rPr>
        <w:t>≤</w:t>
      </w:r>
      <w:r w:rsidRPr="006C068D">
        <w:rPr>
          <w:sz w:val="24"/>
          <w:szCs w:val="24"/>
        </w:rPr>
        <w:t xml:space="preserve"> 60 kg eller serumkreatinin</w:t>
      </w:r>
      <w:r>
        <w:rPr>
          <w:sz w:val="24"/>
          <w:szCs w:val="24"/>
        </w:rPr>
        <w:t xml:space="preserve"> </w:t>
      </w:r>
      <w:r w:rsidRPr="006C068D">
        <w:rPr>
          <w:rFonts w:hint="eastAsia"/>
          <w:sz w:val="24"/>
          <w:szCs w:val="24"/>
        </w:rPr>
        <w:t>≥</w:t>
      </w:r>
      <w:r w:rsidRPr="006C068D">
        <w:rPr>
          <w:sz w:val="24"/>
          <w:szCs w:val="24"/>
        </w:rPr>
        <w:t xml:space="preserve"> 1,5 mg/dl (133 mikromol/l).</w:t>
      </w:r>
    </w:p>
    <w:p w14:paraId="49FB7A97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F9AC68D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Behandlingen b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 v</w:t>
      </w:r>
      <w:r w:rsidRPr="006C068D">
        <w:rPr>
          <w:rFonts w:hint="eastAsia"/>
          <w:sz w:val="24"/>
          <w:szCs w:val="24"/>
        </w:rPr>
        <w:t>æ</w:t>
      </w:r>
      <w:r w:rsidRPr="006C068D">
        <w:rPr>
          <w:sz w:val="24"/>
          <w:szCs w:val="24"/>
        </w:rPr>
        <w:t>re langvarig.</w:t>
      </w:r>
    </w:p>
    <w:p w14:paraId="7FBFE4F0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FBEC398" w14:textId="77777777" w:rsidR="005555A4" w:rsidRPr="00E354C4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54C4">
        <w:rPr>
          <w:iCs/>
          <w:sz w:val="24"/>
          <w:szCs w:val="24"/>
          <w:u w:val="single"/>
        </w:rPr>
        <w:t>Behandling af DVT, behandling af LE og forebyggelse af recidiverende DVT og LE (VTEt)</w:t>
      </w:r>
    </w:p>
    <w:p w14:paraId="54629A86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Den anbefalede dosis af apixaban til behandling af akut DVT og behandling af LE er 10 mg oralt to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 xml:space="preserve">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de 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 xml:space="preserve">rste 7 dage efterfulgt af 5 mg oralt to 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>. If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lge g</w:t>
      </w:r>
      <w:r w:rsidRPr="006C068D">
        <w:rPr>
          <w:rFonts w:hint="eastAsia"/>
          <w:sz w:val="24"/>
          <w:szCs w:val="24"/>
        </w:rPr>
        <w:t>æ</w:t>
      </w:r>
      <w:r w:rsidRPr="006C068D">
        <w:rPr>
          <w:sz w:val="24"/>
          <w:szCs w:val="24"/>
        </w:rPr>
        <w:t>ldende kliniske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retningslinjer b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 kort behandlingsvarighed (mindst 3 m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neder) baseres p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 xml:space="preserve"> forbig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ende risikofaktorer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(f.eks. nyligt operativt indgreb, traume, immobilisering).</w:t>
      </w:r>
    </w:p>
    <w:p w14:paraId="65CEEDB4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E82093A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6C068D">
        <w:rPr>
          <w:sz w:val="24"/>
          <w:szCs w:val="24"/>
        </w:rPr>
        <w:t>Den anbefalede dosis af apixaban til forebyggelse af recidiverende DVT og LE er 2,5 mg oralt to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 xml:space="preserve">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>. Hvis forebyggelse af recidiverende DVT og LE er indiceret, b</w:t>
      </w:r>
      <w:r w:rsidRPr="006C068D">
        <w:rPr>
          <w:rFonts w:hint="eastAsia"/>
          <w:sz w:val="24"/>
          <w:szCs w:val="24"/>
        </w:rPr>
        <w:t>ø</w:t>
      </w:r>
      <w:r w:rsidRPr="006C068D">
        <w:rPr>
          <w:sz w:val="24"/>
          <w:szCs w:val="24"/>
        </w:rPr>
        <w:t>r behandlingen med en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>dosis p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 xml:space="preserve"> 2,5 mg oralt to 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initieres efter afsluttet 6 m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>neders behandling med apixaban</w:t>
      </w:r>
      <w:r>
        <w:rPr>
          <w:sz w:val="24"/>
          <w:szCs w:val="24"/>
        </w:rPr>
        <w:t xml:space="preserve"> </w:t>
      </w:r>
      <w:r w:rsidRPr="006C068D">
        <w:rPr>
          <w:sz w:val="24"/>
          <w:szCs w:val="24"/>
        </w:rPr>
        <w:t xml:space="preserve">5 mg to gange </w:t>
      </w:r>
      <w:r>
        <w:rPr>
          <w:sz w:val="24"/>
          <w:szCs w:val="24"/>
        </w:rPr>
        <w:t>daglig</w:t>
      </w:r>
      <w:r w:rsidRPr="006C068D">
        <w:rPr>
          <w:sz w:val="24"/>
          <w:szCs w:val="24"/>
        </w:rPr>
        <w:t xml:space="preserve"> eller med et andet antikoagulans, som anvist i tabel 1 (se ogs</w:t>
      </w:r>
      <w:r w:rsidRPr="006C068D">
        <w:rPr>
          <w:rFonts w:hint="eastAsia"/>
          <w:sz w:val="24"/>
          <w:szCs w:val="24"/>
        </w:rPr>
        <w:t>å</w:t>
      </w:r>
      <w:r w:rsidRPr="006C068D">
        <w:rPr>
          <w:sz w:val="24"/>
          <w:szCs w:val="24"/>
        </w:rPr>
        <w:t xml:space="preserve"> pkt. 5.1).</w:t>
      </w:r>
    </w:p>
    <w:p w14:paraId="6DA8D30E" w14:textId="77777777" w:rsidR="005555A4" w:rsidRPr="006C068D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0B5A9E4" w14:textId="77777777" w:rsidR="005555A4" w:rsidRPr="006C068D" w:rsidRDefault="005555A4" w:rsidP="005555A4">
      <w:pPr>
        <w:tabs>
          <w:tab w:val="left" w:pos="851"/>
        </w:tabs>
        <w:ind w:left="851"/>
        <w:rPr>
          <w:b/>
          <w:bCs/>
          <w:sz w:val="24"/>
          <w:szCs w:val="24"/>
          <w:lang w:val="fr-LU"/>
        </w:rPr>
      </w:pPr>
      <w:r w:rsidRPr="006C068D">
        <w:rPr>
          <w:b/>
          <w:bCs/>
          <w:sz w:val="24"/>
          <w:szCs w:val="24"/>
          <w:lang w:val="fr-LU"/>
        </w:rPr>
        <w:t>Tabel 1: Dos</w:t>
      </w:r>
      <w:r>
        <w:rPr>
          <w:b/>
          <w:bCs/>
          <w:sz w:val="24"/>
          <w:szCs w:val="24"/>
          <w:lang w:val="fr-LU"/>
        </w:rPr>
        <w:t>is</w:t>
      </w:r>
      <w:r w:rsidRPr="006C068D">
        <w:rPr>
          <w:b/>
          <w:bCs/>
          <w:sz w:val="24"/>
          <w:szCs w:val="24"/>
          <w:lang w:val="fr-LU"/>
        </w:rPr>
        <w:t>anbefaling (VTEt)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2331"/>
      </w:tblGrid>
      <w:tr w:rsidR="005555A4" w:rsidRPr="00BE2218" w14:paraId="373051FF" w14:textId="77777777" w:rsidTr="005555A4">
        <w:trPr>
          <w:trHeight w:val="388"/>
        </w:trPr>
        <w:tc>
          <w:tcPr>
            <w:tcW w:w="2552" w:type="dxa"/>
          </w:tcPr>
          <w:p w14:paraId="54432F39" w14:textId="77777777" w:rsidR="005555A4" w:rsidRPr="00BE2218" w:rsidRDefault="005555A4" w:rsidP="005555A4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402" w:type="dxa"/>
          </w:tcPr>
          <w:p w14:paraId="30777BAB" w14:textId="77777777" w:rsidR="005555A4" w:rsidRPr="00BE2218" w:rsidRDefault="005555A4" w:rsidP="005555A4">
            <w:pPr>
              <w:ind w:left="100"/>
              <w:rPr>
                <w:rFonts w:ascii="Times New Roman" w:hAnsi="Times New Roman"/>
                <w:b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b/>
                <w:w w:val="105"/>
                <w:sz w:val="22"/>
                <w:lang w:val="en-GB"/>
              </w:rPr>
              <w:t>Doseringsskema</w:t>
            </w:r>
          </w:p>
        </w:tc>
        <w:tc>
          <w:tcPr>
            <w:tcW w:w="2331" w:type="dxa"/>
          </w:tcPr>
          <w:p w14:paraId="72D02BE1" w14:textId="77777777" w:rsidR="005555A4" w:rsidRPr="00BE2218" w:rsidRDefault="005555A4" w:rsidP="005555A4">
            <w:pPr>
              <w:ind w:left="101"/>
              <w:rPr>
                <w:rFonts w:ascii="Times New Roman" w:hAnsi="Times New Roman"/>
                <w:b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b/>
                <w:w w:val="105"/>
                <w:sz w:val="22"/>
                <w:lang w:val="en-GB"/>
              </w:rPr>
              <w:t xml:space="preserve">Maksimal </w:t>
            </w:r>
            <w:r w:rsidRPr="00BE2218">
              <w:rPr>
                <w:rFonts w:ascii="Times New Roman" w:hAnsi="Times New Roman"/>
                <w:b/>
                <w:w w:val="105"/>
                <w:sz w:val="22"/>
              </w:rPr>
              <w:t>daglig</w:t>
            </w:r>
            <w:r w:rsidRPr="00BE2218">
              <w:rPr>
                <w:rFonts w:ascii="Times New Roman" w:hAnsi="Times New Roman"/>
                <w:b/>
                <w:w w:val="105"/>
                <w:sz w:val="22"/>
                <w:lang w:val="en-GB"/>
              </w:rPr>
              <w:t xml:space="preserve"> </w:t>
            </w:r>
            <w:r w:rsidRPr="00BE2218">
              <w:rPr>
                <w:rFonts w:ascii="Times New Roman" w:hAnsi="Times New Roman"/>
                <w:b/>
                <w:w w:val="105"/>
                <w:sz w:val="22"/>
              </w:rPr>
              <w:t>dosis</w:t>
            </w:r>
          </w:p>
        </w:tc>
      </w:tr>
      <w:tr w:rsidR="005555A4" w:rsidRPr="00BE2218" w14:paraId="1A09E589" w14:textId="77777777" w:rsidTr="005555A4">
        <w:trPr>
          <w:trHeight w:val="387"/>
        </w:trPr>
        <w:tc>
          <w:tcPr>
            <w:tcW w:w="2552" w:type="dxa"/>
            <w:vMerge w:val="restart"/>
          </w:tcPr>
          <w:p w14:paraId="53C675D5" w14:textId="77777777" w:rsidR="005555A4" w:rsidRPr="00BE2218" w:rsidRDefault="005555A4" w:rsidP="005555A4">
            <w:pPr>
              <w:ind w:left="101"/>
              <w:rPr>
                <w:rFonts w:ascii="Times New Roman" w:hAnsi="Times New Roman"/>
                <w:sz w:val="22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>Behandling af DVT eller LE</w:t>
            </w:r>
          </w:p>
        </w:tc>
        <w:tc>
          <w:tcPr>
            <w:tcW w:w="3402" w:type="dxa"/>
          </w:tcPr>
          <w:p w14:paraId="7FA3502E" w14:textId="77777777" w:rsidR="005555A4" w:rsidRPr="00BE2218" w:rsidRDefault="005555A4" w:rsidP="005555A4">
            <w:pPr>
              <w:ind w:left="100"/>
              <w:rPr>
                <w:rFonts w:ascii="Times New Roman" w:hAnsi="Times New Roman"/>
                <w:w w:val="105"/>
                <w:sz w:val="22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 xml:space="preserve">10 mg to gange </w:t>
            </w:r>
            <w:r>
              <w:rPr>
                <w:rFonts w:ascii="Times New Roman" w:hAnsi="Times New Roman"/>
                <w:w w:val="105"/>
                <w:sz w:val="22"/>
                <w:lang w:val="da-DK"/>
              </w:rPr>
              <w:t>daglig</w:t>
            </w: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 xml:space="preserve"> de første</w:t>
            </w:r>
          </w:p>
          <w:p w14:paraId="3747F2D1" w14:textId="77777777" w:rsidR="005555A4" w:rsidRPr="00BE2218" w:rsidRDefault="005555A4" w:rsidP="005555A4">
            <w:pPr>
              <w:ind w:left="100"/>
              <w:rPr>
                <w:rFonts w:ascii="Times New Roman" w:hAnsi="Times New Roman"/>
                <w:sz w:val="20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</w:rPr>
              <w:t>7 dage</w:t>
            </w:r>
          </w:p>
        </w:tc>
        <w:tc>
          <w:tcPr>
            <w:tcW w:w="2331" w:type="dxa"/>
          </w:tcPr>
          <w:p w14:paraId="5E3B0A60" w14:textId="77777777" w:rsidR="005555A4" w:rsidRPr="00BE2218" w:rsidRDefault="005555A4" w:rsidP="005555A4">
            <w:pPr>
              <w:ind w:left="103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en-GB"/>
              </w:rPr>
              <w:t>20 mg</w:t>
            </w:r>
          </w:p>
        </w:tc>
      </w:tr>
      <w:tr w:rsidR="005555A4" w:rsidRPr="00BE2218" w14:paraId="108B51AF" w14:textId="77777777" w:rsidTr="005555A4">
        <w:trPr>
          <w:trHeight w:val="405"/>
        </w:trPr>
        <w:tc>
          <w:tcPr>
            <w:tcW w:w="2552" w:type="dxa"/>
            <w:vMerge/>
            <w:tcBorders>
              <w:top w:val="nil"/>
            </w:tcBorders>
          </w:tcPr>
          <w:p w14:paraId="08B77863" w14:textId="77777777" w:rsidR="005555A4" w:rsidRPr="00BE2218" w:rsidRDefault="005555A4" w:rsidP="005555A4">
            <w:pPr>
              <w:rPr>
                <w:rFonts w:ascii="Times New Roman" w:hAnsi="Times New Roman"/>
                <w:sz w:val="2"/>
                <w:szCs w:val="2"/>
                <w:lang w:val="fr-LU" w:eastAsia="fr-LU"/>
              </w:rPr>
            </w:pPr>
          </w:p>
        </w:tc>
        <w:tc>
          <w:tcPr>
            <w:tcW w:w="3402" w:type="dxa"/>
          </w:tcPr>
          <w:p w14:paraId="0192299D" w14:textId="77777777" w:rsidR="005555A4" w:rsidRPr="00BE2218" w:rsidRDefault="005555A4" w:rsidP="005555A4">
            <w:pPr>
              <w:ind w:left="100"/>
              <w:rPr>
                <w:rFonts w:ascii="Times New Roman" w:hAnsi="Times New Roman"/>
                <w:sz w:val="22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 xml:space="preserve">efterfulgt af 5 mg to gange </w:t>
            </w:r>
            <w:r>
              <w:rPr>
                <w:rFonts w:ascii="Times New Roman" w:hAnsi="Times New Roman"/>
                <w:w w:val="105"/>
                <w:sz w:val="22"/>
                <w:lang w:val="da-DK"/>
              </w:rPr>
              <w:t>daglig</w:t>
            </w:r>
          </w:p>
        </w:tc>
        <w:tc>
          <w:tcPr>
            <w:tcW w:w="2331" w:type="dxa"/>
          </w:tcPr>
          <w:p w14:paraId="5F530FA0" w14:textId="77777777" w:rsidR="005555A4" w:rsidRPr="00BE2218" w:rsidRDefault="005555A4" w:rsidP="005555A4">
            <w:pPr>
              <w:ind w:left="102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en-GB"/>
              </w:rPr>
              <w:t>10 mg</w:t>
            </w:r>
          </w:p>
        </w:tc>
      </w:tr>
      <w:tr w:rsidR="005555A4" w:rsidRPr="00BE2218" w14:paraId="5A6ADC23" w14:textId="77777777" w:rsidTr="005555A4">
        <w:trPr>
          <w:trHeight w:val="951"/>
        </w:trPr>
        <w:tc>
          <w:tcPr>
            <w:tcW w:w="2552" w:type="dxa"/>
          </w:tcPr>
          <w:p w14:paraId="4BC95C5F" w14:textId="77777777" w:rsidR="005555A4" w:rsidRPr="00BE2218" w:rsidRDefault="005555A4" w:rsidP="005555A4">
            <w:pPr>
              <w:ind w:left="101" w:right="54"/>
              <w:rPr>
                <w:rFonts w:ascii="Times New Roman" w:hAnsi="Times New Roman"/>
                <w:sz w:val="20"/>
                <w:lang w:val="da-DK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da-DK"/>
              </w:rPr>
              <w:t>Forebyggelse af recidiverende DVT og/eller LE efter afsluttet 6 måneders behandling af DVT eller LE</w:t>
            </w:r>
          </w:p>
        </w:tc>
        <w:tc>
          <w:tcPr>
            <w:tcW w:w="3402" w:type="dxa"/>
            <w:vAlign w:val="center"/>
          </w:tcPr>
          <w:p w14:paraId="06E99264" w14:textId="77777777" w:rsidR="005555A4" w:rsidRPr="00BE2218" w:rsidRDefault="005555A4" w:rsidP="005555A4">
            <w:pPr>
              <w:ind w:left="100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sz w:val="22"/>
                <w:lang w:eastAsia="en-GB"/>
              </w:rPr>
              <w:t xml:space="preserve">2,5 mg to gange </w:t>
            </w:r>
            <w:r>
              <w:rPr>
                <w:rFonts w:ascii="Times New Roman" w:hAnsi="Times New Roman"/>
                <w:sz w:val="22"/>
                <w:lang w:eastAsia="en-GB"/>
              </w:rPr>
              <w:t>daglig</w:t>
            </w:r>
          </w:p>
        </w:tc>
        <w:tc>
          <w:tcPr>
            <w:tcW w:w="2331" w:type="dxa"/>
            <w:vAlign w:val="center"/>
          </w:tcPr>
          <w:p w14:paraId="49A1ACB1" w14:textId="77777777" w:rsidR="005555A4" w:rsidRPr="00BE2218" w:rsidRDefault="005555A4" w:rsidP="005555A4">
            <w:pPr>
              <w:ind w:left="102"/>
              <w:rPr>
                <w:rFonts w:ascii="Times New Roman" w:hAnsi="Times New Roman"/>
                <w:sz w:val="22"/>
                <w:lang w:val="en-GB"/>
              </w:rPr>
            </w:pPr>
            <w:r w:rsidRPr="00BE2218">
              <w:rPr>
                <w:rFonts w:ascii="Times New Roman" w:hAnsi="Times New Roman"/>
                <w:w w:val="105"/>
                <w:sz w:val="22"/>
                <w:lang w:val="en-GB"/>
              </w:rPr>
              <w:t>5 mg</w:t>
            </w:r>
          </w:p>
        </w:tc>
      </w:tr>
    </w:tbl>
    <w:p w14:paraId="508C22C0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B1DF924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Den samlede behandlingsvarighed skal tilpasses individuelt efter omhyggelig afvejning af fordele ved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behandling mod risikoen for bl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dning (se pkt. 4.4).</w:t>
      </w:r>
    </w:p>
    <w:p w14:paraId="37EBA84E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6A48416" w14:textId="77777777" w:rsidR="005555A4" w:rsidRPr="005A2977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A2977">
        <w:rPr>
          <w:iCs/>
          <w:sz w:val="24"/>
          <w:szCs w:val="24"/>
          <w:u w:val="single"/>
        </w:rPr>
        <w:t>Glemt dosis</w:t>
      </w:r>
    </w:p>
    <w:p w14:paraId="506C3255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Hvis patienten glemmer en dosis af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>, skal patienten straks tage denne, og derefter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tte med at tage dosis to gange </w:t>
      </w:r>
      <w:r>
        <w:rPr>
          <w:sz w:val="24"/>
          <w:szCs w:val="24"/>
        </w:rPr>
        <w:t>daglig</w:t>
      </w:r>
      <w:r w:rsidRPr="00BE2218">
        <w:rPr>
          <w:sz w:val="24"/>
          <w:szCs w:val="24"/>
        </w:rPr>
        <w:t xml:space="preserve"> som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r.</w:t>
      </w:r>
    </w:p>
    <w:p w14:paraId="61D3C7C2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4A3585D" w14:textId="77777777" w:rsidR="005555A4" w:rsidRPr="005A2977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A2977">
        <w:rPr>
          <w:iCs/>
          <w:sz w:val="24"/>
          <w:szCs w:val="24"/>
          <w:u w:val="single"/>
        </w:rPr>
        <w:t>Skift til anden medicin</w:t>
      </w:r>
    </w:p>
    <w:p w14:paraId="59819710" w14:textId="3DFDA33F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Skift fra parenterale antikoagulantia til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(og omvendt) kan g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ved n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ste planlagte dosis (se pkt. 4.5). Disse l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gemidler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ikke administreres samtidigt.</w:t>
      </w:r>
    </w:p>
    <w:p w14:paraId="5B8D3241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2CDC19A" w14:textId="77777777" w:rsidR="005555A4" w:rsidRPr="00096558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96558">
        <w:rPr>
          <w:i/>
          <w:iCs/>
          <w:sz w:val="24"/>
          <w:szCs w:val="24"/>
        </w:rPr>
        <w:t>Skift fra vitamin K-antagonist- (VKA) behandling til Apixaban "Stada"</w:t>
      </w:r>
    </w:p>
    <w:p w14:paraId="3A89108E" w14:textId="6148FBA5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patienter skifte</w:t>
      </w:r>
      <w:r w:rsidR="004A41C6">
        <w:rPr>
          <w:sz w:val="24"/>
          <w:szCs w:val="24"/>
        </w:rPr>
        <w:t>r</w:t>
      </w:r>
      <w:r w:rsidRPr="00BE2218">
        <w:rPr>
          <w:sz w:val="24"/>
          <w:szCs w:val="24"/>
        </w:rPr>
        <w:t xml:space="preserve"> fra behandling med vitamin K-antagonist (VKA) til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, skal warfarin eller anden VKA-behandling seponeres og behandling med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begyndes, 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INR (international normaliseret ratio) er &lt; 2.</w:t>
      </w:r>
    </w:p>
    <w:p w14:paraId="374CE8BC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C894346" w14:textId="77777777" w:rsidR="005555A4" w:rsidRPr="00096558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96558">
        <w:rPr>
          <w:i/>
          <w:iCs/>
          <w:sz w:val="24"/>
          <w:szCs w:val="24"/>
        </w:rPr>
        <w:t xml:space="preserve">Skift fra Apixaban "Stada" til </w:t>
      </w:r>
      <w:proofErr w:type="gramStart"/>
      <w:r w:rsidRPr="00096558">
        <w:rPr>
          <w:i/>
          <w:iCs/>
          <w:sz w:val="24"/>
          <w:szCs w:val="24"/>
        </w:rPr>
        <w:t>VKA behandling</w:t>
      </w:r>
      <w:proofErr w:type="gramEnd"/>
    </w:p>
    <w:p w14:paraId="58E69923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r patienter skifter fra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til VKA-behandling, skal administration af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ttes i mindst 2 dage efter VKA-behandlingen er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begyndt. Efter 2 dages samtidig behandling med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og VKA skal INR indhentes inden den n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ste planlagte dosis af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. Samtidig behandling med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og VKA skal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ttes, indtil INR er </w:t>
      </w:r>
      <w:r w:rsidRPr="00BE2218">
        <w:rPr>
          <w:rFonts w:hint="eastAsia"/>
          <w:sz w:val="24"/>
          <w:szCs w:val="24"/>
        </w:rPr>
        <w:t>≥</w:t>
      </w:r>
      <w:r w:rsidRPr="00BE2218">
        <w:rPr>
          <w:sz w:val="24"/>
          <w:szCs w:val="24"/>
        </w:rPr>
        <w:t xml:space="preserve"> 2.</w:t>
      </w:r>
    </w:p>
    <w:p w14:paraId="218DC336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686ACE2" w14:textId="77777777" w:rsidR="005555A4" w:rsidRPr="00B04CEB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04CEB">
        <w:rPr>
          <w:iCs/>
          <w:sz w:val="24"/>
          <w:szCs w:val="24"/>
          <w:u w:val="single"/>
        </w:rPr>
        <w:t>Ældre</w:t>
      </w:r>
    </w:p>
    <w:p w14:paraId="07A331C5" w14:textId="10EEF721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VTEt -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 (se pkt. 4.4 og 5.2).</w:t>
      </w:r>
    </w:p>
    <w:p w14:paraId="1AB919FA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A264344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NVAF </w:t>
      </w:r>
      <w:r w:rsidRPr="00BE2218">
        <w:rPr>
          <w:rFonts w:hint="eastAsia"/>
          <w:sz w:val="24"/>
          <w:szCs w:val="24"/>
        </w:rPr>
        <w:t>–</w:t>
      </w:r>
      <w:r w:rsidRPr="00BE2218">
        <w:rPr>
          <w:sz w:val="24"/>
          <w:szCs w:val="24"/>
        </w:rPr>
        <w:t xml:space="preserve">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dvendig, medmindre kriterierne for dosisreduktion er opfyldt (se</w:t>
      </w:r>
      <w:r>
        <w:rPr>
          <w:sz w:val="24"/>
          <w:szCs w:val="24"/>
        </w:rPr>
        <w:t xml:space="preserve"> </w:t>
      </w:r>
      <w:r w:rsidRPr="00BE2218">
        <w:rPr>
          <w:i/>
          <w:iCs/>
          <w:sz w:val="24"/>
          <w:szCs w:val="24"/>
        </w:rPr>
        <w:t xml:space="preserve">Dosisreduktion </w:t>
      </w:r>
      <w:r w:rsidRPr="00BE2218">
        <w:rPr>
          <w:sz w:val="24"/>
          <w:szCs w:val="24"/>
        </w:rPr>
        <w:t>i starten af pkt. 4.2).</w:t>
      </w:r>
    </w:p>
    <w:p w14:paraId="38EF716D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4DF47C0" w14:textId="77777777" w:rsidR="005555A4" w:rsidRPr="00B04CEB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04CEB">
        <w:rPr>
          <w:iCs/>
          <w:sz w:val="24"/>
          <w:szCs w:val="24"/>
          <w:u w:val="single"/>
        </w:rPr>
        <w:t>Nedsat nyrefunktion</w:t>
      </w:r>
    </w:p>
    <w:p w14:paraId="05B74FB3" w14:textId="77777777" w:rsidR="00B16B8C" w:rsidRDefault="00B16B8C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4D072D6" w14:textId="3B214094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Hos patienter med let eller moderat nedsat nyrefunktion g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lder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lgende anbefalinger:</w:t>
      </w:r>
    </w:p>
    <w:p w14:paraId="1BD2264E" w14:textId="37D118C8" w:rsidR="005555A4" w:rsidRPr="00B04CEB" w:rsidRDefault="005555A4" w:rsidP="005555A4">
      <w:pPr>
        <w:numPr>
          <w:ilvl w:val="0"/>
          <w:numId w:val="28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04CEB">
        <w:rPr>
          <w:sz w:val="24"/>
          <w:szCs w:val="24"/>
        </w:rPr>
        <w:t>til behandling af DVT, behandling af LE og forebyggelse af recidiverende DVT og LE (VTEt) er dosisjustering ikke n</w:t>
      </w:r>
      <w:r w:rsidRPr="00B04CEB">
        <w:rPr>
          <w:rFonts w:hint="eastAsia"/>
          <w:sz w:val="24"/>
          <w:szCs w:val="24"/>
        </w:rPr>
        <w:t>ø</w:t>
      </w:r>
      <w:r w:rsidRPr="00B04CEB">
        <w:rPr>
          <w:sz w:val="24"/>
          <w:szCs w:val="24"/>
        </w:rPr>
        <w:t>dvendig (se pkt. 5.2)</w:t>
      </w:r>
    </w:p>
    <w:p w14:paraId="68143867" w14:textId="77777777" w:rsidR="005555A4" w:rsidRPr="00B04CEB" w:rsidRDefault="005555A4" w:rsidP="005555A4">
      <w:pPr>
        <w:numPr>
          <w:ilvl w:val="0"/>
          <w:numId w:val="29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04CEB">
        <w:rPr>
          <w:sz w:val="24"/>
          <w:szCs w:val="24"/>
        </w:rPr>
        <w:t xml:space="preserve">til forebyggelse af apopleksi og systemisk emboli hos patienter med NVAF og serumkreatinin </w:t>
      </w:r>
      <w:r w:rsidRPr="00B04CEB">
        <w:rPr>
          <w:rFonts w:hint="eastAsia"/>
          <w:sz w:val="24"/>
          <w:szCs w:val="24"/>
        </w:rPr>
        <w:t>≥</w:t>
      </w:r>
      <w:r w:rsidRPr="00B04CEB">
        <w:rPr>
          <w:sz w:val="24"/>
          <w:szCs w:val="24"/>
        </w:rPr>
        <w:t xml:space="preserve"> 1,5 mg/dl (133 mikromol/l) og alder </w:t>
      </w:r>
      <w:r w:rsidRPr="00B04CEB">
        <w:rPr>
          <w:rFonts w:hint="eastAsia"/>
          <w:sz w:val="24"/>
          <w:szCs w:val="24"/>
        </w:rPr>
        <w:t>≥</w:t>
      </w:r>
      <w:r w:rsidRPr="00B04CEB">
        <w:rPr>
          <w:sz w:val="24"/>
          <w:szCs w:val="24"/>
        </w:rPr>
        <w:t xml:space="preserve"> 80 </w:t>
      </w:r>
      <w:r w:rsidRPr="00B04CEB">
        <w:rPr>
          <w:rFonts w:hint="eastAsia"/>
          <w:sz w:val="24"/>
          <w:szCs w:val="24"/>
        </w:rPr>
        <w:t>å</w:t>
      </w:r>
      <w:r w:rsidRPr="00B04CEB">
        <w:rPr>
          <w:sz w:val="24"/>
          <w:szCs w:val="24"/>
        </w:rPr>
        <w:t>r eller kropsv</w:t>
      </w:r>
      <w:r w:rsidRPr="00B04CEB">
        <w:rPr>
          <w:rFonts w:hint="eastAsia"/>
          <w:sz w:val="24"/>
          <w:szCs w:val="24"/>
        </w:rPr>
        <w:t>æ</w:t>
      </w:r>
      <w:r w:rsidRPr="00B04CEB">
        <w:rPr>
          <w:sz w:val="24"/>
          <w:szCs w:val="24"/>
        </w:rPr>
        <w:t xml:space="preserve">gt </w:t>
      </w:r>
      <w:r w:rsidRPr="00B04CEB">
        <w:rPr>
          <w:rFonts w:hint="eastAsia"/>
          <w:sz w:val="24"/>
          <w:szCs w:val="24"/>
        </w:rPr>
        <w:t>≤</w:t>
      </w:r>
      <w:r w:rsidRPr="00B04CEB">
        <w:rPr>
          <w:sz w:val="24"/>
          <w:szCs w:val="24"/>
        </w:rPr>
        <w:t xml:space="preserve"> 60 kg er dosisreduktion n</w:t>
      </w:r>
      <w:r w:rsidRPr="00B04CEB">
        <w:rPr>
          <w:rFonts w:hint="eastAsia"/>
          <w:sz w:val="24"/>
          <w:szCs w:val="24"/>
        </w:rPr>
        <w:t>ø</w:t>
      </w:r>
      <w:r w:rsidRPr="00B04CEB">
        <w:rPr>
          <w:sz w:val="24"/>
          <w:szCs w:val="24"/>
        </w:rPr>
        <w:t>dvendig, som beskrevet ovenfor. Ved manglende dosisreduktionskriterier (alder, kropsv</w:t>
      </w:r>
      <w:r w:rsidRPr="00B04CEB">
        <w:rPr>
          <w:rFonts w:hint="eastAsia"/>
          <w:sz w:val="24"/>
          <w:szCs w:val="24"/>
        </w:rPr>
        <w:t>æ</w:t>
      </w:r>
      <w:r w:rsidRPr="00B04CEB">
        <w:rPr>
          <w:sz w:val="24"/>
          <w:szCs w:val="24"/>
        </w:rPr>
        <w:t>gt) er dosisjustering ikke n</w:t>
      </w:r>
      <w:r w:rsidRPr="00B04CEB">
        <w:rPr>
          <w:rFonts w:hint="eastAsia"/>
          <w:sz w:val="24"/>
          <w:szCs w:val="24"/>
        </w:rPr>
        <w:t>ø</w:t>
      </w:r>
      <w:r w:rsidRPr="00B04CEB">
        <w:rPr>
          <w:sz w:val="24"/>
          <w:szCs w:val="24"/>
        </w:rPr>
        <w:t>dvendig (se pkt. 5.2)</w:t>
      </w:r>
    </w:p>
    <w:p w14:paraId="6AC4BEDA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8DA9F91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Hos patienter med sv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rt nedsat nyrefunktion (kreatininclearance 15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29 ml/min) g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lder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lgende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anbefalinger (se pkt. 4.4 og 5.2):</w:t>
      </w:r>
    </w:p>
    <w:p w14:paraId="16284695" w14:textId="5616AED2" w:rsidR="005555A4" w:rsidRPr="00782E93" w:rsidRDefault="005555A4" w:rsidP="005555A4">
      <w:pPr>
        <w:numPr>
          <w:ilvl w:val="0"/>
          <w:numId w:val="3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82E93">
        <w:rPr>
          <w:sz w:val="24"/>
          <w:szCs w:val="24"/>
        </w:rPr>
        <w:t>til forebyggelse af DVT, behandling af LE og forebyggelse af recidiverende DVT og LE (VTEt) skal apixaban anvendes med forsigtighed</w:t>
      </w:r>
    </w:p>
    <w:p w14:paraId="222891DB" w14:textId="77777777" w:rsidR="005555A4" w:rsidRPr="00782E93" w:rsidRDefault="005555A4" w:rsidP="005555A4">
      <w:pPr>
        <w:numPr>
          <w:ilvl w:val="0"/>
          <w:numId w:val="3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82E93">
        <w:rPr>
          <w:sz w:val="24"/>
          <w:szCs w:val="24"/>
        </w:rPr>
        <w:t>til forebyggelse af apopleksi og systemisk emboli hos patienter med NVAF, skal patienten have den lave apixabandosis p</w:t>
      </w:r>
      <w:r w:rsidRPr="00782E93">
        <w:rPr>
          <w:rFonts w:hint="eastAsia"/>
          <w:sz w:val="24"/>
          <w:szCs w:val="24"/>
        </w:rPr>
        <w:t>å</w:t>
      </w:r>
      <w:r w:rsidRPr="00782E93">
        <w:rPr>
          <w:sz w:val="24"/>
          <w:szCs w:val="24"/>
        </w:rPr>
        <w:t xml:space="preserve"> 2,5 mg to gange daglig</w:t>
      </w:r>
    </w:p>
    <w:p w14:paraId="09703C3A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1C3435B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Der foreligger ingen klinisk erfaring for patienter med kreatininclearance &lt; 15 ml/min og for patienter,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som er i dialyse, og derfor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apixaban ikke anvendes hos disse patienter (se pkt. 4.4 og 5.2).</w:t>
      </w:r>
    </w:p>
    <w:p w14:paraId="2AFBBC12" w14:textId="77777777" w:rsidR="005555A4" w:rsidRPr="00782E93" w:rsidRDefault="005555A4" w:rsidP="005555A4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166AD95B" w14:textId="77777777" w:rsidR="005555A4" w:rsidRPr="00782E93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82E93">
        <w:rPr>
          <w:iCs/>
          <w:sz w:val="24"/>
          <w:szCs w:val="24"/>
          <w:u w:val="single"/>
        </w:rPr>
        <w:t>Nedsat leverfunktion</w:t>
      </w:r>
    </w:p>
    <w:p w14:paraId="1C21313B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 er kontraindiceret hos patienter med leversygdom, som er forbundet med koagulopati og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klinisk relevant bl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dningsrisiko (se pkt. 4.3).</w:t>
      </w:r>
    </w:p>
    <w:p w14:paraId="406A6E9D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E225021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 anbefales ikke til patienter med sv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rt nedsat leverfunktion (se pkt. 4.4 og 5.2).</w:t>
      </w:r>
    </w:p>
    <w:p w14:paraId="1568ECB0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54CE896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 kan anvendes med forsigtighed til patienter med let til moderat nedsat leverfunktion (Child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Pugh A eller B). Der kr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ves ingen dosisjustering hos patienter med let til moderat nedsat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leverfunktion (se pkt. 4.4 og 5.2).</w:t>
      </w:r>
    </w:p>
    <w:p w14:paraId="2283BBBA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2C5A484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lastRenderedPageBreak/>
        <w:t>Patienter med forh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jede leverenzymer alanin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aminotransferase (ALAT)/aspartat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aminotransferase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 xml:space="preserve">(ASAT) &gt; 2 gange 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vre normalv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rdi eller total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 xml:space="preserve">bilirubin </w:t>
      </w:r>
      <w:r w:rsidRPr="00BE2218">
        <w:rPr>
          <w:rFonts w:hint="eastAsia"/>
          <w:sz w:val="24"/>
          <w:szCs w:val="24"/>
        </w:rPr>
        <w:t>≥</w:t>
      </w:r>
      <w:r w:rsidRPr="00BE2218">
        <w:rPr>
          <w:sz w:val="24"/>
          <w:szCs w:val="24"/>
        </w:rPr>
        <w:t xml:space="preserve"> 1,5 x 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vre normalv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rdi blev ekskluderet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fra de kliniske studier. Derfor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 xml:space="preserve">r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anvendes med forsigtighed til denne patientgruppe (se pkt. 4.4 og 5.2).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 xml:space="preserve">r behandling med </w:t>
      </w: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indledes,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der udf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leverfunktionstest.</w:t>
      </w:r>
    </w:p>
    <w:p w14:paraId="63451C8A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D64CA00" w14:textId="77777777" w:rsidR="005555A4" w:rsidRPr="002F24F1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2F24F1">
        <w:rPr>
          <w:iCs/>
          <w:sz w:val="24"/>
          <w:szCs w:val="24"/>
          <w:u w:val="single"/>
        </w:rPr>
        <w:t>Legemsvægt</w:t>
      </w:r>
    </w:p>
    <w:p w14:paraId="4EA6431B" w14:textId="7878B3A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VTEt </w:t>
      </w:r>
      <w:r w:rsidRPr="00BE2218">
        <w:rPr>
          <w:rFonts w:hint="eastAsia"/>
          <w:sz w:val="24"/>
          <w:szCs w:val="24"/>
        </w:rPr>
        <w:t>–</w:t>
      </w:r>
      <w:r w:rsidRPr="00BE2218">
        <w:rPr>
          <w:sz w:val="24"/>
          <w:szCs w:val="24"/>
        </w:rPr>
        <w:t xml:space="preserve">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 (se pkt. 4.4 og 5.2).</w:t>
      </w:r>
    </w:p>
    <w:p w14:paraId="5B694C3B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NVAF </w:t>
      </w:r>
      <w:r w:rsidRPr="00BE2218">
        <w:rPr>
          <w:rFonts w:hint="eastAsia"/>
          <w:sz w:val="24"/>
          <w:szCs w:val="24"/>
        </w:rPr>
        <w:t>–</w:t>
      </w:r>
      <w:r w:rsidRPr="00BE2218">
        <w:rPr>
          <w:sz w:val="24"/>
          <w:szCs w:val="24"/>
        </w:rPr>
        <w:t xml:space="preserve"> 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dvendig, medmindre kriterierne for dosisreduktion er opfyldt (se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Dosisreduktion</w:t>
      </w:r>
      <w:r w:rsidRPr="00BE2218">
        <w:rPr>
          <w:i/>
          <w:iCs/>
          <w:sz w:val="24"/>
          <w:szCs w:val="24"/>
        </w:rPr>
        <w:t xml:space="preserve"> </w:t>
      </w:r>
      <w:r w:rsidRPr="00BE2218">
        <w:rPr>
          <w:sz w:val="24"/>
          <w:szCs w:val="24"/>
        </w:rPr>
        <w:t>i starten af pkt. 4.2).</w:t>
      </w:r>
    </w:p>
    <w:p w14:paraId="719E6313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44BC277" w14:textId="77777777" w:rsidR="005555A4" w:rsidRPr="002F24F1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2F24F1">
        <w:rPr>
          <w:iCs/>
          <w:sz w:val="24"/>
          <w:szCs w:val="24"/>
          <w:u w:val="single"/>
        </w:rPr>
        <w:t>Køn</w:t>
      </w:r>
    </w:p>
    <w:p w14:paraId="49704518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Dosisjustering er ikke n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dvendig (se pkt. 5.2).</w:t>
      </w:r>
    </w:p>
    <w:p w14:paraId="731778D7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683C91D" w14:textId="77777777" w:rsidR="005555A4" w:rsidRPr="002F24F1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2F24F1">
        <w:rPr>
          <w:iCs/>
          <w:sz w:val="24"/>
          <w:szCs w:val="24"/>
          <w:u w:val="single"/>
        </w:rPr>
        <w:t>Patienter, der får foretaget kateterablation (NVAF)</w:t>
      </w:r>
    </w:p>
    <w:p w14:paraId="68C744DC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Patienterne kan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tte med at bruge apixaban, mens de f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foretaget kateterablation (se pkt. 4.3, 4.4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og 4.5).</w:t>
      </w:r>
    </w:p>
    <w:p w14:paraId="3FA99845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8435B91" w14:textId="77777777" w:rsidR="005555A4" w:rsidRPr="00096558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096558">
        <w:rPr>
          <w:iCs/>
          <w:sz w:val="24"/>
          <w:szCs w:val="24"/>
          <w:u w:val="single"/>
        </w:rPr>
        <w:t>Patienter, der gennemgår kardiovertering</w:t>
      </w:r>
    </w:p>
    <w:p w14:paraId="7B1CB4F8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Behandling med apixaban kan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begyndes eller forts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ttes hos patienter med NVAF, som kan f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 brug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for kardiovertering.</w:t>
      </w:r>
    </w:p>
    <w:p w14:paraId="1757927F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59BC41E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For patienter, som ikke tidligere er behandlet med antikoagulantia, skal udelukkelse af trombe i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venstre atrium vha. billeddiagnostik (f.eks. trans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sofageal ekkokardiografi (TEE) eller CT-scanning)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kardiovertering overvejes i overensstemmelse med de etablerede medicinske retningslinjer.</w:t>
      </w:r>
    </w:p>
    <w:p w14:paraId="13BF6C4C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1AA5855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For patienter, der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begynder behandling med apixaban, skal der gives 5 mg to gange </w:t>
      </w:r>
      <w:r>
        <w:rPr>
          <w:sz w:val="24"/>
          <w:szCs w:val="24"/>
        </w:rPr>
        <w:t>daglig</w:t>
      </w:r>
      <w:r w:rsidRPr="00BE2218">
        <w:rPr>
          <w:sz w:val="24"/>
          <w:szCs w:val="24"/>
        </w:rPr>
        <w:t xml:space="preserve"> i mindst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2,5 dage (5 enkeltdoser)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kardiovertering for at sikre tilstr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kkelig antikoagulation (se pkt. 5.1).</w:t>
      </w:r>
    </w:p>
    <w:p w14:paraId="6F0B7B9C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Dosisregimet skal reduceres til en dosis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 2,5 mg apixaban to gange </w:t>
      </w:r>
      <w:r>
        <w:rPr>
          <w:sz w:val="24"/>
          <w:szCs w:val="24"/>
        </w:rPr>
        <w:t>daglig</w:t>
      </w:r>
      <w:r w:rsidRPr="00BE2218">
        <w:rPr>
          <w:sz w:val="24"/>
          <w:szCs w:val="24"/>
        </w:rPr>
        <w:t xml:space="preserve"> i mindst 2,5 dage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(5 enkeltdoser), hvis patienten opfylder kriterierne for dosisreduktion (se Dosisreduktion og Nedsat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nyrefunktion</w:t>
      </w:r>
      <w:r w:rsidRPr="00BE2218">
        <w:rPr>
          <w:i/>
          <w:iCs/>
          <w:sz w:val="24"/>
          <w:szCs w:val="24"/>
        </w:rPr>
        <w:t xml:space="preserve"> </w:t>
      </w:r>
      <w:r w:rsidRPr="00BE2218">
        <w:rPr>
          <w:sz w:val="24"/>
          <w:szCs w:val="24"/>
        </w:rPr>
        <w:t>ovenfor).</w:t>
      </w:r>
    </w:p>
    <w:p w14:paraId="2691FB7F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969F94C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Hvis der er behov for kardiovertering,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der kan indgives 5 doser apixaban, skal der indgives en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st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ddosis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 xml:space="preserve"> 10 mg efterfulgt af 5 mg to gange </w:t>
      </w:r>
      <w:r>
        <w:rPr>
          <w:sz w:val="24"/>
          <w:szCs w:val="24"/>
        </w:rPr>
        <w:t>daglig</w:t>
      </w:r>
      <w:r w:rsidRPr="00BE2218">
        <w:rPr>
          <w:sz w:val="24"/>
          <w:szCs w:val="24"/>
        </w:rPr>
        <w:t>. Dosisregimet skal reduceres til en st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ddosis p</w:t>
      </w:r>
      <w:r w:rsidRPr="00BE2218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 xml:space="preserve">5 mg efterfulgt af 2,5 mg to gange </w:t>
      </w:r>
      <w:r>
        <w:rPr>
          <w:sz w:val="24"/>
          <w:szCs w:val="24"/>
        </w:rPr>
        <w:t>daglig</w:t>
      </w:r>
      <w:r w:rsidRPr="00BE2218">
        <w:rPr>
          <w:sz w:val="24"/>
          <w:szCs w:val="24"/>
        </w:rPr>
        <w:t>, hvis patienten opfylder kriterierne for dosisreduktion (se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Dosisreduktion og Nedsat nyrefunktion</w:t>
      </w:r>
      <w:r w:rsidRPr="00BE2218">
        <w:rPr>
          <w:i/>
          <w:iCs/>
          <w:sz w:val="24"/>
          <w:szCs w:val="24"/>
        </w:rPr>
        <w:t xml:space="preserve"> </w:t>
      </w:r>
      <w:r w:rsidRPr="00BE2218">
        <w:rPr>
          <w:sz w:val="24"/>
          <w:szCs w:val="24"/>
        </w:rPr>
        <w:t>ovenfor). St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ddosis skal indgives mindst 2 timer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kardiovertering (se pkt. 5.1).</w:t>
      </w:r>
    </w:p>
    <w:p w14:paraId="018DC15D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63FBDB7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For alle patienter, der gennemg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kardiovertering, skal det bekr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ftes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 kardiovertering, at patienten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har taget apixaban som foreskrevet. 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der tr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ffes beslutning om p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begyndelse og varighed af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behandlingen, skal der tages h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jde for de fastsatte anbefalede retningslinjer for behandling med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antikoagulantia hos patienter, der gennemg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kardiovertering.</w:t>
      </w:r>
    </w:p>
    <w:p w14:paraId="465DE069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A76F3AA" w14:textId="77777777" w:rsidR="005555A4" w:rsidRPr="00415053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15053">
        <w:rPr>
          <w:iCs/>
          <w:sz w:val="24"/>
          <w:szCs w:val="24"/>
          <w:u w:val="single"/>
        </w:rPr>
        <w:t>Patienter med NVAF og akut koronarsyndrom (AKS) og/eller perkutan koronar intervention (PCI)</w:t>
      </w:r>
    </w:p>
    <w:p w14:paraId="606E7A3A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Der er begr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nset erfaring med behandling med apixaban ved den anbefalede dosis for NVAF-patienter, 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det anvendes i kombination med thrombocyth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mmende midler til patienter med AKS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og/eller til patienter, der har f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et foretaget PCI, efter at h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mostase er opn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et (se pkt. 4.4 og 5.1).</w:t>
      </w:r>
    </w:p>
    <w:p w14:paraId="1969326F" w14:textId="77777777" w:rsidR="005555A4" w:rsidRPr="00353546" w:rsidRDefault="005555A4" w:rsidP="005555A4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7323333C" w14:textId="77777777" w:rsidR="005555A4" w:rsidRPr="00415053" w:rsidRDefault="005555A4" w:rsidP="005555A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15053">
        <w:rPr>
          <w:iCs/>
          <w:sz w:val="24"/>
          <w:szCs w:val="24"/>
          <w:u w:val="single"/>
        </w:rPr>
        <w:t>Pædiatrisk population</w:t>
      </w:r>
    </w:p>
    <w:p w14:paraId="287170FF" w14:textId="70E02779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Apixaban</w:t>
      </w:r>
      <w:r w:rsidR="006C1398">
        <w:rPr>
          <w:sz w:val="24"/>
          <w:szCs w:val="24"/>
        </w:rPr>
        <w:t>s</w:t>
      </w:r>
      <w:r w:rsidRPr="00BE2218">
        <w:rPr>
          <w:sz w:val="24"/>
          <w:szCs w:val="24"/>
        </w:rPr>
        <w:t xml:space="preserve"> sikkerhed og virkning hos b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 xml:space="preserve">rn og unge under 18 </w:t>
      </w:r>
      <w:r w:rsidRPr="00BE2218">
        <w:rPr>
          <w:rFonts w:hint="eastAsia"/>
          <w:sz w:val="24"/>
          <w:szCs w:val="24"/>
        </w:rPr>
        <w:t>å</w:t>
      </w:r>
      <w:r w:rsidRPr="00BE2218">
        <w:rPr>
          <w:sz w:val="24"/>
          <w:szCs w:val="24"/>
        </w:rPr>
        <w:t>r er ikke klarlagt. Der foreligger ingen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data.</w:t>
      </w:r>
    </w:p>
    <w:p w14:paraId="2308A534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DB68912" w14:textId="77777777" w:rsidR="005555A4" w:rsidRPr="00415053" w:rsidRDefault="005555A4" w:rsidP="005555A4">
      <w:pPr>
        <w:tabs>
          <w:tab w:val="left" w:pos="851"/>
        </w:tabs>
        <w:ind w:left="851"/>
        <w:rPr>
          <w:b/>
          <w:sz w:val="24"/>
          <w:szCs w:val="24"/>
        </w:rPr>
      </w:pPr>
      <w:r w:rsidRPr="00415053">
        <w:rPr>
          <w:b/>
          <w:sz w:val="24"/>
          <w:szCs w:val="24"/>
        </w:rPr>
        <w:t>Administration</w:t>
      </w:r>
    </w:p>
    <w:p w14:paraId="7EB52E75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>Oral anvendelse</w:t>
      </w:r>
      <w:r>
        <w:rPr>
          <w:sz w:val="24"/>
          <w:szCs w:val="24"/>
        </w:rPr>
        <w:t>.</w:t>
      </w:r>
    </w:p>
    <w:p w14:paraId="07C4442E" w14:textId="568D408B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Apixaban "Stada"</w:t>
      </w:r>
      <w:r w:rsidRPr="00BE2218">
        <w:rPr>
          <w:sz w:val="24"/>
          <w:szCs w:val="24"/>
        </w:rPr>
        <w:t xml:space="preserve"> skal synkes med vand, med eller uden f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de.</w:t>
      </w:r>
    </w:p>
    <w:p w14:paraId="03F20558" w14:textId="76C3A335" w:rsidR="006C1398" w:rsidRDefault="006C1398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5EEBD1D" w14:textId="77777777" w:rsidR="006C1398" w:rsidRPr="006C1398" w:rsidRDefault="006C1398" w:rsidP="006C1398">
      <w:pPr>
        <w:tabs>
          <w:tab w:val="left" w:pos="851"/>
        </w:tabs>
        <w:ind w:left="851"/>
        <w:rPr>
          <w:sz w:val="24"/>
          <w:szCs w:val="24"/>
        </w:rPr>
      </w:pPr>
      <w:r w:rsidRPr="006C1398">
        <w:rPr>
          <w:sz w:val="24"/>
          <w:szCs w:val="24"/>
        </w:rPr>
        <w:t xml:space="preserve">Tabletten kan deles i to lige store dele. </w:t>
      </w:r>
    </w:p>
    <w:p w14:paraId="0F784DFD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5549C02" w14:textId="06FD0895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Til patienter, som ikke er i stand til at synke hele tabletter, kan </w:t>
      </w:r>
      <w:r>
        <w:rPr>
          <w:sz w:val="24"/>
          <w:szCs w:val="24"/>
        </w:rPr>
        <w:t>Apixaban "Stada"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tabletter knuses og r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ud i vand, 5</w:t>
      </w:r>
      <w:r>
        <w:rPr>
          <w:sz w:val="24"/>
          <w:szCs w:val="24"/>
        </w:rPr>
        <w:t xml:space="preserve"> %</w:t>
      </w:r>
      <w:r w:rsidRPr="00BE2218">
        <w:rPr>
          <w:sz w:val="24"/>
          <w:szCs w:val="24"/>
        </w:rPr>
        <w:t xml:space="preserve"> glucose i vand (G5W) eller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blejuice, eller de kan blandes med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blemos og indtages umiddelbart efter (se pkt. 5.2). Alternativt kan </w:t>
      </w:r>
      <w:r>
        <w:rPr>
          <w:sz w:val="24"/>
          <w:szCs w:val="24"/>
        </w:rPr>
        <w:t>Apixaban "Stada"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>tabletterne knuses og r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res ud i 60 ml vand eller G5W og straks administreres via en nasogastrisk sonde (se pkt. 5.2).</w:t>
      </w:r>
    </w:p>
    <w:p w14:paraId="69F1BBEF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9C3BD67" w14:textId="77777777" w:rsidR="005555A4" w:rsidRPr="00BE22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E2218">
        <w:rPr>
          <w:sz w:val="24"/>
          <w:szCs w:val="24"/>
        </w:rPr>
        <w:t xml:space="preserve">Knuste </w:t>
      </w:r>
      <w:r>
        <w:rPr>
          <w:sz w:val="24"/>
          <w:szCs w:val="24"/>
        </w:rPr>
        <w:t>Apixaban "Stada"</w:t>
      </w:r>
      <w:r w:rsidRPr="00BE2218">
        <w:rPr>
          <w:rFonts w:hint="eastAsia"/>
          <w:sz w:val="24"/>
          <w:szCs w:val="24"/>
        </w:rPr>
        <w:t>‑</w:t>
      </w:r>
      <w:r w:rsidRPr="00BE2218">
        <w:rPr>
          <w:sz w:val="24"/>
          <w:szCs w:val="24"/>
        </w:rPr>
        <w:t xml:space="preserve">tabletter er stabile i vand, G5W,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 xml:space="preserve">blejuice og </w:t>
      </w:r>
      <w:r w:rsidRPr="00BE2218">
        <w:rPr>
          <w:rFonts w:hint="eastAsia"/>
          <w:sz w:val="24"/>
          <w:szCs w:val="24"/>
        </w:rPr>
        <w:t>æ</w:t>
      </w:r>
      <w:r w:rsidRPr="00BE2218">
        <w:rPr>
          <w:sz w:val="24"/>
          <w:szCs w:val="24"/>
        </w:rPr>
        <w:t>blemos i op til 4 timer.</w:t>
      </w:r>
    </w:p>
    <w:p w14:paraId="654602BD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9E40345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  <w:t>Kontraindikationer</w:t>
      </w:r>
    </w:p>
    <w:p w14:paraId="4B5E5C83" w14:textId="77777777" w:rsidR="005555A4" w:rsidRPr="00BE2218" w:rsidRDefault="005555A4" w:rsidP="005555A4">
      <w:pPr>
        <w:numPr>
          <w:ilvl w:val="0"/>
          <w:numId w:val="3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E2218">
        <w:rPr>
          <w:sz w:val="24"/>
          <w:szCs w:val="24"/>
        </w:rPr>
        <w:t>overfølsomhed over for det aktive stof eller over for et eller flere af hjælpestofferne anført i pkt. 6.1</w:t>
      </w:r>
    </w:p>
    <w:p w14:paraId="7E0FDD63" w14:textId="77777777" w:rsidR="005555A4" w:rsidRPr="00BE2218" w:rsidRDefault="005555A4" w:rsidP="005555A4">
      <w:pPr>
        <w:numPr>
          <w:ilvl w:val="0"/>
          <w:numId w:val="3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E2218">
        <w:rPr>
          <w:sz w:val="24"/>
          <w:szCs w:val="24"/>
        </w:rPr>
        <w:t>aktiv klinisk signifikant bl</w:t>
      </w:r>
      <w:r w:rsidRPr="00BE2218">
        <w:rPr>
          <w:rFonts w:hint="eastAsia"/>
          <w:sz w:val="24"/>
          <w:szCs w:val="24"/>
        </w:rPr>
        <w:t>ø</w:t>
      </w:r>
      <w:r w:rsidRPr="00BE2218">
        <w:rPr>
          <w:sz w:val="24"/>
          <w:szCs w:val="24"/>
        </w:rPr>
        <w:t>dning</w:t>
      </w:r>
    </w:p>
    <w:p w14:paraId="41AD09F6" w14:textId="77777777" w:rsidR="005555A4" w:rsidRPr="004730BC" w:rsidRDefault="005555A4" w:rsidP="005555A4">
      <w:pPr>
        <w:numPr>
          <w:ilvl w:val="0"/>
          <w:numId w:val="3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730BC">
        <w:rPr>
          <w:sz w:val="24"/>
          <w:szCs w:val="24"/>
        </w:rPr>
        <w:t>leversygdom, som er forbundet med koagulopati og klinisk relevant bl</w:t>
      </w:r>
      <w:r w:rsidRPr="004730BC">
        <w:rPr>
          <w:rFonts w:hint="eastAsia"/>
          <w:sz w:val="24"/>
          <w:szCs w:val="24"/>
        </w:rPr>
        <w:t>ø</w:t>
      </w:r>
      <w:r w:rsidRPr="004730BC">
        <w:rPr>
          <w:sz w:val="24"/>
          <w:szCs w:val="24"/>
        </w:rPr>
        <w:t>dningsrisiko (se</w:t>
      </w:r>
      <w:r>
        <w:rPr>
          <w:sz w:val="24"/>
          <w:szCs w:val="24"/>
        </w:rPr>
        <w:t xml:space="preserve"> </w:t>
      </w:r>
      <w:r w:rsidRPr="004730BC">
        <w:rPr>
          <w:sz w:val="24"/>
          <w:szCs w:val="24"/>
        </w:rPr>
        <w:t>pkt. 5.2)</w:t>
      </w:r>
    </w:p>
    <w:p w14:paraId="26640AE5" w14:textId="4F6529FC" w:rsidR="005555A4" w:rsidRPr="00BE2218" w:rsidRDefault="005555A4" w:rsidP="005555A4">
      <w:pPr>
        <w:numPr>
          <w:ilvl w:val="0"/>
          <w:numId w:val="31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BE2218">
        <w:rPr>
          <w:sz w:val="24"/>
          <w:szCs w:val="24"/>
        </w:rPr>
        <w:t xml:space="preserve">læsioner eller tilstande, hvor det anses som en signifikant risikofaktor for </w:t>
      </w:r>
      <w:proofErr w:type="gramStart"/>
      <w:r w:rsidR="00E44747">
        <w:rPr>
          <w:sz w:val="24"/>
          <w:szCs w:val="24"/>
        </w:rPr>
        <w:t xml:space="preserve">større </w:t>
      </w:r>
      <w:r w:rsidRPr="00BE2218">
        <w:rPr>
          <w:sz w:val="24"/>
          <w:szCs w:val="24"/>
        </w:rPr>
        <w:t xml:space="preserve"> blødning</w:t>
      </w:r>
      <w:r w:rsidR="00E44747">
        <w:rPr>
          <w:sz w:val="24"/>
          <w:szCs w:val="24"/>
        </w:rPr>
        <w:t>er</w:t>
      </w:r>
      <w:proofErr w:type="gramEnd"/>
      <w:r w:rsidRPr="00BE2218">
        <w:rPr>
          <w:sz w:val="24"/>
          <w:szCs w:val="24"/>
        </w:rPr>
        <w:t>.</w:t>
      </w:r>
    </w:p>
    <w:p w14:paraId="6702B593" w14:textId="77777777" w:rsidR="005555A4" w:rsidRPr="00BE2218" w:rsidRDefault="005555A4" w:rsidP="005555A4">
      <w:pPr>
        <w:tabs>
          <w:tab w:val="left" w:pos="851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ab/>
      </w:r>
      <w:r w:rsidRPr="00BE2218">
        <w:rPr>
          <w:sz w:val="24"/>
          <w:szCs w:val="24"/>
        </w:rPr>
        <w:t>Dette kan indbefatte aktiv eller nylig gastrointestinal ulceration, tilstedeværelse af maligne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tumorer med høj blødningsrisiko, nylig hjerne- eller rygskade, nylig hjerne-, ryg- elle</w:t>
      </w:r>
      <w:r>
        <w:rPr>
          <w:sz w:val="24"/>
          <w:szCs w:val="24"/>
        </w:rPr>
        <w:t xml:space="preserve">r </w:t>
      </w:r>
      <w:r w:rsidRPr="00BE2218">
        <w:rPr>
          <w:sz w:val="24"/>
          <w:szCs w:val="24"/>
        </w:rPr>
        <w:t>øjenkirurgi, nylig intrakraniel blødning, kendte eller mistænkte esofagale varicer,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arteriovenøse misdannelser, vaskulære aneurismer eller svære intraspinale eller intracerebrale</w:t>
      </w:r>
      <w:r>
        <w:rPr>
          <w:sz w:val="24"/>
          <w:szCs w:val="24"/>
        </w:rPr>
        <w:t xml:space="preserve"> </w:t>
      </w:r>
      <w:r w:rsidRPr="00BE2218">
        <w:rPr>
          <w:sz w:val="24"/>
          <w:szCs w:val="24"/>
        </w:rPr>
        <w:t>vaskulære abnormaliteter</w:t>
      </w:r>
    </w:p>
    <w:p w14:paraId="6DFCC60E" w14:textId="77777777" w:rsidR="005555A4" w:rsidRPr="004730BC" w:rsidRDefault="005555A4" w:rsidP="005555A4">
      <w:pPr>
        <w:numPr>
          <w:ilvl w:val="0"/>
          <w:numId w:val="32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4730BC">
        <w:rPr>
          <w:rFonts w:hint="eastAsia"/>
          <w:sz w:val="24"/>
          <w:szCs w:val="24"/>
        </w:rPr>
        <w:t>Samtidig behandling med andre antikoagulantia f.eks. ufraktioneret heparin (UFH),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lavmolekulære hepariner (enoxaparin, dalteparin osv.), heparinderivater (fondaparinux osv.),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orale antikoagulantia (warfarin, rivaroxaban, dabigatran osv.) undtagen i særlige tilfælde i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forbindelse med skift af antikoagulationsbehandling (se pkt. 4.2), når UFH administreres i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doser, der er nødvendige for at opretholde et åbent centralt vene- eller arteriekateter, eller når</w:t>
      </w:r>
      <w:r w:rsidRPr="004730BC">
        <w:rPr>
          <w:sz w:val="24"/>
          <w:szCs w:val="24"/>
        </w:rPr>
        <w:t xml:space="preserve"> </w:t>
      </w:r>
      <w:r w:rsidRPr="004730BC">
        <w:rPr>
          <w:rFonts w:hint="eastAsia"/>
          <w:sz w:val="24"/>
          <w:szCs w:val="24"/>
        </w:rPr>
        <w:t>UFH administreres under kateterablation for atrieflimren (se pkt. 4.4 og 4.5)</w:t>
      </w:r>
      <w:r w:rsidRPr="004730BC">
        <w:rPr>
          <w:sz w:val="24"/>
          <w:szCs w:val="24"/>
        </w:rPr>
        <w:t>.</w:t>
      </w:r>
    </w:p>
    <w:p w14:paraId="1546F861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EB36D4A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  <w:t>Særlige advarsler og forsigtighedsregler vedrørende brugen</w:t>
      </w:r>
    </w:p>
    <w:p w14:paraId="247497BC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7EDD7B2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Bl</w:t>
      </w:r>
      <w:r w:rsidRPr="00125812">
        <w:rPr>
          <w:rFonts w:hint="eastAsia"/>
          <w:sz w:val="24"/>
          <w:szCs w:val="24"/>
          <w:u w:val="single"/>
        </w:rPr>
        <w:t>ø</w:t>
      </w:r>
      <w:r w:rsidRPr="00125812">
        <w:rPr>
          <w:sz w:val="24"/>
          <w:szCs w:val="24"/>
          <w:u w:val="single"/>
        </w:rPr>
        <w:t>dningsrisiko</w:t>
      </w:r>
    </w:p>
    <w:p w14:paraId="6A789DA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Som for andre antikoagulantia skal patienter, der tager apixaban, kontrolleres omhyggeligt for tegn p</w:t>
      </w:r>
      <w:r w:rsidRPr="00125812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dning. Det anbefales, at apixaban anvendes med forsigtighed til patienter med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risiko for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dning. Hvis der forekommer alvorlig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dning, skal apixaban seponeres (se pkt. 4.8 og 4.9).</w:t>
      </w:r>
    </w:p>
    <w:p w14:paraId="30460A22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9FF7FBD" w14:textId="456719FE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lastRenderedPageBreak/>
        <w:t>Selvom behandling med apixaban ikke kr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ver rutinem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ssig overv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gning af eksponeringen, kan en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kalibreret kvantitativ test for anti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faktor Xa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re nyttig i </w:t>
      </w:r>
      <w:r w:rsidR="00AF2839">
        <w:rPr>
          <w:sz w:val="24"/>
          <w:szCs w:val="24"/>
        </w:rPr>
        <w:t>ekstraordinære</w:t>
      </w:r>
      <w:r w:rsidRPr="00125812">
        <w:rPr>
          <w:sz w:val="24"/>
          <w:szCs w:val="24"/>
        </w:rPr>
        <w:t xml:space="preserve"> situationer, hvor viden om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apixaban-eksponering kan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en hj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lp til at tage kliniske beslutninger, f.eks.</w:t>
      </w:r>
      <w:r w:rsidR="00AF2839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ved overdosering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akut kirurgi (se pkt. 5.1).</w:t>
      </w:r>
    </w:p>
    <w:p w14:paraId="29D430C8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C602832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Et middel til at reversere anti-faktor Xa-aktiviteten af apixaban er tilg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ngeligt.</w:t>
      </w:r>
    </w:p>
    <w:p w14:paraId="1FF2E13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3B655F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Interaktion med andre l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gemidler, der p</w:t>
      </w:r>
      <w:r w:rsidRPr="00125812">
        <w:rPr>
          <w:rFonts w:hint="eastAsia"/>
          <w:sz w:val="24"/>
          <w:szCs w:val="24"/>
          <w:u w:val="single"/>
        </w:rPr>
        <w:t>å</w:t>
      </w:r>
      <w:r w:rsidRPr="00125812">
        <w:rPr>
          <w:sz w:val="24"/>
          <w:szCs w:val="24"/>
          <w:u w:val="single"/>
        </w:rPr>
        <w:t>virker h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mostasen</w:t>
      </w:r>
    </w:p>
    <w:p w14:paraId="450CC8E9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grund af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er samtidig behandling med andre antikoagulantia kontraindiceret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(se pkt. 4.3).</w:t>
      </w:r>
    </w:p>
    <w:p w14:paraId="168466D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06B0C6A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Samtidig anvendelse af apixaban og thrombocyth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mmende midler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dningsrisikoen (se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pkt. 4.5).</w:t>
      </w:r>
    </w:p>
    <w:p w14:paraId="55C8406F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E5CBAF6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Der skal udvises forsigtighed, hvis patienten samtidig bliver behandlet med selektive</w:t>
      </w:r>
    </w:p>
    <w:p w14:paraId="467D6B00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serotoningenoptagelsesh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(SSRI'er) eller serotonin- og noradrenalingenoptagelses</w:t>
      </w:r>
      <w:r>
        <w:rPr>
          <w:sz w:val="24"/>
          <w:szCs w:val="24"/>
        </w:rPr>
        <w:softHyphen/>
      </w:r>
      <w:r w:rsidRPr="00125812">
        <w:rPr>
          <w:sz w:val="24"/>
          <w:szCs w:val="24"/>
        </w:rPr>
        <w:t>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(SNRI'er) eller non-steroide antiinflammatoriske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gemidler (NSAID</w:t>
      </w:r>
      <w:r w:rsidRPr="00125812">
        <w:rPr>
          <w:rFonts w:hint="eastAsia"/>
          <w:sz w:val="24"/>
          <w:szCs w:val="24"/>
        </w:rPr>
        <w:t>’</w:t>
      </w:r>
      <w:r w:rsidRPr="00125812">
        <w:rPr>
          <w:sz w:val="24"/>
          <w:szCs w:val="24"/>
        </w:rPr>
        <w:t>er), herunder acetylsalicylsyre.</w:t>
      </w:r>
    </w:p>
    <w:p w14:paraId="547EADC0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ADC74EC" w14:textId="521CDAF4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Efter kirurgi frar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des anvendelse af </w:t>
      </w:r>
      <w:r w:rsidR="00706104">
        <w:rPr>
          <w:sz w:val="24"/>
          <w:szCs w:val="24"/>
        </w:rPr>
        <w:t xml:space="preserve">andre </w:t>
      </w:r>
      <w:r w:rsidRPr="00125812">
        <w:rPr>
          <w:sz w:val="24"/>
          <w:szCs w:val="24"/>
        </w:rPr>
        <w:t>trombocytaggregationsh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sammen med apixaban (se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pkt. 4.5).</w:t>
      </w:r>
    </w:p>
    <w:p w14:paraId="167E30D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22571CB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Hos patienter med atrieflimren og tilstande, der berettiger enkelt- eller dobbelt</w:t>
      </w:r>
    </w:p>
    <w:p w14:paraId="718B349C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trombocyth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mmerbehandling,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der foretages omhyggelig vurdering af de potentielle fordele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risici, inden denne type behandling kombineres med apixaban.</w:t>
      </w:r>
    </w:p>
    <w:p w14:paraId="046E49E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615C576" w14:textId="5E61D481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 xml:space="preserve">I et klinisk studie </w:t>
      </w:r>
      <w:r w:rsidR="00706104">
        <w:rPr>
          <w:sz w:val="24"/>
          <w:szCs w:val="24"/>
        </w:rPr>
        <w:t>af</w:t>
      </w:r>
      <w:r w:rsidRPr="00125812">
        <w:rPr>
          <w:sz w:val="24"/>
          <w:szCs w:val="24"/>
        </w:rPr>
        <w:t xml:space="preserve"> patienter med atrieflimren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jede samtidig brug af ASA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</w:t>
      </w:r>
      <w:r w:rsidR="00C13845">
        <w:rPr>
          <w:sz w:val="24"/>
          <w:szCs w:val="24"/>
        </w:rPr>
        <w:t>srisiko</w:t>
      </w:r>
      <w:r w:rsidRPr="00125812">
        <w:rPr>
          <w:sz w:val="24"/>
          <w:szCs w:val="24"/>
        </w:rPr>
        <w:t xml:space="preserve"> ved apixaban fra 1,8 %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til 3,4 %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og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jede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dningsrisikoen ved warfarin fra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2,7 %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til 4,6 %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r. I dette kliniske studie var brugen af samtidig behandling med to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trombocyth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nset (2,1 %) (se pkt. 5.1).</w:t>
      </w:r>
    </w:p>
    <w:p w14:paraId="5C450F9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073F7E2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I et klinisk studie blev der inkluderet patienter med atrieflimren med AKS, og/eller som havde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et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foretaget PCI, og en planlagt behandlingsperiode med en P2Y12-h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mmer, med eller uden ASA,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oral antikoagulant (enten apixaban eller VKA) i 6 m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neder. Samtidig brug af ASA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gede risikoen for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ISTH (</w:t>
      </w:r>
      <w:r w:rsidRPr="00125812">
        <w:rPr>
          <w:i/>
          <w:iCs/>
          <w:sz w:val="24"/>
          <w:szCs w:val="24"/>
        </w:rPr>
        <w:t xml:space="preserve">International Society on Thrombosis and Hemostasis) </w:t>
      </w:r>
      <w:r w:rsidRPr="00125812">
        <w:rPr>
          <w:sz w:val="24"/>
          <w:szCs w:val="24"/>
        </w:rPr>
        <w:t>alvorlig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eller CRNM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(</w:t>
      </w:r>
      <w:r w:rsidRPr="00125812">
        <w:rPr>
          <w:i/>
          <w:iCs/>
          <w:sz w:val="24"/>
          <w:szCs w:val="24"/>
        </w:rPr>
        <w:t>Clinically Relevant Non-Major</w:t>
      </w:r>
      <w:r w:rsidRPr="00125812">
        <w:rPr>
          <w:sz w:val="24"/>
          <w:szCs w:val="24"/>
        </w:rPr>
        <w:t>)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hos fors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gspersoner behandlet med apixaban fra 16,4 % pr.</w:t>
      </w:r>
      <w:r>
        <w:rPr>
          <w:sz w:val="24"/>
          <w:szCs w:val="24"/>
        </w:rPr>
        <w:t xml:space="preserve">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til 33,1 %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(se pkt. 5.1).</w:t>
      </w:r>
    </w:p>
    <w:p w14:paraId="5BF985BF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E8CD8C4" w14:textId="3D141428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I et klinisk studie med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risiko patienter med post akut koronarsyndrom uden atrieflimren,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karakteriseret ved flere hjerterelaterede eller ikke</w:t>
      </w:r>
      <w:r w:rsidR="00C13845">
        <w:rPr>
          <w:sz w:val="24"/>
          <w:szCs w:val="24"/>
        </w:rPr>
        <w:t>-</w:t>
      </w:r>
      <w:r w:rsidRPr="00125812">
        <w:rPr>
          <w:sz w:val="24"/>
          <w:szCs w:val="24"/>
        </w:rPr>
        <w:t>hjerterelaterede komorbiditeter, som fik ASA eller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en kombination af ASA og clopidogrel, blev der rapporteret om signifikant stigning i risikoen for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ISTH alvorlig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dning ved apixaban (5,13 %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r) sammenlignet med placebo (2,04 % pr.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r).</w:t>
      </w:r>
    </w:p>
    <w:p w14:paraId="4C648BA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84E653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Brug af trombolytika til behandling af akut isk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misk apopleksi</w:t>
      </w:r>
    </w:p>
    <w:p w14:paraId="028D4613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Der er meget 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nset erfaring med brug af trombolytiske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gemidler til behandling af akut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isk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misk apopleksi hos 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apixaban (se pkt. 4.5).</w:t>
      </w:r>
    </w:p>
    <w:p w14:paraId="00C5F3A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520788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hjerteklapproteser</w:t>
      </w:r>
    </w:p>
    <w:p w14:paraId="09BD9CE0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Apixabans sikkerhed og virkning er ikke blevet unders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gt hos patienter med hjerteklapproteser, med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eller uden atrieflimren. Apixaban frar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des derfor i disse tilf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lde.</w:t>
      </w:r>
    </w:p>
    <w:p w14:paraId="4A37F413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F9B474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antifosfolipidsyndrom</w:t>
      </w:r>
    </w:p>
    <w:p w14:paraId="630B6356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Direkte virkende orale antikoagulantia (DOAK), herunder apixaban, anbefales ikke til patienter med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tidligere trombose, som er diagnosticerede med antifosfolipidsyndrom. Navnlig for patienter, der er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tredobbelt positive (for lupus antikoagulans, anticardiolipin-antistoffer og anti-beta 2-glykoprotein I-antistoffer), kan behandling med DOAK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re forbundet med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forekomst af recidiverende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trombotiske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ndelser i forhold til behandling med vitamin K-antagonister.</w:t>
      </w:r>
    </w:p>
    <w:p w14:paraId="46EEB89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F2BD38A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Kirurgi og invasive indgreb</w:t>
      </w:r>
    </w:p>
    <w:p w14:paraId="5F5F43C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skal seponeres mindst 48 timer inden elektiv kirurgi eller invasive indgreb med moderat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eller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dningsrisiko. Dette inkluderer alle indgreb hvor sandsynligheden for klinisk signifikant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ikke kan udelukkes, eller hvor risiko for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 er uacceptabel.</w:t>
      </w:r>
    </w:p>
    <w:p w14:paraId="64B8F42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67C40FC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skal seponeres mindst 24 timer inden elektiv kirurgi eller invasive indgreb med en lav risiko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dning. Dette inkluderer indgreb hvor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dninger, hvis de skulle forekomme, vil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minimale,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have en ikke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kritisk placering eller 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 lette at behandle.</w:t>
      </w:r>
    </w:p>
    <w:p w14:paraId="07D5C6D6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F39B791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Hvis kirurgi eller invasive indgreb ikke kan uds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ttes, skal der udvises passende forsigtighed, idet den</w:t>
      </w:r>
      <w:r>
        <w:rPr>
          <w:sz w:val="24"/>
          <w:szCs w:val="24"/>
        </w:rPr>
        <w:t xml:space="preserve">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gede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tages i betragtning.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dningsrisikoen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afvejes imod vigtigheden af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indgrebet.</w:t>
      </w:r>
    </w:p>
    <w:p w14:paraId="5443F58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E2E9980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Behandling med apixaban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genoptages 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hurtigt som muligt efter det invasive indgreb eller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kirurgiske indgreb, forudsat at den kliniske situation tillader det og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dakvat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mostase er opn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et (se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pkt. 4.2 vedr. kardiovertering).</w:t>
      </w:r>
    </w:p>
    <w:p w14:paraId="6CC3A77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8FBF2D2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For 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foretaget kateterablation for atrieflimren, er det ikke n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dvendigt at seponere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behandlingen med apixaban (se pkt. 4.2, 4.3 og 4.5).</w:t>
      </w:r>
    </w:p>
    <w:p w14:paraId="649F287F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8E1718B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Midlertidig seponering</w:t>
      </w:r>
    </w:p>
    <w:p w14:paraId="0BCDC06F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Ved seponering af antikoagulantia, herunder apixaban, i forbindelse med aktiv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dning, elektiv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kirurgi eller invasive indgreb har patienten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get risiko for trombose.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ndringer i behandlingen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undg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s, og hvis antikoagulering med apixaban skal seponeres midlertidigt uanset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rsag,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behandlingen genstartes 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hurtigt som muligt.</w:t>
      </w:r>
    </w:p>
    <w:p w14:paraId="3B8941F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0C33E5A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H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modynamisk ustabile LE</w:t>
      </w:r>
      <w:r w:rsidRPr="00125812">
        <w:rPr>
          <w:rFonts w:hint="eastAsia"/>
          <w:sz w:val="24"/>
          <w:szCs w:val="24"/>
          <w:u w:val="single"/>
        </w:rPr>
        <w:t>‑</w:t>
      </w:r>
      <w:r w:rsidRPr="00125812">
        <w:rPr>
          <w:sz w:val="24"/>
          <w:szCs w:val="24"/>
          <w:u w:val="single"/>
        </w:rPr>
        <w:t>patienter og patienter med behov for trombolyse eller lungeembolektomi</w:t>
      </w:r>
    </w:p>
    <w:p w14:paraId="6D3BEBD1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ikke anvendes som alternativ til ufraktioneret heparin hos patienter med lungeemboli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som er 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modynamisk ustabile, eller som m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ske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behov for trombolyse eller lungeembolektomi, da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apixabans sikkerhed og virkning ikke er unders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gt i disse kliniske situationer.</w:t>
      </w:r>
    </w:p>
    <w:p w14:paraId="2ED2AB0F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2F93B49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aktiv cancer</w:t>
      </w:r>
    </w:p>
    <w:p w14:paraId="0E643B63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Patienter med aktiv cancer kan have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risiko for b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 ven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s tromboembolisme og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dnings-h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ndelser. </w:t>
      </w:r>
    </w:p>
    <w:p w14:paraId="3646EC9A" w14:textId="65C4BD60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r apixaban overvejes til DVT- eller </w:t>
      </w:r>
      <w:r w:rsidR="005B75A1">
        <w:rPr>
          <w:sz w:val="24"/>
          <w:szCs w:val="24"/>
        </w:rPr>
        <w:t>L</w:t>
      </w:r>
      <w:r w:rsidRPr="00125812">
        <w:rPr>
          <w:sz w:val="24"/>
          <w:szCs w:val="24"/>
        </w:rPr>
        <w:t>E-behandling hos kr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ftpatienter, skal der</w:t>
      </w:r>
    </w:p>
    <w:p w14:paraId="59EFAD28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foretages en omhyggelig vurdering af fordelene mod risiciene (se ogs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pkt. 4.3).</w:t>
      </w:r>
    </w:p>
    <w:p w14:paraId="2BB3CF99" w14:textId="5CA39060" w:rsidR="00735396" w:rsidRDefault="007353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E69CD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FB1DDC5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nedsat nyrefunktion</w:t>
      </w:r>
    </w:p>
    <w:p w14:paraId="4595ADA7" w14:textId="7283DAD4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Begr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nsede kliniske data indikerer, at apixabans plasmakoncentration er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jet hos patienter med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rt nedsat nyrefunktion (kreatininclearance 15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29 ml/min), hvilket kan medf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dningsrisiko. Til forebyggelse af DVT, behandling af LE og forebyggelse af recidiverende DVT og LE (VT</w:t>
      </w:r>
      <w:r w:rsidR="00BE6F0C">
        <w:rPr>
          <w:sz w:val="24"/>
          <w:szCs w:val="24"/>
        </w:rPr>
        <w:t>Et</w:t>
      </w:r>
      <w:r w:rsidRPr="00125812">
        <w:rPr>
          <w:sz w:val="24"/>
          <w:szCs w:val="24"/>
        </w:rPr>
        <w:t>) skal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 anvendes med forsigtighed hos patienter med 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rt nedsat nyrefunktion (kreatininclearance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15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29 ml/min) (se pkt. 4.2 og 5.2).</w:t>
      </w:r>
    </w:p>
    <w:p w14:paraId="1A33A66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A8382E0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Til forebyggelse af apopleksi og systemisk emboli hos patienter med NVAF skal patienter med 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nedsat nyrefunktion (kreatininclearance 15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 xml:space="preserve">29 ml/min) og patienter med serumkreatinin </w:t>
      </w:r>
      <w:r w:rsidRPr="00125812">
        <w:rPr>
          <w:rFonts w:hint="eastAsia"/>
          <w:sz w:val="24"/>
          <w:szCs w:val="24"/>
        </w:rPr>
        <w:t>≥</w:t>
      </w:r>
      <w:r w:rsidRPr="00125812">
        <w:rPr>
          <w:sz w:val="24"/>
          <w:szCs w:val="24"/>
        </w:rPr>
        <w:t xml:space="preserve"> 1,5 mg/dl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 xml:space="preserve">(133 mikromol/l) forbundet med alder </w:t>
      </w:r>
      <w:r w:rsidRPr="00125812">
        <w:rPr>
          <w:rFonts w:hint="eastAsia"/>
          <w:sz w:val="24"/>
          <w:szCs w:val="24"/>
        </w:rPr>
        <w:t>≥</w:t>
      </w:r>
      <w:r w:rsidRPr="00125812">
        <w:rPr>
          <w:sz w:val="24"/>
          <w:szCs w:val="24"/>
        </w:rPr>
        <w:t xml:space="preserve"> 80 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eller kropsv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gt </w:t>
      </w:r>
      <w:r w:rsidRPr="00125812">
        <w:rPr>
          <w:rFonts w:hint="eastAsia"/>
          <w:sz w:val="24"/>
          <w:szCs w:val="24"/>
        </w:rPr>
        <w:t>≤</w:t>
      </w:r>
      <w:r w:rsidRPr="00125812">
        <w:rPr>
          <w:sz w:val="24"/>
          <w:szCs w:val="24"/>
        </w:rPr>
        <w:t xml:space="preserve"> 60 kg have den lave apixabandosis p</w:t>
      </w:r>
      <w:r w:rsidRPr="00125812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2,5 mg to gange daglig (se pkt. 4.2).</w:t>
      </w:r>
    </w:p>
    <w:p w14:paraId="3240B3D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73F876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Der foreligger ingen klinisk erfaring for patienter med kreatininclearance &lt; 15 ml/min og for patienter,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som er i dialyse, og derfor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apixaban ikke anvendes hos disse patienter (se pkt. 4.2 og 5.2).</w:t>
      </w:r>
    </w:p>
    <w:p w14:paraId="5B3B88BC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5F9853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ldre patienter</w:t>
      </w:r>
    </w:p>
    <w:p w14:paraId="20785E8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Stigende alder kan medf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(se pkt. 5.2).</w:t>
      </w:r>
    </w:p>
    <w:p w14:paraId="44D043A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4C138BD" w14:textId="5A077CF8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Ligeledes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 samtidig administration af apixaban og ASA til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ldre patienter </w:t>
      </w:r>
      <w:proofErr w:type="gramStart"/>
      <w:r w:rsidR="00440B83">
        <w:rPr>
          <w:sz w:val="24"/>
          <w:szCs w:val="24"/>
        </w:rPr>
        <w:t xml:space="preserve">anvendes </w:t>
      </w:r>
      <w:r w:rsidRPr="00125812">
        <w:rPr>
          <w:sz w:val="24"/>
          <w:szCs w:val="24"/>
        </w:rPr>
        <w:t xml:space="preserve"> med</w:t>
      </w:r>
      <w:proofErr w:type="gramEnd"/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forsigtighed 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grund af potentielt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risiko for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dning.</w:t>
      </w:r>
    </w:p>
    <w:p w14:paraId="03AA6BE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BFB1E9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Legemsv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gt</w:t>
      </w:r>
    </w:p>
    <w:p w14:paraId="2BD1693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Lav legemsv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gt (&lt; 60 kg) kan medf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re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(se pkt. 5.2).</w:t>
      </w:r>
    </w:p>
    <w:p w14:paraId="1BBF0F98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BC60A2C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Patienter med nedsat leverfunktion</w:t>
      </w:r>
    </w:p>
    <w:p w14:paraId="4780E631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er kontraindiceret hos patienter med leversygdom, som er forbundet med koagulopati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klinisk relevant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 (se pkt. 4.3).</w:t>
      </w:r>
    </w:p>
    <w:p w14:paraId="370BC616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9BAFD20" w14:textId="5AD9D083" w:rsidR="005555A4" w:rsidRPr="00125812" w:rsidRDefault="00440B83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Apixaban</w:t>
      </w:r>
      <w:r w:rsidR="005555A4" w:rsidRPr="00125812">
        <w:rPr>
          <w:sz w:val="24"/>
          <w:szCs w:val="24"/>
        </w:rPr>
        <w:t xml:space="preserve"> frar</w:t>
      </w:r>
      <w:r w:rsidR="005555A4" w:rsidRPr="00125812">
        <w:rPr>
          <w:rFonts w:hint="eastAsia"/>
          <w:sz w:val="24"/>
          <w:szCs w:val="24"/>
        </w:rPr>
        <w:t>å</w:t>
      </w:r>
      <w:r w:rsidR="005555A4" w:rsidRPr="00125812">
        <w:rPr>
          <w:sz w:val="24"/>
          <w:szCs w:val="24"/>
        </w:rPr>
        <w:t>des til patienter med sv</w:t>
      </w:r>
      <w:r w:rsidR="005555A4" w:rsidRPr="00125812">
        <w:rPr>
          <w:rFonts w:hint="eastAsia"/>
          <w:sz w:val="24"/>
          <w:szCs w:val="24"/>
        </w:rPr>
        <w:t>æ</w:t>
      </w:r>
      <w:r w:rsidR="005555A4" w:rsidRPr="00125812">
        <w:rPr>
          <w:sz w:val="24"/>
          <w:szCs w:val="24"/>
        </w:rPr>
        <w:t>rt nedsat leverfunktion (se pkt. 5.2).</w:t>
      </w:r>
    </w:p>
    <w:p w14:paraId="758DAB3C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6EF0B3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Apixaban kan anvendes med forsigtighed hos patienter med let til moderat nedsat leverfunktion (Child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Pugh A eller B) (se pkt. 4.2 og 5.2).</w:t>
      </w:r>
    </w:p>
    <w:p w14:paraId="2B8F1979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BD10988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Patienter med forh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 xml:space="preserve">jede leverenzymer (ALAT/ASAT &gt; 2 gange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vre normalv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rdi) eller</w:t>
      </w:r>
    </w:p>
    <w:p w14:paraId="0D67605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total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 xml:space="preserve">bilirubin </w:t>
      </w:r>
      <w:r w:rsidRPr="00125812">
        <w:rPr>
          <w:rFonts w:hint="eastAsia"/>
          <w:sz w:val="24"/>
          <w:szCs w:val="24"/>
        </w:rPr>
        <w:t>≥</w:t>
      </w:r>
      <w:r w:rsidRPr="00125812">
        <w:rPr>
          <w:sz w:val="24"/>
          <w:szCs w:val="24"/>
        </w:rPr>
        <w:t xml:space="preserve"> 1,5 gange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vre normalv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rdi blev ekskluderet fra de kliniske studier. Derfor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 anvendes med forsigtighed til denne patientgruppe (se pkt. 5.2).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behandling med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apixaban indledes, 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der udf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res leverfunktionstest.</w:t>
      </w:r>
    </w:p>
    <w:p w14:paraId="51E739A7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E9B8BEB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Interaktion med h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mmere af b</w:t>
      </w:r>
      <w:r w:rsidRPr="00125812">
        <w:rPr>
          <w:rFonts w:hint="eastAsia"/>
          <w:sz w:val="24"/>
          <w:szCs w:val="24"/>
          <w:u w:val="single"/>
        </w:rPr>
        <w:t>å</w:t>
      </w:r>
      <w:r w:rsidRPr="00125812">
        <w:rPr>
          <w:sz w:val="24"/>
          <w:szCs w:val="24"/>
          <w:u w:val="single"/>
        </w:rPr>
        <w:t>de cytokrom P4503A4 (CYP3A4) og P-glykoprotein (P-gp)</w:t>
      </w:r>
    </w:p>
    <w:p w14:paraId="20537E74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Brugen af apixaban frar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des hos patienter, der samtidig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systemisk behandling med potente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CYP3A4- og P-gp-h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mmere, herunder azolantimykotika (f.eks. ketoconazol, itraconazol, voriconazol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og posaconazol) og HIV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proteaseh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mmere (f.eks. ritonavir). Disse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gemidler kan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 eksponering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af apixaban (se pkt. 4.5) med en faktor 2 eller mere, ved tilstedev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relsen af andre faktorer, der ogs</w:t>
      </w:r>
      <w:r w:rsidRPr="00125812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ger eksponeringen af apixaban (f.eks. alvorligt nedsat nyrefunktion).</w:t>
      </w:r>
    </w:p>
    <w:p w14:paraId="3E26F7F1" w14:textId="79595032" w:rsidR="003176DC" w:rsidRDefault="003176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668705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8029D2F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Interaktion med b</w:t>
      </w:r>
      <w:r w:rsidRPr="00125812">
        <w:rPr>
          <w:rFonts w:hint="eastAsia"/>
          <w:sz w:val="24"/>
          <w:szCs w:val="24"/>
          <w:u w:val="single"/>
        </w:rPr>
        <w:t>å</w:t>
      </w:r>
      <w:r w:rsidRPr="00125812">
        <w:rPr>
          <w:sz w:val="24"/>
          <w:szCs w:val="24"/>
          <w:u w:val="single"/>
        </w:rPr>
        <w:t>de CYP3A4- og P-gp-induktorer</w:t>
      </w:r>
    </w:p>
    <w:p w14:paraId="1754FC9A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Samtidig brug af apixaban med kraftige CYP3A4- og P-gp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induktorer (f.eks. rifampicin, phenytoin,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carbamazepin, phenobarbital eller perikon (hypericum perforatum)) kan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re til ca. 50 % reduktion i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eksponering til apixaban. I et klinisk studie hos patienter med atrieflimren, blev virkningen reduceret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og der blev observeret en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jere bl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dningsrisiko, 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apixaban blev administreret sammen med b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st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rke CYP3A4- og P-gp-induktorer sammenlignet med, n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det blev administreret alene.</w:t>
      </w:r>
    </w:p>
    <w:p w14:paraId="326B6268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CAB0E0A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Hos patienter, der f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r samtidig systemisk behandling med potente induktorer af b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>de CYP3A4 og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‑</w:t>
      </w:r>
      <w:r w:rsidRPr="00125812">
        <w:rPr>
          <w:sz w:val="24"/>
          <w:szCs w:val="24"/>
        </w:rPr>
        <w:t>gp, g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lder f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lgende anbefalinger (se pkt. 4.5):</w:t>
      </w:r>
    </w:p>
    <w:p w14:paraId="294682CE" w14:textId="3B6EDAB7" w:rsidR="005555A4" w:rsidRPr="00B31D00" w:rsidRDefault="005555A4" w:rsidP="005555A4">
      <w:pPr>
        <w:numPr>
          <w:ilvl w:val="0"/>
          <w:numId w:val="33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B31D00">
        <w:rPr>
          <w:sz w:val="24"/>
          <w:szCs w:val="24"/>
        </w:rPr>
        <w:t>til forebyggelse af apopleksi og systemisk emboli hos patienter med NVAF og til forebyggelse af recidiverende DVT og LE, bør apixaban anvendes med forsigtighed</w:t>
      </w:r>
    </w:p>
    <w:p w14:paraId="1114E544" w14:textId="77777777" w:rsidR="005555A4" w:rsidRPr="00B31D00" w:rsidRDefault="005555A4" w:rsidP="005555A4">
      <w:pPr>
        <w:numPr>
          <w:ilvl w:val="0"/>
          <w:numId w:val="34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B31D00">
        <w:rPr>
          <w:sz w:val="24"/>
          <w:szCs w:val="24"/>
        </w:rPr>
        <w:t>til behandling af DVT og behandling af LE bør apixaban ikke anvendes, da virkningen kan v</w:t>
      </w:r>
      <w:r w:rsidRPr="00B31D00">
        <w:rPr>
          <w:rFonts w:hint="eastAsia"/>
          <w:sz w:val="24"/>
          <w:szCs w:val="24"/>
        </w:rPr>
        <w:t>æ</w:t>
      </w:r>
      <w:r w:rsidRPr="00B31D00">
        <w:rPr>
          <w:sz w:val="24"/>
          <w:szCs w:val="24"/>
        </w:rPr>
        <w:t>re kompromitteret</w:t>
      </w:r>
    </w:p>
    <w:p w14:paraId="69AC1FAB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 xml:space="preserve"> </w:t>
      </w:r>
    </w:p>
    <w:p w14:paraId="4F0CE2E9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Laboratorieparametre</w:t>
      </w:r>
    </w:p>
    <w:p w14:paraId="3C69EF7E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Koagulationstest [f.eks. protrombintid (PT), INR og aktiveret partiel tromboplastintid (aPTT)]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p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virkes som forventet af apixabans virkningsmekanisme. 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ndringer i koagulationparametrerne ved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en given terapeutisk dosis er sm</w:t>
      </w:r>
      <w:r w:rsidRPr="00125812">
        <w:rPr>
          <w:rFonts w:hint="eastAsia"/>
          <w:sz w:val="24"/>
          <w:szCs w:val="24"/>
        </w:rPr>
        <w:t>å</w:t>
      </w:r>
      <w:r w:rsidRPr="00125812">
        <w:rPr>
          <w:sz w:val="24"/>
          <w:szCs w:val="24"/>
        </w:rPr>
        <w:t xml:space="preserve"> og har en h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j grad af variabilitet (se pkt. 5.1).</w:t>
      </w:r>
    </w:p>
    <w:p w14:paraId="47158F5D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129AD6A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5812">
        <w:rPr>
          <w:sz w:val="24"/>
          <w:szCs w:val="24"/>
          <w:u w:val="single"/>
        </w:rPr>
        <w:t>Hj</w:t>
      </w:r>
      <w:r w:rsidRPr="00125812">
        <w:rPr>
          <w:rFonts w:hint="eastAsia"/>
          <w:sz w:val="24"/>
          <w:szCs w:val="24"/>
          <w:u w:val="single"/>
        </w:rPr>
        <w:t>æ</w:t>
      </w:r>
      <w:r w:rsidRPr="00125812">
        <w:rPr>
          <w:sz w:val="24"/>
          <w:szCs w:val="24"/>
          <w:u w:val="single"/>
        </w:rPr>
        <w:t>lpestoffer</w:t>
      </w:r>
    </w:p>
    <w:p w14:paraId="1965CEB2" w14:textId="34273B81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B</w:t>
      </w:r>
      <w:r w:rsidRPr="00125812">
        <w:rPr>
          <w:rFonts w:hint="eastAsia"/>
          <w:sz w:val="24"/>
          <w:szCs w:val="24"/>
        </w:rPr>
        <w:t>ø</w:t>
      </w:r>
      <w:r w:rsidRPr="00125812">
        <w:rPr>
          <w:sz w:val="24"/>
          <w:szCs w:val="24"/>
        </w:rPr>
        <w:t>r ikke anvendes til patienter med heredit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r galactoseintolerans, total</w:t>
      </w:r>
      <w:r w:rsidR="00566695"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lactasemangel eller glucose/galactose-malabsorption.</w:t>
      </w:r>
    </w:p>
    <w:p w14:paraId="71B75190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0C0E56B" w14:textId="77777777" w:rsidR="005555A4" w:rsidRPr="00125812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125812">
        <w:rPr>
          <w:sz w:val="24"/>
          <w:szCs w:val="24"/>
        </w:rPr>
        <w:t>Dette l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>gemiddel indeholder mindre end 1 mmol (23 mg) natrium pr. tablet, dvs. det er i det</w:t>
      </w:r>
      <w:r>
        <w:rPr>
          <w:sz w:val="24"/>
          <w:szCs w:val="24"/>
        </w:rPr>
        <w:t xml:space="preserve"> </w:t>
      </w:r>
      <w:r w:rsidRPr="00125812">
        <w:rPr>
          <w:sz w:val="24"/>
          <w:szCs w:val="24"/>
        </w:rPr>
        <w:t>v</w:t>
      </w:r>
      <w:r w:rsidRPr="00125812">
        <w:rPr>
          <w:rFonts w:hint="eastAsia"/>
          <w:sz w:val="24"/>
          <w:szCs w:val="24"/>
        </w:rPr>
        <w:t>æ</w:t>
      </w:r>
      <w:r w:rsidRPr="00125812">
        <w:rPr>
          <w:sz w:val="24"/>
          <w:szCs w:val="24"/>
        </w:rPr>
        <w:t xml:space="preserve">sentlige </w:t>
      </w:r>
      <w:r>
        <w:rPr>
          <w:sz w:val="24"/>
          <w:szCs w:val="24"/>
        </w:rPr>
        <w:t>"</w:t>
      </w:r>
      <w:r w:rsidRPr="00125812">
        <w:rPr>
          <w:sz w:val="24"/>
          <w:szCs w:val="24"/>
        </w:rPr>
        <w:t>natriumfrit</w:t>
      </w:r>
      <w:r>
        <w:rPr>
          <w:sz w:val="24"/>
          <w:szCs w:val="24"/>
        </w:rPr>
        <w:t>"</w:t>
      </w:r>
      <w:r w:rsidRPr="00125812">
        <w:rPr>
          <w:sz w:val="24"/>
          <w:szCs w:val="24"/>
        </w:rPr>
        <w:t>.</w:t>
      </w:r>
    </w:p>
    <w:p w14:paraId="232E0720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7D41484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  <w:t>Interaktion med andre lægemidler og andre former for interaktion</w:t>
      </w:r>
    </w:p>
    <w:p w14:paraId="5E23E724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2672C18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CYP3A4- og P-gp</w:t>
      </w:r>
      <w:r w:rsidRPr="007D45F1">
        <w:rPr>
          <w:rFonts w:hint="eastAsia"/>
          <w:sz w:val="24"/>
          <w:szCs w:val="24"/>
          <w:u w:val="single"/>
        </w:rPr>
        <w:t>‑</w:t>
      </w:r>
      <w:r w:rsidRPr="007D45F1">
        <w:rPr>
          <w:sz w:val="24"/>
          <w:szCs w:val="24"/>
          <w:u w:val="single"/>
        </w:rPr>
        <w:t>h</w:t>
      </w:r>
      <w:r w:rsidRPr="007D45F1">
        <w:rPr>
          <w:rFonts w:hint="eastAsia"/>
          <w:sz w:val="24"/>
          <w:szCs w:val="24"/>
          <w:u w:val="single"/>
        </w:rPr>
        <w:t>æ</w:t>
      </w:r>
      <w:r w:rsidRPr="007D45F1">
        <w:rPr>
          <w:sz w:val="24"/>
          <w:szCs w:val="24"/>
          <w:u w:val="single"/>
        </w:rPr>
        <w:t>mmere</w:t>
      </w:r>
    </w:p>
    <w:p w14:paraId="6B134A4A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indtagelse af apixaban og ketoconazol (400 mg 1 gang daglig), som er en kraftig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P-gp, 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til en fordobling af det gennemsnitlige AUC for apixaban og en stigning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1,6 gange i den gennemsnitlige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for apixaban.</w:t>
      </w:r>
    </w:p>
    <w:p w14:paraId="5E15F437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B46BB39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Brugen af apixaban frar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des hos patienter, der samtidig f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systemisk behandling med kraftige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 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som azolantimykotika (f.eks. ketokonazol, itraconazol,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voriconazol og posaconazol) og HIV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proteaseh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(f.eks. ritonavir) (se pkt. 4.4).</w:t>
      </w:r>
    </w:p>
    <w:p w14:paraId="338939FF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282BFA2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Aktive stoffer, der ikke anses for at v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re st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rke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</w:t>
      </w:r>
    </w:p>
    <w:p w14:paraId="5CFE7514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 xml:space="preserve">(f.eks. amiodaron, clarithromycin, diltiazem, fluconazol, naproxen, quinidin, verapamil) forventes I mindre grad at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 plasmakoncentrationen af apixaban. Dosisjustering for apixaban er ikke n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dvendig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ved samtidig behandling med stoffer, der ikke er potente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P-gp.</w:t>
      </w:r>
    </w:p>
    <w:p w14:paraId="28DE6831" w14:textId="575B9795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Diltiazem (360 mg 1 gang daglig), som betragtes som en moderat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CYP3A4 og en svag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P-gp,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f.eks. en stigning i middel-AUC for apixaban med en faktor 1,4 og C</w:t>
      </w:r>
      <w:r w:rsidRPr="007D45F1">
        <w:rPr>
          <w:sz w:val="24"/>
          <w:szCs w:val="24"/>
          <w:vertAlign w:val="subscript"/>
        </w:rPr>
        <w:t>max</w:t>
      </w:r>
      <w:r>
        <w:rPr>
          <w:sz w:val="24"/>
          <w:szCs w:val="24"/>
          <w:vertAlign w:val="subscript"/>
        </w:rPr>
        <w:t xml:space="preserve"> </w:t>
      </w:r>
      <w:r w:rsidRPr="007D45F1">
        <w:rPr>
          <w:sz w:val="24"/>
          <w:szCs w:val="24"/>
        </w:rPr>
        <w:t>med en faktor 1,3. Naproxen (500 mg, enkeltdosis)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 xml:space="preserve">mmer af P-gp, men ikke af CYP3A4,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gede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henholdsvis det gennemsnitlige apixaban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med en faktor 1,5 og 1,6. Clarithromycin (500 mg to gange daglig), som er en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 xml:space="preserve">mmer af P-gp </w:t>
      </w:r>
      <w:r w:rsidRPr="007D45F1">
        <w:rPr>
          <w:sz w:val="24"/>
          <w:szCs w:val="24"/>
        </w:rPr>
        <w:lastRenderedPageBreak/>
        <w:t>og en st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rk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CYP3A4, 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rte til en henholdsvis </w:t>
      </w:r>
      <w:r w:rsidR="0088239F">
        <w:rPr>
          <w:sz w:val="24"/>
          <w:szCs w:val="24"/>
        </w:rPr>
        <w:t xml:space="preserve">faktor </w:t>
      </w:r>
      <w:r w:rsidRPr="007D45F1">
        <w:rPr>
          <w:sz w:val="24"/>
          <w:szCs w:val="24"/>
        </w:rPr>
        <w:t>1,6 og 1,3 stigning i middel apixaban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>.</w:t>
      </w:r>
    </w:p>
    <w:p w14:paraId="774FF72A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1C9FE84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CYP3A4- og P-gp-induktorer</w:t>
      </w:r>
    </w:p>
    <w:p w14:paraId="4D35FC52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indtagelse af apixaban og rifampicin, en kraftig CYP3A4 og P-gp-induktor,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rte et fald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i det gennemsnitlige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for apixaban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henholdsvis ca. 54 % og 42 %. Samtidig brug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og andre kraftige CYP3A4- og P-gp-induktorer (f.eks. phenytoin, carbamazepin,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phenobarbital eller perikon) kan ogs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re et fald i apixabans plasmakoncentrationer. </w:t>
      </w:r>
    </w:p>
    <w:p w14:paraId="2B1DC4FC" w14:textId="68FF3059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Justering af apixabandosis er ikke n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dvendig ved samtidig behandling med disse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gemidler, men hos patienter der f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samtidig systemisk behandling med potente induktorer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gp b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 apixaban anvendes med forsigtighed til forebyggelse af apopleksi og systemisk emboli hos patienter med NVAF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og til forebyggelse af recidiverende DVT og LE.</w:t>
      </w:r>
    </w:p>
    <w:p w14:paraId="301AC04E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D503220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Apixaban anbefales ikke til behandling af DVT og LE hos patienter, der f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samtidig systemisk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behandling med potente induktorer af b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de CYP3A4 og P-gp, da virkningen kan v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re kompromitteret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(se pkt. 4.4).</w:t>
      </w:r>
    </w:p>
    <w:p w14:paraId="589FBB88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2EA3C4F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Antikoagulantia, trombocytaggregationsh</w:t>
      </w:r>
      <w:r w:rsidRPr="007D45F1">
        <w:rPr>
          <w:rFonts w:hint="eastAsia"/>
          <w:sz w:val="24"/>
          <w:szCs w:val="24"/>
          <w:u w:val="single"/>
        </w:rPr>
        <w:t>æ</w:t>
      </w:r>
      <w:r w:rsidRPr="007D45F1">
        <w:rPr>
          <w:sz w:val="24"/>
          <w:szCs w:val="24"/>
          <w:u w:val="single"/>
        </w:rPr>
        <w:t>mmere, SSRI</w:t>
      </w:r>
      <w:r w:rsidRPr="007D45F1">
        <w:rPr>
          <w:rFonts w:hint="eastAsia"/>
          <w:sz w:val="24"/>
          <w:szCs w:val="24"/>
          <w:u w:val="single"/>
        </w:rPr>
        <w:t>’</w:t>
      </w:r>
      <w:r w:rsidRPr="007D45F1">
        <w:rPr>
          <w:sz w:val="24"/>
          <w:szCs w:val="24"/>
          <w:u w:val="single"/>
        </w:rPr>
        <w:t>er/SNRI</w:t>
      </w:r>
      <w:r w:rsidRPr="007D45F1">
        <w:rPr>
          <w:rFonts w:hint="eastAsia"/>
          <w:sz w:val="24"/>
          <w:szCs w:val="24"/>
          <w:u w:val="single"/>
        </w:rPr>
        <w:t>’</w:t>
      </w:r>
      <w:r w:rsidRPr="007D45F1">
        <w:rPr>
          <w:sz w:val="24"/>
          <w:szCs w:val="24"/>
          <w:u w:val="single"/>
        </w:rPr>
        <w:t>er og NSAID’er</w:t>
      </w:r>
    </w:p>
    <w:p w14:paraId="6F184563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grund af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get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dningsrisiko er samtidig behandling med andre antikoagulantia kontraindiceret,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undtagen i s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rlige tilf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lde i forbindelse med skift af antikoagulationsbehandling,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UFH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administreres i doser, der er n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dvendige for at opretholde et 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bent centralt vene- eller arteriekateter,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eller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UFH administreres under kateterablation for atrieflimren (se pkt. 4.3).</w:t>
      </w:r>
    </w:p>
    <w:p w14:paraId="112AEAFE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685DEC7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Efter samtidig indgivelse af enoxaparin (enkeltdosis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40 mg) og apixaban (enkeltdosis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5 mg) blev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der observeret additiv virkning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anti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faktor Xa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aktiviteten.</w:t>
      </w:r>
    </w:p>
    <w:p w14:paraId="48C03D3A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1F9B81C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Der blev ikke observeret klinisk signifikante farmakokinetiske eller farmakodynamiske interaktioner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ved samtidig indtagelse af apixaban og 325 mg ASA 1 gang daglig.</w:t>
      </w:r>
    </w:p>
    <w:p w14:paraId="3418BC13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3F3FDB2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Ved samtidig behandling med apixaban og clopidogrel (75 mg 1 gang daglig), kombinationen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clopidogrel 75 mg og ASA 162 mg 1 gang daglig eller med prasugrel (60 mg efterfulgt af 10 mg en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gang daglig), blev der i et fase I studie ikke set relevant forl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ngelse af standardiseret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dningstid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eller yderligere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mning af trombocytaggregation sammenlignet med administration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thrombocyth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uden apixaban. Stigninger i koagulationstests (PT, INR og aPTT) svarede til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apixabans effekt alene.</w:t>
      </w:r>
    </w:p>
    <w:p w14:paraId="32585282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1620B97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Naproxen (500 mg), en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P-gp, medf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 xml:space="preserve">rte en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gning af det gennemsnitlige AUC og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henholdsvis 1,5 gange og 1,6 gange. Tilsvarende stigninger i koagulationstests blev set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for apixaban. Naproxens virkning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arachidonsyre-induceret trombocytaggregation var ikke 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ndret,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og der var ingen klinisk relevant forl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ngelse af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dningstiden efter samtidig indtagelse af apixaban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og naproxen.</w:t>
      </w:r>
    </w:p>
    <w:p w14:paraId="29634279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FF9F2A6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Til trods for disse fund kan nogle individer have et mere udtalt farmakodynamisk respons,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thrombocyth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 gives samtidig med apixaban. Apixaban b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r anvendes med forsigtighed ved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samtidig behandling med SSRI</w:t>
      </w:r>
      <w:r w:rsidRPr="007D45F1">
        <w:rPr>
          <w:rFonts w:hint="eastAsia"/>
          <w:sz w:val="24"/>
          <w:szCs w:val="24"/>
        </w:rPr>
        <w:t>’</w:t>
      </w:r>
      <w:r w:rsidRPr="007D45F1">
        <w:rPr>
          <w:sz w:val="24"/>
          <w:szCs w:val="24"/>
        </w:rPr>
        <w:t>er/SNRI</w:t>
      </w:r>
      <w:r w:rsidRPr="007D45F1">
        <w:rPr>
          <w:rFonts w:hint="eastAsia"/>
          <w:sz w:val="24"/>
          <w:szCs w:val="24"/>
        </w:rPr>
        <w:t>’</w:t>
      </w:r>
      <w:r w:rsidRPr="007D45F1">
        <w:rPr>
          <w:sz w:val="24"/>
          <w:szCs w:val="24"/>
        </w:rPr>
        <w:t>er, NSAID, ASA og/eller P2Y12-h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mmere, da disse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 xml:space="preserve">gemidler typisk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ger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dningsrisikoen (se pkt. 4.4).</w:t>
      </w:r>
    </w:p>
    <w:p w14:paraId="12DEB5B8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4EE02C1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lastRenderedPageBreak/>
        <w:t>Der er begr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nset erfaring med samtidig administration med andre trombocyt</w:t>
      </w:r>
      <w:r>
        <w:rPr>
          <w:sz w:val="24"/>
          <w:szCs w:val="24"/>
        </w:rPr>
        <w:softHyphen/>
      </w:r>
      <w:r w:rsidRPr="007D45F1">
        <w:rPr>
          <w:sz w:val="24"/>
          <w:szCs w:val="24"/>
        </w:rPr>
        <w:t>aggregationsh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mmere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(s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som GPIIb/IIIa-receptor antagonister, dipyridamol, dextran eller sulfinpyrazon) eller trombolytika.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Da disse midler 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ger risikoen for bl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dning, anbefales det ikke at administrere disse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samtidig med apixaban (se pkt. 4.4).</w:t>
      </w:r>
    </w:p>
    <w:p w14:paraId="39869AED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BF253D4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Anden samtidig behandling</w:t>
      </w:r>
    </w:p>
    <w:p w14:paraId="1A86F523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Der blev ikke observeret klinisk signifikante farmakokinetiske eller farmakodynamiske interaktioner,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apixaban blev givet samtidigt med atenolol eller famotidin. Samtidig behandling med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10 mg og atenolol 100 mg viste ingen klinisk relevant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farmakokinetikken for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apixaban. </w:t>
      </w:r>
    </w:p>
    <w:p w14:paraId="467702C7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EB25592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Efter samtidig administration af de to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 var det gennemsnitlige AUC og C</w:t>
      </w:r>
      <w:r w:rsidRPr="007D45F1">
        <w:rPr>
          <w:sz w:val="24"/>
          <w:szCs w:val="24"/>
          <w:vertAlign w:val="subscript"/>
        </w:rPr>
        <w:t xml:space="preserve">max </w:t>
      </w:r>
      <w:r w:rsidRPr="007D45F1">
        <w:rPr>
          <w:sz w:val="24"/>
          <w:szCs w:val="24"/>
        </w:rPr>
        <w:t>for</w:t>
      </w:r>
    </w:p>
    <w:p w14:paraId="7A89B49A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apixaban 15 % og 18 % lavere end, n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r det blev administreret alene. Administration af</w:t>
      </w:r>
    </w:p>
    <w:p w14:paraId="0FE26DBC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apixaban 10 mg og famotidin 40 mg havde ingen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AUC og C</w:t>
      </w:r>
      <w:r w:rsidRPr="007D45F1">
        <w:rPr>
          <w:sz w:val="24"/>
          <w:szCs w:val="24"/>
          <w:vertAlign w:val="subscript"/>
        </w:rPr>
        <w:t xml:space="preserve">max </w:t>
      </w:r>
      <w:r w:rsidRPr="007D45F1">
        <w:rPr>
          <w:sz w:val="24"/>
          <w:szCs w:val="24"/>
        </w:rPr>
        <w:t>for apixaban.</w:t>
      </w:r>
    </w:p>
    <w:p w14:paraId="7C988D73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37771E9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Apixabans virkning p</w:t>
      </w:r>
      <w:r w:rsidRPr="007D45F1">
        <w:rPr>
          <w:rFonts w:hint="eastAsia"/>
          <w:sz w:val="24"/>
          <w:szCs w:val="24"/>
          <w:u w:val="single"/>
        </w:rPr>
        <w:t>å</w:t>
      </w:r>
      <w:r w:rsidRPr="007D45F1">
        <w:rPr>
          <w:sz w:val="24"/>
          <w:szCs w:val="24"/>
          <w:u w:val="single"/>
        </w:rPr>
        <w:t xml:space="preserve"> andre l</w:t>
      </w:r>
      <w:r w:rsidRPr="007D45F1">
        <w:rPr>
          <w:rFonts w:hint="eastAsia"/>
          <w:sz w:val="24"/>
          <w:szCs w:val="24"/>
          <w:u w:val="single"/>
        </w:rPr>
        <w:t>æ</w:t>
      </w:r>
      <w:r w:rsidRPr="007D45F1">
        <w:rPr>
          <w:sz w:val="24"/>
          <w:szCs w:val="24"/>
          <w:u w:val="single"/>
        </w:rPr>
        <w:t>gemidler</w:t>
      </w:r>
    </w:p>
    <w:p w14:paraId="1859B84F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i/>
          <w:iCs/>
          <w:sz w:val="24"/>
          <w:szCs w:val="24"/>
        </w:rPr>
        <w:t xml:space="preserve">In vitro </w:t>
      </w:r>
      <w:r w:rsidRPr="007D45F1">
        <w:rPr>
          <w:sz w:val="24"/>
          <w:szCs w:val="24"/>
        </w:rPr>
        <w:t>apixaban studier viste ingen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mmende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aktiviteten af CYP1A2, CYP2A6, CYP2B6,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CYP2C8, CYP2C9, CYP2D6 eller CYP3A4 (IC50 &gt; 45 </w:t>
      </w:r>
      <w:r w:rsidRPr="007D45F1">
        <w:rPr>
          <w:rFonts w:hint="eastAsia"/>
          <w:sz w:val="24"/>
          <w:szCs w:val="24"/>
        </w:rPr>
        <w:t>μ</w:t>
      </w:r>
      <w:r w:rsidRPr="007D45F1">
        <w:rPr>
          <w:sz w:val="24"/>
          <w:szCs w:val="24"/>
        </w:rPr>
        <w:t>M) og svag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mmende effekt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aktiviteten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 xml:space="preserve">af CYP2C19 (IC50 &gt; 20 </w:t>
      </w:r>
      <w:r w:rsidRPr="007D45F1">
        <w:rPr>
          <w:rFonts w:hint="eastAsia"/>
          <w:sz w:val="24"/>
          <w:szCs w:val="24"/>
        </w:rPr>
        <w:t>μ</w:t>
      </w:r>
      <w:r w:rsidRPr="007D45F1">
        <w:rPr>
          <w:sz w:val="24"/>
          <w:szCs w:val="24"/>
        </w:rPr>
        <w:t>M) ved koncentrationer, der er signifikant h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jere end maksimal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plasmakoncentration observeret hos patienter. Apixaban inducerer ikke CYP1A2, CYP2B6,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CYP3A4/5 ved en koncentration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 op til 20 </w:t>
      </w:r>
      <w:r w:rsidRPr="007D45F1">
        <w:rPr>
          <w:rFonts w:hint="eastAsia"/>
          <w:sz w:val="24"/>
          <w:szCs w:val="24"/>
        </w:rPr>
        <w:t>μ</w:t>
      </w:r>
      <w:r w:rsidRPr="007D45F1">
        <w:rPr>
          <w:sz w:val="24"/>
          <w:szCs w:val="24"/>
        </w:rPr>
        <w:t xml:space="preserve">M. Derfor forventes apixaban ikke at 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ndre den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metaboliske clearance af samtidigt indgivede l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gemidler, som metaboliseres af disse enzymer.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Apixaban er ikke en signifikant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af P-gp.</w:t>
      </w:r>
    </w:p>
    <w:p w14:paraId="45007F2C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F1B97F9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I nedenst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ende studier med raske fors</w:t>
      </w:r>
      <w:r w:rsidRPr="007D45F1">
        <w:rPr>
          <w:rFonts w:hint="eastAsia"/>
          <w:sz w:val="24"/>
          <w:szCs w:val="24"/>
        </w:rPr>
        <w:t>ø</w:t>
      </w:r>
      <w:r w:rsidRPr="007D45F1">
        <w:rPr>
          <w:sz w:val="24"/>
          <w:szCs w:val="24"/>
        </w:rPr>
        <w:t>gspersoner s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 xml:space="preserve">s ingen betydelig 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ndring i farmakokinetikken af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digoxin, naproxen eller atenolol.</w:t>
      </w:r>
    </w:p>
    <w:p w14:paraId="20A1EEE5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F568CF2" w14:textId="77777777" w:rsidR="005555A4" w:rsidRPr="007D45F1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D45F1">
        <w:rPr>
          <w:i/>
          <w:iCs/>
          <w:sz w:val="24"/>
          <w:szCs w:val="24"/>
        </w:rPr>
        <w:t>Digoxin</w:t>
      </w:r>
    </w:p>
    <w:p w14:paraId="366A243D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indgivelse af apixaban (20 mg 1 gang daglig) og digoxin (0,25 mg 1 gang daglig), et P-gp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substrat,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virkede ikke digoxins AUC eller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>. Derfor h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mmer apixaban ikke P-gp</w:t>
      </w:r>
      <w:r w:rsidRPr="007D45F1">
        <w:rPr>
          <w:rFonts w:hint="eastAsia"/>
          <w:sz w:val="24"/>
          <w:szCs w:val="24"/>
        </w:rPr>
        <w:t>‑</w:t>
      </w:r>
      <w:r w:rsidRPr="007D45F1">
        <w:rPr>
          <w:sz w:val="24"/>
          <w:szCs w:val="24"/>
        </w:rPr>
        <w:t>medieret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substrattransport.</w:t>
      </w:r>
    </w:p>
    <w:p w14:paraId="20FD099C" w14:textId="77777777" w:rsidR="005555A4" w:rsidRPr="007D45F1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26666A29" w14:textId="77777777" w:rsidR="005555A4" w:rsidRPr="007D45F1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D45F1">
        <w:rPr>
          <w:i/>
          <w:iCs/>
          <w:sz w:val="24"/>
          <w:szCs w:val="24"/>
        </w:rPr>
        <w:t>Naproxen</w:t>
      </w:r>
    </w:p>
    <w:p w14:paraId="42035B1F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indgivelse af en enkelt dosis apixaban (10 mg) og naproxen (500 mg), som er et almindelig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anvendt NSAID,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virkede ikke naproxens AUC eller C</w:t>
      </w:r>
      <w:r w:rsidRPr="007D45F1">
        <w:rPr>
          <w:sz w:val="24"/>
          <w:szCs w:val="24"/>
          <w:vertAlign w:val="subscript"/>
        </w:rPr>
        <w:t>max</w:t>
      </w:r>
      <w:r w:rsidRPr="007D45F1">
        <w:rPr>
          <w:sz w:val="24"/>
          <w:szCs w:val="24"/>
        </w:rPr>
        <w:t>.</w:t>
      </w:r>
    </w:p>
    <w:p w14:paraId="15CB7EE5" w14:textId="77777777" w:rsidR="005555A4" w:rsidRPr="007D45F1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3ACFC75F" w14:textId="77777777" w:rsidR="005555A4" w:rsidRPr="007D45F1" w:rsidRDefault="005555A4" w:rsidP="005555A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7D45F1">
        <w:rPr>
          <w:i/>
          <w:iCs/>
          <w:sz w:val="24"/>
          <w:szCs w:val="24"/>
        </w:rPr>
        <w:t>Atenolol</w:t>
      </w:r>
    </w:p>
    <w:p w14:paraId="5020597C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Samtidig indgivelse af en enkeltdosis apixaban (10 mg) og atenolol (100 mg), som er en almindelig</w:t>
      </w:r>
      <w:r>
        <w:rPr>
          <w:sz w:val="24"/>
          <w:szCs w:val="24"/>
        </w:rPr>
        <w:t xml:space="preserve"> </w:t>
      </w:r>
      <w:r w:rsidRPr="007D45F1">
        <w:rPr>
          <w:sz w:val="24"/>
          <w:szCs w:val="24"/>
        </w:rPr>
        <w:t>beta-blokker, p</w:t>
      </w:r>
      <w:r w:rsidRPr="007D45F1">
        <w:rPr>
          <w:rFonts w:hint="eastAsia"/>
          <w:sz w:val="24"/>
          <w:szCs w:val="24"/>
        </w:rPr>
        <w:t>å</w:t>
      </w:r>
      <w:r w:rsidRPr="007D45F1">
        <w:rPr>
          <w:sz w:val="24"/>
          <w:szCs w:val="24"/>
        </w:rPr>
        <w:t>virkede ikke atenolols farmakokinetikf.</w:t>
      </w:r>
    </w:p>
    <w:p w14:paraId="0415B8F3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0650005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D45F1">
        <w:rPr>
          <w:sz w:val="24"/>
          <w:szCs w:val="24"/>
          <w:u w:val="single"/>
        </w:rPr>
        <w:t>Aktivt kul</w:t>
      </w:r>
    </w:p>
    <w:p w14:paraId="4DBE8D11" w14:textId="77777777" w:rsidR="005555A4" w:rsidRPr="007D45F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7D45F1">
        <w:rPr>
          <w:sz w:val="24"/>
          <w:szCs w:val="24"/>
        </w:rPr>
        <w:t>Administration af aktivt kul neds</w:t>
      </w:r>
      <w:r w:rsidRPr="007D45F1">
        <w:rPr>
          <w:rFonts w:hint="eastAsia"/>
          <w:sz w:val="24"/>
          <w:szCs w:val="24"/>
        </w:rPr>
        <w:t>æ</w:t>
      </w:r>
      <w:r w:rsidRPr="007D45F1">
        <w:rPr>
          <w:sz w:val="24"/>
          <w:szCs w:val="24"/>
        </w:rPr>
        <w:t>tter apixaban-eksponering (se pkt. 4.9).</w:t>
      </w:r>
    </w:p>
    <w:p w14:paraId="2236A96F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60EBC27" w14:textId="0D09E4C4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</w:r>
      <w:r w:rsidR="000B6798">
        <w:rPr>
          <w:b/>
          <w:sz w:val="24"/>
          <w:szCs w:val="24"/>
        </w:rPr>
        <w:t>Fertilitet, g</w:t>
      </w:r>
      <w:r>
        <w:rPr>
          <w:b/>
          <w:sz w:val="24"/>
          <w:szCs w:val="24"/>
        </w:rPr>
        <w:t>raviditet og amning</w:t>
      </w:r>
    </w:p>
    <w:p w14:paraId="1E54D9D2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83502DD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CDF">
        <w:rPr>
          <w:sz w:val="24"/>
          <w:szCs w:val="24"/>
          <w:u w:val="single"/>
        </w:rPr>
        <w:t>Graviditet</w:t>
      </w:r>
    </w:p>
    <w:p w14:paraId="64BBAD40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84CDF">
        <w:rPr>
          <w:sz w:val="24"/>
          <w:szCs w:val="24"/>
        </w:rPr>
        <w:t>Der foreligger ingen data om brugen af apixaban hos gravide kvinder. Dyrefors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g har hverken vist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direkte eller indirekte skadelige virkninger med hensyn til reproduktionstoksicitet (se pkt. 5.3). For en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sikkerheds skyld b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r apixaban undg</w:t>
      </w:r>
      <w:r w:rsidRPr="00C84CDF">
        <w:rPr>
          <w:rFonts w:hint="eastAsia"/>
          <w:sz w:val="24"/>
          <w:szCs w:val="24"/>
        </w:rPr>
        <w:t>å</w:t>
      </w:r>
      <w:r w:rsidRPr="00C84CDF">
        <w:rPr>
          <w:sz w:val="24"/>
          <w:szCs w:val="24"/>
        </w:rPr>
        <w:t>s under graviditeten.</w:t>
      </w:r>
    </w:p>
    <w:p w14:paraId="05B4251C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B00590B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CDF">
        <w:rPr>
          <w:sz w:val="24"/>
          <w:szCs w:val="24"/>
          <w:u w:val="single"/>
        </w:rPr>
        <w:t>Amning</w:t>
      </w:r>
    </w:p>
    <w:p w14:paraId="0764EBD8" w14:textId="5065F78F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84CDF">
        <w:rPr>
          <w:sz w:val="24"/>
          <w:szCs w:val="24"/>
        </w:rPr>
        <w:t>Det vides ikke om apixaban eller dets metabolitter udskilles i moderm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lken. Tilg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ngelige data fra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dyrefors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g har vist, at apixaban udskilles i m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lk (se pkt. 5.3). En risiko for det ammende barn kan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ikke udelukkes.</w:t>
      </w:r>
    </w:p>
    <w:p w14:paraId="72D6FD8A" w14:textId="77777777" w:rsidR="009B225F" w:rsidRPr="00C84CDF" w:rsidRDefault="009B225F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5B85FDC" w14:textId="6634D2CA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84CDF">
        <w:rPr>
          <w:sz w:val="24"/>
          <w:szCs w:val="24"/>
        </w:rPr>
        <w:t>Der b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r tr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ffes beslutning</w:t>
      </w:r>
      <w:r w:rsidR="007F521C">
        <w:rPr>
          <w:sz w:val="24"/>
          <w:szCs w:val="24"/>
        </w:rPr>
        <w:t xml:space="preserve"> om,</w:t>
      </w:r>
      <w:r w:rsidRPr="00C84CDF">
        <w:rPr>
          <w:sz w:val="24"/>
          <w:szCs w:val="24"/>
        </w:rPr>
        <w:t xml:space="preserve"> hvorvidt amning skal oph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 xml:space="preserve">re eller </w:t>
      </w:r>
      <w:r w:rsidR="00510592">
        <w:rPr>
          <w:sz w:val="24"/>
          <w:szCs w:val="24"/>
        </w:rPr>
        <w:t xml:space="preserve">om </w:t>
      </w:r>
      <w:r w:rsidRPr="00C84CDF">
        <w:rPr>
          <w:sz w:val="24"/>
          <w:szCs w:val="24"/>
        </w:rPr>
        <w:t>at oph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re/frav</w:t>
      </w:r>
      <w:r w:rsidRPr="00C84CDF">
        <w:rPr>
          <w:rFonts w:hint="eastAsia"/>
          <w:sz w:val="24"/>
          <w:szCs w:val="24"/>
        </w:rPr>
        <w:t>æ</w:t>
      </w:r>
      <w:r w:rsidRPr="00C84CDF">
        <w:rPr>
          <w:sz w:val="24"/>
          <w:szCs w:val="24"/>
        </w:rPr>
        <w:t>lge apixaban-behandling,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idet der tages h</w:t>
      </w:r>
      <w:r w:rsidRPr="00C84CDF">
        <w:rPr>
          <w:rFonts w:hint="eastAsia"/>
          <w:sz w:val="24"/>
          <w:szCs w:val="24"/>
        </w:rPr>
        <w:t>ø</w:t>
      </w:r>
      <w:r w:rsidRPr="00C84CDF">
        <w:rPr>
          <w:sz w:val="24"/>
          <w:szCs w:val="24"/>
        </w:rPr>
        <w:t>jde for fordelene ved amning for barnet i forhold til den terapeutiske fordel for</w:t>
      </w:r>
      <w:r>
        <w:rPr>
          <w:sz w:val="24"/>
          <w:szCs w:val="24"/>
        </w:rPr>
        <w:t xml:space="preserve"> </w:t>
      </w:r>
      <w:r w:rsidRPr="00C84CDF">
        <w:rPr>
          <w:sz w:val="24"/>
          <w:szCs w:val="24"/>
        </w:rPr>
        <w:t>moderen.</w:t>
      </w:r>
    </w:p>
    <w:p w14:paraId="4D426312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6DF95D0" w14:textId="77777777" w:rsidR="005555A4" w:rsidRPr="00C84CDF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84CDF">
        <w:rPr>
          <w:sz w:val="24"/>
          <w:szCs w:val="24"/>
          <w:u w:val="single"/>
        </w:rPr>
        <w:t>Fertilitet</w:t>
      </w:r>
    </w:p>
    <w:p w14:paraId="4A831218" w14:textId="77777777" w:rsidR="005555A4" w:rsidRPr="00C84CDF" w:rsidRDefault="005555A4" w:rsidP="005555A4">
      <w:pPr>
        <w:tabs>
          <w:tab w:val="left" w:pos="851"/>
        </w:tabs>
        <w:ind w:left="851"/>
        <w:rPr>
          <w:iCs/>
          <w:sz w:val="24"/>
          <w:szCs w:val="24"/>
        </w:rPr>
      </w:pPr>
      <w:r w:rsidRPr="00C84CDF">
        <w:rPr>
          <w:iCs/>
          <w:sz w:val="24"/>
          <w:szCs w:val="24"/>
        </w:rPr>
        <w:t>Fors</w:t>
      </w:r>
      <w:r w:rsidRPr="00C84CDF">
        <w:rPr>
          <w:rFonts w:hint="eastAsia"/>
          <w:iCs/>
          <w:sz w:val="24"/>
          <w:szCs w:val="24"/>
        </w:rPr>
        <w:t>ø</w:t>
      </w:r>
      <w:r w:rsidRPr="00C84CDF">
        <w:rPr>
          <w:iCs/>
          <w:sz w:val="24"/>
          <w:szCs w:val="24"/>
        </w:rPr>
        <w:t>g p</w:t>
      </w:r>
      <w:r w:rsidRPr="00C84CDF">
        <w:rPr>
          <w:rFonts w:hint="eastAsia"/>
          <w:iCs/>
          <w:sz w:val="24"/>
          <w:szCs w:val="24"/>
        </w:rPr>
        <w:t>å</w:t>
      </w:r>
      <w:r w:rsidRPr="00C84CDF">
        <w:rPr>
          <w:iCs/>
          <w:sz w:val="24"/>
          <w:szCs w:val="24"/>
        </w:rPr>
        <w:t xml:space="preserve"> dyr der blev doseret med apixaban viste ingen effekt p</w:t>
      </w:r>
      <w:r w:rsidRPr="00C84CDF">
        <w:rPr>
          <w:rFonts w:hint="eastAsia"/>
          <w:iCs/>
          <w:sz w:val="24"/>
          <w:szCs w:val="24"/>
        </w:rPr>
        <w:t>å</w:t>
      </w:r>
      <w:r w:rsidRPr="00C84CDF">
        <w:rPr>
          <w:iCs/>
          <w:sz w:val="24"/>
          <w:szCs w:val="24"/>
        </w:rPr>
        <w:t xml:space="preserve"> fertiliteten. (se pkt. 5.3).</w:t>
      </w:r>
    </w:p>
    <w:p w14:paraId="215A1224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776A661" w14:textId="408E2116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  <w:t xml:space="preserve">Virkning på evnen til at føre motorkøretøj </w:t>
      </w:r>
      <w:r w:rsidR="000B6798">
        <w:rPr>
          <w:b/>
          <w:sz w:val="24"/>
          <w:szCs w:val="24"/>
        </w:rPr>
        <w:t>og</w:t>
      </w:r>
      <w:r>
        <w:rPr>
          <w:b/>
          <w:sz w:val="24"/>
          <w:szCs w:val="24"/>
        </w:rPr>
        <w:t xml:space="preserve"> betjene maskiner</w:t>
      </w:r>
    </w:p>
    <w:p w14:paraId="3DD98CAA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5DF61CCA" w14:textId="77777777" w:rsidR="005555A4" w:rsidRPr="002124DA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2124DA">
        <w:rPr>
          <w:sz w:val="24"/>
          <w:szCs w:val="24"/>
        </w:rPr>
        <w:t>Apixaban påvirker ikke eller kun i ubetydelig grad evnen til at føre motorkøretøj og betjene maskiner.</w:t>
      </w:r>
    </w:p>
    <w:p w14:paraId="45BB52B7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E610E72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  <w:t>Bivirkninger</w:t>
      </w:r>
    </w:p>
    <w:p w14:paraId="2C740EB2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B648FFD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0361">
        <w:rPr>
          <w:sz w:val="24"/>
          <w:szCs w:val="24"/>
          <w:u w:val="single"/>
        </w:rPr>
        <w:t>Sammendrag af sikkerhedsprofilen</w:t>
      </w:r>
    </w:p>
    <w:p w14:paraId="5BF4C822" w14:textId="38E97BCB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Sikkerheden ved apixaban er unders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 xml:space="preserve">gt i </w:t>
      </w:r>
      <w:r w:rsidR="00EE6F13">
        <w:rPr>
          <w:sz w:val="24"/>
          <w:szCs w:val="24"/>
        </w:rPr>
        <w:t>4</w:t>
      </w:r>
      <w:r w:rsidRPr="002A0361">
        <w:rPr>
          <w:sz w:val="24"/>
          <w:szCs w:val="24"/>
        </w:rPr>
        <w:t xml:space="preserve"> kliniske fase-III-studier med flere end </w:t>
      </w:r>
      <w:r w:rsidR="00C50A77">
        <w:rPr>
          <w:sz w:val="24"/>
          <w:szCs w:val="24"/>
        </w:rPr>
        <w:t>15</w:t>
      </w:r>
      <w:r w:rsidRPr="002A0361">
        <w:rPr>
          <w:sz w:val="24"/>
          <w:szCs w:val="24"/>
        </w:rPr>
        <w:t>.000</w:t>
      </w:r>
      <w:r w:rsidR="00C50A77">
        <w:rPr>
          <w:sz w:val="24"/>
          <w:szCs w:val="24"/>
        </w:rPr>
        <w:t xml:space="preserve"> patienter:</w:t>
      </w:r>
      <w:r w:rsidRPr="002A0361">
        <w:rPr>
          <w:sz w:val="24"/>
          <w:szCs w:val="24"/>
        </w:rPr>
        <w:t xml:space="preserve"> </w:t>
      </w:r>
      <w:r w:rsidR="00C50A77">
        <w:rPr>
          <w:sz w:val="24"/>
          <w:szCs w:val="24"/>
        </w:rPr>
        <w:t>F</w:t>
      </w:r>
      <w:r w:rsidRPr="002A0361">
        <w:rPr>
          <w:sz w:val="24"/>
          <w:szCs w:val="24"/>
        </w:rPr>
        <w:t>lere end 11.000 patienter i NVAF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 og flere end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4.000 patienter i VTE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behandlingsstudierne (VTEt) med en gennemsnitlig total eksponering p</w:t>
      </w:r>
      <w:r w:rsidRPr="002A0361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henholdsvis 1,7 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>r og 221 dage (se pkt. 5.1).</w:t>
      </w:r>
    </w:p>
    <w:p w14:paraId="58AE977E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CF6A021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Almindelige bivirkninger var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dning, blodudtr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dning, epistaxis og h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matom (se tabel 2 for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bivirkningsprofil og hyppighed efter indikation).</w:t>
      </w:r>
    </w:p>
    <w:p w14:paraId="5C69E648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02947BD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I NVAF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 var den samlede bivirkningsfrekvens relateret til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pga. apixaban 24,3 % i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apixaban versus warfarin studiet og 9,6 % i 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>acetylsalicylsyrestudiet. I apixaban versus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warfarinstudiet var incidensen af </w:t>
      </w:r>
      <w:proofErr w:type="gramStart"/>
      <w:r w:rsidRPr="002A0361">
        <w:rPr>
          <w:sz w:val="24"/>
          <w:szCs w:val="24"/>
        </w:rPr>
        <w:t>ISTH major</w:t>
      </w:r>
      <w:proofErr w:type="gramEnd"/>
      <w:r w:rsidRPr="002A0361">
        <w:rPr>
          <w:sz w:val="24"/>
          <w:szCs w:val="24"/>
        </w:rPr>
        <w:t xml:space="preserve"> gastrointestinal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 xml:space="preserve">dning (inklusive 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vre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gastrointestinal, nedre gastrointestinal og rektal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dning) 0,76 %/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 xml:space="preserve">r med apixaban. Incidensen af </w:t>
      </w:r>
      <w:proofErr w:type="gramStart"/>
      <w:r w:rsidRPr="002A0361">
        <w:rPr>
          <w:sz w:val="24"/>
          <w:szCs w:val="24"/>
        </w:rPr>
        <w:t>ISTH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major</w:t>
      </w:r>
      <w:proofErr w:type="gramEnd"/>
      <w:r w:rsidRPr="002A0361">
        <w:rPr>
          <w:sz w:val="24"/>
          <w:szCs w:val="24"/>
        </w:rPr>
        <w:t xml:space="preserve"> intraokul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r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var 0,18 %/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>r med apixaban.</w:t>
      </w:r>
    </w:p>
    <w:p w14:paraId="0AB1E179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523A131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I VTEt</w:t>
      </w:r>
      <w:r w:rsidRPr="002A0361">
        <w:rPr>
          <w:rFonts w:hint="eastAsia"/>
          <w:sz w:val="24"/>
          <w:szCs w:val="24"/>
        </w:rPr>
        <w:t>‑</w:t>
      </w:r>
      <w:r w:rsidRPr="002A0361">
        <w:rPr>
          <w:sz w:val="24"/>
          <w:szCs w:val="24"/>
        </w:rPr>
        <w:t>studierne var den samlede bivirkningsfrekvens relateret til bl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dning pga. apixaban 15,6 % i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 xml:space="preserve">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 xml:space="preserve">enoxaparin/warfarinstudiet og 13,3 % i apixaban- </w:t>
      </w:r>
      <w:r w:rsidRPr="002A0361">
        <w:rPr>
          <w:i/>
          <w:iCs/>
          <w:sz w:val="24"/>
          <w:szCs w:val="24"/>
        </w:rPr>
        <w:t xml:space="preserve">versus </w:t>
      </w:r>
      <w:r w:rsidRPr="002A0361">
        <w:rPr>
          <w:sz w:val="24"/>
          <w:szCs w:val="24"/>
        </w:rPr>
        <w:t>placebostudiet (se pkt. 5.1).</w:t>
      </w:r>
    </w:p>
    <w:p w14:paraId="22EBC485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9DEF57D" w14:textId="77777777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A0361">
        <w:rPr>
          <w:sz w:val="24"/>
          <w:szCs w:val="24"/>
          <w:u w:val="single"/>
        </w:rPr>
        <w:t>Bivirkningstabel</w:t>
      </w:r>
    </w:p>
    <w:p w14:paraId="097C87B7" w14:textId="22540E03" w:rsidR="005555A4" w:rsidRPr="002A036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2A0361">
        <w:rPr>
          <w:sz w:val="24"/>
          <w:szCs w:val="24"/>
        </w:rPr>
        <w:t>Tabel 2 viser bivirkningerne anf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>rt under systemorganklasse og hyppighed under anvendelse af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f</w:t>
      </w:r>
      <w:r w:rsidRPr="002A0361">
        <w:rPr>
          <w:rFonts w:hint="eastAsia"/>
          <w:sz w:val="24"/>
          <w:szCs w:val="24"/>
        </w:rPr>
        <w:t>ø</w:t>
      </w:r>
      <w:r w:rsidRPr="002A0361">
        <w:rPr>
          <w:sz w:val="24"/>
          <w:szCs w:val="24"/>
        </w:rPr>
        <w:t xml:space="preserve">lgende kategorier: </w:t>
      </w:r>
      <w:r>
        <w:rPr>
          <w:sz w:val="24"/>
          <w:szCs w:val="24"/>
        </w:rPr>
        <w:t>M</w:t>
      </w:r>
      <w:r w:rsidRPr="002A0361">
        <w:rPr>
          <w:sz w:val="24"/>
          <w:szCs w:val="24"/>
        </w:rPr>
        <w:t>eget almindelig 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1/10); almindelig 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1/100 til &lt; 10); ikke almindelig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1/1.000 til &lt; 1/100); sj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lden (</w:t>
      </w:r>
      <w:r w:rsidRPr="002A0361">
        <w:rPr>
          <w:rFonts w:hint="eastAsia"/>
          <w:sz w:val="24"/>
          <w:szCs w:val="24"/>
        </w:rPr>
        <w:t>≥</w:t>
      </w:r>
      <w:r w:rsidRPr="002A0361">
        <w:rPr>
          <w:sz w:val="24"/>
          <w:szCs w:val="24"/>
        </w:rPr>
        <w:t xml:space="preserve"> 1/10.000 til &lt; 1/1.000); meget sj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lden (&lt; 1/10.000); ikke kendt (kan</w:t>
      </w:r>
      <w:r>
        <w:rPr>
          <w:sz w:val="24"/>
          <w:szCs w:val="24"/>
        </w:rPr>
        <w:t xml:space="preserve"> </w:t>
      </w:r>
      <w:r w:rsidRPr="002A0361">
        <w:rPr>
          <w:sz w:val="24"/>
          <w:szCs w:val="24"/>
        </w:rPr>
        <w:t>ikke estimeres ud fra forh</w:t>
      </w:r>
      <w:r w:rsidRPr="002A0361">
        <w:rPr>
          <w:rFonts w:hint="eastAsia"/>
          <w:sz w:val="24"/>
          <w:szCs w:val="24"/>
        </w:rPr>
        <w:t>å</w:t>
      </w:r>
      <w:r w:rsidRPr="002A0361">
        <w:rPr>
          <w:sz w:val="24"/>
          <w:szCs w:val="24"/>
        </w:rPr>
        <w:t>ndenv</w:t>
      </w:r>
      <w:r w:rsidRPr="002A0361">
        <w:rPr>
          <w:rFonts w:hint="eastAsia"/>
          <w:sz w:val="24"/>
          <w:szCs w:val="24"/>
        </w:rPr>
        <w:t>æ</w:t>
      </w:r>
      <w:r w:rsidRPr="002A0361">
        <w:rPr>
          <w:sz w:val="24"/>
          <w:szCs w:val="24"/>
        </w:rPr>
        <w:t>rende data) for henholdsvis NVAF og VTEt.</w:t>
      </w:r>
    </w:p>
    <w:p w14:paraId="0BF78657" w14:textId="1D458F00" w:rsidR="00E642FF" w:rsidRDefault="00E642F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108BB7DD" w14:textId="77777777" w:rsidR="005555A4" w:rsidRDefault="005555A4" w:rsidP="005555A4">
      <w:pPr>
        <w:rPr>
          <w:sz w:val="22"/>
          <w:szCs w:val="22"/>
          <w:u w:val="single"/>
        </w:rPr>
      </w:pPr>
    </w:p>
    <w:p w14:paraId="31E96384" w14:textId="729603B4" w:rsidR="005555A4" w:rsidRDefault="005555A4" w:rsidP="005555A4">
      <w:pPr>
        <w:rPr>
          <w:b/>
          <w:bCs/>
          <w:sz w:val="22"/>
          <w:szCs w:val="22"/>
        </w:rPr>
      </w:pPr>
      <w:r w:rsidRPr="0044521A">
        <w:rPr>
          <w:b/>
          <w:bCs/>
          <w:sz w:val="22"/>
          <w:szCs w:val="22"/>
        </w:rPr>
        <w:t>Tabel 2: Bivirkningstabel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685"/>
        <w:gridCol w:w="3265"/>
      </w:tblGrid>
      <w:tr w:rsidR="00E642FF" w:rsidRPr="00E642FF" w14:paraId="22D06FFE" w14:textId="77777777" w:rsidTr="00735396">
        <w:trPr>
          <w:trHeight w:val="1189"/>
          <w:tblHeader/>
          <w:jc w:val="center"/>
        </w:trPr>
        <w:tc>
          <w:tcPr>
            <w:tcW w:w="3823" w:type="dxa"/>
          </w:tcPr>
          <w:p w14:paraId="78CABB7F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Systemorganklasse </w:t>
            </w:r>
          </w:p>
        </w:tc>
        <w:tc>
          <w:tcPr>
            <w:tcW w:w="3685" w:type="dxa"/>
          </w:tcPr>
          <w:p w14:paraId="1487F97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49" w:lineRule="auto"/>
              <w:ind w:left="193" w:right="185"/>
              <w:jc w:val="center"/>
              <w:rPr>
                <w:rFonts w:ascii="Times New Roman" w:hAnsi="Times New Roman" w:cs="Times New Roman"/>
                <w:b/>
                <w:lang w:val="da-DK"/>
              </w:rPr>
            </w:pPr>
            <w:r w:rsidRPr="00E642FF">
              <w:rPr>
                <w:rFonts w:ascii="Times New Roman" w:hAnsi="Times New Roman" w:cs="Times New Roman"/>
                <w:b/>
                <w:w w:val="105"/>
                <w:lang w:val="da-DK"/>
              </w:rPr>
              <w:t>Forebyggelse af apopleksi og systemisk emboli hos voksne patienter med NVAF, med en eller flere risikofaktorer (NVAF)</w:t>
            </w:r>
          </w:p>
        </w:tc>
        <w:tc>
          <w:tcPr>
            <w:tcW w:w="3265" w:type="dxa"/>
          </w:tcPr>
          <w:p w14:paraId="3F7912B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49" w:lineRule="auto"/>
              <w:ind w:left="114" w:right="101" w:hanging="2"/>
              <w:jc w:val="center"/>
              <w:rPr>
                <w:rFonts w:ascii="Times New Roman" w:hAnsi="Times New Roman" w:cs="Times New Roman"/>
                <w:b/>
                <w:lang w:val="da-DK"/>
              </w:rPr>
            </w:pPr>
            <w:r w:rsidRPr="00E642FF">
              <w:rPr>
                <w:rFonts w:ascii="Times New Roman" w:hAnsi="Times New Roman" w:cs="Times New Roman"/>
                <w:b/>
                <w:w w:val="105"/>
                <w:lang w:val="da-DK"/>
              </w:rPr>
              <w:t>Behandling af DVT og LE og forebyggelse af recidiverende DVT og LE (VTEt)</w:t>
            </w:r>
          </w:p>
        </w:tc>
      </w:tr>
      <w:tr w:rsidR="00E642FF" w:rsidRPr="00E642FF" w14:paraId="131D1C43" w14:textId="77777777" w:rsidTr="00735396">
        <w:trPr>
          <w:trHeight w:val="238"/>
          <w:jc w:val="center"/>
        </w:trPr>
        <w:tc>
          <w:tcPr>
            <w:tcW w:w="10773" w:type="dxa"/>
            <w:gridSpan w:val="3"/>
          </w:tcPr>
          <w:p w14:paraId="316537D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Blod og lymfesystem</w:t>
            </w:r>
          </w:p>
        </w:tc>
      </w:tr>
      <w:tr w:rsidR="00E642FF" w:rsidRPr="00E642FF" w14:paraId="0BB68968" w14:textId="77777777" w:rsidTr="00735396">
        <w:trPr>
          <w:trHeight w:val="237"/>
          <w:jc w:val="center"/>
        </w:trPr>
        <w:tc>
          <w:tcPr>
            <w:tcW w:w="3823" w:type="dxa"/>
          </w:tcPr>
          <w:p w14:paraId="5ED1FD4C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Anæmi</w:t>
            </w:r>
          </w:p>
        </w:tc>
        <w:tc>
          <w:tcPr>
            <w:tcW w:w="3685" w:type="dxa"/>
          </w:tcPr>
          <w:p w14:paraId="38EF26F9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89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49B6FA8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05C13A4D" w14:textId="77777777" w:rsidTr="00735396">
        <w:trPr>
          <w:trHeight w:val="237"/>
          <w:jc w:val="center"/>
        </w:trPr>
        <w:tc>
          <w:tcPr>
            <w:tcW w:w="3823" w:type="dxa"/>
          </w:tcPr>
          <w:p w14:paraId="74C2054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Trombocytopeni</w:t>
            </w:r>
          </w:p>
        </w:tc>
        <w:tc>
          <w:tcPr>
            <w:tcW w:w="3685" w:type="dxa"/>
          </w:tcPr>
          <w:p w14:paraId="5250DB2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02F4D5F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0100FABD" w14:textId="77777777" w:rsidTr="00735396">
        <w:trPr>
          <w:trHeight w:val="337"/>
          <w:jc w:val="center"/>
        </w:trPr>
        <w:tc>
          <w:tcPr>
            <w:tcW w:w="10773" w:type="dxa"/>
            <w:gridSpan w:val="3"/>
          </w:tcPr>
          <w:p w14:paraId="60E66015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Immunsystemet</w:t>
            </w:r>
          </w:p>
        </w:tc>
      </w:tr>
      <w:tr w:rsidR="00E642FF" w:rsidRPr="00E642FF" w14:paraId="534EC522" w14:textId="77777777" w:rsidTr="00735396">
        <w:trPr>
          <w:trHeight w:val="475"/>
          <w:jc w:val="center"/>
        </w:trPr>
        <w:tc>
          <w:tcPr>
            <w:tcW w:w="3823" w:type="dxa"/>
          </w:tcPr>
          <w:p w14:paraId="1D9FC52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38" w:lineRule="exact"/>
              <w:ind w:right="99"/>
              <w:rPr>
                <w:rFonts w:ascii="Times New Roman" w:hAnsi="Times New Roman" w:cs="Times New Roman"/>
                <w:lang w:val="da-DK"/>
              </w:rPr>
            </w:pPr>
            <w:r w:rsidRPr="00E642FF">
              <w:rPr>
                <w:rFonts w:ascii="Times New Roman" w:hAnsi="Times New Roman" w:cs="Times New Roman"/>
                <w:w w:val="105"/>
                <w:lang w:val="da-DK"/>
              </w:rPr>
              <w:t>Overfølsomhed, allergisk ødem og anafylaksi</w:t>
            </w:r>
          </w:p>
        </w:tc>
        <w:tc>
          <w:tcPr>
            <w:tcW w:w="3685" w:type="dxa"/>
          </w:tcPr>
          <w:p w14:paraId="155C491C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106D7C85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4BEFB8ED" w14:textId="77777777" w:rsidTr="00735396">
        <w:trPr>
          <w:trHeight w:val="234"/>
          <w:jc w:val="center"/>
        </w:trPr>
        <w:tc>
          <w:tcPr>
            <w:tcW w:w="3823" w:type="dxa"/>
          </w:tcPr>
          <w:p w14:paraId="0FED7E2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Pruritus</w:t>
            </w:r>
          </w:p>
        </w:tc>
        <w:tc>
          <w:tcPr>
            <w:tcW w:w="3685" w:type="dxa"/>
          </w:tcPr>
          <w:p w14:paraId="250CB92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74285FCA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 *</w:t>
            </w:r>
          </w:p>
        </w:tc>
      </w:tr>
      <w:tr w:rsidR="00E642FF" w:rsidRPr="00E642FF" w14:paraId="23D43772" w14:textId="77777777" w:rsidTr="00735396">
        <w:trPr>
          <w:trHeight w:val="234"/>
          <w:jc w:val="center"/>
        </w:trPr>
        <w:tc>
          <w:tcPr>
            <w:tcW w:w="3823" w:type="dxa"/>
          </w:tcPr>
          <w:p w14:paraId="46962F5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Angioødem</w:t>
            </w:r>
          </w:p>
        </w:tc>
        <w:tc>
          <w:tcPr>
            <w:tcW w:w="3685" w:type="dxa"/>
          </w:tcPr>
          <w:p w14:paraId="0AA3153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90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kendt</w:t>
            </w:r>
          </w:p>
        </w:tc>
        <w:tc>
          <w:tcPr>
            <w:tcW w:w="3265" w:type="dxa"/>
          </w:tcPr>
          <w:p w14:paraId="2D72AFE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kendt</w:t>
            </w:r>
          </w:p>
        </w:tc>
      </w:tr>
      <w:tr w:rsidR="00E642FF" w:rsidRPr="00E642FF" w14:paraId="3C01246D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1F5FDF2B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Nervesystemet</w:t>
            </w:r>
          </w:p>
        </w:tc>
      </w:tr>
      <w:tr w:rsidR="00E642FF" w:rsidRPr="00E642FF" w14:paraId="373EE107" w14:textId="77777777" w:rsidTr="00735396">
        <w:trPr>
          <w:trHeight w:val="301"/>
          <w:jc w:val="center"/>
        </w:trPr>
        <w:tc>
          <w:tcPr>
            <w:tcW w:w="3823" w:type="dxa"/>
          </w:tcPr>
          <w:p w14:paraId="12DF3F1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8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Hjerneblødning </w:t>
            </w:r>
            <w:r w:rsidRPr="00E642FF">
              <w:rPr>
                <w:rFonts w:ascii="Times New Roman" w:hAnsi="Times New Roman" w:cs="Times New Roman"/>
                <w:w w:val="105"/>
                <w:position w:val="9"/>
                <w:vertAlign w:val="superscript"/>
                <w:lang w:val="en-GB"/>
              </w:rPr>
              <w:t>†</w:t>
            </w:r>
          </w:p>
        </w:tc>
        <w:tc>
          <w:tcPr>
            <w:tcW w:w="3685" w:type="dxa"/>
          </w:tcPr>
          <w:p w14:paraId="198438DD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00863228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Sjælden</w:t>
            </w:r>
          </w:p>
        </w:tc>
      </w:tr>
      <w:tr w:rsidR="00E642FF" w:rsidRPr="00E642FF" w14:paraId="2A888696" w14:textId="77777777" w:rsidTr="00735396">
        <w:trPr>
          <w:trHeight w:val="339"/>
          <w:jc w:val="center"/>
        </w:trPr>
        <w:tc>
          <w:tcPr>
            <w:tcW w:w="10773" w:type="dxa"/>
            <w:gridSpan w:val="3"/>
          </w:tcPr>
          <w:p w14:paraId="024BA1BD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Øjne</w:t>
            </w:r>
          </w:p>
        </w:tc>
      </w:tr>
      <w:tr w:rsidR="00E642FF" w:rsidRPr="00E642FF" w14:paraId="73C222AD" w14:textId="77777777" w:rsidTr="00735396">
        <w:trPr>
          <w:trHeight w:val="475"/>
          <w:jc w:val="center"/>
        </w:trPr>
        <w:tc>
          <w:tcPr>
            <w:tcW w:w="3823" w:type="dxa"/>
          </w:tcPr>
          <w:p w14:paraId="529FE170" w14:textId="77777777" w:rsidR="00E642FF" w:rsidRPr="00E642FF" w:rsidRDefault="00E642FF" w:rsidP="00735396">
            <w:pPr>
              <w:pStyle w:val="TableParagraph"/>
              <w:spacing w:beforeLines="60" w:before="144" w:afterLines="60" w:after="144" w:line="238" w:lineRule="exact"/>
              <w:ind w:left="101"/>
              <w:rPr>
                <w:rFonts w:ascii="Times New Roman" w:hAnsi="Times New Roman" w:cs="Times New Roman"/>
                <w:lang w:val="da-DK"/>
              </w:rPr>
            </w:pPr>
            <w:r w:rsidRPr="00E642FF">
              <w:rPr>
                <w:rFonts w:ascii="Times New Roman" w:hAnsi="Times New Roman" w:cs="Times New Roman"/>
                <w:w w:val="105"/>
                <w:lang w:val="da-DK"/>
              </w:rPr>
              <w:t xml:space="preserve">Blødning I øjet (herunder konjunktival blødning) </w:t>
            </w:r>
          </w:p>
        </w:tc>
        <w:tc>
          <w:tcPr>
            <w:tcW w:w="3685" w:type="dxa"/>
          </w:tcPr>
          <w:p w14:paraId="5A987854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264D04E9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53801420" w14:textId="77777777" w:rsidTr="00735396">
        <w:trPr>
          <w:trHeight w:val="334"/>
          <w:jc w:val="center"/>
        </w:trPr>
        <w:tc>
          <w:tcPr>
            <w:tcW w:w="10773" w:type="dxa"/>
            <w:gridSpan w:val="3"/>
          </w:tcPr>
          <w:p w14:paraId="79B94459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Vaskulære sygdomme</w:t>
            </w:r>
          </w:p>
        </w:tc>
      </w:tr>
      <w:tr w:rsidR="00E642FF" w:rsidRPr="00E642FF" w14:paraId="1177C6B9" w14:textId="77777777" w:rsidTr="00735396">
        <w:trPr>
          <w:trHeight w:val="237"/>
          <w:jc w:val="center"/>
        </w:trPr>
        <w:tc>
          <w:tcPr>
            <w:tcW w:w="3823" w:type="dxa"/>
          </w:tcPr>
          <w:p w14:paraId="7390EAF6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Blødning, hæmatom</w:t>
            </w:r>
          </w:p>
        </w:tc>
        <w:tc>
          <w:tcPr>
            <w:tcW w:w="3685" w:type="dxa"/>
          </w:tcPr>
          <w:p w14:paraId="1992C95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89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2F41FC46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45651571" w14:textId="77777777" w:rsidTr="00735396">
        <w:trPr>
          <w:trHeight w:val="475"/>
          <w:jc w:val="center"/>
        </w:trPr>
        <w:tc>
          <w:tcPr>
            <w:tcW w:w="3823" w:type="dxa"/>
          </w:tcPr>
          <w:p w14:paraId="3B0F710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38" w:lineRule="exact"/>
              <w:ind w:left="101"/>
              <w:rPr>
                <w:rFonts w:ascii="Times New Roman" w:hAnsi="Times New Roman" w:cs="Times New Roman"/>
                <w:lang w:val="da-DK"/>
              </w:rPr>
            </w:pPr>
            <w:r w:rsidRPr="00E642FF">
              <w:rPr>
                <w:rFonts w:ascii="Times New Roman" w:hAnsi="Times New Roman" w:cs="Times New Roman"/>
                <w:w w:val="105"/>
                <w:lang w:val="da-DK"/>
              </w:rPr>
              <w:t>Hypotension (herunder hypotension i forbindelse med indgrebet)</w:t>
            </w:r>
          </w:p>
        </w:tc>
        <w:tc>
          <w:tcPr>
            <w:tcW w:w="3685" w:type="dxa"/>
          </w:tcPr>
          <w:p w14:paraId="5A6F56B5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7C5E36B1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34868A41" w14:textId="77777777" w:rsidTr="00735396">
        <w:trPr>
          <w:trHeight w:val="235"/>
          <w:jc w:val="center"/>
        </w:trPr>
        <w:tc>
          <w:tcPr>
            <w:tcW w:w="3823" w:type="dxa"/>
          </w:tcPr>
          <w:p w14:paraId="51F474A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Intra-abdominal blødning</w:t>
            </w:r>
          </w:p>
        </w:tc>
        <w:tc>
          <w:tcPr>
            <w:tcW w:w="3685" w:type="dxa"/>
          </w:tcPr>
          <w:p w14:paraId="2A2D0EE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93" w:right="18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1DA09526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kendt</w:t>
            </w:r>
          </w:p>
        </w:tc>
      </w:tr>
      <w:tr w:rsidR="00E642FF" w:rsidRPr="00E642FF" w14:paraId="50E30F9C" w14:textId="77777777" w:rsidTr="00735396">
        <w:trPr>
          <w:trHeight w:val="337"/>
          <w:jc w:val="center"/>
        </w:trPr>
        <w:tc>
          <w:tcPr>
            <w:tcW w:w="10773" w:type="dxa"/>
            <w:gridSpan w:val="3"/>
          </w:tcPr>
          <w:p w14:paraId="2872A2FA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Luftveje, thorax og mediastinum</w:t>
            </w:r>
          </w:p>
        </w:tc>
      </w:tr>
      <w:tr w:rsidR="00E642FF" w:rsidRPr="00E642FF" w14:paraId="38C46D77" w14:textId="77777777" w:rsidTr="00735396">
        <w:trPr>
          <w:trHeight w:val="238"/>
          <w:jc w:val="center"/>
        </w:trPr>
        <w:tc>
          <w:tcPr>
            <w:tcW w:w="3823" w:type="dxa"/>
          </w:tcPr>
          <w:p w14:paraId="31DAB5C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Epistaxis</w:t>
            </w:r>
          </w:p>
        </w:tc>
        <w:tc>
          <w:tcPr>
            <w:tcW w:w="3685" w:type="dxa"/>
          </w:tcPr>
          <w:p w14:paraId="2E7B7E0A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3" w:right="15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529EFFB4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69A823B1" w14:textId="77777777" w:rsidTr="00735396">
        <w:trPr>
          <w:trHeight w:val="237"/>
          <w:jc w:val="center"/>
        </w:trPr>
        <w:tc>
          <w:tcPr>
            <w:tcW w:w="3823" w:type="dxa"/>
          </w:tcPr>
          <w:p w14:paraId="62A8363C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Hæmoptyse</w:t>
            </w:r>
          </w:p>
        </w:tc>
        <w:tc>
          <w:tcPr>
            <w:tcW w:w="3685" w:type="dxa"/>
          </w:tcPr>
          <w:p w14:paraId="6A358AFD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2321FB0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0268E130" w14:textId="77777777" w:rsidTr="00735396">
        <w:trPr>
          <w:trHeight w:val="237"/>
          <w:jc w:val="center"/>
        </w:trPr>
        <w:tc>
          <w:tcPr>
            <w:tcW w:w="3823" w:type="dxa"/>
          </w:tcPr>
          <w:p w14:paraId="726E299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Blødning fra respirationsveje</w:t>
            </w:r>
          </w:p>
        </w:tc>
        <w:tc>
          <w:tcPr>
            <w:tcW w:w="3685" w:type="dxa"/>
          </w:tcPr>
          <w:p w14:paraId="073DB1F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Sjælden</w:t>
            </w:r>
          </w:p>
        </w:tc>
        <w:tc>
          <w:tcPr>
            <w:tcW w:w="3265" w:type="dxa"/>
          </w:tcPr>
          <w:p w14:paraId="64E00D3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Sjælden</w:t>
            </w:r>
          </w:p>
        </w:tc>
      </w:tr>
      <w:tr w:rsidR="00E642FF" w:rsidRPr="00E642FF" w14:paraId="17021C53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0C93A3DD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Mave-tarmkanalen</w:t>
            </w:r>
          </w:p>
        </w:tc>
      </w:tr>
      <w:tr w:rsidR="00E642FF" w:rsidRPr="00E642FF" w14:paraId="70417FBA" w14:textId="77777777" w:rsidTr="00735396">
        <w:trPr>
          <w:trHeight w:val="237"/>
          <w:jc w:val="center"/>
        </w:trPr>
        <w:tc>
          <w:tcPr>
            <w:tcW w:w="3823" w:type="dxa"/>
          </w:tcPr>
          <w:p w14:paraId="470547C0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Kvalme</w:t>
            </w:r>
          </w:p>
        </w:tc>
        <w:tc>
          <w:tcPr>
            <w:tcW w:w="3685" w:type="dxa"/>
          </w:tcPr>
          <w:p w14:paraId="309E76C4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4A3F0F79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52D1F8A3" w14:textId="77777777" w:rsidTr="00735396">
        <w:trPr>
          <w:trHeight w:val="238"/>
          <w:jc w:val="center"/>
        </w:trPr>
        <w:tc>
          <w:tcPr>
            <w:tcW w:w="3823" w:type="dxa"/>
          </w:tcPr>
          <w:p w14:paraId="1BCDFC8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lastRenderedPageBreak/>
              <w:t>Gastrointestinal blødning</w:t>
            </w:r>
          </w:p>
        </w:tc>
        <w:tc>
          <w:tcPr>
            <w:tcW w:w="3685" w:type="dxa"/>
          </w:tcPr>
          <w:p w14:paraId="485EA256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9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7186936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7AE8C13B" w14:textId="77777777" w:rsidTr="00735396">
        <w:trPr>
          <w:trHeight w:val="237"/>
          <w:jc w:val="center"/>
        </w:trPr>
        <w:tc>
          <w:tcPr>
            <w:tcW w:w="3823" w:type="dxa"/>
          </w:tcPr>
          <w:p w14:paraId="5C3C68C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 xml:space="preserve">  Blødning fra hæmorider </w:t>
            </w:r>
          </w:p>
        </w:tc>
        <w:tc>
          <w:tcPr>
            <w:tcW w:w="3685" w:type="dxa"/>
          </w:tcPr>
          <w:p w14:paraId="148D1CF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049C4AA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5D758572" w14:textId="77777777" w:rsidTr="00735396">
        <w:trPr>
          <w:trHeight w:val="237"/>
          <w:jc w:val="center"/>
        </w:trPr>
        <w:tc>
          <w:tcPr>
            <w:tcW w:w="3823" w:type="dxa"/>
          </w:tcPr>
          <w:p w14:paraId="4E49E919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Blødning i munden</w:t>
            </w:r>
          </w:p>
        </w:tc>
        <w:tc>
          <w:tcPr>
            <w:tcW w:w="3685" w:type="dxa"/>
          </w:tcPr>
          <w:p w14:paraId="048036E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45C62490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58A6513C" w14:textId="77777777" w:rsidTr="00735396">
        <w:trPr>
          <w:trHeight w:val="237"/>
          <w:jc w:val="center"/>
        </w:trPr>
        <w:tc>
          <w:tcPr>
            <w:tcW w:w="3823" w:type="dxa"/>
          </w:tcPr>
          <w:p w14:paraId="008D5E27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Hæmatokeksi</w:t>
            </w:r>
          </w:p>
        </w:tc>
        <w:tc>
          <w:tcPr>
            <w:tcW w:w="3685" w:type="dxa"/>
          </w:tcPr>
          <w:p w14:paraId="4A61BBA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3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226A0749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796F7D40" w14:textId="77777777" w:rsidTr="00735396">
        <w:trPr>
          <w:trHeight w:val="237"/>
          <w:jc w:val="center"/>
        </w:trPr>
        <w:tc>
          <w:tcPr>
            <w:tcW w:w="3823" w:type="dxa"/>
          </w:tcPr>
          <w:p w14:paraId="7F876334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Rektal blødning, gingival blødning</w:t>
            </w:r>
          </w:p>
        </w:tc>
        <w:tc>
          <w:tcPr>
            <w:tcW w:w="3685" w:type="dxa"/>
          </w:tcPr>
          <w:p w14:paraId="07F5BE20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9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798B8B64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215E4484" w14:textId="77777777" w:rsidTr="00735396">
        <w:trPr>
          <w:trHeight w:val="237"/>
          <w:jc w:val="center"/>
        </w:trPr>
        <w:tc>
          <w:tcPr>
            <w:tcW w:w="3823" w:type="dxa"/>
          </w:tcPr>
          <w:p w14:paraId="4524FF4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Retroperitoneal blødning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376135F5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1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Sjælden</w:t>
            </w:r>
          </w:p>
        </w:tc>
        <w:tc>
          <w:tcPr>
            <w:tcW w:w="3265" w:type="dxa"/>
            <w:tcBorders>
              <w:bottom w:val="single" w:sz="4" w:space="0" w:color="000000"/>
            </w:tcBorders>
          </w:tcPr>
          <w:p w14:paraId="275FCD9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kendt</w:t>
            </w:r>
          </w:p>
        </w:tc>
      </w:tr>
      <w:tr w:rsidR="00E642FF" w:rsidRPr="00E642FF" w14:paraId="402C9402" w14:textId="77777777" w:rsidTr="00735396">
        <w:trPr>
          <w:trHeight w:val="237"/>
          <w:jc w:val="center"/>
        </w:trPr>
        <w:tc>
          <w:tcPr>
            <w:tcW w:w="3823" w:type="dxa"/>
            <w:tcBorders>
              <w:right w:val="nil"/>
            </w:tcBorders>
          </w:tcPr>
          <w:p w14:paraId="387733B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Lever og galdeveje</w:t>
            </w:r>
          </w:p>
        </w:tc>
        <w:tc>
          <w:tcPr>
            <w:tcW w:w="6950" w:type="dxa"/>
            <w:gridSpan w:val="2"/>
            <w:tcBorders>
              <w:left w:val="nil"/>
            </w:tcBorders>
          </w:tcPr>
          <w:p w14:paraId="50073943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2FF" w:rsidRPr="00E642FF" w14:paraId="39C4D2CB" w14:textId="77777777" w:rsidTr="00735396">
        <w:trPr>
          <w:trHeight w:val="951"/>
          <w:jc w:val="center"/>
        </w:trPr>
        <w:tc>
          <w:tcPr>
            <w:tcW w:w="3823" w:type="dxa"/>
          </w:tcPr>
          <w:p w14:paraId="0936F44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47" w:lineRule="auto"/>
              <w:ind w:right="35"/>
              <w:rPr>
                <w:rFonts w:ascii="Times New Roman" w:hAnsi="Times New Roman" w:cs="Times New Roman"/>
                <w:lang w:val="da-DK"/>
              </w:rPr>
            </w:pPr>
            <w:r w:rsidRPr="00E642FF">
              <w:rPr>
                <w:rFonts w:ascii="Times New Roman" w:hAnsi="Times New Roman" w:cs="Times New Roman"/>
                <w:lang w:val="da-DK"/>
              </w:rPr>
              <w:t>Abnorme leverfunktionsprøver, forhøjet aspartataminotransferase, stigning i basisk phosphatase, forhøjet bilirubin i blodet</w:t>
            </w:r>
          </w:p>
        </w:tc>
        <w:tc>
          <w:tcPr>
            <w:tcW w:w="3685" w:type="dxa"/>
          </w:tcPr>
          <w:p w14:paraId="1C473D8A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90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74108B81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</w:tr>
      <w:tr w:rsidR="00E642FF" w:rsidRPr="00E642FF" w14:paraId="33E29AB6" w14:textId="77777777" w:rsidTr="00735396">
        <w:trPr>
          <w:trHeight w:val="237"/>
          <w:jc w:val="center"/>
        </w:trPr>
        <w:tc>
          <w:tcPr>
            <w:tcW w:w="3823" w:type="dxa"/>
          </w:tcPr>
          <w:p w14:paraId="4ED7843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Forhøjet gamma-glutamyltransferase</w:t>
            </w:r>
          </w:p>
        </w:tc>
        <w:tc>
          <w:tcPr>
            <w:tcW w:w="3685" w:type="dxa"/>
          </w:tcPr>
          <w:p w14:paraId="3CF752D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92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7731284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</w:tr>
      <w:tr w:rsidR="00E642FF" w:rsidRPr="00E642FF" w14:paraId="169F9267" w14:textId="77777777" w:rsidTr="00735396">
        <w:trPr>
          <w:trHeight w:val="237"/>
          <w:jc w:val="center"/>
        </w:trPr>
        <w:tc>
          <w:tcPr>
            <w:tcW w:w="3823" w:type="dxa"/>
          </w:tcPr>
          <w:p w14:paraId="1756021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Forhøjet alaninaminotransferase</w:t>
            </w:r>
          </w:p>
        </w:tc>
        <w:tc>
          <w:tcPr>
            <w:tcW w:w="3685" w:type="dxa"/>
          </w:tcPr>
          <w:p w14:paraId="599A5117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1025D66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</w:tr>
      <w:tr w:rsidR="00E642FF" w:rsidRPr="00E642FF" w14:paraId="221118A8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02C0307F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Hud og subkutane væv</w:t>
            </w:r>
          </w:p>
        </w:tc>
      </w:tr>
      <w:tr w:rsidR="00E642FF" w:rsidRPr="00E642FF" w14:paraId="048138F5" w14:textId="77777777" w:rsidTr="00735396">
        <w:trPr>
          <w:trHeight w:val="237"/>
          <w:jc w:val="center"/>
        </w:trPr>
        <w:tc>
          <w:tcPr>
            <w:tcW w:w="3823" w:type="dxa"/>
          </w:tcPr>
          <w:p w14:paraId="04EBB86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 xml:space="preserve">Hududslæt </w:t>
            </w:r>
          </w:p>
        </w:tc>
        <w:tc>
          <w:tcPr>
            <w:tcW w:w="3685" w:type="dxa"/>
          </w:tcPr>
          <w:p w14:paraId="620F24C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7A03F2A9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642FF">
              <w:rPr>
                <w:rFonts w:ascii="Times New Roman" w:hAnsi="Times New Roman" w:cs="Times New Roman"/>
                <w:lang w:val="en-GB"/>
              </w:rPr>
              <w:t>Almindelig</w:t>
            </w:r>
          </w:p>
        </w:tc>
      </w:tr>
      <w:tr w:rsidR="00E642FF" w:rsidRPr="00E642FF" w14:paraId="0D984EF0" w14:textId="77777777" w:rsidTr="00735396">
        <w:trPr>
          <w:trHeight w:val="237"/>
          <w:jc w:val="center"/>
        </w:trPr>
        <w:tc>
          <w:tcPr>
            <w:tcW w:w="3823" w:type="dxa"/>
          </w:tcPr>
          <w:p w14:paraId="6C72B05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Alopeci</w:t>
            </w:r>
          </w:p>
        </w:tc>
        <w:tc>
          <w:tcPr>
            <w:tcW w:w="3685" w:type="dxa"/>
          </w:tcPr>
          <w:p w14:paraId="06E419A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77B8F4E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 xml:space="preserve">Ikke almindelig </w:t>
            </w:r>
          </w:p>
        </w:tc>
      </w:tr>
      <w:tr w:rsidR="00E642FF" w:rsidRPr="00E642FF" w14:paraId="2BA53F83" w14:textId="77777777" w:rsidTr="00735396">
        <w:trPr>
          <w:trHeight w:val="237"/>
          <w:jc w:val="center"/>
        </w:trPr>
        <w:tc>
          <w:tcPr>
            <w:tcW w:w="3823" w:type="dxa"/>
          </w:tcPr>
          <w:p w14:paraId="2718FAF8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Erythema multiforme</w:t>
            </w:r>
          </w:p>
        </w:tc>
        <w:tc>
          <w:tcPr>
            <w:tcW w:w="3685" w:type="dxa"/>
          </w:tcPr>
          <w:p w14:paraId="0460D54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Meget sjælden</w:t>
            </w:r>
          </w:p>
        </w:tc>
        <w:tc>
          <w:tcPr>
            <w:tcW w:w="3265" w:type="dxa"/>
          </w:tcPr>
          <w:p w14:paraId="11E224AA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kendt</w:t>
            </w:r>
          </w:p>
        </w:tc>
      </w:tr>
      <w:tr w:rsidR="000B6798" w:rsidRPr="00E642FF" w14:paraId="625ECBDD" w14:textId="77777777" w:rsidTr="00735396">
        <w:trPr>
          <w:trHeight w:val="237"/>
          <w:jc w:val="center"/>
        </w:trPr>
        <w:tc>
          <w:tcPr>
            <w:tcW w:w="3823" w:type="dxa"/>
          </w:tcPr>
          <w:p w14:paraId="3AA95297" w14:textId="01D3CFB8" w:rsidR="000B6798" w:rsidRPr="00E642FF" w:rsidRDefault="000B6798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w w:val="105"/>
                <w:lang w:val="en-GB"/>
              </w:rPr>
            </w:pPr>
            <w:r>
              <w:rPr>
                <w:w w:val="105"/>
                <w:lang w:val="en-GB"/>
              </w:rPr>
              <w:t>Kutan. vaskulitis</w:t>
            </w:r>
          </w:p>
        </w:tc>
        <w:tc>
          <w:tcPr>
            <w:tcW w:w="3685" w:type="dxa"/>
          </w:tcPr>
          <w:p w14:paraId="0CD24539" w14:textId="6E7CE10D" w:rsidR="000B6798" w:rsidRPr="00E642FF" w:rsidRDefault="000B6798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kendt</w:t>
            </w:r>
          </w:p>
        </w:tc>
        <w:tc>
          <w:tcPr>
            <w:tcW w:w="3265" w:type="dxa"/>
          </w:tcPr>
          <w:p w14:paraId="79B6516D" w14:textId="0B9D3EFB" w:rsidR="000B6798" w:rsidRPr="00E642FF" w:rsidRDefault="000B6798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kendt</w:t>
            </w:r>
          </w:p>
        </w:tc>
      </w:tr>
      <w:tr w:rsidR="00E642FF" w:rsidRPr="00E642FF" w14:paraId="0B2E8D80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7D824F71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w w:val="105"/>
                <w:lang w:val="da-DK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da-DK"/>
              </w:rPr>
              <w:t>Knogler, led, muskler og bindevæv</w:t>
            </w:r>
          </w:p>
        </w:tc>
      </w:tr>
      <w:tr w:rsidR="00E642FF" w:rsidRPr="00E642FF" w14:paraId="5FDE83F5" w14:textId="77777777" w:rsidTr="00735396">
        <w:trPr>
          <w:trHeight w:val="237"/>
          <w:jc w:val="center"/>
        </w:trPr>
        <w:tc>
          <w:tcPr>
            <w:tcW w:w="3823" w:type="dxa"/>
          </w:tcPr>
          <w:p w14:paraId="13F72D4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Muskelblødning</w:t>
            </w:r>
          </w:p>
        </w:tc>
        <w:tc>
          <w:tcPr>
            <w:tcW w:w="3685" w:type="dxa"/>
          </w:tcPr>
          <w:p w14:paraId="0C901AF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Sjælden</w:t>
            </w:r>
          </w:p>
        </w:tc>
        <w:tc>
          <w:tcPr>
            <w:tcW w:w="3265" w:type="dxa"/>
          </w:tcPr>
          <w:p w14:paraId="0F663A7D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</w:tr>
      <w:tr w:rsidR="00E642FF" w:rsidRPr="00E642FF" w14:paraId="22534BA0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767930D5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Nyre og urinveje</w:t>
            </w:r>
          </w:p>
        </w:tc>
      </w:tr>
      <w:tr w:rsidR="00E642FF" w:rsidRPr="00E642FF" w14:paraId="682634E4" w14:textId="77777777" w:rsidTr="00735396">
        <w:trPr>
          <w:trHeight w:val="237"/>
          <w:jc w:val="center"/>
        </w:trPr>
        <w:tc>
          <w:tcPr>
            <w:tcW w:w="3823" w:type="dxa"/>
          </w:tcPr>
          <w:p w14:paraId="7088F07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Hæmaturi</w:t>
            </w:r>
          </w:p>
        </w:tc>
        <w:tc>
          <w:tcPr>
            <w:tcW w:w="3685" w:type="dxa"/>
          </w:tcPr>
          <w:p w14:paraId="507F1AE4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37378641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</w:tr>
      <w:tr w:rsidR="00E642FF" w:rsidRPr="00E642FF" w14:paraId="3FEA4F1E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1CC80165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b/>
                <w:i/>
                <w:w w:val="105"/>
                <w:lang w:val="da-DK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da-DK"/>
              </w:rPr>
              <w:t xml:space="preserve">  Det reprdoduktive system og mammae </w:t>
            </w:r>
          </w:p>
        </w:tc>
      </w:tr>
      <w:tr w:rsidR="00E642FF" w:rsidRPr="00E642FF" w14:paraId="34582E71" w14:textId="77777777" w:rsidTr="00735396">
        <w:trPr>
          <w:trHeight w:val="237"/>
          <w:jc w:val="center"/>
        </w:trPr>
        <w:tc>
          <w:tcPr>
            <w:tcW w:w="3823" w:type="dxa"/>
          </w:tcPr>
          <w:p w14:paraId="1AE9FA0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pt-PT"/>
              </w:rPr>
            </w:pPr>
            <w:r w:rsidRPr="00E642FF">
              <w:rPr>
                <w:rFonts w:ascii="Times New Roman" w:hAnsi="Times New Roman" w:cs="Times New Roman"/>
                <w:w w:val="105"/>
                <w:lang w:val="pt-PT"/>
              </w:rPr>
              <w:t>Abnorm vaginal blødning, urogenittal blødning</w:t>
            </w:r>
          </w:p>
        </w:tc>
        <w:tc>
          <w:tcPr>
            <w:tcW w:w="3685" w:type="dxa"/>
          </w:tcPr>
          <w:p w14:paraId="1D2AC1D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0C5BAF13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</w:tr>
      <w:tr w:rsidR="00E642FF" w:rsidRPr="00E642FF" w14:paraId="61D7F10E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35FA63EB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w w:val="105"/>
                <w:lang w:val="da-DK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da-DK"/>
              </w:rPr>
              <w:t>Almene symptomer og reaktioner på administrationsstedet</w:t>
            </w:r>
          </w:p>
        </w:tc>
      </w:tr>
      <w:tr w:rsidR="00E642FF" w:rsidRPr="00E642FF" w14:paraId="1E9CC7C4" w14:textId="77777777" w:rsidTr="00735396">
        <w:trPr>
          <w:trHeight w:val="237"/>
          <w:jc w:val="center"/>
        </w:trPr>
        <w:tc>
          <w:tcPr>
            <w:tcW w:w="3823" w:type="dxa"/>
          </w:tcPr>
          <w:p w14:paraId="34479940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Blødning fra administrationsstedet</w:t>
            </w:r>
          </w:p>
        </w:tc>
        <w:tc>
          <w:tcPr>
            <w:tcW w:w="3685" w:type="dxa"/>
          </w:tcPr>
          <w:p w14:paraId="39CF0D0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5734C600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</w:tr>
      <w:tr w:rsidR="00E642FF" w:rsidRPr="00E642FF" w14:paraId="7C99C5CA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7FA874E7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lastRenderedPageBreak/>
              <w:t>Undersøgelser</w:t>
            </w:r>
          </w:p>
        </w:tc>
      </w:tr>
      <w:tr w:rsidR="00E642FF" w:rsidRPr="00E642FF" w14:paraId="2565E5FB" w14:textId="77777777" w:rsidTr="00735396">
        <w:trPr>
          <w:trHeight w:val="237"/>
          <w:jc w:val="center"/>
        </w:trPr>
        <w:tc>
          <w:tcPr>
            <w:tcW w:w="3823" w:type="dxa"/>
          </w:tcPr>
          <w:p w14:paraId="3245CA99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 xml:space="preserve">Okkult positive blodprøve </w:t>
            </w:r>
          </w:p>
        </w:tc>
        <w:tc>
          <w:tcPr>
            <w:tcW w:w="3685" w:type="dxa"/>
          </w:tcPr>
          <w:p w14:paraId="3A7A1EEF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7A01780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</w:tr>
      <w:tr w:rsidR="00E642FF" w:rsidRPr="00E642FF" w14:paraId="6847AC14" w14:textId="77777777" w:rsidTr="00735396">
        <w:trPr>
          <w:trHeight w:val="338"/>
          <w:jc w:val="center"/>
        </w:trPr>
        <w:tc>
          <w:tcPr>
            <w:tcW w:w="10773" w:type="dxa"/>
            <w:gridSpan w:val="3"/>
          </w:tcPr>
          <w:p w14:paraId="51348E65" w14:textId="77777777" w:rsidR="00E642FF" w:rsidRPr="00E642FF" w:rsidRDefault="00E642FF" w:rsidP="00735396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b/>
                <w:i/>
                <w:w w:val="105"/>
                <w:lang w:val="en-GB"/>
              </w:rPr>
              <w:t>Traumer, forgiftninger og behandlingskomplikationer</w:t>
            </w:r>
          </w:p>
        </w:tc>
      </w:tr>
      <w:tr w:rsidR="00E642FF" w:rsidRPr="00E642FF" w14:paraId="37F688A2" w14:textId="77777777" w:rsidTr="00735396">
        <w:trPr>
          <w:trHeight w:val="237"/>
          <w:jc w:val="center"/>
        </w:trPr>
        <w:tc>
          <w:tcPr>
            <w:tcW w:w="3823" w:type="dxa"/>
          </w:tcPr>
          <w:p w14:paraId="20A170F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Blodudtrædning</w:t>
            </w:r>
          </w:p>
        </w:tc>
        <w:tc>
          <w:tcPr>
            <w:tcW w:w="3685" w:type="dxa"/>
          </w:tcPr>
          <w:p w14:paraId="6C780E5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  <w:tc>
          <w:tcPr>
            <w:tcW w:w="3265" w:type="dxa"/>
          </w:tcPr>
          <w:p w14:paraId="54CC2D66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Almindelig</w:t>
            </w:r>
          </w:p>
        </w:tc>
      </w:tr>
      <w:tr w:rsidR="00E642FF" w:rsidRPr="00E642FF" w14:paraId="4A579C62" w14:textId="77777777" w:rsidTr="00735396">
        <w:trPr>
          <w:trHeight w:val="237"/>
          <w:jc w:val="center"/>
        </w:trPr>
        <w:tc>
          <w:tcPr>
            <w:tcW w:w="3823" w:type="dxa"/>
          </w:tcPr>
          <w:p w14:paraId="07E47BE2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fr-LU"/>
              </w:rPr>
            </w:pPr>
            <w:r w:rsidRPr="00E642FF">
              <w:rPr>
                <w:rFonts w:ascii="Times New Roman" w:hAnsi="Times New Roman" w:cs="Times New Roman"/>
                <w:w w:val="105"/>
                <w:lang w:val="fr-LU"/>
              </w:rPr>
              <w:t>Blødning efter operation (herunder hæatom efter operation, blødning i operationssår, hamatom efter karpunktur og blødning omkring kateter), sårsekretion, blødning fra operationsstedet (herunder hamatom ved operationsstedet), opreativ blødning</w:t>
            </w:r>
          </w:p>
        </w:tc>
        <w:tc>
          <w:tcPr>
            <w:tcW w:w="3685" w:type="dxa"/>
          </w:tcPr>
          <w:p w14:paraId="63713616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0934D18C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</w:tr>
      <w:tr w:rsidR="00E642FF" w:rsidRPr="00E642FF" w14:paraId="13E5813A" w14:textId="77777777" w:rsidTr="00735396">
        <w:trPr>
          <w:trHeight w:val="237"/>
          <w:jc w:val="center"/>
        </w:trPr>
        <w:tc>
          <w:tcPr>
            <w:tcW w:w="3823" w:type="dxa"/>
          </w:tcPr>
          <w:p w14:paraId="1E17421B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01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Traumatisk blødning</w:t>
            </w:r>
          </w:p>
        </w:tc>
        <w:tc>
          <w:tcPr>
            <w:tcW w:w="3685" w:type="dxa"/>
          </w:tcPr>
          <w:p w14:paraId="7D4FCBDD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ind w:left="188" w:right="185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  <w:tc>
          <w:tcPr>
            <w:tcW w:w="3265" w:type="dxa"/>
          </w:tcPr>
          <w:p w14:paraId="794CD71E" w14:textId="77777777" w:rsidR="00E642FF" w:rsidRPr="00E642FF" w:rsidRDefault="00E642FF" w:rsidP="00735396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w w:val="105"/>
                <w:lang w:val="en-GB"/>
              </w:rPr>
            </w:pPr>
            <w:r w:rsidRPr="00E642FF">
              <w:rPr>
                <w:rFonts w:ascii="Times New Roman" w:hAnsi="Times New Roman" w:cs="Times New Roman"/>
                <w:w w:val="105"/>
                <w:lang w:val="en-GB"/>
              </w:rPr>
              <w:t>Ikke almindelig</w:t>
            </w:r>
          </w:p>
        </w:tc>
      </w:tr>
    </w:tbl>
    <w:p w14:paraId="5B22F27E" w14:textId="77777777" w:rsidR="005555A4" w:rsidRPr="00D101EF" w:rsidRDefault="005555A4" w:rsidP="005555A4">
      <w:pPr>
        <w:rPr>
          <w:sz w:val="22"/>
          <w:szCs w:val="22"/>
        </w:rPr>
      </w:pPr>
      <w:r w:rsidRPr="001B400B">
        <w:rPr>
          <w:sz w:val="22"/>
          <w:szCs w:val="22"/>
          <w:vertAlign w:val="superscript"/>
        </w:rPr>
        <w:t>*</w:t>
      </w:r>
      <w:r w:rsidRPr="00D101EF">
        <w:rPr>
          <w:sz w:val="22"/>
          <w:szCs w:val="22"/>
        </w:rPr>
        <w:t> Der forekom ingen tilf</w:t>
      </w:r>
      <w:r w:rsidRPr="00D101EF">
        <w:rPr>
          <w:rFonts w:hint="eastAsia"/>
          <w:sz w:val="22"/>
          <w:szCs w:val="22"/>
        </w:rPr>
        <w:t>æ</w:t>
      </w:r>
      <w:r w:rsidRPr="00D101EF">
        <w:rPr>
          <w:sz w:val="22"/>
          <w:szCs w:val="22"/>
        </w:rPr>
        <w:t>lde af generaliseret pruritus i CV185057 (langsigtet forebyggelse af VTE)</w:t>
      </w:r>
    </w:p>
    <w:p w14:paraId="66BDA490" w14:textId="77777777" w:rsidR="005555A4" w:rsidRPr="005C0D7A" w:rsidRDefault="005555A4" w:rsidP="005555A4">
      <w:pPr>
        <w:ind w:left="142" w:hanging="142"/>
        <w:rPr>
          <w:sz w:val="22"/>
          <w:szCs w:val="22"/>
        </w:rPr>
      </w:pPr>
      <w:r w:rsidRPr="001B400B">
        <w:rPr>
          <w:sz w:val="22"/>
          <w:szCs w:val="22"/>
          <w:vertAlign w:val="superscript"/>
        </w:rPr>
        <w:t>† </w:t>
      </w:r>
      <w:r w:rsidRPr="005C0D7A">
        <w:rPr>
          <w:sz w:val="22"/>
          <w:szCs w:val="22"/>
        </w:rPr>
        <w:t xml:space="preserve">Udtrykket </w:t>
      </w:r>
      <w:r w:rsidRPr="005C0D7A">
        <w:rPr>
          <w:rFonts w:hint="eastAsia"/>
          <w:sz w:val="22"/>
          <w:szCs w:val="22"/>
        </w:rPr>
        <w:t>”</w:t>
      </w:r>
      <w:r w:rsidRPr="005C0D7A">
        <w:rPr>
          <w:sz w:val="22"/>
          <w:szCs w:val="22"/>
        </w:rPr>
        <w:t>hjernebl</w:t>
      </w:r>
      <w:r w:rsidRPr="005C0D7A">
        <w:rPr>
          <w:rFonts w:hint="eastAsia"/>
          <w:sz w:val="22"/>
          <w:szCs w:val="22"/>
        </w:rPr>
        <w:t>ø</w:t>
      </w:r>
      <w:r w:rsidRPr="005C0D7A">
        <w:rPr>
          <w:sz w:val="22"/>
          <w:szCs w:val="22"/>
        </w:rPr>
        <w:t>dning</w:t>
      </w:r>
      <w:r w:rsidRPr="005C0D7A">
        <w:rPr>
          <w:rFonts w:hint="eastAsia"/>
          <w:sz w:val="22"/>
          <w:szCs w:val="22"/>
        </w:rPr>
        <w:t>”</w:t>
      </w:r>
      <w:r w:rsidRPr="005C0D7A">
        <w:rPr>
          <w:sz w:val="22"/>
          <w:szCs w:val="22"/>
        </w:rPr>
        <w:t xml:space="preserve"> omfatter alle intrakranielle eller intraspinale bl</w:t>
      </w:r>
      <w:r w:rsidRPr="005C0D7A">
        <w:rPr>
          <w:rFonts w:hint="eastAsia"/>
          <w:sz w:val="22"/>
          <w:szCs w:val="22"/>
        </w:rPr>
        <w:t>ø</w:t>
      </w:r>
      <w:r w:rsidRPr="005C0D7A">
        <w:rPr>
          <w:sz w:val="22"/>
          <w:szCs w:val="22"/>
        </w:rPr>
        <w:t>dninger (dvs. h</w:t>
      </w:r>
      <w:r w:rsidRPr="005C0D7A">
        <w:rPr>
          <w:rFonts w:hint="eastAsia"/>
          <w:sz w:val="22"/>
          <w:szCs w:val="22"/>
        </w:rPr>
        <w:t>æ</w:t>
      </w:r>
      <w:r w:rsidRPr="005C0D7A">
        <w:rPr>
          <w:sz w:val="22"/>
          <w:szCs w:val="22"/>
        </w:rPr>
        <w:t>moragisk apopleksi eller</w:t>
      </w:r>
      <w:r>
        <w:rPr>
          <w:sz w:val="22"/>
          <w:szCs w:val="22"/>
        </w:rPr>
        <w:t xml:space="preserve"> </w:t>
      </w:r>
      <w:r w:rsidRPr="005C0D7A">
        <w:rPr>
          <w:sz w:val="22"/>
          <w:szCs w:val="22"/>
        </w:rPr>
        <w:t>putaminel-, cerebellar-, intraventrikul</w:t>
      </w:r>
      <w:r w:rsidRPr="005C0D7A">
        <w:rPr>
          <w:rFonts w:hint="eastAsia"/>
          <w:sz w:val="22"/>
          <w:szCs w:val="22"/>
        </w:rPr>
        <w:t>æ</w:t>
      </w:r>
      <w:r w:rsidRPr="005C0D7A">
        <w:rPr>
          <w:sz w:val="22"/>
          <w:szCs w:val="22"/>
        </w:rPr>
        <w:t>r- eller subdural bl</w:t>
      </w:r>
      <w:r w:rsidRPr="005C0D7A">
        <w:rPr>
          <w:rFonts w:hint="eastAsia"/>
          <w:sz w:val="22"/>
          <w:szCs w:val="22"/>
        </w:rPr>
        <w:t>ø</w:t>
      </w:r>
      <w:r w:rsidRPr="005C0D7A">
        <w:rPr>
          <w:sz w:val="22"/>
          <w:szCs w:val="22"/>
        </w:rPr>
        <w:t>dning).</w:t>
      </w:r>
    </w:p>
    <w:p w14:paraId="145F0B85" w14:textId="77777777" w:rsidR="005555A4" w:rsidRPr="00714DFF" w:rsidRDefault="005555A4" w:rsidP="005555A4">
      <w:pPr>
        <w:ind w:left="851"/>
        <w:rPr>
          <w:sz w:val="24"/>
          <w:szCs w:val="24"/>
          <w:u w:val="single"/>
        </w:rPr>
      </w:pPr>
    </w:p>
    <w:p w14:paraId="1D49B3AD" w14:textId="77777777" w:rsidR="005555A4" w:rsidRPr="00714DFF" w:rsidRDefault="005555A4" w:rsidP="005555A4">
      <w:pPr>
        <w:ind w:left="851"/>
        <w:rPr>
          <w:sz w:val="24"/>
          <w:szCs w:val="24"/>
        </w:rPr>
      </w:pPr>
      <w:r w:rsidRPr="00714DFF">
        <w:rPr>
          <w:sz w:val="24"/>
          <w:szCs w:val="24"/>
        </w:rPr>
        <w:t>Brugen af apixaban kan v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 xml:space="preserve">re forbundet med </w:t>
      </w:r>
      <w:r w:rsidRPr="00714DFF">
        <w:rPr>
          <w:rFonts w:hint="eastAsia"/>
          <w:sz w:val="24"/>
          <w:szCs w:val="24"/>
        </w:rPr>
        <w:t>ø</w:t>
      </w:r>
      <w:r w:rsidRPr="00714DFF">
        <w:rPr>
          <w:sz w:val="24"/>
          <w:szCs w:val="24"/>
        </w:rPr>
        <w:t>get risiko for okkult eller synlig bl</w:t>
      </w:r>
      <w:r w:rsidRPr="00714DFF">
        <w:rPr>
          <w:rFonts w:hint="eastAsia"/>
          <w:sz w:val="24"/>
          <w:szCs w:val="24"/>
        </w:rPr>
        <w:t>ø</w:t>
      </w:r>
      <w:r w:rsidRPr="00714DFF">
        <w:rPr>
          <w:sz w:val="24"/>
          <w:szCs w:val="24"/>
        </w:rPr>
        <w:t>dning fra v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v eller</w:t>
      </w:r>
      <w:r>
        <w:rPr>
          <w:sz w:val="24"/>
          <w:szCs w:val="24"/>
        </w:rPr>
        <w:t xml:space="preserve"> </w:t>
      </w:r>
      <w:r w:rsidRPr="00714DFF">
        <w:rPr>
          <w:sz w:val="24"/>
          <w:szCs w:val="24"/>
        </w:rPr>
        <w:t>organer, hvilket kan for</w:t>
      </w:r>
      <w:r w:rsidRPr="00714DFF">
        <w:rPr>
          <w:rFonts w:hint="eastAsia"/>
          <w:sz w:val="24"/>
          <w:szCs w:val="24"/>
        </w:rPr>
        <w:t>å</w:t>
      </w:r>
      <w:r w:rsidRPr="00714DFF">
        <w:rPr>
          <w:sz w:val="24"/>
          <w:szCs w:val="24"/>
        </w:rPr>
        <w:t>rsage posth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moragisk an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mi. Tegn, symptomer og sv</w:t>
      </w:r>
      <w:r w:rsidRPr="00714DFF">
        <w:rPr>
          <w:rFonts w:hint="eastAsia"/>
          <w:sz w:val="24"/>
          <w:szCs w:val="24"/>
        </w:rPr>
        <w:t>æ</w:t>
      </w:r>
      <w:r w:rsidRPr="00714DFF">
        <w:rPr>
          <w:sz w:val="24"/>
          <w:szCs w:val="24"/>
        </w:rPr>
        <w:t>rhedsgrad vil variere</w:t>
      </w:r>
      <w:r>
        <w:rPr>
          <w:sz w:val="24"/>
          <w:szCs w:val="24"/>
        </w:rPr>
        <w:t xml:space="preserve"> </w:t>
      </w:r>
      <w:r w:rsidRPr="00714DFF">
        <w:rPr>
          <w:sz w:val="24"/>
          <w:szCs w:val="24"/>
        </w:rPr>
        <w:t>alt efter stedet og graden eller omfanget af bl</w:t>
      </w:r>
      <w:r w:rsidRPr="00714DFF">
        <w:rPr>
          <w:rFonts w:hint="eastAsia"/>
          <w:sz w:val="24"/>
          <w:szCs w:val="24"/>
        </w:rPr>
        <w:t>ø</w:t>
      </w:r>
      <w:r w:rsidRPr="00714DFF">
        <w:rPr>
          <w:sz w:val="24"/>
          <w:szCs w:val="24"/>
        </w:rPr>
        <w:t>dningen (se pkt. 4.4 og pkt. 5.1).</w:t>
      </w:r>
    </w:p>
    <w:p w14:paraId="2F7EBCD4" w14:textId="77777777" w:rsidR="005555A4" w:rsidRPr="00714DFF" w:rsidRDefault="005555A4" w:rsidP="005555A4">
      <w:pPr>
        <w:ind w:left="851"/>
        <w:rPr>
          <w:sz w:val="24"/>
          <w:szCs w:val="24"/>
        </w:rPr>
      </w:pPr>
    </w:p>
    <w:p w14:paraId="2C1EE7B6" w14:textId="77777777" w:rsidR="005555A4" w:rsidRPr="00714DFF" w:rsidRDefault="005555A4" w:rsidP="005555A4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714DFF">
        <w:rPr>
          <w:noProof/>
          <w:sz w:val="24"/>
          <w:szCs w:val="24"/>
          <w:u w:val="single"/>
        </w:rPr>
        <w:t>Indberetning af formodede bivirkninger</w:t>
      </w:r>
    </w:p>
    <w:p w14:paraId="38ABEAAA" w14:textId="77777777" w:rsidR="005555A4" w:rsidRPr="00714DFF" w:rsidRDefault="005555A4" w:rsidP="005555A4">
      <w:pPr>
        <w:tabs>
          <w:tab w:val="left" w:pos="567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714DFF">
        <w:rPr>
          <w:noProof/>
          <w:sz w:val="24"/>
          <w:szCs w:val="24"/>
        </w:rPr>
        <w:t>Når lægemidlet er godkendt, er indberetning af formodede bivirkninger vigtig.</w:t>
      </w:r>
      <w:r w:rsidRPr="00714DFF">
        <w:rPr>
          <w:sz w:val="24"/>
          <w:szCs w:val="24"/>
        </w:rPr>
        <w:t xml:space="preserve"> </w:t>
      </w:r>
      <w:r w:rsidRPr="00714DFF">
        <w:rPr>
          <w:noProof/>
          <w:sz w:val="24"/>
          <w:szCs w:val="24"/>
        </w:rPr>
        <w:t>Det muliggør løbende overvågning af benefit/risk-forholdet for lægemidlet.</w:t>
      </w:r>
      <w:r w:rsidRPr="00714DFF">
        <w:rPr>
          <w:sz w:val="24"/>
          <w:szCs w:val="24"/>
        </w:rPr>
        <w:t xml:space="preserve"> </w:t>
      </w:r>
      <w:r w:rsidRPr="00714DFF">
        <w:rPr>
          <w:noProof/>
          <w:sz w:val="24"/>
          <w:szCs w:val="24"/>
        </w:rPr>
        <w:t>Sundhedspersoner anmodes om at indberette alle formodede bivirkninger via:</w:t>
      </w:r>
    </w:p>
    <w:p w14:paraId="3656426B" w14:textId="77777777" w:rsidR="005555A4" w:rsidRPr="00714DFF" w:rsidRDefault="005555A4" w:rsidP="005555A4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14:paraId="263EC15D" w14:textId="77777777" w:rsidR="005555A4" w:rsidRPr="00714DFF" w:rsidRDefault="005555A4" w:rsidP="005555A4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714DFF">
        <w:rPr>
          <w:sz w:val="24"/>
          <w:szCs w:val="24"/>
        </w:rPr>
        <w:t>Lægemiddelstyrelsen</w:t>
      </w:r>
    </w:p>
    <w:p w14:paraId="508CD2FE" w14:textId="77777777" w:rsidR="005555A4" w:rsidRPr="00714DFF" w:rsidRDefault="005555A4" w:rsidP="005555A4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714DFF">
        <w:rPr>
          <w:rFonts w:eastAsia="Calibri"/>
          <w:sz w:val="24"/>
          <w:szCs w:val="24"/>
          <w:lang w:eastAsia="zh-CN"/>
        </w:rPr>
        <w:t>Axel Heides Gade 1</w:t>
      </w:r>
    </w:p>
    <w:p w14:paraId="45873BAE" w14:textId="77777777" w:rsidR="005555A4" w:rsidRPr="00714DFF" w:rsidRDefault="005555A4" w:rsidP="005555A4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714DFF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714DFF">
        <w:rPr>
          <w:rFonts w:eastAsia="Calibri"/>
          <w:sz w:val="24"/>
          <w:szCs w:val="24"/>
          <w:lang w:eastAsia="zh-CN"/>
        </w:rPr>
        <w:t>København S</w:t>
      </w:r>
    </w:p>
    <w:p w14:paraId="70096124" w14:textId="77777777" w:rsidR="005555A4" w:rsidRPr="005555A4" w:rsidRDefault="005555A4" w:rsidP="005555A4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5555A4">
        <w:rPr>
          <w:rFonts w:eastAsia="Calibri"/>
          <w:sz w:val="24"/>
          <w:szCs w:val="24"/>
          <w:lang w:eastAsia="zh-CN"/>
        </w:rPr>
        <w:t>Websted</w:t>
      </w:r>
      <w:r w:rsidRPr="005555A4">
        <w:rPr>
          <w:rFonts w:eastAsia="Calibri"/>
          <w:noProof/>
          <w:sz w:val="24"/>
          <w:szCs w:val="24"/>
          <w:lang w:eastAsia="zh-CN"/>
        </w:rPr>
        <w:t>: www.meldenbivirkning.dk</w:t>
      </w:r>
    </w:p>
    <w:p w14:paraId="32E0A79A" w14:textId="77777777" w:rsidR="005555A4" w:rsidRP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F8A8CCB" w14:textId="77777777" w:rsidR="005555A4" w:rsidRP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55A4">
        <w:rPr>
          <w:b/>
          <w:sz w:val="24"/>
          <w:szCs w:val="24"/>
        </w:rPr>
        <w:t>4.9</w:t>
      </w:r>
      <w:r w:rsidRPr="005555A4">
        <w:rPr>
          <w:b/>
          <w:sz w:val="24"/>
          <w:szCs w:val="24"/>
        </w:rPr>
        <w:tab/>
        <w:t>Overdosering</w:t>
      </w:r>
    </w:p>
    <w:p w14:paraId="31483D62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Overdosering af apixaban kan resultere i h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jere risiko for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dning. I tilf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lde af 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moragiske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komplikationer skal behandlingen stoppes og kilden til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dningen findes.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begyndelse af passende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behandling, f.eks. operativ 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mostase, transfusion med frisk frosset plasma eller administration af en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antidot mod faktor Xa-h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mmere, b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r overvejes.</w:t>
      </w:r>
    </w:p>
    <w:p w14:paraId="3B67B956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53DDED4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I kontrollerede kliniske studier med oralt indgivet apixaban til raske personer i doser op til 50 mg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daglig i 3-7 dage (25 mg 2 gange daglig i 7 dage eller 50 mg 1 gang daglig i 3 dage) blev der ikke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set klinisk relevante bivirkninger.</w:t>
      </w:r>
    </w:p>
    <w:p w14:paraId="019A228B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12BD277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lastRenderedPageBreak/>
        <w:t>Hos raske fors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gspersoner reducerede administration af aktivt kul 2 og 6 timer efter indtagelse af en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20 mg apixaban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dosis gennemsnitlig apixaban AUC med henholdsvis 50 % og 27 % og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virkede ikke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C</w:t>
      </w:r>
      <w:r w:rsidRPr="00FB2A75">
        <w:rPr>
          <w:sz w:val="24"/>
          <w:szCs w:val="24"/>
          <w:vertAlign w:val="subscript"/>
        </w:rPr>
        <w:t>max</w:t>
      </w:r>
      <w:r w:rsidRPr="00FB2A75">
        <w:rPr>
          <w:sz w:val="24"/>
          <w:szCs w:val="24"/>
        </w:rPr>
        <w:t>. Apixabans gennemsnitlige halveringstid mindskedes fra henholdsvis 13,4 timer,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r apixaban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blev administreret alene, til 5,3 timer og 4,9 timer,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r aktivt kul blev administreret 2 og 6 timer efter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apixaban. Derfor kan administration af aktivt kul v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re hensigtsm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ssig til behandling af overdosering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med apixaban eller efter utilsigtet indtagelse.</w:t>
      </w:r>
    </w:p>
    <w:p w14:paraId="5935D9E6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1F53A84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For situationer, hvor reversering af antikoagulering er n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dvendig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 xml:space="preserve"> grund af livstruende eller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ukontrolleret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dning, er en antidot mod faktor Xa-h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mmere tilg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ngelig (se pkt. 4.4). Indgivelse af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protrombin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kompleks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koncentrat (PCC) eller rekombinant faktor VIIa kan ogs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 xml:space="preserve"> overvejes. Oph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velse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af apixabans farmakodynamiske effekt,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 xml:space="preserve">vist ved 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ndringer i analysen for trombindannelse, var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evident i slutningen af infusionen og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ede baseline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v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rdier inden for 4 timer efter p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begyndelse af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4 faktor PCC</w:t>
      </w:r>
      <w:r w:rsidRPr="00FB2A75">
        <w:rPr>
          <w:rFonts w:hint="eastAsia"/>
          <w:sz w:val="24"/>
          <w:szCs w:val="24"/>
        </w:rPr>
        <w:t>‑</w:t>
      </w:r>
      <w:r w:rsidRPr="00FB2A75">
        <w:rPr>
          <w:sz w:val="24"/>
          <w:szCs w:val="24"/>
        </w:rPr>
        <w:t>infusion over 30 minutter hos raske fors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gspersoner. Der er dog ingen klinisk erfaring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med brug af 4 faktor PCC-pr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parater til at stoppe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 hos personer, som har f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et apixaban. Der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er aktuelt ingen erfaring med brugen af rekombinant faktor VIIa til personer i behandling med apixaban. Det b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r overvejes at redosere og titrere rekombinant faktor VIIa afh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ngigt af responset p</w:t>
      </w:r>
      <w:r w:rsidRPr="00FB2A75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behandlingen af 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dningen.</w:t>
      </w:r>
    </w:p>
    <w:p w14:paraId="37D28F9A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3DBE2E3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Hvor det er muligt, b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r det overvejes at konsultere en koagulationsekspert i tilf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lde af major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bl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dninger.</w:t>
      </w:r>
    </w:p>
    <w:p w14:paraId="459BE413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8897CEE" w14:textId="77777777" w:rsidR="005555A4" w:rsidRPr="00FB2A7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FB2A75">
        <w:rPr>
          <w:sz w:val="24"/>
          <w:szCs w:val="24"/>
        </w:rPr>
        <w:t>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modialyse reducerede apixabans AUC med 14 % hos fors</w:t>
      </w:r>
      <w:r w:rsidRPr="00FB2A75">
        <w:rPr>
          <w:rFonts w:hint="eastAsia"/>
          <w:sz w:val="24"/>
          <w:szCs w:val="24"/>
        </w:rPr>
        <w:t>ø</w:t>
      </w:r>
      <w:r w:rsidRPr="00FB2A75">
        <w:rPr>
          <w:sz w:val="24"/>
          <w:szCs w:val="24"/>
        </w:rPr>
        <w:t>gspersoner med terminal nyresygdom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(ESRD), n</w:t>
      </w:r>
      <w:r w:rsidRPr="00FB2A75">
        <w:rPr>
          <w:rFonts w:hint="eastAsia"/>
          <w:sz w:val="24"/>
          <w:szCs w:val="24"/>
        </w:rPr>
        <w:t>å</w:t>
      </w:r>
      <w:r w:rsidRPr="00FB2A75">
        <w:rPr>
          <w:sz w:val="24"/>
          <w:szCs w:val="24"/>
        </w:rPr>
        <w:t>r 5 mg apixaban som enkeltdosis blev administreret oralt. Derfor er h</w:t>
      </w:r>
      <w:r w:rsidRPr="00FB2A75">
        <w:rPr>
          <w:rFonts w:hint="eastAsia"/>
          <w:sz w:val="24"/>
          <w:szCs w:val="24"/>
        </w:rPr>
        <w:t>æ</w:t>
      </w:r>
      <w:r w:rsidRPr="00FB2A75">
        <w:rPr>
          <w:sz w:val="24"/>
          <w:szCs w:val="24"/>
        </w:rPr>
        <w:t>modialyse</w:t>
      </w:r>
      <w:r>
        <w:rPr>
          <w:sz w:val="24"/>
          <w:szCs w:val="24"/>
        </w:rPr>
        <w:t xml:space="preserve"> </w:t>
      </w:r>
      <w:r w:rsidRPr="00FB2A75">
        <w:rPr>
          <w:sz w:val="24"/>
          <w:szCs w:val="24"/>
        </w:rPr>
        <w:t>sandsynligvis ikke en effektiv metode til behandling af overdosering med apixaban.</w:t>
      </w:r>
    </w:p>
    <w:p w14:paraId="1D8A69A4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2036E60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  <w:t>Udlevering</w:t>
      </w:r>
    </w:p>
    <w:p w14:paraId="38AE42C0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0438C7B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A70FE2A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BD33C91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FARMAKOLOGISKE EGENSKABER</w:t>
      </w:r>
    </w:p>
    <w:p w14:paraId="36AA2A40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923ADC5" w14:textId="77777777" w:rsidR="005555A4" w:rsidRDefault="005555A4" w:rsidP="005555A4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  <w:t>Farmakodynamiske egenskaber</w:t>
      </w:r>
    </w:p>
    <w:p w14:paraId="656CB68A" w14:textId="77777777" w:rsidR="000B6798" w:rsidRPr="00A27B83" w:rsidRDefault="000B6798" w:rsidP="000B67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Farmakoterapeutisk klassifikation: </w:t>
      </w:r>
      <w:r w:rsidRPr="00A27B83">
        <w:rPr>
          <w:sz w:val="24"/>
          <w:szCs w:val="24"/>
        </w:rPr>
        <w:t>Antitrombotiske midler, direkte faktor Xa-h</w:t>
      </w:r>
      <w:r w:rsidRPr="00A27B83">
        <w:rPr>
          <w:rFonts w:hint="eastAsia"/>
          <w:sz w:val="24"/>
          <w:szCs w:val="24"/>
        </w:rPr>
        <w:t>æ</w:t>
      </w:r>
      <w:r w:rsidRPr="00A27B83">
        <w:rPr>
          <w:sz w:val="24"/>
          <w:szCs w:val="24"/>
        </w:rPr>
        <w:t>mmere</w:t>
      </w:r>
      <w:r>
        <w:rPr>
          <w:sz w:val="24"/>
          <w:szCs w:val="24"/>
        </w:rPr>
        <w:t>.</w:t>
      </w:r>
    </w:p>
    <w:p w14:paraId="28CE3436" w14:textId="76E0FF74" w:rsidR="005555A4" w:rsidRPr="000B6798" w:rsidRDefault="000B6798" w:rsidP="005555A4">
      <w:pPr>
        <w:tabs>
          <w:tab w:val="left" w:pos="851"/>
        </w:tabs>
        <w:ind w:left="851"/>
        <w:rPr>
          <w:sz w:val="24"/>
          <w:szCs w:val="24"/>
        </w:rPr>
      </w:pPr>
      <w:r w:rsidRPr="00A27B83">
        <w:rPr>
          <w:sz w:val="24"/>
          <w:szCs w:val="24"/>
        </w:rPr>
        <w:t>ATC</w:t>
      </w:r>
      <w:r w:rsidRPr="00A27B83">
        <w:rPr>
          <w:rFonts w:hint="eastAsia"/>
          <w:sz w:val="24"/>
          <w:szCs w:val="24"/>
        </w:rPr>
        <w:t>‑</w:t>
      </w:r>
      <w:r w:rsidRPr="00A27B83">
        <w:rPr>
          <w:sz w:val="24"/>
          <w:szCs w:val="24"/>
        </w:rPr>
        <w:t>kode: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AF</w:t>
      </w:r>
      <w:r>
        <w:rPr>
          <w:sz w:val="24"/>
          <w:szCs w:val="24"/>
        </w:rPr>
        <w:t xml:space="preserve"> </w:t>
      </w:r>
      <w:r w:rsidRPr="00A27B83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3572771E" w14:textId="77777777" w:rsidR="000B6798" w:rsidRPr="00CC5F13" w:rsidRDefault="000B6798" w:rsidP="005555A4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9B5C6B3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F13">
        <w:rPr>
          <w:sz w:val="24"/>
          <w:szCs w:val="24"/>
          <w:u w:val="single"/>
        </w:rPr>
        <w:t>Virkningsmekanisme</w:t>
      </w:r>
    </w:p>
    <w:p w14:paraId="1D9474A8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Apixaban er en potent, oral, reversibel, direkte og yderst selektiv faktor Xa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>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mmer. Antitrombin III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er ikke n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dvendig for antitrombotisk aktivitet. Apixaban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mmer frit og fibrinbundet faktor Xa samt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protrombinaseaktivitet. Apixaban har ingen direkte effekt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trombocytaggregationen, men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mmer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indirekte trombocytaggregationen induceret af trombin. Ved at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mme faktor Xa forhindrer apixaban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dannelsen af trombin og udviklingen af tromber. Pr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kliniske studier med apixaban i dyremodeller har</w:t>
      </w:r>
    </w:p>
    <w:p w14:paraId="634C0A46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vist en antitrombotisk effekt som led i forebyggelsen af arteriel- og ven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s trombose ved doser der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bevarede 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mostase.</w:t>
      </w:r>
    </w:p>
    <w:p w14:paraId="773316F0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E03EA86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F13">
        <w:rPr>
          <w:sz w:val="24"/>
          <w:szCs w:val="24"/>
          <w:u w:val="single"/>
        </w:rPr>
        <w:t>Farmakodynamiske virkning</w:t>
      </w:r>
    </w:p>
    <w:p w14:paraId="774901E6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De farmakodynamiske virkninger af apixaban afspejler virkningsmekanismen (FXa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>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mning). Som et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resultat af FXa-h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mningen forl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 xml:space="preserve">nger apixaban koagulationstiden </w:t>
      </w:r>
      <w:r w:rsidRPr="00CC5F13">
        <w:rPr>
          <w:sz w:val="24"/>
          <w:szCs w:val="24"/>
        </w:rPr>
        <w:lastRenderedPageBreak/>
        <w:t>(protrombintiden (PT), INR og den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 xml:space="preserve">aktiverede partielle tromboplastintid (aPPT)). 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ndringer i koagulationstests ved en given terapeutisk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dosis er sm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og har en h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j grad af variabilitet. De anbefales ikke til vurdering af apixabans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farmakodynamiske effekt. I analysen for trombindannelse reducerede apixaban endogent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trombinpotentiale, som er en m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>lestok for trombindannelse i humant plasma.</w:t>
      </w:r>
    </w:p>
    <w:p w14:paraId="46DAD20F" w14:textId="77777777" w:rsidR="005555A4" w:rsidRPr="00CC5F13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3B96CE1" w14:textId="07B77978" w:rsidR="005555A4" w:rsidRPr="002D17E6" w:rsidRDefault="005555A4" w:rsidP="002D17E6">
      <w:pPr>
        <w:tabs>
          <w:tab w:val="left" w:pos="851"/>
        </w:tabs>
        <w:ind w:left="851"/>
        <w:rPr>
          <w:sz w:val="24"/>
          <w:szCs w:val="24"/>
        </w:rPr>
      </w:pPr>
      <w:r w:rsidRPr="00CC5F13">
        <w:rPr>
          <w:sz w:val="24"/>
          <w:szCs w:val="24"/>
        </w:rPr>
        <w:t>Apixaban udviser ogs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anti-faktor Xa-aktivitet, afspejlet ved reduktion i faktor Xa enzymaktiviteten i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adskillige kommercielle anti</w:t>
      </w:r>
      <w:r w:rsidR="00F63626">
        <w:rPr>
          <w:sz w:val="24"/>
          <w:szCs w:val="24"/>
        </w:rPr>
        <w:t>-</w:t>
      </w:r>
      <w:r w:rsidRPr="00CC5F13">
        <w:rPr>
          <w:sz w:val="24"/>
          <w:szCs w:val="24"/>
        </w:rPr>
        <w:t>faktor Xa-pr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ves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t; resultaterne var imidlertid forskellige for de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forskellige pr</w:t>
      </w:r>
      <w:r w:rsidRPr="00CC5F13">
        <w:rPr>
          <w:rFonts w:hint="eastAsia"/>
          <w:sz w:val="24"/>
          <w:szCs w:val="24"/>
        </w:rPr>
        <w:t>ø</w:t>
      </w:r>
      <w:r w:rsidRPr="00CC5F13">
        <w:rPr>
          <w:sz w:val="24"/>
          <w:szCs w:val="24"/>
        </w:rPr>
        <w:t>ves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t. Der foreligger kun data fra kliniske studier for Rotachrom Heparin kromogen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analysen. Anti-faktor Xa-aktivitet viser en t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t direkte line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 sammenh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ng med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plasmakoncentrationen af apixaban, som n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>r de maksimale v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rdier p</w:t>
      </w:r>
      <w:r w:rsidRPr="00CC5F13">
        <w:rPr>
          <w:rFonts w:hint="eastAsia"/>
          <w:sz w:val="24"/>
          <w:szCs w:val="24"/>
        </w:rPr>
        <w:t>å</w:t>
      </w:r>
      <w:r w:rsidRPr="00CC5F13">
        <w:rPr>
          <w:sz w:val="24"/>
          <w:szCs w:val="24"/>
        </w:rPr>
        <w:t xml:space="preserve"> tidspunktet for apixabans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maksimale plasmakoncentrationer. Sammenh</w:t>
      </w:r>
      <w:r w:rsidRPr="00CC5F13">
        <w:rPr>
          <w:rFonts w:hint="eastAsia"/>
          <w:sz w:val="24"/>
          <w:szCs w:val="24"/>
        </w:rPr>
        <w:t>æ</w:t>
      </w:r>
      <w:r w:rsidRPr="00CC5F13">
        <w:rPr>
          <w:sz w:val="24"/>
          <w:szCs w:val="24"/>
        </w:rPr>
        <w:t>ngen mellem apixabans plasmakoncentration og</w:t>
      </w:r>
      <w:r>
        <w:rPr>
          <w:sz w:val="24"/>
          <w:szCs w:val="24"/>
        </w:rPr>
        <w:t xml:space="preserve"> </w:t>
      </w:r>
      <w:r w:rsidRPr="00CC5F13">
        <w:rPr>
          <w:sz w:val="24"/>
          <w:szCs w:val="24"/>
        </w:rPr>
        <w:t>anti</w:t>
      </w:r>
      <w:r w:rsidRPr="00CC5F13">
        <w:rPr>
          <w:rFonts w:hint="eastAsia"/>
          <w:sz w:val="24"/>
          <w:szCs w:val="24"/>
        </w:rPr>
        <w:t>‑</w:t>
      </w:r>
      <w:r w:rsidRPr="00CC5F13">
        <w:rPr>
          <w:sz w:val="24"/>
          <w:szCs w:val="24"/>
        </w:rPr>
        <w:t xml:space="preserve">faktor Xa-aktivitet er </w:t>
      </w:r>
      <w:r w:rsidRPr="002D17E6">
        <w:rPr>
          <w:sz w:val="24"/>
          <w:szCs w:val="24"/>
        </w:rPr>
        <w:t>tiln</w:t>
      </w:r>
      <w:r w:rsidRPr="002D17E6">
        <w:rPr>
          <w:rFonts w:hint="eastAsia"/>
          <w:sz w:val="24"/>
          <w:szCs w:val="24"/>
        </w:rPr>
        <w:t>æ</w:t>
      </w:r>
      <w:r w:rsidRPr="002D17E6">
        <w:rPr>
          <w:sz w:val="24"/>
          <w:szCs w:val="24"/>
        </w:rPr>
        <w:t>rmelsesvis line</w:t>
      </w:r>
      <w:r w:rsidRPr="002D17E6">
        <w:rPr>
          <w:rFonts w:hint="eastAsia"/>
          <w:sz w:val="24"/>
          <w:szCs w:val="24"/>
        </w:rPr>
        <w:t>æ</w:t>
      </w:r>
      <w:r w:rsidRPr="002D17E6">
        <w:rPr>
          <w:sz w:val="24"/>
          <w:szCs w:val="24"/>
        </w:rPr>
        <w:t>r over et bredt dosisinterval for apixaban.</w:t>
      </w:r>
    </w:p>
    <w:p w14:paraId="082F7BB5" w14:textId="77777777" w:rsidR="002D17E6" w:rsidRPr="002D17E6" w:rsidRDefault="002D17E6" w:rsidP="002D17E6">
      <w:pPr>
        <w:tabs>
          <w:tab w:val="left" w:pos="851"/>
        </w:tabs>
        <w:suppressAutoHyphens/>
        <w:ind w:left="851"/>
        <w:rPr>
          <w:sz w:val="24"/>
          <w:szCs w:val="24"/>
        </w:rPr>
      </w:pPr>
    </w:p>
    <w:p w14:paraId="20A97B57" w14:textId="28A7DE22" w:rsidR="002D17E6" w:rsidRPr="002D17E6" w:rsidRDefault="002D17E6" w:rsidP="002D17E6">
      <w:pPr>
        <w:tabs>
          <w:tab w:val="left" w:pos="851"/>
        </w:tabs>
        <w:suppressAutoHyphens/>
        <w:ind w:left="851"/>
        <w:rPr>
          <w:sz w:val="24"/>
          <w:szCs w:val="24"/>
          <w:u w:val="single"/>
        </w:rPr>
      </w:pPr>
      <w:r w:rsidRPr="002D17E6">
        <w:rPr>
          <w:sz w:val="24"/>
          <w:szCs w:val="24"/>
        </w:rPr>
        <w:t>Tabel 3 viser den forventede eksponering ved steady state og anti-faktor Xa-aktivitet. Hos patienter med non</w:t>
      </w:r>
      <w:r w:rsidRPr="002D17E6">
        <w:rPr>
          <w:rFonts w:hint="eastAsia"/>
          <w:sz w:val="24"/>
          <w:szCs w:val="24"/>
        </w:rPr>
        <w:t>‑</w:t>
      </w:r>
      <w:r w:rsidRPr="002D17E6">
        <w:rPr>
          <w:sz w:val="24"/>
          <w:szCs w:val="24"/>
        </w:rPr>
        <w:t>valvul</w:t>
      </w:r>
      <w:r w:rsidRPr="002D17E6">
        <w:rPr>
          <w:rFonts w:hint="eastAsia"/>
          <w:sz w:val="24"/>
          <w:szCs w:val="24"/>
        </w:rPr>
        <w:t>æ</w:t>
      </w:r>
      <w:r w:rsidRPr="002D17E6">
        <w:rPr>
          <w:sz w:val="24"/>
          <w:szCs w:val="24"/>
        </w:rPr>
        <w:t>r atrieflimren, der tager apixaban til forebyggelse af apopleksi og systemisk emboli, viser resultaterne et udsving p</w:t>
      </w:r>
      <w:r w:rsidRPr="002D17E6">
        <w:rPr>
          <w:rFonts w:hint="eastAsia"/>
          <w:sz w:val="24"/>
          <w:szCs w:val="24"/>
        </w:rPr>
        <w:t>å</w:t>
      </w:r>
      <w:r w:rsidRPr="002D17E6">
        <w:rPr>
          <w:sz w:val="24"/>
          <w:szCs w:val="24"/>
        </w:rPr>
        <w:t xml:space="preserve"> mindre end 1,7 gange mellem h</w:t>
      </w:r>
      <w:r w:rsidRPr="002D17E6">
        <w:rPr>
          <w:rFonts w:hint="eastAsia"/>
          <w:sz w:val="24"/>
          <w:szCs w:val="24"/>
        </w:rPr>
        <w:t>ø</w:t>
      </w:r>
      <w:r w:rsidRPr="002D17E6">
        <w:rPr>
          <w:sz w:val="24"/>
          <w:szCs w:val="24"/>
        </w:rPr>
        <w:t>jeste og laveste serumkoncentration. Hos patienter, der tager apixaban til behandling af DVT og LE eller forebyggelse af recidiverende DVT og LE, viser resultaterne et udsving p</w:t>
      </w:r>
      <w:r w:rsidRPr="002D17E6">
        <w:rPr>
          <w:rFonts w:hint="eastAsia"/>
          <w:sz w:val="24"/>
          <w:szCs w:val="24"/>
        </w:rPr>
        <w:t>å</w:t>
      </w:r>
      <w:r w:rsidRPr="002D17E6">
        <w:rPr>
          <w:sz w:val="24"/>
          <w:szCs w:val="24"/>
        </w:rPr>
        <w:t xml:space="preserve"> mindre end 2,2 gange mellem h</w:t>
      </w:r>
      <w:r w:rsidRPr="002D17E6">
        <w:rPr>
          <w:rFonts w:hint="eastAsia"/>
          <w:sz w:val="24"/>
          <w:szCs w:val="24"/>
        </w:rPr>
        <w:t>ø</w:t>
      </w:r>
      <w:r w:rsidRPr="002D17E6">
        <w:rPr>
          <w:sz w:val="24"/>
          <w:szCs w:val="24"/>
        </w:rPr>
        <w:t>jeste og laveste serumkoncentration.</w:t>
      </w:r>
    </w:p>
    <w:p w14:paraId="604CD357" w14:textId="77777777" w:rsidR="005555A4" w:rsidRPr="002D17E6" w:rsidRDefault="005555A4" w:rsidP="002D17E6">
      <w:pPr>
        <w:tabs>
          <w:tab w:val="left" w:pos="851"/>
        </w:tabs>
        <w:suppressAutoHyphens/>
        <w:ind w:left="851"/>
        <w:rPr>
          <w:b/>
          <w:bCs/>
          <w:sz w:val="24"/>
          <w:szCs w:val="24"/>
        </w:rPr>
      </w:pPr>
    </w:p>
    <w:p w14:paraId="7E54AC89" w14:textId="77777777" w:rsidR="005555A4" w:rsidRPr="00C50023" w:rsidRDefault="005555A4" w:rsidP="005555A4">
      <w:pPr>
        <w:suppressAutoHyphens/>
        <w:rPr>
          <w:sz w:val="22"/>
          <w:szCs w:val="22"/>
        </w:rPr>
      </w:pPr>
      <w:r w:rsidRPr="00B0138B">
        <w:rPr>
          <w:b/>
          <w:bCs/>
          <w:sz w:val="22"/>
          <w:szCs w:val="22"/>
        </w:rPr>
        <w:t>Tabel 3: Forventet eksponering ved steady state og anti-faktor Xa</w:t>
      </w:r>
      <w:r w:rsidRPr="00B0138B">
        <w:rPr>
          <w:rFonts w:hint="eastAsia"/>
          <w:b/>
          <w:bCs/>
          <w:sz w:val="22"/>
          <w:szCs w:val="22"/>
        </w:rPr>
        <w:t>‑</w:t>
      </w:r>
      <w:r w:rsidRPr="00B0138B">
        <w:rPr>
          <w:b/>
          <w:bCs/>
          <w:sz w:val="22"/>
          <w:szCs w:val="22"/>
        </w:rPr>
        <w:t>aktivitet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5"/>
        <w:gridCol w:w="2155"/>
        <w:gridCol w:w="2155"/>
      </w:tblGrid>
      <w:tr w:rsidR="005555A4" w:rsidRPr="00C50023" w14:paraId="6DD93449" w14:textId="77777777" w:rsidTr="005555A4">
        <w:trPr>
          <w:trHeight w:val="825"/>
          <w:jc w:val="center"/>
        </w:trPr>
        <w:tc>
          <w:tcPr>
            <w:tcW w:w="2154" w:type="dxa"/>
          </w:tcPr>
          <w:p w14:paraId="116BEE3F" w14:textId="77777777" w:rsidR="005555A4" w:rsidRPr="00C50023" w:rsidRDefault="005555A4" w:rsidP="005555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14:paraId="749F9EB5" w14:textId="77777777" w:rsidR="005555A4" w:rsidRPr="00C50023" w:rsidRDefault="005555A4" w:rsidP="005555A4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Apix.</w:t>
            </w:r>
          </w:p>
          <w:p w14:paraId="2A986BF5" w14:textId="77777777" w:rsidR="005555A4" w:rsidRPr="00C50023" w:rsidRDefault="005555A4" w:rsidP="005555A4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C</w:t>
            </w:r>
            <w:r w:rsidRPr="00C50023">
              <w:rPr>
                <w:b/>
                <w:sz w:val="22"/>
                <w:szCs w:val="22"/>
                <w:vertAlign w:val="subscript"/>
                <w:lang w:val="en-GB"/>
              </w:rPr>
              <w:t>max</w:t>
            </w:r>
            <w:r w:rsidRPr="00C50023">
              <w:rPr>
                <w:b/>
                <w:sz w:val="22"/>
                <w:szCs w:val="22"/>
                <w:lang w:val="en-GB"/>
              </w:rPr>
              <w:t xml:space="preserve"> (ng/ml)</w:t>
            </w:r>
          </w:p>
        </w:tc>
        <w:tc>
          <w:tcPr>
            <w:tcW w:w="2155" w:type="dxa"/>
          </w:tcPr>
          <w:p w14:paraId="3472668E" w14:textId="77777777" w:rsidR="005555A4" w:rsidRPr="00C50023" w:rsidRDefault="005555A4" w:rsidP="005555A4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Apix.</w:t>
            </w:r>
          </w:p>
          <w:p w14:paraId="23D5132E" w14:textId="77777777" w:rsidR="005555A4" w:rsidRPr="00C50023" w:rsidRDefault="005555A4" w:rsidP="005555A4">
            <w:pPr>
              <w:suppressAutoHyphens/>
              <w:rPr>
                <w:b/>
                <w:sz w:val="22"/>
                <w:szCs w:val="22"/>
                <w:lang w:val="en-GB"/>
              </w:rPr>
            </w:pPr>
            <w:r w:rsidRPr="00C50023">
              <w:rPr>
                <w:b/>
                <w:sz w:val="22"/>
                <w:szCs w:val="22"/>
                <w:lang w:val="en-GB"/>
              </w:rPr>
              <w:t>C</w:t>
            </w:r>
            <w:r w:rsidRPr="00C50023">
              <w:rPr>
                <w:b/>
                <w:sz w:val="22"/>
                <w:szCs w:val="22"/>
                <w:vertAlign w:val="subscript"/>
                <w:lang w:val="en-GB"/>
              </w:rPr>
              <w:t>min</w:t>
            </w:r>
            <w:r w:rsidRPr="00C50023">
              <w:rPr>
                <w:b/>
                <w:sz w:val="22"/>
                <w:szCs w:val="22"/>
                <w:lang w:val="en-GB"/>
              </w:rPr>
              <w:t xml:space="preserve"> (ng/ml)</w:t>
            </w:r>
          </w:p>
        </w:tc>
        <w:tc>
          <w:tcPr>
            <w:tcW w:w="2155" w:type="dxa"/>
          </w:tcPr>
          <w:p w14:paraId="404D8B07" w14:textId="77777777" w:rsidR="005555A4" w:rsidRPr="00C50023" w:rsidRDefault="005555A4" w:rsidP="005555A4">
            <w:pPr>
              <w:suppressAutoHyphens/>
              <w:rPr>
                <w:b/>
                <w:sz w:val="22"/>
                <w:szCs w:val="22"/>
              </w:rPr>
            </w:pPr>
            <w:r w:rsidRPr="00C50023">
              <w:rPr>
                <w:b/>
                <w:sz w:val="22"/>
                <w:szCs w:val="22"/>
              </w:rPr>
              <w:t>Apix. anti-Fa</w:t>
            </w:r>
            <w:r w:rsidRPr="008D798F">
              <w:rPr>
                <w:b/>
                <w:sz w:val="22"/>
                <w:szCs w:val="22"/>
              </w:rPr>
              <w:t>k</w:t>
            </w:r>
            <w:r w:rsidRPr="00C50023">
              <w:rPr>
                <w:b/>
                <w:sz w:val="22"/>
                <w:szCs w:val="22"/>
              </w:rPr>
              <w:t>tor Xa a</w:t>
            </w:r>
            <w:r>
              <w:rPr>
                <w:b/>
                <w:sz w:val="22"/>
                <w:szCs w:val="22"/>
              </w:rPr>
              <w:t>k</w:t>
            </w:r>
            <w:r w:rsidRPr="00C50023">
              <w:rPr>
                <w:b/>
                <w:sz w:val="22"/>
                <w:szCs w:val="22"/>
              </w:rPr>
              <w:t>tivit</w:t>
            </w:r>
            <w:r w:rsidRPr="008D798F">
              <w:rPr>
                <w:b/>
                <w:sz w:val="22"/>
                <w:szCs w:val="22"/>
              </w:rPr>
              <w:t>et</w:t>
            </w:r>
            <w:r w:rsidRPr="00C50023">
              <w:rPr>
                <w:b/>
                <w:sz w:val="22"/>
                <w:szCs w:val="22"/>
              </w:rPr>
              <w:t xml:space="preserve"> max (I</w:t>
            </w:r>
            <w:r>
              <w:rPr>
                <w:b/>
                <w:sz w:val="22"/>
                <w:szCs w:val="22"/>
              </w:rPr>
              <w:t>E</w:t>
            </w:r>
            <w:r w:rsidRPr="00C50023">
              <w:rPr>
                <w:b/>
                <w:sz w:val="22"/>
                <w:szCs w:val="22"/>
              </w:rPr>
              <w:t>/ml)</w:t>
            </w:r>
          </w:p>
        </w:tc>
        <w:tc>
          <w:tcPr>
            <w:tcW w:w="2155" w:type="dxa"/>
          </w:tcPr>
          <w:p w14:paraId="79DB51AC" w14:textId="77777777" w:rsidR="005555A4" w:rsidRPr="00C50023" w:rsidRDefault="005555A4" w:rsidP="005555A4">
            <w:pPr>
              <w:suppressAutoHyphens/>
              <w:rPr>
                <w:b/>
                <w:sz w:val="22"/>
                <w:szCs w:val="22"/>
              </w:rPr>
            </w:pPr>
            <w:r w:rsidRPr="00C50023">
              <w:rPr>
                <w:b/>
                <w:sz w:val="22"/>
                <w:szCs w:val="22"/>
              </w:rPr>
              <w:t>Apix. anti-Fa</w:t>
            </w:r>
            <w:r w:rsidRPr="008D798F">
              <w:rPr>
                <w:b/>
                <w:sz w:val="22"/>
                <w:szCs w:val="22"/>
              </w:rPr>
              <w:t>k</w:t>
            </w:r>
            <w:r w:rsidRPr="00C50023">
              <w:rPr>
                <w:b/>
                <w:sz w:val="22"/>
                <w:szCs w:val="22"/>
              </w:rPr>
              <w:t>tor Xa aktivit</w:t>
            </w:r>
            <w:r w:rsidRPr="008D798F">
              <w:rPr>
                <w:b/>
                <w:sz w:val="22"/>
                <w:szCs w:val="22"/>
              </w:rPr>
              <w:t>et</w:t>
            </w:r>
            <w:r w:rsidRPr="00C50023">
              <w:rPr>
                <w:b/>
                <w:sz w:val="22"/>
                <w:szCs w:val="22"/>
              </w:rPr>
              <w:t xml:space="preserve"> min (I</w:t>
            </w:r>
            <w:r w:rsidRPr="008D798F">
              <w:rPr>
                <w:b/>
                <w:sz w:val="22"/>
                <w:szCs w:val="22"/>
              </w:rPr>
              <w:t>E</w:t>
            </w:r>
            <w:r w:rsidRPr="00C50023">
              <w:rPr>
                <w:b/>
                <w:sz w:val="22"/>
                <w:szCs w:val="22"/>
              </w:rPr>
              <w:t>/ml)</w:t>
            </w:r>
          </w:p>
        </w:tc>
      </w:tr>
      <w:tr w:rsidR="005555A4" w:rsidRPr="00C50023" w14:paraId="0E88896D" w14:textId="77777777" w:rsidTr="005555A4">
        <w:trPr>
          <w:trHeight w:val="351"/>
          <w:jc w:val="center"/>
        </w:trPr>
        <w:tc>
          <w:tcPr>
            <w:tcW w:w="2154" w:type="dxa"/>
          </w:tcPr>
          <w:p w14:paraId="40B7B7A6" w14:textId="77777777" w:rsidR="005555A4" w:rsidRPr="00C50023" w:rsidRDefault="005555A4" w:rsidP="005555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8619" w:type="dxa"/>
            <w:gridSpan w:val="4"/>
          </w:tcPr>
          <w:p w14:paraId="630D4121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Median [5</w:t>
            </w:r>
            <w:r>
              <w:rPr>
                <w:sz w:val="22"/>
                <w:szCs w:val="22"/>
                <w:lang w:val="en-GB"/>
              </w:rPr>
              <w:t>.</w:t>
            </w:r>
            <w:r w:rsidRPr="00C50023">
              <w:rPr>
                <w:sz w:val="22"/>
                <w:szCs w:val="22"/>
                <w:lang w:val="en-GB"/>
              </w:rPr>
              <w:t>, 95</w:t>
            </w:r>
            <w:r>
              <w:rPr>
                <w:sz w:val="22"/>
                <w:szCs w:val="22"/>
                <w:lang w:val="en-GB"/>
              </w:rPr>
              <w:t>.</w:t>
            </w:r>
            <w:r w:rsidRPr="00C50023">
              <w:rPr>
                <w:sz w:val="22"/>
                <w:szCs w:val="22"/>
                <w:lang w:val="en-GB"/>
              </w:rPr>
              <w:t xml:space="preserve"> percentil]</w:t>
            </w:r>
          </w:p>
        </w:tc>
      </w:tr>
      <w:tr w:rsidR="005555A4" w:rsidRPr="00C50023" w14:paraId="5D9EB334" w14:textId="77777777" w:rsidTr="005555A4">
        <w:trPr>
          <w:trHeight w:val="350"/>
          <w:jc w:val="center"/>
        </w:trPr>
        <w:tc>
          <w:tcPr>
            <w:tcW w:w="10773" w:type="dxa"/>
            <w:gridSpan w:val="5"/>
          </w:tcPr>
          <w:p w14:paraId="227E2D5B" w14:textId="77777777" w:rsidR="005555A4" w:rsidRPr="00C50023" w:rsidRDefault="005555A4" w:rsidP="005555A4">
            <w:pPr>
              <w:suppressAutoHyphens/>
              <w:rPr>
                <w:i/>
                <w:sz w:val="22"/>
                <w:szCs w:val="22"/>
              </w:rPr>
            </w:pPr>
            <w:r w:rsidRPr="00506656">
              <w:rPr>
                <w:i/>
                <w:iCs/>
                <w:sz w:val="22"/>
                <w:szCs w:val="22"/>
              </w:rPr>
              <w:t>Forebyggelse af apopleksi og systemisk emboli: NVAF</w:t>
            </w:r>
          </w:p>
        </w:tc>
      </w:tr>
      <w:tr w:rsidR="005555A4" w:rsidRPr="00C50023" w14:paraId="139FF3E1" w14:textId="77777777" w:rsidTr="005555A4">
        <w:trPr>
          <w:trHeight w:val="588"/>
          <w:jc w:val="center"/>
        </w:trPr>
        <w:tc>
          <w:tcPr>
            <w:tcW w:w="2154" w:type="dxa"/>
          </w:tcPr>
          <w:p w14:paraId="2C4DC61B" w14:textId="77777777" w:rsidR="005555A4" w:rsidRPr="009276B8" w:rsidRDefault="005555A4" w:rsidP="005555A4">
            <w:pPr>
              <w:suppressAutoHyphens/>
              <w:rPr>
                <w:sz w:val="22"/>
                <w:szCs w:val="22"/>
              </w:rPr>
            </w:pPr>
            <w:r w:rsidRPr="009276B8">
              <w:rPr>
                <w:sz w:val="22"/>
                <w:szCs w:val="22"/>
              </w:rPr>
              <w:t>2,5 mg to gange</w:t>
            </w:r>
          </w:p>
          <w:p w14:paraId="3EB5C915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  <w:r w:rsidRPr="009276B8">
              <w:rPr>
                <w:sz w:val="22"/>
                <w:szCs w:val="22"/>
              </w:rPr>
              <w:t>*</w:t>
            </w:r>
          </w:p>
        </w:tc>
        <w:tc>
          <w:tcPr>
            <w:tcW w:w="2154" w:type="dxa"/>
          </w:tcPr>
          <w:p w14:paraId="5EF00B36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123 [69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221]</w:t>
            </w:r>
          </w:p>
        </w:tc>
        <w:tc>
          <w:tcPr>
            <w:tcW w:w="2155" w:type="dxa"/>
          </w:tcPr>
          <w:p w14:paraId="39EAF5A1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79 [34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162]</w:t>
            </w:r>
          </w:p>
        </w:tc>
        <w:tc>
          <w:tcPr>
            <w:tcW w:w="2155" w:type="dxa"/>
          </w:tcPr>
          <w:p w14:paraId="05DDE142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 [1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3]</w:t>
            </w:r>
          </w:p>
        </w:tc>
        <w:tc>
          <w:tcPr>
            <w:tcW w:w="2155" w:type="dxa"/>
          </w:tcPr>
          <w:p w14:paraId="2C174432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2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51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</w:tr>
      <w:tr w:rsidR="005555A4" w:rsidRPr="00C50023" w14:paraId="202ECE9F" w14:textId="77777777" w:rsidTr="005555A4">
        <w:trPr>
          <w:trHeight w:val="350"/>
          <w:jc w:val="center"/>
        </w:trPr>
        <w:tc>
          <w:tcPr>
            <w:tcW w:w="2154" w:type="dxa"/>
          </w:tcPr>
          <w:p w14:paraId="7A5BBDAD" w14:textId="77777777" w:rsidR="005555A4" w:rsidRPr="00B44DBC" w:rsidRDefault="005555A4" w:rsidP="005555A4">
            <w:pPr>
              <w:suppressAutoHyphens/>
              <w:rPr>
                <w:sz w:val="22"/>
                <w:szCs w:val="22"/>
              </w:rPr>
            </w:pPr>
            <w:r w:rsidRPr="00B44DBC">
              <w:rPr>
                <w:sz w:val="22"/>
                <w:szCs w:val="22"/>
              </w:rPr>
              <w:t>5 mg to gange</w:t>
            </w:r>
          </w:p>
          <w:p w14:paraId="2C8885DE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0C845E68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171 [91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321]</w:t>
            </w:r>
          </w:p>
        </w:tc>
        <w:tc>
          <w:tcPr>
            <w:tcW w:w="2155" w:type="dxa"/>
          </w:tcPr>
          <w:p w14:paraId="4D267D91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103 [41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230]</w:t>
            </w:r>
          </w:p>
        </w:tc>
        <w:tc>
          <w:tcPr>
            <w:tcW w:w="2155" w:type="dxa"/>
          </w:tcPr>
          <w:p w14:paraId="58AC0FF2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 [1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4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  <w:tc>
          <w:tcPr>
            <w:tcW w:w="2155" w:type="dxa"/>
          </w:tcPr>
          <w:p w14:paraId="5BECA2CF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5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</w:tr>
      <w:tr w:rsidR="005555A4" w:rsidRPr="00C50023" w14:paraId="68CD583C" w14:textId="77777777" w:rsidTr="005555A4">
        <w:trPr>
          <w:trHeight w:val="350"/>
          <w:jc w:val="center"/>
        </w:trPr>
        <w:tc>
          <w:tcPr>
            <w:tcW w:w="10773" w:type="dxa"/>
            <w:gridSpan w:val="5"/>
          </w:tcPr>
          <w:p w14:paraId="3EB9610F" w14:textId="77777777" w:rsidR="005555A4" w:rsidRPr="00C50023" w:rsidRDefault="005555A4" w:rsidP="005555A4">
            <w:pPr>
              <w:suppressAutoHyphens/>
              <w:rPr>
                <w:i/>
                <w:sz w:val="22"/>
                <w:szCs w:val="22"/>
              </w:rPr>
            </w:pPr>
            <w:r w:rsidRPr="001268C5">
              <w:rPr>
                <w:i/>
                <w:iCs/>
                <w:sz w:val="22"/>
                <w:szCs w:val="22"/>
              </w:rPr>
              <w:t>Behandling af DVT, behandling af LE og forebyggelse af recidiverende DVT og LE (VTEt)</w:t>
            </w:r>
          </w:p>
        </w:tc>
      </w:tr>
      <w:tr w:rsidR="005555A4" w:rsidRPr="00C50023" w14:paraId="6F00A78D" w14:textId="77777777" w:rsidTr="005555A4">
        <w:trPr>
          <w:trHeight w:val="350"/>
          <w:jc w:val="center"/>
        </w:trPr>
        <w:tc>
          <w:tcPr>
            <w:tcW w:w="2154" w:type="dxa"/>
          </w:tcPr>
          <w:p w14:paraId="28BEE332" w14:textId="77777777" w:rsidR="005555A4" w:rsidRPr="001268C5" w:rsidRDefault="005555A4" w:rsidP="005555A4">
            <w:pPr>
              <w:suppressAutoHyphens/>
              <w:rPr>
                <w:sz w:val="22"/>
                <w:szCs w:val="22"/>
              </w:rPr>
            </w:pPr>
            <w:r w:rsidRPr="001268C5">
              <w:rPr>
                <w:sz w:val="22"/>
                <w:szCs w:val="22"/>
              </w:rPr>
              <w:t>2,5 mg to gange</w:t>
            </w:r>
          </w:p>
          <w:p w14:paraId="3E1EB022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3A57E051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67 [30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153]</w:t>
            </w:r>
          </w:p>
        </w:tc>
        <w:tc>
          <w:tcPr>
            <w:tcW w:w="2155" w:type="dxa"/>
          </w:tcPr>
          <w:p w14:paraId="584566B4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32 [11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90]</w:t>
            </w:r>
          </w:p>
        </w:tc>
        <w:tc>
          <w:tcPr>
            <w:tcW w:w="2155" w:type="dxa"/>
          </w:tcPr>
          <w:p w14:paraId="7981FB14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0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46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5]</w:t>
            </w:r>
          </w:p>
        </w:tc>
        <w:tc>
          <w:tcPr>
            <w:tcW w:w="2155" w:type="dxa"/>
          </w:tcPr>
          <w:p w14:paraId="0A8A197E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49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17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4]</w:t>
            </w:r>
          </w:p>
        </w:tc>
      </w:tr>
      <w:tr w:rsidR="005555A4" w:rsidRPr="00C50023" w14:paraId="0C201951" w14:textId="77777777" w:rsidTr="005555A4">
        <w:trPr>
          <w:trHeight w:val="351"/>
          <w:jc w:val="center"/>
        </w:trPr>
        <w:tc>
          <w:tcPr>
            <w:tcW w:w="2154" w:type="dxa"/>
          </w:tcPr>
          <w:p w14:paraId="0728AF95" w14:textId="77777777" w:rsidR="005555A4" w:rsidRPr="006E6A1C" w:rsidRDefault="005555A4" w:rsidP="005555A4">
            <w:pPr>
              <w:suppressAutoHyphens/>
              <w:rPr>
                <w:sz w:val="22"/>
                <w:szCs w:val="22"/>
              </w:rPr>
            </w:pPr>
            <w:r w:rsidRPr="006E6A1C">
              <w:rPr>
                <w:sz w:val="22"/>
                <w:szCs w:val="22"/>
              </w:rPr>
              <w:t>5 mg to gange</w:t>
            </w:r>
          </w:p>
          <w:p w14:paraId="3EE49536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623D074A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132 [59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302]</w:t>
            </w:r>
          </w:p>
        </w:tc>
        <w:tc>
          <w:tcPr>
            <w:tcW w:w="2155" w:type="dxa"/>
          </w:tcPr>
          <w:p w14:paraId="5A4D9772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63 [22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177]</w:t>
            </w:r>
          </w:p>
        </w:tc>
        <w:tc>
          <w:tcPr>
            <w:tcW w:w="2155" w:type="dxa"/>
          </w:tcPr>
          <w:p w14:paraId="6DB7CA07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1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91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5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2]</w:t>
            </w:r>
          </w:p>
        </w:tc>
        <w:tc>
          <w:tcPr>
            <w:tcW w:w="2155" w:type="dxa"/>
          </w:tcPr>
          <w:p w14:paraId="3ECE51AC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0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33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9]</w:t>
            </w:r>
          </w:p>
        </w:tc>
      </w:tr>
      <w:tr w:rsidR="005555A4" w:rsidRPr="00C50023" w14:paraId="3A327421" w14:textId="77777777" w:rsidTr="005555A4">
        <w:trPr>
          <w:trHeight w:val="350"/>
          <w:jc w:val="center"/>
        </w:trPr>
        <w:tc>
          <w:tcPr>
            <w:tcW w:w="2154" w:type="dxa"/>
          </w:tcPr>
          <w:p w14:paraId="4677E622" w14:textId="77777777" w:rsidR="005555A4" w:rsidRPr="006E6A1C" w:rsidRDefault="005555A4" w:rsidP="005555A4">
            <w:pPr>
              <w:suppressAutoHyphens/>
              <w:rPr>
                <w:sz w:val="22"/>
                <w:szCs w:val="22"/>
              </w:rPr>
            </w:pPr>
            <w:r w:rsidRPr="006E6A1C">
              <w:rPr>
                <w:sz w:val="22"/>
                <w:szCs w:val="22"/>
              </w:rPr>
              <w:t>10 mg to gange</w:t>
            </w:r>
          </w:p>
          <w:p w14:paraId="00C4788D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daglig</w:t>
            </w:r>
          </w:p>
        </w:tc>
        <w:tc>
          <w:tcPr>
            <w:tcW w:w="2154" w:type="dxa"/>
          </w:tcPr>
          <w:p w14:paraId="0C5176AB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251 [111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572]</w:t>
            </w:r>
          </w:p>
        </w:tc>
        <w:tc>
          <w:tcPr>
            <w:tcW w:w="2155" w:type="dxa"/>
          </w:tcPr>
          <w:p w14:paraId="2C422F80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120 [41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335]</w:t>
            </w:r>
          </w:p>
        </w:tc>
        <w:tc>
          <w:tcPr>
            <w:tcW w:w="2155" w:type="dxa"/>
          </w:tcPr>
          <w:p w14:paraId="02251B61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2 [1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10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  <w:tc>
          <w:tcPr>
            <w:tcW w:w="2155" w:type="dxa"/>
          </w:tcPr>
          <w:p w14:paraId="64981A36" w14:textId="77777777" w:rsidR="005555A4" w:rsidRPr="00C50023" w:rsidRDefault="005555A4" w:rsidP="005555A4">
            <w:pPr>
              <w:suppressAutoHyphens/>
              <w:rPr>
                <w:sz w:val="22"/>
                <w:szCs w:val="22"/>
                <w:lang w:val="en-GB"/>
              </w:rPr>
            </w:pPr>
            <w:r w:rsidRPr="00C5002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9 [0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64</w:t>
            </w:r>
            <w:r>
              <w:rPr>
                <w:sz w:val="22"/>
                <w:szCs w:val="22"/>
                <w:lang w:val="en-GB"/>
              </w:rPr>
              <w:t>;</w:t>
            </w:r>
            <w:r w:rsidRPr="00C50023">
              <w:rPr>
                <w:sz w:val="22"/>
                <w:szCs w:val="22"/>
                <w:lang w:val="en-GB"/>
              </w:rPr>
              <w:t xml:space="preserve"> 5</w:t>
            </w:r>
            <w:r>
              <w:rPr>
                <w:sz w:val="22"/>
                <w:szCs w:val="22"/>
                <w:lang w:val="en-GB"/>
              </w:rPr>
              <w:t>,</w:t>
            </w:r>
            <w:r w:rsidRPr="00C50023">
              <w:rPr>
                <w:sz w:val="22"/>
                <w:szCs w:val="22"/>
                <w:lang w:val="en-GB"/>
              </w:rPr>
              <w:t>8]</w:t>
            </w:r>
          </w:p>
        </w:tc>
      </w:tr>
    </w:tbl>
    <w:p w14:paraId="3C9DFB5E" w14:textId="77777777" w:rsidR="005555A4" w:rsidRPr="00F47804" w:rsidRDefault="005555A4" w:rsidP="005555A4">
      <w:pPr>
        <w:suppressAutoHyphens/>
        <w:rPr>
          <w:sz w:val="22"/>
          <w:szCs w:val="22"/>
          <w:u w:val="single"/>
        </w:rPr>
      </w:pPr>
      <w:r w:rsidRPr="003644DC">
        <w:rPr>
          <w:sz w:val="22"/>
          <w:szCs w:val="22"/>
          <w:vertAlign w:val="superscript"/>
        </w:rPr>
        <w:t>*</w:t>
      </w:r>
      <w:r w:rsidRPr="00F47804">
        <w:rPr>
          <w:sz w:val="22"/>
          <w:szCs w:val="22"/>
        </w:rPr>
        <w:t>Dosisjusteret population baseret p</w:t>
      </w:r>
      <w:r w:rsidRPr="00F47804">
        <w:rPr>
          <w:rFonts w:hint="eastAsia"/>
          <w:sz w:val="22"/>
          <w:szCs w:val="22"/>
        </w:rPr>
        <w:t>å</w:t>
      </w:r>
      <w:r w:rsidRPr="00F47804">
        <w:rPr>
          <w:sz w:val="22"/>
          <w:szCs w:val="22"/>
        </w:rPr>
        <w:t xml:space="preserve"> 2 af 3 dosisreduktionskriterier i ARISTOTLE</w:t>
      </w:r>
      <w:r w:rsidRPr="00F47804">
        <w:rPr>
          <w:rFonts w:hint="eastAsia"/>
          <w:sz w:val="22"/>
          <w:szCs w:val="22"/>
        </w:rPr>
        <w:t>‑</w:t>
      </w:r>
      <w:r w:rsidRPr="00F47804">
        <w:rPr>
          <w:sz w:val="22"/>
          <w:szCs w:val="22"/>
        </w:rPr>
        <w:t>studiet.</w:t>
      </w:r>
    </w:p>
    <w:p w14:paraId="13C115C6" w14:textId="77777777" w:rsidR="005555A4" w:rsidRPr="00F47804" w:rsidRDefault="005555A4" w:rsidP="005555A4">
      <w:pPr>
        <w:suppressAutoHyphens/>
        <w:rPr>
          <w:sz w:val="22"/>
          <w:szCs w:val="22"/>
          <w:u w:val="single"/>
        </w:rPr>
      </w:pPr>
    </w:p>
    <w:p w14:paraId="716D117D" w14:textId="77777777" w:rsidR="005555A4" w:rsidRPr="00CA64D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CA64D8">
        <w:rPr>
          <w:sz w:val="24"/>
          <w:szCs w:val="24"/>
        </w:rPr>
        <w:t>Selv om behandling med apixaban ikke kr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ver rutinem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ssig kontrol af eksponeringen, kan en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kalibreret kvantitativ test for anti</w:t>
      </w:r>
      <w:r w:rsidRPr="00CA64D8">
        <w:rPr>
          <w:rFonts w:hint="eastAsia"/>
          <w:sz w:val="24"/>
          <w:szCs w:val="24"/>
        </w:rPr>
        <w:t>‑</w:t>
      </w:r>
      <w:r w:rsidRPr="00CA64D8">
        <w:rPr>
          <w:sz w:val="24"/>
          <w:szCs w:val="24"/>
        </w:rPr>
        <w:t>faktor Xa v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re nyttig i s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rlige situationer, hvor kendskabet til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eksponeringen til apixaban kan v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re en hj</w:t>
      </w:r>
      <w:r w:rsidRPr="00CA64D8">
        <w:rPr>
          <w:rFonts w:hint="eastAsia"/>
          <w:sz w:val="24"/>
          <w:szCs w:val="24"/>
        </w:rPr>
        <w:t>æ</w:t>
      </w:r>
      <w:r w:rsidRPr="00CA64D8">
        <w:rPr>
          <w:sz w:val="24"/>
          <w:szCs w:val="24"/>
        </w:rPr>
        <w:t>lp til at tage kliniske beslutninger, f.eks. ved overdosering</w:t>
      </w:r>
      <w:r>
        <w:rPr>
          <w:sz w:val="24"/>
          <w:szCs w:val="24"/>
        </w:rPr>
        <w:t xml:space="preserve"> </w:t>
      </w:r>
      <w:r w:rsidRPr="00CA64D8">
        <w:rPr>
          <w:sz w:val="24"/>
          <w:szCs w:val="24"/>
        </w:rPr>
        <w:t>og akut kirurgi.</w:t>
      </w:r>
    </w:p>
    <w:p w14:paraId="2EA318DE" w14:textId="520F6580" w:rsidR="00510592" w:rsidRDefault="005105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3B5C301" w14:textId="77777777" w:rsidR="005555A4" w:rsidRPr="00CA64D8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A04F5C0" w14:textId="77777777" w:rsidR="005555A4" w:rsidRPr="00CA64D8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A64D8">
        <w:rPr>
          <w:sz w:val="24"/>
          <w:szCs w:val="24"/>
          <w:u w:val="single"/>
        </w:rPr>
        <w:t>Klinisk virkning og sikkerhed</w:t>
      </w:r>
    </w:p>
    <w:p w14:paraId="5B54AB9B" w14:textId="77777777" w:rsidR="005555A4" w:rsidRPr="00CA64D8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E82B54B" w14:textId="77777777" w:rsidR="005555A4" w:rsidRPr="009B3D87" w:rsidRDefault="005555A4" w:rsidP="005555A4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Forebyggelse af apopleksi og systemisk emboli hos patienter med non-valvulær atrieflimren (NVAF)</w:t>
      </w:r>
    </w:p>
    <w:p w14:paraId="4771A489" w14:textId="2C1D3B8A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 xml:space="preserve">I alt </w:t>
      </w:r>
      <w:r w:rsidR="00602878">
        <w:rPr>
          <w:sz w:val="24"/>
          <w:szCs w:val="24"/>
        </w:rPr>
        <w:t xml:space="preserve">blev </w:t>
      </w:r>
      <w:r w:rsidRPr="004210A2">
        <w:rPr>
          <w:sz w:val="24"/>
          <w:szCs w:val="24"/>
        </w:rPr>
        <w:t>23.799 patienter randomiseret i det kliniske program (ARISTOTLE: apixaban versus</w:t>
      </w:r>
      <w:r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warfarin, AVERROES: apixaban versus ASA) herunder 11.927 randomiseret til apixaban.</w:t>
      </w:r>
    </w:p>
    <w:p w14:paraId="6DC1EEA3" w14:textId="4982F536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Programmet var tilrettelagt med henblik p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 xml:space="preserve"> at p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vise apixabans</w:t>
      </w:r>
      <w:r w:rsidR="000E65E5">
        <w:rPr>
          <w:sz w:val="24"/>
          <w:szCs w:val="24"/>
        </w:rPr>
        <w:t xml:space="preserve"> virkning og</w:t>
      </w:r>
      <w:r w:rsidRPr="004210A2">
        <w:rPr>
          <w:sz w:val="24"/>
          <w:szCs w:val="24"/>
        </w:rPr>
        <w:t xml:space="preserve"> sikkerhed til forebyggelse af</w:t>
      </w:r>
      <w:r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apopleksi og systemisk emboli hos patienter med non-valvul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r atrieflimren (NVAF) og en eller flere</w:t>
      </w:r>
      <w:r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risikofaktorer s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som:</w:t>
      </w:r>
    </w:p>
    <w:p w14:paraId="43ECDF5F" w14:textId="77777777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• tidligere apopleksi eller transitorisk isk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misk attak (TIA)</w:t>
      </w:r>
    </w:p>
    <w:p w14:paraId="71421899" w14:textId="77777777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 xml:space="preserve">• alder </w:t>
      </w:r>
      <w:r w:rsidRPr="004210A2">
        <w:rPr>
          <w:rFonts w:hint="eastAsia"/>
          <w:sz w:val="24"/>
          <w:szCs w:val="24"/>
        </w:rPr>
        <w:t>≥</w:t>
      </w:r>
      <w:r w:rsidRPr="004210A2">
        <w:rPr>
          <w:sz w:val="24"/>
          <w:szCs w:val="24"/>
        </w:rPr>
        <w:t xml:space="preserve"> 75 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>r</w:t>
      </w:r>
    </w:p>
    <w:p w14:paraId="0FB6A4AA" w14:textId="77777777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• hypertension</w:t>
      </w:r>
    </w:p>
    <w:p w14:paraId="6CD7C3A1" w14:textId="77777777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• diabetes mellitus</w:t>
      </w:r>
    </w:p>
    <w:p w14:paraId="2C78E855" w14:textId="77777777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 xml:space="preserve">• symptomatisk hjertesvigt (NYHA-klasse </w:t>
      </w:r>
      <w:r w:rsidRPr="004210A2">
        <w:rPr>
          <w:rFonts w:hint="eastAsia"/>
          <w:sz w:val="24"/>
          <w:szCs w:val="24"/>
        </w:rPr>
        <w:t>≥</w:t>
      </w:r>
      <w:r w:rsidRPr="004210A2">
        <w:rPr>
          <w:sz w:val="24"/>
          <w:szCs w:val="24"/>
        </w:rPr>
        <w:t xml:space="preserve"> II)</w:t>
      </w:r>
    </w:p>
    <w:p w14:paraId="3575CDA3" w14:textId="77777777" w:rsidR="005555A4" w:rsidRPr="004210A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035EA802" w14:textId="77777777" w:rsidR="005555A4" w:rsidRPr="004210A2" w:rsidRDefault="005555A4" w:rsidP="005555A4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4210A2">
        <w:rPr>
          <w:i/>
          <w:iCs/>
          <w:sz w:val="24"/>
          <w:szCs w:val="24"/>
          <w:u w:val="single"/>
        </w:rPr>
        <w:t>ARISTOTLE-studiet</w:t>
      </w:r>
    </w:p>
    <w:p w14:paraId="01EE4D41" w14:textId="3B123C0C" w:rsidR="008D7F3A" w:rsidRPr="008D7F3A" w:rsidRDefault="005555A4" w:rsidP="008D7F3A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I ARISTOTLE-studiet blev i alt 18.201 patienter randomiseret til dobbeltblind behandling med</w:t>
      </w:r>
      <w:r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apixaban 5 mg to gange daglig (eller 2,5 mg to gange daglig til udvalgte patienter [4,7 %], se pkt. 4.2)</w:t>
      </w:r>
      <w:r>
        <w:rPr>
          <w:sz w:val="24"/>
          <w:szCs w:val="24"/>
        </w:rPr>
        <w:t xml:space="preserve"> </w:t>
      </w:r>
      <w:r w:rsidR="008D7F3A" w:rsidRPr="008D7F3A">
        <w:rPr>
          <w:sz w:val="24"/>
          <w:szCs w:val="24"/>
        </w:rPr>
        <w:t>eller warfarin (ønsket INR-område 2,0-3,0), patienter fik det aktive stof i studiet i 20 måneder gennemsnitlig</w:t>
      </w:r>
      <w:r w:rsidR="003541A1">
        <w:rPr>
          <w:sz w:val="24"/>
          <w:szCs w:val="24"/>
        </w:rPr>
        <w:t>t</w:t>
      </w:r>
      <w:r w:rsidR="008D7F3A" w:rsidRPr="008D7F3A">
        <w:rPr>
          <w:sz w:val="24"/>
          <w:szCs w:val="24"/>
        </w:rPr>
        <w:t>. Gennemsnitsalderen var 69,1 år, gennemsnitlig CHADS</w:t>
      </w:r>
      <w:r w:rsidR="008D7F3A" w:rsidRPr="008D7F3A">
        <w:rPr>
          <w:sz w:val="24"/>
          <w:szCs w:val="24"/>
          <w:vertAlign w:val="subscript"/>
        </w:rPr>
        <w:t>2</w:t>
      </w:r>
      <w:r w:rsidR="008D7F3A" w:rsidRPr="008D7F3A">
        <w:rPr>
          <w:sz w:val="24"/>
          <w:szCs w:val="24"/>
        </w:rPr>
        <w:t xml:space="preserve"> score var 2,1 og 18,9</w:t>
      </w:r>
      <w:r w:rsidR="003541A1">
        <w:rPr>
          <w:sz w:val="24"/>
          <w:szCs w:val="24"/>
        </w:rPr>
        <w:t xml:space="preserve"> </w:t>
      </w:r>
      <w:r w:rsidR="008D7F3A" w:rsidRPr="008D7F3A">
        <w:rPr>
          <w:sz w:val="24"/>
          <w:szCs w:val="24"/>
        </w:rPr>
        <w:t xml:space="preserve">% af patienterne havde haft forudgående apopleksi eller TIA. </w:t>
      </w:r>
    </w:p>
    <w:p w14:paraId="392AE6F7" w14:textId="734D9231" w:rsidR="005555A4" w:rsidRPr="004210A2" w:rsidRDefault="005555A4" w:rsidP="005555A4">
      <w:pPr>
        <w:suppressAutoHyphens/>
        <w:ind w:left="851"/>
        <w:rPr>
          <w:sz w:val="24"/>
          <w:szCs w:val="24"/>
        </w:rPr>
      </w:pPr>
    </w:p>
    <w:p w14:paraId="3DEB5AC9" w14:textId="35B97672" w:rsidR="005555A4" w:rsidRPr="004210A2" w:rsidRDefault="005555A4" w:rsidP="005555A4">
      <w:pPr>
        <w:suppressAutoHyphens/>
        <w:ind w:left="851"/>
        <w:rPr>
          <w:sz w:val="24"/>
          <w:szCs w:val="24"/>
        </w:rPr>
      </w:pPr>
      <w:r w:rsidRPr="004210A2">
        <w:rPr>
          <w:sz w:val="24"/>
          <w:szCs w:val="24"/>
        </w:rPr>
        <w:t>I studiet var apixaban statistisk signifikant overlegen p</w:t>
      </w:r>
      <w:r w:rsidRPr="004210A2">
        <w:rPr>
          <w:rFonts w:hint="eastAsia"/>
          <w:sz w:val="24"/>
          <w:szCs w:val="24"/>
        </w:rPr>
        <w:t>å</w:t>
      </w:r>
      <w:r w:rsidRPr="004210A2">
        <w:rPr>
          <w:sz w:val="24"/>
          <w:szCs w:val="24"/>
        </w:rPr>
        <w:t xml:space="preserve"> det prim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re endepunkt for forebyggelse af</w:t>
      </w:r>
      <w:r>
        <w:rPr>
          <w:sz w:val="24"/>
          <w:szCs w:val="24"/>
        </w:rPr>
        <w:t xml:space="preserve"> </w:t>
      </w:r>
      <w:r w:rsidRPr="004210A2">
        <w:rPr>
          <w:sz w:val="24"/>
          <w:szCs w:val="24"/>
        </w:rPr>
        <w:t>apopleksi (h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>moragisk eller isk</w:t>
      </w:r>
      <w:r w:rsidRPr="004210A2">
        <w:rPr>
          <w:rFonts w:hint="eastAsia"/>
          <w:sz w:val="24"/>
          <w:szCs w:val="24"/>
        </w:rPr>
        <w:t>æ</w:t>
      </w:r>
      <w:r w:rsidRPr="004210A2">
        <w:rPr>
          <w:sz w:val="24"/>
          <w:szCs w:val="24"/>
        </w:rPr>
        <w:t xml:space="preserve">misk) og systemisk emboli (se tabel </w:t>
      </w:r>
      <w:r w:rsidR="003541A1">
        <w:rPr>
          <w:sz w:val="24"/>
          <w:szCs w:val="24"/>
        </w:rPr>
        <w:t>4</w:t>
      </w:r>
      <w:r w:rsidRPr="004210A2">
        <w:rPr>
          <w:sz w:val="24"/>
          <w:szCs w:val="24"/>
        </w:rPr>
        <w:t>) sammenlignet med warfarin.</w:t>
      </w:r>
    </w:p>
    <w:p w14:paraId="0906AEAF" w14:textId="77777777" w:rsidR="005555A4" w:rsidRPr="004210A2" w:rsidRDefault="005555A4" w:rsidP="005555A4">
      <w:pPr>
        <w:suppressAutoHyphens/>
        <w:ind w:left="851"/>
        <w:rPr>
          <w:sz w:val="24"/>
          <w:szCs w:val="24"/>
        </w:rPr>
      </w:pPr>
    </w:p>
    <w:p w14:paraId="606824FF" w14:textId="66CBA548" w:rsidR="005555A4" w:rsidRPr="00A80761" w:rsidRDefault="005555A4" w:rsidP="005555A4">
      <w:pPr>
        <w:rPr>
          <w:b/>
          <w:bCs/>
          <w:sz w:val="22"/>
          <w:szCs w:val="22"/>
        </w:rPr>
      </w:pPr>
      <w:r w:rsidRPr="00647114">
        <w:rPr>
          <w:b/>
          <w:bCs/>
          <w:sz w:val="22"/>
          <w:szCs w:val="22"/>
        </w:rPr>
        <w:t xml:space="preserve">Tabel </w:t>
      </w:r>
      <w:r w:rsidR="00BB7613">
        <w:rPr>
          <w:b/>
          <w:bCs/>
          <w:sz w:val="22"/>
          <w:szCs w:val="22"/>
        </w:rPr>
        <w:t>4</w:t>
      </w:r>
      <w:r w:rsidRPr="00647114">
        <w:rPr>
          <w:b/>
          <w:bCs/>
          <w:sz w:val="22"/>
          <w:szCs w:val="22"/>
        </w:rPr>
        <w:t>: Effektresultater hos patienter med atrieflimren i ARISTOTLE</w:t>
      </w:r>
      <w:r w:rsidRPr="00647114">
        <w:rPr>
          <w:rFonts w:hint="eastAsia"/>
          <w:b/>
          <w:bCs/>
          <w:sz w:val="22"/>
          <w:szCs w:val="22"/>
        </w:rPr>
        <w:t>‑</w:t>
      </w:r>
      <w:r w:rsidRPr="00647114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1586"/>
        <w:gridCol w:w="1583"/>
        <w:gridCol w:w="2352"/>
        <w:gridCol w:w="1276"/>
      </w:tblGrid>
      <w:tr w:rsidR="005555A4" w:rsidRPr="00F635CF" w14:paraId="227BCD7B" w14:textId="77777777" w:rsidTr="005555A4">
        <w:trPr>
          <w:trHeight w:val="713"/>
          <w:jc w:val="center"/>
        </w:trPr>
        <w:tc>
          <w:tcPr>
            <w:tcW w:w="2674" w:type="dxa"/>
          </w:tcPr>
          <w:p w14:paraId="16603809" w14:textId="77777777" w:rsidR="005555A4" w:rsidRPr="00F635CF" w:rsidRDefault="005555A4" w:rsidP="005555A4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67" w:type="dxa"/>
          </w:tcPr>
          <w:p w14:paraId="04526C3E" w14:textId="77777777" w:rsidR="005555A4" w:rsidRPr="00F635CF" w:rsidRDefault="005555A4" w:rsidP="005555A4">
            <w:pPr>
              <w:pStyle w:val="TableParagraph"/>
              <w:spacing w:beforeLines="60" w:before="144" w:after="60" w:line="249" w:lineRule="auto"/>
              <w:ind w:left="-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690F3820" w14:textId="77777777" w:rsidR="005555A4" w:rsidRPr="00F635CF" w:rsidRDefault="005555A4" w:rsidP="005555A4">
            <w:pPr>
              <w:pStyle w:val="TableParagraph"/>
              <w:spacing w:beforeLines="60" w:before="144" w:after="60" w:line="249" w:lineRule="auto"/>
              <w:ind w:left="-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N=9.120</w:t>
            </w:r>
          </w:p>
          <w:p w14:paraId="07E906E9" w14:textId="6645F051" w:rsidR="005555A4" w:rsidRPr="00F635CF" w:rsidRDefault="005555A4" w:rsidP="005555A4">
            <w:pPr>
              <w:pStyle w:val="TableParagraph"/>
              <w:spacing w:beforeLines="60" w:before="144" w:after="60" w:line="208" w:lineRule="exact"/>
              <w:ind w:left="-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 w:rsidRPr="00F635CF">
              <w:rPr>
                <w:rFonts w:ascii="Times New Roman" w:hAnsi="Times New Roman" w:cs="Times New Roman"/>
                <w:b/>
                <w:spacing w:val="-16"/>
                <w:w w:val="105"/>
                <w:lang w:val="en-GB"/>
              </w:rPr>
              <w:t xml:space="preserve"> </w:t>
            </w: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1065" w:type="dxa"/>
          </w:tcPr>
          <w:p w14:paraId="11BABF9C" w14:textId="77777777" w:rsidR="005555A4" w:rsidRPr="00F635CF" w:rsidRDefault="005555A4" w:rsidP="005555A4">
            <w:pPr>
              <w:pStyle w:val="TableParagraph"/>
              <w:spacing w:beforeLines="60" w:before="144" w:after="60" w:line="249" w:lineRule="auto"/>
              <w:ind w:left="164" w:hanging="52"/>
              <w:jc w:val="center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spacing w:val="-1"/>
                <w:lang w:val="en-GB"/>
              </w:rPr>
              <w:t>Warfarin</w:t>
            </w:r>
          </w:p>
          <w:p w14:paraId="44558888" w14:textId="77777777" w:rsidR="005555A4" w:rsidRPr="00F635CF" w:rsidRDefault="005555A4" w:rsidP="005555A4">
            <w:pPr>
              <w:pStyle w:val="TableParagraph"/>
              <w:spacing w:beforeLines="60" w:before="144" w:after="60" w:line="249" w:lineRule="auto"/>
              <w:ind w:left="164" w:hanging="52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N=9.081</w:t>
            </w:r>
          </w:p>
          <w:p w14:paraId="2063A07A" w14:textId="24212F4A" w:rsidR="005555A4" w:rsidRPr="00F635CF" w:rsidRDefault="005555A4" w:rsidP="005555A4">
            <w:pPr>
              <w:pStyle w:val="TableParagraph"/>
              <w:spacing w:beforeLines="60" w:before="144" w:after="60" w:line="208" w:lineRule="exact"/>
              <w:ind w:left="14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 w:rsidRPr="00F635CF">
              <w:rPr>
                <w:rFonts w:ascii="Times New Roman" w:hAnsi="Times New Roman" w:cs="Times New Roman"/>
                <w:b/>
                <w:spacing w:val="-15"/>
                <w:w w:val="105"/>
                <w:lang w:val="en-GB"/>
              </w:rPr>
              <w:t xml:space="preserve"> </w:t>
            </w: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1582" w:type="dxa"/>
          </w:tcPr>
          <w:p w14:paraId="29101E58" w14:textId="77777777" w:rsidR="005555A4" w:rsidRPr="00F635CF" w:rsidRDefault="005555A4" w:rsidP="005555A4">
            <w:pPr>
              <w:pStyle w:val="TableParagraph"/>
              <w:spacing w:beforeLines="60" w:before="144" w:after="60" w:line="249" w:lineRule="auto"/>
              <w:ind w:left="374" w:hanging="184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6A68EE62" w14:textId="77777777" w:rsidR="005555A4" w:rsidRPr="00F635CF" w:rsidRDefault="005555A4" w:rsidP="005555A4">
            <w:pPr>
              <w:pStyle w:val="TableParagraph"/>
              <w:spacing w:beforeLines="60" w:before="144" w:after="60" w:line="249" w:lineRule="auto"/>
              <w:ind w:left="374" w:hanging="18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(95 % CI)</w:t>
            </w:r>
          </w:p>
        </w:tc>
        <w:tc>
          <w:tcPr>
            <w:tcW w:w="858" w:type="dxa"/>
          </w:tcPr>
          <w:p w14:paraId="568E0C54" w14:textId="77777777" w:rsidR="005555A4" w:rsidRPr="00F635CF" w:rsidRDefault="005555A4" w:rsidP="005555A4">
            <w:pPr>
              <w:pStyle w:val="TableParagraph"/>
              <w:spacing w:beforeLines="60" w:before="144" w:after="60"/>
              <w:ind w:left="10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p-værdi</w:t>
            </w:r>
          </w:p>
        </w:tc>
      </w:tr>
      <w:tr w:rsidR="005555A4" w:rsidRPr="00F635CF" w14:paraId="361ABAAB" w14:textId="77777777" w:rsidTr="005555A4">
        <w:trPr>
          <w:trHeight w:val="237"/>
          <w:jc w:val="center"/>
        </w:trPr>
        <w:tc>
          <w:tcPr>
            <w:tcW w:w="2674" w:type="dxa"/>
          </w:tcPr>
          <w:p w14:paraId="0286AECB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15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Apopleksi eller systemisk emboli</w:t>
            </w:r>
          </w:p>
        </w:tc>
        <w:tc>
          <w:tcPr>
            <w:tcW w:w="1067" w:type="dxa"/>
          </w:tcPr>
          <w:p w14:paraId="03EC63B0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9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212 (1,27)</w:t>
            </w:r>
          </w:p>
        </w:tc>
        <w:tc>
          <w:tcPr>
            <w:tcW w:w="1065" w:type="dxa"/>
          </w:tcPr>
          <w:p w14:paraId="1EB9046C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73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265 (1,60)</w:t>
            </w:r>
          </w:p>
        </w:tc>
        <w:tc>
          <w:tcPr>
            <w:tcW w:w="1582" w:type="dxa"/>
          </w:tcPr>
          <w:p w14:paraId="3AEB7785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0,79 (0,66; 0,95)</w:t>
            </w:r>
          </w:p>
        </w:tc>
        <w:tc>
          <w:tcPr>
            <w:tcW w:w="858" w:type="dxa"/>
          </w:tcPr>
          <w:p w14:paraId="7655012B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14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0,0114</w:t>
            </w:r>
          </w:p>
        </w:tc>
      </w:tr>
      <w:tr w:rsidR="005555A4" w:rsidRPr="00F635CF" w14:paraId="101A471E" w14:textId="77777777" w:rsidTr="005555A4">
        <w:trPr>
          <w:trHeight w:val="237"/>
          <w:jc w:val="center"/>
        </w:trPr>
        <w:tc>
          <w:tcPr>
            <w:tcW w:w="2674" w:type="dxa"/>
          </w:tcPr>
          <w:p w14:paraId="3A780943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26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Apopleksi</w:t>
            </w:r>
          </w:p>
        </w:tc>
        <w:tc>
          <w:tcPr>
            <w:tcW w:w="1067" w:type="dxa"/>
          </w:tcPr>
          <w:p w14:paraId="2A0832B2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65" w:type="dxa"/>
          </w:tcPr>
          <w:p w14:paraId="178DAAF6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2" w:type="dxa"/>
          </w:tcPr>
          <w:p w14:paraId="30E4601B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8" w:type="dxa"/>
          </w:tcPr>
          <w:p w14:paraId="4447C340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F635CF" w14:paraId="20DC177D" w14:textId="77777777" w:rsidTr="005555A4">
        <w:trPr>
          <w:trHeight w:val="237"/>
          <w:jc w:val="center"/>
        </w:trPr>
        <w:tc>
          <w:tcPr>
            <w:tcW w:w="2674" w:type="dxa"/>
          </w:tcPr>
          <w:p w14:paraId="5B270DB5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426" w:right="90" w:firstLine="14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Iskæmisk eller uspecificeret</w:t>
            </w:r>
          </w:p>
        </w:tc>
        <w:tc>
          <w:tcPr>
            <w:tcW w:w="1067" w:type="dxa"/>
          </w:tcPr>
          <w:p w14:paraId="0445C15C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162 (0,97)</w:t>
            </w:r>
          </w:p>
        </w:tc>
        <w:tc>
          <w:tcPr>
            <w:tcW w:w="1065" w:type="dxa"/>
          </w:tcPr>
          <w:p w14:paraId="0317896B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74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175 (1,05)</w:t>
            </w:r>
          </w:p>
        </w:tc>
        <w:tc>
          <w:tcPr>
            <w:tcW w:w="1582" w:type="dxa"/>
          </w:tcPr>
          <w:p w14:paraId="38FF7AAE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8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0,92 (0,74; 1,13)</w:t>
            </w:r>
          </w:p>
        </w:tc>
        <w:tc>
          <w:tcPr>
            <w:tcW w:w="858" w:type="dxa"/>
          </w:tcPr>
          <w:p w14:paraId="3C123084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F635CF" w14:paraId="3C65C0CF" w14:textId="77777777" w:rsidTr="005555A4">
        <w:trPr>
          <w:trHeight w:val="237"/>
          <w:jc w:val="center"/>
        </w:trPr>
        <w:tc>
          <w:tcPr>
            <w:tcW w:w="2674" w:type="dxa"/>
          </w:tcPr>
          <w:p w14:paraId="367DE097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502" w:firstLine="6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Hæmoragisk</w:t>
            </w:r>
          </w:p>
        </w:tc>
        <w:tc>
          <w:tcPr>
            <w:tcW w:w="1067" w:type="dxa"/>
          </w:tcPr>
          <w:p w14:paraId="161DD3F4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40 (0,24)</w:t>
            </w:r>
          </w:p>
        </w:tc>
        <w:tc>
          <w:tcPr>
            <w:tcW w:w="1065" w:type="dxa"/>
          </w:tcPr>
          <w:p w14:paraId="1158FBFA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left="72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78 (0,47)</w:t>
            </w:r>
          </w:p>
        </w:tc>
        <w:tc>
          <w:tcPr>
            <w:tcW w:w="1582" w:type="dxa"/>
          </w:tcPr>
          <w:p w14:paraId="1DC77279" w14:textId="77777777" w:rsidR="005555A4" w:rsidRPr="00F635CF" w:rsidRDefault="005555A4" w:rsidP="005555A4">
            <w:pPr>
              <w:pStyle w:val="TableParagraph"/>
              <w:spacing w:beforeLines="60" w:before="144" w:after="60" w:line="212" w:lineRule="exact"/>
              <w:ind w:right="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0,51 (0,35; 0,75)</w:t>
            </w:r>
          </w:p>
        </w:tc>
        <w:tc>
          <w:tcPr>
            <w:tcW w:w="858" w:type="dxa"/>
          </w:tcPr>
          <w:p w14:paraId="077F5ED5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F635CF" w14:paraId="151BA94B" w14:textId="77777777" w:rsidTr="005555A4">
        <w:trPr>
          <w:trHeight w:val="238"/>
          <w:jc w:val="center"/>
        </w:trPr>
        <w:tc>
          <w:tcPr>
            <w:tcW w:w="2674" w:type="dxa"/>
          </w:tcPr>
          <w:p w14:paraId="26A29E37" w14:textId="77777777" w:rsidR="005555A4" w:rsidRPr="00F635CF" w:rsidRDefault="005555A4" w:rsidP="005555A4">
            <w:pPr>
              <w:pStyle w:val="TableParagraph"/>
              <w:spacing w:beforeLines="60" w:before="144" w:after="60" w:line="213" w:lineRule="exact"/>
              <w:ind w:left="26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Systemisk emboli</w:t>
            </w:r>
          </w:p>
        </w:tc>
        <w:tc>
          <w:tcPr>
            <w:tcW w:w="1067" w:type="dxa"/>
          </w:tcPr>
          <w:p w14:paraId="479C75BA" w14:textId="77777777" w:rsidR="005555A4" w:rsidRPr="00F635CF" w:rsidRDefault="005555A4" w:rsidP="005555A4">
            <w:pPr>
              <w:pStyle w:val="TableParagraph"/>
              <w:spacing w:beforeLines="60" w:before="144" w:after="60" w:line="213" w:lineRule="exact"/>
              <w:ind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15 (0,09)</w:t>
            </w:r>
          </w:p>
        </w:tc>
        <w:tc>
          <w:tcPr>
            <w:tcW w:w="1065" w:type="dxa"/>
          </w:tcPr>
          <w:p w14:paraId="585D40ED" w14:textId="77777777" w:rsidR="005555A4" w:rsidRPr="00F635CF" w:rsidRDefault="005555A4" w:rsidP="005555A4">
            <w:pPr>
              <w:pStyle w:val="TableParagraph"/>
              <w:spacing w:beforeLines="60" w:before="144" w:after="60" w:line="213" w:lineRule="exact"/>
              <w:ind w:left="74" w:right="6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17 (0,10)</w:t>
            </w:r>
          </w:p>
        </w:tc>
        <w:tc>
          <w:tcPr>
            <w:tcW w:w="1582" w:type="dxa"/>
          </w:tcPr>
          <w:p w14:paraId="0C90B492" w14:textId="77777777" w:rsidR="005555A4" w:rsidRPr="00F635CF" w:rsidRDefault="005555A4" w:rsidP="005555A4">
            <w:pPr>
              <w:pStyle w:val="TableParagraph"/>
              <w:spacing w:beforeLines="60" w:before="144" w:after="60" w:line="213" w:lineRule="exact"/>
              <w:ind w:right="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0,87 (0,44; 1,75)</w:t>
            </w:r>
          </w:p>
        </w:tc>
        <w:tc>
          <w:tcPr>
            <w:tcW w:w="858" w:type="dxa"/>
          </w:tcPr>
          <w:p w14:paraId="266BEACE" w14:textId="77777777" w:rsidR="005555A4" w:rsidRPr="00F635CF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3A6E85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9AEE113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Hos patienter randomiseret til warfarin var gennemsnitstid i terapeutisk interval (TTI) (INR 2-3) 66 %.</w:t>
      </w:r>
    </w:p>
    <w:p w14:paraId="64FD59EF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</w:p>
    <w:p w14:paraId="66702354" w14:textId="3DDCE73A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Apixaban gav</w:t>
      </w:r>
      <w:r w:rsidR="00BB7613">
        <w:rPr>
          <w:sz w:val="24"/>
          <w:szCs w:val="24"/>
        </w:rPr>
        <w:t xml:space="preserve"> en</w:t>
      </w:r>
      <w:r w:rsidRPr="00F635CF">
        <w:rPr>
          <w:sz w:val="24"/>
          <w:szCs w:val="24"/>
        </w:rPr>
        <w:t xml:space="preserve"> reduktion af apopleksi og systemisk emboli sammenlignet med warfarin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tv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rs af de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forskellige niveauer af center TTI; i den h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jeste kvartil af TTI </w:t>
      </w:r>
      <w:r w:rsidR="00BB7613">
        <w:rPr>
          <w:sz w:val="24"/>
          <w:szCs w:val="24"/>
        </w:rPr>
        <w:t xml:space="preserve">i forhold til center </w:t>
      </w:r>
      <w:r w:rsidRPr="00F635CF">
        <w:rPr>
          <w:sz w:val="24"/>
          <w:szCs w:val="24"/>
        </w:rPr>
        <w:t>var hazard ratio for apixaban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versus warfarin 0,73 (95 % CI, 0,38</w:t>
      </w:r>
      <w:r w:rsidR="0053509A">
        <w:rPr>
          <w:sz w:val="24"/>
          <w:szCs w:val="24"/>
        </w:rPr>
        <w:t>,</w:t>
      </w:r>
      <w:r w:rsidRPr="00F635CF">
        <w:rPr>
          <w:sz w:val="24"/>
          <w:szCs w:val="24"/>
        </w:rPr>
        <w:t xml:space="preserve"> 1,40).</w:t>
      </w:r>
    </w:p>
    <w:p w14:paraId="770830DE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</w:p>
    <w:p w14:paraId="1047AF4F" w14:textId="335DDECA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lastRenderedPageBreak/>
        <w:t>Sekund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 xml:space="preserve">re endepunkter for </w:t>
      </w:r>
      <w:r w:rsidR="006501F9">
        <w:rPr>
          <w:sz w:val="24"/>
          <w:szCs w:val="24"/>
        </w:rPr>
        <w:t>major blødning</w:t>
      </w:r>
      <w:r w:rsidRPr="00F635CF">
        <w:rPr>
          <w:sz w:val="24"/>
          <w:szCs w:val="24"/>
        </w:rPr>
        <w:t xml:space="preserve"> og 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d uanset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 blev testet i en pr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specificeret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hierarkisk teststrategi for at kontrollere for den generelle type 1-fejl i </w:t>
      </w:r>
      <w:r w:rsidR="006B51BF">
        <w:rPr>
          <w:sz w:val="24"/>
          <w:szCs w:val="24"/>
        </w:rPr>
        <w:t>studiet</w:t>
      </w:r>
      <w:r w:rsidRPr="00F635CF">
        <w:rPr>
          <w:sz w:val="24"/>
          <w:szCs w:val="24"/>
        </w:rPr>
        <w:t xml:space="preserve">. Der blev </w:t>
      </w:r>
      <w:r w:rsidR="006B51BF">
        <w:rPr>
          <w:sz w:val="24"/>
          <w:szCs w:val="24"/>
        </w:rPr>
        <w:t xml:space="preserve">også </w:t>
      </w:r>
      <w:r w:rsidRPr="00F635CF">
        <w:rPr>
          <w:sz w:val="24"/>
          <w:szCs w:val="24"/>
        </w:rPr>
        <w:t>opn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et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statistisk signifikant </w:t>
      </w:r>
      <w:r w:rsidR="006B51BF">
        <w:rPr>
          <w:sz w:val="24"/>
          <w:szCs w:val="24"/>
        </w:rPr>
        <w:t>fordel</w:t>
      </w:r>
      <w:r w:rsidRPr="00F635CF">
        <w:rPr>
          <w:sz w:val="24"/>
          <w:szCs w:val="24"/>
        </w:rPr>
        <w:t xml:space="preserve">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de sekund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endepunkter for b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de </w:t>
      </w:r>
      <w:r w:rsidR="006501F9">
        <w:rPr>
          <w:sz w:val="24"/>
          <w:szCs w:val="24"/>
        </w:rPr>
        <w:t>major blødning</w:t>
      </w:r>
      <w:r w:rsidRPr="00F635CF">
        <w:rPr>
          <w:sz w:val="24"/>
          <w:szCs w:val="24"/>
        </w:rPr>
        <w:t xml:space="preserve"> og 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uanset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rsag (se tabel </w:t>
      </w:r>
      <w:r w:rsidR="006B51BF">
        <w:rPr>
          <w:sz w:val="24"/>
          <w:szCs w:val="24"/>
        </w:rPr>
        <w:t>5</w:t>
      </w:r>
      <w:r w:rsidRPr="00F635CF">
        <w:rPr>
          <w:sz w:val="24"/>
          <w:szCs w:val="24"/>
        </w:rPr>
        <w:t>). Med forbedret monitorering af INR mindskes de observerede fordele ved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apixaban i forhold til warfarin </w:t>
      </w:r>
      <w:r w:rsidR="00B56FE2">
        <w:rPr>
          <w:sz w:val="24"/>
          <w:szCs w:val="24"/>
        </w:rPr>
        <w:t>med hensyn til</w:t>
      </w:r>
      <w:r w:rsidRPr="00F635CF">
        <w:rPr>
          <w:sz w:val="24"/>
          <w:szCs w:val="24"/>
        </w:rPr>
        <w:t xml:space="preserve"> 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d uanset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rsag.</w:t>
      </w:r>
    </w:p>
    <w:p w14:paraId="291D2A84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5EF4C1FF" w14:textId="6DA4765F" w:rsidR="005555A4" w:rsidRPr="00FD4C9B" w:rsidRDefault="005555A4" w:rsidP="005555A4">
      <w:pPr>
        <w:rPr>
          <w:b/>
          <w:bCs/>
          <w:sz w:val="22"/>
          <w:szCs w:val="22"/>
        </w:rPr>
      </w:pPr>
      <w:r w:rsidRPr="00667B71">
        <w:rPr>
          <w:b/>
          <w:bCs/>
          <w:sz w:val="22"/>
          <w:szCs w:val="22"/>
        </w:rPr>
        <w:t xml:space="preserve">Tabel </w:t>
      </w:r>
      <w:r w:rsidR="00B56FE2">
        <w:rPr>
          <w:b/>
          <w:bCs/>
          <w:sz w:val="22"/>
          <w:szCs w:val="22"/>
        </w:rPr>
        <w:t>5</w:t>
      </w:r>
      <w:r w:rsidRPr="00667B71">
        <w:rPr>
          <w:b/>
          <w:bCs/>
          <w:sz w:val="22"/>
          <w:szCs w:val="22"/>
        </w:rPr>
        <w:t>: Sekund</w:t>
      </w:r>
      <w:r w:rsidRPr="00667B71">
        <w:rPr>
          <w:rFonts w:hint="eastAsia"/>
          <w:b/>
          <w:bCs/>
          <w:sz w:val="22"/>
          <w:szCs w:val="22"/>
        </w:rPr>
        <w:t>æ</w:t>
      </w:r>
      <w:r w:rsidRPr="00667B71">
        <w:rPr>
          <w:b/>
          <w:bCs/>
          <w:sz w:val="22"/>
          <w:szCs w:val="22"/>
        </w:rPr>
        <w:t>re endepunkter hos patienter med atrieflimren i ARISTOTLE</w:t>
      </w:r>
      <w:r w:rsidRPr="00667B71">
        <w:rPr>
          <w:rFonts w:hint="eastAsia"/>
          <w:b/>
          <w:bCs/>
          <w:sz w:val="22"/>
          <w:szCs w:val="22"/>
        </w:rPr>
        <w:t>‑</w:t>
      </w:r>
      <w:r w:rsidRPr="00667B71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87"/>
        <w:gridCol w:w="2339"/>
        <w:gridCol w:w="2339"/>
        <w:gridCol w:w="1504"/>
      </w:tblGrid>
      <w:tr w:rsidR="005555A4" w:rsidRPr="00F635CF" w14:paraId="693D6A81" w14:textId="77777777" w:rsidTr="005555A4">
        <w:trPr>
          <w:trHeight w:val="713"/>
          <w:jc w:val="center"/>
        </w:trPr>
        <w:tc>
          <w:tcPr>
            <w:tcW w:w="2304" w:type="dxa"/>
          </w:tcPr>
          <w:p w14:paraId="6EC34EBE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2287" w:type="dxa"/>
          </w:tcPr>
          <w:p w14:paraId="55B0B992" w14:textId="77777777" w:rsidR="005555A4" w:rsidRPr="00F635CF" w:rsidRDefault="005555A4" w:rsidP="005555A4">
            <w:pPr>
              <w:pStyle w:val="TableParagraph"/>
              <w:spacing w:beforeLines="60" w:before="144" w:afterLines="60" w:after="144" w:line="247" w:lineRule="auto"/>
              <w:ind w:hanging="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77CBFB44" w14:textId="77777777" w:rsidR="005555A4" w:rsidRPr="00F635CF" w:rsidRDefault="005555A4" w:rsidP="005555A4">
            <w:pPr>
              <w:pStyle w:val="TableParagraph"/>
              <w:spacing w:beforeLines="60" w:before="144" w:afterLines="60" w:after="144" w:line="247" w:lineRule="auto"/>
              <w:ind w:hanging="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N=9.088</w:t>
            </w:r>
          </w:p>
          <w:p w14:paraId="677348C0" w14:textId="281FF7E3" w:rsidR="005555A4" w:rsidRPr="00F635CF" w:rsidRDefault="005555A4" w:rsidP="005555A4">
            <w:pPr>
              <w:pStyle w:val="TableParagraph"/>
              <w:spacing w:beforeLines="60" w:before="144" w:afterLines="60" w:after="144" w:line="210" w:lineRule="exact"/>
              <w:ind w:hanging="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339" w:type="dxa"/>
          </w:tcPr>
          <w:p w14:paraId="4CBAE110" w14:textId="77777777" w:rsidR="005555A4" w:rsidRPr="00F635CF" w:rsidRDefault="005555A4" w:rsidP="005555A4">
            <w:pPr>
              <w:pStyle w:val="TableParagraph"/>
              <w:spacing w:beforeLines="60" w:before="144" w:afterLines="60" w:after="144" w:line="247" w:lineRule="auto"/>
              <w:ind w:right="-2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Warfarin</w:t>
            </w:r>
          </w:p>
          <w:p w14:paraId="3859118F" w14:textId="77777777" w:rsidR="005555A4" w:rsidRPr="00F635CF" w:rsidRDefault="005555A4" w:rsidP="005555A4">
            <w:pPr>
              <w:pStyle w:val="TableParagraph"/>
              <w:spacing w:beforeLines="60" w:before="144" w:afterLines="60" w:after="144" w:line="247" w:lineRule="auto"/>
              <w:ind w:right="-2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N=</w:t>
            </w:r>
            <w:r w:rsidRPr="00F635CF">
              <w:rPr>
                <w:rFonts w:ascii="Times New Roman" w:hAnsi="Times New Roman" w:cs="Times New Roman"/>
                <w:b/>
                <w:spacing w:val="-4"/>
                <w:w w:val="105"/>
                <w:lang w:val="en-GB"/>
              </w:rPr>
              <w:t>9.052</w:t>
            </w:r>
          </w:p>
          <w:p w14:paraId="4C036042" w14:textId="6D75764F" w:rsidR="005555A4" w:rsidRPr="00F635CF" w:rsidRDefault="005555A4" w:rsidP="005555A4">
            <w:pPr>
              <w:pStyle w:val="TableParagraph"/>
              <w:spacing w:beforeLines="60" w:before="144" w:afterLines="60" w:after="144" w:line="210" w:lineRule="exact"/>
              <w:ind w:right="-2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n</w:t>
            </w:r>
            <w:r w:rsidRPr="00F635CF">
              <w:rPr>
                <w:rFonts w:ascii="Times New Roman" w:hAnsi="Times New Roman" w:cs="Times New Roman"/>
                <w:b/>
                <w:spacing w:val="-18"/>
                <w:w w:val="105"/>
                <w:lang w:val="en-GB"/>
              </w:rPr>
              <w:t xml:space="preserve"> </w:t>
            </w: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2339" w:type="dxa"/>
          </w:tcPr>
          <w:p w14:paraId="38909E7E" w14:textId="77777777" w:rsidR="005555A4" w:rsidRPr="00F635CF" w:rsidRDefault="005555A4" w:rsidP="005555A4">
            <w:pPr>
              <w:pStyle w:val="TableParagraph"/>
              <w:spacing w:beforeLines="60" w:before="144" w:afterLines="60" w:after="144" w:line="247" w:lineRule="auto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1F1D0B70" w14:textId="77777777" w:rsidR="005555A4" w:rsidRPr="00F635CF" w:rsidRDefault="005555A4" w:rsidP="005555A4">
            <w:pPr>
              <w:pStyle w:val="TableParagraph"/>
              <w:spacing w:beforeLines="60" w:before="144" w:afterLines="60" w:after="144" w:line="247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w w:val="105"/>
                <w:lang w:val="en-GB"/>
              </w:rPr>
              <w:t>(95 % CI)</w:t>
            </w:r>
          </w:p>
        </w:tc>
        <w:tc>
          <w:tcPr>
            <w:tcW w:w="1504" w:type="dxa"/>
          </w:tcPr>
          <w:p w14:paraId="384C7BFD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635CF">
              <w:rPr>
                <w:rFonts w:ascii="Times New Roman" w:hAnsi="Times New Roman" w:cs="Times New Roman"/>
                <w:b/>
                <w:lang w:val="en-GB"/>
              </w:rPr>
              <w:t>p-værdi</w:t>
            </w:r>
          </w:p>
        </w:tc>
      </w:tr>
      <w:tr w:rsidR="005555A4" w:rsidRPr="00F635CF" w14:paraId="4FC9E5A6" w14:textId="77777777" w:rsidTr="005555A4">
        <w:trPr>
          <w:trHeight w:val="262"/>
          <w:jc w:val="center"/>
        </w:trPr>
        <w:tc>
          <w:tcPr>
            <w:tcW w:w="10773" w:type="dxa"/>
            <w:gridSpan w:val="5"/>
          </w:tcPr>
          <w:p w14:paraId="742BCFA5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da-DK"/>
              </w:rPr>
              <w:t>Blødningsresultater</w:t>
            </w:r>
          </w:p>
        </w:tc>
      </w:tr>
      <w:tr w:rsidR="005555A4" w:rsidRPr="00F635CF" w14:paraId="6BBD7451" w14:textId="77777777" w:rsidTr="005555A4">
        <w:trPr>
          <w:trHeight w:val="260"/>
          <w:jc w:val="center"/>
        </w:trPr>
        <w:tc>
          <w:tcPr>
            <w:tcW w:w="2304" w:type="dxa"/>
          </w:tcPr>
          <w:p w14:paraId="0F7C0320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369" w:hanging="8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Major *</w:t>
            </w:r>
          </w:p>
        </w:tc>
        <w:tc>
          <w:tcPr>
            <w:tcW w:w="2287" w:type="dxa"/>
          </w:tcPr>
          <w:p w14:paraId="239092BB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327 (2,13)</w:t>
            </w:r>
          </w:p>
        </w:tc>
        <w:tc>
          <w:tcPr>
            <w:tcW w:w="2339" w:type="dxa"/>
          </w:tcPr>
          <w:p w14:paraId="7C59DAEF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462 (3,09)</w:t>
            </w:r>
          </w:p>
        </w:tc>
        <w:tc>
          <w:tcPr>
            <w:tcW w:w="2339" w:type="dxa"/>
          </w:tcPr>
          <w:p w14:paraId="1E30FC36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0,69 (0,60; 0,80)</w:t>
            </w:r>
          </w:p>
        </w:tc>
        <w:tc>
          <w:tcPr>
            <w:tcW w:w="1504" w:type="dxa"/>
          </w:tcPr>
          <w:p w14:paraId="584860FB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&lt;</w:t>
            </w:r>
            <w:r w:rsidRPr="00F635CF">
              <w:rPr>
                <w:rFonts w:ascii="Times New Roman" w:hAnsi="Times New Roman" w:cs="Times New Roman"/>
                <w:lang w:val="en-GB"/>
              </w:rPr>
              <w:t> 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0,0001</w:t>
            </w:r>
          </w:p>
        </w:tc>
      </w:tr>
      <w:tr w:rsidR="005555A4" w:rsidRPr="00F635CF" w14:paraId="0975BB99" w14:textId="77777777" w:rsidTr="005555A4">
        <w:trPr>
          <w:trHeight w:val="254"/>
          <w:jc w:val="center"/>
        </w:trPr>
        <w:tc>
          <w:tcPr>
            <w:tcW w:w="2304" w:type="dxa"/>
          </w:tcPr>
          <w:p w14:paraId="5E244049" w14:textId="77777777" w:rsidR="005555A4" w:rsidRPr="00F635CF" w:rsidRDefault="005555A4" w:rsidP="005555A4">
            <w:pPr>
              <w:pStyle w:val="TableParagraph"/>
              <w:spacing w:beforeLines="60" w:before="144" w:afterLines="60" w:after="144" w:line="229" w:lineRule="exact"/>
              <w:ind w:left="613" w:right="75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Dødelig</w:t>
            </w:r>
          </w:p>
        </w:tc>
        <w:tc>
          <w:tcPr>
            <w:tcW w:w="2287" w:type="dxa"/>
          </w:tcPr>
          <w:p w14:paraId="2FC309E9" w14:textId="77777777" w:rsidR="005555A4" w:rsidRPr="00F635CF" w:rsidRDefault="005555A4" w:rsidP="005555A4">
            <w:pPr>
              <w:pStyle w:val="TableParagraph"/>
              <w:spacing w:beforeLines="60" w:before="144" w:afterLines="60" w:after="144" w:line="229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10 (0,06)</w:t>
            </w:r>
          </w:p>
        </w:tc>
        <w:tc>
          <w:tcPr>
            <w:tcW w:w="2339" w:type="dxa"/>
          </w:tcPr>
          <w:p w14:paraId="685FFDDE" w14:textId="77777777" w:rsidR="005555A4" w:rsidRPr="00F635CF" w:rsidRDefault="005555A4" w:rsidP="005555A4">
            <w:pPr>
              <w:pStyle w:val="TableParagraph"/>
              <w:spacing w:beforeLines="60" w:before="144" w:afterLines="60" w:after="144" w:line="229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37 (0,24)</w:t>
            </w:r>
          </w:p>
        </w:tc>
        <w:tc>
          <w:tcPr>
            <w:tcW w:w="2339" w:type="dxa"/>
          </w:tcPr>
          <w:p w14:paraId="459B1FC4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4" w:type="dxa"/>
          </w:tcPr>
          <w:p w14:paraId="6B1E6E2E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F635CF" w14:paraId="5E4A0B70" w14:textId="77777777" w:rsidTr="005555A4">
        <w:trPr>
          <w:trHeight w:val="237"/>
          <w:jc w:val="center"/>
        </w:trPr>
        <w:tc>
          <w:tcPr>
            <w:tcW w:w="2304" w:type="dxa"/>
          </w:tcPr>
          <w:p w14:paraId="04AA8AD1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ind w:right="461"/>
              <w:jc w:val="right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lang w:val="en-GB"/>
              </w:rPr>
              <w:t>Intrakraniel</w:t>
            </w:r>
          </w:p>
        </w:tc>
        <w:tc>
          <w:tcPr>
            <w:tcW w:w="2287" w:type="dxa"/>
          </w:tcPr>
          <w:p w14:paraId="1D9C2A2D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52 (0,33)</w:t>
            </w:r>
          </w:p>
        </w:tc>
        <w:tc>
          <w:tcPr>
            <w:tcW w:w="2339" w:type="dxa"/>
          </w:tcPr>
          <w:p w14:paraId="0B0AC74F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122 (0,80)</w:t>
            </w:r>
          </w:p>
        </w:tc>
        <w:tc>
          <w:tcPr>
            <w:tcW w:w="2339" w:type="dxa"/>
          </w:tcPr>
          <w:p w14:paraId="378CD5B3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4" w:type="dxa"/>
          </w:tcPr>
          <w:p w14:paraId="30EF101E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F635CF" w14:paraId="6BAA1662" w14:textId="77777777" w:rsidTr="005555A4">
        <w:trPr>
          <w:trHeight w:val="260"/>
          <w:jc w:val="center"/>
        </w:trPr>
        <w:tc>
          <w:tcPr>
            <w:tcW w:w="2304" w:type="dxa"/>
          </w:tcPr>
          <w:p w14:paraId="59A5BEE6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603"/>
              <w:jc w:val="right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Major + CRNM</w:t>
            </w:r>
          </w:p>
        </w:tc>
        <w:tc>
          <w:tcPr>
            <w:tcW w:w="2287" w:type="dxa"/>
          </w:tcPr>
          <w:p w14:paraId="46995705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613 (4,07)</w:t>
            </w:r>
          </w:p>
        </w:tc>
        <w:tc>
          <w:tcPr>
            <w:tcW w:w="2339" w:type="dxa"/>
          </w:tcPr>
          <w:p w14:paraId="03AC3004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877 (6,01)</w:t>
            </w:r>
          </w:p>
        </w:tc>
        <w:tc>
          <w:tcPr>
            <w:tcW w:w="2339" w:type="dxa"/>
          </w:tcPr>
          <w:p w14:paraId="7FBAAAB8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0,68 (0,61; 0,75)</w:t>
            </w:r>
          </w:p>
        </w:tc>
        <w:tc>
          <w:tcPr>
            <w:tcW w:w="1504" w:type="dxa"/>
          </w:tcPr>
          <w:p w14:paraId="3734478F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&lt;</w:t>
            </w:r>
            <w:r w:rsidRPr="00F635CF">
              <w:rPr>
                <w:rFonts w:ascii="Times New Roman" w:hAnsi="Times New Roman" w:cs="Times New Roman"/>
                <w:lang w:val="en-GB"/>
              </w:rPr>
              <w:t> 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0,0001</w:t>
            </w:r>
          </w:p>
        </w:tc>
      </w:tr>
      <w:tr w:rsidR="005555A4" w:rsidRPr="00F635CF" w14:paraId="3E170454" w14:textId="77777777" w:rsidTr="005555A4">
        <w:trPr>
          <w:trHeight w:val="237"/>
          <w:jc w:val="center"/>
        </w:trPr>
        <w:tc>
          <w:tcPr>
            <w:tcW w:w="2304" w:type="dxa"/>
          </w:tcPr>
          <w:p w14:paraId="77299AD8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ind w:left="369" w:hanging="8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287" w:type="dxa"/>
          </w:tcPr>
          <w:p w14:paraId="12264A61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2356 (18,1)</w:t>
            </w:r>
          </w:p>
        </w:tc>
        <w:tc>
          <w:tcPr>
            <w:tcW w:w="2339" w:type="dxa"/>
          </w:tcPr>
          <w:p w14:paraId="62003318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3060 (25,8)</w:t>
            </w:r>
          </w:p>
        </w:tc>
        <w:tc>
          <w:tcPr>
            <w:tcW w:w="2339" w:type="dxa"/>
          </w:tcPr>
          <w:p w14:paraId="3CB500FA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ind w:left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0,71 (0,68; 0,75)</w:t>
            </w:r>
          </w:p>
        </w:tc>
        <w:tc>
          <w:tcPr>
            <w:tcW w:w="1504" w:type="dxa"/>
          </w:tcPr>
          <w:p w14:paraId="06F347D2" w14:textId="77777777" w:rsidR="005555A4" w:rsidRPr="00F635CF" w:rsidRDefault="005555A4" w:rsidP="005555A4">
            <w:pPr>
              <w:pStyle w:val="TableParagraph"/>
              <w:spacing w:beforeLines="60" w:before="144" w:afterLines="60" w:after="144" w:line="212" w:lineRule="exact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&lt;</w:t>
            </w:r>
            <w:r w:rsidRPr="00F635CF">
              <w:rPr>
                <w:rFonts w:ascii="Times New Roman" w:hAnsi="Times New Roman" w:cs="Times New Roman"/>
                <w:lang w:val="en-GB"/>
              </w:rPr>
              <w:t> 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0,0001</w:t>
            </w:r>
          </w:p>
        </w:tc>
      </w:tr>
      <w:tr w:rsidR="005555A4" w:rsidRPr="00F635CF" w14:paraId="720FDEF9" w14:textId="77777777" w:rsidTr="005555A4">
        <w:trPr>
          <w:trHeight w:val="350"/>
          <w:jc w:val="center"/>
        </w:trPr>
        <w:tc>
          <w:tcPr>
            <w:tcW w:w="10773" w:type="dxa"/>
            <w:gridSpan w:val="5"/>
          </w:tcPr>
          <w:p w14:paraId="140DD778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Andre endepunkter</w:t>
            </w:r>
          </w:p>
        </w:tc>
      </w:tr>
      <w:tr w:rsidR="005555A4" w:rsidRPr="00F635CF" w14:paraId="2124A678" w14:textId="77777777" w:rsidTr="005555A4">
        <w:trPr>
          <w:trHeight w:val="350"/>
          <w:jc w:val="center"/>
        </w:trPr>
        <w:tc>
          <w:tcPr>
            <w:tcW w:w="2304" w:type="dxa"/>
          </w:tcPr>
          <w:p w14:paraId="65E9E221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603"/>
              <w:jc w:val="right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Mortalitet</w:t>
            </w: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br/>
              <w:t xml:space="preserve"> uanset årsag</w:t>
            </w:r>
          </w:p>
        </w:tc>
        <w:tc>
          <w:tcPr>
            <w:tcW w:w="2287" w:type="dxa"/>
          </w:tcPr>
          <w:p w14:paraId="5894E693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603 (3,52)</w:t>
            </w:r>
          </w:p>
        </w:tc>
        <w:tc>
          <w:tcPr>
            <w:tcW w:w="2339" w:type="dxa"/>
          </w:tcPr>
          <w:p w14:paraId="635E8664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669 (3,94)</w:t>
            </w:r>
          </w:p>
        </w:tc>
        <w:tc>
          <w:tcPr>
            <w:tcW w:w="2339" w:type="dxa"/>
          </w:tcPr>
          <w:p w14:paraId="3C56A73C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9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0,89 (0,80; 1,00)</w:t>
            </w:r>
          </w:p>
        </w:tc>
        <w:tc>
          <w:tcPr>
            <w:tcW w:w="1504" w:type="dxa"/>
          </w:tcPr>
          <w:p w14:paraId="635A7AC4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lang w:val="en-GB"/>
              </w:rPr>
              <w:t>0,0465</w:t>
            </w:r>
          </w:p>
        </w:tc>
      </w:tr>
      <w:tr w:rsidR="005555A4" w:rsidRPr="00F635CF" w14:paraId="6E4C18A1" w14:textId="77777777" w:rsidTr="005555A4">
        <w:trPr>
          <w:trHeight w:val="476"/>
          <w:jc w:val="center"/>
        </w:trPr>
        <w:tc>
          <w:tcPr>
            <w:tcW w:w="2304" w:type="dxa"/>
          </w:tcPr>
          <w:p w14:paraId="16130756" w14:textId="77777777" w:rsidR="005555A4" w:rsidRPr="00F635CF" w:rsidRDefault="005555A4" w:rsidP="005555A4">
            <w:pPr>
              <w:pStyle w:val="TableParagraph"/>
              <w:spacing w:beforeLines="60" w:before="144" w:afterLines="60" w:after="144" w:line="238" w:lineRule="exact"/>
              <w:ind w:left="369" w:hanging="85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lang w:val="en-GB"/>
              </w:rPr>
              <w:t>Myokardieinfarkt</w:t>
            </w:r>
          </w:p>
        </w:tc>
        <w:tc>
          <w:tcPr>
            <w:tcW w:w="2287" w:type="dxa"/>
          </w:tcPr>
          <w:p w14:paraId="730D3B7E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90 (0,53)</w:t>
            </w:r>
          </w:p>
        </w:tc>
        <w:tc>
          <w:tcPr>
            <w:tcW w:w="2339" w:type="dxa"/>
          </w:tcPr>
          <w:p w14:paraId="5DB03507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102 (0,61)</w:t>
            </w:r>
          </w:p>
        </w:tc>
        <w:tc>
          <w:tcPr>
            <w:tcW w:w="2339" w:type="dxa"/>
          </w:tcPr>
          <w:p w14:paraId="4BEF28E1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left="9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35CF">
              <w:rPr>
                <w:rFonts w:ascii="Times New Roman" w:hAnsi="Times New Roman" w:cs="Times New Roman"/>
                <w:w w:val="105"/>
                <w:lang w:val="en-GB"/>
              </w:rPr>
              <w:t>0,88 (0,66; 1,17)</w:t>
            </w:r>
          </w:p>
        </w:tc>
        <w:tc>
          <w:tcPr>
            <w:tcW w:w="1504" w:type="dxa"/>
          </w:tcPr>
          <w:p w14:paraId="310029B0" w14:textId="77777777" w:rsidR="005555A4" w:rsidRPr="00F635CF" w:rsidRDefault="005555A4" w:rsidP="005555A4">
            <w:pPr>
              <w:pStyle w:val="TableParagraph"/>
              <w:spacing w:beforeLines="60" w:before="144" w:afterLines="60" w:after="144"/>
              <w:ind w:right="-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859D491" w14:textId="5C2241C1" w:rsidR="005555A4" w:rsidRDefault="005555A4" w:rsidP="005555A4">
      <w:pPr>
        <w:suppressAutoHyphens/>
        <w:rPr>
          <w:sz w:val="22"/>
          <w:szCs w:val="22"/>
          <w:lang w:val="en-US"/>
        </w:rPr>
      </w:pPr>
      <w:r w:rsidRPr="00594A80">
        <w:rPr>
          <w:vertAlign w:val="superscript"/>
          <w:lang w:val="en-US"/>
        </w:rPr>
        <w:t>*</w:t>
      </w:r>
      <w:r w:rsidR="004D5632">
        <w:rPr>
          <w:vertAlign w:val="superscript"/>
          <w:lang w:val="en-US"/>
        </w:rPr>
        <w:t xml:space="preserve"> </w:t>
      </w:r>
      <w:r w:rsidRPr="00C96DD2">
        <w:rPr>
          <w:sz w:val="22"/>
          <w:szCs w:val="22"/>
          <w:lang w:val="en-US"/>
        </w:rPr>
        <w:t>Major bl</w:t>
      </w:r>
      <w:r w:rsidRPr="00C96DD2">
        <w:rPr>
          <w:rFonts w:hint="eastAsia"/>
          <w:sz w:val="22"/>
          <w:szCs w:val="22"/>
          <w:lang w:val="en-US"/>
        </w:rPr>
        <w:t>ø</w:t>
      </w:r>
      <w:r w:rsidRPr="00C96DD2">
        <w:rPr>
          <w:sz w:val="22"/>
          <w:szCs w:val="22"/>
          <w:lang w:val="en-US"/>
        </w:rPr>
        <w:t>dning defineret iht. International Society on Thrombosis and Haemostasis (ISTH) kriterier.</w:t>
      </w:r>
    </w:p>
    <w:p w14:paraId="041A2A4A" w14:textId="77777777" w:rsidR="004D5632" w:rsidRPr="004D5632" w:rsidRDefault="004D5632" w:rsidP="004D5632">
      <w:pPr>
        <w:suppressAutoHyphens/>
        <w:rPr>
          <w:sz w:val="22"/>
          <w:szCs w:val="22"/>
          <w:vertAlign w:val="superscript"/>
        </w:rPr>
      </w:pPr>
      <w:r w:rsidRPr="004D5632">
        <w:rPr>
          <w:rFonts w:hint="eastAsia"/>
          <w:sz w:val="22"/>
          <w:szCs w:val="22"/>
          <w:vertAlign w:val="superscript"/>
        </w:rPr>
        <w:t>†</w:t>
      </w:r>
      <w:r w:rsidRPr="004D5632">
        <w:rPr>
          <w:sz w:val="22"/>
          <w:szCs w:val="22"/>
          <w:vertAlign w:val="superscript"/>
        </w:rPr>
        <w:t xml:space="preserve"> </w:t>
      </w:r>
      <w:r w:rsidRPr="004D5632">
        <w:rPr>
          <w:sz w:val="22"/>
          <w:szCs w:val="22"/>
        </w:rPr>
        <w:t xml:space="preserve">Klinisk relevant ikke-alvorlig blødning  </w:t>
      </w:r>
    </w:p>
    <w:p w14:paraId="05FB6A2E" w14:textId="77777777" w:rsidR="00B56FE2" w:rsidRPr="0053509A" w:rsidRDefault="00B56FE2" w:rsidP="005555A4">
      <w:pPr>
        <w:suppressAutoHyphens/>
        <w:rPr>
          <w:sz w:val="22"/>
          <w:szCs w:val="22"/>
          <w:u w:val="single"/>
        </w:rPr>
      </w:pPr>
    </w:p>
    <w:p w14:paraId="19489CF0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Den samlede frekvens af afbrudt behandling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grund af bivirkninger relateret til behandlingen var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1,8 % for apixaban og 2,6 % for warfarin i ARISTOTLE</w:t>
      </w:r>
      <w:r w:rsidRPr="00F635CF">
        <w:rPr>
          <w:rFonts w:hint="eastAsia"/>
          <w:sz w:val="24"/>
          <w:szCs w:val="24"/>
        </w:rPr>
        <w:t>‑</w:t>
      </w:r>
      <w:r w:rsidRPr="00F635CF">
        <w:rPr>
          <w:sz w:val="24"/>
          <w:szCs w:val="24"/>
        </w:rPr>
        <w:t>studiet.</w:t>
      </w:r>
    </w:p>
    <w:p w14:paraId="11B963C7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03592CD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Effekten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pr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specificerede undergrupper, inklusiv CHADS</w:t>
      </w:r>
      <w:r w:rsidRPr="00F635CF">
        <w:rPr>
          <w:sz w:val="24"/>
          <w:szCs w:val="24"/>
          <w:vertAlign w:val="subscript"/>
        </w:rPr>
        <w:t>2</w:t>
      </w:r>
      <w:r w:rsidRPr="00F635CF">
        <w:rPr>
          <w:sz w:val="24"/>
          <w:szCs w:val="24"/>
        </w:rPr>
        <w:t xml:space="preserve"> score, alder, legemsv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gt, k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n,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nyrefunktionsstatus, tidligere apopleksi eller TIA og diabetes, var sammenlignelig med resultaterne for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den samlede population, der deltog i fors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get.</w:t>
      </w:r>
    </w:p>
    <w:p w14:paraId="724D7D37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</w:p>
    <w:p w14:paraId="21C99068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Incidensen af ISTH st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rre gastrointestinal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 xml:space="preserve">dning (inklusiv 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vre gastrointestinal, nedre</w:t>
      </w:r>
    </w:p>
    <w:p w14:paraId="4CB5AF23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gastrointestinal og rektal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dning) var 0,76 %/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 med apixaban og 0,86 %/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 med warfarin.</w:t>
      </w:r>
    </w:p>
    <w:p w14:paraId="710CA4E2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</w:p>
    <w:p w14:paraId="0D1E63C5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Resultaterne for major bl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dning i de pr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specificerede undergrupper herunder CHADS</w:t>
      </w:r>
      <w:r w:rsidRPr="00F635CF">
        <w:rPr>
          <w:sz w:val="24"/>
          <w:szCs w:val="24"/>
          <w:vertAlign w:val="subscript"/>
        </w:rPr>
        <w:t xml:space="preserve">2 </w:t>
      </w:r>
      <w:r w:rsidRPr="00F635CF">
        <w:rPr>
          <w:sz w:val="24"/>
          <w:szCs w:val="24"/>
        </w:rPr>
        <w:t>score, alder,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legemsv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gt, k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n, nyrefunktionsstatus, tidligere apopleksi eller TIA og diabetes var sammenlignelig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med resultatet for den samlede population i dette fors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g.</w:t>
      </w:r>
    </w:p>
    <w:p w14:paraId="61E6452C" w14:textId="5E9F60B4" w:rsidR="0053509A" w:rsidRDefault="005350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34DC1EB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59F88332" w14:textId="77777777" w:rsidR="005555A4" w:rsidRPr="00F635CF" w:rsidRDefault="005555A4" w:rsidP="005555A4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F635CF">
        <w:rPr>
          <w:i/>
          <w:iCs/>
          <w:sz w:val="24"/>
          <w:szCs w:val="24"/>
          <w:u w:val="single"/>
        </w:rPr>
        <w:t>AVERROES-studiet</w:t>
      </w:r>
    </w:p>
    <w:p w14:paraId="2DCE09AE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I AVERROES studiet blev i alt 5.598 patienter, som af investigatorerne blev bed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mt som uegnede til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VKA, randomiseret til behandling med apixaban 5 mg to gange daglig (eller 2,5 mg to gange daglig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 xml:space="preserve">hos udvalgte patienter [6,4 %], se pkt. 4.2) eller ASA. ASA blev givet som </w:t>
      </w:r>
      <w:r w:rsidRPr="00F635CF">
        <w:rPr>
          <w:rFonts w:hint="eastAsia"/>
          <w:sz w:val="24"/>
          <w:szCs w:val="24"/>
        </w:rPr>
        <w:t>é</w:t>
      </w:r>
      <w:r w:rsidRPr="00F635CF">
        <w:rPr>
          <w:sz w:val="24"/>
          <w:szCs w:val="24"/>
        </w:rPr>
        <w:t>n daglig dosis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81 mg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(64 %), 162 (26,9 %), 243 (2,1 %) eller 324 mg (6,6 %) efter investigatorernes sk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n. Patienter fik det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aktive stof i studiet i 14 m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neder gennemsnitlig. Gennemsnitsalderen var 69,9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r, gennemsnitlig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CHADS</w:t>
      </w:r>
      <w:r w:rsidRPr="00F635CF">
        <w:rPr>
          <w:sz w:val="24"/>
          <w:szCs w:val="24"/>
          <w:vertAlign w:val="subscript"/>
        </w:rPr>
        <w:t>2</w:t>
      </w:r>
      <w:r w:rsidRPr="00F635CF">
        <w:rPr>
          <w:sz w:val="24"/>
          <w:szCs w:val="24"/>
        </w:rPr>
        <w:t>-score var 2,0, og 13,6 % af patienterne havde tidligere haft apopleksi eller TIA.</w:t>
      </w:r>
    </w:p>
    <w:p w14:paraId="54561CFF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06A332BD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 xml:space="preserve">De mest almindelige 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rsager til uegnethed til VKA</w:t>
      </w:r>
      <w:r w:rsidRPr="00F635CF">
        <w:rPr>
          <w:rFonts w:hint="eastAsia"/>
          <w:sz w:val="24"/>
          <w:szCs w:val="24"/>
        </w:rPr>
        <w:t>‑</w:t>
      </w:r>
      <w:r w:rsidRPr="00F635CF">
        <w:rPr>
          <w:sz w:val="24"/>
          <w:szCs w:val="24"/>
        </w:rPr>
        <w:t xml:space="preserve">behandling i AVERROES studiet omfattede: </w:t>
      </w:r>
      <w:r>
        <w:rPr>
          <w:sz w:val="24"/>
          <w:szCs w:val="24"/>
        </w:rPr>
        <w:t>U</w:t>
      </w:r>
      <w:r w:rsidRPr="00F635CF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af stand til/vil sandsynligvis ikke kunne opn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INR</w:t>
      </w:r>
      <w:r w:rsidRPr="00F635CF">
        <w:rPr>
          <w:rFonts w:hint="eastAsia"/>
          <w:sz w:val="24"/>
          <w:szCs w:val="24"/>
        </w:rPr>
        <w:t>’</w:t>
      </w:r>
      <w:r w:rsidRPr="00F635CF">
        <w:rPr>
          <w:sz w:val="24"/>
          <w:szCs w:val="24"/>
        </w:rPr>
        <w:t>er med n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dvendige intervaller (42,6 %), patient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afslog behandling med VKA (37,4 %), CHADS</w:t>
      </w:r>
      <w:r w:rsidRPr="00F635CF">
        <w:rPr>
          <w:sz w:val="24"/>
          <w:szCs w:val="24"/>
          <w:vertAlign w:val="subscript"/>
        </w:rPr>
        <w:t>2</w:t>
      </w:r>
      <w:r w:rsidRPr="00F635CF">
        <w:rPr>
          <w:sz w:val="24"/>
          <w:szCs w:val="24"/>
        </w:rPr>
        <w:t xml:space="preserve"> score = 1 og l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gen frar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>dede VKA (21,3 %), patient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vil muligvis ikke v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i stand til at f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lge patientvejledningen for VKA</w:t>
      </w:r>
      <w:r w:rsidRPr="00F635CF">
        <w:rPr>
          <w:rFonts w:hint="eastAsia"/>
          <w:sz w:val="24"/>
          <w:szCs w:val="24"/>
        </w:rPr>
        <w:t>‑</w:t>
      </w:r>
      <w:r w:rsidRPr="00F635CF">
        <w:rPr>
          <w:sz w:val="24"/>
          <w:szCs w:val="24"/>
        </w:rPr>
        <w:t>l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gemidler (15,0 %) og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problemer/forventede problemer med at komme i kontakt med patienten i tilf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lde af akut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dosis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ndring (11,7 %).</w:t>
      </w:r>
    </w:p>
    <w:p w14:paraId="3DDE36CE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0E954E1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AVERROES blev afbrudt tidligt i forl</w:t>
      </w:r>
      <w:r w:rsidRPr="00F635CF">
        <w:rPr>
          <w:rFonts w:hint="eastAsia"/>
          <w:sz w:val="24"/>
          <w:szCs w:val="24"/>
        </w:rPr>
        <w:t>ø</w:t>
      </w:r>
      <w:r w:rsidRPr="00F635CF">
        <w:rPr>
          <w:sz w:val="24"/>
          <w:szCs w:val="24"/>
        </w:rPr>
        <w:t>bet efter anbefaling af den uafh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ngige</w:t>
      </w:r>
    </w:p>
    <w:p w14:paraId="6269FF9F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datamonitoreringskomite (the Independent Data Monitoring Committee)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grund af klar evidens for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reduktion af apopleksi og systemisk emboli med en acceptabel sikkerhedsprofil.</w:t>
      </w:r>
    </w:p>
    <w:p w14:paraId="17806655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</w:p>
    <w:p w14:paraId="33E2901D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>Den samlede frekvens af afbrudt behandling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grund af bivirkninger relateret til behandlingen var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1,5 % for apixaban og 1,3 % for ASA i AVERROES studiet.</w:t>
      </w:r>
    </w:p>
    <w:p w14:paraId="15BF7C15" w14:textId="77777777" w:rsidR="005555A4" w:rsidRPr="00F635CF" w:rsidRDefault="005555A4" w:rsidP="005555A4">
      <w:pPr>
        <w:suppressAutoHyphens/>
        <w:ind w:left="851"/>
        <w:rPr>
          <w:sz w:val="24"/>
          <w:szCs w:val="24"/>
        </w:rPr>
      </w:pPr>
    </w:p>
    <w:p w14:paraId="6E07F968" w14:textId="68F5B7AD" w:rsidR="005555A4" w:rsidRPr="00F635CF" w:rsidRDefault="005555A4" w:rsidP="005555A4">
      <w:pPr>
        <w:suppressAutoHyphens/>
        <w:ind w:left="851"/>
        <w:rPr>
          <w:sz w:val="24"/>
          <w:szCs w:val="24"/>
        </w:rPr>
      </w:pPr>
      <w:r w:rsidRPr="00F635CF">
        <w:rPr>
          <w:sz w:val="24"/>
          <w:szCs w:val="24"/>
        </w:rPr>
        <w:t xml:space="preserve">I studiet </w:t>
      </w:r>
      <w:r w:rsidR="003A6781">
        <w:rPr>
          <w:sz w:val="24"/>
          <w:szCs w:val="24"/>
        </w:rPr>
        <w:t>var</w:t>
      </w:r>
      <w:r w:rsidRPr="00F635CF">
        <w:rPr>
          <w:sz w:val="24"/>
          <w:szCs w:val="24"/>
        </w:rPr>
        <w:t xml:space="preserve"> apixaban statistisk signifikant overlegen p</w:t>
      </w:r>
      <w:r w:rsidRPr="00F635CF">
        <w:rPr>
          <w:rFonts w:hint="eastAsia"/>
          <w:sz w:val="24"/>
          <w:szCs w:val="24"/>
        </w:rPr>
        <w:t>å</w:t>
      </w:r>
      <w:r w:rsidRPr="00F635CF">
        <w:rPr>
          <w:sz w:val="24"/>
          <w:szCs w:val="24"/>
        </w:rPr>
        <w:t xml:space="preserve"> det prim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re endepunkt for forebyggelse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af apopleksi (h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>moragisk, isk</w:t>
      </w:r>
      <w:r w:rsidRPr="00F635CF">
        <w:rPr>
          <w:rFonts w:hint="eastAsia"/>
          <w:sz w:val="24"/>
          <w:szCs w:val="24"/>
        </w:rPr>
        <w:t>æ</w:t>
      </w:r>
      <w:r w:rsidRPr="00F635CF">
        <w:rPr>
          <w:sz w:val="24"/>
          <w:szCs w:val="24"/>
        </w:rPr>
        <w:t xml:space="preserve">misk eller uspecificeret) og systemisk emboli (se tabel </w:t>
      </w:r>
      <w:r w:rsidR="003A6781">
        <w:rPr>
          <w:sz w:val="24"/>
          <w:szCs w:val="24"/>
        </w:rPr>
        <w:t>6</w:t>
      </w:r>
      <w:r w:rsidRPr="00F635C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635CF">
        <w:rPr>
          <w:sz w:val="24"/>
          <w:szCs w:val="24"/>
        </w:rPr>
        <w:t>sammenlignet med ASA.</w:t>
      </w:r>
    </w:p>
    <w:p w14:paraId="42F80B6F" w14:textId="77777777" w:rsidR="005555A4" w:rsidRPr="00F635CF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40DB7685" w14:textId="15831946" w:rsidR="005555A4" w:rsidRPr="0019737B" w:rsidRDefault="005555A4" w:rsidP="005555A4">
      <w:pPr>
        <w:rPr>
          <w:b/>
          <w:bCs/>
          <w:sz w:val="22"/>
          <w:szCs w:val="22"/>
        </w:rPr>
      </w:pPr>
      <w:r w:rsidRPr="008A727D">
        <w:rPr>
          <w:b/>
          <w:bCs/>
          <w:sz w:val="22"/>
          <w:szCs w:val="22"/>
        </w:rPr>
        <w:t xml:space="preserve">Tabel </w:t>
      </w:r>
      <w:r w:rsidR="003A6781">
        <w:rPr>
          <w:b/>
          <w:bCs/>
          <w:sz w:val="22"/>
          <w:szCs w:val="22"/>
        </w:rPr>
        <w:t>6</w:t>
      </w:r>
      <w:r w:rsidRPr="008A727D">
        <w:rPr>
          <w:b/>
          <w:bCs/>
          <w:sz w:val="22"/>
          <w:szCs w:val="22"/>
        </w:rPr>
        <w:t>: Vigtigste effektparametre hos patienter med atrieflimren i AVERROES-studiet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1793"/>
        <w:gridCol w:w="2020"/>
        <w:gridCol w:w="2177"/>
        <w:gridCol w:w="1224"/>
      </w:tblGrid>
      <w:tr w:rsidR="005555A4" w:rsidRPr="005523C3" w14:paraId="5D1D1465" w14:textId="77777777" w:rsidTr="005555A4">
        <w:trPr>
          <w:trHeight w:val="864"/>
          <w:jc w:val="center"/>
        </w:trPr>
        <w:tc>
          <w:tcPr>
            <w:tcW w:w="3559" w:type="dxa"/>
          </w:tcPr>
          <w:p w14:paraId="3E5E93F3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793" w:type="dxa"/>
          </w:tcPr>
          <w:p w14:paraId="4D5E9DA1" w14:textId="77777777" w:rsidR="005555A4" w:rsidRPr="005523C3" w:rsidRDefault="005555A4" w:rsidP="005555A4">
            <w:pPr>
              <w:pStyle w:val="TableParagraph"/>
              <w:spacing w:beforeLines="60" w:before="144" w:afterLines="60" w:after="144" w:line="288" w:lineRule="auto"/>
              <w:ind w:right="-4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41D206D9" w14:textId="77777777" w:rsidR="005555A4" w:rsidRPr="005523C3" w:rsidRDefault="005555A4" w:rsidP="005555A4">
            <w:pPr>
              <w:pStyle w:val="TableParagraph"/>
              <w:spacing w:beforeLines="60" w:before="144" w:afterLines="60" w:after="144" w:line="288" w:lineRule="auto"/>
              <w:ind w:right="-4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N=2.807</w:t>
            </w:r>
          </w:p>
          <w:p w14:paraId="315D991C" w14:textId="56175640" w:rsidR="005555A4" w:rsidRPr="005523C3" w:rsidRDefault="005555A4" w:rsidP="005555A4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020" w:type="dxa"/>
          </w:tcPr>
          <w:p w14:paraId="6EC79EB0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ASA</w:t>
            </w:r>
          </w:p>
          <w:p w14:paraId="7B1FA5C4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N=2.791</w:t>
            </w:r>
          </w:p>
          <w:p w14:paraId="08275CB3" w14:textId="4E48B367" w:rsidR="005555A4" w:rsidRPr="005523C3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177" w:type="dxa"/>
          </w:tcPr>
          <w:p w14:paraId="691BE251" w14:textId="77777777" w:rsidR="005555A4" w:rsidRPr="005523C3" w:rsidRDefault="005555A4" w:rsidP="005555A4">
            <w:pPr>
              <w:pStyle w:val="TableParagraph"/>
              <w:spacing w:beforeLines="60" w:before="144" w:afterLines="60" w:after="144" w:line="307" w:lineRule="auto"/>
              <w:ind w:left="-4" w:firstLine="4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6DC62C78" w14:textId="77777777" w:rsidR="005555A4" w:rsidRPr="005523C3" w:rsidRDefault="005555A4" w:rsidP="005555A4">
            <w:pPr>
              <w:pStyle w:val="TableParagraph"/>
              <w:spacing w:beforeLines="60" w:before="144" w:afterLines="60" w:after="144" w:line="307" w:lineRule="auto"/>
              <w:ind w:left="-4" w:firstLine="4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(95 % CI)</w:t>
            </w:r>
          </w:p>
        </w:tc>
        <w:tc>
          <w:tcPr>
            <w:tcW w:w="1224" w:type="dxa"/>
          </w:tcPr>
          <w:p w14:paraId="66A4D8C6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left="72" w:right="6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p-værdi</w:t>
            </w:r>
          </w:p>
        </w:tc>
      </w:tr>
      <w:tr w:rsidR="005555A4" w:rsidRPr="005523C3" w14:paraId="6B9EC857" w14:textId="77777777" w:rsidTr="005555A4">
        <w:trPr>
          <w:trHeight w:val="237"/>
          <w:jc w:val="center"/>
        </w:trPr>
        <w:tc>
          <w:tcPr>
            <w:tcW w:w="3559" w:type="dxa"/>
          </w:tcPr>
          <w:p w14:paraId="3FA4592F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w w:val="105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Apopleksi eller systemisk</w:t>
            </w:r>
          </w:p>
          <w:p w14:paraId="1EFE2888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emboli</w:t>
            </w: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*</w:t>
            </w:r>
          </w:p>
        </w:tc>
        <w:tc>
          <w:tcPr>
            <w:tcW w:w="1793" w:type="dxa"/>
          </w:tcPr>
          <w:p w14:paraId="1765B5B0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51 (1,62)</w:t>
            </w:r>
          </w:p>
        </w:tc>
        <w:tc>
          <w:tcPr>
            <w:tcW w:w="2020" w:type="dxa"/>
          </w:tcPr>
          <w:p w14:paraId="33F7D0F8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113 (3,63)</w:t>
            </w:r>
          </w:p>
        </w:tc>
        <w:tc>
          <w:tcPr>
            <w:tcW w:w="2177" w:type="dxa"/>
          </w:tcPr>
          <w:p w14:paraId="45187E21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-4" w:right="109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0,45 (0,32; 0,62)</w:t>
            </w:r>
          </w:p>
        </w:tc>
        <w:tc>
          <w:tcPr>
            <w:tcW w:w="1224" w:type="dxa"/>
          </w:tcPr>
          <w:p w14:paraId="57AB8F21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72" w:right="6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&lt; 0,0001</w:t>
            </w:r>
          </w:p>
        </w:tc>
      </w:tr>
      <w:tr w:rsidR="005555A4" w:rsidRPr="005523C3" w14:paraId="537015EF" w14:textId="77777777" w:rsidTr="005555A4">
        <w:trPr>
          <w:trHeight w:val="237"/>
          <w:jc w:val="center"/>
        </w:trPr>
        <w:tc>
          <w:tcPr>
            <w:tcW w:w="3559" w:type="dxa"/>
          </w:tcPr>
          <w:p w14:paraId="4578AC43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355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Apopleksi</w:t>
            </w:r>
          </w:p>
        </w:tc>
        <w:tc>
          <w:tcPr>
            <w:tcW w:w="1793" w:type="dxa"/>
          </w:tcPr>
          <w:p w14:paraId="41756D84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0" w:type="dxa"/>
          </w:tcPr>
          <w:p w14:paraId="50F73F5D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77" w:type="dxa"/>
          </w:tcPr>
          <w:p w14:paraId="3846A788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left="-4" w:firstLine="4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4" w:type="dxa"/>
          </w:tcPr>
          <w:p w14:paraId="0995D098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5F174ACC" w14:textId="77777777" w:rsidTr="005555A4">
        <w:trPr>
          <w:trHeight w:val="475"/>
          <w:jc w:val="center"/>
        </w:trPr>
        <w:tc>
          <w:tcPr>
            <w:tcW w:w="3559" w:type="dxa"/>
          </w:tcPr>
          <w:p w14:paraId="0E064CF1" w14:textId="77777777" w:rsidR="005555A4" w:rsidRPr="005523C3" w:rsidRDefault="005555A4" w:rsidP="005555A4">
            <w:pPr>
              <w:pStyle w:val="TableParagraph"/>
              <w:spacing w:beforeLines="60" w:before="144" w:afterLines="60" w:after="144" w:line="238" w:lineRule="exact"/>
              <w:ind w:left="613" w:right="91"/>
              <w:rPr>
                <w:rFonts w:ascii="Times New Roman" w:hAnsi="Times New Roman" w:cs="Times New Roman"/>
                <w:w w:val="105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Iskæmisk eller uspecificeret</w:t>
            </w:r>
          </w:p>
        </w:tc>
        <w:tc>
          <w:tcPr>
            <w:tcW w:w="1793" w:type="dxa"/>
          </w:tcPr>
          <w:p w14:paraId="22C2683C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43 (1,37)</w:t>
            </w:r>
          </w:p>
        </w:tc>
        <w:tc>
          <w:tcPr>
            <w:tcW w:w="2020" w:type="dxa"/>
          </w:tcPr>
          <w:p w14:paraId="17257F7F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97 (3,11)</w:t>
            </w:r>
          </w:p>
        </w:tc>
        <w:tc>
          <w:tcPr>
            <w:tcW w:w="2177" w:type="dxa"/>
          </w:tcPr>
          <w:p w14:paraId="1498D95F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left="-4" w:right="109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0,44 (0,31; 0,63)</w:t>
            </w:r>
          </w:p>
        </w:tc>
        <w:tc>
          <w:tcPr>
            <w:tcW w:w="1224" w:type="dxa"/>
          </w:tcPr>
          <w:p w14:paraId="46D7C7C2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1C316778" w14:textId="77777777" w:rsidTr="005555A4">
        <w:trPr>
          <w:trHeight w:val="234"/>
          <w:jc w:val="center"/>
        </w:trPr>
        <w:tc>
          <w:tcPr>
            <w:tcW w:w="3559" w:type="dxa"/>
          </w:tcPr>
          <w:p w14:paraId="1B9D4E7A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ind w:left="609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Hæmoragisk</w:t>
            </w:r>
          </w:p>
        </w:tc>
        <w:tc>
          <w:tcPr>
            <w:tcW w:w="1793" w:type="dxa"/>
          </w:tcPr>
          <w:p w14:paraId="7CD8540A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6 (0,19)</w:t>
            </w:r>
          </w:p>
        </w:tc>
        <w:tc>
          <w:tcPr>
            <w:tcW w:w="2020" w:type="dxa"/>
          </w:tcPr>
          <w:p w14:paraId="121D0CE8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9 (0,28)</w:t>
            </w:r>
          </w:p>
        </w:tc>
        <w:tc>
          <w:tcPr>
            <w:tcW w:w="2177" w:type="dxa"/>
          </w:tcPr>
          <w:p w14:paraId="7F84CAC3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ind w:left="-4" w:right="107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0,67 (0,24; 1,88)</w:t>
            </w:r>
          </w:p>
        </w:tc>
        <w:tc>
          <w:tcPr>
            <w:tcW w:w="1224" w:type="dxa"/>
          </w:tcPr>
          <w:p w14:paraId="24639AAB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5A4F6A01" w14:textId="77777777" w:rsidTr="005555A4">
        <w:trPr>
          <w:trHeight w:val="237"/>
          <w:jc w:val="center"/>
        </w:trPr>
        <w:tc>
          <w:tcPr>
            <w:tcW w:w="3559" w:type="dxa"/>
          </w:tcPr>
          <w:p w14:paraId="2E5B15CD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ind w:left="355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Systemisk emboli</w:t>
            </w:r>
          </w:p>
        </w:tc>
        <w:tc>
          <w:tcPr>
            <w:tcW w:w="1793" w:type="dxa"/>
          </w:tcPr>
          <w:p w14:paraId="77601D94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 (0,06)</w:t>
            </w:r>
          </w:p>
        </w:tc>
        <w:tc>
          <w:tcPr>
            <w:tcW w:w="2020" w:type="dxa"/>
          </w:tcPr>
          <w:p w14:paraId="3D5BBB3D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13 (0,41)</w:t>
            </w:r>
          </w:p>
        </w:tc>
        <w:tc>
          <w:tcPr>
            <w:tcW w:w="2177" w:type="dxa"/>
          </w:tcPr>
          <w:p w14:paraId="032AF266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1" w:lineRule="exact"/>
              <w:ind w:left="-4" w:right="106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0,15 (0,03; 0,68)</w:t>
            </w:r>
          </w:p>
        </w:tc>
        <w:tc>
          <w:tcPr>
            <w:tcW w:w="1224" w:type="dxa"/>
          </w:tcPr>
          <w:p w14:paraId="21A1E15D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58CC4F9A" w14:textId="77777777" w:rsidTr="005555A4">
        <w:trPr>
          <w:trHeight w:val="475"/>
          <w:jc w:val="center"/>
        </w:trPr>
        <w:tc>
          <w:tcPr>
            <w:tcW w:w="3559" w:type="dxa"/>
          </w:tcPr>
          <w:p w14:paraId="33A28234" w14:textId="77777777" w:rsidR="005555A4" w:rsidRPr="005523C3" w:rsidRDefault="005555A4" w:rsidP="005555A4">
            <w:pPr>
              <w:pStyle w:val="TableParagraph"/>
              <w:spacing w:beforeLines="60" w:before="144" w:afterLines="60" w:after="144" w:line="238" w:lineRule="exact"/>
              <w:ind w:left="101" w:right="91"/>
              <w:rPr>
                <w:rFonts w:ascii="Times New Roman" w:hAnsi="Times New Roman" w:cs="Times New Roman"/>
                <w:w w:val="105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Apopleksi, systemisk emboli,</w:t>
            </w:r>
          </w:p>
          <w:p w14:paraId="7C69D68F" w14:textId="77777777" w:rsidR="005555A4" w:rsidRPr="005523C3" w:rsidRDefault="005555A4" w:rsidP="005555A4">
            <w:pPr>
              <w:pStyle w:val="TableParagraph"/>
              <w:spacing w:beforeLines="60" w:before="144" w:afterLines="60" w:after="144" w:line="238" w:lineRule="exact"/>
              <w:ind w:left="101" w:right="91"/>
              <w:rPr>
                <w:rFonts w:ascii="Times New Roman" w:hAnsi="Times New Roman" w:cs="Times New Roman"/>
                <w:lang w:val="da-DK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MI eller vaskulær død</w:t>
            </w:r>
            <w:r w:rsidRPr="005523C3">
              <w:rPr>
                <w:rFonts w:ascii="Times New Roman" w:hAnsi="Times New Roman" w:cs="Times New Roman"/>
                <w:b/>
                <w:w w:val="105"/>
                <w:lang w:val="da-DK"/>
              </w:rPr>
              <w:t>*</w:t>
            </w:r>
            <w:r w:rsidRPr="005523C3">
              <w:rPr>
                <w:rFonts w:ascii="Times New Roman" w:hAnsi="Times New Roman" w:cs="Times New Roman"/>
                <w:w w:val="105"/>
                <w:vertAlign w:val="superscript"/>
                <w:lang w:val="da-DK"/>
              </w:rPr>
              <w:t>†</w:t>
            </w:r>
          </w:p>
        </w:tc>
        <w:tc>
          <w:tcPr>
            <w:tcW w:w="1793" w:type="dxa"/>
          </w:tcPr>
          <w:p w14:paraId="03592BB5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132 (4,21)</w:t>
            </w:r>
          </w:p>
        </w:tc>
        <w:tc>
          <w:tcPr>
            <w:tcW w:w="2020" w:type="dxa"/>
          </w:tcPr>
          <w:p w14:paraId="0EEE66B2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197 (6,35)</w:t>
            </w:r>
          </w:p>
        </w:tc>
        <w:tc>
          <w:tcPr>
            <w:tcW w:w="2177" w:type="dxa"/>
          </w:tcPr>
          <w:p w14:paraId="6AE66705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left="-4" w:right="108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0,66 (0,53; 0,83)</w:t>
            </w:r>
          </w:p>
        </w:tc>
        <w:tc>
          <w:tcPr>
            <w:tcW w:w="1224" w:type="dxa"/>
          </w:tcPr>
          <w:p w14:paraId="240B190A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ind w:left="72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0,003</w:t>
            </w:r>
          </w:p>
        </w:tc>
      </w:tr>
      <w:tr w:rsidR="005555A4" w:rsidRPr="005523C3" w14:paraId="2D03E26D" w14:textId="77777777" w:rsidTr="005555A4">
        <w:trPr>
          <w:trHeight w:val="234"/>
          <w:jc w:val="center"/>
        </w:trPr>
        <w:tc>
          <w:tcPr>
            <w:tcW w:w="3559" w:type="dxa"/>
          </w:tcPr>
          <w:p w14:paraId="31169EEA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358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lastRenderedPageBreak/>
              <w:t>Myokardieinfarkt</w:t>
            </w:r>
          </w:p>
        </w:tc>
        <w:tc>
          <w:tcPr>
            <w:tcW w:w="1793" w:type="dxa"/>
          </w:tcPr>
          <w:p w14:paraId="4BDB33ED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24 (0,76)</w:t>
            </w:r>
          </w:p>
        </w:tc>
        <w:tc>
          <w:tcPr>
            <w:tcW w:w="2020" w:type="dxa"/>
          </w:tcPr>
          <w:p w14:paraId="3363D86D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28 (0,89)</w:t>
            </w:r>
          </w:p>
        </w:tc>
        <w:tc>
          <w:tcPr>
            <w:tcW w:w="2177" w:type="dxa"/>
          </w:tcPr>
          <w:p w14:paraId="18729276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-4" w:right="108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0,86 (0,50; 1,48)</w:t>
            </w:r>
          </w:p>
        </w:tc>
        <w:tc>
          <w:tcPr>
            <w:tcW w:w="1224" w:type="dxa"/>
          </w:tcPr>
          <w:p w14:paraId="7E696991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74277D60" w14:textId="77777777" w:rsidTr="005555A4">
        <w:trPr>
          <w:trHeight w:val="237"/>
          <w:jc w:val="center"/>
        </w:trPr>
        <w:tc>
          <w:tcPr>
            <w:tcW w:w="3559" w:type="dxa"/>
          </w:tcPr>
          <w:p w14:paraId="09124817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358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Vaskulær død</w:t>
            </w:r>
          </w:p>
        </w:tc>
        <w:tc>
          <w:tcPr>
            <w:tcW w:w="1793" w:type="dxa"/>
          </w:tcPr>
          <w:p w14:paraId="1D6461B1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84 (2,65)</w:t>
            </w:r>
          </w:p>
        </w:tc>
        <w:tc>
          <w:tcPr>
            <w:tcW w:w="2020" w:type="dxa"/>
          </w:tcPr>
          <w:p w14:paraId="2F0473C8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96 (3,03)</w:t>
            </w:r>
          </w:p>
        </w:tc>
        <w:tc>
          <w:tcPr>
            <w:tcW w:w="2177" w:type="dxa"/>
          </w:tcPr>
          <w:p w14:paraId="58DA8723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-4" w:right="109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0,87 (0,65; 1,17)</w:t>
            </w:r>
          </w:p>
        </w:tc>
        <w:tc>
          <w:tcPr>
            <w:tcW w:w="1224" w:type="dxa"/>
          </w:tcPr>
          <w:p w14:paraId="527F2E7E" w14:textId="77777777" w:rsidR="005555A4" w:rsidRPr="005523C3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34EB4011" w14:textId="77777777" w:rsidTr="005555A4">
        <w:trPr>
          <w:trHeight w:val="237"/>
          <w:jc w:val="center"/>
        </w:trPr>
        <w:tc>
          <w:tcPr>
            <w:tcW w:w="3559" w:type="dxa"/>
          </w:tcPr>
          <w:p w14:paraId="2A01B168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da-DK"/>
              </w:rPr>
              <w:t>Død uanset årsag</w:t>
            </w:r>
            <w:r w:rsidRPr="005523C3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†</w:t>
            </w:r>
          </w:p>
        </w:tc>
        <w:tc>
          <w:tcPr>
            <w:tcW w:w="1793" w:type="dxa"/>
          </w:tcPr>
          <w:p w14:paraId="1DFF9B0E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right="-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111 (3,51)</w:t>
            </w:r>
          </w:p>
        </w:tc>
        <w:tc>
          <w:tcPr>
            <w:tcW w:w="2020" w:type="dxa"/>
          </w:tcPr>
          <w:p w14:paraId="71EC2B5E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140 (4,42)</w:t>
            </w:r>
          </w:p>
        </w:tc>
        <w:tc>
          <w:tcPr>
            <w:tcW w:w="2177" w:type="dxa"/>
          </w:tcPr>
          <w:p w14:paraId="0C48B9B3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-4" w:right="108" w:firstLine="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0,79 (0,62; 1,02)</w:t>
            </w:r>
          </w:p>
        </w:tc>
        <w:tc>
          <w:tcPr>
            <w:tcW w:w="1224" w:type="dxa"/>
          </w:tcPr>
          <w:p w14:paraId="5D08C7F1" w14:textId="77777777" w:rsidR="005555A4" w:rsidRPr="005523C3" w:rsidRDefault="005555A4" w:rsidP="005555A4">
            <w:pPr>
              <w:pStyle w:val="TableParagraph"/>
              <w:spacing w:beforeLines="60" w:before="144" w:afterLines="60" w:after="144" w:line="212" w:lineRule="exact"/>
              <w:ind w:left="72" w:right="6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0,068</w:t>
            </w:r>
          </w:p>
        </w:tc>
      </w:tr>
    </w:tbl>
    <w:p w14:paraId="4005AC02" w14:textId="77777777" w:rsidR="005555A4" w:rsidRPr="00AA1EF3" w:rsidRDefault="005555A4" w:rsidP="005555A4">
      <w:pPr>
        <w:suppressAutoHyphens/>
        <w:rPr>
          <w:sz w:val="22"/>
          <w:szCs w:val="22"/>
        </w:rPr>
      </w:pPr>
      <w:r w:rsidRPr="002833FD">
        <w:rPr>
          <w:sz w:val="22"/>
          <w:szCs w:val="22"/>
          <w:vertAlign w:val="superscript"/>
        </w:rPr>
        <w:t>*</w:t>
      </w:r>
      <w:r w:rsidRPr="00AA1EF3">
        <w:rPr>
          <w:sz w:val="22"/>
          <w:szCs w:val="22"/>
        </w:rPr>
        <w:t xml:space="preserve"> Vurderet ved sekventiel teststrategi udviklet for at kontrollere for den generelle type I-fejl i studiet.</w:t>
      </w:r>
    </w:p>
    <w:p w14:paraId="34A4AEC8" w14:textId="77777777" w:rsidR="005555A4" w:rsidRDefault="005555A4" w:rsidP="005555A4">
      <w:pPr>
        <w:suppressAutoHyphens/>
        <w:rPr>
          <w:sz w:val="22"/>
          <w:szCs w:val="22"/>
          <w:u w:val="single"/>
        </w:rPr>
      </w:pPr>
      <w:r w:rsidRPr="002833FD">
        <w:rPr>
          <w:rFonts w:hint="eastAsia"/>
          <w:sz w:val="22"/>
          <w:szCs w:val="22"/>
          <w:vertAlign w:val="superscript"/>
        </w:rPr>
        <w:t>†</w:t>
      </w:r>
      <w:r w:rsidRPr="00AA1EF3">
        <w:rPr>
          <w:sz w:val="22"/>
          <w:szCs w:val="22"/>
        </w:rPr>
        <w:t xml:space="preserve"> Sekund</w:t>
      </w:r>
      <w:r w:rsidRPr="00AA1EF3">
        <w:rPr>
          <w:rFonts w:hint="eastAsia"/>
          <w:sz w:val="22"/>
          <w:szCs w:val="22"/>
        </w:rPr>
        <w:t>æ</w:t>
      </w:r>
      <w:r w:rsidRPr="00AA1EF3">
        <w:rPr>
          <w:sz w:val="22"/>
          <w:szCs w:val="22"/>
        </w:rPr>
        <w:t>rt endepunkt.</w:t>
      </w:r>
    </w:p>
    <w:p w14:paraId="2CD1F145" w14:textId="77777777" w:rsidR="005555A4" w:rsidRPr="005523C3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0D21A9E7" w14:textId="2DE5EDFD" w:rsidR="005555A4" w:rsidRPr="005523C3" w:rsidRDefault="005555A4" w:rsidP="005555A4">
      <w:pPr>
        <w:suppressAutoHyphens/>
        <w:ind w:left="851"/>
        <w:rPr>
          <w:sz w:val="24"/>
          <w:szCs w:val="24"/>
        </w:rPr>
      </w:pPr>
      <w:r w:rsidRPr="005523C3">
        <w:rPr>
          <w:sz w:val="24"/>
          <w:szCs w:val="24"/>
        </w:rPr>
        <w:t>Der var ingen statistisk signifikant forskel i incidensen af major bl</w:t>
      </w:r>
      <w:r w:rsidRPr="005523C3">
        <w:rPr>
          <w:rFonts w:hint="eastAsia"/>
          <w:sz w:val="24"/>
          <w:szCs w:val="24"/>
        </w:rPr>
        <w:t>ø</w:t>
      </w:r>
      <w:r w:rsidRPr="005523C3">
        <w:rPr>
          <w:sz w:val="24"/>
          <w:szCs w:val="24"/>
        </w:rPr>
        <w:t>dning mellem apixaban og ASA</w:t>
      </w:r>
      <w:r>
        <w:rPr>
          <w:sz w:val="24"/>
          <w:szCs w:val="24"/>
        </w:rPr>
        <w:t xml:space="preserve"> </w:t>
      </w:r>
      <w:r w:rsidRPr="005523C3">
        <w:rPr>
          <w:sz w:val="24"/>
          <w:szCs w:val="24"/>
        </w:rPr>
        <w:t xml:space="preserve">(se tabel </w:t>
      </w:r>
      <w:r w:rsidR="00BC1877">
        <w:rPr>
          <w:sz w:val="24"/>
          <w:szCs w:val="24"/>
        </w:rPr>
        <w:t>7</w:t>
      </w:r>
      <w:r w:rsidRPr="005523C3">
        <w:rPr>
          <w:sz w:val="24"/>
          <w:szCs w:val="24"/>
        </w:rPr>
        <w:t>).</w:t>
      </w:r>
    </w:p>
    <w:p w14:paraId="5F7FC17B" w14:textId="77777777" w:rsidR="005555A4" w:rsidRPr="005523C3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432E7F39" w14:textId="1E4F4E7D" w:rsidR="005555A4" w:rsidRPr="005F2286" w:rsidRDefault="005555A4" w:rsidP="005555A4">
      <w:pPr>
        <w:rPr>
          <w:b/>
          <w:bCs/>
          <w:sz w:val="22"/>
          <w:szCs w:val="22"/>
        </w:rPr>
      </w:pPr>
      <w:r w:rsidRPr="00CA06A8">
        <w:rPr>
          <w:b/>
          <w:bCs/>
          <w:sz w:val="22"/>
          <w:szCs w:val="22"/>
        </w:rPr>
        <w:t xml:space="preserve">Tabel </w:t>
      </w:r>
      <w:r w:rsidR="00BC1877">
        <w:rPr>
          <w:b/>
          <w:bCs/>
          <w:sz w:val="22"/>
          <w:szCs w:val="22"/>
        </w:rPr>
        <w:t>7</w:t>
      </w:r>
      <w:r w:rsidRPr="00CA06A8">
        <w:rPr>
          <w:b/>
          <w:bCs/>
          <w:sz w:val="22"/>
          <w:szCs w:val="22"/>
        </w:rPr>
        <w:t>: Bl</w:t>
      </w:r>
      <w:r w:rsidRPr="00CA06A8">
        <w:rPr>
          <w:rFonts w:hint="eastAsia"/>
          <w:b/>
          <w:bCs/>
          <w:sz w:val="22"/>
          <w:szCs w:val="22"/>
        </w:rPr>
        <w:t>ø</w:t>
      </w:r>
      <w:r w:rsidRPr="00CA06A8">
        <w:rPr>
          <w:b/>
          <w:bCs/>
          <w:sz w:val="22"/>
          <w:szCs w:val="22"/>
        </w:rPr>
        <w:t>dningsh</w:t>
      </w:r>
      <w:r w:rsidRPr="00CA06A8">
        <w:rPr>
          <w:rFonts w:hint="eastAsia"/>
          <w:b/>
          <w:bCs/>
          <w:sz w:val="22"/>
          <w:szCs w:val="22"/>
        </w:rPr>
        <w:t>æ</w:t>
      </w:r>
      <w:r w:rsidRPr="00CA06A8">
        <w:rPr>
          <w:b/>
          <w:bCs/>
          <w:sz w:val="22"/>
          <w:szCs w:val="22"/>
        </w:rPr>
        <w:t>ndelser hos patienter med atrieflimren i AVERROES-studiet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38"/>
        <w:gridCol w:w="2107"/>
        <w:gridCol w:w="2549"/>
        <w:gridCol w:w="1220"/>
      </w:tblGrid>
      <w:tr w:rsidR="005555A4" w:rsidRPr="005523C3" w14:paraId="61BFDC5A" w14:textId="77777777" w:rsidTr="005555A4">
        <w:trPr>
          <w:trHeight w:val="713"/>
          <w:jc w:val="center"/>
        </w:trPr>
        <w:tc>
          <w:tcPr>
            <w:tcW w:w="2459" w:type="dxa"/>
          </w:tcPr>
          <w:p w14:paraId="69D38AFE" w14:textId="77777777" w:rsidR="005555A4" w:rsidRPr="005523C3" w:rsidRDefault="005555A4" w:rsidP="005555A4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2438" w:type="dxa"/>
          </w:tcPr>
          <w:p w14:paraId="73881194" w14:textId="77777777" w:rsidR="005555A4" w:rsidRPr="005523C3" w:rsidRDefault="005555A4" w:rsidP="005555A4">
            <w:pPr>
              <w:pStyle w:val="TableParagraph"/>
              <w:spacing w:beforeLines="60" w:before="144" w:after="60" w:line="249" w:lineRule="auto"/>
              <w:ind w:hanging="5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46175CC4" w14:textId="77777777" w:rsidR="005555A4" w:rsidRPr="005523C3" w:rsidRDefault="005555A4" w:rsidP="005555A4">
            <w:pPr>
              <w:pStyle w:val="TableParagraph"/>
              <w:spacing w:beforeLines="60" w:before="144" w:after="60" w:line="249" w:lineRule="auto"/>
              <w:ind w:hanging="5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N=2.798</w:t>
            </w:r>
          </w:p>
          <w:p w14:paraId="094EAABE" w14:textId="367E30BF" w:rsidR="005555A4" w:rsidRPr="005523C3" w:rsidRDefault="0059438B" w:rsidP="005555A4">
            <w:pPr>
              <w:pStyle w:val="TableParagraph"/>
              <w:spacing w:beforeLines="60" w:before="144" w:after="60" w:line="208" w:lineRule="exact"/>
              <w:ind w:hanging="5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n </w:t>
            </w:r>
            <w:r w:rsidR="005555A4"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(%/år)</w:t>
            </w:r>
          </w:p>
        </w:tc>
        <w:tc>
          <w:tcPr>
            <w:tcW w:w="2107" w:type="dxa"/>
          </w:tcPr>
          <w:p w14:paraId="29F8DED7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295" w:right="288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ASA</w:t>
            </w:r>
          </w:p>
          <w:p w14:paraId="4B89B133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295" w:right="29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N=2.780</w:t>
            </w:r>
          </w:p>
          <w:p w14:paraId="7C5FDC39" w14:textId="45A261F2" w:rsidR="005555A4" w:rsidRPr="005523C3" w:rsidRDefault="005555A4" w:rsidP="005555A4">
            <w:pPr>
              <w:pStyle w:val="TableParagraph"/>
              <w:spacing w:beforeLines="60" w:before="144" w:after="60" w:line="210" w:lineRule="exact"/>
              <w:ind w:left="295" w:right="28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n (%/år)</w:t>
            </w:r>
          </w:p>
        </w:tc>
        <w:tc>
          <w:tcPr>
            <w:tcW w:w="2549" w:type="dxa"/>
          </w:tcPr>
          <w:p w14:paraId="049069BA" w14:textId="77777777" w:rsidR="005555A4" w:rsidRPr="005523C3" w:rsidRDefault="005555A4" w:rsidP="005555A4">
            <w:pPr>
              <w:pStyle w:val="TableParagraph"/>
              <w:spacing w:beforeLines="60" w:before="144" w:after="60" w:line="249" w:lineRule="auto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Hazard ratio</w:t>
            </w:r>
          </w:p>
          <w:p w14:paraId="3334B127" w14:textId="77777777" w:rsidR="005555A4" w:rsidRPr="005523C3" w:rsidRDefault="005555A4" w:rsidP="005555A4">
            <w:pPr>
              <w:pStyle w:val="TableParagraph"/>
              <w:spacing w:beforeLines="60" w:before="144" w:after="60" w:line="249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(95 %CI)</w:t>
            </w:r>
          </w:p>
        </w:tc>
        <w:tc>
          <w:tcPr>
            <w:tcW w:w="1220" w:type="dxa"/>
          </w:tcPr>
          <w:p w14:paraId="077D01EF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9" w:right="105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523C3">
              <w:rPr>
                <w:rFonts w:ascii="Times New Roman" w:hAnsi="Times New Roman" w:cs="Times New Roman"/>
                <w:b/>
                <w:w w:val="105"/>
                <w:lang w:val="en-GB"/>
              </w:rPr>
              <w:t>p-værdi</w:t>
            </w:r>
          </w:p>
        </w:tc>
      </w:tr>
      <w:tr w:rsidR="005555A4" w:rsidRPr="005523C3" w14:paraId="4C460E92" w14:textId="77777777" w:rsidTr="005555A4">
        <w:trPr>
          <w:trHeight w:val="261"/>
          <w:jc w:val="center"/>
        </w:trPr>
        <w:tc>
          <w:tcPr>
            <w:tcW w:w="2459" w:type="dxa"/>
          </w:tcPr>
          <w:p w14:paraId="1875612F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Major *</w:t>
            </w:r>
          </w:p>
        </w:tc>
        <w:tc>
          <w:tcPr>
            <w:tcW w:w="2438" w:type="dxa"/>
          </w:tcPr>
          <w:p w14:paraId="6A1DFE8B" w14:textId="77777777" w:rsidR="005555A4" w:rsidRPr="005523C3" w:rsidRDefault="005555A4" w:rsidP="005555A4">
            <w:pPr>
              <w:pStyle w:val="TableParagraph"/>
              <w:spacing w:beforeLines="60" w:before="144" w:after="60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45 (1,41)</w:t>
            </w:r>
          </w:p>
        </w:tc>
        <w:tc>
          <w:tcPr>
            <w:tcW w:w="2107" w:type="dxa"/>
          </w:tcPr>
          <w:p w14:paraId="1BBB1CB9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291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29 (0,92)</w:t>
            </w:r>
          </w:p>
        </w:tc>
        <w:tc>
          <w:tcPr>
            <w:tcW w:w="2549" w:type="dxa"/>
          </w:tcPr>
          <w:p w14:paraId="7449B334" w14:textId="77777777" w:rsidR="005555A4" w:rsidRPr="005523C3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1,54 (0,96; 2,45)</w:t>
            </w:r>
          </w:p>
        </w:tc>
        <w:tc>
          <w:tcPr>
            <w:tcW w:w="1220" w:type="dxa"/>
          </w:tcPr>
          <w:p w14:paraId="4A6CD577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9" w:right="10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0,0716</w:t>
            </w:r>
          </w:p>
        </w:tc>
      </w:tr>
      <w:tr w:rsidR="005555A4" w:rsidRPr="005523C3" w14:paraId="1F7436EB" w14:textId="77777777" w:rsidTr="005555A4">
        <w:trPr>
          <w:trHeight w:val="254"/>
          <w:jc w:val="center"/>
        </w:trPr>
        <w:tc>
          <w:tcPr>
            <w:tcW w:w="2459" w:type="dxa"/>
          </w:tcPr>
          <w:p w14:paraId="36A9D6CC" w14:textId="77777777" w:rsidR="005555A4" w:rsidRPr="005523C3" w:rsidRDefault="005555A4" w:rsidP="005555A4">
            <w:pPr>
              <w:pStyle w:val="TableParagraph"/>
              <w:spacing w:beforeLines="60" w:before="144" w:after="60" w:line="227" w:lineRule="exact"/>
              <w:ind w:left="440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Dødelig, n</w:t>
            </w:r>
          </w:p>
        </w:tc>
        <w:tc>
          <w:tcPr>
            <w:tcW w:w="2438" w:type="dxa"/>
          </w:tcPr>
          <w:p w14:paraId="2CA22F32" w14:textId="77777777" w:rsidR="005555A4" w:rsidRPr="005523C3" w:rsidRDefault="005555A4" w:rsidP="005555A4">
            <w:pPr>
              <w:pStyle w:val="TableParagraph"/>
              <w:spacing w:beforeLines="60" w:before="144" w:after="60" w:line="227" w:lineRule="exact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5 (0,16)</w:t>
            </w:r>
          </w:p>
        </w:tc>
        <w:tc>
          <w:tcPr>
            <w:tcW w:w="2107" w:type="dxa"/>
          </w:tcPr>
          <w:p w14:paraId="64F957E5" w14:textId="77777777" w:rsidR="005555A4" w:rsidRPr="005523C3" w:rsidRDefault="005555A4" w:rsidP="005555A4">
            <w:pPr>
              <w:pStyle w:val="TableParagraph"/>
              <w:spacing w:beforeLines="60" w:before="144" w:after="60" w:line="227" w:lineRule="exact"/>
              <w:ind w:left="295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5 (0,16)</w:t>
            </w:r>
          </w:p>
        </w:tc>
        <w:tc>
          <w:tcPr>
            <w:tcW w:w="2549" w:type="dxa"/>
          </w:tcPr>
          <w:p w14:paraId="4CADD803" w14:textId="77777777" w:rsidR="005555A4" w:rsidRPr="005523C3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0" w:type="dxa"/>
          </w:tcPr>
          <w:p w14:paraId="4444D38A" w14:textId="77777777" w:rsidR="005555A4" w:rsidRPr="005523C3" w:rsidRDefault="005555A4" w:rsidP="005555A4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6E4D5EE1" w14:textId="77777777" w:rsidTr="005555A4">
        <w:trPr>
          <w:trHeight w:val="237"/>
          <w:jc w:val="center"/>
        </w:trPr>
        <w:tc>
          <w:tcPr>
            <w:tcW w:w="2459" w:type="dxa"/>
          </w:tcPr>
          <w:p w14:paraId="486B8A6C" w14:textId="77777777" w:rsidR="005555A4" w:rsidRPr="005523C3" w:rsidRDefault="005555A4" w:rsidP="005555A4">
            <w:pPr>
              <w:pStyle w:val="TableParagraph"/>
              <w:spacing w:beforeLines="60" w:before="144" w:after="60" w:line="212" w:lineRule="exact"/>
              <w:ind w:left="440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Intrakraniel, n</w:t>
            </w:r>
          </w:p>
        </w:tc>
        <w:tc>
          <w:tcPr>
            <w:tcW w:w="2438" w:type="dxa"/>
          </w:tcPr>
          <w:p w14:paraId="60AA1BC9" w14:textId="77777777" w:rsidR="005555A4" w:rsidRPr="005523C3" w:rsidRDefault="005555A4" w:rsidP="005555A4">
            <w:pPr>
              <w:pStyle w:val="TableParagraph"/>
              <w:spacing w:beforeLines="60" w:before="144" w:after="60" w:line="212" w:lineRule="exact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 (0,34)</w:t>
            </w:r>
          </w:p>
        </w:tc>
        <w:tc>
          <w:tcPr>
            <w:tcW w:w="2107" w:type="dxa"/>
          </w:tcPr>
          <w:p w14:paraId="78F8E3F4" w14:textId="77777777" w:rsidR="005555A4" w:rsidRPr="005523C3" w:rsidRDefault="005555A4" w:rsidP="005555A4">
            <w:pPr>
              <w:pStyle w:val="TableParagraph"/>
              <w:spacing w:beforeLines="60" w:before="144" w:after="60" w:line="212" w:lineRule="exact"/>
              <w:ind w:left="293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11 (0,35)</w:t>
            </w:r>
          </w:p>
        </w:tc>
        <w:tc>
          <w:tcPr>
            <w:tcW w:w="2549" w:type="dxa"/>
          </w:tcPr>
          <w:p w14:paraId="7F4E0418" w14:textId="77777777" w:rsidR="005555A4" w:rsidRPr="005523C3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0" w:type="dxa"/>
          </w:tcPr>
          <w:p w14:paraId="6F0001AE" w14:textId="77777777" w:rsidR="005555A4" w:rsidRPr="005523C3" w:rsidRDefault="005555A4" w:rsidP="005555A4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5523C3" w14:paraId="09DA98BC" w14:textId="77777777" w:rsidTr="005555A4">
        <w:trPr>
          <w:trHeight w:val="261"/>
          <w:jc w:val="center"/>
        </w:trPr>
        <w:tc>
          <w:tcPr>
            <w:tcW w:w="2459" w:type="dxa"/>
          </w:tcPr>
          <w:p w14:paraId="293DC285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Major + CRNM </w:t>
            </w:r>
            <w:r w:rsidRPr="005523C3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†</w:t>
            </w:r>
          </w:p>
        </w:tc>
        <w:tc>
          <w:tcPr>
            <w:tcW w:w="2438" w:type="dxa"/>
          </w:tcPr>
          <w:p w14:paraId="415C27A2" w14:textId="77777777" w:rsidR="005555A4" w:rsidRPr="005523C3" w:rsidRDefault="005555A4" w:rsidP="005555A4">
            <w:pPr>
              <w:pStyle w:val="TableParagraph"/>
              <w:spacing w:beforeLines="60" w:before="144" w:after="60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140 (4,46)</w:t>
            </w:r>
          </w:p>
        </w:tc>
        <w:tc>
          <w:tcPr>
            <w:tcW w:w="2107" w:type="dxa"/>
          </w:tcPr>
          <w:p w14:paraId="076937FD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294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101 (3,24)</w:t>
            </w:r>
          </w:p>
        </w:tc>
        <w:tc>
          <w:tcPr>
            <w:tcW w:w="2549" w:type="dxa"/>
          </w:tcPr>
          <w:p w14:paraId="6A9598FC" w14:textId="77777777" w:rsidR="005555A4" w:rsidRPr="005523C3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1,38 (1,07; 1,78)</w:t>
            </w:r>
          </w:p>
        </w:tc>
        <w:tc>
          <w:tcPr>
            <w:tcW w:w="1220" w:type="dxa"/>
          </w:tcPr>
          <w:p w14:paraId="081ADE9B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8" w:right="10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0,0144</w:t>
            </w:r>
          </w:p>
        </w:tc>
      </w:tr>
      <w:tr w:rsidR="005555A4" w:rsidRPr="005523C3" w14:paraId="69055111" w14:textId="77777777" w:rsidTr="005555A4">
        <w:trPr>
          <w:trHeight w:val="320"/>
          <w:jc w:val="center"/>
        </w:trPr>
        <w:tc>
          <w:tcPr>
            <w:tcW w:w="2459" w:type="dxa"/>
          </w:tcPr>
          <w:p w14:paraId="22220F28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438" w:type="dxa"/>
          </w:tcPr>
          <w:p w14:paraId="0FAC477A" w14:textId="77777777" w:rsidR="005555A4" w:rsidRPr="005523C3" w:rsidRDefault="005555A4" w:rsidP="005555A4">
            <w:pPr>
              <w:pStyle w:val="TableParagraph"/>
              <w:spacing w:beforeLines="60" w:before="144" w:after="60"/>
              <w:ind w:hanging="5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325 (10,85)</w:t>
            </w:r>
          </w:p>
        </w:tc>
        <w:tc>
          <w:tcPr>
            <w:tcW w:w="2107" w:type="dxa"/>
          </w:tcPr>
          <w:p w14:paraId="5F3ED3E8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294" w:right="29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250 (8,32)</w:t>
            </w:r>
          </w:p>
        </w:tc>
        <w:tc>
          <w:tcPr>
            <w:tcW w:w="2549" w:type="dxa"/>
          </w:tcPr>
          <w:p w14:paraId="08545B27" w14:textId="77777777" w:rsidR="005555A4" w:rsidRPr="005523C3" w:rsidRDefault="005555A4" w:rsidP="005555A4">
            <w:pPr>
              <w:pStyle w:val="TableParagraph"/>
              <w:spacing w:beforeLines="60" w:before="144" w:after="6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1,30 (1,10; 1,53)</w:t>
            </w:r>
          </w:p>
        </w:tc>
        <w:tc>
          <w:tcPr>
            <w:tcW w:w="1220" w:type="dxa"/>
          </w:tcPr>
          <w:p w14:paraId="2739A1EA" w14:textId="77777777" w:rsidR="005555A4" w:rsidRPr="005523C3" w:rsidRDefault="005555A4" w:rsidP="005555A4">
            <w:pPr>
              <w:pStyle w:val="TableParagraph"/>
              <w:spacing w:beforeLines="60" w:before="144" w:after="60"/>
              <w:ind w:left="109" w:right="10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523C3">
              <w:rPr>
                <w:rFonts w:ascii="Times New Roman" w:hAnsi="Times New Roman" w:cs="Times New Roman"/>
                <w:w w:val="105"/>
                <w:lang w:val="en-GB"/>
              </w:rPr>
              <w:t>0,0017</w:t>
            </w:r>
          </w:p>
        </w:tc>
      </w:tr>
    </w:tbl>
    <w:p w14:paraId="0C03E8D3" w14:textId="77777777" w:rsidR="005555A4" w:rsidRPr="00A1735F" w:rsidRDefault="005555A4" w:rsidP="005555A4">
      <w:pPr>
        <w:suppressAutoHyphens/>
        <w:rPr>
          <w:sz w:val="22"/>
          <w:szCs w:val="22"/>
        </w:rPr>
      </w:pPr>
      <w:r w:rsidRPr="001D36C6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A1735F">
        <w:rPr>
          <w:sz w:val="22"/>
          <w:szCs w:val="22"/>
        </w:rPr>
        <w:t>Major bl</w:t>
      </w:r>
      <w:r w:rsidRPr="00A1735F">
        <w:rPr>
          <w:rFonts w:hint="eastAsia"/>
          <w:sz w:val="22"/>
          <w:szCs w:val="22"/>
        </w:rPr>
        <w:t>ø</w:t>
      </w:r>
      <w:r w:rsidRPr="00A1735F">
        <w:rPr>
          <w:sz w:val="22"/>
          <w:szCs w:val="22"/>
        </w:rPr>
        <w:t>dning defineret if</w:t>
      </w:r>
      <w:r w:rsidRPr="00A1735F">
        <w:rPr>
          <w:rFonts w:hint="eastAsia"/>
          <w:sz w:val="22"/>
          <w:szCs w:val="22"/>
        </w:rPr>
        <w:t>ø</w:t>
      </w:r>
      <w:r w:rsidRPr="00A1735F">
        <w:rPr>
          <w:sz w:val="22"/>
          <w:szCs w:val="22"/>
        </w:rPr>
        <w:t>lge International Society on Thrombosis and Haemostasis (ISTH) kriterier.</w:t>
      </w:r>
    </w:p>
    <w:p w14:paraId="0D078C7F" w14:textId="77777777" w:rsidR="005555A4" w:rsidRDefault="005555A4" w:rsidP="005555A4">
      <w:pPr>
        <w:suppressAutoHyphens/>
        <w:rPr>
          <w:sz w:val="22"/>
          <w:szCs w:val="22"/>
          <w:u w:val="single"/>
        </w:rPr>
      </w:pPr>
      <w:r w:rsidRPr="001D36C6">
        <w:rPr>
          <w:rFonts w:hint="eastAsia"/>
          <w:sz w:val="22"/>
          <w:szCs w:val="22"/>
          <w:vertAlign w:val="superscript"/>
        </w:rPr>
        <w:t>†</w:t>
      </w:r>
      <w:r w:rsidRPr="00A1735F">
        <w:rPr>
          <w:sz w:val="22"/>
          <w:szCs w:val="22"/>
        </w:rPr>
        <w:t xml:space="preserve"> Klinisk relevant ikke-alvorlig bl</w:t>
      </w:r>
      <w:r w:rsidRPr="00A1735F">
        <w:rPr>
          <w:rFonts w:hint="eastAsia"/>
          <w:sz w:val="22"/>
          <w:szCs w:val="22"/>
        </w:rPr>
        <w:t>ø</w:t>
      </w:r>
      <w:r w:rsidRPr="00A1735F">
        <w:rPr>
          <w:sz w:val="22"/>
          <w:szCs w:val="22"/>
        </w:rPr>
        <w:t>dning</w:t>
      </w:r>
    </w:p>
    <w:p w14:paraId="75A58D32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6B26A5AE" w14:textId="77777777" w:rsidR="005555A4" w:rsidRPr="009B3D87" w:rsidRDefault="005555A4" w:rsidP="005555A4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NVAF-patienter med AKS og/eller som har fået foretaget PCI</w:t>
      </w:r>
    </w:p>
    <w:p w14:paraId="44AF016B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I AUGUSTUS, et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bent, randomiseret, kontrolleret fors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g med et 2 x 2 faktorielt design, blev der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inkluderet 4.614 patienter med NVAF, som havde AKS (43 %) og/eller fik foretaget PCI (56 %). Alle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fik baggrundsbehandling med en P2Y12-h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mmer (clopidogrel: 90,3 %) ordineret i henhold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til lokal standardbehandling.</w:t>
      </w:r>
    </w:p>
    <w:p w14:paraId="08D62D6E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B999A59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Patienterne blev randomiseret op til 14 dage efter AKS og/eller PCI til enten apixaban 5 mg to gange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daglig (2,5 mg to gange daglig, hvis to eller flere af kriterierne for dosisreduktion var opfyldt; 4,2 %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fik lavere dosis) eller VKA og til enten ASA (81 mg en gang daglig) eller placebo.</w:t>
      </w:r>
    </w:p>
    <w:p w14:paraId="6EC30373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Gennemsnitsalderen var 69,9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r, 94 % af de randomiserede patienter havde en CHA2DS2-VASc-score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&gt; 2, og 47 % havde en HAS-BLED-score &gt; 3. For patienter randomiseret til VKA var andelen af tid i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terapeutisk interval (TTI) (INR 2-3) 56 %, med 32 % af tiden under TTI og 12 % over TTI.</w:t>
      </w:r>
    </w:p>
    <w:p w14:paraId="4A6838AE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B534640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form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l med AUGUSTUS var at vurdere sikkerheden, med det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endepunkt ISTH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dning. I sammenligningen mellem apixaban og VKA forekom det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sikkerhedsendepunkt ISTH 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 6 hos 241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(10,5 %) og 332 (14,7 %) patienter i henholdsvis apixabangruppen og VKA-gruppen (HR=0,69, 95 %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CI: 0,58; 0,82; 2-sidet p&lt;0,0001 for non-inferioritet og p&lt;0,0001 for superioritet). For VKA viste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 xml:space="preserve">yderligere analyser, der </w:t>
      </w:r>
      <w:r w:rsidRPr="000D1462">
        <w:rPr>
          <w:sz w:val="24"/>
          <w:szCs w:val="24"/>
        </w:rPr>
        <w:lastRenderedPageBreak/>
        <w:t>brugte undergrupper ud fra TTI, at den h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jeste forekomst af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var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forbundet med den laveste kvartil af TTI. Forekomsten af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var sammenlignelig for apixaban</w:t>
      </w:r>
    </w:p>
    <w:p w14:paraId="64BAD353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og den h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jeste kvartil af TTI.</w:t>
      </w:r>
    </w:p>
    <w:p w14:paraId="6E49FB54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sammenligningen mellem ASA og placebo forekom det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sikkerhedsendepunkt ISTH alvorlig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 6 hos 367 (16,1 %) og 204 (9,0 %) patienter i henholdsvis ASA-gruppen og placebogruppen (HR=1,88, 95 % CI: 1,58; 2,23; 2-sidet p&lt;0,0001).</w:t>
      </w:r>
    </w:p>
    <w:p w14:paraId="273BC01A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3A455F37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Specifikt forekom 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hos 157 (13,7 %) og 84 (7,4 %) apixaban-behandlede patienter i henholdsvis ASA-gruppen og placebogruppen. Hos VKA-behandlede patienter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forekom alvorlig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eller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hos 208 (18,5 %) og 122 (10,8 %) patienter i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henholdsvis ASA-gruppen og placebogruppen.</w:t>
      </w:r>
    </w:p>
    <w:p w14:paraId="12629C8C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6C1C58FC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Andre effekter af behandlingen blev vurderet som et sekund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rt studieform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l med sammensatte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endepunkter.</w:t>
      </w:r>
    </w:p>
    <w:p w14:paraId="168EA93F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sammenligningen mellem apixaban og VKA forekom 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genindl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ggelse hos 541 (23,5 %) og 632 (27,4 %) patienter i henholdsvis apixaban- og VKA-gruppen.</w:t>
      </w:r>
    </w:p>
    <w:p w14:paraId="79FF865D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 isk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misk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 (apopleksi, myokardieinfarkt,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stenttrombose eller akut revaskularisering) forekom hos 170 (7,4 %) og 182 (7,9 %) patienter i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henholdsvis apixaban- og VKA-gruppen.</w:t>
      </w:r>
    </w:p>
    <w:p w14:paraId="5AD28BA1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sammenligningen mellem ASA og placebo forekom 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genindl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ggelse hos 604 (26,2 %) og 569 (24,7 %) patienter i henholdsvis ASA- og placebogruppen.</w:t>
      </w:r>
    </w:p>
    <w:p w14:paraId="5A43846A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 sammensatte endepunkt af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dsfald eller isk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misk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 (apopleksi, myokardieinfarkt,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stenttrombose eller akut revaskularisering) forekom hos 163 (7,1 %) og 189 (8,2 %) patienter i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henholdsvis ASA- og placebogruppen.</w:t>
      </w:r>
    </w:p>
    <w:p w14:paraId="6B3BCA0C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6FC30BA4" w14:textId="77777777" w:rsidR="005555A4" w:rsidRPr="009B3D87" w:rsidRDefault="005555A4" w:rsidP="005555A4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t>Patienter, der gennemgår kardiovertering</w:t>
      </w:r>
    </w:p>
    <w:p w14:paraId="28A29854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EMANATE, et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bent multicenterstudie, inkluderede 1.500 patienter, som enten var oral antikoagulantnaive eller forudbehandlet mindre end 48 timer og med planlagt kardiovertering for NVAF. Patienterne blev randomiseret 1:1 til apixaban eller til heparin og/eller VKA til forebyggelse af kardiovaskul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ndelser. Der blev udf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rt elektrisk og/eller farmakologisk kardiovertering efter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mindst 5 doser af 5 mg apixaban to gange daglig (eller 2,5 mg to gange daglig til udvalgte patienter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(se pkt. 4.2)) eller mindst 2 timer efter en st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10 mg (eller en st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5 mg til udvalgte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(se pkt. 4.2)), hvis tidligere kardiovertering var n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dvendig. I apixaban-gruppen fik 342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en st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ddosis (331 patienter fik en 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10 mg, og 11 patienter fik en dosis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5 mg).</w:t>
      </w:r>
    </w:p>
    <w:p w14:paraId="00BA8AD6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0F6CEFB0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Der var ingen slagtilf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lde (0 %) i apixaban-gruppen (n = 753), og 6 (0,80 %) slagtilf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lde i heparin- og/eller VKA-gruppen (n = 747; RR 0,00; 95 % CI 0,00; 0,64).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 xml:space="preserve">d uanset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rsag forekom hos 2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(0,27 %) i apixaban-gruppen og 1 patient (0,13 %) i heparin- og/eller VKA-gruppen. Der blev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ikke rapporteret 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 om systemisk emboli.</w:t>
      </w:r>
    </w:p>
    <w:p w14:paraId="6133F267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20E738FE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Major 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 og CRNM-bl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dningsh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 opstod hos henholdsvis 3 (0,41 %) og 11 (1,50 %)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patienter i apixaban-gruppen sammenlignet med 6 (0,83 %) og 13 (1,80 %) patienter i heparin- og/eller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VKA-gruppen.</w:t>
      </w:r>
    </w:p>
    <w:p w14:paraId="618222B7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</w:p>
    <w:p w14:paraId="587ABA65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Dette eksplorative studie viste sammenlignelig effekt og sikkerhed mellem apixaban- og heparin og/eller VKA-behandlingsgrupperne i forbindelse med kardiovertering.</w:t>
      </w:r>
    </w:p>
    <w:p w14:paraId="774D8E74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755EE934" w14:textId="77777777" w:rsidR="005555A4" w:rsidRPr="009B3D87" w:rsidRDefault="005555A4" w:rsidP="005555A4">
      <w:pPr>
        <w:suppressAutoHyphens/>
        <w:ind w:left="851"/>
        <w:rPr>
          <w:i/>
          <w:iCs/>
          <w:sz w:val="24"/>
          <w:szCs w:val="24"/>
        </w:rPr>
      </w:pPr>
      <w:r w:rsidRPr="009B3D87">
        <w:rPr>
          <w:i/>
          <w:iCs/>
          <w:sz w:val="24"/>
          <w:szCs w:val="24"/>
        </w:rPr>
        <w:lastRenderedPageBreak/>
        <w:t>Behandling af DVT, behandling af LE og forebyggelse af recidiverende DVT og LE (VTEt)</w:t>
      </w:r>
    </w:p>
    <w:p w14:paraId="552573D7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2175FA">
        <w:rPr>
          <w:sz w:val="24"/>
          <w:szCs w:val="24"/>
        </w:rPr>
        <w:t xml:space="preserve">Det kliniske program (AMPLIFY: apixaban versus enoxaparin/warfarin, AMPLIFY-EXT: apixaban </w:t>
      </w:r>
      <w:r w:rsidRPr="000D1462">
        <w:rPr>
          <w:sz w:val="24"/>
          <w:szCs w:val="24"/>
        </w:rPr>
        <w:t>versus placebo) var designet til at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vise apixabans virkning og sikkerhed ved behandling af DVT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og/eller LE (AMPLIFY), og ved langvarig behandling til forebyggelse af recidiverende DVT og/eller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LE efter 6 til 12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neders antikoagulationsbehandling ved DVT og/eller LE (AMPLIFY-EXT). Begge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studier var randomiserede, parallel-gruppe, dobbeltblinde, multinationale fors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g med patienter med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symptomatisk proksimal DVT eller symptomatisk LE. Alle de vigtigste sikkerhed- og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virkningsendepunkter blev vurderet af en uafh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ngig, blindet komite.</w:t>
      </w:r>
    </w:p>
    <w:p w14:paraId="18D9D400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77A6D61E" w14:textId="77777777" w:rsidR="005555A4" w:rsidRPr="000D1462" w:rsidRDefault="005555A4" w:rsidP="005555A4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0D1462">
        <w:rPr>
          <w:i/>
          <w:iCs/>
          <w:sz w:val="24"/>
          <w:szCs w:val="24"/>
          <w:u w:val="single"/>
        </w:rPr>
        <w:t>AMPLIFY-studiet</w:t>
      </w:r>
    </w:p>
    <w:p w14:paraId="56714019" w14:textId="36CCD34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AMPLIFY-studiet blev i</w:t>
      </w:r>
      <w:r w:rsidR="000B5CFE"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alt 5.395 patienter randomiseret til behandling med apixaban 10 mg oralt to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gange daglig i 7 dage efterfulgt af apixaban 5 mg oralt to gange daglig i 6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neder eller til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enoxaparin 1 mg/kg subkutant to gange daglig i mindst 5 dage (indtil INR</w:t>
      </w:r>
      <w:r w:rsidRPr="000D1462">
        <w:rPr>
          <w:rFonts w:hint="eastAsia"/>
          <w:sz w:val="24"/>
          <w:szCs w:val="24"/>
        </w:rPr>
        <w:t>≥</w:t>
      </w:r>
      <w:r w:rsidRPr="000D1462">
        <w:rPr>
          <w:sz w:val="24"/>
          <w:szCs w:val="24"/>
        </w:rPr>
        <w:t xml:space="preserve"> 2) og warfarin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(m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linterval for INR 2,0-3,0) oralt i 6 m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neder.</w:t>
      </w:r>
    </w:p>
    <w:p w14:paraId="51B4DB05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</w:p>
    <w:p w14:paraId="224323CA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 xml:space="preserve">Gennemsnitsalderen var 56,9 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>r, og 89,8 % af de randomiserede patienter havde uprovokerede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VTE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h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ndelser.</w:t>
      </w:r>
    </w:p>
    <w:p w14:paraId="04C0AF1D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</w:p>
    <w:p w14:paraId="6F0A9DE2" w14:textId="77777777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Patienter randomiseret til warfarin var gennemsnitligt 60,9 % af tiden i terapeutisk interval</w:t>
      </w:r>
    </w:p>
    <w:p w14:paraId="0557E9B5" w14:textId="77777777" w:rsidR="005555A4" w:rsidRPr="002175FA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(INR 2,0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3,0). Apixaban viste en reduktion af recidiverende symptomatisk VTE eller VTE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relateret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 p</w:t>
      </w:r>
      <w:r w:rsidRPr="000D1462">
        <w:rPr>
          <w:rFonts w:hint="eastAsia"/>
          <w:sz w:val="24"/>
          <w:szCs w:val="24"/>
        </w:rPr>
        <w:t>å</w:t>
      </w:r>
      <w:r w:rsidRPr="000D1462">
        <w:rPr>
          <w:sz w:val="24"/>
          <w:szCs w:val="24"/>
        </w:rPr>
        <w:t xml:space="preserve"> tv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rs af de forskellige niveauer af center-TTI; for centre i den h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jeste kvartil af TTI var den</w:t>
      </w:r>
      <w:r>
        <w:rPr>
          <w:sz w:val="24"/>
          <w:szCs w:val="24"/>
        </w:rPr>
        <w:t xml:space="preserve"> </w:t>
      </w:r>
      <w:r w:rsidRPr="002175FA">
        <w:rPr>
          <w:sz w:val="24"/>
          <w:szCs w:val="24"/>
        </w:rPr>
        <w:t>relative risiko for apixaban versus enoxaparin/warfarin 0,79 (95 % CI 0,39-1,61).</w:t>
      </w:r>
    </w:p>
    <w:p w14:paraId="18AD68F2" w14:textId="77777777" w:rsidR="005555A4" w:rsidRPr="002175FA" w:rsidRDefault="005555A4" w:rsidP="005555A4">
      <w:pPr>
        <w:suppressAutoHyphens/>
        <w:ind w:left="851"/>
        <w:rPr>
          <w:sz w:val="24"/>
          <w:szCs w:val="24"/>
        </w:rPr>
      </w:pPr>
    </w:p>
    <w:p w14:paraId="4F9FDB7D" w14:textId="345DB9A4" w:rsidR="005555A4" w:rsidRPr="000D1462" w:rsidRDefault="005555A4" w:rsidP="005555A4">
      <w:pPr>
        <w:suppressAutoHyphens/>
        <w:ind w:left="851"/>
        <w:rPr>
          <w:sz w:val="24"/>
          <w:szCs w:val="24"/>
        </w:rPr>
      </w:pPr>
      <w:r w:rsidRPr="000D1462">
        <w:rPr>
          <w:sz w:val="24"/>
          <w:szCs w:val="24"/>
        </w:rPr>
        <w:t>I studiet blev apixaban vist non-inferior til enoxaparin/warfarin i det sammensatte prim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re endepunkt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af bekr</w:t>
      </w:r>
      <w:r w:rsidRPr="000D1462">
        <w:rPr>
          <w:rFonts w:hint="eastAsia"/>
          <w:sz w:val="24"/>
          <w:szCs w:val="24"/>
        </w:rPr>
        <w:t>æ</w:t>
      </w:r>
      <w:r w:rsidRPr="000D1462">
        <w:rPr>
          <w:sz w:val="24"/>
          <w:szCs w:val="24"/>
        </w:rPr>
        <w:t>ftet recidiverende symptomatisk VTE (ikke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delig DVT eller ikke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>delig LE) eller</w:t>
      </w:r>
      <w:r>
        <w:rPr>
          <w:sz w:val="24"/>
          <w:szCs w:val="24"/>
        </w:rPr>
        <w:t xml:space="preserve"> </w:t>
      </w:r>
      <w:r w:rsidRPr="000D1462">
        <w:rPr>
          <w:sz w:val="24"/>
          <w:szCs w:val="24"/>
        </w:rPr>
        <w:t>VTE</w:t>
      </w:r>
      <w:r w:rsidRPr="000D1462">
        <w:rPr>
          <w:rFonts w:hint="eastAsia"/>
          <w:sz w:val="24"/>
          <w:szCs w:val="24"/>
        </w:rPr>
        <w:t>‑</w:t>
      </w:r>
      <w:r w:rsidRPr="000D1462">
        <w:rPr>
          <w:sz w:val="24"/>
          <w:szCs w:val="24"/>
        </w:rPr>
        <w:t>relateret d</w:t>
      </w:r>
      <w:r w:rsidRPr="000D1462">
        <w:rPr>
          <w:rFonts w:hint="eastAsia"/>
          <w:sz w:val="24"/>
          <w:szCs w:val="24"/>
        </w:rPr>
        <w:t>ø</w:t>
      </w:r>
      <w:r w:rsidRPr="000D1462">
        <w:rPr>
          <w:sz w:val="24"/>
          <w:szCs w:val="24"/>
        </w:rPr>
        <w:t xml:space="preserve">d (se tabel </w:t>
      </w:r>
      <w:r w:rsidR="00CD3BA6">
        <w:rPr>
          <w:sz w:val="24"/>
          <w:szCs w:val="24"/>
        </w:rPr>
        <w:t>8</w:t>
      </w:r>
      <w:r w:rsidRPr="000D1462">
        <w:rPr>
          <w:sz w:val="24"/>
          <w:szCs w:val="24"/>
        </w:rPr>
        <w:t>).</w:t>
      </w:r>
    </w:p>
    <w:p w14:paraId="42B42081" w14:textId="77777777" w:rsidR="005555A4" w:rsidRPr="000D146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34FC364" w14:textId="219DB14F" w:rsidR="005555A4" w:rsidRPr="009E5120" w:rsidRDefault="005555A4" w:rsidP="005555A4">
      <w:pPr>
        <w:rPr>
          <w:b/>
          <w:bCs/>
          <w:sz w:val="22"/>
          <w:szCs w:val="22"/>
        </w:rPr>
      </w:pPr>
      <w:r w:rsidRPr="009E5120">
        <w:rPr>
          <w:rFonts w:eastAsia="TimesNewRoman,Bold"/>
          <w:b/>
          <w:bCs/>
          <w:sz w:val="22"/>
          <w:szCs w:val="22"/>
          <w:lang w:eastAsia="en-GB"/>
        </w:rPr>
        <w:t xml:space="preserve">Tabel </w:t>
      </w:r>
      <w:r w:rsidR="00CD3BA6">
        <w:rPr>
          <w:rFonts w:eastAsia="TimesNewRoman,Bold"/>
          <w:b/>
          <w:bCs/>
          <w:sz w:val="22"/>
          <w:szCs w:val="22"/>
          <w:lang w:eastAsia="en-GB"/>
        </w:rPr>
        <w:t>8</w:t>
      </w:r>
      <w:r w:rsidRPr="009E5120">
        <w:rPr>
          <w:rFonts w:eastAsia="TimesNewRoman,Bold"/>
          <w:b/>
          <w:bCs/>
          <w:sz w:val="22"/>
          <w:szCs w:val="22"/>
          <w:lang w:eastAsia="en-GB"/>
        </w:rPr>
        <w:t>: Effektresultater i AMPLIFY‑studiet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880"/>
        <w:gridCol w:w="2421"/>
        <w:gridCol w:w="3994"/>
      </w:tblGrid>
      <w:tr w:rsidR="005555A4" w:rsidRPr="002175FA" w14:paraId="5852B5D3" w14:textId="77777777" w:rsidTr="005555A4">
        <w:trPr>
          <w:trHeight w:val="589"/>
          <w:jc w:val="center"/>
        </w:trPr>
        <w:tc>
          <w:tcPr>
            <w:tcW w:w="2478" w:type="dxa"/>
          </w:tcPr>
          <w:p w14:paraId="76079496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1BDC46B7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6C9196A5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N=2.609</w:t>
            </w:r>
          </w:p>
          <w:p w14:paraId="284D32AD" w14:textId="78668D30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n (%)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349DDEB4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Enoxaparin/Warfarin</w:t>
            </w:r>
          </w:p>
          <w:p w14:paraId="277580A6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w w:val="105"/>
                <w:lang w:val="en-GB"/>
              </w:rPr>
              <w:t>N=2.635</w:t>
            </w:r>
          </w:p>
          <w:p w14:paraId="61D5314D" w14:textId="114370B6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w w:val="105"/>
                <w:lang w:val="en-GB"/>
              </w:rPr>
              <w:t>n (%)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4AD13E60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912" w:right="11" w:hanging="7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175FA">
              <w:rPr>
                <w:rFonts w:ascii="Times New Roman" w:hAnsi="Times New Roman" w:cs="Times New Roman"/>
                <w:b/>
                <w:lang w:val="en-GB"/>
              </w:rPr>
              <w:t>Relativ risiko (95 % CI)</w:t>
            </w:r>
          </w:p>
        </w:tc>
      </w:tr>
      <w:tr w:rsidR="005555A4" w:rsidRPr="002175FA" w14:paraId="01EC1269" w14:textId="77777777" w:rsidTr="005555A4">
        <w:trPr>
          <w:trHeight w:val="588"/>
          <w:jc w:val="center"/>
        </w:trPr>
        <w:tc>
          <w:tcPr>
            <w:tcW w:w="2478" w:type="dxa"/>
          </w:tcPr>
          <w:p w14:paraId="78164E65" w14:textId="77777777" w:rsidR="005555A4" w:rsidRPr="002175FA" w:rsidRDefault="005555A4" w:rsidP="005555A4">
            <w:pPr>
              <w:pStyle w:val="TableParagraph"/>
              <w:spacing w:beforeLines="60" w:before="144" w:afterLines="60" w:after="144" w:line="247" w:lineRule="auto"/>
              <w:ind w:left="101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 eller VTE-relateret død</w:t>
            </w:r>
          </w:p>
        </w:tc>
        <w:tc>
          <w:tcPr>
            <w:tcW w:w="1880" w:type="dxa"/>
          </w:tcPr>
          <w:p w14:paraId="0ACA645E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59 (2,3)</w:t>
            </w:r>
          </w:p>
        </w:tc>
        <w:tc>
          <w:tcPr>
            <w:tcW w:w="2421" w:type="dxa"/>
          </w:tcPr>
          <w:p w14:paraId="11791E60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3" w:right="588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71 (2,7)</w:t>
            </w:r>
          </w:p>
        </w:tc>
        <w:tc>
          <w:tcPr>
            <w:tcW w:w="3994" w:type="dxa"/>
          </w:tcPr>
          <w:p w14:paraId="6E8F1380" w14:textId="7D869D0D" w:rsidR="005555A4" w:rsidRPr="002175FA" w:rsidRDefault="005555A4" w:rsidP="005555A4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0,84 (0,60; 1,</w:t>
            </w:r>
            <w:proofErr w:type="gramStart"/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18)*</w:t>
            </w:r>
            <w:proofErr w:type="gramEnd"/>
          </w:p>
        </w:tc>
      </w:tr>
      <w:tr w:rsidR="005555A4" w:rsidRPr="002175FA" w14:paraId="4CB29091" w14:textId="77777777" w:rsidTr="005555A4">
        <w:trPr>
          <w:trHeight w:val="350"/>
          <w:jc w:val="center"/>
        </w:trPr>
        <w:tc>
          <w:tcPr>
            <w:tcW w:w="2478" w:type="dxa"/>
          </w:tcPr>
          <w:p w14:paraId="588AF1D4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440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DVT</w:t>
            </w:r>
          </w:p>
        </w:tc>
        <w:tc>
          <w:tcPr>
            <w:tcW w:w="1880" w:type="dxa"/>
          </w:tcPr>
          <w:p w14:paraId="656C27E2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20 (0,7)</w:t>
            </w:r>
          </w:p>
        </w:tc>
        <w:tc>
          <w:tcPr>
            <w:tcW w:w="2421" w:type="dxa"/>
          </w:tcPr>
          <w:p w14:paraId="01430018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0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33 (1,2)</w:t>
            </w:r>
          </w:p>
        </w:tc>
        <w:tc>
          <w:tcPr>
            <w:tcW w:w="3994" w:type="dxa"/>
          </w:tcPr>
          <w:p w14:paraId="026736EB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2175FA" w14:paraId="6DA07425" w14:textId="77777777" w:rsidTr="005555A4">
        <w:trPr>
          <w:trHeight w:val="350"/>
          <w:jc w:val="center"/>
        </w:trPr>
        <w:tc>
          <w:tcPr>
            <w:tcW w:w="2478" w:type="dxa"/>
          </w:tcPr>
          <w:p w14:paraId="7960DCAE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440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LE</w:t>
            </w:r>
          </w:p>
        </w:tc>
        <w:tc>
          <w:tcPr>
            <w:tcW w:w="1880" w:type="dxa"/>
          </w:tcPr>
          <w:p w14:paraId="13FEF42D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27 (1,0)</w:t>
            </w:r>
          </w:p>
        </w:tc>
        <w:tc>
          <w:tcPr>
            <w:tcW w:w="2421" w:type="dxa"/>
          </w:tcPr>
          <w:p w14:paraId="36EA2AA8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23 (0,9)</w:t>
            </w:r>
          </w:p>
        </w:tc>
        <w:tc>
          <w:tcPr>
            <w:tcW w:w="3994" w:type="dxa"/>
          </w:tcPr>
          <w:p w14:paraId="50732D5F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2175FA" w14:paraId="55FE7DBE" w14:textId="77777777" w:rsidTr="005555A4">
        <w:trPr>
          <w:trHeight w:val="588"/>
          <w:jc w:val="center"/>
        </w:trPr>
        <w:tc>
          <w:tcPr>
            <w:tcW w:w="2478" w:type="dxa"/>
          </w:tcPr>
          <w:p w14:paraId="3F949917" w14:textId="77777777" w:rsidR="005555A4" w:rsidRPr="002175FA" w:rsidRDefault="005555A4" w:rsidP="005555A4">
            <w:pPr>
              <w:pStyle w:val="TableParagraph"/>
              <w:spacing w:beforeLines="60" w:before="144" w:afterLines="60" w:after="144" w:line="247" w:lineRule="auto"/>
              <w:ind w:left="440" w:right="164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lang w:val="en-GB"/>
              </w:rPr>
              <w:t xml:space="preserve">VTE-relateret </w:t>
            </w: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død</w:t>
            </w:r>
          </w:p>
        </w:tc>
        <w:tc>
          <w:tcPr>
            <w:tcW w:w="1880" w:type="dxa"/>
          </w:tcPr>
          <w:p w14:paraId="42C1E5B1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12 (0,4)</w:t>
            </w:r>
          </w:p>
        </w:tc>
        <w:tc>
          <w:tcPr>
            <w:tcW w:w="2421" w:type="dxa"/>
          </w:tcPr>
          <w:p w14:paraId="23958514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15 (0,6)</w:t>
            </w:r>
          </w:p>
        </w:tc>
        <w:tc>
          <w:tcPr>
            <w:tcW w:w="3994" w:type="dxa"/>
          </w:tcPr>
          <w:p w14:paraId="3A1F1892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2175FA" w14:paraId="0E2370BE" w14:textId="77777777" w:rsidTr="005555A4">
        <w:trPr>
          <w:trHeight w:val="588"/>
          <w:jc w:val="center"/>
        </w:trPr>
        <w:tc>
          <w:tcPr>
            <w:tcW w:w="2478" w:type="dxa"/>
          </w:tcPr>
          <w:p w14:paraId="1F2AC0A9" w14:textId="77777777" w:rsidR="005555A4" w:rsidRPr="002175FA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64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 eller død uanset årsag</w:t>
            </w:r>
          </w:p>
        </w:tc>
        <w:tc>
          <w:tcPr>
            <w:tcW w:w="1880" w:type="dxa"/>
          </w:tcPr>
          <w:p w14:paraId="462DD6AE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84 (3,2)</w:t>
            </w:r>
          </w:p>
        </w:tc>
        <w:tc>
          <w:tcPr>
            <w:tcW w:w="2421" w:type="dxa"/>
          </w:tcPr>
          <w:p w14:paraId="6791AF65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104 (4,0)</w:t>
            </w:r>
          </w:p>
        </w:tc>
        <w:tc>
          <w:tcPr>
            <w:tcW w:w="3994" w:type="dxa"/>
          </w:tcPr>
          <w:p w14:paraId="5B029BE4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0,82 (0,61; 1,08)</w:t>
            </w:r>
          </w:p>
        </w:tc>
      </w:tr>
      <w:tr w:rsidR="005555A4" w:rsidRPr="002175FA" w14:paraId="70A0A925" w14:textId="77777777" w:rsidTr="005555A4">
        <w:trPr>
          <w:trHeight w:val="588"/>
          <w:jc w:val="center"/>
        </w:trPr>
        <w:tc>
          <w:tcPr>
            <w:tcW w:w="2478" w:type="dxa"/>
          </w:tcPr>
          <w:p w14:paraId="00A8E69E" w14:textId="77777777" w:rsidR="005555A4" w:rsidRPr="002175FA" w:rsidRDefault="005555A4" w:rsidP="005555A4">
            <w:pPr>
              <w:pStyle w:val="TableParagraph"/>
              <w:spacing w:beforeLines="60" w:before="144" w:afterLines="60" w:after="144" w:line="249" w:lineRule="auto"/>
              <w:ind w:left="101"/>
              <w:rPr>
                <w:rFonts w:ascii="Times New Roman" w:hAnsi="Times New Roman" w:cs="Times New Roman"/>
                <w:w w:val="105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 eller kardiovaskulær-</w:t>
            </w:r>
          </w:p>
          <w:p w14:paraId="6AA3FAB6" w14:textId="77777777" w:rsidR="005555A4" w:rsidRPr="002175FA" w:rsidRDefault="005555A4" w:rsidP="005555A4">
            <w:pPr>
              <w:pStyle w:val="TableParagraph"/>
              <w:spacing w:beforeLines="60" w:before="144" w:afterLines="60" w:after="144" w:line="249" w:lineRule="auto"/>
              <w:ind w:left="101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lastRenderedPageBreak/>
              <w:t>relateret død</w:t>
            </w:r>
          </w:p>
        </w:tc>
        <w:tc>
          <w:tcPr>
            <w:tcW w:w="1880" w:type="dxa"/>
          </w:tcPr>
          <w:p w14:paraId="2FD6049E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lastRenderedPageBreak/>
              <w:t>61 (2,3)</w:t>
            </w:r>
          </w:p>
        </w:tc>
        <w:tc>
          <w:tcPr>
            <w:tcW w:w="2421" w:type="dxa"/>
          </w:tcPr>
          <w:p w14:paraId="407BE0F0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77 (2,9)</w:t>
            </w:r>
          </w:p>
        </w:tc>
        <w:tc>
          <w:tcPr>
            <w:tcW w:w="3994" w:type="dxa"/>
          </w:tcPr>
          <w:p w14:paraId="6B713239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0,80 (0,57; 1,11)</w:t>
            </w:r>
          </w:p>
        </w:tc>
      </w:tr>
      <w:tr w:rsidR="005555A4" w:rsidRPr="002175FA" w14:paraId="7033836A" w14:textId="77777777" w:rsidTr="005555A4">
        <w:trPr>
          <w:trHeight w:val="826"/>
          <w:jc w:val="center"/>
        </w:trPr>
        <w:tc>
          <w:tcPr>
            <w:tcW w:w="2478" w:type="dxa"/>
          </w:tcPr>
          <w:p w14:paraId="5E85D4C5" w14:textId="77777777" w:rsidR="005555A4" w:rsidRPr="002175FA" w:rsidRDefault="005555A4" w:rsidP="005555A4">
            <w:pPr>
              <w:pStyle w:val="TableParagraph"/>
              <w:spacing w:beforeLines="60" w:before="144" w:afterLines="60" w:after="144" w:line="249" w:lineRule="auto"/>
              <w:ind w:left="101"/>
              <w:rPr>
                <w:rFonts w:ascii="Times New Roman" w:hAnsi="Times New Roman" w:cs="Times New Roman"/>
                <w:lang w:val="da-DK"/>
              </w:rPr>
            </w:pPr>
            <w:r w:rsidRPr="002175FA">
              <w:rPr>
                <w:rFonts w:ascii="Times New Roman" w:hAnsi="Times New Roman" w:cs="Times New Roman"/>
                <w:w w:val="105"/>
                <w:lang w:val="da-DK"/>
              </w:rPr>
              <w:t>VTE, VTE-relateret død, eller major blødninger</w:t>
            </w:r>
          </w:p>
        </w:tc>
        <w:tc>
          <w:tcPr>
            <w:tcW w:w="1880" w:type="dxa"/>
          </w:tcPr>
          <w:p w14:paraId="4F406BCC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right="41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73 (2,8)</w:t>
            </w:r>
          </w:p>
        </w:tc>
        <w:tc>
          <w:tcPr>
            <w:tcW w:w="2421" w:type="dxa"/>
          </w:tcPr>
          <w:p w14:paraId="75744FF7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593" w:right="58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118 (4,5)</w:t>
            </w:r>
          </w:p>
        </w:tc>
        <w:tc>
          <w:tcPr>
            <w:tcW w:w="3994" w:type="dxa"/>
          </w:tcPr>
          <w:p w14:paraId="0A2CB54A" w14:textId="77777777" w:rsidR="005555A4" w:rsidRPr="002175FA" w:rsidRDefault="005555A4" w:rsidP="005555A4">
            <w:pPr>
              <w:pStyle w:val="TableParagraph"/>
              <w:spacing w:beforeLines="60" w:before="144" w:afterLines="60" w:after="144"/>
              <w:ind w:left="877" w:right="87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5FA">
              <w:rPr>
                <w:rFonts w:ascii="Times New Roman" w:hAnsi="Times New Roman" w:cs="Times New Roman"/>
                <w:w w:val="105"/>
                <w:lang w:val="en-GB"/>
              </w:rPr>
              <w:t>0,62 (0,47; 0,83)</w:t>
            </w:r>
          </w:p>
        </w:tc>
      </w:tr>
    </w:tbl>
    <w:p w14:paraId="034567CE" w14:textId="77777777" w:rsidR="005555A4" w:rsidRPr="007657C8" w:rsidRDefault="005555A4" w:rsidP="005555A4">
      <w:pPr>
        <w:suppressAutoHyphens/>
        <w:rPr>
          <w:sz w:val="22"/>
          <w:szCs w:val="22"/>
          <w:u w:val="single"/>
        </w:rPr>
      </w:pPr>
      <w:r w:rsidRPr="00FD2FC4">
        <w:rPr>
          <w:sz w:val="22"/>
          <w:szCs w:val="22"/>
          <w:vertAlign w:val="superscript"/>
        </w:rPr>
        <w:t>*</w:t>
      </w:r>
      <w:r w:rsidRPr="00D83AC4">
        <w:rPr>
          <w:sz w:val="22"/>
          <w:szCs w:val="22"/>
        </w:rPr>
        <w:t>Non-inferior sammenlignet med enoxaparin/warfarin (p &lt; 0,0001)</w:t>
      </w:r>
    </w:p>
    <w:p w14:paraId="18AC0BB3" w14:textId="77777777" w:rsidR="005555A4" w:rsidRPr="002175FA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B499EE9" w14:textId="77777777" w:rsidR="005555A4" w:rsidRPr="002175FA" w:rsidRDefault="005555A4" w:rsidP="005555A4">
      <w:pPr>
        <w:suppressAutoHyphens/>
        <w:ind w:left="851"/>
        <w:rPr>
          <w:sz w:val="24"/>
          <w:szCs w:val="24"/>
        </w:rPr>
      </w:pPr>
      <w:r w:rsidRPr="002175FA">
        <w:rPr>
          <w:sz w:val="24"/>
          <w:szCs w:val="24"/>
        </w:rPr>
        <w:t>Apixabans virkning ved initial behandling af VTE var sammenlignelig for patienter, som blev behandlet for LE [relativ risiko 0,9; 95 % CI (0,5-1,6)] og DVT [relativ risiko 0,8; 95 % CI (0,5-1,3)]. Virkningen p</w:t>
      </w:r>
      <w:r w:rsidRPr="002175FA">
        <w:rPr>
          <w:rFonts w:hint="eastAsia"/>
          <w:sz w:val="24"/>
          <w:szCs w:val="24"/>
        </w:rPr>
        <w:t>å</w:t>
      </w:r>
      <w:r w:rsidRPr="002175FA">
        <w:rPr>
          <w:sz w:val="24"/>
          <w:szCs w:val="24"/>
        </w:rPr>
        <w:t xml:space="preserve"> tv</w:t>
      </w:r>
      <w:r w:rsidRPr="002175FA">
        <w:rPr>
          <w:rFonts w:hint="eastAsia"/>
          <w:sz w:val="24"/>
          <w:szCs w:val="24"/>
        </w:rPr>
        <w:t>æ</w:t>
      </w:r>
      <w:r w:rsidRPr="002175FA">
        <w:rPr>
          <w:sz w:val="24"/>
          <w:szCs w:val="24"/>
        </w:rPr>
        <w:t>rs af undergrupper, herunder alder, k</w:t>
      </w:r>
      <w:r w:rsidRPr="002175FA">
        <w:rPr>
          <w:rFonts w:hint="eastAsia"/>
          <w:sz w:val="24"/>
          <w:szCs w:val="24"/>
        </w:rPr>
        <w:t>ø</w:t>
      </w:r>
      <w:r w:rsidRPr="002175FA">
        <w:rPr>
          <w:sz w:val="24"/>
          <w:szCs w:val="24"/>
        </w:rPr>
        <w:t>n, body mass index (BMI), nyrefunktion, omfang af LE</w:t>
      </w:r>
      <w:r w:rsidRPr="002175FA">
        <w:rPr>
          <w:rFonts w:hint="eastAsia"/>
          <w:sz w:val="24"/>
          <w:szCs w:val="24"/>
        </w:rPr>
        <w:t>‑</w:t>
      </w:r>
      <w:r w:rsidRPr="002175FA">
        <w:rPr>
          <w:sz w:val="24"/>
          <w:szCs w:val="24"/>
        </w:rPr>
        <w:t>indeks, placering af DVT</w:t>
      </w:r>
      <w:r w:rsidRPr="002175FA">
        <w:rPr>
          <w:rFonts w:hint="eastAsia"/>
          <w:sz w:val="24"/>
          <w:szCs w:val="24"/>
        </w:rPr>
        <w:t>‑</w:t>
      </w:r>
      <w:r w:rsidRPr="002175FA">
        <w:rPr>
          <w:sz w:val="24"/>
          <w:szCs w:val="24"/>
        </w:rPr>
        <w:t>trombose og tidligere parenteral heparin, var generelt ens.</w:t>
      </w:r>
    </w:p>
    <w:p w14:paraId="726202B2" w14:textId="77777777" w:rsidR="005555A4" w:rsidRPr="002175FA" w:rsidRDefault="005555A4" w:rsidP="005555A4">
      <w:pPr>
        <w:suppressAutoHyphens/>
        <w:ind w:left="851"/>
        <w:rPr>
          <w:sz w:val="24"/>
          <w:szCs w:val="24"/>
        </w:rPr>
      </w:pPr>
    </w:p>
    <w:p w14:paraId="350E4D64" w14:textId="49B44D61" w:rsidR="005555A4" w:rsidRPr="002175FA" w:rsidRDefault="005555A4" w:rsidP="005555A4">
      <w:pPr>
        <w:suppressAutoHyphens/>
        <w:ind w:left="851"/>
        <w:rPr>
          <w:sz w:val="24"/>
          <w:szCs w:val="24"/>
        </w:rPr>
      </w:pPr>
      <w:r w:rsidRPr="002175FA">
        <w:rPr>
          <w:sz w:val="24"/>
          <w:szCs w:val="24"/>
        </w:rPr>
        <w:t>Det prim</w:t>
      </w:r>
      <w:r w:rsidRPr="002175FA">
        <w:rPr>
          <w:rFonts w:hint="eastAsia"/>
          <w:sz w:val="24"/>
          <w:szCs w:val="24"/>
        </w:rPr>
        <w:t>æ</w:t>
      </w:r>
      <w:r w:rsidRPr="002175FA">
        <w:rPr>
          <w:sz w:val="24"/>
          <w:szCs w:val="24"/>
        </w:rPr>
        <w:t>re sikkerhedsendepunkt var major bl</w:t>
      </w:r>
      <w:r w:rsidRPr="002175FA">
        <w:rPr>
          <w:rFonts w:hint="eastAsia"/>
          <w:sz w:val="24"/>
          <w:szCs w:val="24"/>
        </w:rPr>
        <w:t>ø</w:t>
      </w:r>
      <w:r w:rsidRPr="002175FA">
        <w:rPr>
          <w:sz w:val="24"/>
          <w:szCs w:val="24"/>
        </w:rPr>
        <w:t>dning. I studiet var apixaban statistisk superior til</w:t>
      </w:r>
      <w:r>
        <w:rPr>
          <w:sz w:val="24"/>
          <w:szCs w:val="24"/>
        </w:rPr>
        <w:t xml:space="preserve"> </w:t>
      </w:r>
      <w:r w:rsidRPr="002175FA">
        <w:rPr>
          <w:sz w:val="24"/>
          <w:szCs w:val="24"/>
        </w:rPr>
        <w:t>enoxaparin/warfarin i det prim</w:t>
      </w:r>
      <w:r w:rsidRPr="002175FA">
        <w:rPr>
          <w:rFonts w:hint="eastAsia"/>
          <w:sz w:val="24"/>
          <w:szCs w:val="24"/>
        </w:rPr>
        <w:t>æ</w:t>
      </w:r>
      <w:r w:rsidRPr="002175FA">
        <w:rPr>
          <w:sz w:val="24"/>
          <w:szCs w:val="24"/>
        </w:rPr>
        <w:t>re sikkerhedsendepunkt [relativ risiko 0,31; 95 % konfidensinterval</w:t>
      </w:r>
      <w:r>
        <w:rPr>
          <w:sz w:val="24"/>
          <w:szCs w:val="24"/>
        </w:rPr>
        <w:t xml:space="preserve"> </w:t>
      </w:r>
      <w:r w:rsidRPr="002175FA">
        <w:rPr>
          <w:sz w:val="24"/>
          <w:szCs w:val="24"/>
        </w:rPr>
        <w:t xml:space="preserve">(0,17-0,55), p &lt; 0,0001] (se tabel </w:t>
      </w:r>
      <w:r w:rsidR="005C4FB1">
        <w:rPr>
          <w:sz w:val="24"/>
          <w:szCs w:val="24"/>
        </w:rPr>
        <w:t>9</w:t>
      </w:r>
      <w:r w:rsidRPr="002175FA">
        <w:rPr>
          <w:sz w:val="24"/>
          <w:szCs w:val="24"/>
        </w:rPr>
        <w:t>).</w:t>
      </w:r>
    </w:p>
    <w:p w14:paraId="00BBD05F" w14:textId="77777777" w:rsidR="005555A4" w:rsidRPr="002175FA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40357439" w14:textId="5020ABE2" w:rsidR="005555A4" w:rsidRPr="0077238C" w:rsidRDefault="005555A4" w:rsidP="005555A4">
      <w:pPr>
        <w:rPr>
          <w:b/>
          <w:bCs/>
          <w:sz w:val="22"/>
          <w:szCs w:val="22"/>
        </w:rPr>
      </w:pPr>
      <w:r w:rsidRPr="0077238C">
        <w:rPr>
          <w:b/>
          <w:bCs/>
          <w:sz w:val="22"/>
          <w:szCs w:val="22"/>
        </w:rPr>
        <w:t>Tabe</w:t>
      </w:r>
      <w:r>
        <w:rPr>
          <w:b/>
          <w:bCs/>
          <w:sz w:val="22"/>
          <w:szCs w:val="22"/>
        </w:rPr>
        <w:t>l</w:t>
      </w:r>
      <w:r w:rsidRPr="0077238C">
        <w:rPr>
          <w:b/>
          <w:bCs/>
          <w:sz w:val="22"/>
          <w:szCs w:val="22"/>
        </w:rPr>
        <w:t xml:space="preserve"> </w:t>
      </w:r>
      <w:r w:rsidR="005C4FB1">
        <w:rPr>
          <w:b/>
          <w:bCs/>
          <w:sz w:val="22"/>
          <w:szCs w:val="22"/>
        </w:rPr>
        <w:t>9</w:t>
      </w:r>
      <w:r w:rsidRPr="0077238C">
        <w:rPr>
          <w:b/>
          <w:bCs/>
          <w:sz w:val="22"/>
          <w:szCs w:val="22"/>
        </w:rPr>
        <w:t>: Bl</w:t>
      </w:r>
      <w:r>
        <w:rPr>
          <w:b/>
          <w:bCs/>
          <w:sz w:val="22"/>
          <w:szCs w:val="22"/>
        </w:rPr>
        <w:t>ødnings</w:t>
      </w:r>
      <w:r w:rsidRPr="0077238C">
        <w:rPr>
          <w:b/>
          <w:bCs/>
          <w:sz w:val="22"/>
          <w:szCs w:val="22"/>
        </w:rPr>
        <w:t>result</w:t>
      </w:r>
      <w:r>
        <w:rPr>
          <w:b/>
          <w:bCs/>
          <w:sz w:val="22"/>
          <w:szCs w:val="22"/>
        </w:rPr>
        <w:t xml:space="preserve">ater i </w:t>
      </w:r>
      <w:r w:rsidRPr="0077238C">
        <w:rPr>
          <w:b/>
          <w:bCs/>
          <w:sz w:val="22"/>
          <w:szCs w:val="22"/>
        </w:rPr>
        <w:t>AMPLIFY</w:t>
      </w:r>
      <w:r>
        <w:rPr>
          <w:b/>
          <w:bCs/>
          <w:sz w:val="22"/>
          <w:szCs w:val="22"/>
        </w:rPr>
        <w:t>-</w:t>
      </w:r>
      <w:r w:rsidRPr="0077238C">
        <w:rPr>
          <w:b/>
          <w:bCs/>
          <w:sz w:val="22"/>
          <w:szCs w:val="22"/>
        </w:rPr>
        <w:t>stud</w:t>
      </w:r>
      <w:r>
        <w:rPr>
          <w:b/>
          <w:bCs/>
          <w:sz w:val="22"/>
          <w:szCs w:val="22"/>
        </w:rPr>
        <w:t>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3"/>
        <w:gridCol w:w="2693"/>
      </w:tblGrid>
      <w:tr w:rsidR="005555A4" w:rsidRPr="00B15351" w14:paraId="7D6CFDCE" w14:textId="77777777" w:rsidTr="005555A4">
        <w:trPr>
          <w:trHeight w:val="322"/>
          <w:jc w:val="center"/>
        </w:trPr>
        <w:tc>
          <w:tcPr>
            <w:tcW w:w="2694" w:type="dxa"/>
          </w:tcPr>
          <w:p w14:paraId="5DB892E3" w14:textId="77777777" w:rsidR="005555A4" w:rsidRPr="00B15351" w:rsidRDefault="005555A4" w:rsidP="005555A4">
            <w:pPr>
              <w:pStyle w:val="TableParagraph"/>
              <w:spacing w:beforeLines="60" w:before="144" w:after="6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E7EE27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lang w:val="en-GB"/>
              </w:rPr>
              <w:t>Apixaban</w:t>
            </w:r>
          </w:p>
          <w:p w14:paraId="38A7FFEC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N=2.676</w:t>
            </w:r>
          </w:p>
          <w:p w14:paraId="2011CB97" w14:textId="6347BCC6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 (%)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BC24F0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Enoxaparin/ Warfarin</w:t>
            </w:r>
          </w:p>
          <w:p w14:paraId="7DE1F728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N=2.689</w:t>
            </w:r>
          </w:p>
          <w:p w14:paraId="60D3AFEB" w14:textId="5221DCC8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n (%)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10A3E9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351">
              <w:rPr>
                <w:rFonts w:ascii="Times New Roman" w:hAnsi="Times New Roman" w:cs="Times New Roman"/>
                <w:b/>
                <w:w w:val="105"/>
                <w:lang w:val="en-GB"/>
              </w:rPr>
              <w:t>Relativ risiko (95 % CI)</w:t>
            </w:r>
          </w:p>
        </w:tc>
      </w:tr>
      <w:tr w:rsidR="005555A4" w:rsidRPr="00B15351" w14:paraId="35E6412E" w14:textId="77777777" w:rsidTr="005555A4">
        <w:trPr>
          <w:trHeight w:val="350"/>
          <w:jc w:val="center"/>
        </w:trPr>
        <w:tc>
          <w:tcPr>
            <w:tcW w:w="2694" w:type="dxa"/>
          </w:tcPr>
          <w:p w14:paraId="5951B1B5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Major</w:t>
            </w:r>
          </w:p>
        </w:tc>
        <w:tc>
          <w:tcPr>
            <w:tcW w:w="2693" w:type="dxa"/>
          </w:tcPr>
          <w:p w14:paraId="2E1B5FEC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15 (0,6)</w:t>
            </w:r>
          </w:p>
        </w:tc>
        <w:tc>
          <w:tcPr>
            <w:tcW w:w="2693" w:type="dxa"/>
          </w:tcPr>
          <w:p w14:paraId="6B3B9B2D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49 (1,8)</w:t>
            </w:r>
          </w:p>
        </w:tc>
        <w:tc>
          <w:tcPr>
            <w:tcW w:w="2693" w:type="dxa"/>
          </w:tcPr>
          <w:p w14:paraId="68BD0142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0,31 (0,17; 0,55)</w:t>
            </w:r>
          </w:p>
        </w:tc>
      </w:tr>
      <w:tr w:rsidR="005555A4" w:rsidRPr="00B15351" w14:paraId="56A81497" w14:textId="77777777" w:rsidTr="005555A4">
        <w:trPr>
          <w:trHeight w:val="350"/>
          <w:jc w:val="center"/>
        </w:trPr>
        <w:tc>
          <w:tcPr>
            <w:tcW w:w="2694" w:type="dxa"/>
          </w:tcPr>
          <w:p w14:paraId="5D5F5362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Major + CRNM</w:t>
            </w:r>
          </w:p>
        </w:tc>
        <w:tc>
          <w:tcPr>
            <w:tcW w:w="2693" w:type="dxa"/>
          </w:tcPr>
          <w:p w14:paraId="2D0EAFFE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115 (4,3)</w:t>
            </w:r>
          </w:p>
        </w:tc>
        <w:tc>
          <w:tcPr>
            <w:tcW w:w="2693" w:type="dxa"/>
          </w:tcPr>
          <w:p w14:paraId="27827180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261 (9,7)</w:t>
            </w:r>
          </w:p>
        </w:tc>
        <w:tc>
          <w:tcPr>
            <w:tcW w:w="2693" w:type="dxa"/>
          </w:tcPr>
          <w:p w14:paraId="52490740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0,44 (0,36; 0,55)</w:t>
            </w:r>
          </w:p>
        </w:tc>
      </w:tr>
      <w:tr w:rsidR="005555A4" w:rsidRPr="00B15351" w14:paraId="1D42B0B5" w14:textId="77777777" w:rsidTr="005555A4">
        <w:trPr>
          <w:trHeight w:val="350"/>
          <w:jc w:val="center"/>
        </w:trPr>
        <w:tc>
          <w:tcPr>
            <w:tcW w:w="2694" w:type="dxa"/>
          </w:tcPr>
          <w:p w14:paraId="092AC5BE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Minor</w:t>
            </w:r>
          </w:p>
        </w:tc>
        <w:tc>
          <w:tcPr>
            <w:tcW w:w="2693" w:type="dxa"/>
          </w:tcPr>
          <w:p w14:paraId="48F0B82E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313 (11,7)</w:t>
            </w:r>
          </w:p>
        </w:tc>
        <w:tc>
          <w:tcPr>
            <w:tcW w:w="2693" w:type="dxa"/>
          </w:tcPr>
          <w:p w14:paraId="55D6925A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505 (18,8)</w:t>
            </w:r>
          </w:p>
        </w:tc>
        <w:tc>
          <w:tcPr>
            <w:tcW w:w="2693" w:type="dxa"/>
          </w:tcPr>
          <w:p w14:paraId="23B97824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0,62 (0,54; 0,70)</w:t>
            </w:r>
          </w:p>
        </w:tc>
      </w:tr>
      <w:tr w:rsidR="005555A4" w:rsidRPr="00B15351" w14:paraId="0D123648" w14:textId="77777777" w:rsidTr="005555A4">
        <w:trPr>
          <w:trHeight w:val="351"/>
          <w:jc w:val="center"/>
        </w:trPr>
        <w:tc>
          <w:tcPr>
            <w:tcW w:w="2694" w:type="dxa"/>
          </w:tcPr>
          <w:p w14:paraId="2281C900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101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2693" w:type="dxa"/>
          </w:tcPr>
          <w:p w14:paraId="6808D625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402 (15,0)</w:t>
            </w:r>
          </w:p>
        </w:tc>
        <w:tc>
          <w:tcPr>
            <w:tcW w:w="2693" w:type="dxa"/>
          </w:tcPr>
          <w:p w14:paraId="360C3EC8" w14:textId="77777777" w:rsidR="005555A4" w:rsidRPr="00B15351" w:rsidRDefault="005555A4" w:rsidP="005555A4">
            <w:pPr>
              <w:pStyle w:val="TableParagraph"/>
              <w:spacing w:beforeLines="60" w:before="144" w:after="60"/>
              <w:ind w:right="-3" w:hanging="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676 (25,1)</w:t>
            </w:r>
          </w:p>
        </w:tc>
        <w:tc>
          <w:tcPr>
            <w:tcW w:w="2693" w:type="dxa"/>
          </w:tcPr>
          <w:p w14:paraId="0ED1435E" w14:textId="77777777" w:rsidR="005555A4" w:rsidRPr="00B15351" w:rsidRDefault="005555A4" w:rsidP="005555A4">
            <w:pPr>
              <w:pStyle w:val="TableParagraph"/>
              <w:spacing w:beforeLines="60" w:before="144" w:after="60"/>
              <w:ind w:left="-9" w:right="-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351">
              <w:rPr>
                <w:rFonts w:ascii="Times New Roman" w:hAnsi="Times New Roman" w:cs="Times New Roman"/>
                <w:w w:val="105"/>
                <w:lang w:val="en-GB"/>
              </w:rPr>
              <w:t>0,59 (0,53; 0,66)</w:t>
            </w:r>
          </w:p>
        </w:tc>
      </w:tr>
    </w:tbl>
    <w:p w14:paraId="0EB9266D" w14:textId="77777777" w:rsidR="005555A4" w:rsidRPr="00B15351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7003D4E6" w14:textId="4C0F21CB" w:rsidR="005555A4" w:rsidRPr="00B15351" w:rsidRDefault="005555A4" w:rsidP="005555A4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Bek</w:t>
      </w:r>
      <w:r w:rsidR="006501F9">
        <w:rPr>
          <w:sz w:val="24"/>
          <w:szCs w:val="24"/>
        </w:rPr>
        <w:t>r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ftet major bl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dning og CRNM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bl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dning p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 xml:space="preserve"> ethvert anatomisk sted var generelt lavere i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apixaban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gruppen sammenlignet med enoxaparin/warfarin gruppen. Bekr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ftet ISTH major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gastrointestinal bl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dning forekom hos 6 (0,2 %) af de apixaban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behandlede patienter og hos 17 (0,6 %)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af de enoxaparin/warfarin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behandlede patienter.</w:t>
      </w:r>
    </w:p>
    <w:p w14:paraId="5E0B6953" w14:textId="77777777" w:rsidR="005555A4" w:rsidRPr="00B15351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76D47309" w14:textId="77777777" w:rsidR="005555A4" w:rsidRPr="00B15351" w:rsidRDefault="005555A4" w:rsidP="005555A4">
      <w:pPr>
        <w:suppressAutoHyphens/>
        <w:ind w:left="851"/>
        <w:rPr>
          <w:i/>
          <w:iCs/>
          <w:sz w:val="24"/>
          <w:szCs w:val="24"/>
          <w:u w:val="single"/>
        </w:rPr>
      </w:pPr>
      <w:r w:rsidRPr="00B15351">
        <w:rPr>
          <w:i/>
          <w:iCs/>
          <w:sz w:val="24"/>
          <w:szCs w:val="24"/>
          <w:u w:val="single"/>
        </w:rPr>
        <w:t>AMPLIFY-EXT-studiet</w:t>
      </w:r>
    </w:p>
    <w:p w14:paraId="347CC183" w14:textId="0124A855" w:rsidR="005555A4" w:rsidRPr="00B15351" w:rsidRDefault="005555A4" w:rsidP="005555A4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I AMPLIFY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EXT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studiet blev i alt 2.482 patienter randomiseret til behandling med apixaban 2,5 mg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oralt to gange daglig, apixaban 5 mg oralt to gange daglig eller placebo i 12 m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neder efter at have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afsluttet 6 til 12 m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neders initial antikoagulationsbehandling. Af disse deltog 836 patienter (33,7 %) i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AMPLIFY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studiet, inden de indgik i AMPLIFY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EXT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studiet.</w:t>
      </w:r>
      <w:r w:rsidR="00382F25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 xml:space="preserve">Gennemsnitsalderen var 56,7 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r, og 91,7 % af de randomiserede patienter havde uprovokerede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VTE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h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ndelser.</w:t>
      </w:r>
    </w:p>
    <w:p w14:paraId="31188BFE" w14:textId="77777777" w:rsidR="005555A4" w:rsidRPr="00B15351" w:rsidRDefault="005555A4" w:rsidP="005555A4">
      <w:pPr>
        <w:suppressAutoHyphens/>
        <w:ind w:left="851"/>
        <w:rPr>
          <w:sz w:val="24"/>
          <w:szCs w:val="24"/>
        </w:rPr>
      </w:pPr>
    </w:p>
    <w:p w14:paraId="15BF669B" w14:textId="541E1434" w:rsidR="005555A4" w:rsidRPr="00B15351" w:rsidRDefault="005555A4" w:rsidP="005555A4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I studiet var begge apixaban</w:t>
      </w:r>
      <w:r w:rsidR="00BF3A9E"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 xml:space="preserve">doser statistisk </w:t>
      </w:r>
      <w:r w:rsidR="00BF3A9E">
        <w:rPr>
          <w:sz w:val="24"/>
          <w:szCs w:val="24"/>
        </w:rPr>
        <w:t>bedre end</w:t>
      </w:r>
      <w:r w:rsidRPr="00B15351">
        <w:rPr>
          <w:sz w:val="24"/>
          <w:szCs w:val="24"/>
        </w:rPr>
        <w:t xml:space="preserve"> placebo i det prim</w:t>
      </w:r>
      <w:r w:rsidRPr="00B15351">
        <w:rPr>
          <w:rFonts w:hint="eastAsia"/>
          <w:sz w:val="24"/>
          <w:szCs w:val="24"/>
        </w:rPr>
        <w:t>æ</w:t>
      </w:r>
      <w:r w:rsidRPr="00B15351">
        <w:rPr>
          <w:sz w:val="24"/>
          <w:szCs w:val="24"/>
        </w:rPr>
        <w:t>re endepunkt</w:t>
      </w:r>
    </w:p>
    <w:p w14:paraId="6AD0038A" w14:textId="31B7D932" w:rsidR="005555A4" w:rsidRPr="00B15351" w:rsidRDefault="005555A4" w:rsidP="005555A4">
      <w:pPr>
        <w:suppressAutoHyphens/>
        <w:ind w:left="851"/>
        <w:rPr>
          <w:sz w:val="24"/>
          <w:szCs w:val="24"/>
        </w:rPr>
      </w:pPr>
      <w:r w:rsidRPr="00B15351">
        <w:rPr>
          <w:sz w:val="24"/>
          <w:szCs w:val="24"/>
        </w:rPr>
        <w:t>symptomatisk, recidiverende VTE (ikke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d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delig DVT eller ikke</w:t>
      </w:r>
      <w:r w:rsidRPr="00B15351">
        <w:rPr>
          <w:rFonts w:hint="eastAsia"/>
          <w:sz w:val="24"/>
          <w:szCs w:val="24"/>
        </w:rPr>
        <w:t>‑</w:t>
      </w:r>
      <w:r w:rsidRPr="00B15351">
        <w:rPr>
          <w:sz w:val="24"/>
          <w:szCs w:val="24"/>
        </w:rPr>
        <w:t>d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>delig LE) eller d</w:t>
      </w:r>
      <w:r w:rsidRPr="00B15351">
        <w:rPr>
          <w:rFonts w:hint="eastAsia"/>
          <w:sz w:val="24"/>
          <w:szCs w:val="24"/>
        </w:rPr>
        <w:t>ø</w:t>
      </w:r>
      <w:r w:rsidRPr="00B15351">
        <w:rPr>
          <w:sz w:val="24"/>
          <w:szCs w:val="24"/>
        </w:rPr>
        <w:t xml:space="preserve">d uanset </w:t>
      </w:r>
      <w:r w:rsidRPr="00B15351">
        <w:rPr>
          <w:rFonts w:hint="eastAsia"/>
          <w:sz w:val="24"/>
          <w:szCs w:val="24"/>
        </w:rPr>
        <w:t>å</w:t>
      </w:r>
      <w:r w:rsidRPr="00B15351">
        <w:rPr>
          <w:sz w:val="24"/>
          <w:szCs w:val="24"/>
        </w:rPr>
        <w:t>rsag (se</w:t>
      </w:r>
      <w:r>
        <w:rPr>
          <w:sz w:val="24"/>
          <w:szCs w:val="24"/>
        </w:rPr>
        <w:t xml:space="preserve"> </w:t>
      </w:r>
      <w:r w:rsidRPr="00B15351">
        <w:rPr>
          <w:sz w:val="24"/>
          <w:szCs w:val="24"/>
        </w:rPr>
        <w:t>tabel 1</w:t>
      </w:r>
      <w:r w:rsidR="00BF3A9E">
        <w:rPr>
          <w:sz w:val="24"/>
          <w:szCs w:val="24"/>
        </w:rPr>
        <w:t>0</w:t>
      </w:r>
      <w:r w:rsidRPr="00B15351">
        <w:rPr>
          <w:sz w:val="24"/>
          <w:szCs w:val="24"/>
        </w:rPr>
        <w:t>).</w:t>
      </w:r>
    </w:p>
    <w:p w14:paraId="4924A24E" w14:textId="46786908" w:rsidR="00BF3A9E" w:rsidRDefault="00BF3A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4623D36" w14:textId="77777777" w:rsidR="005555A4" w:rsidRPr="00B15351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1D73726A" w14:textId="228AEB7A" w:rsidR="005555A4" w:rsidRPr="007B6A00" w:rsidRDefault="005555A4" w:rsidP="005555A4">
      <w:pPr>
        <w:rPr>
          <w:b/>
          <w:bCs/>
          <w:sz w:val="22"/>
          <w:szCs w:val="22"/>
        </w:rPr>
      </w:pPr>
      <w:r w:rsidRPr="006F687E">
        <w:rPr>
          <w:b/>
          <w:bCs/>
          <w:sz w:val="22"/>
          <w:szCs w:val="22"/>
        </w:rPr>
        <w:t>Tabel 1</w:t>
      </w:r>
      <w:r w:rsidR="00BF3A9E">
        <w:rPr>
          <w:b/>
          <w:bCs/>
          <w:sz w:val="22"/>
          <w:szCs w:val="22"/>
        </w:rPr>
        <w:t>0</w:t>
      </w:r>
      <w:r w:rsidRPr="006F687E">
        <w:rPr>
          <w:b/>
          <w:bCs/>
          <w:sz w:val="22"/>
          <w:szCs w:val="22"/>
        </w:rPr>
        <w:t>: Effektresultater i AMPLIFY</w:t>
      </w:r>
      <w:r w:rsidRPr="006F687E">
        <w:rPr>
          <w:rFonts w:hint="eastAsia"/>
          <w:b/>
          <w:bCs/>
          <w:sz w:val="22"/>
          <w:szCs w:val="22"/>
        </w:rPr>
        <w:t>‑</w:t>
      </w:r>
      <w:r w:rsidRPr="006F687E">
        <w:rPr>
          <w:b/>
          <w:bCs/>
          <w:sz w:val="22"/>
          <w:szCs w:val="22"/>
        </w:rPr>
        <w:t>EXT</w:t>
      </w:r>
      <w:r w:rsidRPr="006F687E">
        <w:rPr>
          <w:rFonts w:hint="eastAsia"/>
          <w:b/>
          <w:bCs/>
          <w:sz w:val="22"/>
          <w:szCs w:val="22"/>
        </w:rPr>
        <w:t>‑</w:t>
      </w:r>
      <w:r w:rsidRPr="006F687E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481"/>
        <w:gridCol w:w="1497"/>
        <w:gridCol w:w="1581"/>
        <w:gridCol w:w="2157"/>
        <w:gridCol w:w="2294"/>
      </w:tblGrid>
      <w:tr w:rsidR="005555A4" w:rsidRPr="00C96D92" w14:paraId="11904E31" w14:textId="77777777" w:rsidTr="005555A4">
        <w:trPr>
          <w:trHeight w:val="350"/>
          <w:jc w:val="center"/>
        </w:trPr>
        <w:tc>
          <w:tcPr>
            <w:tcW w:w="1436" w:type="dxa"/>
          </w:tcPr>
          <w:p w14:paraId="70F90B72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6" w:type="dxa"/>
          </w:tcPr>
          <w:p w14:paraId="1D39046F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3" w:right="136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19" w:type="dxa"/>
          </w:tcPr>
          <w:p w14:paraId="2F6BDF15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87" w:type="dxa"/>
          </w:tcPr>
          <w:p w14:paraId="5859EA6A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Placebo</w:t>
            </w:r>
          </w:p>
        </w:tc>
        <w:tc>
          <w:tcPr>
            <w:tcW w:w="3624" w:type="dxa"/>
            <w:gridSpan w:val="2"/>
          </w:tcPr>
          <w:p w14:paraId="0C82D0C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780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Relativ risiko (95 % CI)</w:t>
            </w:r>
          </w:p>
        </w:tc>
      </w:tr>
      <w:tr w:rsidR="005555A4" w:rsidRPr="00C96D92" w14:paraId="2BD6EAC0" w14:textId="77777777" w:rsidTr="005555A4">
        <w:trPr>
          <w:trHeight w:val="644"/>
          <w:jc w:val="center"/>
        </w:trPr>
        <w:tc>
          <w:tcPr>
            <w:tcW w:w="1436" w:type="dxa"/>
          </w:tcPr>
          <w:p w14:paraId="681476DB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6" w:type="dxa"/>
          </w:tcPr>
          <w:p w14:paraId="74208D37" w14:textId="77777777" w:rsidR="005555A4" w:rsidRPr="00C96D92" w:rsidRDefault="005555A4" w:rsidP="005555A4">
            <w:pPr>
              <w:pStyle w:val="TableParagraph"/>
              <w:spacing w:beforeLines="60" w:before="144" w:afterLines="60" w:after="144" w:line="296" w:lineRule="exact"/>
              <w:ind w:left="243" w:firstLine="63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2,5 mg </w:t>
            </w:r>
            <w:r w:rsidRPr="00C96D92">
              <w:rPr>
                <w:rFonts w:ascii="Times New Roman" w:hAnsi="Times New Roman" w:cs="Times New Roman"/>
                <w:b/>
                <w:lang w:val="en-GB"/>
              </w:rPr>
              <w:t>(N=840)</w:t>
            </w:r>
          </w:p>
        </w:tc>
        <w:tc>
          <w:tcPr>
            <w:tcW w:w="1219" w:type="dxa"/>
          </w:tcPr>
          <w:p w14:paraId="1FD67922" w14:textId="77777777" w:rsidR="005555A4" w:rsidRPr="00C96D92" w:rsidRDefault="005555A4" w:rsidP="005555A4">
            <w:pPr>
              <w:pStyle w:val="TableParagraph"/>
              <w:spacing w:beforeLines="60" w:before="144" w:afterLines="60" w:after="144" w:line="296" w:lineRule="exact"/>
              <w:ind w:left="251" w:firstLine="64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 xml:space="preserve">5,0 mg </w:t>
            </w:r>
            <w:r w:rsidRPr="00C96D92">
              <w:rPr>
                <w:rFonts w:ascii="Times New Roman" w:hAnsi="Times New Roman" w:cs="Times New Roman"/>
                <w:b/>
                <w:lang w:val="en-GB"/>
              </w:rPr>
              <w:t>(N=813)</w:t>
            </w:r>
          </w:p>
        </w:tc>
        <w:tc>
          <w:tcPr>
            <w:tcW w:w="1287" w:type="dxa"/>
          </w:tcPr>
          <w:p w14:paraId="01F1D476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b/>
                <w:w w:val="105"/>
                <w:lang w:val="en-GB"/>
              </w:rPr>
            </w:pPr>
          </w:p>
          <w:p w14:paraId="357074CE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(N=829)</w:t>
            </w:r>
          </w:p>
        </w:tc>
        <w:tc>
          <w:tcPr>
            <w:tcW w:w="1756" w:type="dxa"/>
          </w:tcPr>
          <w:p w14:paraId="363DD6AF" w14:textId="77777777" w:rsidR="005555A4" w:rsidRPr="00C96D92" w:rsidRDefault="005555A4" w:rsidP="005555A4">
            <w:pPr>
              <w:pStyle w:val="TableParagraph"/>
              <w:spacing w:beforeLines="60" w:before="144" w:afterLines="60" w:after="144" w:line="296" w:lineRule="exact"/>
              <w:ind w:left="388" w:right="103" w:hanging="44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 2,5 mg versus placebo</w:t>
            </w:r>
          </w:p>
        </w:tc>
        <w:tc>
          <w:tcPr>
            <w:tcW w:w="1868" w:type="dxa"/>
          </w:tcPr>
          <w:p w14:paraId="7D61CBDD" w14:textId="77777777" w:rsidR="005555A4" w:rsidRPr="00C96D92" w:rsidRDefault="005555A4" w:rsidP="005555A4">
            <w:pPr>
              <w:pStyle w:val="TableParagraph"/>
              <w:spacing w:beforeLines="60" w:before="144" w:afterLines="60" w:after="144" w:line="296" w:lineRule="exact"/>
              <w:ind w:left="443" w:right="160" w:hanging="44"/>
              <w:rPr>
                <w:rFonts w:ascii="Times New Roman" w:hAnsi="Times New Roman" w:cs="Times New Roman"/>
                <w:b/>
                <w:lang w:val="en-GB"/>
              </w:rPr>
            </w:pPr>
            <w:r w:rsidRPr="00C96D92">
              <w:rPr>
                <w:rFonts w:ascii="Times New Roman" w:hAnsi="Times New Roman" w:cs="Times New Roman"/>
                <w:b/>
                <w:w w:val="105"/>
                <w:lang w:val="en-GB"/>
              </w:rPr>
              <w:t>Apix 5,0 mg versus placebo</w:t>
            </w:r>
          </w:p>
        </w:tc>
      </w:tr>
      <w:tr w:rsidR="005555A4" w:rsidRPr="00C96D92" w14:paraId="7125E3F2" w14:textId="77777777" w:rsidTr="005555A4">
        <w:trPr>
          <w:trHeight w:val="350"/>
          <w:jc w:val="center"/>
        </w:trPr>
        <w:tc>
          <w:tcPr>
            <w:tcW w:w="1436" w:type="dxa"/>
          </w:tcPr>
          <w:p w14:paraId="6EF89F30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2" w:type="dxa"/>
            <w:gridSpan w:val="3"/>
          </w:tcPr>
          <w:p w14:paraId="52FFF3AA" w14:textId="68113C39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597" w:right="15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n (%)</w:t>
            </w:r>
          </w:p>
        </w:tc>
        <w:tc>
          <w:tcPr>
            <w:tcW w:w="1756" w:type="dxa"/>
          </w:tcPr>
          <w:p w14:paraId="4033AB15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193714CE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C96D92" w14:paraId="4ABA6680" w14:textId="77777777" w:rsidTr="005555A4">
        <w:trPr>
          <w:trHeight w:val="826"/>
          <w:jc w:val="center"/>
        </w:trPr>
        <w:tc>
          <w:tcPr>
            <w:tcW w:w="1436" w:type="dxa"/>
          </w:tcPr>
          <w:p w14:paraId="55A6B532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Recidiverende</w:t>
            </w:r>
          </w:p>
          <w:p w14:paraId="778229C9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 eller død</w:t>
            </w:r>
          </w:p>
          <w:p w14:paraId="5789F011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uanset årsag</w:t>
            </w:r>
          </w:p>
        </w:tc>
        <w:tc>
          <w:tcPr>
            <w:tcW w:w="1206" w:type="dxa"/>
          </w:tcPr>
          <w:p w14:paraId="61CB9351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2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19 (2,3)</w:t>
            </w:r>
          </w:p>
        </w:tc>
        <w:tc>
          <w:tcPr>
            <w:tcW w:w="1219" w:type="dxa"/>
          </w:tcPr>
          <w:p w14:paraId="59DF6DC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87" w:type="dxa"/>
          </w:tcPr>
          <w:p w14:paraId="6B8365F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77 (9,3)</w:t>
            </w:r>
          </w:p>
        </w:tc>
        <w:tc>
          <w:tcPr>
            <w:tcW w:w="1756" w:type="dxa"/>
          </w:tcPr>
          <w:p w14:paraId="2AEB0261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0,24</w:t>
            </w:r>
          </w:p>
          <w:p w14:paraId="14C71AAF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(0,15; 0,40) 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¥</w:t>
            </w:r>
          </w:p>
        </w:tc>
        <w:tc>
          <w:tcPr>
            <w:tcW w:w="1868" w:type="dxa"/>
          </w:tcPr>
          <w:p w14:paraId="35575E14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0,19</w:t>
            </w:r>
          </w:p>
          <w:p w14:paraId="73C0E91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0,33) 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¥</w:t>
            </w:r>
          </w:p>
        </w:tc>
      </w:tr>
      <w:tr w:rsidR="005555A4" w:rsidRPr="00C96D92" w14:paraId="199EC295" w14:textId="77777777" w:rsidTr="005555A4">
        <w:trPr>
          <w:trHeight w:val="350"/>
          <w:jc w:val="center"/>
        </w:trPr>
        <w:tc>
          <w:tcPr>
            <w:tcW w:w="1436" w:type="dxa"/>
          </w:tcPr>
          <w:p w14:paraId="6BFB2C37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437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DVT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 *</w:t>
            </w:r>
          </w:p>
        </w:tc>
        <w:tc>
          <w:tcPr>
            <w:tcW w:w="1206" w:type="dxa"/>
          </w:tcPr>
          <w:p w14:paraId="1DDC3384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6 (0,7)</w:t>
            </w:r>
          </w:p>
        </w:tc>
        <w:tc>
          <w:tcPr>
            <w:tcW w:w="1219" w:type="dxa"/>
          </w:tcPr>
          <w:p w14:paraId="23B11A6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 (0,9)</w:t>
            </w:r>
          </w:p>
        </w:tc>
        <w:tc>
          <w:tcPr>
            <w:tcW w:w="1287" w:type="dxa"/>
          </w:tcPr>
          <w:p w14:paraId="5C4EDE3F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53 (6,4)</w:t>
            </w:r>
          </w:p>
        </w:tc>
        <w:tc>
          <w:tcPr>
            <w:tcW w:w="1756" w:type="dxa"/>
          </w:tcPr>
          <w:p w14:paraId="58B10841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1A9678A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C96D92" w14:paraId="5B29F425" w14:textId="77777777" w:rsidTr="005555A4">
        <w:trPr>
          <w:trHeight w:val="349"/>
          <w:jc w:val="center"/>
        </w:trPr>
        <w:tc>
          <w:tcPr>
            <w:tcW w:w="1436" w:type="dxa"/>
          </w:tcPr>
          <w:p w14:paraId="7A9B9EE6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437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LE </w:t>
            </w:r>
            <w:r w:rsidRPr="00C96D92">
              <w:rPr>
                <w:rFonts w:ascii="Times New Roman" w:hAnsi="Times New Roman" w:cs="Times New Roman"/>
                <w:w w:val="105"/>
                <w:vertAlign w:val="superscript"/>
                <w:lang w:val="en-GB"/>
              </w:rPr>
              <w:t>*</w:t>
            </w:r>
          </w:p>
        </w:tc>
        <w:tc>
          <w:tcPr>
            <w:tcW w:w="1206" w:type="dxa"/>
          </w:tcPr>
          <w:p w14:paraId="3F2BD66A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 (0,8)</w:t>
            </w:r>
          </w:p>
        </w:tc>
        <w:tc>
          <w:tcPr>
            <w:tcW w:w="1219" w:type="dxa"/>
          </w:tcPr>
          <w:p w14:paraId="0FCD79E7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4 (0,5)</w:t>
            </w:r>
          </w:p>
        </w:tc>
        <w:tc>
          <w:tcPr>
            <w:tcW w:w="1287" w:type="dxa"/>
          </w:tcPr>
          <w:p w14:paraId="58CA3AC7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13 (1,6)</w:t>
            </w:r>
          </w:p>
        </w:tc>
        <w:tc>
          <w:tcPr>
            <w:tcW w:w="1756" w:type="dxa"/>
          </w:tcPr>
          <w:p w14:paraId="613DD66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1C574620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C96D92" w14:paraId="11F0DC8E" w14:textId="77777777" w:rsidTr="005555A4">
        <w:trPr>
          <w:trHeight w:val="588"/>
          <w:jc w:val="center"/>
        </w:trPr>
        <w:tc>
          <w:tcPr>
            <w:tcW w:w="1436" w:type="dxa"/>
          </w:tcPr>
          <w:p w14:paraId="738803F5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437" w:right="145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lang w:val="en-GB"/>
              </w:rPr>
              <w:t>Død uanset årsag</w:t>
            </w:r>
          </w:p>
        </w:tc>
        <w:tc>
          <w:tcPr>
            <w:tcW w:w="1206" w:type="dxa"/>
          </w:tcPr>
          <w:p w14:paraId="440CCA0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6 (0,7)</w:t>
            </w:r>
          </w:p>
        </w:tc>
        <w:tc>
          <w:tcPr>
            <w:tcW w:w="1219" w:type="dxa"/>
          </w:tcPr>
          <w:p w14:paraId="39AEA03E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3 (0,4)</w:t>
            </w:r>
          </w:p>
        </w:tc>
        <w:tc>
          <w:tcPr>
            <w:tcW w:w="1287" w:type="dxa"/>
          </w:tcPr>
          <w:p w14:paraId="7B464B7A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11 (1,3)</w:t>
            </w:r>
          </w:p>
        </w:tc>
        <w:tc>
          <w:tcPr>
            <w:tcW w:w="1756" w:type="dxa"/>
          </w:tcPr>
          <w:p w14:paraId="52CA892C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8" w:type="dxa"/>
          </w:tcPr>
          <w:p w14:paraId="3EFD2E95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C96D92" w14:paraId="0A71A4F1" w14:textId="77777777" w:rsidTr="005555A4">
        <w:trPr>
          <w:trHeight w:val="827"/>
          <w:jc w:val="center"/>
        </w:trPr>
        <w:tc>
          <w:tcPr>
            <w:tcW w:w="1436" w:type="dxa"/>
          </w:tcPr>
          <w:p w14:paraId="6049DF91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Recidiverende</w:t>
            </w:r>
          </w:p>
          <w:p w14:paraId="0D12AF6C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 eller</w:t>
            </w:r>
          </w:p>
          <w:p w14:paraId="20E06B5F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VTE-relateret</w:t>
            </w:r>
          </w:p>
          <w:p w14:paraId="5C83EAA2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død</w:t>
            </w:r>
          </w:p>
        </w:tc>
        <w:tc>
          <w:tcPr>
            <w:tcW w:w="1206" w:type="dxa"/>
          </w:tcPr>
          <w:p w14:paraId="4BCD41DC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2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19" w:type="dxa"/>
          </w:tcPr>
          <w:p w14:paraId="1C647C2D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87" w:type="dxa"/>
          </w:tcPr>
          <w:p w14:paraId="55FC895D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73 (8,8)</w:t>
            </w:r>
          </w:p>
        </w:tc>
        <w:tc>
          <w:tcPr>
            <w:tcW w:w="1756" w:type="dxa"/>
          </w:tcPr>
          <w:p w14:paraId="542E856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0,19</w:t>
            </w:r>
          </w:p>
          <w:p w14:paraId="17C0D1B5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0,33)</w:t>
            </w:r>
          </w:p>
        </w:tc>
        <w:tc>
          <w:tcPr>
            <w:tcW w:w="1868" w:type="dxa"/>
          </w:tcPr>
          <w:p w14:paraId="5B39C7F2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0,20</w:t>
            </w:r>
          </w:p>
          <w:p w14:paraId="52B87BC9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0,34)</w:t>
            </w:r>
          </w:p>
        </w:tc>
      </w:tr>
      <w:tr w:rsidR="005555A4" w:rsidRPr="00C96D92" w14:paraId="1A7ABC63" w14:textId="77777777" w:rsidTr="005555A4">
        <w:trPr>
          <w:trHeight w:val="826"/>
          <w:jc w:val="center"/>
        </w:trPr>
        <w:tc>
          <w:tcPr>
            <w:tcW w:w="1436" w:type="dxa"/>
          </w:tcPr>
          <w:p w14:paraId="44D159A3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Recidiverende</w:t>
            </w:r>
          </w:p>
          <w:p w14:paraId="2E68A2E0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VTE eller</w:t>
            </w:r>
          </w:p>
          <w:p w14:paraId="7F3D2AFC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w w:val="105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kardiovaskulær</w:t>
            </w:r>
          </w:p>
          <w:p w14:paraId="68A70DEA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w w:val="105"/>
                <w:lang w:val="da-DK"/>
              </w:rPr>
              <w:t>relateret død</w:t>
            </w:r>
          </w:p>
        </w:tc>
        <w:tc>
          <w:tcPr>
            <w:tcW w:w="1206" w:type="dxa"/>
          </w:tcPr>
          <w:p w14:paraId="6BCDBA5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2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19" w:type="dxa"/>
          </w:tcPr>
          <w:p w14:paraId="4E71E6B5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14 (1,7)</w:t>
            </w:r>
          </w:p>
        </w:tc>
        <w:tc>
          <w:tcPr>
            <w:tcW w:w="1287" w:type="dxa"/>
          </w:tcPr>
          <w:p w14:paraId="02AC7E9B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76 (9,2)</w:t>
            </w:r>
          </w:p>
        </w:tc>
        <w:tc>
          <w:tcPr>
            <w:tcW w:w="1756" w:type="dxa"/>
          </w:tcPr>
          <w:p w14:paraId="2E81B369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0,18</w:t>
            </w:r>
          </w:p>
          <w:p w14:paraId="40CC9857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(0,10; 0,32)</w:t>
            </w:r>
          </w:p>
        </w:tc>
        <w:tc>
          <w:tcPr>
            <w:tcW w:w="1868" w:type="dxa"/>
          </w:tcPr>
          <w:p w14:paraId="03FD203E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0,19</w:t>
            </w:r>
          </w:p>
          <w:p w14:paraId="20CAADD0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(0,11; 0,33)</w:t>
            </w:r>
          </w:p>
        </w:tc>
      </w:tr>
      <w:tr w:rsidR="005555A4" w:rsidRPr="00C96D92" w14:paraId="3C92861C" w14:textId="77777777" w:rsidTr="005555A4">
        <w:trPr>
          <w:trHeight w:val="644"/>
          <w:jc w:val="center"/>
        </w:trPr>
        <w:tc>
          <w:tcPr>
            <w:tcW w:w="1436" w:type="dxa"/>
          </w:tcPr>
          <w:p w14:paraId="7199E1CD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Ikke‑dødelig</w:t>
            </w:r>
          </w:p>
          <w:p w14:paraId="37786C62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9" w:lineRule="auto"/>
              <w:ind w:left="101" w:right="145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DVT</w:t>
            </w:r>
            <w:r w:rsidRPr="00C96D92">
              <w:rPr>
                <w:rFonts w:ascii="Times New Roman" w:hAnsi="Times New Roman" w:cs="Times New Roman"/>
                <w:vertAlign w:val="superscript"/>
                <w:lang w:val="da-DK"/>
              </w:rPr>
              <w:t>†</w:t>
            </w:r>
          </w:p>
        </w:tc>
        <w:tc>
          <w:tcPr>
            <w:tcW w:w="1206" w:type="dxa"/>
          </w:tcPr>
          <w:p w14:paraId="21E2CFA2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1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6 (0,7)</w:t>
            </w:r>
          </w:p>
        </w:tc>
        <w:tc>
          <w:tcPr>
            <w:tcW w:w="1219" w:type="dxa"/>
          </w:tcPr>
          <w:p w14:paraId="1544402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8 (1,0)</w:t>
            </w:r>
          </w:p>
        </w:tc>
        <w:tc>
          <w:tcPr>
            <w:tcW w:w="1287" w:type="dxa"/>
          </w:tcPr>
          <w:p w14:paraId="765D40B9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53 (6,4)</w:t>
            </w:r>
          </w:p>
        </w:tc>
        <w:tc>
          <w:tcPr>
            <w:tcW w:w="1756" w:type="dxa"/>
          </w:tcPr>
          <w:p w14:paraId="7288FA61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0,11</w:t>
            </w:r>
          </w:p>
          <w:p w14:paraId="0BFA6123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(0,05; 0,26)</w:t>
            </w:r>
          </w:p>
        </w:tc>
        <w:tc>
          <w:tcPr>
            <w:tcW w:w="1868" w:type="dxa"/>
          </w:tcPr>
          <w:p w14:paraId="1F6D45F9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0,15</w:t>
            </w:r>
          </w:p>
          <w:p w14:paraId="3E22152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(0,07; 0,32)</w:t>
            </w:r>
          </w:p>
        </w:tc>
      </w:tr>
      <w:tr w:rsidR="005555A4" w:rsidRPr="00C96D92" w14:paraId="3F6D5AD9" w14:textId="77777777" w:rsidTr="005555A4">
        <w:trPr>
          <w:trHeight w:val="645"/>
          <w:jc w:val="center"/>
        </w:trPr>
        <w:tc>
          <w:tcPr>
            <w:tcW w:w="1436" w:type="dxa"/>
          </w:tcPr>
          <w:p w14:paraId="5C2FAD32" w14:textId="77777777" w:rsidR="005555A4" w:rsidRPr="00C96D92" w:rsidRDefault="005555A4" w:rsidP="005555A4">
            <w:pPr>
              <w:adjustRightInd w:val="0"/>
              <w:rPr>
                <w:rFonts w:ascii="Times New Roman" w:eastAsia="TimesNewRoman" w:hAnsi="Times New Roman" w:cs="Times New Roman"/>
                <w:sz w:val="22"/>
                <w:lang w:val="da-DK" w:eastAsia="en-GB"/>
              </w:rPr>
            </w:pPr>
            <w:r w:rsidRPr="00C96D92">
              <w:rPr>
                <w:rFonts w:ascii="Times New Roman" w:eastAsia="TimesNewRoman" w:hAnsi="Times New Roman" w:cs="Times New Roman"/>
                <w:sz w:val="22"/>
                <w:lang w:val="da-DK" w:eastAsia="en-GB"/>
              </w:rPr>
              <w:t xml:space="preserve"> Ikke‑dødelig</w:t>
            </w:r>
          </w:p>
          <w:p w14:paraId="2C144CE1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eastAsia="TimesNewRoman" w:hAnsi="Times New Roman" w:cs="Times New Roman"/>
                <w:lang w:val="da-DK" w:eastAsia="en-GB"/>
              </w:rPr>
              <w:t>LE</w:t>
            </w:r>
            <w:r w:rsidRPr="00C96D92">
              <w:rPr>
                <w:rFonts w:ascii="Times New Roman" w:eastAsia="TimesNewRoman" w:hAnsi="Times New Roman" w:cs="Times New Roman"/>
                <w:vertAlign w:val="superscript"/>
                <w:lang w:val="da-DK" w:eastAsia="en-GB"/>
              </w:rPr>
              <w:t>†</w:t>
            </w:r>
          </w:p>
        </w:tc>
        <w:tc>
          <w:tcPr>
            <w:tcW w:w="1206" w:type="dxa"/>
          </w:tcPr>
          <w:p w14:paraId="21D614EE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39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8 (1,0)</w:t>
            </w:r>
          </w:p>
        </w:tc>
        <w:tc>
          <w:tcPr>
            <w:tcW w:w="1219" w:type="dxa"/>
          </w:tcPr>
          <w:p w14:paraId="2CEDA2FD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4 (0,5)</w:t>
            </w:r>
          </w:p>
        </w:tc>
        <w:tc>
          <w:tcPr>
            <w:tcW w:w="1287" w:type="dxa"/>
          </w:tcPr>
          <w:p w14:paraId="3392840D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15 (1,8)</w:t>
            </w:r>
          </w:p>
        </w:tc>
        <w:tc>
          <w:tcPr>
            <w:tcW w:w="1756" w:type="dxa"/>
          </w:tcPr>
          <w:p w14:paraId="16E0ACC9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2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0,51</w:t>
            </w:r>
          </w:p>
          <w:p w14:paraId="44514820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(0,22; 1,21)</w:t>
            </w:r>
          </w:p>
        </w:tc>
        <w:tc>
          <w:tcPr>
            <w:tcW w:w="1868" w:type="dxa"/>
          </w:tcPr>
          <w:p w14:paraId="7D48DACC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0,27</w:t>
            </w:r>
          </w:p>
          <w:p w14:paraId="6EFEC8E1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(0,09; 0,80)</w:t>
            </w:r>
          </w:p>
        </w:tc>
      </w:tr>
      <w:tr w:rsidR="005555A4" w:rsidRPr="00C96D92" w14:paraId="2AE18FD2" w14:textId="77777777" w:rsidTr="005555A4">
        <w:trPr>
          <w:trHeight w:val="644"/>
          <w:jc w:val="center"/>
        </w:trPr>
        <w:tc>
          <w:tcPr>
            <w:tcW w:w="1436" w:type="dxa"/>
          </w:tcPr>
          <w:p w14:paraId="6142FB17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lang w:val="da-DK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VTE-relateret</w:t>
            </w:r>
          </w:p>
          <w:p w14:paraId="61A78D66" w14:textId="77777777" w:rsidR="005555A4" w:rsidRPr="00C96D92" w:rsidRDefault="005555A4" w:rsidP="005555A4">
            <w:pPr>
              <w:pStyle w:val="TableParagraph"/>
              <w:spacing w:beforeLines="60" w:before="144" w:afterLines="60" w:after="144" w:line="247" w:lineRule="auto"/>
              <w:ind w:left="101" w:right="145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lang w:val="da-DK"/>
              </w:rPr>
              <w:t>død</w:t>
            </w:r>
          </w:p>
        </w:tc>
        <w:tc>
          <w:tcPr>
            <w:tcW w:w="1206" w:type="dxa"/>
          </w:tcPr>
          <w:p w14:paraId="73E87F68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0" w:right="13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2 (0,2)</w:t>
            </w:r>
          </w:p>
        </w:tc>
        <w:tc>
          <w:tcPr>
            <w:tcW w:w="1219" w:type="dxa"/>
          </w:tcPr>
          <w:p w14:paraId="396CB490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49" w:right="1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3 (0,4)</w:t>
            </w:r>
          </w:p>
        </w:tc>
        <w:tc>
          <w:tcPr>
            <w:tcW w:w="1287" w:type="dxa"/>
          </w:tcPr>
          <w:p w14:paraId="1A57D4DA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183" w:right="17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7 (0,8)</w:t>
            </w:r>
          </w:p>
        </w:tc>
        <w:tc>
          <w:tcPr>
            <w:tcW w:w="1756" w:type="dxa"/>
          </w:tcPr>
          <w:p w14:paraId="368D6F2F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2" w:right="31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0,28</w:t>
            </w:r>
          </w:p>
          <w:p w14:paraId="6AEF3C8E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31" w:right="32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(0,06; 1,37)</w:t>
            </w:r>
          </w:p>
        </w:tc>
        <w:tc>
          <w:tcPr>
            <w:tcW w:w="1868" w:type="dxa"/>
          </w:tcPr>
          <w:p w14:paraId="76F315A9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0,45</w:t>
            </w:r>
          </w:p>
          <w:p w14:paraId="6692DAD2" w14:textId="77777777" w:rsidR="005555A4" w:rsidRPr="00C96D92" w:rsidRDefault="005555A4" w:rsidP="005555A4">
            <w:pPr>
              <w:pStyle w:val="TableParagraph"/>
              <w:spacing w:beforeLines="60" w:before="144" w:afterLines="60" w:after="144"/>
              <w:ind w:left="387" w:right="38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6D92">
              <w:rPr>
                <w:rFonts w:ascii="Times New Roman" w:hAnsi="Times New Roman" w:cs="Times New Roman"/>
                <w:w w:val="105"/>
                <w:lang w:val="en-GB"/>
              </w:rPr>
              <w:t>(0,12; 1,71)</w:t>
            </w:r>
          </w:p>
        </w:tc>
      </w:tr>
    </w:tbl>
    <w:p w14:paraId="2A57237D" w14:textId="77777777" w:rsidR="005555A4" w:rsidRPr="007B6A00" w:rsidRDefault="005555A4" w:rsidP="005555A4">
      <w:pPr>
        <w:rPr>
          <w:sz w:val="22"/>
          <w:szCs w:val="22"/>
        </w:rPr>
      </w:pPr>
      <w:r w:rsidRPr="00E07F0D">
        <w:rPr>
          <w:sz w:val="22"/>
          <w:szCs w:val="22"/>
          <w:vertAlign w:val="superscript"/>
        </w:rPr>
        <w:t>¥</w:t>
      </w:r>
      <w:r w:rsidRPr="007B6A00">
        <w:rPr>
          <w:sz w:val="22"/>
          <w:szCs w:val="22"/>
        </w:rPr>
        <w:t> p-v</w:t>
      </w:r>
      <w:r>
        <w:rPr>
          <w:sz w:val="22"/>
          <w:szCs w:val="22"/>
        </w:rPr>
        <w:t>ærdi</w:t>
      </w:r>
      <w:r w:rsidRPr="007B6A00">
        <w:rPr>
          <w:sz w:val="22"/>
          <w:szCs w:val="22"/>
        </w:rPr>
        <w:t> &lt; 0</w:t>
      </w:r>
      <w:r>
        <w:rPr>
          <w:sz w:val="22"/>
          <w:szCs w:val="22"/>
        </w:rPr>
        <w:t>,</w:t>
      </w:r>
      <w:r w:rsidRPr="007B6A00">
        <w:rPr>
          <w:sz w:val="22"/>
          <w:szCs w:val="22"/>
        </w:rPr>
        <w:t>0001</w:t>
      </w:r>
    </w:p>
    <w:p w14:paraId="6BF92EBA" w14:textId="77777777" w:rsidR="005555A4" w:rsidRPr="00337189" w:rsidRDefault="005555A4" w:rsidP="005555A4">
      <w:pPr>
        <w:ind w:left="142" w:hanging="142"/>
        <w:rPr>
          <w:sz w:val="22"/>
          <w:szCs w:val="22"/>
        </w:rPr>
      </w:pPr>
      <w:r w:rsidRPr="00E07F0D">
        <w:rPr>
          <w:sz w:val="22"/>
          <w:szCs w:val="22"/>
          <w:vertAlign w:val="superscript"/>
        </w:rPr>
        <w:t>*</w:t>
      </w:r>
      <w:r w:rsidRPr="007B6A00">
        <w:rPr>
          <w:sz w:val="22"/>
          <w:szCs w:val="22"/>
        </w:rPr>
        <w:t> </w:t>
      </w:r>
      <w:r w:rsidRPr="00337189">
        <w:rPr>
          <w:sz w:val="22"/>
          <w:szCs w:val="22"/>
        </w:rPr>
        <w:t xml:space="preserve">For patienter med mere end </w:t>
      </w:r>
      <w:r w:rsidRPr="00337189">
        <w:rPr>
          <w:rFonts w:hint="eastAsia"/>
          <w:sz w:val="22"/>
          <w:szCs w:val="22"/>
        </w:rPr>
        <w:t>é</w:t>
      </w:r>
      <w:r w:rsidRPr="00337189">
        <w:rPr>
          <w:sz w:val="22"/>
          <w:szCs w:val="22"/>
        </w:rPr>
        <w:t>n h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ndelse, som bidrog til det sammensatte endepunkt, blev kun den f</w:t>
      </w:r>
      <w:r w:rsidRPr="00337189">
        <w:rPr>
          <w:rFonts w:hint="eastAsia"/>
          <w:sz w:val="22"/>
          <w:szCs w:val="22"/>
        </w:rPr>
        <w:t>ø</w:t>
      </w:r>
      <w:r w:rsidRPr="00337189">
        <w:rPr>
          <w:sz w:val="22"/>
          <w:szCs w:val="22"/>
        </w:rPr>
        <w:t>rste h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ndelse rapporteret</w:t>
      </w:r>
      <w:r>
        <w:rPr>
          <w:sz w:val="22"/>
          <w:szCs w:val="22"/>
        </w:rPr>
        <w:t xml:space="preserve"> </w:t>
      </w:r>
      <w:r w:rsidRPr="00337189">
        <w:rPr>
          <w:sz w:val="22"/>
          <w:szCs w:val="22"/>
        </w:rPr>
        <w:t>(f.eks. hvis en fors</w:t>
      </w:r>
      <w:r w:rsidRPr="00337189">
        <w:rPr>
          <w:rFonts w:hint="eastAsia"/>
          <w:sz w:val="22"/>
          <w:szCs w:val="22"/>
        </w:rPr>
        <w:t>ø</w:t>
      </w:r>
      <w:r w:rsidRPr="00337189">
        <w:rPr>
          <w:sz w:val="22"/>
          <w:szCs w:val="22"/>
        </w:rPr>
        <w:t>gsperson oplevede b</w:t>
      </w:r>
      <w:r w:rsidRPr="00337189">
        <w:rPr>
          <w:rFonts w:hint="eastAsia"/>
          <w:sz w:val="22"/>
          <w:szCs w:val="22"/>
        </w:rPr>
        <w:t>å</w:t>
      </w:r>
      <w:r w:rsidRPr="00337189">
        <w:rPr>
          <w:sz w:val="22"/>
          <w:szCs w:val="22"/>
        </w:rPr>
        <w:t>de DVT og herefter LE, blev kun DVT rapporteret)</w:t>
      </w:r>
    </w:p>
    <w:p w14:paraId="518277E0" w14:textId="77777777" w:rsidR="005555A4" w:rsidRPr="007B6A00" w:rsidRDefault="005555A4" w:rsidP="005555A4">
      <w:pPr>
        <w:ind w:left="142" w:hanging="142"/>
        <w:rPr>
          <w:sz w:val="22"/>
          <w:szCs w:val="22"/>
          <w:u w:val="single"/>
        </w:rPr>
      </w:pPr>
      <w:r w:rsidRPr="00E07F0D">
        <w:rPr>
          <w:rFonts w:hint="eastAsia"/>
          <w:sz w:val="22"/>
          <w:szCs w:val="22"/>
          <w:vertAlign w:val="superscript"/>
        </w:rPr>
        <w:t>†</w:t>
      </w:r>
      <w:r w:rsidRPr="00337189">
        <w:rPr>
          <w:sz w:val="22"/>
          <w:szCs w:val="22"/>
        </w:rPr>
        <w:t xml:space="preserve"> De enkelte fors</w:t>
      </w:r>
      <w:r w:rsidRPr="00337189">
        <w:rPr>
          <w:rFonts w:hint="eastAsia"/>
          <w:sz w:val="22"/>
          <w:szCs w:val="22"/>
        </w:rPr>
        <w:t>ø</w:t>
      </w:r>
      <w:r w:rsidRPr="00337189">
        <w:rPr>
          <w:sz w:val="22"/>
          <w:szCs w:val="22"/>
        </w:rPr>
        <w:t xml:space="preserve">gspersoner kunne opleve mere end </w:t>
      </w:r>
      <w:r w:rsidRPr="00337189">
        <w:rPr>
          <w:rFonts w:hint="eastAsia"/>
          <w:sz w:val="22"/>
          <w:szCs w:val="22"/>
        </w:rPr>
        <w:t>é</w:t>
      </w:r>
      <w:r w:rsidRPr="00337189">
        <w:rPr>
          <w:sz w:val="22"/>
          <w:szCs w:val="22"/>
        </w:rPr>
        <w:t>n h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ndelse og v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re repr</w:t>
      </w:r>
      <w:r w:rsidRPr="00337189">
        <w:rPr>
          <w:rFonts w:hint="eastAsia"/>
          <w:sz w:val="22"/>
          <w:szCs w:val="22"/>
        </w:rPr>
        <w:t>æ</w:t>
      </w:r>
      <w:r w:rsidRPr="00337189">
        <w:rPr>
          <w:sz w:val="22"/>
          <w:szCs w:val="22"/>
        </w:rPr>
        <w:t>senteret i begge klassifikationer</w:t>
      </w:r>
    </w:p>
    <w:p w14:paraId="153DB235" w14:textId="77777777" w:rsidR="005555A4" w:rsidRPr="00C96D9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7AEA48F5" w14:textId="77777777" w:rsidR="005555A4" w:rsidRPr="00C96D92" w:rsidRDefault="005555A4" w:rsidP="005555A4">
      <w:pPr>
        <w:suppressAutoHyphens/>
        <w:ind w:left="851"/>
        <w:rPr>
          <w:sz w:val="24"/>
          <w:szCs w:val="24"/>
        </w:rPr>
      </w:pPr>
      <w:r w:rsidRPr="00C96D92">
        <w:rPr>
          <w:sz w:val="24"/>
          <w:szCs w:val="24"/>
        </w:rPr>
        <w:lastRenderedPageBreak/>
        <w:t>Apixabans effekt ved forebyggelse af recidiv af VTE blev opretholdt p</w:t>
      </w:r>
      <w:r w:rsidRPr="00C96D92">
        <w:rPr>
          <w:rFonts w:hint="eastAsia"/>
          <w:sz w:val="24"/>
          <w:szCs w:val="24"/>
        </w:rPr>
        <w:t>å</w:t>
      </w:r>
      <w:r w:rsidRPr="00C96D92">
        <w:rPr>
          <w:sz w:val="24"/>
          <w:szCs w:val="24"/>
        </w:rPr>
        <w:t xml:space="preserve"> tv</w:t>
      </w:r>
      <w:r w:rsidRPr="00C96D92">
        <w:rPr>
          <w:rFonts w:hint="eastAsia"/>
          <w:sz w:val="24"/>
          <w:szCs w:val="24"/>
        </w:rPr>
        <w:t>æ</w:t>
      </w:r>
      <w:r w:rsidRPr="00C96D92">
        <w:rPr>
          <w:sz w:val="24"/>
          <w:szCs w:val="24"/>
        </w:rPr>
        <w:t>rs af undergrupperne,</w:t>
      </w:r>
      <w:r>
        <w:rPr>
          <w:sz w:val="24"/>
          <w:szCs w:val="24"/>
        </w:rPr>
        <w:t xml:space="preserve"> </w:t>
      </w:r>
      <w:r w:rsidRPr="00C96D92">
        <w:rPr>
          <w:sz w:val="24"/>
          <w:szCs w:val="24"/>
        </w:rPr>
        <w:t>herunder alder, k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n, BMI og nyrefunktion.</w:t>
      </w:r>
    </w:p>
    <w:p w14:paraId="08FDD791" w14:textId="77777777" w:rsidR="005555A4" w:rsidRPr="00C96D92" w:rsidRDefault="005555A4" w:rsidP="005555A4">
      <w:pPr>
        <w:suppressAutoHyphens/>
        <w:ind w:left="851"/>
        <w:rPr>
          <w:sz w:val="24"/>
          <w:szCs w:val="24"/>
        </w:rPr>
      </w:pPr>
    </w:p>
    <w:p w14:paraId="0D439332" w14:textId="1758A575" w:rsidR="005555A4" w:rsidRPr="00C96D92" w:rsidRDefault="005555A4" w:rsidP="005555A4">
      <w:pPr>
        <w:suppressAutoHyphens/>
        <w:ind w:left="851"/>
        <w:rPr>
          <w:sz w:val="24"/>
          <w:szCs w:val="24"/>
        </w:rPr>
      </w:pPr>
      <w:r w:rsidRPr="00C96D92">
        <w:rPr>
          <w:sz w:val="24"/>
          <w:szCs w:val="24"/>
        </w:rPr>
        <w:t>Det prim</w:t>
      </w:r>
      <w:r w:rsidRPr="00C96D92">
        <w:rPr>
          <w:rFonts w:hint="eastAsia"/>
          <w:sz w:val="24"/>
          <w:szCs w:val="24"/>
        </w:rPr>
        <w:t>æ</w:t>
      </w:r>
      <w:r w:rsidRPr="00C96D92">
        <w:rPr>
          <w:sz w:val="24"/>
          <w:szCs w:val="24"/>
        </w:rPr>
        <w:t>re sikkerhedsendepunkt var major bl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dning i behandlingsperioden. I studiet var incidensen af major bl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dning for begge apixabandoser ikke statistisk forskellig fra placebo. Der var ingen statistisk signifikant forskel i incidensen af major + CRNM, minor og alle bl</w:t>
      </w:r>
      <w:r w:rsidRPr="00C96D92">
        <w:rPr>
          <w:rFonts w:hint="eastAsia"/>
          <w:sz w:val="24"/>
          <w:szCs w:val="24"/>
        </w:rPr>
        <w:t>ø</w:t>
      </w:r>
      <w:r w:rsidRPr="00C96D92">
        <w:rPr>
          <w:sz w:val="24"/>
          <w:szCs w:val="24"/>
        </w:rPr>
        <w:t>dninger mellem</w:t>
      </w:r>
      <w:r>
        <w:rPr>
          <w:sz w:val="24"/>
          <w:szCs w:val="24"/>
        </w:rPr>
        <w:t xml:space="preserve"> </w:t>
      </w:r>
      <w:r w:rsidRPr="00C96D92">
        <w:rPr>
          <w:sz w:val="24"/>
          <w:szCs w:val="24"/>
        </w:rPr>
        <w:t>behandlingsgrupperne, der fik apixaban 2,5 mg 2 gange daglig og placebo (se tabel 1</w:t>
      </w:r>
      <w:r w:rsidR="008649F4">
        <w:rPr>
          <w:sz w:val="24"/>
          <w:szCs w:val="24"/>
        </w:rPr>
        <w:t>1</w:t>
      </w:r>
      <w:r w:rsidRPr="00C96D92">
        <w:rPr>
          <w:sz w:val="24"/>
          <w:szCs w:val="24"/>
        </w:rPr>
        <w:t>).</w:t>
      </w:r>
    </w:p>
    <w:p w14:paraId="74729D82" w14:textId="77777777" w:rsidR="005555A4" w:rsidRPr="00C96D92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6C1174D7" w14:textId="52CAB152" w:rsidR="005555A4" w:rsidRPr="003F4F10" w:rsidRDefault="005555A4" w:rsidP="005555A4">
      <w:pPr>
        <w:rPr>
          <w:b/>
          <w:bCs/>
          <w:sz w:val="22"/>
          <w:szCs w:val="22"/>
        </w:rPr>
      </w:pPr>
      <w:r w:rsidRPr="001A68F2">
        <w:rPr>
          <w:b/>
          <w:bCs/>
          <w:sz w:val="22"/>
          <w:szCs w:val="22"/>
        </w:rPr>
        <w:t>Tabel 1</w:t>
      </w:r>
      <w:r w:rsidR="008649F4">
        <w:rPr>
          <w:b/>
          <w:bCs/>
          <w:sz w:val="22"/>
          <w:szCs w:val="22"/>
        </w:rPr>
        <w:t>1</w:t>
      </w:r>
      <w:r w:rsidRPr="001A68F2">
        <w:rPr>
          <w:b/>
          <w:bCs/>
          <w:sz w:val="22"/>
          <w:szCs w:val="22"/>
        </w:rPr>
        <w:t>: Bl</w:t>
      </w:r>
      <w:r w:rsidRPr="001A68F2">
        <w:rPr>
          <w:rFonts w:hint="eastAsia"/>
          <w:b/>
          <w:bCs/>
          <w:sz w:val="22"/>
          <w:szCs w:val="22"/>
        </w:rPr>
        <w:t>ø</w:t>
      </w:r>
      <w:r w:rsidRPr="001A68F2">
        <w:rPr>
          <w:b/>
          <w:bCs/>
          <w:sz w:val="22"/>
          <w:szCs w:val="22"/>
        </w:rPr>
        <w:t>dningsresultater i AMPLIFY</w:t>
      </w:r>
      <w:r w:rsidRPr="001A68F2">
        <w:rPr>
          <w:rFonts w:hint="eastAsia"/>
          <w:b/>
          <w:bCs/>
          <w:sz w:val="22"/>
          <w:szCs w:val="22"/>
        </w:rPr>
        <w:t>‑</w:t>
      </w:r>
      <w:r w:rsidRPr="001A68F2">
        <w:rPr>
          <w:b/>
          <w:bCs/>
          <w:sz w:val="22"/>
          <w:szCs w:val="22"/>
        </w:rPr>
        <w:t>EXT</w:t>
      </w:r>
      <w:r w:rsidRPr="001A68F2">
        <w:rPr>
          <w:rFonts w:hint="eastAsia"/>
          <w:b/>
          <w:bCs/>
          <w:sz w:val="22"/>
          <w:szCs w:val="22"/>
        </w:rPr>
        <w:t>‑</w:t>
      </w:r>
      <w:r w:rsidRPr="001A68F2">
        <w:rPr>
          <w:b/>
          <w:bCs/>
          <w:sz w:val="22"/>
          <w:szCs w:val="22"/>
        </w:rPr>
        <w:t>studiet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542"/>
        <w:gridCol w:w="1542"/>
        <w:gridCol w:w="1542"/>
        <w:gridCol w:w="2171"/>
        <w:gridCol w:w="2434"/>
      </w:tblGrid>
      <w:tr w:rsidR="005555A4" w:rsidRPr="00113F4C" w14:paraId="2A060B3B" w14:textId="77777777" w:rsidTr="005555A4">
        <w:trPr>
          <w:trHeight w:val="350"/>
          <w:jc w:val="center"/>
        </w:trPr>
        <w:tc>
          <w:tcPr>
            <w:tcW w:w="1287" w:type="dxa"/>
          </w:tcPr>
          <w:p w14:paraId="74BC5C9B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793993ED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87" w:type="dxa"/>
          </w:tcPr>
          <w:p w14:paraId="30ECE169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2" w:right="177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Apixaban</w:t>
            </w:r>
          </w:p>
        </w:tc>
        <w:tc>
          <w:tcPr>
            <w:tcW w:w="1287" w:type="dxa"/>
          </w:tcPr>
          <w:p w14:paraId="0A904BCB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Placebo</w:t>
            </w:r>
          </w:p>
        </w:tc>
        <w:tc>
          <w:tcPr>
            <w:tcW w:w="3844" w:type="dxa"/>
            <w:gridSpan w:val="2"/>
          </w:tcPr>
          <w:p w14:paraId="5CB86BA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888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Relative risk (95 % CI)</w:t>
            </w:r>
          </w:p>
        </w:tc>
      </w:tr>
      <w:tr w:rsidR="005555A4" w:rsidRPr="00113F4C" w14:paraId="578DF07F" w14:textId="77777777" w:rsidTr="005555A4">
        <w:trPr>
          <w:trHeight w:val="644"/>
          <w:jc w:val="center"/>
        </w:trPr>
        <w:tc>
          <w:tcPr>
            <w:tcW w:w="1287" w:type="dxa"/>
          </w:tcPr>
          <w:p w14:paraId="44E9A70E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52BAAF0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49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2,5 mg</w:t>
            </w:r>
          </w:p>
          <w:p w14:paraId="5ED8C148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284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(N=840)</w:t>
            </w:r>
          </w:p>
        </w:tc>
        <w:tc>
          <w:tcPr>
            <w:tcW w:w="1287" w:type="dxa"/>
          </w:tcPr>
          <w:p w14:paraId="3C7BD407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50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5,0 mg</w:t>
            </w:r>
          </w:p>
          <w:p w14:paraId="7581E775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285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(N=811)</w:t>
            </w:r>
          </w:p>
        </w:tc>
        <w:tc>
          <w:tcPr>
            <w:tcW w:w="1287" w:type="dxa"/>
          </w:tcPr>
          <w:p w14:paraId="1399685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  <w:p w14:paraId="7F43CC28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(N=826)</w:t>
            </w:r>
          </w:p>
        </w:tc>
        <w:tc>
          <w:tcPr>
            <w:tcW w:w="1812" w:type="dxa"/>
          </w:tcPr>
          <w:p w14:paraId="66FC077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73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 2,5 mg</w:t>
            </w:r>
          </w:p>
          <w:p w14:paraId="6DB7B15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434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versus placebo</w:t>
            </w:r>
          </w:p>
        </w:tc>
        <w:tc>
          <w:tcPr>
            <w:tcW w:w="2032" w:type="dxa"/>
          </w:tcPr>
          <w:p w14:paraId="3B1BC853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484"/>
              <w:rPr>
                <w:rFonts w:ascii="Times New Roman" w:hAnsi="Times New Roman" w:cs="Times New Roman"/>
                <w:b/>
                <w:lang w:val="en-GB"/>
              </w:rPr>
            </w:pPr>
            <w:r w:rsidRPr="00113F4C">
              <w:rPr>
                <w:rFonts w:ascii="Times New Roman" w:hAnsi="Times New Roman" w:cs="Times New Roman"/>
                <w:b/>
                <w:w w:val="105"/>
                <w:lang w:val="en-GB"/>
              </w:rPr>
              <w:t>Apix 5,0 mg</w:t>
            </w:r>
          </w:p>
          <w:p w14:paraId="33E0F118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44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versus placebo</w:t>
            </w:r>
          </w:p>
        </w:tc>
      </w:tr>
      <w:tr w:rsidR="005555A4" w:rsidRPr="00113F4C" w14:paraId="19A47F98" w14:textId="77777777" w:rsidTr="005555A4">
        <w:trPr>
          <w:trHeight w:val="350"/>
          <w:jc w:val="center"/>
        </w:trPr>
        <w:tc>
          <w:tcPr>
            <w:tcW w:w="1287" w:type="dxa"/>
          </w:tcPr>
          <w:p w14:paraId="7B501C9D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4B66A321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7" w:type="dxa"/>
          </w:tcPr>
          <w:p w14:paraId="3B8CF8A3" w14:textId="78404752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n (%)</w:t>
            </w:r>
          </w:p>
        </w:tc>
        <w:tc>
          <w:tcPr>
            <w:tcW w:w="1287" w:type="dxa"/>
          </w:tcPr>
          <w:p w14:paraId="2A2B6247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14:paraId="5D66083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32" w:type="dxa"/>
          </w:tcPr>
          <w:p w14:paraId="2E554E2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55A4" w:rsidRPr="00113F4C" w14:paraId="71DC3468" w14:textId="77777777" w:rsidTr="005555A4">
        <w:trPr>
          <w:trHeight w:val="644"/>
          <w:jc w:val="center"/>
        </w:trPr>
        <w:tc>
          <w:tcPr>
            <w:tcW w:w="1287" w:type="dxa"/>
          </w:tcPr>
          <w:p w14:paraId="56BFB7FE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Major</w:t>
            </w:r>
          </w:p>
        </w:tc>
        <w:tc>
          <w:tcPr>
            <w:tcW w:w="1287" w:type="dxa"/>
          </w:tcPr>
          <w:p w14:paraId="140279F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2 (0,2)</w:t>
            </w:r>
          </w:p>
        </w:tc>
        <w:tc>
          <w:tcPr>
            <w:tcW w:w="1287" w:type="dxa"/>
          </w:tcPr>
          <w:p w14:paraId="3E0CF741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 (0,1)</w:t>
            </w:r>
          </w:p>
        </w:tc>
        <w:tc>
          <w:tcPr>
            <w:tcW w:w="1287" w:type="dxa"/>
          </w:tcPr>
          <w:p w14:paraId="12765740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4 (0,5)</w:t>
            </w:r>
          </w:p>
        </w:tc>
        <w:tc>
          <w:tcPr>
            <w:tcW w:w="1812" w:type="dxa"/>
          </w:tcPr>
          <w:p w14:paraId="60FDF589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0,49</w:t>
            </w:r>
          </w:p>
          <w:p w14:paraId="09C166F5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(0,09; 2,64)</w:t>
            </w:r>
          </w:p>
        </w:tc>
        <w:tc>
          <w:tcPr>
            <w:tcW w:w="2032" w:type="dxa"/>
          </w:tcPr>
          <w:p w14:paraId="5B9784D7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0,25</w:t>
            </w:r>
          </w:p>
          <w:p w14:paraId="5ED02304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3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(0,03; 2,24)</w:t>
            </w:r>
          </w:p>
        </w:tc>
      </w:tr>
      <w:tr w:rsidR="005555A4" w:rsidRPr="00113F4C" w14:paraId="5E736E4A" w14:textId="77777777" w:rsidTr="005555A4">
        <w:trPr>
          <w:trHeight w:val="644"/>
          <w:jc w:val="center"/>
        </w:trPr>
        <w:tc>
          <w:tcPr>
            <w:tcW w:w="1287" w:type="dxa"/>
          </w:tcPr>
          <w:p w14:paraId="27D35F76" w14:textId="77777777" w:rsidR="005555A4" w:rsidRPr="00113F4C" w:rsidRDefault="005555A4" w:rsidP="005555A4">
            <w:pPr>
              <w:pStyle w:val="TableParagraph"/>
              <w:spacing w:beforeLines="60" w:before="144" w:afterLines="60" w:after="144" w:line="247" w:lineRule="auto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Major + CRNM</w:t>
            </w:r>
          </w:p>
        </w:tc>
        <w:tc>
          <w:tcPr>
            <w:tcW w:w="1287" w:type="dxa"/>
          </w:tcPr>
          <w:p w14:paraId="7301F81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27 (3,2)</w:t>
            </w:r>
          </w:p>
        </w:tc>
        <w:tc>
          <w:tcPr>
            <w:tcW w:w="1287" w:type="dxa"/>
          </w:tcPr>
          <w:p w14:paraId="2D96D250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35 (4,3)</w:t>
            </w:r>
          </w:p>
        </w:tc>
        <w:tc>
          <w:tcPr>
            <w:tcW w:w="1287" w:type="dxa"/>
          </w:tcPr>
          <w:p w14:paraId="0E0EFFA3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22 (2,7)</w:t>
            </w:r>
          </w:p>
        </w:tc>
        <w:tc>
          <w:tcPr>
            <w:tcW w:w="1812" w:type="dxa"/>
          </w:tcPr>
          <w:p w14:paraId="7071C90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1,20</w:t>
            </w:r>
          </w:p>
          <w:p w14:paraId="583945C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(0,69; 2,10)</w:t>
            </w:r>
          </w:p>
        </w:tc>
        <w:tc>
          <w:tcPr>
            <w:tcW w:w="2032" w:type="dxa"/>
          </w:tcPr>
          <w:p w14:paraId="28373E29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1,62</w:t>
            </w:r>
          </w:p>
          <w:p w14:paraId="6A58745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3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(0,96; 2,73)</w:t>
            </w:r>
          </w:p>
        </w:tc>
      </w:tr>
      <w:tr w:rsidR="005555A4" w:rsidRPr="00113F4C" w14:paraId="0ED0B6E8" w14:textId="77777777" w:rsidTr="005555A4">
        <w:trPr>
          <w:trHeight w:val="645"/>
          <w:jc w:val="center"/>
        </w:trPr>
        <w:tc>
          <w:tcPr>
            <w:tcW w:w="1287" w:type="dxa"/>
          </w:tcPr>
          <w:p w14:paraId="0D5AFA6E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Minor</w:t>
            </w:r>
          </w:p>
        </w:tc>
        <w:tc>
          <w:tcPr>
            <w:tcW w:w="1287" w:type="dxa"/>
          </w:tcPr>
          <w:p w14:paraId="764616DD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75 (8,9)</w:t>
            </w:r>
          </w:p>
        </w:tc>
        <w:tc>
          <w:tcPr>
            <w:tcW w:w="1287" w:type="dxa"/>
          </w:tcPr>
          <w:p w14:paraId="79E8125E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98 (12,1)</w:t>
            </w:r>
          </w:p>
        </w:tc>
        <w:tc>
          <w:tcPr>
            <w:tcW w:w="1287" w:type="dxa"/>
          </w:tcPr>
          <w:p w14:paraId="5715AA8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58 (7,0)</w:t>
            </w:r>
          </w:p>
        </w:tc>
        <w:tc>
          <w:tcPr>
            <w:tcW w:w="1812" w:type="dxa"/>
          </w:tcPr>
          <w:p w14:paraId="753C5CD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1,26</w:t>
            </w:r>
          </w:p>
          <w:p w14:paraId="27C3068A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(0,91; 1,75)</w:t>
            </w:r>
          </w:p>
        </w:tc>
        <w:tc>
          <w:tcPr>
            <w:tcW w:w="2032" w:type="dxa"/>
          </w:tcPr>
          <w:p w14:paraId="7FDEB2F9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1,70</w:t>
            </w:r>
          </w:p>
          <w:p w14:paraId="1D84E84E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4" w:right="49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(1,25; 2,31)</w:t>
            </w:r>
          </w:p>
        </w:tc>
      </w:tr>
      <w:tr w:rsidR="005555A4" w:rsidRPr="00113F4C" w14:paraId="141CAFC2" w14:textId="77777777" w:rsidTr="005555A4">
        <w:trPr>
          <w:trHeight w:val="644"/>
          <w:jc w:val="center"/>
        </w:trPr>
        <w:tc>
          <w:tcPr>
            <w:tcW w:w="1287" w:type="dxa"/>
          </w:tcPr>
          <w:p w14:paraId="78058917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01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Alle</w:t>
            </w:r>
          </w:p>
        </w:tc>
        <w:tc>
          <w:tcPr>
            <w:tcW w:w="1287" w:type="dxa"/>
          </w:tcPr>
          <w:p w14:paraId="07693B02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94 (11,2)</w:t>
            </w:r>
          </w:p>
        </w:tc>
        <w:tc>
          <w:tcPr>
            <w:tcW w:w="1287" w:type="dxa"/>
          </w:tcPr>
          <w:p w14:paraId="6B0974BF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2" w:right="17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121 (14,9)</w:t>
            </w:r>
          </w:p>
        </w:tc>
        <w:tc>
          <w:tcPr>
            <w:tcW w:w="1287" w:type="dxa"/>
          </w:tcPr>
          <w:p w14:paraId="64D0A5FE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183" w:right="17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74 (9,0)</w:t>
            </w:r>
          </w:p>
        </w:tc>
        <w:tc>
          <w:tcPr>
            <w:tcW w:w="1812" w:type="dxa"/>
          </w:tcPr>
          <w:p w14:paraId="337CDC9D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1,24</w:t>
            </w:r>
          </w:p>
          <w:p w14:paraId="5828369F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395" w:right="38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(0,93; 1,65)</w:t>
            </w:r>
          </w:p>
        </w:tc>
        <w:tc>
          <w:tcPr>
            <w:tcW w:w="2032" w:type="dxa"/>
          </w:tcPr>
          <w:p w14:paraId="19C44576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4" w:right="496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1,65</w:t>
            </w:r>
          </w:p>
          <w:p w14:paraId="19A96F39" w14:textId="77777777" w:rsidR="005555A4" w:rsidRPr="00113F4C" w:rsidRDefault="005555A4" w:rsidP="005555A4">
            <w:pPr>
              <w:pStyle w:val="TableParagraph"/>
              <w:spacing w:beforeLines="60" w:before="144" w:afterLines="60" w:after="144"/>
              <w:ind w:left="504" w:right="49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3F4C">
              <w:rPr>
                <w:rFonts w:ascii="Times New Roman" w:hAnsi="Times New Roman" w:cs="Times New Roman"/>
                <w:w w:val="105"/>
                <w:lang w:val="en-GB"/>
              </w:rPr>
              <w:t>(1,26; 2,16)</w:t>
            </w:r>
          </w:p>
        </w:tc>
      </w:tr>
    </w:tbl>
    <w:p w14:paraId="2B8F54FC" w14:textId="77777777" w:rsidR="005555A4" w:rsidRPr="00113F4C" w:rsidRDefault="005555A4" w:rsidP="005555A4">
      <w:pPr>
        <w:suppressAutoHyphens/>
        <w:ind w:left="851"/>
        <w:rPr>
          <w:sz w:val="24"/>
          <w:szCs w:val="24"/>
          <w:u w:val="single"/>
        </w:rPr>
      </w:pPr>
    </w:p>
    <w:p w14:paraId="34BC012B" w14:textId="77777777" w:rsidR="005555A4" w:rsidRPr="00113F4C" w:rsidRDefault="005555A4" w:rsidP="005555A4">
      <w:pPr>
        <w:suppressAutoHyphens/>
        <w:ind w:left="851"/>
        <w:rPr>
          <w:sz w:val="24"/>
          <w:szCs w:val="24"/>
        </w:rPr>
      </w:pPr>
      <w:r w:rsidRPr="00113F4C">
        <w:rPr>
          <w:sz w:val="24"/>
          <w:szCs w:val="24"/>
        </w:rPr>
        <w:t>Bekr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ftet ISTH st</w:t>
      </w:r>
      <w:r w:rsidRPr="00113F4C">
        <w:rPr>
          <w:rFonts w:hint="eastAsia"/>
          <w:sz w:val="24"/>
          <w:szCs w:val="24"/>
        </w:rPr>
        <w:t>ø</w:t>
      </w:r>
      <w:r w:rsidRPr="00113F4C">
        <w:rPr>
          <w:sz w:val="24"/>
          <w:szCs w:val="24"/>
        </w:rPr>
        <w:t>rre gastrointestinal bl</w:t>
      </w:r>
      <w:r w:rsidRPr="00113F4C">
        <w:rPr>
          <w:rFonts w:hint="eastAsia"/>
          <w:sz w:val="24"/>
          <w:szCs w:val="24"/>
        </w:rPr>
        <w:t>ø</w:t>
      </w:r>
      <w:r w:rsidRPr="00113F4C">
        <w:rPr>
          <w:sz w:val="24"/>
          <w:szCs w:val="24"/>
        </w:rPr>
        <w:t>dning forekom hos 1 (0,1 %) af de apixaban</w:t>
      </w:r>
      <w:r w:rsidRPr="00113F4C">
        <w:rPr>
          <w:rFonts w:hint="eastAsia"/>
          <w:sz w:val="24"/>
          <w:szCs w:val="24"/>
        </w:rPr>
        <w:t>‑</w:t>
      </w:r>
      <w:r w:rsidRPr="00113F4C">
        <w:rPr>
          <w:sz w:val="24"/>
          <w:szCs w:val="24"/>
        </w:rPr>
        <w:t>behandlede</w:t>
      </w:r>
      <w:r>
        <w:rPr>
          <w:sz w:val="24"/>
          <w:szCs w:val="24"/>
        </w:rPr>
        <w:t xml:space="preserve"> </w:t>
      </w:r>
      <w:r w:rsidRPr="00113F4C">
        <w:rPr>
          <w:sz w:val="24"/>
          <w:szCs w:val="24"/>
        </w:rPr>
        <w:t>patienter, som fik dosen p</w:t>
      </w:r>
      <w:r w:rsidRPr="00113F4C">
        <w:rPr>
          <w:rFonts w:hint="eastAsia"/>
          <w:sz w:val="24"/>
          <w:szCs w:val="24"/>
        </w:rPr>
        <w:t>å</w:t>
      </w:r>
      <w:r w:rsidRPr="00113F4C">
        <w:rPr>
          <w:sz w:val="24"/>
          <w:szCs w:val="24"/>
        </w:rPr>
        <w:t xml:space="preserve"> 5 mg 2 gange daglig, hos ingen af patienterne, som fik dosen p</w:t>
      </w:r>
      <w:r w:rsidRPr="00113F4C">
        <w:rPr>
          <w:rFonts w:hint="eastAsia"/>
          <w:sz w:val="24"/>
          <w:szCs w:val="24"/>
        </w:rPr>
        <w:t>å</w:t>
      </w:r>
      <w:r w:rsidRPr="00113F4C">
        <w:rPr>
          <w:sz w:val="24"/>
          <w:szCs w:val="24"/>
        </w:rPr>
        <w:t xml:space="preserve"> 2,5 mg 2 gange daglig, og hos 1 (0,1 %) af patienterne, som fik placebo.</w:t>
      </w:r>
    </w:p>
    <w:p w14:paraId="2B859C40" w14:textId="77777777" w:rsidR="005555A4" w:rsidRPr="00113F4C" w:rsidRDefault="005555A4" w:rsidP="005555A4">
      <w:pPr>
        <w:suppressAutoHyphens/>
        <w:ind w:left="851"/>
        <w:rPr>
          <w:sz w:val="24"/>
          <w:szCs w:val="24"/>
        </w:rPr>
      </w:pPr>
    </w:p>
    <w:p w14:paraId="3FC7FD9F" w14:textId="77777777" w:rsidR="005555A4" w:rsidRPr="00113F4C" w:rsidRDefault="005555A4" w:rsidP="005555A4">
      <w:pPr>
        <w:suppressAutoHyphens/>
        <w:ind w:left="851"/>
        <w:rPr>
          <w:sz w:val="24"/>
          <w:szCs w:val="24"/>
          <w:u w:val="single"/>
        </w:rPr>
      </w:pPr>
      <w:r w:rsidRPr="00113F4C">
        <w:rPr>
          <w:sz w:val="24"/>
          <w:szCs w:val="24"/>
          <w:u w:val="single"/>
        </w:rPr>
        <w:t>P</w:t>
      </w:r>
      <w:r w:rsidRPr="00113F4C">
        <w:rPr>
          <w:rFonts w:hint="eastAsia"/>
          <w:sz w:val="24"/>
          <w:szCs w:val="24"/>
          <w:u w:val="single"/>
        </w:rPr>
        <w:t>æ</w:t>
      </w:r>
      <w:r w:rsidRPr="00113F4C">
        <w:rPr>
          <w:sz w:val="24"/>
          <w:szCs w:val="24"/>
          <w:u w:val="single"/>
        </w:rPr>
        <w:t>diatrisk population</w:t>
      </w:r>
    </w:p>
    <w:p w14:paraId="76598357" w14:textId="77777777" w:rsidR="005555A4" w:rsidRPr="00113F4C" w:rsidRDefault="005555A4" w:rsidP="005555A4">
      <w:pPr>
        <w:suppressAutoHyphens/>
        <w:ind w:left="851"/>
        <w:rPr>
          <w:sz w:val="24"/>
          <w:szCs w:val="24"/>
        </w:rPr>
      </w:pPr>
      <w:r w:rsidRPr="00113F4C">
        <w:rPr>
          <w:sz w:val="24"/>
          <w:szCs w:val="24"/>
        </w:rPr>
        <w:t>Det Europ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iske L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gemiddelagentur har udsat forpligtelsen til at freml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gge resultaterne af studier</w:t>
      </w:r>
      <w:r>
        <w:rPr>
          <w:sz w:val="24"/>
          <w:szCs w:val="24"/>
        </w:rPr>
        <w:t xml:space="preserve"> </w:t>
      </w:r>
      <w:r w:rsidRPr="00113F4C">
        <w:rPr>
          <w:sz w:val="24"/>
          <w:szCs w:val="24"/>
        </w:rPr>
        <w:t>med referencelægemidlet, der indeholder apixaban i en eller flere undergrupper af den p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diatriske population for ven</w:t>
      </w:r>
      <w:r w:rsidRPr="00113F4C">
        <w:rPr>
          <w:rFonts w:hint="eastAsia"/>
          <w:sz w:val="24"/>
          <w:szCs w:val="24"/>
        </w:rPr>
        <w:t>ø</w:t>
      </w:r>
      <w:r w:rsidRPr="00113F4C">
        <w:rPr>
          <w:sz w:val="24"/>
          <w:szCs w:val="24"/>
        </w:rPr>
        <w:t>s og arteriel emboli og trombose (se pkt. 4.2 for oplysninger om p</w:t>
      </w:r>
      <w:r w:rsidRPr="00113F4C">
        <w:rPr>
          <w:rFonts w:hint="eastAsia"/>
          <w:sz w:val="24"/>
          <w:szCs w:val="24"/>
        </w:rPr>
        <w:t>æ</w:t>
      </w:r>
      <w:r w:rsidRPr="00113F4C">
        <w:rPr>
          <w:sz w:val="24"/>
          <w:szCs w:val="24"/>
        </w:rPr>
        <w:t>diatrisk anvendelse).</w:t>
      </w:r>
    </w:p>
    <w:p w14:paraId="6310A4DA" w14:textId="77777777" w:rsidR="005555A4" w:rsidRDefault="005555A4" w:rsidP="005555A4">
      <w:pPr>
        <w:rPr>
          <w:sz w:val="22"/>
          <w:szCs w:val="22"/>
        </w:rPr>
      </w:pPr>
    </w:p>
    <w:p w14:paraId="10912FF7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  <w:t>Farmakokinetiske egenskaber</w:t>
      </w:r>
    </w:p>
    <w:p w14:paraId="2CE9D85F" w14:textId="77777777" w:rsidR="005555A4" w:rsidRPr="009444C1" w:rsidRDefault="005555A4" w:rsidP="005555A4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21E6C7C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Absorption</w:t>
      </w:r>
    </w:p>
    <w:p w14:paraId="04349ED4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Den absolutte biotilg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ngelighed for apixaban er ca. 50 % ved en dosis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op til 10 mg. Apixaban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absorberes hurtigt, og den maksimale koncentration (C</w:t>
      </w:r>
      <w:r w:rsidRPr="009444C1">
        <w:rPr>
          <w:sz w:val="24"/>
          <w:szCs w:val="24"/>
          <w:vertAlign w:val="subscript"/>
        </w:rPr>
        <w:t>max</w:t>
      </w:r>
      <w:r w:rsidRPr="009444C1">
        <w:rPr>
          <w:sz w:val="24"/>
          <w:szCs w:val="24"/>
        </w:rPr>
        <w:t>) opn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3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4 timer efter indtagelsen af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tabletten. Indtagelse af f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de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virker ikke apixabans AUC eller C</w:t>
      </w:r>
      <w:r w:rsidRPr="009444C1">
        <w:rPr>
          <w:sz w:val="24"/>
          <w:szCs w:val="24"/>
          <w:vertAlign w:val="subscript"/>
        </w:rPr>
        <w:t>max</w:t>
      </w:r>
      <w:r w:rsidRPr="009444C1">
        <w:rPr>
          <w:sz w:val="24"/>
          <w:szCs w:val="24"/>
        </w:rPr>
        <w:t xml:space="preserve"> efter en dosis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10 mg.</w:t>
      </w:r>
    </w:p>
    <w:p w14:paraId="71BDCCF5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 kan tages sammen med eller uden f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de.</w:t>
      </w:r>
    </w:p>
    <w:p w14:paraId="196CB7B6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AD07963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Apixabans farmakokinetik er tiln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rmelsesvis line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 med dosis proportionale stigninger i</w:t>
      </w:r>
    </w:p>
    <w:p w14:paraId="2ACDB49E" w14:textId="46558CD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 xml:space="preserve">eksponeringen til apixaban ved </w:t>
      </w:r>
      <w:r w:rsidR="008649F4">
        <w:rPr>
          <w:sz w:val="24"/>
          <w:szCs w:val="24"/>
        </w:rPr>
        <w:t xml:space="preserve">orale </w:t>
      </w:r>
      <w:r w:rsidRPr="009444C1">
        <w:rPr>
          <w:sz w:val="24"/>
          <w:szCs w:val="24"/>
        </w:rPr>
        <w:t>doser op til 10 mg. Ved doser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</w:t>
      </w:r>
      <w:r w:rsidRPr="009444C1">
        <w:rPr>
          <w:rFonts w:hint="eastAsia"/>
          <w:sz w:val="24"/>
          <w:szCs w:val="24"/>
        </w:rPr>
        <w:t>≥</w:t>
      </w:r>
      <w:r w:rsidRPr="009444C1">
        <w:rPr>
          <w:sz w:val="24"/>
          <w:szCs w:val="24"/>
        </w:rPr>
        <w:t xml:space="preserve"> 25 mg apixaban ses en faldende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biotilg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ngelighed for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rsaget af opl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sningsbegr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nset absorption. Variationen i apixabans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eksponeringsparameter er lav til moderat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20 % CV og ca. 30 % CV for henholdsvis den intraindividuelle og inter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individuelle variation.</w:t>
      </w:r>
    </w:p>
    <w:p w14:paraId="3096C95F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3B80F4A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Efter oral administration af 10 mg apixaban som 2 knuste 5 mg tabletter opl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st i 30 ml vand var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eksponeringen sammenlignelig med eksponeringen efter oral administration af 2 hele 5 mg tabletter.</w:t>
      </w:r>
    </w:p>
    <w:p w14:paraId="672F5230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 xml:space="preserve">Efter oral administration af 10 mg apixaban som 2 knuste 5 mg tabletter med 30 g 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blemos var C</w:t>
      </w:r>
      <w:r w:rsidRPr="009444C1">
        <w:rPr>
          <w:sz w:val="24"/>
          <w:szCs w:val="24"/>
          <w:vertAlign w:val="subscript"/>
        </w:rPr>
        <w:t>max</w:t>
      </w:r>
      <w:r>
        <w:rPr>
          <w:sz w:val="24"/>
          <w:szCs w:val="24"/>
          <w:vertAlign w:val="subscript"/>
        </w:rPr>
        <w:t xml:space="preserve"> </w:t>
      </w:r>
      <w:r w:rsidRPr="009444C1">
        <w:rPr>
          <w:sz w:val="24"/>
          <w:szCs w:val="24"/>
        </w:rPr>
        <w:t>og AUC henholdsvis 21 % og 16 % lavere sammenlignet med administration af 2 hele 5 mg tabletter.</w:t>
      </w:r>
    </w:p>
    <w:p w14:paraId="1D70E025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Den nedsatte eksponering anses ikke for klinisk relevant.</w:t>
      </w:r>
    </w:p>
    <w:p w14:paraId="0E53A3B7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39BC66C4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Efter administration af en knust 5 mg apixaban tablet opl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st i 60 ml G5W og indgivet via nasogastrisk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sonde var eksponeringen sammenlignelig med eksponeringen observeret i andre kliniske studier med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gspersoner, der fik en 5 mg apixaban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tablet som oral enkeltdosis.</w:t>
      </w:r>
    </w:p>
    <w:p w14:paraId="0BBF4B64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4BBFB2B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grund af apixabans forudsigelige dosisproportionelle farmakokinetiske profil er resultaterne for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biotilg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ngelighed fra de udf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rte studier ogs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g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ldende ved lavere apixaban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doser.</w:t>
      </w:r>
    </w:p>
    <w:p w14:paraId="7A9F712A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1C56293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Fordeling</w:t>
      </w:r>
    </w:p>
    <w:p w14:paraId="1C63873B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Plasmaproteinbindingen hos mennesker er ca. 87 %. Fordelingsvolumen (Vss) er ca. 21 l.</w:t>
      </w:r>
    </w:p>
    <w:p w14:paraId="3147B681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7314510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Biotransformation and elimination</w:t>
      </w:r>
    </w:p>
    <w:p w14:paraId="28333441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 har flere udskillelsesveje. Af en apixabandosis administreret til mennesker bliver ca. 25 %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udskilt som metabolitter, hvoraf det meste bliver udskilt med f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ces. Den renale udskillelse af apixaban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er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27 % af total clearance. I kliniske og non-kliniske studier er det endvidere set at apixaban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udskilles via galden og gennem intestinalekskretion.</w:t>
      </w:r>
    </w:p>
    <w:p w14:paraId="4F68795B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604666E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Apixaban har en total clearance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3,3 liter/time og en halveringstid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ca. 12 timer.</w:t>
      </w:r>
    </w:p>
    <w:p w14:paraId="21DA8A04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7ED7F43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Biotransformationen finder hovedsageligt sted ved O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demethylering og hydroxylering</w:t>
      </w:r>
    </w:p>
    <w:p w14:paraId="4D3815F0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af 3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oxopiperidinyl-delen. Apixaban metaboliseres hovedsageligt via CYP3A4/5 og i mindre grad via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CYP1A2, 2C8, 2C9, 2C19 og 2J2. Uomdannet apixaban er den prim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re aktive substans i humant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plasma, idet der ikke findes nogen aktive cirkulerende metabolitter. Apixaban er et substrat for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transportproteinerne P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gp og brystcancer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resistensprotein (BCRP).</w:t>
      </w:r>
    </w:p>
    <w:p w14:paraId="7BAE87E7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1A0A273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rFonts w:hint="eastAsia"/>
          <w:sz w:val="24"/>
          <w:szCs w:val="24"/>
          <w:u w:val="single"/>
        </w:rPr>
        <w:t>Æ</w:t>
      </w:r>
      <w:r w:rsidRPr="009444C1">
        <w:rPr>
          <w:sz w:val="24"/>
          <w:szCs w:val="24"/>
          <w:u w:val="single"/>
        </w:rPr>
        <w:t>ldre</w:t>
      </w:r>
    </w:p>
    <w:p w14:paraId="3A850798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 xml:space="preserve">ldre patienter (over 65 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r) udviste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plasmakoncentrationer end yngre patienter, idet deres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gennemsnitlige AUC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rdier var cirka 32 %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uden nogen forskel i C</w:t>
      </w:r>
      <w:r w:rsidRPr="009444C1">
        <w:rPr>
          <w:sz w:val="24"/>
          <w:szCs w:val="24"/>
          <w:vertAlign w:val="subscript"/>
        </w:rPr>
        <w:t>max</w:t>
      </w:r>
      <w:r w:rsidRPr="009444C1">
        <w:rPr>
          <w:sz w:val="24"/>
          <w:szCs w:val="24"/>
        </w:rPr>
        <w:t>.</w:t>
      </w:r>
    </w:p>
    <w:p w14:paraId="1C8128C3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20592D0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Nedsat nyrefunktion</w:t>
      </w:r>
    </w:p>
    <w:p w14:paraId="4ADE0476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Der var ingen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virkning af nedsat nyrefunktion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den maksimale koncentration af apixaban.</w:t>
      </w:r>
    </w:p>
    <w:p w14:paraId="425E06F9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Stigning i eksponeringen til apixaban var korreleret til reduktionen i nyrefunktionen (vurderet ved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m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ling af kreatininclearance). Hos personer med mild (kreatininclearance </w:t>
      </w:r>
      <w:r w:rsidRPr="009444C1">
        <w:rPr>
          <w:sz w:val="24"/>
          <w:szCs w:val="24"/>
        </w:rPr>
        <w:lastRenderedPageBreak/>
        <w:t>51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80 ml/min.), moderat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(kreatininclearance 30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50 ml/min.) og 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rt (kreatininclearance 15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29 ml/min.) nedsat nyrefunktion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en stigning i plasmakoncentrationerne af apixaban (AUC)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henholdsvis 16, 29 og 44 %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sammenlignet med personer med normal kreatininclearance. Nedsat nyrefunktion havde ingen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indflydelse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forholdet mellem apixabans plasmakoncentrationer og anti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FXa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aktiviteten.</w:t>
      </w:r>
    </w:p>
    <w:p w14:paraId="2C3E4BB6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CEB4301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Hos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 xml:space="preserve">gspersoner med terminal nyresygdom (ESRD) blev apixabans AUC 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get med 36 %, n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 5 mg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apixaban som enkeltdosis blev administreret umiddelbart efter h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modialyse, sammenlignet med AUC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hos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 med normal nyrefunktion. H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modialyse, som blev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begyndt to timer efter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administration af en enkelt dosis apixaban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5 mg, reducerede apixabans AUC med 14 % hos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 med terminal nyresygdom, hvilket svarer til en dialyseclearance for apixaban p</w:t>
      </w:r>
      <w:r w:rsidRPr="009444C1">
        <w:rPr>
          <w:rFonts w:hint="eastAsia"/>
          <w:sz w:val="24"/>
          <w:szCs w:val="24"/>
        </w:rPr>
        <w:t>å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18 ml/min. Derfor er h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modialyse sandsynligvis ikke en effektiv metode til behandling af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overdosering med apixaban.</w:t>
      </w:r>
    </w:p>
    <w:p w14:paraId="18767EEB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4EFB319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Nedsat leverfunktion</w:t>
      </w:r>
    </w:p>
    <w:p w14:paraId="4AB682A0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I et studie, hvor 8 patienter med let nedsat leverfunktion, Child Pugh A score 5 (n = 6) og score 6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(n = 2), og 8 patienter med moderat nedsat leverfunktion, Child Pugh B score 7 (n = 6) og score 8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(n = 2), blev sammenlignet med 16 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 xml:space="preserve">gspersoner, blev der ikke set nogen 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ndring i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farmakokinetik og farmakodynamik ved engangsdosering af apixaban 5 mg hos patienter med nedsat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 xml:space="preserve">leverfunktion. 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ndringer i anti-faktor Xa-aktivitet og INR var sammenlignelige mellem gruppen af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patienter med mild til moderat nedsat leverfunktion og gruppen af 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gspersoner.</w:t>
      </w:r>
    </w:p>
    <w:p w14:paraId="56BE04F9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2D19DEC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K</w:t>
      </w:r>
      <w:r w:rsidRPr="009444C1">
        <w:rPr>
          <w:rFonts w:hint="eastAsia"/>
          <w:sz w:val="24"/>
          <w:szCs w:val="24"/>
          <w:u w:val="single"/>
        </w:rPr>
        <w:t>ø</w:t>
      </w:r>
      <w:r w:rsidRPr="009444C1">
        <w:rPr>
          <w:sz w:val="24"/>
          <w:szCs w:val="24"/>
          <w:u w:val="single"/>
        </w:rPr>
        <w:t>n</w:t>
      </w:r>
    </w:p>
    <w:p w14:paraId="4EA43BED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Eksponering til apixaban var ca. 18 %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hos kvinder end hos m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nd.</w:t>
      </w:r>
    </w:p>
    <w:p w14:paraId="0D9BE119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0172212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Etnisk oprindelse og race</w:t>
      </w:r>
    </w:p>
    <w:p w14:paraId="0282E9E7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Resultater fra fase I-studier viste ingen tydelige forskelle mellem hvide/kaukasiske, asiater og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sorte/afroamerikanske patienter, hvad ang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r apixabans farmakokinetik. Fund fra en</w:t>
      </w:r>
    </w:p>
    <w:p w14:paraId="735402D4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populationsfarmakokinetisk analyse af patienter, som fik apixaban stemmer generelt overens med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resultater fra fase I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studiet.</w:t>
      </w:r>
    </w:p>
    <w:p w14:paraId="78FD7CE5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FAD541B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Legemsv</w:t>
      </w:r>
      <w:r w:rsidRPr="009444C1">
        <w:rPr>
          <w:rFonts w:hint="eastAsia"/>
          <w:sz w:val="24"/>
          <w:szCs w:val="24"/>
          <w:u w:val="single"/>
        </w:rPr>
        <w:t>æ</w:t>
      </w:r>
      <w:r w:rsidRPr="009444C1">
        <w:rPr>
          <w:sz w:val="24"/>
          <w:szCs w:val="24"/>
          <w:u w:val="single"/>
        </w:rPr>
        <w:t>gt</w:t>
      </w:r>
    </w:p>
    <w:p w14:paraId="27804D7A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Sammenlignet med eksponering til apixaban hos personer med legemsv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gt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65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85 kg, 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en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ca. 30 % lavere eksponering hos personer med legemsv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gt 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&gt; 120 kg, og ved legemsv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gt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 xml:space="preserve"> &lt; 50 kg s</w:t>
      </w:r>
      <w:r w:rsidRPr="009444C1">
        <w:rPr>
          <w:rFonts w:hint="eastAsia"/>
          <w:sz w:val="24"/>
          <w:szCs w:val="24"/>
        </w:rPr>
        <w:t>å</w:t>
      </w:r>
      <w:r w:rsidRPr="009444C1">
        <w:rPr>
          <w:sz w:val="24"/>
          <w:szCs w:val="24"/>
        </w:rPr>
        <w:t>s en ca. 30 % h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jere eksponering.</w:t>
      </w:r>
    </w:p>
    <w:p w14:paraId="0029079B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1158752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44C1">
        <w:rPr>
          <w:sz w:val="24"/>
          <w:szCs w:val="24"/>
          <w:u w:val="single"/>
        </w:rPr>
        <w:t>Farmakokinetiske/farmakodynamiske forhold</w:t>
      </w:r>
    </w:p>
    <w:p w14:paraId="71F52F9A" w14:textId="77777777" w:rsidR="005555A4" w:rsidRPr="009444C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9444C1">
        <w:rPr>
          <w:sz w:val="24"/>
          <w:szCs w:val="24"/>
        </w:rPr>
        <w:t>Det farmakokinetiske/farmakodynamiske forhold (PK/PD) mellem apixabans plasmakoncentrationer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og forskellige PD-endepunkter (anti-FXa-aktivitet, INR, PT, aPTT) er blevet evalueret efter indgivelse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 xml:space="preserve">i et bredt dosisinterval (0,5 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 xml:space="preserve"> 50 mg). Forholdet mellem plasmakoncentrationen af apixaban og anti-Faktor Xa-aktiviteten blev bedst beskrevet ved en line</w:t>
      </w:r>
      <w:r w:rsidRPr="009444C1">
        <w:rPr>
          <w:rFonts w:hint="eastAsia"/>
          <w:sz w:val="24"/>
          <w:szCs w:val="24"/>
        </w:rPr>
        <w:t>æ</w:t>
      </w:r>
      <w:r w:rsidRPr="009444C1">
        <w:rPr>
          <w:sz w:val="24"/>
          <w:szCs w:val="24"/>
        </w:rPr>
        <w:t>r model. Resultaterne af PK/PD</w:t>
      </w:r>
      <w:r w:rsidRPr="009444C1">
        <w:rPr>
          <w:rFonts w:hint="eastAsia"/>
          <w:sz w:val="24"/>
          <w:szCs w:val="24"/>
        </w:rPr>
        <w:t>‑</w:t>
      </w:r>
      <w:r w:rsidRPr="009444C1">
        <w:rPr>
          <w:sz w:val="24"/>
          <w:szCs w:val="24"/>
        </w:rPr>
        <w:t>forholdet hos</w:t>
      </w:r>
      <w:r>
        <w:rPr>
          <w:sz w:val="24"/>
          <w:szCs w:val="24"/>
        </w:rPr>
        <w:t xml:space="preserve"> </w:t>
      </w:r>
      <w:r w:rsidRPr="009444C1">
        <w:rPr>
          <w:sz w:val="24"/>
          <w:szCs w:val="24"/>
        </w:rPr>
        <w:t>patienter er i overensstemmelse med resultatet hos raske fors</w:t>
      </w:r>
      <w:r w:rsidRPr="009444C1">
        <w:rPr>
          <w:rFonts w:hint="eastAsia"/>
          <w:sz w:val="24"/>
          <w:szCs w:val="24"/>
        </w:rPr>
        <w:t>ø</w:t>
      </w:r>
      <w:r w:rsidRPr="009444C1">
        <w:rPr>
          <w:sz w:val="24"/>
          <w:szCs w:val="24"/>
        </w:rPr>
        <w:t>gspersoner.</w:t>
      </w:r>
    </w:p>
    <w:p w14:paraId="663014DD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D9D4E1B" w14:textId="4D141BB0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0B6798">
        <w:rPr>
          <w:b/>
          <w:sz w:val="24"/>
          <w:szCs w:val="24"/>
        </w:rPr>
        <w:t>Non-</w:t>
      </w:r>
      <w:r>
        <w:rPr>
          <w:b/>
          <w:sz w:val="24"/>
          <w:szCs w:val="24"/>
        </w:rPr>
        <w:t>kliniske sikkerhedsdata</w:t>
      </w:r>
    </w:p>
    <w:p w14:paraId="76CA4A41" w14:textId="586F537B" w:rsidR="005555A4" w:rsidRPr="00556718" w:rsidRDefault="00DC76EB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Præk</w:t>
      </w:r>
      <w:r w:rsidR="005555A4" w:rsidRPr="00556718">
        <w:rPr>
          <w:sz w:val="24"/>
          <w:szCs w:val="24"/>
        </w:rPr>
        <w:t>liniske data viser ingen speciel risiko for mennesker vurderet ud fra konventionelle studier af</w:t>
      </w:r>
      <w:r w:rsidR="005555A4">
        <w:rPr>
          <w:sz w:val="24"/>
          <w:szCs w:val="24"/>
        </w:rPr>
        <w:t xml:space="preserve"> </w:t>
      </w:r>
      <w:r w:rsidR="005555A4" w:rsidRPr="00556718">
        <w:rPr>
          <w:sz w:val="24"/>
          <w:szCs w:val="24"/>
        </w:rPr>
        <w:t>sikkerhedsfarmakologi, toksicitet efter gentagne doser, genotoksicitet, karcinogent potentiale,</w:t>
      </w:r>
      <w:r w:rsidR="005555A4">
        <w:rPr>
          <w:sz w:val="24"/>
          <w:szCs w:val="24"/>
        </w:rPr>
        <w:t xml:space="preserve"> </w:t>
      </w:r>
      <w:r w:rsidR="005555A4" w:rsidRPr="00556718">
        <w:rPr>
          <w:sz w:val="24"/>
          <w:szCs w:val="24"/>
        </w:rPr>
        <w:t>reproduktionstoksicitet og udvikling og toksicitet hos unge.</w:t>
      </w:r>
    </w:p>
    <w:p w14:paraId="498FA7C2" w14:textId="77777777" w:rsidR="005555A4" w:rsidRPr="005567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72398F7" w14:textId="41E275AB" w:rsidR="005555A4" w:rsidRPr="005567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556718">
        <w:rPr>
          <w:sz w:val="24"/>
          <w:szCs w:val="24"/>
        </w:rPr>
        <w:lastRenderedPageBreak/>
        <w:t>De mest betydningsfulde effekter i unders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gelser af toksicitet efter gentagne doser var relateret til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apixabans farmakodynamiske virkning p</w:t>
      </w:r>
      <w:r w:rsidRPr="00556718">
        <w:rPr>
          <w:rFonts w:hint="eastAsia"/>
          <w:sz w:val="24"/>
          <w:szCs w:val="24"/>
        </w:rPr>
        <w:t>å</w:t>
      </w:r>
      <w:r w:rsidRPr="00556718">
        <w:rPr>
          <w:sz w:val="24"/>
          <w:szCs w:val="24"/>
        </w:rPr>
        <w:t xml:space="preserve"> blodkoagulationsparametre. I toksicitetsstudier blev der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p</w:t>
      </w:r>
      <w:r w:rsidRPr="00556718">
        <w:rPr>
          <w:rFonts w:hint="eastAsia"/>
          <w:sz w:val="24"/>
          <w:szCs w:val="24"/>
        </w:rPr>
        <w:t>å</w:t>
      </w:r>
      <w:r w:rsidRPr="00556718">
        <w:rPr>
          <w:sz w:val="24"/>
          <w:szCs w:val="24"/>
        </w:rPr>
        <w:t xml:space="preserve">vist ringe eller ingen 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get bl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dningstendens. Da dette imidlertid kan skyldes en lavere sensitivitet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hos de pr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>kliniske arter sammenlignet med mennesker, b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r dette resultat tolkes med forsigtighed, n</w:t>
      </w:r>
      <w:r w:rsidRPr="00556718">
        <w:rPr>
          <w:rFonts w:hint="eastAsia"/>
          <w:sz w:val="24"/>
          <w:szCs w:val="24"/>
        </w:rPr>
        <w:t>å</w:t>
      </w:r>
      <w:r w:rsidRPr="00556718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det ekstrapoleres til mennesker.</w:t>
      </w:r>
    </w:p>
    <w:p w14:paraId="1BB00D41" w14:textId="77777777" w:rsidR="005555A4" w:rsidRPr="005567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BF94211" w14:textId="77777777" w:rsidR="005555A4" w:rsidRPr="00556718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556718">
        <w:rPr>
          <w:sz w:val="24"/>
          <w:szCs w:val="24"/>
        </w:rPr>
        <w:t>I rottem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 xml:space="preserve">lk blev der set </w:t>
      </w:r>
      <w:proofErr w:type="gramStart"/>
      <w:r w:rsidRPr="00556718">
        <w:rPr>
          <w:sz w:val="24"/>
          <w:szCs w:val="24"/>
        </w:rPr>
        <w:t>et h</w:t>
      </w:r>
      <w:r w:rsidRPr="00556718">
        <w:rPr>
          <w:rFonts w:hint="eastAsia"/>
          <w:sz w:val="24"/>
          <w:szCs w:val="24"/>
        </w:rPr>
        <w:t>ø</w:t>
      </w:r>
      <w:r w:rsidRPr="00556718">
        <w:rPr>
          <w:sz w:val="24"/>
          <w:szCs w:val="24"/>
        </w:rPr>
        <w:t>jt m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>lk</w:t>
      </w:r>
      <w:proofErr w:type="gramEnd"/>
      <w:r w:rsidRPr="00556718">
        <w:rPr>
          <w:sz w:val="24"/>
          <w:szCs w:val="24"/>
        </w:rPr>
        <w:t>/maternal plasma</w:t>
      </w:r>
      <w:r w:rsidRPr="00556718">
        <w:rPr>
          <w:rFonts w:hint="eastAsia"/>
          <w:sz w:val="24"/>
          <w:szCs w:val="24"/>
        </w:rPr>
        <w:t>‑</w:t>
      </w:r>
      <w:r w:rsidRPr="00556718">
        <w:rPr>
          <w:sz w:val="24"/>
          <w:szCs w:val="24"/>
        </w:rPr>
        <w:t>ratio (C</w:t>
      </w:r>
      <w:r w:rsidRPr="00556718">
        <w:rPr>
          <w:sz w:val="24"/>
          <w:szCs w:val="24"/>
          <w:vertAlign w:val="subscript"/>
        </w:rPr>
        <w:t>max</w:t>
      </w:r>
      <w:r w:rsidRPr="00556718">
        <w:rPr>
          <w:sz w:val="24"/>
          <w:szCs w:val="24"/>
        </w:rPr>
        <w:t xml:space="preserve"> omkring 8, AUC omkring 30),</w:t>
      </w:r>
      <w:r>
        <w:rPr>
          <w:sz w:val="24"/>
          <w:szCs w:val="24"/>
        </w:rPr>
        <w:t xml:space="preserve"> </w:t>
      </w:r>
      <w:r w:rsidRPr="00556718">
        <w:rPr>
          <w:sz w:val="24"/>
          <w:szCs w:val="24"/>
        </w:rPr>
        <w:t>hvilket muligvis skyldes aktiv transport til moderm</w:t>
      </w:r>
      <w:r w:rsidRPr="00556718">
        <w:rPr>
          <w:rFonts w:hint="eastAsia"/>
          <w:sz w:val="24"/>
          <w:szCs w:val="24"/>
        </w:rPr>
        <w:t>æ</w:t>
      </w:r>
      <w:r w:rsidRPr="00556718">
        <w:rPr>
          <w:sz w:val="24"/>
          <w:szCs w:val="24"/>
        </w:rPr>
        <w:t>lken.</w:t>
      </w:r>
    </w:p>
    <w:p w14:paraId="34685CA5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2B6F0F2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5F4646EF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FARMACEUTISKE OPLYSNINGER</w:t>
      </w:r>
    </w:p>
    <w:p w14:paraId="261C228E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066725C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  <w:t>Hjælpestoffer</w:t>
      </w:r>
    </w:p>
    <w:p w14:paraId="153E05EC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775E1B0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F4505">
        <w:rPr>
          <w:sz w:val="24"/>
          <w:szCs w:val="24"/>
          <w:u w:val="single"/>
        </w:rPr>
        <w:t>Tabletkerne</w:t>
      </w:r>
    </w:p>
    <w:p w14:paraId="505FE432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F4505">
        <w:rPr>
          <w:sz w:val="24"/>
          <w:szCs w:val="24"/>
        </w:rPr>
        <w:t>Cellulose, mikrokrystalinsk</w:t>
      </w:r>
    </w:p>
    <w:p w14:paraId="09C2220B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F4505">
        <w:rPr>
          <w:sz w:val="24"/>
          <w:szCs w:val="24"/>
        </w:rPr>
        <w:t>Croscarmellosenatrium</w:t>
      </w:r>
    </w:p>
    <w:p w14:paraId="77A0A53B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Docusatnatrium</w:t>
      </w:r>
    </w:p>
    <w:p w14:paraId="68EFD333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 xml:space="preserve">Copolymer af polyvinylcaprolactam-polyvinylacetat-polyethylenglycol  </w:t>
      </w:r>
    </w:p>
    <w:p w14:paraId="538634A7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 xml:space="preserve">Magnesiumstearat </w:t>
      </w:r>
    </w:p>
    <w:p w14:paraId="5E9EBE70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</w:p>
    <w:p w14:paraId="0AFCAB61" w14:textId="67471FAE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  <w:lang w:val="fr-LU"/>
        </w:rPr>
      </w:pPr>
      <w:r w:rsidRPr="00BF4505">
        <w:rPr>
          <w:sz w:val="24"/>
          <w:szCs w:val="24"/>
          <w:u w:val="single"/>
          <w:lang w:val="fr-LU"/>
        </w:rPr>
        <w:t>Filmovertr</w:t>
      </w:r>
      <w:r w:rsidRPr="00BF4505">
        <w:rPr>
          <w:rFonts w:hint="eastAsia"/>
          <w:sz w:val="24"/>
          <w:szCs w:val="24"/>
          <w:u w:val="single"/>
          <w:lang w:val="fr-LU"/>
        </w:rPr>
        <w:t>æ</w:t>
      </w:r>
      <w:r w:rsidRPr="00BF4505">
        <w:rPr>
          <w:sz w:val="24"/>
          <w:szCs w:val="24"/>
          <w:u w:val="single"/>
          <w:lang w:val="fr-LU"/>
        </w:rPr>
        <w:t xml:space="preserve">k (opadry II </w:t>
      </w:r>
      <w:r w:rsidR="00F034DA">
        <w:rPr>
          <w:sz w:val="24"/>
          <w:szCs w:val="24"/>
          <w:u w:val="single"/>
          <w:lang w:val="fr-LU"/>
        </w:rPr>
        <w:t>lyserød</w:t>
      </w:r>
      <w:r w:rsidRPr="00BF4505">
        <w:rPr>
          <w:sz w:val="24"/>
          <w:szCs w:val="24"/>
          <w:u w:val="single"/>
          <w:lang w:val="fr-LU"/>
        </w:rPr>
        <w:t>)</w:t>
      </w:r>
    </w:p>
    <w:p w14:paraId="1A474FCE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Hypromellose 2910, 15mPas</w:t>
      </w:r>
    </w:p>
    <w:p w14:paraId="3CCD41B7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Lactosemonohydrat</w:t>
      </w:r>
    </w:p>
    <w:p w14:paraId="295EE5F2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Titandioxid (E171)</w:t>
      </w:r>
    </w:p>
    <w:p w14:paraId="38A82DEF" w14:textId="5BACCA7C" w:rsidR="005555A4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Macrogol 3350</w:t>
      </w:r>
    </w:p>
    <w:p w14:paraId="0EE0EC2A" w14:textId="27F654AF" w:rsidR="00AC6452" w:rsidRPr="00BF4505" w:rsidRDefault="00AC6452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>
        <w:rPr>
          <w:sz w:val="24"/>
          <w:szCs w:val="24"/>
          <w:lang w:val="fr-LU"/>
        </w:rPr>
        <w:t>Rød jernoxid (E172)</w:t>
      </w:r>
    </w:p>
    <w:p w14:paraId="26F70C6F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BF4505">
        <w:rPr>
          <w:sz w:val="24"/>
          <w:szCs w:val="24"/>
          <w:lang w:val="fr-LU"/>
        </w:rPr>
        <w:t>Gul jernoxid (E172)</w:t>
      </w:r>
    </w:p>
    <w:p w14:paraId="6EA4B34C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  <w:lang w:val="fr-LU"/>
        </w:rPr>
      </w:pPr>
    </w:p>
    <w:p w14:paraId="3F7F548F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  <w:t>Uforligeligheder</w:t>
      </w:r>
    </w:p>
    <w:p w14:paraId="12DBC5CC" w14:textId="77777777" w:rsidR="005555A4" w:rsidRPr="00BF4505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BF4505">
        <w:rPr>
          <w:sz w:val="24"/>
          <w:szCs w:val="24"/>
        </w:rPr>
        <w:t>Ikke relevant.</w:t>
      </w:r>
    </w:p>
    <w:p w14:paraId="143FE067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1909938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  <w:t>Opbevaringstid</w:t>
      </w:r>
    </w:p>
    <w:p w14:paraId="5352F653" w14:textId="77777777" w:rsidR="005555A4" w:rsidRPr="00850C0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 år.</w:t>
      </w:r>
      <w:r w:rsidRPr="00850C01">
        <w:rPr>
          <w:sz w:val="22"/>
          <w:szCs w:val="22"/>
          <w:lang w:eastAsia="fr-LU"/>
        </w:rPr>
        <w:t xml:space="preserve"> </w:t>
      </w:r>
    </w:p>
    <w:p w14:paraId="30C0A718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9D70E7F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  <w:t>Særlige opbevaringsforhold</w:t>
      </w:r>
    </w:p>
    <w:p w14:paraId="7A54029D" w14:textId="77777777" w:rsidR="005555A4" w:rsidRPr="003A3F36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3A3F36">
        <w:rPr>
          <w:sz w:val="24"/>
          <w:szCs w:val="24"/>
        </w:rPr>
        <w:t>Dette l</w:t>
      </w:r>
      <w:r w:rsidRPr="003A3F36">
        <w:rPr>
          <w:rFonts w:hint="eastAsia"/>
          <w:sz w:val="24"/>
          <w:szCs w:val="24"/>
        </w:rPr>
        <w:t>æ</w:t>
      </w:r>
      <w:r w:rsidRPr="003A3F36">
        <w:rPr>
          <w:sz w:val="24"/>
          <w:szCs w:val="24"/>
        </w:rPr>
        <w:t>gemiddel kr</w:t>
      </w:r>
      <w:r w:rsidRPr="003A3F36">
        <w:rPr>
          <w:rFonts w:hint="eastAsia"/>
          <w:sz w:val="24"/>
          <w:szCs w:val="24"/>
        </w:rPr>
        <w:t>æ</w:t>
      </w:r>
      <w:r w:rsidRPr="003A3F36">
        <w:rPr>
          <w:sz w:val="24"/>
          <w:szCs w:val="24"/>
        </w:rPr>
        <w:t>ver ingen s</w:t>
      </w:r>
      <w:r w:rsidRPr="003A3F36">
        <w:rPr>
          <w:rFonts w:hint="eastAsia"/>
          <w:sz w:val="24"/>
          <w:szCs w:val="24"/>
        </w:rPr>
        <w:t>æ</w:t>
      </w:r>
      <w:r w:rsidRPr="003A3F36">
        <w:rPr>
          <w:sz w:val="24"/>
          <w:szCs w:val="24"/>
        </w:rPr>
        <w:t>rlige forholdsregler vedr</w:t>
      </w:r>
      <w:r w:rsidRPr="003A3F36">
        <w:rPr>
          <w:rFonts w:hint="eastAsia"/>
          <w:sz w:val="24"/>
          <w:szCs w:val="24"/>
        </w:rPr>
        <w:t>ø</w:t>
      </w:r>
      <w:r w:rsidRPr="003A3F36">
        <w:rPr>
          <w:sz w:val="24"/>
          <w:szCs w:val="24"/>
        </w:rPr>
        <w:t>rende opbevaringen.</w:t>
      </w:r>
    </w:p>
    <w:p w14:paraId="03F53122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06A8EA2" w14:textId="1777081B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  <w:t>Emballagetype og pakningsstørrelser</w:t>
      </w:r>
    </w:p>
    <w:p w14:paraId="42EEE047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11ECE58" w14:textId="77777777" w:rsidR="005555A4" w:rsidRPr="003C65E9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C65E9">
        <w:rPr>
          <w:sz w:val="24"/>
          <w:szCs w:val="24"/>
          <w:u w:val="single"/>
        </w:rPr>
        <w:t>Alu</w:t>
      </w:r>
      <w:r w:rsidRPr="003C65E9">
        <w:rPr>
          <w:rFonts w:hint="eastAsia"/>
          <w:sz w:val="24"/>
          <w:szCs w:val="24"/>
          <w:u w:val="single"/>
        </w:rPr>
        <w:t>‑</w:t>
      </w:r>
      <w:r w:rsidRPr="003C65E9">
        <w:rPr>
          <w:sz w:val="24"/>
          <w:szCs w:val="24"/>
          <w:u w:val="single"/>
        </w:rPr>
        <w:t>PVC/PE/PVdC blisterpakning</w:t>
      </w:r>
    </w:p>
    <w:p w14:paraId="75DEFBE7" w14:textId="5178F41D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6B0099" w:rsidRPr="006B0099">
        <w:rPr>
          <w:sz w:val="24"/>
          <w:szCs w:val="24"/>
        </w:rPr>
        <w:t xml:space="preserve">14, 20, 28, 30, 56, 60, 100, 168 og 200 </w:t>
      </w:r>
      <w:r w:rsidRPr="00850C01">
        <w:rPr>
          <w:sz w:val="24"/>
          <w:szCs w:val="24"/>
        </w:rPr>
        <w:t>filmovertrukne tabletter</w:t>
      </w:r>
      <w:r>
        <w:rPr>
          <w:sz w:val="24"/>
          <w:szCs w:val="24"/>
        </w:rPr>
        <w:t>.</w:t>
      </w:r>
    </w:p>
    <w:p w14:paraId="0672C961" w14:textId="77777777" w:rsidR="005555A4" w:rsidRPr="00850C0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CA43679" w14:textId="77777777" w:rsidR="005555A4" w:rsidRPr="003C65E9" w:rsidRDefault="005555A4" w:rsidP="005555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C65E9">
        <w:rPr>
          <w:sz w:val="24"/>
          <w:szCs w:val="24"/>
          <w:u w:val="single"/>
        </w:rPr>
        <w:t>Alu-PVC/PE/PVdC perforeret enkeltdosisblister</w:t>
      </w:r>
    </w:p>
    <w:p w14:paraId="42CAAE8D" w14:textId="56098071" w:rsidR="005555A4" w:rsidRPr="00850C0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DE1B56" w:rsidRPr="00DE1B56">
        <w:rPr>
          <w:sz w:val="24"/>
          <w:szCs w:val="24"/>
        </w:rPr>
        <w:t>14</w:t>
      </w:r>
      <w:r w:rsidR="00DE1B56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1, 20</w:t>
      </w:r>
      <w:r w:rsidR="00DE1B56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, 28</w:t>
      </w:r>
      <w:r w:rsidR="00DE1B56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1, 30</w:t>
      </w:r>
      <w:r w:rsidR="00DE1B56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1, 56</w:t>
      </w:r>
      <w:r w:rsidR="00DE1B56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1, 60</w:t>
      </w:r>
      <w:r w:rsidR="00DE1B56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1, 100</w:t>
      </w:r>
      <w:r w:rsidR="004A7C54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1, 168</w:t>
      </w:r>
      <w:r w:rsidR="004A7C54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>1 og 200</w:t>
      </w:r>
      <w:r w:rsidR="004A7C54">
        <w:rPr>
          <w:sz w:val="24"/>
          <w:szCs w:val="24"/>
        </w:rPr>
        <w:t>×</w:t>
      </w:r>
      <w:r w:rsidR="00DE1B56" w:rsidRPr="00DE1B56">
        <w:rPr>
          <w:sz w:val="24"/>
          <w:szCs w:val="24"/>
        </w:rPr>
        <w:t xml:space="preserve">1 filmovertrukne </w:t>
      </w:r>
      <w:r w:rsidRPr="00850C01">
        <w:rPr>
          <w:sz w:val="24"/>
          <w:szCs w:val="24"/>
        </w:rPr>
        <w:t>tabletter.</w:t>
      </w:r>
    </w:p>
    <w:p w14:paraId="749734F4" w14:textId="77777777" w:rsidR="005555A4" w:rsidRPr="00850C0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67D77DC2" w14:textId="77777777" w:rsidR="005555A4" w:rsidRPr="00850C01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850C01">
        <w:rPr>
          <w:sz w:val="24"/>
          <w:szCs w:val="24"/>
        </w:rPr>
        <w:t>Ikke alle pakningsst</w:t>
      </w:r>
      <w:r w:rsidRPr="00850C01">
        <w:rPr>
          <w:rFonts w:hint="eastAsia"/>
          <w:sz w:val="24"/>
          <w:szCs w:val="24"/>
        </w:rPr>
        <w:t>ø</w:t>
      </w:r>
      <w:r w:rsidRPr="00850C01">
        <w:rPr>
          <w:sz w:val="24"/>
          <w:szCs w:val="24"/>
        </w:rPr>
        <w:t>rrelser er n</w:t>
      </w:r>
      <w:r w:rsidRPr="00850C01">
        <w:rPr>
          <w:rFonts w:hint="eastAsia"/>
          <w:sz w:val="24"/>
          <w:szCs w:val="24"/>
        </w:rPr>
        <w:t>ø</w:t>
      </w:r>
      <w:r w:rsidRPr="00850C01">
        <w:rPr>
          <w:sz w:val="24"/>
          <w:szCs w:val="24"/>
        </w:rPr>
        <w:t>dvendigvis markedsf</w:t>
      </w:r>
      <w:r w:rsidRPr="00850C01">
        <w:rPr>
          <w:rFonts w:hint="eastAsia"/>
          <w:sz w:val="24"/>
          <w:szCs w:val="24"/>
        </w:rPr>
        <w:t>ø</w:t>
      </w:r>
      <w:r w:rsidRPr="00850C01">
        <w:rPr>
          <w:sz w:val="24"/>
          <w:szCs w:val="24"/>
        </w:rPr>
        <w:t>rt.</w:t>
      </w:r>
    </w:p>
    <w:p w14:paraId="172BBB33" w14:textId="73413201" w:rsidR="004A7C54" w:rsidRDefault="004A7C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284242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03B95FBC" w14:textId="58F901EA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  <w:t xml:space="preserve">Regler for </w:t>
      </w:r>
      <w:r w:rsidR="000B6798">
        <w:rPr>
          <w:b/>
          <w:sz w:val="24"/>
          <w:szCs w:val="24"/>
        </w:rPr>
        <w:t>bortskaffelse</w:t>
      </w:r>
      <w:r>
        <w:rPr>
          <w:b/>
          <w:sz w:val="24"/>
          <w:szCs w:val="24"/>
        </w:rPr>
        <w:t xml:space="preserve"> og anden håndtering</w:t>
      </w:r>
    </w:p>
    <w:p w14:paraId="799A585B" w14:textId="77777777" w:rsidR="005555A4" w:rsidRPr="00D9167C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D9167C">
        <w:rPr>
          <w:sz w:val="24"/>
          <w:szCs w:val="24"/>
        </w:rPr>
        <w:t>Ingen særlige forholdsregler ved bortskaffelse.</w:t>
      </w:r>
    </w:p>
    <w:p w14:paraId="313C8994" w14:textId="77777777" w:rsidR="005555A4" w:rsidRPr="00D9167C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A76C99B" w14:textId="77777777" w:rsidR="005555A4" w:rsidRPr="00D9167C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D9167C">
        <w:rPr>
          <w:sz w:val="24"/>
          <w:szCs w:val="24"/>
        </w:rPr>
        <w:t>Ikke anvendt lægemiddel samt affald heraf skal bortskaffes i henhold til lokale retningslinjer.</w:t>
      </w:r>
    </w:p>
    <w:p w14:paraId="3A212D27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25CE1619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INDEHAVER AF MARKEDSFØRINGSTILLADELSEN</w:t>
      </w:r>
    </w:p>
    <w:p w14:paraId="6E328A41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 w:rsidRPr="00D9167C">
        <w:rPr>
          <w:sz w:val="24"/>
          <w:szCs w:val="24"/>
        </w:rPr>
        <w:t>STADA Arzneimittel AG</w:t>
      </w:r>
      <w:r w:rsidRPr="00D9167C">
        <w:rPr>
          <w:sz w:val="24"/>
          <w:szCs w:val="24"/>
        </w:rPr>
        <w:br/>
        <w:t>Stadastrasse 2-18</w:t>
      </w:r>
      <w:r w:rsidRPr="00D9167C">
        <w:rPr>
          <w:sz w:val="24"/>
          <w:szCs w:val="24"/>
        </w:rPr>
        <w:br/>
        <w:t>61118 Bad Vilbel</w:t>
      </w:r>
      <w:r w:rsidRPr="00D9167C">
        <w:rPr>
          <w:sz w:val="24"/>
          <w:szCs w:val="24"/>
        </w:rPr>
        <w:br/>
        <w:t>Tyskland</w:t>
      </w:r>
    </w:p>
    <w:p w14:paraId="23EEE344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1E9160BA" w14:textId="77777777" w:rsidR="005555A4" w:rsidRPr="002B129D" w:rsidRDefault="005555A4" w:rsidP="005555A4">
      <w:pPr>
        <w:tabs>
          <w:tab w:val="left" w:pos="851"/>
        </w:tabs>
        <w:ind w:left="851"/>
        <w:rPr>
          <w:b/>
          <w:sz w:val="24"/>
          <w:szCs w:val="24"/>
        </w:rPr>
      </w:pPr>
      <w:r w:rsidRPr="002B129D">
        <w:rPr>
          <w:b/>
          <w:sz w:val="24"/>
          <w:szCs w:val="24"/>
        </w:rPr>
        <w:t>Repræsentant</w:t>
      </w:r>
    </w:p>
    <w:p w14:paraId="4A387BD0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Stada Nordic ApS</w:t>
      </w:r>
    </w:p>
    <w:p w14:paraId="73F2B5E6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Marielundvej 46 A</w:t>
      </w:r>
    </w:p>
    <w:p w14:paraId="41392281" w14:textId="77777777" w:rsidR="005555A4" w:rsidRPr="00D9167C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2730 Herlev</w:t>
      </w:r>
    </w:p>
    <w:p w14:paraId="47ED82B5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7DBC3D68" w14:textId="63CB4A64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MARKEDSFØRINGSTILLADELSESNUMMER (</w:t>
      </w:r>
      <w:r w:rsidR="000B679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NUMRE)</w:t>
      </w:r>
    </w:p>
    <w:p w14:paraId="398CAEF3" w14:textId="37B71519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63562</w:t>
      </w:r>
    </w:p>
    <w:p w14:paraId="652076F8" w14:textId="77777777" w:rsidR="005555A4" w:rsidRDefault="005555A4" w:rsidP="005555A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980E801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DATO FOR FØRSTE MARKEDSFØRINGSTILLADELSE</w:t>
      </w:r>
    </w:p>
    <w:p w14:paraId="51513505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  <w:r>
        <w:t>2. februar 2022</w:t>
      </w:r>
    </w:p>
    <w:p w14:paraId="336BE5AC" w14:textId="77777777" w:rsidR="005555A4" w:rsidRDefault="005555A4" w:rsidP="005555A4">
      <w:pPr>
        <w:tabs>
          <w:tab w:val="left" w:pos="851"/>
        </w:tabs>
        <w:ind w:left="851"/>
        <w:rPr>
          <w:sz w:val="24"/>
          <w:szCs w:val="24"/>
        </w:rPr>
      </w:pPr>
    </w:p>
    <w:p w14:paraId="4D56BDB1" w14:textId="77777777" w:rsidR="005555A4" w:rsidRDefault="005555A4" w:rsidP="005555A4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DATO FOR ÆNDRING AF TEKSTEN</w:t>
      </w:r>
    </w:p>
    <w:p w14:paraId="1D9F4F14" w14:textId="54CA3189" w:rsidR="007C5D2A" w:rsidRPr="00F335F1" w:rsidRDefault="00E97412" w:rsidP="00F335F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</w:t>
      </w:r>
      <w:bookmarkStart w:id="1" w:name="_GoBack"/>
      <w:bookmarkEnd w:id="1"/>
      <w:r w:rsidR="003E4797">
        <w:rPr>
          <w:sz w:val="24"/>
          <w:szCs w:val="24"/>
        </w:rPr>
        <w:t xml:space="preserve">. </w:t>
      </w:r>
      <w:r w:rsidR="000B6798">
        <w:rPr>
          <w:sz w:val="24"/>
          <w:szCs w:val="24"/>
        </w:rPr>
        <w:t>december</w:t>
      </w:r>
      <w:r w:rsidR="003E4797">
        <w:rPr>
          <w:sz w:val="24"/>
          <w:szCs w:val="24"/>
        </w:rPr>
        <w:t xml:space="preserve"> 202</w:t>
      </w:r>
      <w:r w:rsidR="000B6798">
        <w:rPr>
          <w:sz w:val="24"/>
          <w:szCs w:val="24"/>
        </w:rPr>
        <w:t>3</w:t>
      </w:r>
    </w:p>
    <w:sectPr w:rsidR="007C5D2A" w:rsidRPr="00F335F1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F5BD" w14:textId="77777777" w:rsidR="008F37DC" w:rsidRDefault="008F37DC">
      <w:r>
        <w:separator/>
      </w:r>
    </w:p>
  </w:endnote>
  <w:endnote w:type="continuationSeparator" w:id="0">
    <w:p w14:paraId="6EABFADA" w14:textId="77777777" w:rsidR="008F37DC" w:rsidRDefault="008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BB2F" w14:textId="77777777" w:rsidR="008F37DC" w:rsidRDefault="008F37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76F2" w14:textId="77777777" w:rsidR="008F37DC" w:rsidRDefault="008F37DC">
    <w:pPr>
      <w:pStyle w:val="Sidefod"/>
      <w:pBdr>
        <w:bottom w:val="single" w:sz="6" w:space="1" w:color="auto"/>
      </w:pBdr>
    </w:pPr>
  </w:p>
  <w:p w14:paraId="3AA4EBDE" w14:textId="77777777" w:rsidR="008F37DC" w:rsidRDefault="008F37D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3F98833" w14:textId="2E8BEEBD" w:rsidR="008F37DC" w:rsidRDefault="008F37DC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Apixaban Stada, filmovertrukne tabletter 5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5A83" w14:textId="77777777" w:rsidR="008F37DC" w:rsidRDefault="008F37DC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1C924D5A" w14:textId="77777777" w:rsidR="008F37DC" w:rsidRDefault="008F37DC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33AE2F9E" w14:textId="006D8E7B" w:rsidR="008F37DC" w:rsidRDefault="008F37DC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Apixaban Stada, filmovertrukne tabletter 5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4030" w14:textId="77777777" w:rsidR="008F37DC" w:rsidRDefault="008F37DC">
      <w:r>
        <w:separator/>
      </w:r>
    </w:p>
  </w:footnote>
  <w:footnote w:type="continuationSeparator" w:id="0">
    <w:p w14:paraId="4F76C40A" w14:textId="77777777" w:rsidR="008F37DC" w:rsidRDefault="008F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EC69" w14:textId="77777777" w:rsidR="008F37DC" w:rsidRDefault="008F37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68D0" w14:textId="77777777" w:rsidR="008F37DC" w:rsidRDefault="008F37DC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8362" w14:textId="77777777" w:rsidR="008F37DC" w:rsidRDefault="008F37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53B5F"/>
    <w:multiLevelType w:val="hybridMultilevel"/>
    <w:tmpl w:val="F190C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B97"/>
    <w:multiLevelType w:val="hybridMultilevel"/>
    <w:tmpl w:val="AB36D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1F20"/>
    <w:multiLevelType w:val="hybridMultilevel"/>
    <w:tmpl w:val="AD762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128"/>
    <w:multiLevelType w:val="hybridMultilevel"/>
    <w:tmpl w:val="99FE3EA6"/>
    <w:lvl w:ilvl="0" w:tplc="7CCE5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D0ECA"/>
    <w:multiLevelType w:val="hybridMultilevel"/>
    <w:tmpl w:val="236C4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6C05"/>
    <w:multiLevelType w:val="hybridMultilevel"/>
    <w:tmpl w:val="92A2C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F46AA"/>
    <w:multiLevelType w:val="hybridMultilevel"/>
    <w:tmpl w:val="40E26CD4"/>
    <w:lvl w:ilvl="0" w:tplc="7CB0E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A489C"/>
    <w:multiLevelType w:val="hybridMultilevel"/>
    <w:tmpl w:val="A8B26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7C9"/>
    <w:multiLevelType w:val="hybridMultilevel"/>
    <w:tmpl w:val="BCBC1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3939C7"/>
    <w:multiLevelType w:val="hybridMultilevel"/>
    <w:tmpl w:val="8A489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05D60"/>
    <w:multiLevelType w:val="hybridMultilevel"/>
    <w:tmpl w:val="FB489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B647D8"/>
    <w:multiLevelType w:val="hybridMultilevel"/>
    <w:tmpl w:val="D51AD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B6267"/>
    <w:multiLevelType w:val="hybridMultilevel"/>
    <w:tmpl w:val="C714C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F230D"/>
    <w:multiLevelType w:val="hybridMultilevel"/>
    <w:tmpl w:val="9F98008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067AEF"/>
    <w:multiLevelType w:val="hybridMultilevel"/>
    <w:tmpl w:val="1166B38A"/>
    <w:lvl w:ilvl="0" w:tplc="7CB0E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26DED"/>
    <w:multiLevelType w:val="hybridMultilevel"/>
    <w:tmpl w:val="0B7ACCAA"/>
    <w:lvl w:ilvl="0" w:tplc="6C625B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1987"/>
    <w:multiLevelType w:val="hybridMultilevel"/>
    <w:tmpl w:val="0024A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242D3"/>
    <w:multiLevelType w:val="hybridMultilevel"/>
    <w:tmpl w:val="9AF65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24B57"/>
    <w:multiLevelType w:val="hybridMultilevel"/>
    <w:tmpl w:val="3B209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446A"/>
    <w:multiLevelType w:val="hybridMultilevel"/>
    <w:tmpl w:val="EE42E1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20F2F"/>
    <w:multiLevelType w:val="hybridMultilevel"/>
    <w:tmpl w:val="81A8A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2558"/>
    <w:multiLevelType w:val="hybridMultilevel"/>
    <w:tmpl w:val="C5FAA924"/>
    <w:lvl w:ilvl="0" w:tplc="276A7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A3AD1"/>
    <w:multiLevelType w:val="hybridMultilevel"/>
    <w:tmpl w:val="6C965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7" w15:restartNumberingAfterBreak="0">
    <w:nsid w:val="6BE633F1"/>
    <w:multiLevelType w:val="hybridMultilevel"/>
    <w:tmpl w:val="CBDC7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1743"/>
    <w:multiLevelType w:val="hybridMultilevel"/>
    <w:tmpl w:val="AE266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35C4A"/>
    <w:multiLevelType w:val="hybridMultilevel"/>
    <w:tmpl w:val="59D23D9E"/>
    <w:lvl w:ilvl="0" w:tplc="D2E8BDF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54B3C"/>
    <w:multiLevelType w:val="hybridMultilevel"/>
    <w:tmpl w:val="0E16D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619A"/>
    <w:multiLevelType w:val="hybridMultilevel"/>
    <w:tmpl w:val="F7701BDC"/>
    <w:lvl w:ilvl="0" w:tplc="2CB2F6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27CA4"/>
    <w:multiLevelType w:val="hybridMultilevel"/>
    <w:tmpl w:val="BA1AE6FC"/>
    <w:lvl w:ilvl="0" w:tplc="045236F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B3447"/>
    <w:multiLevelType w:val="hybridMultilevel"/>
    <w:tmpl w:val="9168E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1"/>
  </w:num>
  <w:num w:numId="5">
    <w:abstractNumId w:val="33"/>
  </w:num>
  <w:num w:numId="6">
    <w:abstractNumId w:val="12"/>
  </w:num>
  <w:num w:numId="7">
    <w:abstractNumId w:val="21"/>
  </w:num>
  <w:num w:numId="8">
    <w:abstractNumId w:val="13"/>
  </w:num>
  <w:num w:numId="9">
    <w:abstractNumId w:val="8"/>
  </w:num>
  <w:num w:numId="10">
    <w:abstractNumId w:val="25"/>
  </w:num>
  <w:num w:numId="11">
    <w:abstractNumId w:val="5"/>
  </w:num>
  <w:num w:numId="12">
    <w:abstractNumId w:val="7"/>
  </w:num>
  <w:num w:numId="13">
    <w:abstractNumId w:val="24"/>
  </w:num>
  <w:num w:numId="14">
    <w:abstractNumId w:val="4"/>
  </w:num>
  <w:num w:numId="15">
    <w:abstractNumId w:val="17"/>
  </w:num>
  <w:num w:numId="16">
    <w:abstractNumId w:val="14"/>
  </w:num>
  <w:num w:numId="17">
    <w:abstractNumId w:val="27"/>
  </w:num>
  <w:num w:numId="18">
    <w:abstractNumId w:val="19"/>
  </w:num>
  <w:num w:numId="19">
    <w:abstractNumId w:val="23"/>
  </w:num>
  <w:num w:numId="20">
    <w:abstractNumId w:val="3"/>
  </w:num>
  <w:num w:numId="21">
    <w:abstractNumId w:val="22"/>
  </w:num>
  <w:num w:numId="22">
    <w:abstractNumId w:val="18"/>
  </w:num>
  <w:num w:numId="23">
    <w:abstractNumId w:val="31"/>
  </w:num>
  <w:num w:numId="24">
    <w:abstractNumId w:val="29"/>
  </w:num>
  <w:num w:numId="25">
    <w:abstractNumId w:val="10"/>
  </w:num>
  <w:num w:numId="26">
    <w:abstractNumId w:val="32"/>
  </w:num>
  <w:num w:numId="27">
    <w:abstractNumId w:val="16"/>
  </w:num>
  <w:num w:numId="28">
    <w:abstractNumId w:val="28"/>
  </w:num>
  <w:num w:numId="29">
    <w:abstractNumId w:val="2"/>
  </w:num>
  <w:num w:numId="30">
    <w:abstractNumId w:val="9"/>
  </w:num>
  <w:num w:numId="31">
    <w:abstractNumId w:val="20"/>
  </w:num>
  <w:num w:numId="32">
    <w:abstractNumId w:val="15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71"/>
    <w:rsid w:val="000131AE"/>
    <w:rsid w:val="00056601"/>
    <w:rsid w:val="000B5CFE"/>
    <w:rsid w:val="000B6798"/>
    <w:rsid w:val="000C3846"/>
    <w:rsid w:val="000C6218"/>
    <w:rsid w:val="000D3C9D"/>
    <w:rsid w:val="000E65E5"/>
    <w:rsid w:val="000F0D47"/>
    <w:rsid w:val="001242DE"/>
    <w:rsid w:val="00174B18"/>
    <w:rsid w:val="00180A12"/>
    <w:rsid w:val="00214331"/>
    <w:rsid w:val="00214CF4"/>
    <w:rsid w:val="00224FC7"/>
    <w:rsid w:val="00281F03"/>
    <w:rsid w:val="0029458A"/>
    <w:rsid w:val="002A1587"/>
    <w:rsid w:val="002B27C5"/>
    <w:rsid w:val="002C779B"/>
    <w:rsid w:val="002D17E6"/>
    <w:rsid w:val="002F1F48"/>
    <w:rsid w:val="00303008"/>
    <w:rsid w:val="003134D0"/>
    <w:rsid w:val="003176DC"/>
    <w:rsid w:val="00353546"/>
    <w:rsid w:val="003541A1"/>
    <w:rsid w:val="003739F9"/>
    <w:rsid w:val="00373B55"/>
    <w:rsid w:val="00381501"/>
    <w:rsid w:val="00382F25"/>
    <w:rsid w:val="003A6781"/>
    <w:rsid w:val="003D727E"/>
    <w:rsid w:val="003E0341"/>
    <w:rsid w:val="003E3402"/>
    <w:rsid w:val="003E4797"/>
    <w:rsid w:val="003F4736"/>
    <w:rsid w:val="00401B49"/>
    <w:rsid w:val="00421F1C"/>
    <w:rsid w:val="0042292D"/>
    <w:rsid w:val="00436B9B"/>
    <w:rsid w:val="00440254"/>
    <w:rsid w:val="00440B83"/>
    <w:rsid w:val="004860D3"/>
    <w:rsid w:val="004A3BF4"/>
    <w:rsid w:val="004A3F71"/>
    <w:rsid w:val="004A41C6"/>
    <w:rsid w:val="004A55EF"/>
    <w:rsid w:val="004A5DB3"/>
    <w:rsid w:val="004A7C54"/>
    <w:rsid w:val="004C2FE7"/>
    <w:rsid w:val="004D5632"/>
    <w:rsid w:val="004F0176"/>
    <w:rsid w:val="004F0CE4"/>
    <w:rsid w:val="00510592"/>
    <w:rsid w:val="005152D9"/>
    <w:rsid w:val="00522D5F"/>
    <w:rsid w:val="00533AD4"/>
    <w:rsid w:val="00534849"/>
    <w:rsid w:val="0053509A"/>
    <w:rsid w:val="005555A4"/>
    <w:rsid w:val="00560102"/>
    <w:rsid w:val="00561F73"/>
    <w:rsid w:val="00562EA1"/>
    <w:rsid w:val="00566695"/>
    <w:rsid w:val="0059438B"/>
    <w:rsid w:val="005B4BFA"/>
    <w:rsid w:val="005B75A1"/>
    <w:rsid w:val="005C3C6F"/>
    <w:rsid w:val="005C4FB1"/>
    <w:rsid w:val="00602878"/>
    <w:rsid w:val="00617BB8"/>
    <w:rsid w:val="00621D48"/>
    <w:rsid w:val="006501F9"/>
    <w:rsid w:val="0066634A"/>
    <w:rsid w:val="00674B38"/>
    <w:rsid w:val="00680052"/>
    <w:rsid w:val="00683267"/>
    <w:rsid w:val="006844E9"/>
    <w:rsid w:val="006B0099"/>
    <w:rsid w:val="006B3847"/>
    <w:rsid w:val="006B51BF"/>
    <w:rsid w:val="006C1398"/>
    <w:rsid w:val="006C5547"/>
    <w:rsid w:val="00706104"/>
    <w:rsid w:val="00735396"/>
    <w:rsid w:val="0075453D"/>
    <w:rsid w:val="007A4CC6"/>
    <w:rsid w:val="007B4C5A"/>
    <w:rsid w:val="007C3623"/>
    <w:rsid w:val="007C5D2A"/>
    <w:rsid w:val="007E2F2C"/>
    <w:rsid w:val="007F1E00"/>
    <w:rsid w:val="007F521C"/>
    <w:rsid w:val="008400E3"/>
    <w:rsid w:val="00864538"/>
    <w:rsid w:val="008649F4"/>
    <w:rsid w:val="00873B4F"/>
    <w:rsid w:val="0088239F"/>
    <w:rsid w:val="0089048E"/>
    <w:rsid w:val="008B7A86"/>
    <w:rsid w:val="008D7F3A"/>
    <w:rsid w:val="008E51AE"/>
    <w:rsid w:val="008F2F8C"/>
    <w:rsid w:val="008F37DC"/>
    <w:rsid w:val="00975B4D"/>
    <w:rsid w:val="009925C9"/>
    <w:rsid w:val="009B225F"/>
    <w:rsid w:val="009D412F"/>
    <w:rsid w:val="00A179D0"/>
    <w:rsid w:val="00A25737"/>
    <w:rsid w:val="00A358A3"/>
    <w:rsid w:val="00A46747"/>
    <w:rsid w:val="00A80446"/>
    <w:rsid w:val="00A85D26"/>
    <w:rsid w:val="00A9153A"/>
    <w:rsid w:val="00AA54A4"/>
    <w:rsid w:val="00AB0713"/>
    <w:rsid w:val="00AB4376"/>
    <w:rsid w:val="00AB600E"/>
    <w:rsid w:val="00AB7A4F"/>
    <w:rsid w:val="00AC033C"/>
    <w:rsid w:val="00AC6452"/>
    <w:rsid w:val="00AD2E36"/>
    <w:rsid w:val="00AD7968"/>
    <w:rsid w:val="00AF2839"/>
    <w:rsid w:val="00B16B8C"/>
    <w:rsid w:val="00B5078F"/>
    <w:rsid w:val="00B56FE2"/>
    <w:rsid w:val="00BB7613"/>
    <w:rsid w:val="00BC1877"/>
    <w:rsid w:val="00BD3490"/>
    <w:rsid w:val="00BE6F0C"/>
    <w:rsid w:val="00BF3A9E"/>
    <w:rsid w:val="00C13845"/>
    <w:rsid w:val="00C14DC6"/>
    <w:rsid w:val="00C26226"/>
    <w:rsid w:val="00C27B82"/>
    <w:rsid w:val="00C3571D"/>
    <w:rsid w:val="00C42BC3"/>
    <w:rsid w:val="00C50A77"/>
    <w:rsid w:val="00C54F0B"/>
    <w:rsid w:val="00C70A2A"/>
    <w:rsid w:val="00C82621"/>
    <w:rsid w:val="00CB1423"/>
    <w:rsid w:val="00CD3BA6"/>
    <w:rsid w:val="00D02508"/>
    <w:rsid w:val="00D778CC"/>
    <w:rsid w:val="00D82FE9"/>
    <w:rsid w:val="00D85C71"/>
    <w:rsid w:val="00D97B77"/>
    <w:rsid w:val="00DB6130"/>
    <w:rsid w:val="00DB6A85"/>
    <w:rsid w:val="00DC22F9"/>
    <w:rsid w:val="00DC76EB"/>
    <w:rsid w:val="00DD3C62"/>
    <w:rsid w:val="00DE1B56"/>
    <w:rsid w:val="00DF6511"/>
    <w:rsid w:val="00E06B32"/>
    <w:rsid w:val="00E1290F"/>
    <w:rsid w:val="00E22E2E"/>
    <w:rsid w:val="00E36A80"/>
    <w:rsid w:val="00E44747"/>
    <w:rsid w:val="00E51618"/>
    <w:rsid w:val="00E642FF"/>
    <w:rsid w:val="00E66ACD"/>
    <w:rsid w:val="00E97412"/>
    <w:rsid w:val="00EB21D7"/>
    <w:rsid w:val="00EE3EB7"/>
    <w:rsid w:val="00EE6F13"/>
    <w:rsid w:val="00F034DA"/>
    <w:rsid w:val="00F335F1"/>
    <w:rsid w:val="00F46C28"/>
    <w:rsid w:val="00F57E16"/>
    <w:rsid w:val="00F60336"/>
    <w:rsid w:val="00F63626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F95A"/>
  <w15:chartTrackingRefBased/>
  <w15:docId w15:val="{E1285A18-0E49-4DE1-A6CE-702B09E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798"/>
    <w:rPr>
      <w:sz w:val="23"/>
    </w:rPr>
  </w:style>
  <w:style w:type="paragraph" w:styleId="Overskrift1">
    <w:name w:val="heading 1"/>
    <w:basedOn w:val="Normal"/>
    <w:next w:val="Normal"/>
    <w:link w:val="Overskrift1Tegn"/>
    <w:uiPriority w:val="9"/>
    <w:rsid w:val="00621D48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sz w:val="22"/>
      <w:szCs w:val="28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link w:val="Sidehove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link w:val="Sidefo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uiPriority w:val="99"/>
    <w:rsid w:val="00373B55"/>
  </w:style>
  <w:style w:type="character" w:styleId="Kommentarhenvisning">
    <w:name w:val="annotation reference"/>
    <w:basedOn w:val="Standardskrifttypeiafsnit"/>
    <w:uiPriority w:val="99"/>
    <w:rsid w:val="00373B55"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paragraph" w:styleId="Listeafsnit">
    <w:name w:val="List Paragraph"/>
    <w:basedOn w:val="Normal"/>
    <w:uiPriority w:val="34"/>
    <w:qFormat/>
    <w:rsid w:val="004F0176"/>
    <w:pPr>
      <w:ind w:left="720"/>
      <w:contextualSpacing/>
      <w:jc w:val="both"/>
    </w:pPr>
    <w:rPr>
      <w:rFonts w:ascii="Arial" w:eastAsiaTheme="minorHAnsi" w:hAnsi="Arial" w:cs="Arial"/>
      <w:sz w:val="22"/>
      <w:szCs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4F01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0176"/>
    <w:pPr>
      <w:widowControl w:val="0"/>
      <w:autoSpaceDE w:val="0"/>
      <w:autoSpaceDN w:val="0"/>
      <w:spacing w:before="5"/>
    </w:pPr>
    <w:rPr>
      <w:sz w:val="22"/>
      <w:szCs w:val="22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1D48"/>
    <w:rPr>
      <w:rFonts w:ascii="Arial" w:eastAsiaTheme="majorEastAsia" w:hAnsi="Arial" w:cstheme="majorBidi"/>
      <w:b/>
      <w:bCs/>
      <w:sz w:val="22"/>
      <w:szCs w:val="28"/>
      <w:lang w:val="en-GB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621D48"/>
    <w:rPr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621D48"/>
    <w:rPr>
      <w:sz w:val="24"/>
    </w:rPr>
  </w:style>
  <w:style w:type="character" w:styleId="Strk">
    <w:name w:val="Strong"/>
    <w:aliases w:val="Fließtext (2) + 9 pt"/>
    <w:basedOn w:val="Standardskrifttypeiafsnit"/>
    <w:uiPriority w:val="22"/>
    <w:qFormat/>
    <w:rsid w:val="00621D48"/>
    <w:rPr>
      <w:b/>
      <w:bCs/>
    </w:rPr>
  </w:style>
  <w:style w:type="paragraph" w:styleId="Korrektur">
    <w:name w:val="Revision"/>
    <w:hidden/>
    <w:uiPriority w:val="99"/>
    <w:semiHidden/>
    <w:rsid w:val="00621D48"/>
    <w:rPr>
      <w:rFonts w:ascii="Arial" w:eastAsiaTheme="minorHAnsi" w:hAnsi="Arial" w:cs="Arial"/>
      <w:sz w:val="22"/>
      <w:szCs w:val="22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5555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5555A4"/>
    <w:rPr>
      <w:rFonts w:cs="Times New Roman"/>
      <w:color w:val="0000FF"/>
      <w:u w:val="single"/>
    </w:rPr>
  </w:style>
  <w:style w:type="character" w:customStyle="1" w:styleId="Heading7Char">
    <w:name w:val="Heading 7 Char"/>
    <w:uiPriority w:val="99"/>
    <w:rsid w:val="005555A4"/>
    <w:rPr>
      <w:rFonts w:ascii="Calibri" w:hAnsi="Calibri"/>
      <w:snapToGrid w:val="0"/>
      <w:sz w:val="24"/>
      <w:lang w:val="en-GB"/>
    </w:rPr>
  </w:style>
  <w:style w:type="character" w:customStyle="1" w:styleId="BalloonTextChar">
    <w:name w:val="Balloon Text Char"/>
    <w:uiPriority w:val="99"/>
    <w:locked/>
    <w:rsid w:val="005555A4"/>
    <w:rPr>
      <w:rFonts w:ascii="Tahoma" w:hAnsi="Tahoma" w:cs="Times New Roman"/>
      <w:snapToGrid w:val="0"/>
      <w:sz w:val="16"/>
      <w:lang w:val="en-GB" w:eastAsia="en-US"/>
    </w:rPr>
  </w:style>
  <w:style w:type="character" w:customStyle="1" w:styleId="FooterChar">
    <w:name w:val="Footer Char"/>
    <w:uiPriority w:val="99"/>
    <w:rsid w:val="005555A4"/>
    <w:rPr>
      <w:snapToGrid w:val="0"/>
      <w:sz w:val="22"/>
      <w:lang w:val="en-GB"/>
    </w:rPr>
  </w:style>
  <w:style w:type="character" w:customStyle="1" w:styleId="HeaderChar">
    <w:name w:val="Header Char"/>
    <w:uiPriority w:val="99"/>
    <w:rsid w:val="005555A4"/>
    <w:rPr>
      <w:snapToGrid w:val="0"/>
      <w:sz w:val="22"/>
      <w:lang w:val="en-GB"/>
    </w:rPr>
  </w:style>
  <w:style w:type="paragraph" w:customStyle="1" w:styleId="TabletextrowsAgency">
    <w:name w:val="Table text rows (Agency)"/>
    <w:basedOn w:val="Normal"/>
    <w:uiPriority w:val="99"/>
    <w:rsid w:val="005555A4"/>
    <w:pPr>
      <w:spacing w:line="280" w:lineRule="exact"/>
    </w:pPr>
    <w:rPr>
      <w:rFonts w:ascii="Verdana" w:hAnsi="Verdana"/>
      <w:sz w:val="18"/>
      <w:lang w:val="fr-LU" w:eastAsia="fr-LU"/>
    </w:rPr>
  </w:style>
  <w:style w:type="character" w:customStyle="1" w:styleId="tw4winMark">
    <w:name w:val="tw4winMark"/>
    <w:uiPriority w:val="99"/>
    <w:rsid w:val="005555A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5555A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5555A4"/>
    <w:rPr>
      <w:color w:val="0000FF"/>
    </w:rPr>
  </w:style>
  <w:style w:type="character" w:customStyle="1" w:styleId="tw4winPopup">
    <w:name w:val="tw4winPopup"/>
    <w:uiPriority w:val="99"/>
    <w:rsid w:val="005555A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5555A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5555A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5555A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5555A4"/>
    <w:rPr>
      <w:rFonts w:ascii="Courier New" w:hAnsi="Courier New"/>
      <w:noProof/>
      <w:color w:val="800000"/>
    </w:rPr>
  </w:style>
  <w:style w:type="character" w:customStyle="1" w:styleId="CommentTextChar">
    <w:name w:val="Comment Text Char"/>
    <w:uiPriority w:val="99"/>
    <w:rsid w:val="005555A4"/>
    <w:rPr>
      <w:snapToGrid w:val="0"/>
      <w:lang w:val="en-GB" w:eastAsia="en-US"/>
    </w:rPr>
  </w:style>
  <w:style w:type="character" w:customStyle="1" w:styleId="CommentSubjectChar">
    <w:name w:val="Comment Subject Char"/>
    <w:uiPriority w:val="99"/>
    <w:rsid w:val="005555A4"/>
    <w:rPr>
      <w:b/>
      <w:snapToGrid w:val="0"/>
      <w:lang w:val="en-GB" w:eastAsia="en-US"/>
    </w:rPr>
  </w:style>
  <w:style w:type="character" w:customStyle="1" w:styleId="shorttext">
    <w:name w:val="short_text"/>
    <w:uiPriority w:val="99"/>
    <w:rsid w:val="005555A4"/>
    <w:rPr>
      <w:rFonts w:cs="Times New Roman"/>
    </w:rPr>
  </w:style>
  <w:style w:type="character" w:customStyle="1" w:styleId="hps">
    <w:name w:val="hps"/>
    <w:uiPriority w:val="99"/>
    <w:rsid w:val="005555A4"/>
    <w:rPr>
      <w:rFonts w:cs="Times New Roman"/>
    </w:rPr>
  </w:style>
  <w:style w:type="character" w:styleId="Ulstomtale">
    <w:name w:val="Unresolved Mention"/>
    <w:basedOn w:val="Standardskrifttypeiafsnit"/>
    <w:uiPriority w:val="99"/>
    <w:rsid w:val="0055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9539</Words>
  <Characters>58194</Characters>
  <Application>Microsoft Office Word</Application>
  <DocSecurity>0</DocSecurity>
  <Lines>484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2022042694 pkt. 4.8 samt QRD</dc:description>
  <cp:lastModifiedBy>Helle Søndersted</cp:lastModifiedBy>
  <cp:revision>2</cp:revision>
  <cp:lastPrinted>2006-02-24T09:31:00Z</cp:lastPrinted>
  <dcterms:created xsi:type="dcterms:W3CDTF">2023-12-08T10:19:00Z</dcterms:created>
  <dcterms:modified xsi:type="dcterms:W3CDTF">2023-12-08T10:19:00Z</dcterms:modified>
</cp:coreProperties>
</file>