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CD5C" w14:textId="77777777" w:rsidR="004A3BF4" w:rsidRPr="001C1AA7" w:rsidRDefault="00056601" w:rsidP="004A3BF4">
      <w:pPr>
        <w:rPr>
          <w:sz w:val="24"/>
          <w:szCs w:val="24"/>
          <w:lang w:val="en-GB"/>
        </w:rPr>
      </w:pPr>
      <w:r w:rsidRPr="001C1AA7">
        <w:rPr>
          <w:noProof/>
          <w:sz w:val="24"/>
          <w:szCs w:val="24"/>
          <w:lang w:val="en-GB"/>
        </w:rPr>
        <w:drawing>
          <wp:inline distT="0" distB="0" distL="0" distR="0" wp14:anchorId="57751D8F" wp14:editId="42FBD62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A3E12D1" w14:textId="77777777" w:rsidR="006B3847" w:rsidRPr="001C1AA7" w:rsidRDefault="006B3847" w:rsidP="006B3847">
      <w:pPr>
        <w:rPr>
          <w:sz w:val="24"/>
          <w:szCs w:val="24"/>
          <w:lang w:val="en-GB"/>
        </w:rPr>
      </w:pPr>
    </w:p>
    <w:p w14:paraId="6A64D84E" w14:textId="67936637" w:rsidR="006B3847" w:rsidRPr="001C1AA7" w:rsidRDefault="006B3847" w:rsidP="006B3847">
      <w:pPr>
        <w:tabs>
          <w:tab w:val="right" w:pos="9356"/>
        </w:tabs>
        <w:rPr>
          <w:b/>
          <w:sz w:val="24"/>
          <w:szCs w:val="24"/>
          <w:lang w:val="en-GB"/>
        </w:rPr>
      </w:pPr>
      <w:r w:rsidRPr="001C1AA7">
        <w:rPr>
          <w:b/>
          <w:sz w:val="24"/>
          <w:szCs w:val="24"/>
          <w:lang w:val="en-GB"/>
        </w:rPr>
        <w:tab/>
      </w:r>
      <w:r w:rsidR="00A23483">
        <w:rPr>
          <w:b/>
          <w:sz w:val="24"/>
          <w:szCs w:val="24"/>
          <w:lang w:val="en-GB"/>
        </w:rPr>
        <w:t>20 March 2026</w:t>
      </w:r>
    </w:p>
    <w:p w14:paraId="39CB1642" w14:textId="77777777" w:rsidR="006B3847" w:rsidRPr="001C1AA7" w:rsidRDefault="006B3847" w:rsidP="006B3847">
      <w:pPr>
        <w:rPr>
          <w:sz w:val="24"/>
          <w:szCs w:val="24"/>
          <w:lang w:val="en-GB"/>
        </w:rPr>
      </w:pPr>
    </w:p>
    <w:p w14:paraId="3F21A75C" w14:textId="77777777" w:rsidR="007C5D2A" w:rsidRPr="001C1AA7" w:rsidRDefault="007C5D2A" w:rsidP="007C5D2A">
      <w:pPr>
        <w:rPr>
          <w:sz w:val="24"/>
          <w:szCs w:val="24"/>
          <w:lang w:val="en-GB"/>
        </w:rPr>
      </w:pPr>
    </w:p>
    <w:p w14:paraId="091E55E8" w14:textId="77777777" w:rsidR="007C5D2A" w:rsidRPr="001C1AA7" w:rsidRDefault="007C5D2A" w:rsidP="007C5D2A">
      <w:pPr>
        <w:rPr>
          <w:sz w:val="24"/>
          <w:szCs w:val="24"/>
          <w:lang w:val="en-GB"/>
        </w:rPr>
      </w:pPr>
    </w:p>
    <w:p w14:paraId="6BD264D1" w14:textId="77777777" w:rsidR="007C5D2A" w:rsidRPr="001C1AA7" w:rsidRDefault="007C5D2A" w:rsidP="007C5D2A">
      <w:pPr>
        <w:jc w:val="center"/>
        <w:rPr>
          <w:b/>
          <w:sz w:val="24"/>
          <w:szCs w:val="24"/>
          <w:lang w:val="en-GB"/>
        </w:rPr>
      </w:pPr>
      <w:bookmarkStart w:id="0" w:name="_Hlk49158549"/>
      <w:r w:rsidRPr="001C1AA7">
        <w:rPr>
          <w:b/>
          <w:sz w:val="24"/>
          <w:szCs w:val="24"/>
          <w:lang w:val="en-GB"/>
        </w:rPr>
        <w:t>SUMMARY OF PRODUCT CHARACTERISTICS</w:t>
      </w:r>
    </w:p>
    <w:bookmarkEnd w:id="0"/>
    <w:p w14:paraId="0172A755" w14:textId="77777777" w:rsidR="007C5D2A" w:rsidRPr="001C1AA7" w:rsidRDefault="007C5D2A" w:rsidP="007C5D2A">
      <w:pPr>
        <w:jc w:val="center"/>
        <w:rPr>
          <w:sz w:val="24"/>
          <w:szCs w:val="24"/>
          <w:lang w:val="en-GB"/>
        </w:rPr>
      </w:pPr>
    </w:p>
    <w:p w14:paraId="268A0FAB" w14:textId="77777777" w:rsidR="007C5D2A" w:rsidRPr="001C1AA7" w:rsidRDefault="007C5D2A" w:rsidP="007C5D2A">
      <w:pPr>
        <w:jc w:val="center"/>
        <w:rPr>
          <w:b/>
          <w:sz w:val="24"/>
          <w:szCs w:val="24"/>
          <w:lang w:val="en-GB"/>
        </w:rPr>
      </w:pPr>
      <w:r w:rsidRPr="001C1AA7">
        <w:rPr>
          <w:b/>
          <w:sz w:val="24"/>
          <w:szCs w:val="24"/>
          <w:lang w:val="en-GB"/>
        </w:rPr>
        <w:t>for</w:t>
      </w:r>
    </w:p>
    <w:p w14:paraId="1987D7E9" w14:textId="77777777" w:rsidR="007C5D2A" w:rsidRPr="001C1AA7" w:rsidRDefault="007C5D2A" w:rsidP="007C5D2A">
      <w:pPr>
        <w:jc w:val="center"/>
        <w:rPr>
          <w:sz w:val="24"/>
          <w:szCs w:val="24"/>
          <w:lang w:val="en-GB"/>
        </w:rPr>
      </w:pPr>
    </w:p>
    <w:p w14:paraId="0B72BAE2" w14:textId="50A97F26" w:rsidR="007C5D2A" w:rsidRPr="001C1AA7" w:rsidRDefault="003A32A5" w:rsidP="007C5D2A">
      <w:pPr>
        <w:jc w:val="center"/>
        <w:rPr>
          <w:b/>
          <w:sz w:val="24"/>
          <w:szCs w:val="24"/>
          <w:lang w:val="en-GB"/>
        </w:rPr>
      </w:pPr>
      <w:proofErr w:type="spellStart"/>
      <w:r w:rsidRPr="001C1AA7">
        <w:rPr>
          <w:b/>
          <w:sz w:val="24"/>
          <w:szCs w:val="24"/>
          <w:lang w:val="en-GB"/>
        </w:rPr>
        <w:t>Apixlets</w:t>
      </w:r>
      <w:proofErr w:type="spellEnd"/>
      <w:r w:rsidRPr="001C1AA7">
        <w:rPr>
          <w:b/>
          <w:sz w:val="24"/>
          <w:szCs w:val="24"/>
          <w:lang w:val="en-GB"/>
        </w:rPr>
        <w:t>, hard capsules</w:t>
      </w:r>
      <w:r w:rsidR="00B4737D" w:rsidRPr="001C1AA7">
        <w:rPr>
          <w:b/>
          <w:sz w:val="24"/>
          <w:szCs w:val="24"/>
          <w:lang w:val="en-GB"/>
        </w:rPr>
        <w:t xml:space="preserve"> 5 mg</w:t>
      </w:r>
    </w:p>
    <w:p w14:paraId="4B7838E5" w14:textId="77777777" w:rsidR="007C5D2A" w:rsidRPr="001C1AA7" w:rsidRDefault="007C5D2A" w:rsidP="007C5D2A">
      <w:pPr>
        <w:jc w:val="both"/>
        <w:rPr>
          <w:sz w:val="24"/>
          <w:szCs w:val="24"/>
          <w:lang w:val="en-GB"/>
        </w:rPr>
      </w:pPr>
    </w:p>
    <w:p w14:paraId="5E2B81A5" w14:textId="77777777" w:rsidR="0042292D" w:rsidRPr="001C1AA7" w:rsidRDefault="0042292D" w:rsidP="007C5D2A">
      <w:pPr>
        <w:jc w:val="both"/>
        <w:rPr>
          <w:sz w:val="24"/>
          <w:szCs w:val="24"/>
          <w:lang w:val="en-GB"/>
        </w:rPr>
      </w:pPr>
    </w:p>
    <w:p w14:paraId="46196E02" w14:textId="77777777" w:rsidR="008F2F8C" w:rsidRPr="001C1AA7" w:rsidRDefault="008F2F8C" w:rsidP="008F2F8C">
      <w:pPr>
        <w:tabs>
          <w:tab w:val="left" w:pos="8222"/>
        </w:tabs>
        <w:ind w:left="851" w:hanging="851"/>
        <w:rPr>
          <w:b/>
          <w:sz w:val="24"/>
          <w:szCs w:val="24"/>
          <w:lang w:val="en-GB"/>
        </w:rPr>
      </w:pPr>
      <w:r w:rsidRPr="001C1AA7">
        <w:rPr>
          <w:b/>
          <w:sz w:val="24"/>
          <w:szCs w:val="24"/>
          <w:lang w:val="en-GB"/>
        </w:rPr>
        <w:t>0.</w:t>
      </w:r>
      <w:r w:rsidRPr="001C1AA7">
        <w:rPr>
          <w:b/>
          <w:sz w:val="24"/>
          <w:szCs w:val="24"/>
          <w:lang w:val="en-GB"/>
        </w:rPr>
        <w:tab/>
      </w:r>
      <w:proofErr w:type="gramStart"/>
      <w:r w:rsidRPr="001C1AA7">
        <w:rPr>
          <w:b/>
          <w:sz w:val="24"/>
          <w:szCs w:val="24"/>
          <w:lang w:val="en-GB"/>
        </w:rPr>
        <w:t>D.SP.NO</w:t>
      </w:r>
      <w:proofErr w:type="gramEnd"/>
      <w:r w:rsidRPr="001C1AA7">
        <w:rPr>
          <w:b/>
          <w:sz w:val="24"/>
          <w:szCs w:val="24"/>
          <w:lang w:val="en-GB"/>
        </w:rPr>
        <w:t>.</w:t>
      </w:r>
    </w:p>
    <w:p w14:paraId="589E1F1D" w14:textId="4B9A1EC1" w:rsidR="008F2F8C" w:rsidRPr="001C1AA7" w:rsidRDefault="003A32A5" w:rsidP="008F2F8C">
      <w:pPr>
        <w:tabs>
          <w:tab w:val="left" w:pos="8222"/>
        </w:tabs>
        <w:ind w:left="851"/>
        <w:rPr>
          <w:sz w:val="24"/>
          <w:szCs w:val="24"/>
          <w:lang w:val="en-GB"/>
        </w:rPr>
      </w:pPr>
      <w:r w:rsidRPr="001C1AA7">
        <w:rPr>
          <w:sz w:val="24"/>
          <w:szCs w:val="24"/>
          <w:lang w:val="en-GB"/>
        </w:rPr>
        <w:t>34259</w:t>
      </w:r>
    </w:p>
    <w:p w14:paraId="451C73F3" w14:textId="77777777" w:rsidR="007C5D2A" w:rsidRPr="001C1AA7" w:rsidRDefault="007C5D2A" w:rsidP="007C5D2A">
      <w:pPr>
        <w:tabs>
          <w:tab w:val="left" w:pos="851"/>
        </w:tabs>
        <w:jc w:val="both"/>
        <w:rPr>
          <w:sz w:val="24"/>
          <w:szCs w:val="24"/>
          <w:lang w:val="en-GB"/>
        </w:rPr>
      </w:pPr>
    </w:p>
    <w:p w14:paraId="6F991800" w14:textId="77777777" w:rsidR="007C5D2A" w:rsidRPr="001C1AA7" w:rsidRDefault="009925C9" w:rsidP="007C5D2A">
      <w:pPr>
        <w:tabs>
          <w:tab w:val="left" w:pos="851"/>
        </w:tabs>
        <w:ind w:left="851" w:hanging="851"/>
        <w:rPr>
          <w:sz w:val="24"/>
          <w:szCs w:val="24"/>
          <w:lang w:val="en-GB"/>
        </w:rPr>
      </w:pPr>
      <w:r w:rsidRPr="001C1AA7">
        <w:rPr>
          <w:b/>
          <w:sz w:val="24"/>
          <w:szCs w:val="24"/>
          <w:lang w:val="en-GB"/>
        </w:rPr>
        <w:t>1.</w:t>
      </w:r>
      <w:r w:rsidR="007C5D2A" w:rsidRPr="001C1AA7">
        <w:rPr>
          <w:b/>
          <w:sz w:val="24"/>
          <w:szCs w:val="24"/>
          <w:lang w:val="en-GB"/>
        </w:rPr>
        <w:tab/>
        <w:t>NAME OF THE MEDICINAL PRODUCT</w:t>
      </w:r>
    </w:p>
    <w:p w14:paraId="5F3AB953" w14:textId="55946ABA" w:rsidR="007C5D2A" w:rsidRPr="001C1AA7" w:rsidRDefault="003A32A5" w:rsidP="004A3BF4">
      <w:pPr>
        <w:tabs>
          <w:tab w:val="left" w:pos="851"/>
        </w:tabs>
        <w:ind w:left="851"/>
        <w:rPr>
          <w:sz w:val="24"/>
          <w:szCs w:val="24"/>
          <w:lang w:val="en-GB"/>
        </w:rPr>
      </w:pPr>
      <w:proofErr w:type="spellStart"/>
      <w:r w:rsidRPr="001C1AA7">
        <w:rPr>
          <w:sz w:val="24"/>
          <w:szCs w:val="24"/>
          <w:lang w:val="en-GB"/>
        </w:rPr>
        <w:t>Apixlets</w:t>
      </w:r>
      <w:proofErr w:type="spellEnd"/>
    </w:p>
    <w:p w14:paraId="6AE492C5" w14:textId="77777777" w:rsidR="007C5D2A" w:rsidRPr="001C1AA7" w:rsidRDefault="007C5D2A" w:rsidP="004A3BF4">
      <w:pPr>
        <w:tabs>
          <w:tab w:val="left" w:pos="851"/>
        </w:tabs>
        <w:ind w:left="851"/>
        <w:rPr>
          <w:sz w:val="24"/>
          <w:szCs w:val="24"/>
          <w:lang w:val="en-GB"/>
        </w:rPr>
      </w:pPr>
    </w:p>
    <w:p w14:paraId="5DDF85CD" w14:textId="77777777" w:rsidR="007C5D2A" w:rsidRPr="001C1AA7" w:rsidRDefault="009925C9" w:rsidP="007C5D2A">
      <w:pPr>
        <w:ind w:left="851" w:hanging="851"/>
        <w:rPr>
          <w:b/>
          <w:sz w:val="24"/>
          <w:szCs w:val="24"/>
          <w:lang w:val="en-GB"/>
        </w:rPr>
      </w:pPr>
      <w:r w:rsidRPr="001C1AA7">
        <w:rPr>
          <w:b/>
          <w:sz w:val="24"/>
          <w:szCs w:val="24"/>
          <w:lang w:val="en-GB"/>
        </w:rPr>
        <w:t>2.</w:t>
      </w:r>
      <w:r w:rsidR="007C5D2A" w:rsidRPr="001C1AA7">
        <w:rPr>
          <w:b/>
          <w:sz w:val="24"/>
          <w:szCs w:val="24"/>
          <w:lang w:val="en-GB"/>
        </w:rPr>
        <w:tab/>
        <w:t>QUALITATIVE AND QUANTITATIVE COMPOSITION</w:t>
      </w:r>
    </w:p>
    <w:p w14:paraId="1C42133F" w14:textId="77777777" w:rsidR="00B4737D" w:rsidRPr="00B4737D" w:rsidRDefault="00B4737D" w:rsidP="00D438C9">
      <w:pPr>
        <w:ind w:left="851"/>
        <w:rPr>
          <w:sz w:val="24"/>
          <w:szCs w:val="24"/>
          <w:lang w:val="en-US"/>
        </w:rPr>
      </w:pPr>
      <w:r w:rsidRPr="00B4737D">
        <w:rPr>
          <w:sz w:val="24"/>
          <w:szCs w:val="24"/>
          <w:lang w:val="en-US"/>
        </w:rPr>
        <w:t>Each hard capsule contains 5 mg apixaban</w:t>
      </w:r>
    </w:p>
    <w:p w14:paraId="2DE90FB6" w14:textId="77777777" w:rsidR="00B4737D" w:rsidRPr="00B4737D" w:rsidRDefault="00B4737D" w:rsidP="00D438C9">
      <w:pPr>
        <w:ind w:left="851"/>
        <w:rPr>
          <w:sz w:val="24"/>
          <w:szCs w:val="24"/>
          <w:u w:val="single"/>
          <w:lang w:val="en-US"/>
        </w:rPr>
      </w:pPr>
    </w:p>
    <w:p w14:paraId="610C78F4" w14:textId="77777777" w:rsidR="00B4737D" w:rsidRPr="00B4737D" w:rsidRDefault="00B4737D" w:rsidP="00D438C9">
      <w:pPr>
        <w:ind w:left="851"/>
        <w:rPr>
          <w:sz w:val="24"/>
          <w:szCs w:val="24"/>
          <w:u w:val="single"/>
          <w:lang w:val="en-US"/>
        </w:rPr>
      </w:pPr>
      <w:r w:rsidRPr="00B4737D">
        <w:rPr>
          <w:sz w:val="24"/>
          <w:szCs w:val="24"/>
          <w:u w:val="single"/>
          <w:lang w:val="en-US"/>
        </w:rPr>
        <w:t>Excipient(s)</w:t>
      </w:r>
      <w:r w:rsidRPr="00B4737D">
        <w:rPr>
          <w:bCs/>
          <w:sz w:val="24"/>
          <w:szCs w:val="24"/>
          <w:u w:val="single"/>
          <w:lang w:val="en-GB"/>
        </w:rPr>
        <w:t xml:space="preserve"> with known effect</w:t>
      </w:r>
    </w:p>
    <w:p w14:paraId="36891F8D" w14:textId="77777777" w:rsidR="00B4737D" w:rsidRPr="00B4737D" w:rsidRDefault="00B4737D" w:rsidP="00D438C9">
      <w:pPr>
        <w:ind w:left="851"/>
        <w:rPr>
          <w:sz w:val="24"/>
          <w:szCs w:val="24"/>
          <w:lang w:val="en-US"/>
        </w:rPr>
      </w:pPr>
      <w:r w:rsidRPr="00B4737D">
        <w:rPr>
          <w:sz w:val="24"/>
          <w:szCs w:val="24"/>
          <w:lang w:val="en-US"/>
        </w:rPr>
        <w:t>Each 5 mg hard capsule contains 137,129 mg lactose monohydrate (see section 4.4).</w:t>
      </w:r>
    </w:p>
    <w:p w14:paraId="458C482D" w14:textId="77777777" w:rsidR="00B4737D" w:rsidRPr="00B4737D" w:rsidRDefault="00B4737D" w:rsidP="00D438C9">
      <w:pPr>
        <w:ind w:left="851"/>
        <w:rPr>
          <w:sz w:val="24"/>
          <w:szCs w:val="24"/>
          <w:u w:val="single"/>
          <w:lang w:val="en-US"/>
        </w:rPr>
      </w:pPr>
    </w:p>
    <w:p w14:paraId="31B9CC07" w14:textId="77777777" w:rsidR="00B4737D" w:rsidRPr="00B4737D" w:rsidRDefault="00B4737D" w:rsidP="00D438C9">
      <w:pPr>
        <w:ind w:left="851"/>
        <w:rPr>
          <w:sz w:val="24"/>
          <w:szCs w:val="24"/>
          <w:lang w:val="en-GB"/>
        </w:rPr>
      </w:pPr>
      <w:r w:rsidRPr="00B4737D">
        <w:rPr>
          <w:sz w:val="24"/>
          <w:szCs w:val="24"/>
          <w:lang w:val="en-GB"/>
        </w:rPr>
        <w:t>For the full list of excipients, see section 6.1.</w:t>
      </w:r>
    </w:p>
    <w:p w14:paraId="69EC9BD5" w14:textId="77777777" w:rsidR="007C5D2A" w:rsidRPr="001C1AA7" w:rsidRDefault="007C5D2A" w:rsidP="004A3BF4">
      <w:pPr>
        <w:tabs>
          <w:tab w:val="left" w:pos="851"/>
        </w:tabs>
        <w:ind w:left="851"/>
        <w:rPr>
          <w:sz w:val="24"/>
          <w:szCs w:val="24"/>
          <w:lang w:val="en-GB"/>
        </w:rPr>
      </w:pPr>
    </w:p>
    <w:p w14:paraId="35231B43"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3.</w:t>
      </w:r>
      <w:r w:rsidRPr="001C1AA7">
        <w:rPr>
          <w:b/>
          <w:sz w:val="24"/>
          <w:szCs w:val="24"/>
          <w:lang w:val="en-GB"/>
        </w:rPr>
        <w:tab/>
        <w:t>PHARMACEUTICAL FORM</w:t>
      </w:r>
    </w:p>
    <w:p w14:paraId="6775FD31" w14:textId="77316220" w:rsidR="00B4737D" w:rsidRPr="00B4737D" w:rsidRDefault="00B4737D" w:rsidP="00D438C9">
      <w:pPr>
        <w:ind w:left="851"/>
        <w:rPr>
          <w:sz w:val="24"/>
          <w:szCs w:val="24"/>
          <w:lang w:val="en-GB"/>
        </w:rPr>
      </w:pPr>
      <w:r w:rsidRPr="00B4737D">
        <w:rPr>
          <w:sz w:val="24"/>
          <w:szCs w:val="24"/>
          <w:lang w:val="en-GB"/>
        </w:rPr>
        <w:t>Hard capsule</w:t>
      </w:r>
      <w:r w:rsidR="001C1AA7">
        <w:rPr>
          <w:sz w:val="24"/>
          <w:szCs w:val="24"/>
          <w:lang w:val="en-GB"/>
        </w:rPr>
        <w:t>s</w:t>
      </w:r>
    </w:p>
    <w:p w14:paraId="347F3EE8" w14:textId="77777777" w:rsidR="00B4737D" w:rsidRPr="00B4737D" w:rsidRDefault="00B4737D" w:rsidP="00D438C9">
      <w:pPr>
        <w:ind w:left="851"/>
        <w:rPr>
          <w:sz w:val="24"/>
          <w:szCs w:val="24"/>
          <w:lang w:val="en-GB"/>
        </w:rPr>
      </w:pPr>
      <w:bookmarkStart w:id="1" w:name="_Hlk176182986"/>
      <w:r w:rsidRPr="00B4737D">
        <w:rPr>
          <w:sz w:val="24"/>
          <w:szCs w:val="24"/>
          <w:lang w:val="en-GB"/>
        </w:rPr>
        <w:t>Hard capsule with opaque pink cap and body containing white to off-white pellets</w:t>
      </w:r>
      <w:bookmarkEnd w:id="1"/>
      <w:r w:rsidRPr="00B4737D">
        <w:rPr>
          <w:sz w:val="24"/>
          <w:szCs w:val="24"/>
          <w:lang w:val="en-GB"/>
        </w:rPr>
        <w:t xml:space="preserve"> (length: 18 mm).</w:t>
      </w:r>
    </w:p>
    <w:p w14:paraId="1FEFA691" w14:textId="77777777" w:rsidR="007C5D2A" w:rsidRPr="001C1AA7" w:rsidRDefault="007C5D2A" w:rsidP="004A3BF4">
      <w:pPr>
        <w:tabs>
          <w:tab w:val="left" w:pos="851"/>
        </w:tabs>
        <w:ind w:left="851"/>
        <w:rPr>
          <w:sz w:val="24"/>
          <w:szCs w:val="24"/>
          <w:lang w:val="en-GB"/>
        </w:rPr>
      </w:pPr>
    </w:p>
    <w:p w14:paraId="47D5D3C1" w14:textId="77777777" w:rsidR="007C5D2A" w:rsidRPr="001C1AA7" w:rsidRDefault="007C5D2A" w:rsidP="004A3BF4">
      <w:pPr>
        <w:tabs>
          <w:tab w:val="left" w:pos="851"/>
        </w:tabs>
        <w:ind w:left="851"/>
        <w:rPr>
          <w:sz w:val="24"/>
          <w:szCs w:val="24"/>
          <w:lang w:val="en-GB"/>
        </w:rPr>
      </w:pPr>
    </w:p>
    <w:p w14:paraId="71296D19" w14:textId="77777777" w:rsidR="007C5D2A" w:rsidRPr="001C1AA7" w:rsidRDefault="007C5D2A" w:rsidP="007C5D2A">
      <w:pPr>
        <w:ind w:left="851" w:hanging="851"/>
        <w:rPr>
          <w:b/>
          <w:sz w:val="24"/>
          <w:szCs w:val="24"/>
          <w:lang w:val="en-GB"/>
        </w:rPr>
      </w:pPr>
      <w:r w:rsidRPr="001C1AA7">
        <w:rPr>
          <w:b/>
          <w:sz w:val="24"/>
          <w:szCs w:val="24"/>
          <w:lang w:val="en-GB"/>
        </w:rPr>
        <w:t>4.</w:t>
      </w:r>
      <w:r w:rsidRPr="001C1AA7">
        <w:rPr>
          <w:b/>
          <w:sz w:val="24"/>
          <w:szCs w:val="24"/>
          <w:lang w:val="en-GB"/>
        </w:rPr>
        <w:tab/>
        <w:t>CLINICAL PARTICULARS</w:t>
      </w:r>
    </w:p>
    <w:p w14:paraId="5D4B5E0D" w14:textId="77777777" w:rsidR="007C5D2A" w:rsidRPr="001C1AA7" w:rsidRDefault="007C5D2A" w:rsidP="004A3BF4">
      <w:pPr>
        <w:tabs>
          <w:tab w:val="left" w:pos="851"/>
        </w:tabs>
        <w:ind w:left="851"/>
        <w:rPr>
          <w:sz w:val="24"/>
          <w:szCs w:val="24"/>
          <w:lang w:val="en-GB"/>
        </w:rPr>
      </w:pPr>
    </w:p>
    <w:p w14:paraId="2F64103C" w14:textId="77777777" w:rsidR="007C5D2A" w:rsidRPr="001C1AA7" w:rsidRDefault="007C5D2A" w:rsidP="007C5D2A">
      <w:pPr>
        <w:ind w:left="851" w:hanging="851"/>
        <w:rPr>
          <w:b/>
          <w:sz w:val="24"/>
          <w:szCs w:val="24"/>
          <w:u w:val="single"/>
          <w:lang w:val="en-GB"/>
        </w:rPr>
      </w:pPr>
      <w:r w:rsidRPr="001C1AA7">
        <w:rPr>
          <w:b/>
          <w:sz w:val="24"/>
          <w:szCs w:val="24"/>
          <w:lang w:val="en-GB"/>
        </w:rPr>
        <w:t>4.1</w:t>
      </w:r>
      <w:r w:rsidRPr="001C1AA7">
        <w:rPr>
          <w:b/>
          <w:sz w:val="24"/>
          <w:szCs w:val="24"/>
          <w:lang w:val="en-GB"/>
        </w:rPr>
        <w:tab/>
        <w:t>Therapeutic indications</w:t>
      </w:r>
    </w:p>
    <w:p w14:paraId="3BF3FE36" w14:textId="77777777" w:rsidR="001C1AA7" w:rsidRDefault="001C1AA7" w:rsidP="00D438C9">
      <w:pPr>
        <w:ind w:left="851"/>
        <w:rPr>
          <w:sz w:val="24"/>
          <w:szCs w:val="24"/>
          <w:lang w:val="en-GB"/>
        </w:rPr>
      </w:pPr>
    </w:p>
    <w:p w14:paraId="1E0D6D50" w14:textId="3C8E58DE" w:rsidR="00B4737D" w:rsidRPr="00B4737D" w:rsidRDefault="00B4737D" w:rsidP="00D438C9">
      <w:pPr>
        <w:ind w:left="851"/>
        <w:rPr>
          <w:sz w:val="24"/>
          <w:szCs w:val="24"/>
          <w:u w:val="single"/>
          <w:lang w:val="en-GB"/>
        </w:rPr>
      </w:pPr>
      <w:r w:rsidRPr="00B4737D">
        <w:rPr>
          <w:sz w:val="24"/>
          <w:szCs w:val="24"/>
          <w:u w:val="single"/>
          <w:lang w:val="en-GB"/>
        </w:rPr>
        <w:t>Adults</w:t>
      </w:r>
    </w:p>
    <w:p w14:paraId="042769B0" w14:textId="77777777" w:rsidR="00B4737D" w:rsidRPr="00B4737D" w:rsidRDefault="00B4737D" w:rsidP="00D438C9">
      <w:pPr>
        <w:ind w:left="851"/>
        <w:rPr>
          <w:sz w:val="24"/>
          <w:szCs w:val="24"/>
          <w:lang w:val="en-GB"/>
        </w:rPr>
      </w:pPr>
      <w:r w:rsidRPr="00B4737D">
        <w:rPr>
          <w:sz w:val="24"/>
          <w:szCs w:val="24"/>
          <w:lang w:val="en-GB"/>
        </w:rPr>
        <w:t>Prevention of stroke and systemic embolism in adult patients with non-valvular atrial fibrillation (NVAF), with one or more risk factors, such as prior stroke or transient ischaemic attack (TIA); age ≥ 75 years; hypertension; diabetes mellitus; symptomatic heart failure (NYHA Class ≥ II).</w:t>
      </w:r>
    </w:p>
    <w:p w14:paraId="770E2D52" w14:textId="77777777" w:rsidR="00B4737D" w:rsidRPr="00B4737D" w:rsidRDefault="00B4737D" w:rsidP="00D438C9">
      <w:pPr>
        <w:ind w:left="851"/>
        <w:rPr>
          <w:sz w:val="24"/>
          <w:szCs w:val="24"/>
          <w:lang w:val="en-GB"/>
        </w:rPr>
      </w:pPr>
    </w:p>
    <w:p w14:paraId="75ED9F51" w14:textId="77777777" w:rsidR="00B4737D" w:rsidRPr="00B4737D" w:rsidRDefault="00B4737D" w:rsidP="00D438C9">
      <w:pPr>
        <w:ind w:left="851"/>
        <w:rPr>
          <w:sz w:val="24"/>
          <w:szCs w:val="24"/>
          <w:lang w:val="en-GB"/>
        </w:rPr>
      </w:pPr>
      <w:r w:rsidRPr="00B4737D">
        <w:rPr>
          <w:sz w:val="24"/>
          <w:szCs w:val="24"/>
          <w:lang w:val="en-GB"/>
        </w:rPr>
        <w:t>Treatment of deep vein thrombosis (DVT) and pulmonary embolism (PE), and prevention of recurrent DVT and PE in adults (see section 4.4 for haemodynamically unstable PE patients).</w:t>
      </w:r>
    </w:p>
    <w:p w14:paraId="3805E26F" w14:textId="16450A1A" w:rsidR="00BB2CEC" w:rsidRDefault="00BB2CEC">
      <w:pPr>
        <w:rPr>
          <w:sz w:val="24"/>
          <w:szCs w:val="24"/>
          <w:lang w:val="en-GB"/>
        </w:rPr>
      </w:pPr>
      <w:r>
        <w:rPr>
          <w:sz w:val="24"/>
          <w:szCs w:val="24"/>
          <w:lang w:val="en-GB"/>
        </w:rPr>
        <w:br w:type="page"/>
      </w:r>
    </w:p>
    <w:p w14:paraId="71A14DF3" w14:textId="77777777" w:rsidR="00B4737D" w:rsidRPr="00B4737D" w:rsidRDefault="00B4737D" w:rsidP="00D438C9">
      <w:pPr>
        <w:ind w:left="851"/>
        <w:rPr>
          <w:sz w:val="24"/>
          <w:szCs w:val="24"/>
          <w:lang w:val="en-GB"/>
        </w:rPr>
      </w:pPr>
    </w:p>
    <w:p w14:paraId="54CC877A" w14:textId="77777777" w:rsidR="00B4737D" w:rsidRPr="00B4737D" w:rsidRDefault="00B4737D" w:rsidP="00D438C9">
      <w:pPr>
        <w:ind w:left="851"/>
        <w:rPr>
          <w:sz w:val="24"/>
          <w:szCs w:val="24"/>
          <w:u w:val="single"/>
          <w:lang w:val="en-GB"/>
        </w:rPr>
      </w:pPr>
      <w:r w:rsidRPr="00B4737D">
        <w:rPr>
          <w:sz w:val="24"/>
          <w:szCs w:val="24"/>
          <w:u w:val="single"/>
          <w:lang w:val="en-GB"/>
        </w:rPr>
        <w:t>Paediatric population</w:t>
      </w:r>
    </w:p>
    <w:p w14:paraId="62C06347" w14:textId="44397972" w:rsidR="00B4737D" w:rsidRPr="00B4737D" w:rsidRDefault="00B4737D" w:rsidP="00D438C9">
      <w:pPr>
        <w:ind w:left="851"/>
        <w:rPr>
          <w:sz w:val="24"/>
          <w:szCs w:val="24"/>
          <w:lang w:val="en-GB"/>
        </w:rPr>
      </w:pPr>
      <w:r w:rsidRPr="00B4737D">
        <w:rPr>
          <w:sz w:val="24"/>
          <w:szCs w:val="24"/>
          <w:lang w:val="en-GB"/>
        </w:rPr>
        <w:t>Treatment of venous thromboembolism (VTE) and prevention of recurrent VTE in paediatric patients</w:t>
      </w:r>
      <w:r w:rsidR="001C1AA7">
        <w:rPr>
          <w:sz w:val="24"/>
          <w:szCs w:val="24"/>
          <w:lang w:val="en-GB"/>
        </w:rPr>
        <w:t xml:space="preserve"> </w:t>
      </w:r>
      <w:r w:rsidRPr="00B4737D">
        <w:rPr>
          <w:sz w:val="24"/>
          <w:szCs w:val="24"/>
          <w:lang w:val="en-GB"/>
        </w:rPr>
        <w:t>from 28 days to less than 18 years of age.</w:t>
      </w:r>
    </w:p>
    <w:p w14:paraId="33BE1CA4" w14:textId="77777777" w:rsidR="007C5D2A" w:rsidRPr="001C1AA7" w:rsidRDefault="007C5D2A" w:rsidP="00A85D26">
      <w:pPr>
        <w:tabs>
          <w:tab w:val="left" w:pos="851"/>
        </w:tabs>
        <w:ind w:left="851"/>
        <w:rPr>
          <w:sz w:val="24"/>
          <w:szCs w:val="24"/>
          <w:lang w:val="en-GB"/>
        </w:rPr>
      </w:pPr>
    </w:p>
    <w:p w14:paraId="1F5D88B6" w14:textId="77777777" w:rsidR="007C5D2A" w:rsidRPr="001C1AA7" w:rsidRDefault="009925C9" w:rsidP="007C5D2A">
      <w:pPr>
        <w:tabs>
          <w:tab w:val="left" w:pos="851"/>
        </w:tabs>
        <w:ind w:left="851" w:hanging="851"/>
        <w:rPr>
          <w:sz w:val="24"/>
          <w:szCs w:val="24"/>
          <w:lang w:val="en-GB"/>
        </w:rPr>
      </w:pPr>
      <w:r w:rsidRPr="001C1AA7">
        <w:rPr>
          <w:b/>
          <w:sz w:val="24"/>
          <w:szCs w:val="24"/>
          <w:lang w:val="en-GB"/>
        </w:rPr>
        <w:t>4.2</w:t>
      </w:r>
      <w:r w:rsidR="007C5D2A" w:rsidRPr="001C1AA7">
        <w:rPr>
          <w:b/>
          <w:sz w:val="24"/>
          <w:szCs w:val="24"/>
          <w:lang w:val="en-GB"/>
        </w:rPr>
        <w:tab/>
        <w:t>Posology and method of administration</w:t>
      </w:r>
    </w:p>
    <w:p w14:paraId="2A366232" w14:textId="77777777" w:rsidR="001C1AA7" w:rsidRDefault="001C1AA7" w:rsidP="00D438C9">
      <w:pPr>
        <w:ind w:left="851"/>
        <w:rPr>
          <w:sz w:val="24"/>
          <w:szCs w:val="24"/>
          <w:u w:val="single"/>
          <w:lang w:val="en-GB"/>
        </w:rPr>
      </w:pPr>
    </w:p>
    <w:p w14:paraId="36FC8F0F" w14:textId="6BF4D258" w:rsidR="00B4737D" w:rsidRPr="00B4737D" w:rsidRDefault="00B4737D" w:rsidP="00D438C9">
      <w:pPr>
        <w:ind w:left="851"/>
        <w:rPr>
          <w:sz w:val="24"/>
          <w:szCs w:val="24"/>
          <w:u w:val="single"/>
          <w:lang w:val="en-GB"/>
        </w:rPr>
      </w:pPr>
      <w:r w:rsidRPr="00B4737D">
        <w:rPr>
          <w:sz w:val="24"/>
          <w:szCs w:val="24"/>
          <w:u w:val="single"/>
          <w:lang w:val="en-GB"/>
        </w:rPr>
        <w:t>Posology</w:t>
      </w:r>
    </w:p>
    <w:p w14:paraId="1208F2AA" w14:textId="77777777" w:rsidR="00B4737D" w:rsidRPr="00B4737D" w:rsidRDefault="00B4737D" w:rsidP="00D438C9">
      <w:pPr>
        <w:ind w:left="851"/>
        <w:rPr>
          <w:sz w:val="24"/>
          <w:szCs w:val="24"/>
          <w:lang w:val="en-GB"/>
        </w:rPr>
      </w:pPr>
    </w:p>
    <w:p w14:paraId="7C5230C8" w14:textId="77777777" w:rsidR="00B4737D" w:rsidRPr="00B4737D" w:rsidRDefault="00B4737D" w:rsidP="00D438C9">
      <w:pPr>
        <w:ind w:left="851"/>
        <w:rPr>
          <w:i/>
          <w:sz w:val="24"/>
          <w:szCs w:val="24"/>
          <w:u w:val="single"/>
          <w:lang w:val="en-GB"/>
        </w:rPr>
      </w:pPr>
      <w:r w:rsidRPr="00B4737D">
        <w:rPr>
          <w:i/>
          <w:sz w:val="24"/>
          <w:szCs w:val="24"/>
          <w:u w:val="single"/>
          <w:lang w:val="en-GB"/>
        </w:rPr>
        <w:t>Prevention of stroke and systemic embolism in adult patients with non-valvular atrial fibrillation (NVAF)</w:t>
      </w:r>
    </w:p>
    <w:p w14:paraId="78265E5E" w14:textId="77777777" w:rsidR="00B4737D" w:rsidRPr="00B4737D" w:rsidRDefault="00B4737D" w:rsidP="00D438C9">
      <w:pPr>
        <w:ind w:left="851"/>
        <w:rPr>
          <w:sz w:val="24"/>
          <w:szCs w:val="24"/>
          <w:lang w:val="en-GB"/>
        </w:rPr>
      </w:pPr>
      <w:r w:rsidRPr="00B4737D">
        <w:rPr>
          <w:sz w:val="24"/>
          <w:szCs w:val="24"/>
          <w:lang w:val="en-GB"/>
        </w:rPr>
        <w:t>The recommended dose of apixaban is 5 mg taken orally twice daily.</w:t>
      </w:r>
    </w:p>
    <w:p w14:paraId="72FF23C6" w14:textId="77777777" w:rsidR="00B4737D" w:rsidRPr="00B4737D" w:rsidRDefault="00B4737D" w:rsidP="00D438C9">
      <w:pPr>
        <w:ind w:left="851"/>
        <w:rPr>
          <w:sz w:val="24"/>
          <w:szCs w:val="24"/>
          <w:lang w:val="en-GB"/>
        </w:rPr>
      </w:pPr>
    </w:p>
    <w:p w14:paraId="410C44DC" w14:textId="77777777" w:rsidR="00B4737D" w:rsidRPr="00B4737D" w:rsidRDefault="00B4737D" w:rsidP="00D438C9">
      <w:pPr>
        <w:ind w:left="851"/>
        <w:rPr>
          <w:sz w:val="24"/>
          <w:szCs w:val="24"/>
          <w:lang w:val="en-GB"/>
        </w:rPr>
      </w:pPr>
      <w:r w:rsidRPr="00B4737D">
        <w:rPr>
          <w:i/>
          <w:iCs/>
          <w:sz w:val="24"/>
          <w:szCs w:val="24"/>
          <w:lang w:val="en-GB"/>
        </w:rPr>
        <w:t xml:space="preserve">Dose reduction </w:t>
      </w:r>
    </w:p>
    <w:p w14:paraId="0EBA9559" w14:textId="37B4DABF" w:rsidR="00B4737D" w:rsidRPr="00B4737D" w:rsidRDefault="00B4737D" w:rsidP="00D438C9">
      <w:pPr>
        <w:ind w:left="851"/>
        <w:rPr>
          <w:sz w:val="24"/>
          <w:szCs w:val="24"/>
          <w:lang w:val="en-GB"/>
        </w:rPr>
      </w:pPr>
      <w:r w:rsidRPr="00B4737D">
        <w:rPr>
          <w:sz w:val="24"/>
          <w:szCs w:val="24"/>
          <w:lang w:val="en-GB"/>
        </w:rPr>
        <w:t>The recommended dose of apixaban is 2.5 mg taken orally twice daily in patients with NVAF and at least two of the following characteristics: age ≥ 80 years, body weight ≤</w:t>
      </w:r>
      <w:r w:rsidR="001C1AA7">
        <w:rPr>
          <w:sz w:val="24"/>
          <w:szCs w:val="24"/>
          <w:lang w:val="en-GB"/>
        </w:rPr>
        <w:t> </w:t>
      </w:r>
      <w:r w:rsidRPr="00B4737D">
        <w:rPr>
          <w:sz w:val="24"/>
          <w:szCs w:val="24"/>
          <w:lang w:val="en-GB"/>
        </w:rPr>
        <w:t>60</w:t>
      </w:r>
      <w:r w:rsidR="001C1AA7">
        <w:rPr>
          <w:sz w:val="24"/>
          <w:szCs w:val="24"/>
          <w:lang w:val="en-GB"/>
        </w:rPr>
        <w:t> </w:t>
      </w:r>
      <w:r w:rsidRPr="00B4737D">
        <w:rPr>
          <w:sz w:val="24"/>
          <w:szCs w:val="24"/>
          <w:lang w:val="en-GB"/>
        </w:rPr>
        <w:t xml:space="preserve">kg, or serum creatinine ≥ 1.5 mg/dL (133 micromole/L). </w:t>
      </w:r>
    </w:p>
    <w:p w14:paraId="2700409D" w14:textId="77777777" w:rsidR="00B4737D" w:rsidRPr="00B4737D" w:rsidRDefault="00B4737D" w:rsidP="00D438C9">
      <w:pPr>
        <w:ind w:left="851"/>
        <w:rPr>
          <w:sz w:val="24"/>
          <w:szCs w:val="24"/>
          <w:lang w:val="en-GB"/>
        </w:rPr>
      </w:pPr>
    </w:p>
    <w:p w14:paraId="4FBB933D" w14:textId="77777777" w:rsidR="00B4737D" w:rsidRPr="00B4737D" w:rsidRDefault="00B4737D" w:rsidP="00D438C9">
      <w:pPr>
        <w:ind w:left="851"/>
        <w:rPr>
          <w:sz w:val="24"/>
          <w:szCs w:val="24"/>
          <w:lang w:val="en-GB"/>
        </w:rPr>
      </w:pPr>
      <w:r w:rsidRPr="00B4737D">
        <w:rPr>
          <w:sz w:val="24"/>
          <w:szCs w:val="24"/>
          <w:lang w:val="en-GB"/>
        </w:rPr>
        <w:t xml:space="preserve">Therapy should be continued long-term. </w:t>
      </w:r>
    </w:p>
    <w:p w14:paraId="6A0C5A95" w14:textId="77777777" w:rsidR="00B4737D" w:rsidRPr="00B4737D" w:rsidRDefault="00B4737D" w:rsidP="00D438C9">
      <w:pPr>
        <w:ind w:left="851"/>
        <w:rPr>
          <w:sz w:val="24"/>
          <w:szCs w:val="24"/>
          <w:lang w:val="en-GB"/>
        </w:rPr>
      </w:pPr>
    </w:p>
    <w:p w14:paraId="76FBF4A5" w14:textId="77777777" w:rsidR="00B4737D" w:rsidRPr="00B4737D" w:rsidRDefault="00B4737D" w:rsidP="00D438C9">
      <w:pPr>
        <w:ind w:left="851"/>
        <w:rPr>
          <w:sz w:val="24"/>
          <w:szCs w:val="24"/>
          <w:u w:val="single"/>
          <w:lang w:val="en-GB"/>
        </w:rPr>
      </w:pPr>
      <w:r w:rsidRPr="00B4737D">
        <w:rPr>
          <w:i/>
          <w:iCs/>
          <w:sz w:val="24"/>
          <w:szCs w:val="24"/>
          <w:u w:val="single"/>
          <w:lang w:val="en-GB"/>
        </w:rPr>
        <w:t>Treatment of DVT, treatment of PE and prevention of recurrent DVT and PE (</w:t>
      </w:r>
      <w:proofErr w:type="spellStart"/>
      <w:r w:rsidRPr="00B4737D">
        <w:rPr>
          <w:i/>
          <w:iCs/>
          <w:sz w:val="24"/>
          <w:szCs w:val="24"/>
          <w:u w:val="single"/>
          <w:lang w:val="en-GB"/>
        </w:rPr>
        <w:t>VTEt</w:t>
      </w:r>
      <w:proofErr w:type="spellEnd"/>
      <w:r w:rsidRPr="00B4737D">
        <w:rPr>
          <w:i/>
          <w:iCs/>
          <w:sz w:val="24"/>
          <w:szCs w:val="24"/>
          <w:u w:val="single"/>
          <w:lang w:val="en-GB"/>
        </w:rPr>
        <w:t xml:space="preserve">) in adults </w:t>
      </w:r>
    </w:p>
    <w:p w14:paraId="3AE55B13" w14:textId="77777777" w:rsidR="00B4737D" w:rsidRPr="00B4737D" w:rsidRDefault="00B4737D" w:rsidP="00D438C9">
      <w:pPr>
        <w:ind w:left="851"/>
        <w:rPr>
          <w:sz w:val="24"/>
          <w:szCs w:val="24"/>
          <w:lang w:val="en-GB"/>
        </w:rPr>
      </w:pPr>
      <w:r w:rsidRPr="00B4737D">
        <w:rPr>
          <w:sz w:val="24"/>
          <w:szCs w:val="24"/>
          <w:lang w:val="en-GB"/>
        </w:rPr>
        <w:t xml:space="preserve">The recommended dose of apixaban for the treatment of acute DVT and treatment of PE is 10 mg taken orally twice daily for the first 7 days followed by 5 mg taken orally twice daily. As per available medical guidelines, short duration of treatment (at least 3 months) should be based on transient risk factors (e.g., recent surgery, trauma, immobilisation). </w:t>
      </w:r>
    </w:p>
    <w:p w14:paraId="0BE3A892" w14:textId="77777777" w:rsidR="00B4737D" w:rsidRPr="00B4737D" w:rsidRDefault="00B4737D" w:rsidP="00D438C9">
      <w:pPr>
        <w:ind w:left="851"/>
        <w:rPr>
          <w:sz w:val="24"/>
          <w:szCs w:val="24"/>
          <w:lang w:val="en-GB"/>
        </w:rPr>
      </w:pPr>
    </w:p>
    <w:p w14:paraId="37C69326" w14:textId="77777777" w:rsidR="00B4737D" w:rsidRPr="00B4737D" w:rsidRDefault="00B4737D" w:rsidP="00D438C9">
      <w:pPr>
        <w:ind w:left="851"/>
        <w:rPr>
          <w:sz w:val="24"/>
          <w:szCs w:val="24"/>
          <w:lang w:val="en-GB"/>
        </w:rPr>
      </w:pPr>
      <w:r w:rsidRPr="00B4737D">
        <w:rPr>
          <w:sz w:val="24"/>
          <w:szCs w:val="24"/>
          <w:lang w:val="en-GB"/>
        </w:rPr>
        <w:t>The recommended dose of apixaban for the prevention of recurrent DVT and PE is 2.5 mg taken orally twice daily. When prevention of recurrent DVT and PE is indicated, the 2.5 mg twice daily dose should be initiated following completion of 6 months of treatment with apixaban 5 mg twice daily or with another anticoagulant, as indicated in Table 1 below (see also section 5.1).</w:t>
      </w:r>
    </w:p>
    <w:p w14:paraId="5807F5CA" w14:textId="77777777" w:rsidR="00B4737D" w:rsidRPr="00B4737D" w:rsidRDefault="00B4737D" w:rsidP="00B4737D">
      <w:pPr>
        <w:tabs>
          <w:tab w:val="left" w:pos="851"/>
        </w:tabs>
        <w:ind w:left="851"/>
        <w:rPr>
          <w:sz w:val="24"/>
          <w:szCs w:val="24"/>
          <w:u w:val="single"/>
          <w:lang w:val="en-GB"/>
        </w:rPr>
      </w:pPr>
    </w:p>
    <w:p w14:paraId="446D302E" w14:textId="77777777" w:rsidR="00B4737D" w:rsidRPr="00B4737D" w:rsidRDefault="00B4737D" w:rsidP="00B4737D">
      <w:pPr>
        <w:tabs>
          <w:tab w:val="left" w:pos="851"/>
        </w:tabs>
        <w:ind w:left="851"/>
        <w:rPr>
          <w:sz w:val="24"/>
          <w:szCs w:val="24"/>
          <w:u w:val="single"/>
          <w:lang w:val="en-GB"/>
        </w:rPr>
      </w:pPr>
      <w:r w:rsidRPr="00B4737D">
        <w:rPr>
          <w:b/>
          <w:bCs/>
          <w:sz w:val="24"/>
          <w:szCs w:val="24"/>
          <w:lang w:val="en-GB"/>
        </w:rPr>
        <w:t>Table 1: Dose recommendation (</w:t>
      </w:r>
      <w:proofErr w:type="spellStart"/>
      <w:r w:rsidRPr="00B4737D">
        <w:rPr>
          <w:b/>
          <w:bCs/>
          <w:sz w:val="24"/>
          <w:szCs w:val="24"/>
          <w:lang w:val="en-GB"/>
        </w:rPr>
        <w:t>VTEt</w:t>
      </w:r>
      <w:proofErr w:type="spellEnd"/>
      <w:r w:rsidRPr="00B4737D">
        <w:rPr>
          <w:b/>
          <w:bCs/>
          <w:sz w:val="24"/>
          <w:szCs w:val="24"/>
          <w:lang w:val="en-GB"/>
        </w:rPr>
        <w:t>)</w:t>
      </w:r>
    </w:p>
    <w:tbl>
      <w:tblPr>
        <w:tblStyle w:val="Tabel-Gitter"/>
        <w:tblW w:w="5000" w:type="pct"/>
        <w:tblLook w:val="04A0" w:firstRow="1" w:lastRow="0" w:firstColumn="1" w:lastColumn="0" w:noHBand="0" w:noVBand="1"/>
      </w:tblPr>
      <w:tblGrid>
        <w:gridCol w:w="3209"/>
        <w:gridCol w:w="3209"/>
        <w:gridCol w:w="3210"/>
      </w:tblGrid>
      <w:tr w:rsidR="00B4737D" w:rsidRPr="00B4737D" w14:paraId="64D5BDD4" w14:textId="77777777" w:rsidTr="00D438C9">
        <w:tc>
          <w:tcPr>
            <w:tcW w:w="1666" w:type="pct"/>
            <w:tcBorders>
              <w:top w:val="single" w:sz="4" w:space="0" w:color="auto"/>
              <w:left w:val="single" w:sz="4" w:space="0" w:color="auto"/>
              <w:bottom w:val="single" w:sz="4" w:space="0" w:color="auto"/>
              <w:right w:val="single" w:sz="4" w:space="0" w:color="auto"/>
            </w:tcBorders>
          </w:tcPr>
          <w:p w14:paraId="2BDE40D6" w14:textId="77777777" w:rsidR="00B4737D" w:rsidRPr="00B4737D" w:rsidRDefault="00B4737D" w:rsidP="00D438C9">
            <w:pPr>
              <w:ind w:left="32"/>
              <w:rPr>
                <w:sz w:val="24"/>
                <w:szCs w:val="24"/>
                <w:u w:val="single"/>
                <w:lang w:val="en-GB"/>
              </w:rPr>
            </w:pPr>
          </w:p>
        </w:tc>
        <w:tc>
          <w:tcPr>
            <w:tcW w:w="1666" w:type="pct"/>
            <w:tcBorders>
              <w:top w:val="single" w:sz="4" w:space="0" w:color="auto"/>
              <w:left w:val="single" w:sz="4" w:space="0" w:color="auto"/>
              <w:bottom w:val="single" w:sz="4" w:space="0" w:color="auto"/>
              <w:right w:val="single" w:sz="4" w:space="0" w:color="auto"/>
            </w:tcBorders>
            <w:hideMark/>
          </w:tcPr>
          <w:p w14:paraId="086A0958" w14:textId="77777777" w:rsidR="00B4737D" w:rsidRPr="00B4737D" w:rsidRDefault="00B4737D" w:rsidP="00D438C9">
            <w:pPr>
              <w:ind w:left="32"/>
              <w:rPr>
                <w:sz w:val="24"/>
                <w:szCs w:val="24"/>
                <w:lang w:val="en-GB"/>
              </w:rPr>
            </w:pPr>
            <w:r w:rsidRPr="00B4737D">
              <w:rPr>
                <w:sz w:val="24"/>
                <w:szCs w:val="24"/>
                <w:lang w:val="en-GB"/>
              </w:rPr>
              <w:t>Dosing schedule</w:t>
            </w:r>
          </w:p>
        </w:tc>
        <w:tc>
          <w:tcPr>
            <w:tcW w:w="1667" w:type="pct"/>
            <w:tcBorders>
              <w:top w:val="single" w:sz="4" w:space="0" w:color="auto"/>
              <w:left w:val="single" w:sz="4" w:space="0" w:color="auto"/>
              <w:bottom w:val="single" w:sz="4" w:space="0" w:color="auto"/>
              <w:right w:val="single" w:sz="4" w:space="0" w:color="auto"/>
            </w:tcBorders>
            <w:hideMark/>
          </w:tcPr>
          <w:p w14:paraId="66F51FE7" w14:textId="77777777" w:rsidR="00B4737D" w:rsidRPr="00B4737D" w:rsidRDefault="00B4737D" w:rsidP="00D438C9">
            <w:pPr>
              <w:ind w:left="32"/>
              <w:rPr>
                <w:sz w:val="24"/>
                <w:szCs w:val="24"/>
                <w:lang w:val="en-GB"/>
              </w:rPr>
            </w:pPr>
            <w:r w:rsidRPr="00B4737D">
              <w:rPr>
                <w:sz w:val="24"/>
                <w:szCs w:val="24"/>
                <w:lang w:val="en-GB"/>
              </w:rPr>
              <w:t>Maximum daily dose</w:t>
            </w:r>
          </w:p>
        </w:tc>
      </w:tr>
      <w:tr w:rsidR="00B4737D" w:rsidRPr="00B4737D" w14:paraId="5329DD8D" w14:textId="77777777" w:rsidTr="00D438C9">
        <w:tc>
          <w:tcPr>
            <w:tcW w:w="1666" w:type="pct"/>
            <w:vMerge w:val="restart"/>
            <w:tcBorders>
              <w:top w:val="single" w:sz="4" w:space="0" w:color="auto"/>
              <w:left w:val="single" w:sz="4" w:space="0" w:color="auto"/>
              <w:bottom w:val="single" w:sz="4" w:space="0" w:color="auto"/>
              <w:right w:val="single" w:sz="4" w:space="0" w:color="auto"/>
            </w:tcBorders>
            <w:hideMark/>
          </w:tcPr>
          <w:p w14:paraId="76E050D8" w14:textId="77777777" w:rsidR="00B4737D" w:rsidRPr="00B4737D" w:rsidRDefault="00B4737D" w:rsidP="00D438C9">
            <w:pPr>
              <w:ind w:left="32"/>
              <w:rPr>
                <w:sz w:val="24"/>
                <w:szCs w:val="24"/>
                <w:lang w:val="en-US"/>
              </w:rPr>
            </w:pPr>
            <w:r w:rsidRPr="00B4737D">
              <w:rPr>
                <w:sz w:val="24"/>
                <w:szCs w:val="24"/>
                <w:lang w:val="en-US"/>
              </w:rPr>
              <w:t xml:space="preserve">Treatment of DVT or PE </w:t>
            </w:r>
          </w:p>
        </w:tc>
        <w:tc>
          <w:tcPr>
            <w:tcW w:w="1666" w:type="pct"/>
            <w:tcBorders>
              <w:top w:val="single" w:sz="4" w:space="0" w:color="auto"/>
              <w:left w:val="single" w:sz="4" w:space="0" w:color="auto"/>
              <w:bottom w:val="single" w:sz="4" w:space="0" w:color="auto"/>
              <w:right w:val="single" w:sz="4" w:space="0" w:color="auto"/>
            </w:tcBorders>
            <w:hideMark/>
          </w:tcPr>
          <w:p w14:paraId="168A5EB7" w14:textId="77777777" w:rsidR="00B4737D" w:rsidRPr="00B4737D" w:rsidRDefault="00B4737D" w:rsidP="00D438C9">
            <w:pPr>
              <w:ind w:left="32"/>
              <w:rPr>
                <w:sz w:val="24"/>
                <w:szCs w:val="24"/>
                <w:u w:val="single"/>
                <w:lang w:val="en-US"/>
              </w:rPr>
            </w:pPr>
            <w:r w:rsidRPr="00B4737D">
              <w:rPr>
                <w:sz w:val="24"/>
                <w:szCs w:val="24"/>
                <w:lang w:val="en-US"/>
              </w:rPr>
              <w:t xml:space="preserve">10 mg twice daily for the first 7 days </w:t>
            </w:r>
          </w:p>
        </w:tc>
        <w:tc>
          <w:tcPr>
            <w:tcW w:w="1667" w:type="pct"/>
            <w:tcBorders>
              <w:top w:val="single" w:sz="4" w:space="0" w:color="auto"/>
              <w:left w:val="single" w:sz="4" w:space="0" w:color="auto"/>
              <w:bottom w:val="single" w:sz="4" w:space="0" w:color="auto"/>
              <w:right w:val="single" w:sz="4" w:space="0" w:color="auto"/>
            </w:tcBorders>
          </w:tcPr>
          <w:p w14:paraId="556049DA" w14:textId="77777777" w:rsidR="00B4737D" w:rsidRPr="00B4737D" w:rsidRDefault="00B4737D" w:rsidP="00D438C9">
            <w:pPr>
              <w:ind w:left="32"/>
              <w:rPr>
                <w:sz w:val="24"/>
                <w:szCs w:val="24"/>
                <w:lang w:val="en-US"/>
              </w:rPr>
            </w:pPr>
            <w:r w:rsidRPr="00B4737D">
              <w:rPr>
                <w:sz w:val="24"/>
                <w:szCs w:val="24"/>
                <w:lang w:val="en-US"/>
              </w:rPr>
              <w:t xml:space="preserve">20 mg </w:t>
            </w:r>
          </w:p>
          <w:p w14:paraId="69FE12F3" w14:textId="77777777" w:rsidR="00B4737D" w:rsidRPr="00B4737D" w:rsidRDefault="00B4737D" w:rsidP="00D438C9">
            <w:pPr>
              <w:ind w:left="32"/>
              <w:rPr>
                <w:sz w:val="24"/>
                <w:szCs w:val="24"/>
                <w:u w:val="single"/>
                <w:lang w:val="en-GB"/>
              </w:rPr>
            </w:pPr>
          </w:p>
        </w:tc>
      </w:tr>
      <w:tr w:rsidR="00B4737D" w:rsidRPr="00B4737D" w14:paraId="4F90F534" w14:textId="77777777" w:rsidTr="00D438C9">
        <w:tc>
          <w:tcPr>
            <w:tcW w:w="1666" w:type="pct"/>
            <w:vMerge/>
            <w:tcBorders>
              <w:top w:val="single" w:sz="4" w:space="0" w:color="auto"/>
              <w:left w:val="single" w:sz="4" w:space="0" w:color="auto"/>
              <w:bottom w:val="single" w:sz="4" w:space="0" w:color="auto"/>
              <w:right w:val="single" w:sz="4" w:space="0" w:color="auto"/>
            </w:tcBorders>
            <w:vAlign w:val="center"/>
            <w:hideMark/>
          </w:tcPr>
          <w:p w14:paraId="08254BEF" w14:textId="77777777" w:rsidR="00B4737D" w:rsidRPr="00B4737D" w:rsidRDefault="00B4737D" w:rsidP="00D438C9">
            <w:pPr>
              <w:ind w:left="32"/>
              <w:rPr>
                <w:sz w:val="24"/>
                <w:szCs w:val="24"/>
                <w:lang w:val="en-US"/>
              </w:rPr>
            </w:pPr>
          </w:p>
        </w:tc>
        <w:tc>
          <w:tcPr>
            <w:tcW w:w="1666" w:type="pct"/>
            <w:tcBorders>
              <w:top w:val="single" w:sz="4" w:space="0" w:color="auto"/>
              <w:left w:val="single" w:sz="4" w:space="0" w:color="auto"/>
              <w:bottom w:val="single" w:sz="4" w:space="0" w:color="auto"/>
              <w:right w:val="single" w:sz="4" w:space="0" w:color="auto"/>
            </w:tcBorders>
            <w:hideMark/>
          </w:tcPr>
          <w:p w14:paraId="19DEBDE8" w14:textId="77777777" w:rsidR="00B4737D" w:rsidRPr="00B4737D" w:rsidRDefault="00B4737D" w:rsidP="00D438C9">
            <w:pPr>
              <w:ind w:left="32"/>
              <w:rPr>
                <w:sz w:val="24"/>
                <w:szCs w:val="24"/>
                <w:u w:val="single"/>
                <w:lang w:val="en-US"/>
              </w:rPr>
            </w:pPr>
            <w:r w:rsidRPr="00B4737D">
              <w:rPr>
                <w:sz w:val="24"/>
                <w:szCs w:val="24"/>
                <w:lang w:val="en-US"/>
              </w:rPr>
              <w:t xml:space="preserve">followed by 5 mg twice daily </w:t>
            </w:r>
          </w:p>
        </w:tc>
        <w:tc>
          <w:tcPr>
            <w:tcW w:w="1667" w:type="pct"/>
            <w:tcBorders>
              <w:top w:val="single" w:sz="4" w:space="0" w:color="auto"/>
              <w:left w:val="single" w:sz="4" w:space="0" w:color="auto"/>
              <w:bottom w:val="single" w:sz="4" w:space="0" w:color="auto"/>
              <w:right w:val="single" w:sz="4" w:space="0" w:color="auto"/>
            </w:tcBorders>
            <w:hideMark/>
          </w:tcPr>
          <w:p w14:paraId="11283BF6" w14:textId="77777777" w:rsidR="00B4737D" w:rsidRPr="00B4737D" w:rsidRDefault="00B4737D" w:rsidP="00D438C9">
            <w:pPr>
              <w:ind w:left="32"/>
              <w:rPr>
                <w:sz w:val="24"/>
                <w:szCs w:val="24"/>
                <w:u w:val="single"/>
                <w:lang w:val="en-US"/>
              </w:rPr>
            </w:pPr>
            <w:r w:rsidRPr="00B4737D">
              <w:rPr>
                <w:sz w:val="24"/>
                <w:szCs w:val="24"/>
                <w:lang w:val="en-US"/>
              </w:rPr>
              <w:t xml:space="preserve">10 mg </w:t>
            </w:r>
          </w:p>
        </w:tc>
      </w:tr>
      <w:tr w:rsidR="00B4737D" w:rsidRPr="00B4737D" w14:paraId="666D9FA4" w14:textId="77777777" w:rsidTr="00D438C9">
        <w:tc>
          <w:tcPr>
            <w:tcW w:w="1666" w:type="pct"/>
            <w:tcBorders>
              <w:top w:val="single" w:sz="4" w:space="0" w:color="auto"/>
              <w:left w:val="single" w:sz="4" w:space="0" w:color="auto"/>
              <w:bottom w:val="single" w:sz="4" w:space="0" w:color="auto"/>
              <w:right w:val="single" w:sz="4" w:space="0" w:color="auto"/>
            </w:tcBorders>
            <w:hideMark/>
          </w:tcPr>
          <w:p w14:paraId="071BA582" w14:textId="77777777" w:rsidR="00B4737D" w:rsidRPr="00B4737D" w:rsidRDefault="00B4737D" w:rsidP="00D438C9">
            <w:pPr>
              <w:ind w:left="32"/>
              <w:rPr>
                <w:sz w:val="24"/>
                <w:szCs w:val="24"/>
                <w:lang w:val="en-US"/>
              </w:rPr>
            </w:pPr>
            <w:r w:rsidRPr="00B4737D">
              <w:rPr>
                <w:sz w:val="24"/>
                <w:szCs w:val="24"/>
                <w:lang w:val="en-US"/>
              </w:rPr>
              <w:t xml:space="preserve">Prevention of recurrent DVT and/or PE following completion of 6 months of treatment for DVT or PE </w:t>
            </w:r>
          </w:p>
        </w:tc>
        <w:tc>
          <w:tcPr>
            <w:tcW w:w="1666" w:type="pct"/>
            <w:tcBorders>
              <w:top w:val="single" w:sz="4" w:space="0" w:color="auto"/>
              <w:left w:val="single" w:sz="4" w:space="0" w:color="auto"/>
              <w:bottom w:val="single" w:sz="4" w:space="0" w:color="auto"/>
              <w:right w:val="single" w:sz="4" w:space="0" w:color="auto"/>
            </w:tcBorders>
            <w:hideMark/>
          </w:tcPr>
          <w:p w14:paraId="4AA928FE" w14:textId="77777777" w:rsidR="00B4737D" w:rsidRPr="00B4737D" w:rsidRDefault="00B4737D" w:rsidP="00D438C9">
            <w:pPr>
              <w:ind w:left="32"/>
              <w:rPr>
                <w:sz w:val="24"/>
                <w:szCs w:val="24"/>
                <w:u w:val="single"/>
                <w:lang w:val="en-US"/>
              </w:rPr>
            </w:pPr>
            <w:r w:rsidRPr="00B4737D">
              <w:rPr>
                <w:sz w:val="24"/>
                <w:szCs w:val="24"/>
                <w:lang w:val="en-US"/>
              </w:rPr>
              <w:t xml:space="preserve">2.5 mg twice daily </w:t>
            </w:r>
          </w:p>
        </w:tc>
        <w:tc>
          <w:tcPr>
            <w:tcW w:w="1667" w:type="pct"/>
            <w:tcBorders>
              <w:top w:val="single" w:sz="4" w:space="0" w:color="auto"/>
              <w:left w:val="single" w:sz="4" w:space="0" w:color="auto"/>
              <w:bottom w:val="single" w:sz="4" w:space="0" w:color="auto"/>
              <w:right w:val="single" w:sz="4" w:space="0" w:color="auto"/>
            </w:tcBorders>
            <w:hideMark/>
          </w:tcPr>
          <w:p w14:paraId="56967E06" w14:textId="77777777" w:rsidR="00B4737D" w:rsidRPr="00B4737D" w:rsidRDefault="00B4737D" w:rsidP="00D438C9">
            <w:pPr>
              <w:ind w:left="32"/>
              <w:rPr>
                <w:sz w:val="24"/>
                <w:szCs w:val="24"/>
                <w:u w:val="single"/>
                <w:lang w:val="en-US"/>
              </w:rPr>
            </w:pPr>
            <w:r w:rsidRPr="00B4737D">
              <w:rPr>
                <w:sz w:val="24"/>
                <w:szCs w:val="24"/>
                <w:lang w:val="en-US"/>
              </w:rPr>
              <w:t xml:space="preserve">5 mg </w:t>
            </w:r>
          </w:p>
        </w:tc>
      </w:tr>
    </w:tbl>
    <w:p w14:paraId="16925343" w14:textId="77777777" w:rsidR="00B4737D" w:rsidRPr="00B4737D" w:rsidRDefault="00B4737D" w:rsidP="00B4737D">
      <w:pPr>
        <w:tabs>
          <w:tab w:val="left" w:pos="851"/>
        </w:tabs>
        <w:ind w:left="851"/>
        <w:rPr>
          <w:sz w:val="24"/>
          <w:szCs w:val="24"/>
          <w:u w:val="single"/>
          <w:lang w:val="en-GB"/>
        </w:rPr>
      </w:pPr>
    </w:p>
    <w:p w14:paraId="0690EE69" w14:textId="77777777" w:rsidR="00B4737D" w:rsidRPr="00B4737D" w:rsidRDefault="00B4737D" w:rsidP="00D438C9">
      <w:pPr>
        <w:ind w:left="851"/>
        <w:rPr>
          <w:sz w:val="24"/>
          <w:szCs w:val="24"/>
          <w:lang w:val="en-GB"/>
        </w:rPr>
      </w:pPr>
      <w:r w:rsidRPr="00B4737D">
        <w:rPr>
          <w:sz w:val="24"/>
          <w:szCs w:val="24"/>
          <w:lang w:val="en-GB"/>
        </w:rPr>
        <w:t xml:space="preserve">The duration of overall therapy should be individualised after careful assessment of the treatment benefit against the risk for bleeding (see section 4.4). </w:t>
      </w:r>
    </w:p>
    <w:p w14:paraId="0116E70C" w14:textId="77777777" w:rsidR="00B4737D" w:rsidRPr="00B4737D" w:rsidRDefault="00B4737D" w:rsidP="00D438C9">
      <w:pPr>
        <w:ind w:left="851"/>
        <w:rPr>
          <w:sz w:val="24"/>
          <w:szCs w:val="24"/>
          <w:lang w:val="en-GB"/>
        </w:rPr>
      </w:pPr>
    </w:p>
    <w:p w14:paraId="66AA73F9" w14:textId="77777777" w:rsidR="00B4737D" w:rsidRPr="00B4737D" w:rsidRDefault="00B4737D" w:rsidP="00D438C9">
      <w:pPr>
        <w:ind w:left="851"/>
        <w:rPr>
          <w:i/>
          <w:sz w:val="24"/>
          <w:szCs w:val="24"/>
          <w:u w:val="single"/>
          <w:lang w:val="en-GB"/>
        </w:rPr>
      </w:pPr>
      <w:r w:rsidRPr="00B4737D">
        <w:rPr>
          <w:i/>
          <w:sz w:val="24"/>
          <w:szCs w:val="24"/>
          <w:u w:val="single"/>
          <w:lang w:val="en-GB"/>
        </w:rPr>
        <w:t>Treatment of VTE and prevention of recurrent VTE in paediatric patients</w:t>
      </w:r>
    </w:p>
    <w:p w14:paraId="33BAEF06" w14:textId="159F27B8" w:rsidR="00B4737D" w:rsidRPr="00B4737D" w:rsidRDefault="00B4737D" w:rsidP="00D438C9">
      <w:pPr>
        <w:ind w:left="851"/>
        <w:rPr>
          <w:sz w:val="24"/>
          <w:szCs w:val="24"/>
          <w:lang w:val="en-GB"/>
        </w:rPr>
      </w:pPr>
      <w:r w:rsidRPr="00B4737D">
        <w:rPr>
          <w:sz w:val="24"/>
          <w:szCs w:val="24"/>
          <w:lang w:val="en-GB"/>
        </w:rPr>
        <w:t>Apixaban treatment for paediatric patients from 28 days to less than 18 years of age should be initiated</w:t>
      </w:r>
      <w:r w:rsidR="001C1AA7">
        <w:rPr>
          <w:sz w:val="24"/>
          <w:szCs w:val="24"/>
          <w:lang w:val="en-GB"/>
        </w:rPr>
        <w:t xml:space="preserve"> </w:t>
      </w:r>
      <w:r w:rsidRPr="00B4737D">
        <w:rPr>
          <w:sz w:val="24"/>
          <w:szCs w:val="24"/>
          <w:lang w:val="en-GB"/>
        </w:rPr>
        <w:t>following at least 5 days of initial parenteral anticoagulation therapy (see section 5.1).</w:t>
      </w:r>
    </w:p>
    <w:p w14:paraId="257086BB" w14:textId="77777777" w:rsidR="00B4737D" w:rsidRPr="00B4737D" w:rsidRDefault="00B4737D" w:rsidP="00D438C9">
      <w:pPr>
        <w:ind w:left="851"/>
        <w:rPr>
          <w:sz w:val="24"/>
          <w:szCs w:val="24"/>
          <w:lang w:val="en-GB"/>
        </w:rPr>
      </w:pPr>
    </w:p>
    <w:p w14:paraId="7C61D6BA" w14:textId="05BAC807" w:rsidR="00B4737D" w:rsidRPr="00B4737D" w:rsidRDefault="00B4737D" w:rsidP="00D438C9">
      <w:pPr>
        <w:ind w:left="851"/>
        <w:rPr>
          <w:sz w:val="24"/>
          <w:szCs w:val="24"/>
          <w:lang w:val="en-GB"/>
        </w:rPr>
      </w:pPr>
      <w:r w:rsidRPr="00B4737D">
        <w:rPr>
          <w:sz w:val="24"/>
          <w:szCs w:val="24"/>
          <w:lang w:val="en-GB"/>
        </w:rPr>
        <w:lastRenderedPageBreak/>
        <w:t>Treatment with apixaban in paediatric patients is based on weight-tiered dosing. The recommended</w:t>
      </w:r>
      <w:r w:rsidR="001C1AA7">
        <w:rPr>
          <w:sz w:val="24"/>
          <w:szCs w:val="24"/>
          <w:lang w:val="en-GB"/>
        </w:rPr>
        <w:t xml:space="preserve"> </w:t>
      </w:r>
      <w:r w:rsidRPr="00B4737D">
        <w:rPr>
          <w:sz w:val="24"/>
          <w:szCs w:val="24"/>
          <w:lang w:val="en-GB"/>
        </w:rPr>
        <w:t>dose of apixaban in paediatric patients weighing ≥ 35 kg is shown in Table 2.</w:t>
      </w:r>
    </w:p>
    <w:p w14:paraId="5077A172" w14:textId="77777777" w:rsidR="00B4737D" w:rsidRPr="00B4737D" w:rsidRDefault="00B4737D" w:rsidP="00B4737D">
      <w:pPr>
        <w:tabs>
          <w:tab w:val="left" w:pos="851"/>
        </w:tabs>
        <w:ind w:left="851"/>
        <w:rPr>
          <w:sz w:val="24"/>
          <w:szCs w:val="24"/>
          <w:lang w:val="en-GB"/>
        </w:rPr>
      </w:pPr>
    </w:p>
    <w:p w14:paraId="036EDFFB" w14:textId="77A03AB0" w:rsidR="00B4737D" w:rsidRPr="00B4737D" w:rsidRDefault="00B4737D" w:rsidP="00B4737D">
      <w:pPr>
        <w:tabs>
          <w:tab w:val="left" w:pos="851"/>
        </w:tabs>
        <w:ind w:left="851"/>
        <w:rPr>
          <w:b/>
          <w:sz w:val="24"/>
          <w:szCs w:val="24"/>
          <w:lang w:val="en-GB"/>
        </w:rPr>
      </w:pPr>
      <w:r w:rsidRPr="00B4737D">
        <w:rPr>
          <w:b/>
          <w:sz w:val="24"/>
          <w:szCs w:val="24"/>
          <w:lang w:val="en-GB"/>
        </w:rPr>
        <w:t>Table 2: Dose recommendation for treatment of VTE and prevention of recurrent VTE in</w:t>
      </w:r>
      <w:r w:rsidR="00D438C9" w:rsidRPr="001C1AA7">
        <w:rPr>
          <w:b/>
          <w:sz w:val="24"/>
          <w:szCs w:val="24"/>
          <w:lang w:val="en-GB"/>
        </w:rPr>
        <w:t xml:space="preserve"> </w:t>
      </w:r>
      <w:r w:rsidRPr="00B4737D">
        <w:rPr>
          <w:b/>
          <w:sz w:val="24"/>
          <w:szCs w:val="24"/>
          <w:lang w:val="en-GB"/>
        </w:rPr>
        <w:t>paediatric patients weighing ≥ 35 kg (after initial parenteral anticoagulation)</w:t>
      </w:r>
    </w:p>
    <w:p w14:paraId="4F935A67" w14:textId="77777777" w:rsidR="00B4737D" w:rsidRPr="00B4737D" w:rsidRDefault="00B4737D" w:rsidP="00B4737D">
      <w:pPr>
        <w:tabs>
          <w:tab w:val="left" w:pos="851"/>
        </w:tabs>
        <w:ind w:left="851"/>
        <w:rPr>
          <w:sz w:val="24"/>
          <w:szCs w:val="24"/>
          <w:lang w:val="en-GB"/>
        </w:rPr>
      </w:pPr>
    </w:p>
    <w:tbl>
      <w:tblPr>
        <w:tblStyle w:val="Tabel-Gitter"/>
        <w:tblW w:w="5000" w:type="pct"/>
        <w:jc w:val="center"/>
        <w:tblLook w:val="04A0" w:firstRow="1" w:lastRow="0" w:firstColumn="1" w:lastColumn="0" w:noHBand="0" w:noVBand="1"/>
      </w:tblPr>
      <w:tblGrid>
        <w:gridCol w:w="1925"/>
        <w:gridCol w:w="1925"/>
        <w:gridCol w:w="1926"/>
        <w:gridCol w:w="1926"/>
        <w:gridCol w:w="1926"/>
      </w:tblGrid>
      <w:tr w:rsidR="00B4737D" w:rsidRPr="00B4737D" w14:paraId="547051E1" w14:textId="77777777" w:rsidTr="00D438C9">
        <w:trPr>
          <w:jc w:val="center"/>
        </w:trPr>
        <w:tc>
          <w:tcPr>
            <w:tcW w:w="1000" w:type="pct"/>
            <w:tcBorders>
              <w:top w:val="single" w:sz="4" w:space="0" w:color="auto"/>
              <w:left w:val="single" w:sz="4" w:space="0" w:color="auto"/>
              <w:bottom w:val="single" w:sz="4" w:space="0" w:color="auto"/>
              <w:right w:val="single" w:sz="4" w:space="0" w:color="auto"/>
            </w:tcBorders>
          </w:tcPr>
          <w:p w14:paraId="6300006D" w14:textId="77777777" w:rsidR="00B4737D" w:rsidRPr="00B4737D" w:rsidRDefault="00B4737D" w:rsidP="00D438C9">
            <w:pPr>
              <w:ind w:left="32"/>
              <w:rPr>
                <w:sz w:val="24"/>
                <w:szCs w:val="24"/>
                <w:lang w:val="en-GB"/>
              </w:rPr>
            </w:pPr>
          </w:p>
        </w:tc>
        <w:tc>
          <w:tcPr>
            <w:tcW w:w="2000" w:type="pct"/>
            <w:gridSpan w:val="2"/>
            <w:tcBorders>
              <w:top w:val="single" w:sz="4" w:space="0" w:color="auto"/>
              <w:left w:val="single" w:sz="4" w:space="0" w:color="auto"/>
              <w:bottom w:val="single" w:sz="4" w:space="0" w:color="auto"/>
              <w:right w:val="single" w:sz="4" w:space="0" w:color="auto"/>
            </w:tcBorders>
            <w:hideMark/>
          </w:tcPr>
          <w:p w14:paraId="121D3BBA" w14:textId="77777777" w:rsidR="00B4737D" w:rsidRPr="00B4737D" w:rsidRDefault="00B4737D" w:rsidP="00D438C9">
            <w:pPr>
              <w:ind w:left="32"/>
              <w:rPr>
                <w:sz w:val="24"/>
                <w:szCs w:val="24"/>
                <w:lang w:val="en-GB"/>
              </w:rPr>
            </w:pPr>
            <w:r w:rsidRPr="00B4737D">
              <w:rPr>
                <w:sz w:val="24"/>
                <w:szCs w:val="24"/>
                <w:lang w:val="en-GB"/>
              </w:rPr>
              <w:t>Days 1-7</w:t>
            </w:r>
          </w:p>
        </w:tc>
        <w:tc>
          <w:tcPr>
            <w:tcW w:w="2000" w:type="pct"/>
            <w:gridSpan w:val="2"/>
            <w:tcBorders>
              <w:top w:val="single" w:sz="4" w:space="0" w:color="auto"/>
              <w:left w:val="single" w:sz="4" w:space="0" w:color="auto"/>
              <w:bottom w:val="single" w:sz="4" w:space="0" w:color="auto"/>
              <w:right w:val="single" w:sz="4" w:space="0" w:color="auto"/>
            </w:tcBorders>
            <w:hideMark/>
          </w:tcPr>
          <w:p w14:paraId="06891827" w14:textId="77777777" w:rsidR="00B4737D" w:rsidRPr="00B4737D" w:rsidRDefault="00B4737D" w:rsidP="00D438C9">
            <w:pPr>
              <w:ind w:left="32"/>
              <w:rPr>
                <w:sz w:val="24"/>
                <w:szCs w:val="24"/>
                <w:lang w:val="en-GB"/>
              </w:rPr>
            </w:pPr>
            <w:r w:rsidRPr="00B4737D">
              <w:rPr>
                <w:sz w:val="24"/>
                <w:szCs w:val="24"/>
                <w:lang w:val="en-GB"/>
              </w:rPr>
              <w:t>Day 8 and beyond</w:t>
            </w:r>
          </w:p>
        </w:tc>
      </w:tr>
      <w:tr w:rsidR="00B4737D" w:rsidRPr="00B4737D" w14:paraId="1E6E57B1" w14:textId="77777777" w:rsidTr="00D438C9">
        <w:trPr>
          <w:jc w:val="center"/>
        </w:trPr>
        <w:tc>
          <w:tcPr>
            <w:tcW w:w="1000" w:type="pct"/>
            <w:tcBorders>
              <w:top w:val="single" w:sz="4" w:space="0" w:color="auto"/>
              <w:left w:val="single" w:sz="4" w:space="0" w:color="auto"/>
              <w:bottom w:val="single" w:sz="4" w:space="0" w:color="auto"/>
              <w:right w:val="single" w:sz="4" w:space="0" w:color="auto"/>
            </w:tcBorders>
            <w:hideMark/>
          </w:tcPr>
          <w:p w14:paraId="74020A0A" w14:textId="77777777" w:rsidR="00B4737D" w:rsidRPr="00B4737D" w:rsidRDefault="00B4737D" w:rsidP="00D438C9">
            <w:pPr>
              <w:ind w:left="32"/>
              <w:rPr>
                <w:sz w:val="24"/>
                <w:szCs w:val="24"/>
                <w:lang w:val="en-GB"/>
              </w:rPr>
            </w:pPr>
            <w:r w:rsidRPr="00B4737D">
              <w:rPr>
                <w:sz w:val="24"/>
                <w:szCs w:val="24"/>
                <w:lang w:val="en-GB"/>
              </w:rPr>
              <w:t>Body weight (kg)</w:t>
            </w:r>
          </w:p>
        </w:tc>
        <w:tc>
          <w:tcPr>
            <w:tcW w:w="1000" w:type="pct"/>
            <w:tcBorders>
              <w:top w:val="single" w:sz="4" w:space="0" w:color="auto"/>
              <w:left w:val="single" w:sz="4" w:space="0" w:color="auto"/>
              <w:bottom w:val="single" w:sz="4" w:space="0" w:color="auto"/>
              <w:right w:val="single" w:sz="4" w:space="0" w:color="auto"/>
            </w:tcBorders>
            <w:hideMark/>
          </w:tcPr>
          <w:p w14:paraId="0D4811A7" w14:textId="77777777" w:rsidR="00B4737D" w:rsidRPr="00B4737D" w:rsidRDefault="00B4737D" w:rsidP="00D438C9">
            <w:pPr>
              <w:ind w:left="32"/>
              <w:rPr>
                <w:sz w:val="24"/>
                <w:szCs w:val="24"/>
                <w:lang w:val="en-GB"/>
              </w:rPr>
            </w:pPr>
            <w:r w:rsidRPr="00B4737D">
              <w:rPr>
                <w:sz w:val="24"/>
                <w:szCs w:val="24"/>
                <w:lang w:val="en-GB"/>
              </w:rPr>
              <w:t>Dosing schedule</w:t>
            </w:r>
          </w:p>
        </w:tc>
        <w:tc>
          <w:tcPr>
            <w:tcW w:w="1000" w:type="pct"/>
            <w:tcBorders>
              <w:top w:val="single" w:sz="4" w:space="0" w:color="auto"/>
              <w:left w:val="single" w:sz="4" w:space="0" w:color="auto"/>
              <w:bottom w:val="single" w:sz="4" w:space="0" w:color="auto"/>
              <w:right w:val="single" w:sz="4" w:space="0" w:color="auto"/>
            </w:tcBorders>
            <w:hideMark/>
          </w:tcPr>
          <w:p w14:paraId="20D9FC6D" w14:textId="77777777" w:rsidR="00B4737D" w:rsidRPr="00B4737D" w:rsidRDefault="00B4737D" w:rsidP="00D438C9">
            <w:pPr>
              <w:ind w:left="32"/>
              <w:rPr>
                <w:sz w:val="24"/>
                <w:szCs w:val="24"/>
                <w:lang w:val="en-GB"/>
              </w:rPr>
            </w:pPr>
            <w:r w:rsidRPr="00B4737D">
              <w:rPr>
                <w:sz w:val="24"/>
                <w:szCs w:val="24"/>
                <w:lang w:val="en-GB"/>
              </w:rPr>
              <w:t>Maximum daily</w:t>
            </w:r>
          </w:p>
          <w:p w14:paraId="65B5A362" w14:textId="77777777" w:rsidR="00B4737D" w:rsidRPr="00B4737D" w:rsidRDefault="00B4737D" w:rsidP="00D438C9">
            <w:pPr>
              <w:ind w:left="32"/>
              <w:rPr>
                <w:sz w:val="24"/>
                <w:szCs w:val="24"/>
                <w:lang w:val="en-GB"/>
              </w:rPr>
            </w:pPr>
            <w:r w:rsidRPr="00B4737D">
              <w:rPr>
                <w:sz w:val="24"/>
                <w:szCs w:val="24"/>
                <w:lang w:val="en-GB"/>
              </w:rPr>
              <w:t>dose</w:t>
            </w:r>
          </w:p>
        </w:tc>
        <w:tc>
          <w:tcPr>
            <w:tcW w:w="1000" w:type="pct"/>
            <w:tcBorders>
              <w:top w:val="single" w:sz="4" w:space="0" w:color="auto"/>
              <w:left w:val="single" w:sz="4" w:space="0" w:color="auto"/>
              <w:bottom w:val="single" w:sz="4" w:space="0" w:color="auto"/>
              <w:right w:val="single" w:sz="4" w:space="0" w:color="auto"/>
            </w:tcBorders>
            <w:hideMark/>
          </w:tcPr>
          <w:p w14:paraId="0449D2E0" w14:textId="77777777" w:rsidR="00B4737D" w:rsidRPr="00B4737D" w:rsidRDefault="00B4737D" w:rsidP="00D438C9">
            <w:pPr>
              <w:ind w:left="32"/>
              <w:rPr>
                <w:sz w:val="24"/>
                <w:szCs w:val="24"/>
                <w:lang w:val="en-GB"/>
              </w:rPr>
            </w:pPr>
            <w:r w:rsidRPr="00B4737D">
              <w:rPr>
                <w:sz w:val="24"/>
                <w:szCs w:val="24"/>
                <w:lang w:val="en-GB"/>
              </w:rPr>
              <w:t>Dosing schedule</w:t>
            </w:r>
          </w:p>
        </w:tc>
        <w:tc>
          <w:tcPr>
            <w:tcW w:w="1000" w:type="pct"/>
            <w:tcBorders>
              <w:top w:val="single" w:sz="4" w:space="0" w:color="auto"/>
              <w:left w:val="single" w:sz="4" w:space="0" w:color="auto"/>
              <w:bottom w:val="single" w:sz="4" w:space="0" w:color="auto"/>
              <w:right w:val="single" w:sz="4" w:space="0" w:color="auto"/>
            </w:tcBorders>
            <w:hideMark/>
          </w:tcPr>
          <w:p w14:paraId="1F2BA0E9" w14:textId="77777777" w:rsidR="00B4737D" w:rsidRPr="00B4737D" w:rsidRDefault="00B4737D" w:rsidP="00D438C9">
            <w:pPr>
              <w:ind w:left="32"/>
              <w:rPr>
                <w:sz w:val="24"/>
                <w:szCs w:val="24"/>
                <w:lang w:val="en-GB"/>
              </w:rPr>
            </w:pPr>
            <w:r w:rsidRPr="00B4737D">
              <w:rPr>
                <w:sz w:val="24"/>
                <w:szCs w:val="24"/>
                <w:lang w:val="en-GB"/>
              </w:rPr>
              <w:t>Maximum daily</w:t>
            </w:r>
          </w:p>
          <w:p w14:paraId="67C8D3B3" w14:textId="77777777" w:rsidR="00B4737D" w:rsidRPr="00B4737D" w:rsidRDefault="00B4737D" w:rsidP="00D438C9">
            <w:pPr>
              <w:ind w:left="32"/>
              <w:rPr>
                <w:sz w:val="24"/>
                <w:szCs w:val="24"/>
                <w:lang w:val="en-GB"/>
              </w:rPr>
            </w:pPr>
            <w:r w:rsidRPr="00B4737D">
              <w:rPr>
                <w:sz w:val="24"/>
                <w:szCs w:val="24"/>
                <w:lang w:val="en-GB"/>
              </w:rPr>
              <w:t>dose</w:t>
            </w:r>
          </w:p>
        </w:tc>
      </w:tr>
      <w:tr w:rsidR="00B4737D" w:rsidRPr="00B4737D" w14:paraId="4835E0CD" w14:textId="77777777" w:rsidTr="00D438C9">
        <w:trPr>
          <w:jc w:val="center"/>
        </w:trPr>
        <w:tc>
          <w:tcPr>
            <w:tcW w:w="1000" w:type="pct"/>
            <w:tcBorders>
              <w:top w:val="single" w:sz="4" w:space="0" w:color="auto"/>
              <w:left w:val="single" w:sz="4" w:space="0" w:color="auto"/>
              <w:bottom w:val="single" w:sz="4" w:space="0" w:color="auto"/>
              <w:right w:val="single" w:sz="4" w:space="0" w:color="auto"/>
            </w:tcBorders>
            <w:hideMark/>
          </w:tcPr>
          <w:p w14:paraId="0A26D6BA" w14:textId="77777777" w:rsidR="00B4737D" w:rsidRPr="00B4737D" w:rsidRDefault="00B4737D" w:rsidP="00D438C9">
            <w:pPr>
              <w:ind w:left="32"/>
              <w:rPr>
                <w:sz w:val="24"/>
                <w:szCs w:val="24"/>
                <w:lang w:val="en-GB"/>
              </w:rPr>
            </w:pPr>
            <w:r w:rsidRPr="00B4737D">
              <w:rPr>
                <w:sz w:val="24"/>
                <w:szCs w:val="24"/>
                <w:lang w:val="en-GB"/>
              </w:rPr>
              <w:t>≥ 35</w:t>
            </w:r>
          </w:p>
        </w:tc>
        <w:tc>
          <w:tcPr>
            <w:tcW w:w="1000" w:type="pct"/>
            <w:tcBorders>
              <w:top w:val="single" w:sz="4" w:space="0" w:color="auto"/>
              <w:left w:val="single" w:sz="4" w:space="0" w:color="auto"/>
              <w:bottom w:val="single" w:sz="4" w:space="0" w:color="auto"/>
              <w:right w:val="single" w:sz="4" w:space="0" w:color="auto"/>
            </w:tcBorders>
            <w:hideMark/>
          </w:tcPr>
          <w:p w14:paraId="0F08649B" w14:textId="77777777" w:rsidR="00B4737D" w:rsidRPr="00B4737D" w:rsidRDefault="00B4737D" w:rsidP="00D438C9">
            <w:pPr>
              <w:ind w:left="32"/>
              <w:rPr>
                <w:sz w:val="24"/>
                <w:szCs w:val="24"/>
                <w:lang w:val="en-GB"/>
              </w:rPr>
            </w:pPr>
            <w:r w:rsidRPr="00B4737D">
              <w:rPr>
                <w:sz w:val="24"/>
                <w:szCs w:val="24"/>
                <w:lang w:val="en-GB"/>
              </w:rPr>
              <w:t>10 mg twice daily</w:t>
            </w:r>
          </w:p>
        </w:tc>
        <w:tc>
          <w:tcPr>
            <w:tcW w:w="1000" w:type="pct"/>
            <w:tcBorders>
              <w:top w:val="single" w:sz="4" w:space="0" w:color="auto"/>
              <w:left w:val="single" w:sz="4" w:space="0" w:color="auto"/>
              <w:bottom w:val="single" w:sz="4" w:space="0" w:color="auto"/>
              <w:right w:val="single" w:sz="4" w:space="0" w:color="auto"/>
            </w:tcBorders>
            <w:hideMark/>
          </w:tcPr>
          <w:p w14:paraId="50084947" w14:textId="77777777" w:rsidR="00B4737D" w:rsidRPr="00B4737D" w:rsidRDefault="00B4737D" w:rsidP="00D438C9">
            <w:pPr>
              <w:ind w:left="32"/>
              <w:rPr>
                <w:sz w:val="24"/>
                <w:szCs w:val="24"/>
                <w:lang w:val="en-GB"/>
              </w:rPr>
            </w:pPr>
            <w:r w:rsidRPr="00B4737D">
              <w:rPr>
                <w:sz w:val="24"/>
                <w:szCs w:val="24"/>
                <w:lang w:val="en-GB"/>
              </w:rPr>
              <w:t>20 mg</w:t>
            </w:r>
          </w:p>
        </w:tc>
        <w:tc>
          <w:tcPr>
            <w:tcW w:w="1000" w:type="pct"/>
            <w:tcBorders>
              <w:top w:val="single" w:sz="4" w:space="0" w:color="auto"/>
              <w:left w:val="single" w:sz="4" w:space="0" w:color="auto"/>
              <w:bottom w:val="single" w:sz="4" w:space="0" w:color="auto"/>
              <w:right w:val="single" w:sz="4" w:space="0" w:color="auto"/>
            </w:tcBorders>
            <w:hideMark/>
          </w:tcPr>
          <w:p w14:paraId="68F000C2" w14:textId="77777777" w:rsidR="00B4737D" w:rsidRPr="00B4737D" w:rsidRDefault="00B4737D" w:rsidP="00D438C9">
            <w:pPr>
              <w:ind w:left="32"/>
              <w:rPr>
                <w:sz w:val="24"/>
                <w:szCs w:val="24"/>
                <w:lang w:val="en-GB"/>
              </w:rPr>
            </w:pPr>
            <w:r w:rsidRPr="00B4737D">
              <w:rPr>
                <w:sz w:val="24"/>
                <w:szCs w:val="24"/>
                <w:lang w:val="en-GB"/>
              </w:rPr>
              <w:t>5 mg twice daily</w:t>
            </w:r>
          </w:p>
        </w:tc>
        <w:tc>
          <w:tcPr>
            <w:tcW w:w="1000" w:type="pct"/>
            <w:tcBorders>
              <w:top w:val="single" w:sz="4" w:space="0" w:color="auto"/>
              <w:left w:val="single" w:sz="4" w:space="0" w:color="auto"/>
              <w:bottom w:val="single" w:sz="4" w:space="0" w:color="auto"/>
              <w:right w:val="single" w:sz="4" w:space="0" w:color="auto"/>
            </w:tcBorders>
            <w:hideMark/>
          </w:tcPr>
          <w:p w14:paraId="5A59F5C1" w14:textId="77777777" w:rsidR="00B4737D" w:rsidRPr="00B4737D" w:rsidRDefault="00B4737D" w:rsidP="00D438C9">
            <w:pPr>
              <w:ind w:left="32"/>
              <w:rPr>
                <w:sz w:val="24"/>
                <w:szCs w:val="24"/>
                <w:lang w:val="en-GB"/>
              </w:rPr>
            </w:pPr>
            <w:r w:rsidRPr="00B4737D">
              <w:rPr>
                <w:sz w:val="24"/>
                <w:szCs w:val="24"/>
                <w:lang w:val="en-GB"/>
              </w:rPr>
              <w:t>10 mg</w:t>
            </w:r>
          </w:p>
        </w:tc>
      </w:tr>
    </w:tbl>
    <w:p w14:paraId="55FE03B2" w14:textId="77777777" w:rsidR="00B4737D" w:rsidRPr="00B4737D" w:rsidRDefault="00B4737D" w:rsidP="00B4737D">
      <w:pPr>
        <w:tabs>
          <w:tab w:val="left" w:pos="851"/>
        </w:tabs>
        <w:ind w:left="851"/>
        <w:rPr>
          <w:sz w:val="24"/>
          <w:szCs w:val="24"/>
          <w:lang w:val="en-GB"/>
        </w:rPr>
      </w:pPr>
    </w:p>
    <w:p w14:paraId="0CE09ABC" w14:textId="77777777" w:rsidR="00B4737D" w:rsidRPr="00B4737D" w:rsidRDefault="00B4737D" w:rsidP="00D438C9">
      <w:pPr>
        <w:ind w:left="851"/>
        <w:rPr>
          <w:sz w:val="24"/>
          <w:szCs w:val="24"/>
          <w:lang w:val="en-GB"/>
        </w:rPr>
      </w:pPr>
      <w:r w:rsidRPr="00B4737D">
        <w:rPr>
          <w:sz w:val="24"/>
          <w:szCs w:val="24"/>
          <w:lang w:val="en-GB"/>
        </w:rPr>
        <w:t xml:space="preserve">For paediatric patients weighing &lt; 35 kg, the recommended doses cannot be obtained with this product. Other products are available for administration to these patients. </w:t>
      </w:r>
    </w:p>
    <w:p w14:paraId="1F9CD453" w14:textId="77777777" w:rsidR="00B4737D" w:rsidRPr="00B4737D" w:rsidRDefault="00B4737D" w:rsidP="00D438C9">
      <w:pPr>
        <w:ind w:left="851"/>
        <w:rPr>
          <w:sz w:val="24"/>
          <w:szCs w:val="24"/>
          <w:lang w:val="en-GB"/>
        </w:rPr>
      </w:pPr>
    </w:p>
    <w:p w14:paraId="1674AB5D" w14:textId="684D2DEC" w:rsidR="00B4737D" w:rsidRPr="00B4737D" w:rsidRDefault="00B4737D" w:rsidP="00D438C9">
      <w:pPr>
        <w:ind w:left="851"/>
        <w:rPr>
          <w:sz w:val="24"/>
          <w:szCs w:val="24"/>
          <w:lang w:val="en-GB"/>
        </w:rPr>
      </w:pPr>
      <w:r w:rsidRPr="00B4737D">
        <w:rPr>
          <w:sz w:val="24"/>
          <w:szCs w:val="24"/>
          <w:lang w:val="en-GB"/>
        </w:rPr>
        <w:t>Based on VTE treatment guidelines in the paediatric population, duration of overall therapy should be</w:t>
      </w:r>
      <w:r w:rsidR="001C1AA7">
        <w:rPr>
          <w:sz w:val="24"/>
          <w:szCs w:val="24"/>
          <w:lang w:val="en-GB"/>
        </w:rPr>
        <w:t xml:space="preserve"> </w:t>
      </w:r>
      <w:r w:rsidRPr="00B4737D">
        <w:rPr>
          <w:sz w:val="24"/>
          <w:szCs w:val="24"/>
          <w:lang w:val="en-GB"/>
        </w:rPr>
        <w:t>individualised after careful assessment of the treatment benefit and the risk for bleeding (see</w:t>
      </w:r>
      <w:r w:rsidR="001C1AA7">
        <w:rPr>
          <w:sz w:val="24"/>
          <w:szCs w:val="24"/>
          <w:lang w:val="en-GB"/>
        </w:rPr>
        <w:t xml:space="preserve"> </w:t>
      </w:r>
      <w:r w:rsidRPr="00B4737D">
        <w:rPr>
          <w:sz w:val="24"/>
          <w:szCs w:val="24"/>
          <w:lang w:val="en-GB"/>
        </w:rPr>
        <w:t>section 4.4).</w:t>
      </w:r>
    </w:p>
    <w:p w14:paraId="14DED60C" w14:textId="77777777" w:rsidR="00B4737D" w:rsidRPr="00B4737D" w:rsidRDefault="00B4737D" w:rsidP="00D438C9">
      <w:pPr>
        <w:ind w:left="851"/>
        <w:rPr>
          <w:sz w:val="24"/>
          <w:szCs w:val="24"/>
          <w:lang w:val="en-GB"/>
        </w:rPr>
      </w:pPr>
    </w:p>
    <w:p w14:paraId="43C633DF" w14:textId="77777777" w:rsidR="00B4737D" w:rsidRPr="00B4737D" w:rsidRDefault="00B4737D" w:rsidP="00D438C9">
      <w:pPr>
        <w:ind w:left="851"/>
        <w:rPr>
          <w:sz w:val="24"/>
          <w:szCs w:val="24"/>
          <w:u w:val="single"/>
          <w:lang w:val="en-GB"/>
        </w:rPr>
      </w:pPr>
      <w:r w:rsidRPr="00B4737D">
        <w:rPr>
          <w:i/>
          <w:iCs/>
          <w:sz w:val="24"/>
          <w:szCs w:val="24"/>
          <w:u w:val="single"/>
          <w:lang w:val="en-GB"/>
        </w:rPr>
        <w:t>Missed dose in adults and paediatric patients</w:t>
      </w:r>
    </w:p>
    <w:p w14:paraId="7C3E0067" w14:textId="7C981AA7" w:rsidR="00B4737D" w:rsidRDefault="00B4737D" w:rsidP="00D438C9">
      <w:pPr>
        <w:ind w:left="851"/>
        <w:rPr>
          <w:sz w:val="24"/>
          <w:szCs w:val="24"/>
          <w:lang w:val="en-GB"/>
        </w:rPr>
      </w:pPr>
      <w:r w:rsidRPr="00B4737D">
        <w:rPr>
          <w:sz w:val="24"/>
          <w:szCs w:val="24"/>
          <w:lang w:val="en-GB"/>
        </w:rPr>
        <w:t>A missed morning dose should be taken immediately when it is noticed, and it may be taken together</w:t>
      </w:r>
      <w:r w:rsidR="001C1AA7">
        <w:rPr>
          <w:sz w:val="24"/>
          <w:szCs w:val="24"/>
          <w:lang w:val="en-GB"/>
        </w:rPr>
        <w:t xml:space="preserve"> </w:t>
      </w:r>
      <w:r w:rsidRPr="00B4737D">
        <w:rPr>
          <w:sz w:val="24"/>
          <w:szCs w:val="24"/>
          <w:lang w:val="en-GB"/>
        </w:rPr>
        <w:t xml:space="preserve">with the evening dose. A missed evening dose can only be taken during the same </w:t>
      </w:r>
      <w:proofErr w:type="gramStart"/>
      <w:r w:rsidRPr="00B4737D">
        <w:rPr>
          <w:sz w:val="24"/>
          <w:szCs w:val="24"/>
          <w:lang w:val="en-GB"/>
        </w:rPr>
        <w:t>evening,</w:t>
      </w:r>
      <w:proofErr w:type="gramEnd"/>
      <w:r w:rsidRPr="00B4737D">
        <w:rPr>
          <w:sz w:val="24"/>
          <w:szCs w:val="24"/>
          <w:lang w:val="en-GB"/>
        </w:rPr>
        <w:t xml:space="preserve"> the patient</w:t>
      </w:r>
      <w:r w:rsidR="001C1AA7">
        <w:rPr>
          <w:sz w:val="24"/>
          <w:szCs w:val="24"/>
          <w:lang w:val="en-GB"/>
        </w:rPr>
        <w:t xml:space="preserve"> </w:t>
      </w:r>
      <w:r w:rsidRPr="00B4737D">
        <w:rPr>
          <w:sz w:val="24"/>
          <w:szCs w:val="24"/>
          <w:lang w:val="en-GB"/>
        </w:rPr>
        <w:t>should not take two doses the next morning. The patient should continue with the intake of the regular</w:t>
      </w:r>
      <w:r w:rsidR="001C1AA7">
        <w:rPr>
          <w:sz w:val="24"/>
          <w:szCs w:val="24"/>
          <w:lang w:val="en-GB"/>
        </w:rPr>
        <w:t xml:space="preserve"> </w:t>
      </w:r>
      <w:r w:rsidRPr="00B4737D">
        <w:rPr>
          <w:sz w:val="24"/>
          <w:szCs w:val="24"/>
          <w:lang w:val="en-GB"/>
        </w:rPr>
        <w:t xml:space="preserve">dose twice daily as recommended on the following day. </w:t>
      </w:r>
    </w:p>
    <w:p w14:paraId="1E98562E" w14:textId="77777777" w:rsidR="001C1AA7" w:rsidRPr="00B4737D" w:rsidRDefault="001C1AA7" w:rsidP="00D438C9">
      <w:pPr>
        <w:ind w:left="851"/>
        <w:rPr>
          <w:sz w:val="24"/>
          <w:szCs w:val="24"/>
          <w:lang w:val="en-GB"/>
        </w:rPr>
      </w:pPr>
    </w:p>
    <w:p w14:paraId="71A2796F"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Switching </w:t>
      </w:r>
    </w:p>
    <w:p w14:paraId="011987A5" w14:textId="22B4D158" w:rsidR="00B4737D" w:rsidRPr="00B4737D" w:rsidRDefault="00B4737D" w:rsidP="00D438C9">
      <w:pPr>
        <w:ind w:left="851"/>
        <w:rPr>
          <w:sz w:val="24"/>
          <w:szCs w:val="24"/>
          <w:lang w:val="en-GB"/>
        </w:rPr>
      </w:pPr>
      <w:r w:rsidRPr="00B4737D">
        <w:rPr>
          <w:sz w:val="24"/>
          <w:szCs w:val="24"/>
          <w:lang w:val="en-GB"/>
        </w:rPr>
        <w:t xml:space="preserve">Switching treatment from parenteral anticoagulants to </w:t>
      </w:r>
      <w:proofErr w:type="spellStart"/>
      <w:r w:rsidR="001C1AA7">
        <w:rPr>
          <w:sz w:val="24"/>
          <w:szCs w:val="24"/>
          <w:lang w:val="en-GB"/>
        </w:rPr>
        <w:t>Apixlets</w:t>
      </w:r>
      <w:proofErr w:type="spellEnd"/>
      <w:r w:rsidRPr="00B4737D">
        <w:rPr>
          <w:sz w:val="24"/>
          <w:szCs w:val="24"/>
          <w:lang w:val="en-GB"/>
        </w:rPr>
        <w:t xml:space="preserve"> (and </w:t>
      </w:r>
      <w:r w:rsidRPr="00B4737D">
        <w:rPr>
          <w:i/>
          <w:iCs/>
          <w:sz w:val="24"/>
          <w:szCs w:val="24"/>
          <w:lang w:val="en-GB"/>
        </w:rPr>
        <w:t>vice versa</w:t>
      </w:r>
      <w:r w:rsidRPr="00B4737D">
        <w:rPr>
          <w:sz w:val="24"/>
          <w:szCs w:val="24"/>
          <w:lang w:val="en-GB"/>
        </w:rPr>
        <w:t xml:space="preserve">) can be done at the next scheduled dose (see section 4.5). These medicinal products should not be administered simultaneously. </w:t>
      </w:r>
    </w:p>
    <w:p w14:paraId="4B758335" w14:textId="77777777" w:rsidR="00B4737D" w:rsidRPr="00B4737D" w:rsidRDefault="00B4737D" w:rsidP="00D438C9">
      <w:pPr>
        <w:ind w:left="851"/>
        <w:rPr>
          <w:sz w:val="24"/>
          <w:szCs w:val="24"/>
          <w:lang w:val="en-GB"/>
        </w:rPr>
      </w:pPr>
    </w:p>
    <w:p w14:paraId="76375FEB" w14:textId="7A84BFAD" w:rsidR="00B4737D" w:rsidRPr="00B4737D" w:rsidRDefault="00B4737D" w:rsidP="00D438C9">
      <w:pPr>
        <w:ind w:left="851"/>
        <w:rPr>
          <w:sz w:val="24"/>
          <w:szCs w:val="24"/>
          <w:lang w:val="en-GB"/>
        </w:rPr>
      </w:pPr>
      <w:r w:rsidRPr="00B4737D">
        <w:rPr>
          <w:i/>
          <w:iCs/>
          <w:sz w:val="24"/>
          <w:szCs w:val="24"/>
          <w:lang w:val="en-GB"/>
        </w:rPr>
        <w:t xml:space="preserve">Switching from vitamin K antagonist (VKA) therapy to </w:t>
      </w:r>
      <w:proofErr w:type="spellStart"/>
      <w:r w:rsidR="001C1AA7">
        <w:rPr>
          <w:i/>
          <w:iCs/>
          <w:sz w:val="24"/>
          <w:szCs w:val="24"/>
          <w:lang w:val="en-GB"/>
        </w:rPr>
        <w:t>Apixlets</w:t>
      </w:r>
      <w:proofErr w:type="spellEnd"/>
      <w:r w:rsidRPr="00B4737D">
        <w:rPr>
          <w:i/>
          <w:iCs/>
          <w:sz w:val="24"/>
          <w:szCs w:val="24"/>
          <w:lang w:val="en-GB"/>
        </w:rPr>
        <w:t xml:space="preserve">  </w:t>
      </w:r>
    </w:p>
    <w:p w14:paraId="4567B39B" w14:textId="7029C88A" w:rsidR="00B4737D" w:rsidRPr="00B4737D" w:rsidRDefault="00B4737D" w:rsidP="00D438C9">
      <w:pPr>
        <w:ind w:left="851"/>
        <w:rPr>
          <w:sz w:val="24"/>
          <w:szCs w:val="24"/>
          <w:lang w:val="en-GB"/>
        </w:rPr>
      </w:pPr>
      <w:r w:rsidRPr="00B4737D">
        <w:rPr>
          <w:sz w:val="24"/>
          <w:szCs w:val="24"/>
          <w:lang w:val="en-GB"/>
        </w:rPr>
        <w:t xml:space="preserve">When converting patients from vitamin K antagonist (VKA) therapy to </w:t>
      </w:r>
      <w:proofErr w:type="spellStart"/>
      <w:r w:rsidR="001C1AA7">
        <w:rPr>
          <w:sz w:val="24"/>
          <w:szCs w:val="24"/>
          <w:lang w:val="en-GB"/>
        </w:rPr>
        <w:t>Apixlets</w:t>
      </w:r>
      <w:proofErr w:type="spellEnd"/>
      <w:r w:rsidRPr="00B4737D">
        <w:rPr>
          <w:sz w:val="24"/>
          <w:szCs w:val="24"/>
          <w:lang w:val="en-GB"/>
        </w:rPr>
        <w:t xml:space="preserve">, warfarin or other VKA therapy should be discontinued and </w:t>
      </w:r>
      <w:proofErr w:type="spellStart"/>
      <w:r w:rsidR="001C1AA7">
        <w:rPr>
          <w:sz w:val="24"/>
          <w:szCs w:val="24"/>
          <w:lang w:val="en-GB"/>
        </w:rPr>
        <w:t>Apixlets</w:t>
      </w:r>
      <w:proofErr w:type="spellEnd"/>
      <w:r w:rsidRPr="00B4737D">
        <w:rPr>
          <w:sz w:val="24"/>
          <w:szCs w:val="24"/>
          <w:lang w:val="en-GB"/>
        </w:rPr>
        <w:t xml:space="preserve"> started when the international normalised ratio (INR) is &lt; 2. </w:t>
      </w:r>
    </w:p>
    <w:p w14:paraId="36621741" w14:textId="77777777" w:rsidR="00B4737D" w:rsidRPr="00B4737D" w:rsidRDefault="00B4737D" w:rsidP="00D438C9">
      <w:pPr>
        <w:ind w:left="851"/>
        <w:rPr>
          <w:sz w:val="24"/>
          <w:szCs w:val="24"/>
          <w:lang w:val="en-GB"/>
        </w:rPr>
      </w:pPr>
    </w:p>
    <w:p w14:paraId="6C22D933" w14:textId="14333A83" w:rsidR="00B4737D" w:rsidRPr="00B4737D" w:rsidRDefault="00B4737D" w:rsidP="00D438C9">
      <w:pPr>
        <w:ind w:left="851"/>
        <w:rPr>
          <w:sz w:val="24"/>
          <w:szCs w:val="24"/>
          <w:lang w:val="en-GB"/>
        </w:rPr>
      </w:pPr>
      <w:r w:rsidRPr="00B4737D">
        <w:rPr>
          <w:i/>
          <w:iCs/>
          <w:sz w:val="24"/>
          <w:szCs w:val="24"/>
          <w:lang w:val="en-GB"/>
        </w:rPr>
        <w:t xml:space="preserve">Switching from </w:t>
      </w:r>
      <w:proofErr w:type="spellStart"/>
      <w:r w:rsidR="001C1AA7">
        <w:rPr>
          <w:i/>
          <w:iCs/>
          <w:sz w:val="24"/>
          <w:szCs w:val="24"/>
          <w:lang w:val="en-GB"/>
        </w:rPr>
        <w:t>Apixlets</w:t>
      </w:r>
      <w:proofErr w:type="spellEnd"/>
      <w:r w:rsidRPr="00B4737D">
        <w:rPr>
          <w:i/>
          <w:iCs/>
          <w:sz w:val="24"/>
          <w:szCs w:val="24"/>
          <w:lang w:val="en-GB"/>
        </w:rPr>
        <w:t xml:space="preserve"> to VKA therapy </w:t>
      </w:r>
    </w:p>
    <w:p w14:paraId="0FF36966" w14:textId="260602E6" w:rsidR="00B4737D" w:rsidRPr="00B4737D" w:rsidRDefault="00B4737D" w:rsidP="00D438C9">
      <w:pPr>
        <w:ind w:left="851"/>
        <w:rPr>
          <w:sz w:val="24"/>
          <w:szCs w:val="24"/>
          <w:lang w:val="en-GB"/>
        </w:rPr>
      </w:pPr>
      <w:r w:rsidRPr="00B4737D">
        <w:rPr>
          <w:sz w:val="24"/>
          <w:szCs w:val="24"/>
          <w:lang w:val="en-GB"/>
        </w:rPr>
        <w:t xml:space="preserve">When converting patients from </w:t>
      </w:r>
      <w:proofErr w:type="spellStart"/>
      <w:r w:rsidR="001C1AA7">
        <w:rPr>
          <w:sz w:val="24"/>
          <w:szCs w:val="24"/>
          <w:lang w:val="en-GB"/>
        </w:rPr>
        <w:t>Apixlets</w:t>
      </w:r>
      <w:proofErr w:type="spellEnd"/>
      <w:r w:rsidRPr="00B4737D">
        <w:rPr>
          <w:sz w:val="24"/>
          <w:szCs w:val="24"/>
          <w:lang w:val="en-GB"/>
        </w:rPr>
        <w:t xml:space="preserve"> to VKA therapy, administration of </w:t>
      </w:r>
      <w:proofErr w:type="spellStart"/>
      <w:r w:rsidR="001C1AA7">
        <w:rPr>
          <w:sz w:val="24"/>
          <w:szCs w:val="24"/>
          <w:lang w:val="en-GB"/>
        </w:rPr>
        <w:t>Apixlets</w:t>
      </w:r>
      <w:proofErr w:type="spellEnd"/>
      <w:r w:rsidRPr="00B4737D">
        <w:rPr>
          <w:sz w:val="24"/>
          <w:szCs w:val="24"/>
          <w:lang w:val="en-GB"/>
        </w:rPr>
        <w:t xml:space="preserve"> should be continued for at least 2 days after beginning VKA therapy. After 2 days of coadministration of </w:t>
      </w:r>
      <w:proofErr w:type="spellStart"/>
      <w:r w:rsidR="001C1AA7">
        <w:rPr>
          <w:sz w:val="24"/>
          <w:szCs w:val="24"/>
          <w:lang w:val="en-GB"/>
        </w:rPr>
        <w:t>Apixlets</w:t>
      </w:r>
      <w:proofErr w:type="spellEnd"/>
      <w:r w:rsidRPr="00B4737D">
        <w:rPr>
          <w:sz w:val="24"/>
          <w:szCs w:val="24"/>
          <w:lang w:val="en-GB"/>
        </w:rPr>
        <w:t xml:space="preserve"> with VKA therapy, an INR should be obtained prior to the next scheduled dose of </w:t>
      </w:r>
      <w:proofErr w:type="spellStart"/>
      <w:r w:rsidR="001C1AA7">
        <w:rPr>
          <w:sz w:val="24"/>
          <w:szCs w:val="24"/>
          <w:lang w:val="en-GB"/>
        </w:rPr>
        <w:t>Apixlets</w:t>
      </w:r>
      <w:proofErr w:type="spellEnd"/>
      <w:r w:rsidRPr="00B4737D">
        <w:rPr>
          <w:sz w:val="24"/>
          <w:szCs w:val="24"/>
          <w:lang w:val="en-GB"/>
        </w:rPr>
        <w:t xml:space="preserve">. Coadministration of </w:t>
      </w:r>
      <w:proofErr w:type="spellStart"/>
      <w:r w:rsidR="001C1AA7">
        <w:rPr>
          <w:sz w:val="24"/>
          <w:szCs w:val="24"/>
          <w:lang w:val="en-GB"/>
        </w:rPr>
        <w:t>Apixlets</w:t>
      </w:r>
      <w:proofErr w:type="spellEnd"/>
      <w:r w:rsidRPr="00B4737D">
        <w:rPr>
          <w:sz w:val="24"/>
          <w:szCs w:val="24"/>
          <w:lang w:val="en-GB"/>
        </w:rPr>
        <w:t xml:space="preserve"> and VKA therapy should be continued until the INR is ≥ 2.</w:t>
      </w:r>
    </w:p>
    <w:p w14:paraId="081F28E1" w14:textId="77777777" w:rsidR="00B4737D" w:rsidRPr="00B4737D" w:rsidRDefault="00B4737D" w:rsidP="00D438C9">
      <w:pPr>
        <w:ind w:left="851"/>
        <w:rPr>
          <w:sz w:val="24"/>
          <w:szCs w:val="24"/>
          <w:u w:val="single"/>
          <w:lang w:val="en-GB"/>
        </w:rPr>
      </w:pPr>
    </w:p>
    <w:p w14:paraId="2E6FE368" w14:textId="77777777" w:rsidR="00B4737D" w:rsidRPr="00B4737D" w:rsidRDefault="00B4737D" w:rsidP="00D438C9">
      <w:pPr>
        <w:ind w:left="851"/>
        <w:rPr>
          <w:sz w:val="24"/>
          <w:szCs w:val="24"/>
          <w:lang w:val="en-GB"/>
        </w:rPr>
      </w:pPr>
      <w:r w:rsidRPr="00B4737D">
        <w:rPr>
          <w:sz w:val="24"/>
          <w:szCs w:val="24"/>
          <w:lang w:val="en-GB"/>
        </w:rPr>
        <w:t>No data are available for paediatric patients.</w:t>
      </w:r>
    </w:p>
    <w:p w14:paraId="1573D1F1" w14:textId="77777777" w:rsidR="00B4737D" w:rsidRPr="00B4737D" w:rsidRDefault="00B4737D" w:rsidP="00D438C9">
      <w:pPr>
        <w:ind w:left="851"/>
        <w:rPr>
          <w:sz w:val="24"/>
          <w:szCs w:val="24"/>
          <w:u w:val="single"/>
          <w:lang w:val="en-GB"/>
        </w:rPr>
      </w:pPr>
    </w:p>
    <w:p w14:paraId="1749D721" w14:textId="77777777" w:rsidR="00B4737D" w:rsidRPr="00B4737D" w:rsidRDefault="00B4737D" w:rsidP="00D438C9">
      <w:pPr>
        <w:ind w:left="851"/>
        <w:rPr>
          <w:i/>
          <w:sz w:val="24"/>
          <w:szCs w:val="24"/>
          <w:u w:val="single"/>
          <w:lang w:val="en-GB"/>
        </w:rPr>
      </w:pPr>
      <w:r w:rsidRPr="00B4737D">
        <w:rPr>
          <w:i/>
          <w:sz w:val="24"/>
          <w:szCs w:val="24"/>
          <w:u w:val="single"/>
          <w:lang w:val="en-GB"/>
        </w:rPr>
        <w:t>Elderly</w:t>
      </w:r>
    </w:p>
    <w:p w14:paraId="06CED8E5" w14:textId="77777777" w:rsidR="00B4737D" w:rsidRPr="00B4737D" w:rsidRDefault="00B4737D" w:rsidP="00D438C9">
      <w:pPr>
        <w:ind w:left="851"/>
        <w:rPr>
          <w:sz w:val="24"/>
          <w:szCs w:val="24"/>
          <w:lang w:val="en-GB"/>
        </w:rPr>
      </w:pPr>
      <w:proofErr w:type="spellStart"/>
      <w:r w:rsidRPr="00B4737D">
        <w:rPr>
          <w:sz w:val="24"/>
          <w:szCs w:val="24"/>
          <w:lang w:val="en-GB"/>
        </w:rPr>
        <w:t>VTEt</w:t>
      </w:r>
      <w:proofErr w:type="spellEnd"/>
      <w:r w:rsidRPr="00B4737D">
        <w:rPr>
          <w:sz w:val="24"/>
          <w:szCs w:val="24"/>
          <w:lang w:val="en-GB"/>
        </w:rPr>
        <w:t xml:space="preserve"> – No dose adjustment required (see sections 4.4 and 5.2).</w:t>
      </w:r>
    </w:p>
    <w:p w14:paraId="48637CBE" w14:textId="77777777" w:rsidR="00B4737D" w:rsidRPr="00B4737D" w:rsidRDefault="00B4737D" w:rsidP="00D438C9">
      <w:pPr>
        <w:ind w:left="851"/>
        <w:rPr>
          <w:sz w:val="24"/>
          <w:szCs w:val="24"/>
          <w:lang w:val="en-GB"/>
        </w:rPr>
      </w:pPr>
    </w:p>
    <w:p w14:paraId="2BB55DAA" w14:textId="77777777" w:rsidR="00B4737D" w:rsidRPr="00B4737D" w:rsidRDefault="00B4737D" w:rsidP="00D438C9">
      <w:pPr>
        <w:ind w:left="851"/>
        <w:rPr>
          <w:sz w:val="24"/>
          <w:szCs w:val="24"/>
          <w:lang w:val="en-GB"/>
        </w:rPr>
      </w:pPr>
      <w:r w:rsidRPr="00B4737D">
        <w:rPr>
          <w:sz w:val="24"/>
          <w:szCs w:val="24"/>
          <w:lang w:val="en-GB"/>
        </w:rPr>
        <w:t>NVAF – No dose adjustment required, unless criteria for dose reduction are met (see Dose reduction at the beginning of section 4.2).</w:t>
      </w:r>
    </w:p>
    <w:p w14:paraId="67D71806" w14:textId="77777777" w:rsidR="00B4737D" w:rsidRPr="00B4737D" w:rsidRDefault="00B4737D" w:rsidP="00D438C9">
      <w:pPr>
        <w:ind w:left="851"/>
        <w:rPr>
          <w:sz w:val="24"/>
          <w:szCs w:val="24"/>
          <w:u w:val="single"/>
          <w:lang w:val="en-GB"/>
        </w:rPr>
      </w:pPr>
    </w:p>
    <w:p w14:paraId="41C19325" w14:textId="77777777" w:rsidR="00B4737D" w:rsidRPr="00B4737D" w:rsidRDefault="00B4737D" w:rsidP="00D438C9">
      <w:pPr>
        <w:ind w:left="851"/>
        <w:rPr>
          <w:i/>
          <w:iCs/>
          <w:sz w:val="24"/>
          <w:szCs w:val="24"/>
          <w:u w:val="single"/>
          <w:lang w:val="en-GB"/>
        </w:rPr>
      </w:pPr>
      <w:r w:rsidRPr="00B4737D">
        <w:rPr>
          <w:i/>
          <w:iCs/>
          <w:sz w:val="24"/>
          <w:szCs w:val="24"/>
          <w:u w:val="single"/>
          <w:lang w:val="en-GB"/>
        </w:rPr>
        <w:t xml:space="preserve">Renal impairment </w:t>
      </w:r>
    </w:p>
    <w:p w14:paraId="3A36BAAC" w14:textId="77777777" w:rsidR="00B4737D" w:rsidRPr="00B4737D" w:rsidRDefault="00B4737D" w:rsidP="00D438C9">
      <w:pPr>
        <w:ind w:left="851"/>
        <w:rPr>
          <w:sz w:val="24"/>
          <w:szCs w:val="24"/>
          <w:u w:val="single"/>
          <w:lang w:val="en-GB"/>
        </w:rPr>
      </w:pPr>
    </w:p>
    <w:p w14:paraId="60A43638" w14:textId="77777777" w:rsidR="00B4737D" w:rsidRPr="00B4737D" w:rsidRDefault="00B4737D" w:rsidP="00D438C9">
      <w:pPr>
        <w:ind w:left="851"/>
        <w:rPr>
          <w:i/>
          <w:sz w:val="24"/>
          <w:szCs w:val="24"/>
          <w:lang w:val="en-GB"/>
        </w:rPr>
      </w:pPr>
      <w:r w:rsidRPr="00B4737D">
        <w:rPr>
          <w:i/>
          <w:sz w:val="24"/>
          <w:szCs w:val="24"/>
          <w:lang w:val="en-GB"/>
        </w:rPr>
        <w:t>Adult patients</w:t>
      </w:r>
    </w:p>
    <w:p w14:paraId="16C0E51A" w14:textId="77777777" w:rsidR="00B4737D" w:rsidRPr="00B4737D" w:rsidRDefault="00B4737D" w:rsidP="00D438C9">
      <w:pPr>
        <w:ind w:left="851"/>
        <w:rPr>
          <w:sz w:val="24"/>
          <w:szCs w:val="24"/>
          <w:u w:val="single"/>
          <w:lang w:val="en-GB"/>
        </w:rPr>
      </w:pPr>
    </w:p>
    <w:p w14:paraId="0121D95C" w14:textId="77777777" w:rsidR="00B4737D" w:rsidRPr="00B4737D" w:rsidRDefault="00B4737D" w:rsidP="00D438C9">
      <w:pPr>
        <w:ind w:left="851"/>
        <w:rPr>
          <w:sz w:val="24"/>
          <w:szCs w:val="24"/>
          <w:lang w:val="en-GB"/>
        </w:rPr>
      </w:pPr>
      <w:r w:rsidRPr="00B4737D">
        <w:rPr>
          <w:sz w:val="24"/>
          <w:szCs w:val="24"/>
          <w:lang w:val="en-GB"/>
        </w:rPr>
        <w:t xml:space="preserve">In adult patients with mild or moderate renal impairment, the following recommendations apply: </w:t>
      </w:r>
    </w:p>
    <w:p w14:paraId="0A9C59C5" w14:textId="77777777" w:rsidR="00B4737D" w:rsidRPr="00B4737D" w:rsidRDefault="00B4737D" w:rsidP="00D438C9">
      <w:pPr>
        <w:ind w:left="851"/>
        <w:rPr>
          <w:sz w:val="24"/>
          <w:szCs w:val="24"/>
          <w:lang w:val="en-GB"/>
        </w:rPr>
      </w:pPr>
    </w:p>
    <w:p w14:paraId="2B2C88A6" w14:textId="77777777" w:rsidR="00B4737D" w:rsidRPr="00B4737D" w:rsidRDefault="00B4737D" w:rsidP="001C1AA7">
      <w:pPr>
        <w:numPr>
          <w:ilvl w:val="0"/>
          <w:numId w:val="5"/>
        </w:numPr>
        <w:ind w:left="1276" w:hanging="425"/>
        <w:rPr>
          <w:sz w:val="24"/>
          <w:szCs w:val="24"/>
          <w:lang w:val="en-GB"/>
        </w:rPr>
      </w:pPr>
      <w:r w:rsidRPr="00B4737D">
        <w:rPr>
          <w:sz w:val="24"/>
          <w:szCs w:val="24"/>
          <w:lang w:val="en-GB"/>
        </w:rPr>
        <w:t>for the treatment of DVT, treatment of PE and prevention of recurrent DVT and PE (</w:t>
      </w:r>
      <w:proofErr w:type="spellStart"/>
      <w:r w:rsidRPr="00B4737D">
        <w:rPr>
          <w:sz w:val="24"/>
          <w:szCs w:val="24"/>
          <w:lang w:val="en-GB"/>
        </w:rPr>
        <w:t>VTEt</w:t>
      </w:r>
      <w:proofErr w:type="spellEnd"/>
      <w:r w:rsidRPr="00B4737D">
        <w:rPr>
          <w:sz w:val="24"/>
          <w:szCs w:val="24"/>
          <w:lang w:val="en-GB"/>
        </w:rPr>
        <w:t xml:space="preserve">), no dose adjustment is necessary (see section 5.2). </w:t>
      </w:r>
    </w:p>
    <w:p w14:paraId="6683227B" w14:textId="77777777" w:rsidR="00B4737D" w:rsidRPr="00B4737D" w:rsidRDefault="00B4737D" w:rsidP="001C1AA7">
      <w:pPr>
        <w:ind w:left="1276" w:hanging="425"/>
        <w:rPr>
          <w:sz w:val="24"/>
          <w:szCs w:val="24"/>
          <w:lang w:val="en-GB"/>
        </w:rPr>
      </w:pPr>
    </w:p>
    <w:p w14:paraId="4FCEA688" w14:textId="77777777" w:rsidR="00B4737D" w:rsidRPr="00B4737D" w:rsidRDefault="00B4737D" w:rsidP="001C1AA7">
      <w:pPr>
        <w:numPr>
          <w:ilvl w:val="0"/>
          <w:numId w:val="5"/>
        </w:numPr>
        <w:ind w:left="1276" w:hanging="425"/>
        <w:rPr>
          <w:sz w:val="24"/>
          <w:szCs w:val="24"/>
          <w:lang w:val="en-GB"/>
        </w:rPr>
      </w:pPr>
      <w:r w:rsidRPr="00B4737D">
        <w:rPr>
          <w:sz w:val="24"/>
          <w:szCs w:val="24"/>
          <w:lang w:val="en-GB"/>
        </w:rPr>
        <w:t xml:space="preserve">for the prevention of stroke and systemic embolism in patients with NVAF and serum creatinine ≥ 1.5 mg/dL (133 micromole/L) associated with age ≥ 80 years or body weight ≤ 60 kg, a dose reduction is necessary (see above subheading Dose reduction). In the absence of other criteria for dose reduction (age, body weight), no dose adjustment is necessary (see section 5.2). </w:t>
      </w:r>
    </w:p>
    <w:p w14:paraId="45D78978" w14:textId="77777777" w:rsidR="00B4737D" w:rsidRPr="00B4737D" w:rsidRDefault="00B4737D" w:rsidP="00D438C9">
      <w:pPr>
        <w:ind w:left="851"/>
        <w:rPr>
          <w:sz w:val="24"/>
          <w:szCs w:val="24"/>
          <w:lang w:val="en-GB"/>
        </w:rPr>
      </w:pPr>
    </w:p>
    <w:p w14:paraId="78C1A72B" w14:textId="77777777" w:rsidR="00B4737D" w:rsidRPr="00B4737D" w:rsidRDefault="00B4737D" w:rsidP="00D438C9">
      <w:pPr>
        <w:ind w:left="851"/>
        <w:rPr>
          <w:sz w:val="24"/>
          <w:szCs w:val="24"/>
          <w:lang w:val="en-GB"/>
        </w:rPr>
      </w:pPr>
      <w:r w:rsidRPr="00B4737D">
        <w:rPr>
          <w:sz w:val="24"/>
          <w:szCs w:val="24"/>
          <w:lang w:val="en-GB"/>
        </w:rPr>
        <w:t xml:space="preserve">In adult patients with severe renal impairment (creatinine clearance 15-29 mL/min) the following recommendations apply (see sections 4.4 and 5.2): </w:t>
      </w:r>
    </w:p>
    <w:p w14:paraId="38371003" w14:textId="77777777" w:rsidR="00B4737D" w:rsidRPr="00B4737D" w:rsidRDefault="00B4737D" w:rsidP="00D438C9">
      <w:pPr>
        <w:ind w:left="851"/>
        <w:rPr>
          <w:sz w:val="24"/>
          <w:szCs w:val="24"/>
          <w:lang w:val="en-GB"/>
        </w:rPr>
      </w:pPr>
    </w:p>
    <w:p w14:paraId="336E1271" w14:textId="77777777" w:rsidR="00B4737D" w:rsidRPr="00B4737D" w:rsidRDefault="00B4737D" w:rsidP="001C1AA7">
      <w:pPr>
        <w:numPr>
          <w:ilvl w:val="0"/>
          <w:numId w:val="6"/>
        </w:numPr>
        <w:ind w:left="1276" w:hanging="425"/>
        <w:rPr>
          <w:sz w:val="24"/>
          <w:szCs w:val="24"/>
          <w:lang w:val="en-GB"/>
        </w:rPr>
      </w:pPr>
      <w:r w:rsidRPr="00B4737D">
        <w:rPr>
          <w:sz w:val="24"/>
          <w:szCs w:val="24"/>
          <w:lang w:val="en-GB"/>
        </w:rPr>
        <w:t>for the treatment of DVT, treatment of PE and prevention of recurrent DVT and PE (</w:t>
      </w:r>
      <w:proofErr w:type="spellStart"/>
      <w:r w:rsidRPr="00B4737D">
        <w:rPr>
          <w:sz w:val="24"/>
          <w:szCs w:val="24"/>
          <w:lang w:val="en-GB"/>
        </w:rPr>
        <w:t>VTEt</w:t>
      </w:r>
      <w:proofErr w:type="spellEnd"/>
      <w:r w:rsidRPr="00B4737D">
        <w:rPr>
          <w:sz w:val="24"/>
          <w:szCs w:val="24"/>
          <w:lang w:val="en-GB"/>
        </w:rPr>
        <w:t xml:space="preserve">) apixaban is to be used with </w:t>
      </w:r>
      <w:proofErr w:type="gramStart"/>
      <w:r w:rsidRPr="00B4737D">
        <w:rPr>
          <w:sz w:val="24"/>
          <w:szCs w:val="24"/>
          <w:lang w:val="en-GB"/>
        </w:rPr>
        <w:t>caution;</w:t>
      </w:r>
      <w:proofErr w:type="gramEnd"/>
      <w:r w:rsidRPr="00B4737D">
        <w:rPr>
          <w:sz w:val="24"/>
          <w:szCs w:val="24"/>
          <w:lang w:val="en-GB"/>
        </w:rPr>
        <w:t xml:space="preserve"> </w:t>
      </w:r>
    </w:p>
    <w:p w14:paraId="20C63A3E" w14:textId="77777777" w:rsidR="00B4737D" w:rsidRPr="00B4737D" w:rsidRDefault="00B4737D" w:rsidP="001C1AA7">
      <w:pPr>
        <w:ind w:left="1276" w:hanging="425"/>
        <w:rPr>
          <w:sz w:val="24"/>
          <w:szCs w:val="24"/>
          <w:lang w:val="en-GB"/>
        </w:rPr>
      </w:pPr>
    </w:p>
    <w:p w14:paraId="6FB5110C" w14:textId="77777777" w:rsidR="00B4737D" w:rsidRPr="00B4737D" w:rsidRDefault="00B4737D" w:rsidP="001C1AA7">
      <w:pPr>
        <w:numPr>
          <w:ilvl w:val="0"/>
          <w:numId w:val="6"/>
        </w:numPr>
        <w:ind w:left="1276" w:hanging="425"/>
        <w:rPr>
          <w:sz w:val="24"/>
          <w:szCs w:val="24"/>
          <w:lang w:val="en-GB"/>
        </w:rPr>
      </w:pPr>
      <w:r w:rsidRPr="00B4737D">
        <w:rPr>
          <w:sz w:val="24"/>
          <w:szCs w:val="24"/>
          <w:lang w:val="en-GB"/>
        </w:rPr>
        <w:t xml:space="preserve">for the prevention of stroke and systemic embolism in patients with NVAF, patients should receive the lower dose of apixaban 2.5 mg twice daily. </w:t>
      </w:r>
    </w:p>
    <w:p w14:paraId="105BDFDD" w14:textId="77777777" w:rsidR="00B4737D" w:rsidRPr="00B4737D" w:rsidRDefault="00B4737D" w:rsidP="00D438C9">
      <w:pPr>
        <w:ind w:left="851"/>
        <w:rPr>
          <w:sz w:val="24"/>
          <w:szCs w:val="24"/>
          <w:lang w:val="en-GB"/>
        </w:rPr>
      </w:pPr>
    </w:p>
    <w:p w14:paraId="2FA7E758" w14:textId="77777777" w:rsidR="00B4737D" w:rsidRPr="00B4737D" w:rsidRDefault="00B4737D" w:rsidP="00D438C9">
      <w:pPr>
        <w:ind w:left="851"/>
        <w:rPr>
          <w:sz w:val="24"/>
          <w:szCs w:val="24"/>
          <w:lang w:val="en-GB"/>
        </w:rPr>
      </w:pPr>
      <w:r w:rsidRPr="00B4737D">
        <w:rPr>
          <w:sz w:val="24"/>
          <w:szCs w:val="24"/>
          <w:lang w:val="en-GB"/>
        </w:rPr>
        <w:t>In patients with creatinine clearance &lt; 15 mL/min, or in patients undergoing dialysis, there is no clinical experience therefore apixaban is not recommended (see sections 4.4 and 5.2).</w:t>
      </w:r>
    </w:p>
    <w:p w14:paraId="5762EE70" w14:textId="77777777" w:rsidR="00B4737D" w:rsidRPr="00B4737D" w:rsidRDefault="00B4737D" w:rsidP="00D438C9">
      <w:pPr>
        <w:ind w:left="851"/>
        <w:rPr>
          <w:sz w:val="24"/>
          <w:szCs w:val="24"/>
          <w:u w:val="single"/>
          <w:lang w:val="en-GB"/>
        </w:rPr>
      </w:pPr>
    </w:p>
    <w:p w14:paraId="096225DE" w14:textId="77777777" w:rsidR="00B4737D" w:rsidRPr="00B4737D" w:rsidRDefault="00B4737D" w:rsidP="00D438C9">
      <w:pPr>
        <w:ind w:left="851"/>
        <w:rPr>
          <w:i/>
          <w:sz w:val="24"/>
          <w:szCs w:val="24"/>
          <w:lang w:val="en-GB"/>
        </w:rPr>
      </w:pPr>
      <w:r w:rsidRPr="00B4737D">
        <w:rPr>
          <w:i/>
          <w:sz w:val="24"/>
          <w:szCs w:val="24"/>
          <w:lang w:val="en-GB"/>
        </w:rPr>
        <w:t>Paediatric population</w:t>
      </w:r>
    </w:p>
    <w:p w14:paraId="7E95F253" w14:textId="62299462" w:rsidR="00B4737D" w:rsidRPr="00B4737D" w:rsidRDefault="00B4737D" w:rsidP="00D438C9">
      <w:pPr>
        <w:ind w:left="851"/>
        <w:rPr>
          <w:sz w:val="24"/>
          <w:szCs w:val="24"/>
          <w:lang w:val="en-GB"/>
        </w:rPr>
      </w:pPr>
      <w:r w:rsidRPr="00B4737D">
        <w:rPr>
          <w:sz w:val="24"/>
          <w:szCs w:val="24"/>
          <w:lang w:val="en-GB"/>
        </w:rPr>
        <w:t>Based on adult data and limited data in paediatric patients (see section 5.2), no dose adjustment is</w:t>
      </w:r>
      <w:r w:rsidR="001C1AA7">
        <w:rPr>
          <w:sz w:val="24"/>
          <w:szCs w:val="24"/>
          <w:lang w:val="en-GB"/>
        </w:rPr>
        <w:t xml:space="preserve"> </w:t>
      </w:r>
      <w:r w:rsidRPr="00B4737D">
        <w:rPr>
          <w:sz w:val="24"/>
          <w:szCs w:val="24"/>
          <w:lang w:val="en-GB"/>
        </w:rPr>
        <w:t>necessary in paediatric patients with mild to moderate renal impairment. Apixaban is not</w:t>
      </w:r>
      <w:r w:rsidR="001C1AA7">
        <w:rPr>
          <w:sz w:val="24"/>
          <w:szCs w:val="24"/>
          <w:lang w:val="en-GB"/>
        </w:rPr>
        <w:t xml:space="preserve"> </w:t>
      </w:r>
      <w:r w:rsidRPr="00B4737D">
        <w:rPr>
          <w:sz w:val="24"/>
          <w:szCs w:val="24"/>
          <w:lang w:val="en-GB"/>
        </w:rPr>
        <w:t>recommended in paediatric patients with severe renal impairment (see section 4.4).</w:t>
      </w:r>
    </w:p>
    <w:p w14:paraId="597E6598" w14:textId="77777777" w:rsidR="00B4737D" w:rsidRPr="00B4737D" w:rsidRDefault="00B4737D" w:rsidP="00D438C9">
      <w:pPr>
        <w:ind w:left="851"/>
        <w:rPr>
          <w:sz w:val="24"/>
          <w:szCs w:val="24"/>
          <w:u w:val="single"/>
          <w:lang w:val="en-GB"/>
        </w:rPr>
      </w:pPr>
    </w:p>
    <w:p w14:paraId="610C5368"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Hepatic impairment </w:t>
      </w:r>
    </w:p>
    <w:p w14:paraId="30E898CB" w14:textId="62DD6482" w:rsidR="00B4737D" w:rsidRPr="00B4737D" w:rsidRDefault="001C1AA7" w:rsidP="00D438C9">
      <w:pPr>
        <w:ind w:left="851"/>
        <w:rPr>
          <w:sz w:val="24"/>
          <w:szCs w:val="24"/>
          <w:lang w:val="en-GB"/>
        </w:rPr>
      </w:pPr>
      <w:proofErr w:type="spellStart"/>
      <w:r>
        <w:rPr>
          <w:sz w:val="24"/>
          <w:szCs w:val="24"/>
          <w:lang w:val="en-GB"/>
        </w:rPr>
        <w:t>Apixlets</w:t>
      </w:r>
      <w:proofErr w:type="spellEnd"/>
      <w:r w:rsidR="00B4737D" w:rsidRPr="00B4737D">
        <w:rPr>
          <w:sz w:val="24"/>
          <w:szCs w:val="24"/>
          <w:lang w:val="en-GB"/>
        </w:rPr>
        <w:t xml:space="preserve"> is contraindicated in adult patients with hepatic disease associated with coagulopathy and clinically relevant bleeding risk (see section 4.3). </w:t>
      </w:r>
    </w:p>
    <w:p w14:paraId="663A7FAE" w14:textId="77777777" w:rsidR="00B4737D" w:rsidRPr="00B4737D" w:rsidRDefault="00B4737D" w:rsidP="00D438C9">
      <w:pPr>
        <w:ind w:left="851"/>
        <w:rPr>
          <w:sz w:val="24"/>
          <w:szCs w:val="24"/>
          <w:lang w:val="en-GB"/>
        </w:rPr>
      </w:pPr>
    </w:p>
    <w:p w14:paraId="6D41318A" w14:textId="77777777" w:rsidR="00B4737D" w:rsidRPr="00B4737D" w:rsidRDefault="00B4737D" w:rsidP="00D438C9">
      <w:pPr>
        <w:ind w:left="851"/>
        <w:rPr>
          <w:sz w:val="24"/>
          <w:szCs w:val="24"/>
          <w:lang w:val="en-GB"/>
        </w:rPr>
      </w:pPr>
      <w:r w:rsidRPr="00B4737D">
        <w:rPr>
          <w:sz w:val="24"/>
          <w:szCs w:val="24"/>
          <w:lang w:val="en-GB"/>
        </w:rPr>
        <w:t xml:space="preserve">It is not recommended in patients with severe hepatic impairment (see sections 4.4. and 5.2). </w:t>
      </w:r>
    </w:p>
    <w:p w14:paraId="79167A95" w14:textId="77777777" w:rsidR="00B4737D" w:rsidRPr="00B4737D" w:rsidRDefault="00B4737D" w:rsidP="00D438C9">
      <w:pPr>
        <w:ind w:left="851"/>
        <w:rPr>
          <w:sz w:val="24"/>
          <w:szCs w:val="24"/>
          <w:lang w:val="en-GB"/>
        </w:rPr>
      </w:pPr>
    </w:p>
    <w:p w14:paraId="6E69A548" w14:textId="77777777" w:rsidR="00B4737D" w:rsidRPr="00B4737D" w:rsidRDefault="00B4737D" w:rsidP="00D438C9">
      <w:pPr>
        <w:ind w:left="851"/>
        <w:rPr>
          <w:sz w:val="24"/>
          <w:szCs w:val="24"/>
          <w:lang w:val="en-GB"/>
        </w:rPr>
      </w:pPr>
      <w:r w:rsidRPr="00B4737D">
        <w:rPr>
          <w:sz w:val="24"/>
          <w:szCs w:val="24"/>
          <w:lang w:val="en-GB"/>
        </w:rPr>
        <w:t xml:space="preserve">It should be used with caution in patients with mild or moderate hepatic impairment (Child Pugh A or B). No dose adjustment is required in patients with mild or moderate hepatic impairment (see sections 4.4 and 5.2). </w:t>
      </w:r>
    </w:p>
    <w:p w14:paraId="65F69E6F" w14:textId="77777777" w:rsidR="00B4737D" w:rsidRPr="00B4737D" w:rsidRDefault="00B4737D" w:rsidP="00D438C9">
      <w:pPr>
        <w:ind w:left="851"/>
        <w:rPr>
          <w:sz w:val="24"/>
          <w:szCs w:val="24"/>
          <w:lang w:val="en-GB"/>
        </w:rPr>
      </w:pPr>
    </w:p>
    <w:p w14:paraId="4128FC17" w14:textId="702E680A" w:rsidR="00B4737D" w:rsidRPr="00B4737D" w:rsidRDefault="00B4737D" w:rsidP="00D438C9">
      <w:pPr>
        <w:ind w:left="851"/>
        <w:rPr>
          <w:sz w:val="24"/>
          <w:szCs w:val="24"/>
          <w:lang w:val="en-GB"/>
        </w:rPr>
      </w:pPr>
      <w:r w:rsidRPr="00B4737D">
        <w:rPr>
          <w:sz w:val="24"/>
          <w:szCs w:val="24"/>
          <w:lang w:val="en-GB"/>
        </w:rPr>
        <w:t>Patients with elevated liver enzymes alanine aminotransferase (ALT)/aspartate aminotransferase (AST) &gt;2 x ULN or total bilirubin ≥ 1.5 x ULN were excluded in clinical studies. Therefore</w:t>
      </w:r>
      <w:r w:rsidR="001C1AA7">
        <w:rPr>
          <w:sz w:val="24"/>
          <w:szCs w:val="24"/>
          <w:lang w:val="en-GB"/>
        </w:rPr>
        <w:t>,</w:t>
      </w:r>
      <w:r w:rsidRPr="00B4737D">
        <w:rPr>
          <w:sz w:val="24"/>
          <w:szCs w:val="24"/>
          <w:lang w:val="en-GB"/>
        </w:rPr>
        <w:t xml:space="preserve"> </w:t>
      </w:r>
      <w:proofErr w:type="spellStart"/>
      <w:r w:rsidR="001C1AA7">
        <w:rPr>
          <w:sz w:val="24"/>
          <w:szCs w:val="24"/>
          <w:lang w:val="en-GB"/>
        </w:rPr>
        <w:t>Apixlets</w:t>
      </w:r>
      <w:proofErr w:type="spellEnd"/>
      <w:r w:rsidRPr="00B4737D">
        <w:rPr>
          <w:sz w:val="24"/>
          <w:szCs w:val="24"/>
          <w:lang w:val="en-GB"/>
        </w:rPr>
        <w:t xml:space="preserve"> should be used with caution in this population (see sections 4.4 and 5.2). Prior to initiating </w:t>
      </w:r>
      <w:proofErr w:type="spellStart"/>
      <w:r w:rsidR="001C1AA7">
        <w:rPr>
          <w:sz w:val="24"/>
          <w:szCs w:val="24"/>
          <w:lang w:val="en-GB"/>
        </w:rPr>
        <w:t>Apixlets</w:t>
      </w:r>
      <w:proofErr w:type="spellEnd"/>
      <w:r w:rsidRPr="00B4737D">
        <w:rPr>
          <w:sz w:val="24"/>
          <w:szCs w:val="24"/>
          <w:lang w:val="en-GB"/>
        </w:rPr>
        <w:t>, liver function testing should be performed.</w:t>
      </w:r>
    </w:p>
    <w:p w14:paraId="5C5BCA2E" w14:textId="77777777" w:rsidR="00B4737D" w:rsidRPr="00B4737D" w:rsidRDefault="00B4737D" w:rsidP="00D438C9">
      <w:pPr>
        <w:ind w:left="851"/>
        <w:rPr>
          <w:sz w:val="24"/>
          <w:szCs w:val="24"/>
          <w:lang w:val="en-GB"/>
        </w:rPr>
      </w:pPr>
    </w:p>
    <w:p w14:paraId="48684005" w14:textId="77777777" w:rsidR="00B4737D" w:rsidRPr="00B4737D" w:rsidRDefault="00B4737D" w:rsidP="00D438C9">
      <w:pPr>
        <w:ind w:left="851"/>
        <w:rPr>
          <w:sz w:val="24"/>
          <w:szCs w:val="24"/>
          <w:lang w:val="en-GB"/>
        </w:rPr>
      </w:pPr>
      <w:r w:rsidRPr="00B4737D">
        <w:rPr>
          <w:sz w:val="24"/>
          <w:szCs w:val="24"/>
          <w:lang w:val="en-GB"/>
        </w:rPr>
        <w:lastRenderedPageBreak/>
        <w:t>Apixaban has not been studied in paediatric patients with hepatic impairment.</w:t>
      </w:r>
    </w:p>
    <w:p w14:paraId="626CDC93" w14:textId="77777777" w:rsidR="00B4737D" w:rsidRPr="00B4737D" w:rsidRDefault="00B4737D" w:rsidP="00D438C9">
      <w:pPr>
        <w:ind w:left="851"/>
        <w:rPr>
          <w:sz w:val="24"/>
          <w:szCs w:val="24"/>
          <w:u w:val="single"/>
          <w:lang w:val="en-GB"/>
        </w:rPr>
      </w:pPr>
    </w:p>
    <w:p w14:paraId="0556EEAA"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Body weight </w:t>
      </w:r>
    </w:p>
    <w:p w14:paraId="730E9B83" w14:textId="77777777" w:rsidR="00B4737D" w:rsidRPr="00B4737D" w:rsidRDefault="00B4737D" w:rsidP="00D438C9">
      <w:pPr>
        <w:ind w:left="851"/>
        <w:rPr>
          <w:sz w:val="24"/>
          <w:szCs w:val="24"/>
          <w:lang w:val="en-GB"/>
        </w:rPr>
      </w:pPr>
      <w:proofErr w:type="spellStart"/>
      <w:r w:rsidRPr="00B4737D">
        <w:rPr>
          <w:sz w:val="24"/>
          <w:szCs w:val="24"/>
          <w:lang w:val="en-GB"/>
        </w:rPr>
        <w:t>VTEt</w:t>
      </w:r>
      <w:proofErr w:type="spellEnd"/>
      <w:r w:rsidRPr="00B4737D">
        <w:rPr>
          <w:sz w:val="24"/>
          <w:szCs w:val="24"/>
          <w:lang w:val="en-GB"/>
        </w:rPr>
        <w:t xml:space="preserve"> - No dose adjustment required in adults (see sections 4.4 and 5.2). </w:t>
      </w:r>
    </w:p>
    <w:p w14:paraId="1270F3CB" w14:textId="77777777" w:rsidR="00B4737D" w:rsidRPr="00B4737D" w:rsidRDefault="00B4737D" w:rsidP="00D438C9">
      <w:pPr>
        <w:ind w:left="851"/>
        <w:rPr>
          <w:sz w:val="24"/>
          <w:szCs w:val="24"/>
          <w:lang w:val="en-GB"/>
        </w:rPr>
      </w:pPr>
    </w:p>
    <w:p w14:paraId="12456853" w14:textId="77777777" w:rsidR="00B4737D" w:rsidRPr="00B4737D" w:rsidRDefault="00B4737D" w:rsidP="00D438C9">
      <w:pPr>
        <w:ind w:left="851"/>
        <w:rPr>
          <w:sz w:val="24"/>
          <w:szCs w:val="24"/>
          <w:lang w:val="en-GB"/>
        </w:rPr>
      </w:pPr>
      <w:r w:rsidRPr="00B4737D">
        <w:rPr>
          <w:sz w:val="24"/>
          <w:szCs w:val="24"/>
          <w:lang w:val="en-GB"/>
        </w:rPr>
        <w:t xml:space="preserve">NVAF - No dose adjustment required, unless criteria for dose reduction are met (see </w:t>
      </w:r>
      <w:r w:rsidRPr="00B4737D">
        <w:rPr>
          <w:i/>
          <w:iCs/>
          <w:sz w:val="24"/>
          <w:szCs w:val="24"/>
          <w:lang w:val="en-GB"/>
        </w:rPr>
        <w:t xml:space="preserve">Dose reduction </w:t>
      </w:r>
      <w:r w:rsidRPr="00B4737D">
        <w:rPr>
          <w:sz w:val="24"/>
          <w:szCs w:val="24"/>
          <w:lang w:val="en-GB"/>
        </w:rPr>
        <w:t xml:space="preserve">at the beginning of section 4.2). </w:t>
      </w:r>
    </w:p>
    <w:p w14:paraId="0BBFE6C3" w14:textId="77777777" w:rsidR="00B4737D" w:rsidRPr="00B4737D" w:rsidRDefault="00B4737D" w:rsidP="00D438C9">
      <w:pPr>
        <w:ind w:left="851"/>
        <w:rPr>
          <w:sz w:val="24"/>
          <w:szCs w:val="24"/>
          <w:lang w:val="en-GB"/>
        </w:rPr>
      </w:pPr>
    </w:p>
    <w:p w14:paraId="5C047991" w14:textId="77777777" w:rsidR="00B4737D" w:rsidRPr="00B4737D" w:rsidRDefault="00B4737D" w:rsidP="00D438C9">
      <w:pPr>
        <w:ind w:left="851"/>
        <w:rPr>
          <w:sz w:val="24"/>
          <w:szCs w:val="24"/>
          <w:lang w:val="en-GB"/>
        </w:rPr>
      </w:pPr>
      <w:r w:rsidRPr="00B4737D">
        <w:rPr>
          <w:sz w:val="24"/>
          <w:szCs w:val="24"/>
          <w:lang w:val="en-GB"/>
        </w:rPr>
        <w:t>Apixaban paediatric administration is based on a fixed-dose by weight-tier regimen (see section 4.2).</w:t>
      </w:r>
    </w:p>
    <w:p w14:paraId="32B88864" w14:textId="77777777" w:rsidR="00B4737D" w:rsidRPr="00B4737D" w:rsidRDefault="00B4737D" w:rsidP="00D438C9">
      <w:pPr>
        <w:ind w:left="851"/>
        <w:rPr>
          <w:sz w:val="24"/>
          <w:szCs w:val="24"/>
          <w:lang w:val="en-GB"/>
        </w:rPr>
      </w:pPr>
    </w:p>
    <w:p w14:paraId="6C554090"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Gender </w:t>
      </w:r>
    </w:p>
    <w:p w14:paraId="1D9AC528" w14:textId="77777777" w:rsidR="00B4737D" w:rsidRPr="00B4737D" w:rsidRDefault="00B4737D" w:rsidP="00D438C9">
      <w:pPr>
        <w:ind w:left="851"/>
        <w:rPr>
          <w:sz w:val="24"/>
          <w:szCs w:val="24"/>
          <w:lang w:val="en-GB"/>
        </w:rPr>
      </w:pPr>
      <w:r w:rsidRPr="00B4737D">
        <w:rPr>
          <w:sz w:val="24"/>
          <w:szCs w:val="24"/>
          <w:lang w:val="en-GB"/>
        </w:rPr>
        <w:t xml:space="preserve">No dose adjustment required (see section 5.2). </w:t>
      </w:r>
    </w:p>
    <w:p w14:paraId="558A5849" w14:textId="77777777" w:rsidR="00B4737D" w:rsidRPr="00B4737D" w:rsidRDefault="00B4737D" w:rsidP="00D438C9">
      <w:pPr>
        <w:ind w:left="851"/>
        <w:rPr>
          <w:sz w:val="24"/>
          <w:szCs w:val="24"/>
          <w:lang w:val="en-GB"/>
        </w:rPr>
      </w:pPr>
    </w:p>
    <w:p w14:paraId="3769D0AC"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Patients undergoing catheter ablation (NVAF) </w:t>
      </w:r>
    </w:p>
    <w:p w14:paraId="71771C64" w14:textId="77777777" w:rsidR="00B4737D" w:rsidRPr="00B4737D" w:rsidRDefault="00B4737D" w:rsidP="00D438C9">
      <w:pPr>
        <w:ind w:left="851"/>
        <w:rPr>
          <w:sz w:val="24"/>
          <w:szCs w:val="24"/>
          <w:lang w:val="en-GB"/>
        </w:rPr>
      </w:pPr>
      <w:r w:rsidRPr="00B4737D">
        <w:rPr>
          <w:sz w:val="24"/>
          <w:szCs w:val="24"/>
          <w:lang w:val="en-GB"/>
        </w:rPr>
        <w:t xml:space="preserve">Patients can continue apixaban use while undergoing catheter ablation (see sections 4.3, 4.4 and 4.5). </w:t>
      </w:r>
    </w:p>
    <w:p w14:paraId="0189143B" w14:textId="77777777" w:rsidR="00B4737D" w:rsidRPr="00B4737D" w:rsidRDefault="00B4737D" w:rsidP="00D438C9">
      <w:pPr>
        <w:ind w:left="851"/>
        <w:rPr>
          <w:sz w:val="24"/>
          <w:szCs w:val="24"/>
          <w:lang w:val="en-GB"/>
        </w:rPr>
      </w:pPr>
    </w:p>
    <w:p w14:paraId="02D9BE21"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Patients undergoing cardioversion </w:t>
      </w:r>
    </w:p>
    <w:p w14:paraId="765FAF49" w14:textId="77777777" w:rsidR="00B4737D" w:rsidRPr="00B4737D" w:rsidRDefault="00B4737D" w:rsidP="00D438C9">
      <w:pPr>
        <w:ind w:left="851"/>
        <w:rPr>
          <w:sz w:val="24"/>
          <w:szCs w:val="24"/>
          <w:lang w:val="en-GB"/>
        </w:rPr>
      </w:pPr>
      <w:r w:rsidRPr="00B4737D">
        <w:rPr>
          <w:sz w:val="24"/>
          <w:szCs w:val="24"/>
          <w:lang w:val="en-GB"/>
        </w:rPr>
        <w:t>Apixaban can be initiated or continued in NVAF adult patients who may require cardioversion.</w:t>
      </w:r>
    </w:p>
    <w:p w14:paraId="4FD46ACE" w14:textId="77777777" w:rsidR="00B4737D" w:rsidRPr="00B4737D" w:rsidRDefault="00B4737D" w:rsidP="00D438C9">
      <w:pPr>
        <w:ind w:left="851"/>
        <w:rPr>
          <w:sz w:val="24"/>
          <w:szCs w:val="24"/>
          <w:u w:val="single"/>
          <w:lang w:val="en-GB"/>
        </w:rPr>
      </w:pPr>
    </w:p>
    <w:p w14:paraId="231245EB" w14:textId="77777777" w:rsidR="00B4737D" w:rsidRPr="00B4737D" w:rsidRDefault="00B4737D" w:rsidP="00D438C9">
      <w:pPr>
        <w:ind w:left="851"/>
        <w:rPr>
          <w:sz w:val="24"/>
          <w:szCs w:val="24"/>
          <w:lang w:val="en-GB"/>
        </w:rPr>
      </w:pPr>
      <w:r w:rsidRPr="00B4737D">
        <w:rPr>
          <w:sz w:val="24"/>
          <w:szCs w:val="24"/>
          <w:lang w:val="en-GB"/>
        </w:rPr>
        <w:t xml:space="preserve">For patients not previously treated with anticoagulants, exclusion of left atrial thrombus using an image guided approach (e.g. </w:t>
      </w:r>
      <w:proofErr w:type="spellStart"/>
      <w:r w:rsidRPr="00B4737D">
        <w:rPr>
          <w:sz w:val="24"/>
          <w:szCs w:val="24"/>
          <w:lang w:val="en-GB"/>
        </w:rPr>
        <w:t>transesophageal</w:t>
      </w:r>
      <w:proofErr w:type="spellEnd"/>
      <w:r w:rsidRPr="00B4737D">
        <w:rPr>
          <w:sz w:val="24"/>
          <w:szCs w:val="24"/>
          <w:lang w:val="en-GB"/>
        </w:rPr>
        <w:t xml:space="preserve"> echocardiography (TEE) or computed tomographic scan (CT)) prior to cardioversion should be considered, in accordance with established medical guidelines. </w:t>
      </w:r>
    </w:p>
    <w:p w14:paraId="0F10FD20" w14:textId="77777777" w:rsidR="00B4737D" w:rsidRPr="00B4737D" w:rsidRDefault="00B4737D" w:rsidP="00D438C9">
      <w:pPr>
        <w:ind w:left="851"/>
        <w:rPr>
          <w:sz w:val="24"/>
          <w:szCs w:val="24"/>
          <w:lang w:val="en-GB"/>
        </w:rPr>
      </w:pPr>
    </w:p>
    <w:p w14:paraId="19CB634F" w14:textId="77777777" w:rsidR="00B4737D" w:rsidRPr="00B4737D" w:rsidRDefault="00B4737D" w:rsidP="00D438C9">
      <w:pPr>
        <w:ind w:left="851"/>
        <w:rPr>
          <w:sz w:val="24"/>
          <w:szCs w:val="24"/>
          <w:lang w:val="en-GB"/>
        </w:rPr>
      </w:pPr>
      <w:r w:rsidRPr="00B4737D">
        <w:rPr>
          <w:sz w:val="24"/>
          <w:szCs w:val="24"/>
          <w:lang w:val="en-GB"/>
        </w:rPr>
        <w:t xml:space="preserve">For patients initiating treatment with apixaban, 5 mg should be given twice daily for at least 2.5 days (5 single doses) before cardioversion to ensure adequate anticoagulation (see section 5.1). The dosing regimen should be reduced to 2.5 mg apixaban given twice daily for at least 2.5 days (5 single doses) if the patient meets the criteria for dose reduction (see above sections </w:t>
      </w:r>
      <w:r w:rsidRPr="00B4737D">
        <w:rPr>
          <w:i/>
          <w:iCs/>
          <w:sz w:val="24"/>
          <w:szCs w:val="24"/>
          <w:lang w:val="en-GB"/>
        </w:rPr>
        <w:t xml:space="preserve">Dose reduction </w:t>
      </w:r>
      <w:r w:rsidRPr="00B4737D">
        <w:rPr>
          <w:sz w:val="24"/>
          <w:szCs w:val="24"/>
          <w:lang w:val="en-GB"/>
        </w:rPr>
        <w:t xml:space="preserve">and </w:t>
      </w:r>
      <w:r w:rsidRPr="00B4737D">
        <w:rPr>
          <w:i/>
          <w:iCs/>
          <w:sz w:val="24"/>
          <w:szCs w:val="24"/>
          <w:lang w:val="en-GB"/>
        </w:rPr>
        <w:t>Renal impairment)</w:t>
      </w:r>
      <w:r w:rsidRPr="00B4737D">
        <w:rPr>
          <w:sz w:val="24"/>
          <w:szCs w:val="24"/>
          <w:lang w:val="en-GB"/>
        </w:rPr>
        <w:t xml:space="preserve">. </w:t>
      </w:r>
    </w:p>
    <w:p w14:paraId="2AAD8765" w14:textId="77777777" w:rsidR="00B4737D" w:rsidRPr="00B4737D" w:rsidRDefault="00B4737D" w:rsidP="00D438C9">
      <w:pPr>
        <w:ind w:left="851"/>
        <w:rPr>
          <w:sz w:val="24"/>
          <w:szCs w:val="24"/>
          <w:lang w:val="en-GB"/>
        </w:rPr>
      </w:pPr>
    </w:p>
    <w:p w14:paraId="5E300249" w14:textId="77777777" w:rsidR="00B4737D" w:rsidRPr="00B4737D" w:rsidRDefault="00B4737D" w:rsidP="00D438C9">
      <w:pPr>
        <w:ind w:left="851"/>
        <w:rPr>
          <w:sz w:val="24"/>
          <w:szCs w:val="24"/>
          <w:lang w:val="en-GB"/>
        </w:rPr>
      </w:pPr>
      <w:r w:rsidRPr="00B4737D">
        <w:rPr>
          <w:sz w:val="24"/>
          <w:szCs w:val="24"/>
          <w:lang w:val="en-GB"/>
        </w:rPr>
        <w:t xml:space="preserve">If cardioversion is required before 5 doses of apixaban can be administered, a 10 mg loading dose should be given, followed by 5 mg twice daily. The dosing regimen should be reduced to a 5 mg loading dose followed by 2.5 mg twice daily if the patient meets the criteria for dose reduction (see above sections </w:t>
      </w:r>
      <w:r w:rsidRPr="00B4737D">
        <w:rPr>
          <w:i/>
          <w:iCs/>
          <w:sz w:val="24"/>
          <w:szCs w:val="24"/>
          <w:lang w:val="en-GB"/>
        </w:rPr>
        <w:t xml:space="preserve">Dose reduction </w:t>
      </w:r>
      <w:r w:rsidRPr="00B4737D">
        <w:rPr>
          <w:sz w:val="24"/>
          <w:szCs w:val="24"/>
          <w:lang w:val="en-GB"/>
        </w:rPr>
        <w:t xml:space="preserve">and </w:t>
      </w:r>
      <w:r w:rsidRPr="00B4737D">
        <w:rPr>
          <w:i/>
          <w:iCs/>
          <w:sz w:val="24"/>
          <w:szCs w:val="24"/>
          <w:lang w:val="en-GB"/>
        </w:rPr>
        <w:t>Renal impairment)</w:t>
      </w:r>
      <w:r w:rsidRPr="00B4737D">
        <w:rPr>
          <w:sz w:val="24"/>
          <w:szCs w:val="24"/>
          <w:lang w:val="en-GB"/>
        </w:rPr>
        <w:t xml:space="preserve">. The administration of the loading dose should be given at least 2 hours before cardioversion (see section 5.1). </w:t>
      </w:r>
    </w:p>
    <w:p w14:paraId="72D48721" w14:textId="77777777" w:rsidR="00B4737D" w:rsidRPr="00B4737D" w:rsidRDefault="00B4737D" w:rsidP="00D438C9">
      <w:pPr>
        <w:ind w:left="851"/>
        <w:rPr>
          <w:sz w:val="24"/>
          <w:szCs w:val="24"/>
          <w:lang w:val="en-GB"/>
        </w:rPr>
      </w:pPr>
    </w:p>
    <w:p w14:paraId="5E50EA4F" w14:textId="77777777" w:rsidR="00B4737D" w:rsidRPr="00B4737D" w:rsidRDefault="00B4737D" w:rsidP="00D438C9">
      <w:pPr>
        <w:ind w:left="851"/>
        <w:rPr>
          <w:sz w:val="24"/>
          <w:szCs w:val="24"/>
          <w:u w:val="single"/>
          <w:lang w:val="en-GB"/>
        </w:rPr>
      </w:pPr>
      <w:r w:rsidRPr="00B4737D">
        <w:rPr>
          <w:sz w:val="24"/>
          <w:szCs w:val="24"/>
          <w:lang w:val="en-GB"/>
        </w:rPr>
        <w:t>For all patients undergoing cardioversion, confirmation should be sought prior to cardioversion that the patient has taken apixaban as prescribed. Decisions on initiation and duration of treatment should take established guideline recommendations for anticoagulant treatment in patients undergoing cardioversion into account.</w:t>
      </w:r>
    </w:p>
    <w:p w14:paraId="6139B323" w14:textId="77777777" w:rsidR="00B4737D" w:rsidRPr="00B4737D" w:rsidRDefault="00B4737D" w:rsidP="00D438C9">
      <w:pPr>
        <w:ind w:left="851"/>
        <w:rPr>
          <w:sz w:val="24"/>
          <w:szCs w:val="24"/>
          <w:u w:val="single"/>
          <w:lang w:val="en-GB"/>
        </w:rPr>
      </w:pPr>
    </w:p>
    <w:p w14:paraId="7D9A28C4" w14:textId="77777777" w:rsidR="00B4737D" w:rsidRPr="00B4737D" w:rsidRDefault="00B4737D" w:rsidP="00D438C9">
      <w:pPr>
        <w:ind w:left="851"/>
        <w:rPr>
          <w:sz w:val="24"/>
          <w:szCs w:val="24"/>
          <w:u w:val="single"/>
          <w:lang w:val="en-GB"/>
        </w:rPr>
      </w:pPr>
      <w:r w:rsidRPr="00B4737D">
        <w:rPr>
          <w:i/>
          <w:iCs/>
          <w:sz w:val="24"/>
          <w:szCs w:val="24"/>
          <w:u w:val="single"/>
          <w:lang w:val="en-GB"/>
        </w:rPr>
        <w:t xml:space="preserve">Patients with NVAF and acute coronary syndrome (ACS) and/or percutaneous coronary intervention (PCI) </w:t>
      </w:r>
    </w:p>
    <w:p w14:paraId="1E1AEC5A" w14:textId="77777777" w:rsidR="00B4737D" w:rsidRPr="00B4737D" w:rsidRDefault="00B4737D" w:rsidP="00D438C9">
      <w:pPr>
        <w:ind w:left="851"/>
        <w:rPr>
          <w:sz w:val="24"/>
          <w:szCs w:val="24"/>
          <w:lang w:val="en-GB"/>
        </w:rPr>
      </w:pPr>
      <w:r w:rsidRPr="00B4737D">
        <w:rPr>
          <w:sz w:val="24"/>
          <w:szCs w:val="24"/>
          <w:lang w:val="en-GB"/>
        </w:rPr>
        <w:t xml:space="preserve">There is limited experience of treatment with apixaban at the recommended dose for NVAF patients when used in combination with antiplatelet agents in patients with ACS and/or undergoing PCI after haemostasis is achieved (see sections 4.4 and 5.1). </w:t>
      </w:r>
    </w:p>
    <w:p w14:paraId="09EA09FF" w14:textId="77777777" w:rsidR="00B4737D" w:rsidRPr="00B4737D" w:rsidRDefault="00B4737D" w:rsidP="00D438C9">
      <w:pPr>
        <w:ind w:left="851"/>
        <w:rPr>
          <w:sz w:val="24"/>
          <w:szCs w:val="24"/>
          <w:lang w:val="en-GB"/>
        </w:rPr>
      </w:pPr>
    </w:p>
    <w:p w14:paraId="728E322F" w14:textId="77777777" w:rsidR="00B4737D" w:rsidRPr="00B4737D" w:rsidRDefault="00B4737D" w:rsidP="00D438C9">
      <w:pPr>
        <w:ind w:left="851"/>
        <w:rPr>
          <w:i/>
          <w:iCs/>
          <w:sz w:val="24"/>
          <w:szCs w:val="24"/>
          <w:u w:val="single"/>
          <w:lang w:val="en-GB"/>
        </w:rPr>
      </w:pPr>
      <w:r w:rsidRPr="00B4737D">
        <w:rPr>
          <w:i/>
          <w:iCs/>
          <w:sz w:val="24"/>
          <w:szCs w:val="24"/>
          <w:u w:val="single"/>
          <w:lang w:val="en-GB"/>
        </w:rPr>
        <w:lastRenderedPageBreak/>
        <w:t xml:space="preserve">Paediatric population </w:t>
      </w:r>
    </w:p>
    <w:p w14:paraId="542817E7" w14:textId="18157675" w:rsidR="00B4737D" w:rsidRPr="00B4737D" w:rsidRDefault="00B4737D" w:rsidP="00D438C9">
      <w:pPr>
        <w:ind w:left="851"/>
        <w:rPr>
          <w:sz w:val="24"/>
          <w:szCs w:val="24"/>
          <w:lang w:val="en-GB"/>
        </w:rPr>
      </w:pPr>
      <w:r w:rsidRPr="00B4737D">
        <w:rPr>
          <w:sz w:val="24"/>
          <w:szCs w:val="24"/>
          <w:lang w:val="en-GB"/>
        </w:rPr>
        <w:t xml:space="preserve">The safety and efficacy of </w:t>
      </w:r>
      <w:proofErr w:type="spellStart"/>
      <w:r w:rsidR="001C1AA7">
        <w:rPr>
          <w:sz w:val="24"/>
          <w:szCs w:val="24"/>
          <w:lang w:val="en-GB"/>
        </w:rPr>
        <w:t>Apixlets</w:t>
      </w:r>
      <w:proofErr w:type="spellEnd"/>
      <w:r w:rsidRPr="00B4737D">
        <w:rPr>
          <w:sz w:val="24"/>
          <w:szCs w:val="24"/>
          <w:lang w:val="en-GB"/>
        </w:rPr>
        <w:t xml:space="preserve"> in paediatric patients aged 28 days to less than 18 years have not been established in indications other than treatment of VTE and prevention of recurrent VTE. No data are available in neonates and for other indications (see also section 5.1). Therefore, </w:t>
      </w:r>
      <w:proofErr w:type="spellStart"/>
      <w:r w:rsidR="001C1AA7">
        <w:rPr>
          <w:sz w:val="24"/>
          <w:szCs w:val="24"/>
          <w:lang w:val="en-GB"/>
        </w:rPr>
        <w:t>Apixlets</w:t>
      </w:r>
      <w:proofErr w:type="spellEnd"/>
      <w:r w:rsidRPr="00B4737D">
        <w:rPr>
          <w:sz w:val="24"/>
          <w:szCs w:val="24"/>
          <w:lang w:val="en-GB"/>
        </w:rPr>
        <w:t xml:space="preserve"> is not recommended for use in neonates and in paediatric patients aged 28 days to less than 18 years in indications other than treatment of VTE and prevention of recurrent VTE.</w:t>
      </w:r>
    </w:p>
    <w:p w14:paraId="2129E93D" w14:textId="77777777" w:rsidR="00B4737D" w:rsidRPr="00B4737D" w:rsidRDefault="00B4737D" w:rsidP="00D438C9">
      <w:pPr>
        <w:ind w:left="851"/>
        <w:rPr>
          <w:sz w:val="24"/>
          <w:szCs w:val="24"/>
          <w:lang w:val="en-GB"/>
        </w:rPr>
      </w:pPr>
    </w:p>
    <w:p w14:paraId="5FE58759" w14:textId="3F4EA82E" w:rsidR="00B4737D" w:rsidRDefault="00B4737D" w:rsidP="00D438C9">
      <w:pPr>
        <w:ind w:left="851"/>
        <w:rPr>
          <w:sz w:val="24"/>
          <w:szCs w:val="24"/>
          <w:lang w:val="en-GB"/>
        </w:rPr>
      </w:pPr>
      <w:r w:rsidRPr="00B4737D">
        <w:rPr>
          <w:sz w:val="24"/>
          <w:szCs w:val="24"/>
          <w:lang w:val="en-GB"/>
        </w:rPr>
        <w:t xml:space="preserve">The safety and efficacy of </w:t>
      </w:r>
      <w:proofErr w:type="spellStart"/>
      <w:r w:rsidR="001C1AA7">
        <w:rPr>
          <w:sz w:val="24"/>
          <w:szCs w:val="24"/>
          <w:lang w:val="en-GB"/>
        </w:rPr>
        <w:t>Apixlets</w:t>
      </w:r>
      <w:proofErr w:type="spellEnd"/>
      <w:r w:rsidRPr="00B4737D">
        <w:rPr>
          <w:sz w:val="24"/>
          <w:szCs w:val="24"/>
          <w:lang w:val="en-GB"/>
        </w:rPr>
        <w:t xml:space="preserve"> in children and adolescents below age 18 have not been established for the indication of thromboembolism prevention. Currently available data on thromboembolism prevention are described in section 5.1 but no recommendation on a posology can be made.</w:t>
      </w:r>
    </w:p>
    <w:p w14:paraId="014F9EDC" w14:textId="77777777" w:rsidR="001C1AA7" w:rsidRPr="00B4737D" w:rsidRDefault="001C1AA7" w:rsidP="00D438C9">
      <w:pPr>
        <w:ind w:left="851"/>
        <w:rPr>
          <w:sz w:val="24"/>
          <w:szCs w:val="24"/>
          <w:u w:val="single"/>
          <w:lang w:val="en-GB"/>
        </w:rPr>
      </w:pPr>
    </w:p>
    <w:p w14:paraId="03865866" w14:textId="77777777" w:rsidR="00B4737D" w:rsidRPr="00B4737D" w:rsidRDefault="00B4737D" w:rsidP="00D438C9">
      <w:pPr>
        <w:ind w:left="851"/>
        <w:rPr>
          <w:sz w:val="24"/>
          <w:szCs w:val="24"/>
          <w:u w:val="single"/>
          <w:lang w:val="en-GB"/>
        </w:rPr>
      </w:pPr>
      <w:r w:rsidRPr="00B4737D">
        <w:rPr>
          <w:sz w:val="24"/>
          <w:szCs w:val="24"/>
          <w:u w:val="single"/>
          <w:lang w:val="en-GB"/>
        </w:rPr>
        <w:t>Method of administration in adults and paediatric patients</w:t>
      </w:r>
    </w:p>
    <w:p w14:paraId="53F9E638" w14:textId="77777777" w:rsidR="00B4737D" w:rsidRPr="00B4737D" w:rsidRDefault="00B4737D" w:rsidP="00D438C9">
      <w:pPr>
        <w:ind w:left="851"/>
        <w:rPr>
          <w:sz w:val="24"/>
          <w:szCs w:val="24"/>
          <w:lang w:val="en-GB"/>
        </w:rPr>
      </w:pPr>
      <w:r w:rsidRPr="00B4737D">
        <w:rPr>
          <w:sz w:val="24"/>
          <w:szCs w:val="24"/>
          <w:lang w:val="en-GB"/>
        </w:rPr>
        <w:t xml:space="preserve">Oral use </w:t>
      </w:r>
    </w:p>
    <w:p w14:paraId="3501CFC8" w14:textId="7E4BE0E4" w:rsidR="00B4737D" w:rsidRPr="00B4737D" w:rsidRDefault="001C1AA7" w:rsidP="00D438C9">
      <w:pPr>
        <w:ind w:left="851"/>
        <w:rPr>
          <w:sz w:val="24"/>
          <w:szCs w:val="24"/>
          <w:lang w:val="en-GB"/>
        </w:rPr>
      </w:pPr>
      <w:bookmarkStart w:id="2" w:name="_Hlk176169959"/>
      <w:proofErr w:type="spellStart"/>
      <w:r>
        <w:rPr>
          <w:sz w:val="24"/>
          <w:szCs w:val="24"/>
          <w:lang w:val="en-GB"/>
        </w:rPr>
        <w:t>Apixlets</w:t>
      </w:r>
      <w:proofErr w:type="spellEnd"/>
      <w:r w:rsidR="00B4737D" w:rsidRPr="00B4737D">
        <w:rPr>
          <w:sz w:val="24"/>
          <w:szCs w:val="24"/>
          <w:lang w:val="en-GB"/>
        </w:rPr>
        <w:t xml:space="preserve"> should be swallowed whole with water, with or without food, without chewing.</w:t>
      </w:r>
    </w:p>
    <w:bookmarkEnd w:id="2"/>
    <w:p w14:paraId="218CF28A" w14:textId="77777777" w:rsidR="00B4737D" w:rsidRPr="00B4737D" w:rsidRDefault="00B4737D" w:rsidP="00D438C9">
      <w:pPr>
        <w:ind w:left="851"/>
        <w:rPr>
          <w:sz w:val="24"/>
          <w:szCs w:val="24"/>
          <w:lang w:val="en-GB"/>
        </w:rPr>
      </w:pPr>
    </w:p>
    <w:p w14:paraId="37416B87" w14:textId="77777777" w:rsidR="00B4737D" w:rsidRPr="00B4737D" w:rsidRDefault="00B4737D" w:rsidP="00D438C9">
      <w:pPr>
        <w:ind w:left="851"/>
        <w:rPr>
          <w:sz w:val="24"/>
          <w:szCs w:val="24"/>
          <w:lang w:val="en-GB"/>
        </w:rPr>
      </w:pPr>
      <w:bookmarkStart w:id="3" w:name="_Hlk176169705"/>
      <w:r w:rsidRPr="00B4737D">
        <w:rPr>
          <w:sz w:val="24"/>
          <w:szCs w:val="24"/>
          <w:lang w:val="en-GB"/>
        </w:rPr>
        <w:t xml:space="preserve">For patients who are unable to swallow whole capsules, the capsules may be opened and the pellets suspended in water, or 5% glucose in water (G5W), or apple juice or mixed with apple puree and immediately administered orally (see section 5.2). Alternatively, the pellets contained in the capsules may be suspended in 60 mL of water or G5W and immediately delivered through a nasogastric tube (see section 5.2 and 6.6). </w:t>
      </w:r>
    </w:p>
    <w:p w14:paraId="63C6FA40" w14:textId="77777777" w:rsidR="00B4737D" w:rsidRPr="00B4737D" w:rsidRDefault="00B4737D" w:rsidP="00D438C9">
      <w:pPr>
        <w:ind w:left="851"/>
        <w:rPr>
          <w:sz w:val="24"/>
          <w:szCs w:val="24"/>
          <w:u w:val="single"/>
          <w:lang w:val="en-GB"/>
        </w:rPr>
      </w:pPr>
      <w:r w:rsidRPr="00B4737D">
        <w:rPr>
          <w:sz w:val="24"/>
          <w:szCs w:val="24"/>
          <w:lang w:val="en-GB"/>
        </w:rPr>
        <w:t>Pellets are stable in water, G5W, apple juice, and apple puree for up to 4 hours.</w:t>
      </w:r>
      <w:bookmarkEnd w:id="3"/>
    </w:p>
    <w:p w14:paraId="0F14C345" w14:textId="77777777" w:rsidR="007C5D2A" w:rsidRPr="001C1AA7" w:rsidRDefault="007C5D2A" w:rsidP="00A85D26">
      <w:pPr>
        <w:tabs>
          <w:tab w:val="left" w:pos="851"/>
        </w:tabs>
        <w:ind w:left="851"/>
        <w:rPr>
          <w:sz w:val="24"/>
          <w:szCs w:val="24"/>
          <w:lang w:val="en-GB"/>
        </w:rPr>
      </w:pPr>
    </w:p>
    <w:p w14:paraId="2A93F57A"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4.3</w:t>
      </w:r>
      <w:r w:rsidRPr="001C1AA7">
        <w:rPr>
          <w:b/>
          <w:sz w:val="24"/>
          <w:szCs w:val="24"/>
          <w:lang w:val="en-GB"/>
        </w:rPr>
        <w:tab/>
        <w:t>Contraindications</w:t>
      </w:r>
    </w:p>
    <w:p w14:paraId="6DEE2E0F" w14:textId="77777777" w:rsidR="00B4737D" w:rsidRPr="00B4737D" w:rsidRDefault="00B4737D" w:rsidP="00D438C9">
      <w:pPr>
        <w:numPr>
          <w:ilvl w:val="0"/>
          <w:numId w:val="7"/>
        </w:numPr>
        <w:ind w:left="1276" w:hanging="425"/>
        <w:rPr>
          <w:sz w:val="24"/>
          <w:szCs w:val="24"/>
          <w:lang w:val="en-GB"/>
        </w:rPr>
      </w:pPr>
      <w:r w:rsidRPr="00B4737D">
        <w:rPr>
          <w:sz w:val="24"/>
          <w:szCs w:val="24"/>
          <w:lang w:val="en-GB"/>
        </w:rPr>
        <w:t xml:space="preserve">Hypersensitivity to the active substance or to any of the excipients listed in section 6.1. </w:t>
      </w:r>
    </w:p>
    <w:p w14:paraId="6569F9C5" w14:textId="77777777" w:rsidR="00B4737D" w:rsidRPr="00B4737D" w:rsidRDefault="00B4737D" w:rsidP="00D438C9">
      <w:pPr>
        <w:numPr>
          <w:ilvl w:val="0"/>
          <w:numId w:val="7"/>
        </w:numPr>
        <w:ind w:left="1276" w:hanging="425"/>
        <w:rPr>
          <w:sz w:val="24"/>
          <w:szCs w:val="24"/>
          <w:lang w:val="en-GB"/>
        </w:rPr>
      </w:pPr>
      <w:r w:rsidRPr="00B4737D">
        <w:rPr>
          <w:sz w:val="24"/>
          <w:szCs w:val="24"/>
          <w:lang w:val="en-GB"/>
        </w:rPr>
        <w:t xml:space="preserve">Active clinically significant bleeding. </w:t>
      </w:r>
    </w:p>
    <w:p w14:paraId="2D9FF261" w14:textId="77777777" w:rsidR="00B4737D" w:rsidRPr="00B4737D" w:rsidRDefault="00B4737D" w:rsidP="00D438C9">
      <w:pPr>
        <w:numPr>
          <w:ilvl w:val="0"/>
          <w:numId w:val="7"/>
        </w:numPr>
        <w:ind w:left="1276" w:hanging="425"/>
        <w:rPr>
          <w:sz w:val="24"/>
          <w:szCs w:val="24"/>
          <w:lang w:val="en-GB"/>
        </w:rPr>
      </w:pPr>
      <w:r w:rsidRPr="00B4737D">
        <w:rPr>
          <w:sz w:val="24"/>
          <w:szCs w:val="24"/>
          <w:lang w:val="en-GB"/>
        </w:rPr>
        <w:t xml:space="preserve">Hepatic disease associated with coagulopathy and clinically relevant bleeding risk (see section 5.2). </w:t>
      </w:r>
    </w:p>
    <w:p w14:paraId="6C2237B8" w14:textId="77777777" w:rsidR="00B4737D" w:rsidRPr="00B4737D" w:rsidRDefault="00B4737D" w:rsidP="00D438C9">
      <w:pPr>
        <w:numPr>
          <w:ilvl w:val="0"/>
          <w:numId w:val="7"/>
        </w:numPr>
        <w:ind w:left="1276" w:hanging="425"/>
        <w:rPr>
          <w:sz w:val="24"/>
          <w:szCs w:val="24"/>
          <w:lang w:val="en-GB"/>
        </w:rPr>
      </w:pPr>
      <w:r w:rsidRPr="00B4737D">
        <w:rPr>
          <w:sz w:val="24"/>
          <w:szCs w:val="24"/>
          <w:lang w:val="en-GB"/>
        </w:rPr>
        <w:t xml:space="preserve">Lesion or condition if considered a significant risk factor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 </w:t>
      </w:r>
    </w:p>
    <w:p w14:paraId="77C08ECB" w14:textId="77777777" w:rsidR="00B4737D" w:rsidRPr="00B4737D" w:rsidRDefault="00B4737D" w:rsidP="00D438C9">
      <w:pPr>
        <w:numPr>
          <w:ilvl w:val="0"/>
          <w:numId w:val="7"/>
        </w:numPr>
        <w:ind w:left="1276" w:hanging="425"/>
        <w:rPr>
          <w:sz w:val="24"/>
          <w:szCs w:val="24"/>
          <w:lang w:val="en-US"/>
        </w:rPr>
      </w:pPr>
      <w:r w:rsidRPr="00B4737D">
        <w:rPr>
          <w:sz w:val="24"/>
          <w:szCs w:val="24"/>
          <w:lang w:val="en-GB"/>
        </w:rPr>
        <w:t xml:space="preserve">Concomitant treatment with any other anticoagulant agent e.g., unfractionated heparin (UFH), low molecular weight heparins (enoxaparin, </w:t>
      </w:r>
      <w:proofErr w:type="spellStart"/>
      <w:r w:rsidRPr="00B4737D">
        <w:rPr>
          <w:sz w:val="24"/>
          <w:szCs w:val="24"/>
          <w:lang w:val="en-GB"/>
        </w:rPr>
        <w:t>dalteparin</w:t>
      </w:r>
      <w:proofErr w:type="spellEnd"/>
      <w:r w:rsidRPr="00B4737D">
        <w:rPr>
          <w:sz w:val="24"/>
          <w:szCs w:val="24"/>
          <w:lang w:val="en-GB"/>
        </w:rPr>
        <w:t xml:space="preserve">, etc.), heparin derivatives (fondaparinux, etc.), oral anticoagulants (warfarin, rivaroxaban, dabigatran </w:t>
      </w:r>
      <w:proofErr w:type="spellStart"/>
      <w:r w:rsidRPr="00B4737D">
        <w:rPr>
          <w:sz w:val="24"/>
          <w:szCs w:val="24"/>
          <w:lang w:val="en-GB"/>
        </w:rPr>
        <w:t>etexilate</w:t>
      </w:r>
      <w:proofErr w:type="spellEnd"/>
      <w:r w:rsidRPr="00B4737D">
        <w:rPr>
          <w:sz w:val="24"/>
          <w:szCs w:val="24"/>
          <w:lang w:val="en-GB"/>
        </w:rPr>
        <w:t xml:space="preserve">, etc.) except under specific circumstances of switching anticoagulant therapy (see section 4.2), when UFH is given at doses necessary to maintain an open central venous or arterial catheter or </w:t>
      </w:r>
      <w:r w:rsidRPr="00B4737D">
        <w:rPr>
          <w:sz w:val="24"/>
          <w:szCs w:val="24"/>
          <w:lang w:val="en-US"/>
        </w:rPr>
        <w:t xml:space="preserve">when UFH is given during catheter ablation for atrial fibrillation (see sections 4.4 and 4.5). </w:t>
      </w:r>
    </w:p>
    <w:p w14:paraId="045348EE" w14:textId="77777777" w:rsidR="007C5D2A" w:rsidRPr="001C1AA7" w:rsidRDefault="007C5D2A" w:rsidP="003E0341">
      <w:pPr>
        <w:tabs>
          <w:tab w:val="left" w:pos="851"/>
        </w:tabs>
        <w:ind w:left="851"/>
        <w:rPr>
          <w:sz w:val="24"/>
          <w:szCs w:val="24"/>
          <w:lang w:val="en-US"/>
        </w:rPr>
      </w:pPr>
    </w:p>
    <w:p w14:paraId="0A219141" w14:textId="77777777" w:rsidR="007C5D2A" w:rsidRPr="001C1AA7" w:rsidRDefault="007C5D2A" w:rsidP="007C5D2A">
      <w:pPr>
        <w:tabs>
          <w:tab w:val="left" w:pos="851"/>
        </w:tabs>
        <w:rPr>
          <w:b/>
          <w:sz w:val="24"/>
          <w:szCs w:val="24"/>
          <w:lang w:val="en-GB"/>
        </w:rPr>
      </w:pPr>
      <w:r w:rsidRPr="001C1AA7">
        <w:rPr>
          <w:b/>
          <w:sz w:val="24"/>
          <w:szCs w:val="24"/>
          <w:lang w:val="en-GB"/>
        </w:rPr>
        <w:t>4.4</w:t>
      </w:r>
      <w:r w:rsidRPr="001C1AA7">
        <w:rPr>
          <w:b/>
          <w:sz w:val="24"/>
          <w:szCs w:val="24"/>
          <w:lang w:val="en-GB"/>
        </w:rPr>
        <w:tab/>
        <w:t>Special warnings and precautions for use</w:t>
      </w:r>
    </w:p>
    <w:p w14:paraId="5FF5106C" w14:textId="77777777" w:rsidR="00DC45BC" w:rsidRDefault="00DC45BC" w:rsidP="00D438C9">
      <w:pPr>
        <w:ind w:left="851"/>
        <w:rPr>
          <w:sz w:val="24"/>
          <w:szCs w:val="24"/>
          <w:lang w:val="en-GB"/>
        </w:rPr>
      </w:pPr>
    </w:p>
    <w:p w14:paraId="0F95D864" w14:textId="0F238013" w:rsidR="00B4737D" w:rsidRPr="00DC45BC" w:rsidRDefault="00B4737D" w:rsidP="00D438C9">
      <w:pPr>
        <w:ind w:left="851"/>
        <w:rPr>
          <w:sz w:val="24"/>
          <w:szCs w:val="24"/>
          <w:u w:val="single"/>
          <w:lang w:val="en-GB"/>
        </w:rPr>
      </w:pPr>
      <w:r w:rsidRPr="00DC45BC">
        <w:rPr>
          <w:sz w:val="24"/>
          <w:szCs w:val="24"/>
          <w:u w:val="single"/>
          <w:lang w:val="en-GB"/>
        </w:rPr>
        <w:t xml:space="preserve">Haemorrhage risk </w:t>
      </w:r>
    </w:p>
    <w:p w14:paraId="029B21E3" w14:textId="77777777" w:rsidR="00B4737D" w:rsidRPr="001C1AA7" w:rsidRDefault="00B4737D" w:rsidP="00D438C9">
      <w:pPr>
        <w:ind w:left="851"/>
        <w:rPr>
          <w:sz w:val="24"/>
          <w:szCs w:val="24"/>
          <w:lang w:val="en-GB"/>
        </w:rPr>
      </w:pPr>
      <w:r w:rsidRPr="001C1AA7">
        <w:rPr>
          <w:sz w:val="24"/>
          <w:szCs w:val="24"/>
          <w:lang w:val="en-GB"/>
        </w:rPr>
        <w:t xml:space="preserve">As with other anticoagulants, patients taking apixaban are to be carefully observed for signs of bleeding. It is recommended to be used with caution in conditions with increased risk of haemorrhage. Apixaban administration should be discontinued if severe haemorrhage occurs (see sections 4.8 and 4.9). </w:t>
      </w:r>
    </w:p>
    <w:p w14:paraId="146FC5BA" w14:textId="77777777" w:rsidR="00B4737D" w:rsidRPr="001C1AA7" w:rsidRDefault="00B4737D" w:rsidP="00D438C9">
      <w:pPr>
        <w:ind w:left="851"/>
        <w:rPr>
          <w:sz w:val="24"/>
          <w:szCs w:val="24"/>
          <w:lang w:val="en-GB"/>
        </w:rPr>
      </w:pPr>
    </w:p>
    <w:p w14:paraId="1F013642" w14:textId="77777777" w:rsidR="00B4737D" w:rsidRPr="001C1AA7" w:rsidRDefault="00B4737D" w:rsidP="00D438C9">
      <w:pPr>
        <w:ind w:left="851"/>
        <w:rPr>
          <w:sz w:val="24"/>
          <w:szCs w:val="24"/>
          <w:lang w:val="en-GB"/>
        </w:rPr>
      </w:pPr>
      <w:r w:rsidRPr="001C1AA7">
        <w:rPr>
          <w:sz w:val="24"/>
          <w:szCs w:val="24"/>
          <w:lang w:val="en-GB"/>
        </w:rPr>
        <w:lastRenderedPageBreak/>
        <w:t xml:space="preserve">Although treatment with apixaban does not require routine monitoring of exposure, a calibrated quantitative anti-Factor Xa assay may be useful in exceptional situations where knowledge of apixaban exposure may help to inform clinical decisions, e.g., overdose and emergency surgery (see section 5.1). </w:t>
      </w:r>
    </w:p>
    <w:p w14:paraId="0C8B499D" w14:textId="77777777" w:rsidR="00B4737D" w:rsidRPr="001C1AA7" w:rsidRDefault="00B4737D" w:rsidP="00D438C9">
      <w:pPr>
        <w:ind w:left="851"/>
        <w:rPr>
          <w:sz w:val="24"/>
          <w:szCs w:val="24"/>
          <w:lang w:val="en-GB"/>
        </w:rPr>
      </w:pPr>
    </w:p>
    <w:p w14:paraId="7931D403" w14:textId="31F998B8" w:rsidR="00B4737D" w:rsidRPr="001C1AA7" w:rsidRDefault="00B4737D" w:rsidP="00D438C9">
      <w:pPr>
        <w:ind w:left="851"/>
        <w:rPr>
          <w:sz w:val="24"/>
          <w:szCs w:val="24"/>
          <w:lang w:val="en-GB"/>
        </w:rPr>
      </w:pPr>
      <w:r w:rsidRPr="001C1AA7">
        <w:rPr>
          <w:sz w:val="24"/>
          <w:szCs w:val="24"/>
          <w:lang w:val="en-GB"/>
        </w:rPr>
        <w:t>A specific reversal agent (</w:t>
      </w:r>
      <w:proofErr w:type="spellStart"/>
      <w:r w:rsidRPr="001C1AA7">
        <w:rPr>
          <w:sz w:val="24"/>
          <w:szCs w:val="24"/>
          <w:lang w:val="en-GB"/>
        </w:rPr>
        <w:t>andexanet</w:t>
      </w:r>
      <w:proofErr w:type="spellEnd"/>
      <w:r w:rsidRPr="001C1AA7">
        <w:rPr>
          <w:sz w:val="24"/>
          <w:szCs w:val="24"/>
          <w:lang w:val="en-GB"/>
        </w:rPr>
        <w:t xml:space="preserve"> alfa) antagonising the pharmacodynamic effect of apixaban is</w:t>
      </w:r>
      <w:r w:rsidR="00DC45BC">
        <w:rPr>
          <w:sz w:val="24"/>
          <w:szCs w:val="24"/>
          <w:lang w:val="en-GB"/>
        </w:rPr>
        <w:t xml:space="preserve"> </w:t>
      </w:r>
      <w:r w:rsidRPr="001C1AA7">
        <w:rPr>
          <w:sz w:val="24"/>
          <w:szCs w:val="24"/>
          <w:lang w:val="en-GB"/>
        </w:rPr>
        <w:t>available for adults. However, its safety and efficacy have not been established in paediatric patients</w:t>
      </w:r>
      <w:r w:rsidR="00DC45BC">
        <w:rPr>
          <w:sz w:val="24"/>
          <w:szCs w:val="24"/>
          <w:lang w:val="en-GB"/>
        </w:rPr>
        <w:t xml:space="preserve"> </w:t>
      </w:r>
      <w:r w:rsidRPr="001C1AA7">
        <w:rPr>
          <w:sz w:val="24"/>
          <w:szCs w:val="24"/>
          <w:lang w:val="en-GB"/>
        </w:rPr>
        <w:t xml:space="preserve">(refer to the summary of product characteristics of </w:t>
      </w:r>
      <w:proofErr w:type="spellStart"/>
      <w:r w:rsidRPr="001C1AA7">
        <w:rPr>
          <w:sz w:val="24"/>
          <w:szCs w:val="24"/>
          <w:lang w:val="en-GB"/>
        </w:rPr>
        <w:t>andexanet</w:t>
      </w:r>
      <w:proofErr w:type="spellEnd"/>
      <w:r w:rsidRPr="001C1AA7">
        <w:rPr>
          <w:sz w:val="24"/>
          <w:szCs w:val="24"/>
          <w:lang w:val="en-GB"/>
        </w:rPr>
        <w:t xml:space="preserve"> alfa). Transfusion of fresh frozen</w:t>
      </w:r>
      <w:r w:rsidR="00DC45BC">
        <w:rPr>
          <w:sz w:val="24"/>
          <w:szCs w:val="24"/>
          <w:lang w:val="en-GB"/>
        </w:rPr>
        <w:t xml:space="preserve"> </w:t>
      </w:r>
      <w:r w:rsidRPr="001C1AA7">
        <w:rPr>
          <w:sz w:val="24"/>
          <w:szCs w:val="24"/>
          <w:lang w:val="en-GB"/>
        </w:rPr>
        <w:t>plasma, administration of prothrombin complex concentrates (PCCs),</w:t>
      </w:r>
      <w:r w:rsidR="00DC45BC">
        <w:rPr>
          <w:sz w:val="24"/>
          <w:szCs w:val="24"/>
          <w:lang w:val="en-GB"/>
        </w:rPr>
        <w:t xml:space="preserve"> </w:t>
      </w:r>
      <w:r w:rsidRPr="001C1AA7">
        <w:rPr>
          <w:sz w:val="24"/>
          <w:szCs w:val="24"/>
          <w:lang w:val="en-GB"/>
        </w:rPr>
        <w:t xml:space="preserve">or recombinant factor </w:t>
      </w:r>
      <w:proofErr w:type="spellStart"/>
      <w:r w:rsidRPr="001C1AA7">
        <w:rPr>
          <w:sz w:val="24"/>
          <w:szCs w:val="24"/>
          <w:lang w:val="en-GB"/>
        </w:rPr>
        <w:t>VIIa</w:t>
      </w:r>
      <w:proofErr w:type="spellEnd"/>
      <w:r w:rsidRPr="001C1AA7">
        <w:rPr>
          <w:sz w:val="24"/>
          <w:szCs w:val="24"/>
          <w:lang w:val="en-GB"/>
        </w:rPr>
        <w:t xml:space="preserve"> may</w:t>
      </w:r>
      <w:r w:rsidR="00DC45BC">
        <w:rPr>
          <w:sz w:val="24"/>
          <w:szCs w:val="24"/>
          <w:lang w:val="en-GB"/>
        </w:rPr>
        <w:t xml:space="preserve"> </w:t>
      </w:r>
      <w:r w:rsidRPr="001C1AA7">
        <w:rPr>
          <w:sz w:val="24"/>
          <w:szCs w:val="24"/>
          <w:lang w:val="en-GB"/>
        </w:rPr>
        <w:t>be considered. However, there is no clinical experience with the use of 4-factor PCC products to</w:t>
      </w:r>
      <w:r w:rsidR="00DC45BC">
        <w:rPr>
          <w:sz w:val="24"/>
          <w:szCs w:val="24"/>
          <w:lang w:val="en-GB"/>
        </w:rPr>
        <w:t xml:space="preserve"> </w:t>
      </w:r>
      <w:r w:rsidRPr="001C1AA7">
        <w:rPr>
          <w:sz w:val="24"/>
          <w:szCs w:val="24"/>
          <w:lang w:val="en-GB"/>
        </w:rPr>
        <w:t>reverse bleeding in paediatric and adult patients who have received apixaban.</w:t>
      </w:r>
    </w:p>
    <w:p w14:paraId="079F6071" w14:textId="77777777" w:rsidR="00B4737D" w:rsidRPr="001C1AA7" w:rsidRDefault="00B4737D" w:rsidP="00D438C9">
      <w:pPr>
        <w:ind w:left="851"/>
        <w:rPr>
          <w:sz w:val="24"/>
          <w:szCs w:val="24"/>
          <w:lang w:val="en-GB"/>
        </w:rPr>
      </w:pPr>
    </w:p>
    <w:p w14:paraId="08439184" w14:textId="77777777" w:rsidR="00B4737D" w:rsidRPr="00DC45BC" w:rsidRDefault="00B4737D" w:rsidP="00D438C9">
      <w:pPr>
        <w:ind w:left="851"/>
        <w:rPr>
          <w:sz w:val="24"/>
          <w:szCs w:val="24"/>
          <w:u w:val="single"/>
          <w:lang w:val="en-GB"/>
        </w:rPr>
      </w:pPr>
      <w:r w:rsidRPr="00DC45BC">
        <w:rPr>
          <w:sz w:val="24"/>
          <w:szCs w:val="24"/>
          <w:u w:val="single"/>
          <w:lang w:val="en-GB"/>
        </w:rPr>
        <w:t xml:space="preserve">Interaction with other medicinal products affecting haemostasis </w:t>
      </w:r>
    </w:p>
    <w:p w14:paraId="23322CDA" w14:textId="77777777" w:rsidR="00B4737D" w:rsidRPr="001C1AA7" w:rsidRDefault="00B4737D" w:rsidP="00D438C9">
      <w:pPr>
        <w:ind w:left="851"/>
        <w:rPr>
          <w:sz w:val="24"/>
          <w:szCs w:val="24"/>
          <w:lang w:val="en-GB"/>
        </w:rPr>
      </w:pPr>
      <w:r w:rsidRPr="001C1AA7">
        <w:rPr>
          <w:sz w:val="24"/>
          <w:szCs w:val="24"/>
          <w:lang w:val="en-GB"/>
        </w:rPr>
        <w:t xml:space="preserve">Due to an increased bleeding risk, concomitant treatment with any other anticoagulants is contraindicated (see section 4.3). </w:t>
      </w:r>
    </w:p>
    <w:p w14:paraId="56EF6E00" w14:textId="77777777" w:rsidR="00B4737D" w:rsidRPr="001C1AA7" w:rsidRDefault="00B4737D" w:rsidP="00D438C9">
      <w:pPr>
        <w:ind w:left="851"/>
        <w:rPr>
          <w:sz w:val="24"/>
          <w:szCs w:val="24"/>
          <w:lang w:val="en-GB"/>
        </w:rPr>
      </w:pPr>
    </w:p>
    <w:p w14:paraId="3A5BE8CA" w14:textId="77777777" w:rsidR="00B4737D" w:rsidRPr="001C1AA7" w:rsidRDefault="00B4737D" w:rsidP="00D438C9">
      <w:pPr>
        <w:ind w:left="851"/>
        <w:rPr>
          <w:sz w:val="24"/>
          <w:szCs w:val="24"/>
          <w:lang w:val="en-GB"/>
        </w:rPr>
      </w:pPr>
      <w:r w:rsidRPr="001C1AA7">
        <w:rPr>
          <w:sz w:val="24"/>
          <w:szCs w:val="24"/>
          <w:lang w:val="en-GB"/>
        </w:rPr>
        <w:t xml:space="preserve">The concomitant use of apixaban with antiplatelet agents increases the risk of bleeding (see section 4.5). </w:t>
      </w:r>
    </w:p>
    <w:p w14:paraId="72FE71B6" w14:textId="77777777" w:rsidR="00B4737D" w:rsidRPr="001C1AA7" w:rsidRDefault="00B4737D" w:rsidP="00D438C9">
      <w:pPr>
        <w:ind w:left="851"/>
        <w:rPr>
          <w:sz w:val="24"/>
          <w:szCs w:val="24"/>
          <w:lang w:val="en-GB"/>
        </w:rPr>
      </w:pPr>
    </w:p>
    <w:p w14:paraId="265D3546" w14:textId="77777777" w:rsidR="00B4737D" w:rsidRPr="001C1AA7" w:rsidRDefault="00B4737D" w:rsidP="00D438C9">
      <w:pPr>
        <w:ind w:left="851"/>
        <w:rPr>
          <w:sz w:val="24"/>
          <w:szCs w:val="24"/>
          <w:lang w:val="en-GB"/>
        </w:rPr>
      </w:pPr>
      <w:r w:rsidRPr="001C1AA7">
        <w:rPr>
          <w:sz w:val="24"/>
          <w:szCs w:val="24"/>
          <w:lang w:val="en-GB"/>
        </w:rPr>
        <w:t xml:space="preserve">Care is to be taken if patients are treated concomitantly with selective serotonin reuptake inhibitors (SSRIs) or serotonin norepinephrine reuptake inhibitors (SNRIs), or non-steroidal anti-inflammatory drugs (NSAIDs), including acetylsalicylic acid. </w:t>
      </w:r>
    </w:p>
    <w:p w14:paraId="60D19678" w14:textId="77777777" w:rsidR="00B4737D" w:rsidRPr="001C1AA7" w:rsidRDefault="00B4737D" w:rsidP="00D438C9">
      <w:pPr>
        <w:ind w:left="851"/>
        <w:rPr>
          <w:sz w:val="24"/>
          <w:szCs w:val="24"/>
          <w:lang w:val="en-GB"/>
        </w:rPr>
      </w:pPr>
    </w:p>
    <w:p w14:paraId="638663D7" w14:textId="77777777" w:rsidR="00B4737D" w:rsidRPr="001C1AA7" w:rsidRDefault="00B4737D" w:rsidP="00D438C9">
      <w:pPr>
        <w:ind w:left="851"/>
        <w:rPr>
          <w:sz w:val="24"/>
          <w:szCs w:val="24"/>
          <w:lang w:val="en-GB"/>
        </w:rPr>
      </w:pPr>
      <w:r w:rsidRPr="001C1AA7">
        <w:rPr>
          <w:sz w:val="24"/>
          <w:szCs w:val="24"/>
          <w:lang w:val="en-GB"/>
        </w:rPr>
        <w:t xml:space="preserve">Following surgery, other platelet aggregation inhibitors are not recommended concomitantly with apixaban (see section 4.5). </w:t>
      </w:r>
    </w:p>
    <w:p w14:paraId="35B11EAD" w14:textId="77777777" w:rsidR="00B4737D" w:rsidRPr="001C1AA7" w:rsidRDefault="00B4737D" w:rsidP="00D438C9">
      <w:pPr>
        <w:ind w:left="851"/>
        <w:rPr>
          <w:sz w:val="24"/>
          <w:szCs w:val="24"/>
          <w:lang w:val="en-GB"/>
        </w:rPr>
      </w:pPr>
    </w:p>
    <w:p w14:paraId="66F29814" w14:textId="77777777" w:rsidR="00B4737D" w:rsidRPr="001C1AA7" w:rsidRDefault="00B4737D" w:rsidP="00D438C9">
      <w:pPr>
        <w:ind w:left="851"/>
        <w:rPr>
          <w:sz w:val="24"/>
          <w:szCs w:val="24"/>
          <w:lang w:val="en-GB"/>
        </w:rPr>
      </w:pPr>
      <w:r w:rsidRPr="001C1AA7">
        <w:rPr>
          <w:sz w:val="24"/>
          <w:szCs w:val="24"/>
          <w:lang w:val="en-GB"/>
        </w:rPr>
        <w:t xml:space="preserve">In patients with atrial fibrillation and conditions that warrant mono or dual antiplatelet therapy, a careful assessment of the potential benefits against the potential risks should be made before combining this therapy with apixaban. </w:t>
      </w:r>
    </w:p>
    <w:p w14:paraId="03C1312E" w14:textId="77777777" w:rsidR="00B4737D" w:rsidRPr="001C1AA7" w:rsidRDefault="00B4737D" w:rsidP="00D438C9">
      <w:pPr>
        <w:ind w:left="851"/>
        <w:rPr>
          <w:sz w:val="24"/>
          <w:szCs w:val="24"/>
          <w:lang w:val="en-GB"/>
        </w:rPr>
      </w:pPr>
    </w:p>
    <w:p w14:paraId="25885322" w14:textId="77777777" w:rsidR="00B4737D" w:rsidRPr="001C1AA7" w:rsidRDefault="00B4737D" w:rsidP="00D438C9">
      <w:pPr>
        <w:ind w:left="851"/>
        <w:rPr>
          <w:sz w:val="24"/>
          <w:szCs w:val="24"/>
          <w:lang w:val="en-GB"/>
        </w:rPr>
      </w:pPr>
      <w:r w:rsidRPr="001C1AA7">
        <w:rPr>
          <w:sz w:val="24"/>
          <w:szCs w:val="24"/>
          <w:lang w:val="en-GB"/>
        </w:rPr>
        <w:t xml:space="preserve">In a clinical study of adult patients with atrial fibrillation, concomitant use of ASA increased the major bleeding risk on apixaban from 1.8% per year to 3.4% per year and increased the bleeding risk on warfarin from 2.7% per year to 4.6% per year. In this clinical study, there was limited (2.1%) use of concomitant dual antiplatelet therapy (see section 5.1). </w:t>
      </w:r>
    </w:p>
    <w:p w14:paraId="79E9F346" w14:textId="77777777" w:rsidR="00B4737D" w:rsidRPr="001C1AA7" w:rsidRDefault="00B4737D" w:rsidP="00D438C9">
      <w:pPr>
        <w:ind w:left="851"/>
        <w:rPr>
          <w:sz w:val="24"/>
          <w:szCs w:val="24"/>
          <w:lang w:val="en-GB"/>
        </w:rPr>
      </w:pPr>
    </w:p>
    <w:p w14:paraId="1F26BFEA" w14:textId="77777777" w:rsidR="00B4737D" w:rsidRPr="001C1AA7" w:rsidRDefault="00B4737D" w:rsidP="00D438C9">
      <w:pPr>
        <w:ind w:left="851"/>
        <w:rPr>
          <w:sz w:val="24"/>
          <w:szCs w:val="24"/>
          <w:lang w:val="en-GB"/>
        </w:rPr>
      </w:pPr>
      <w:r w:rsidRPr="001C1AA7">
        <w:rPr>
          <w:sz w:val="24"/>
          <w:szCs w:val="24"/>
          <w:lang w:val="en-GB"/>
        </w:rPr>
        <w:t xml:space="preserve">A clinical study enrolled patients with atrial fibrillation with ACS and/or undergoing PCI and a planned treatment period with a P2Y12 inhibitor, with or without ASA, and oral anticoagulant (either apixaban or VKA) for 6 months. Concomitant use of ASA increased the risk of ISTH (International Society on Thrombosis and </w:t>
      </w:r>
      <w:proofErr w:type="spellStart"/>
      <w:r w:rsidRPr="001C1AA7">
        <w:rPr>
          <w:sz w:val="24"/>
          <w:szCs w:val="24"/>
          <w:lang w:val="en-GB"/>
        </w:rPr>
        <w:t>Hemostasis</w:t>
      </w:r>
      <w:proofErr w:type="spellEnd"/>
      <w:r w:rsidRPr="001C1AA7">
        <w:rPr>
          <w:sz w:val="24"/>
          <w:szCs w:val="24"/>
          <w:lang w:val="en-GB"/>
        </w:rPr>
        <w:t xml:space="preserve">) major or CRNM (Clinically Relevant Non-Major) bleeding in apixaban-treated subjects from 16.4% per year to 33.1% per year (see section 5.1). </w:t>
      </w:r>
    </w:p>
    <w:p w14:paraId="2C9D34AC" w14:textId="77777777" w:rsidR="00B4737D" w:rsidRPr="001C1AA7" w:rsidRDefault="00B4737D" w:rsidP="00D438C9">
      <w:pPr>
        <w:ind w:left="851"/>
        <w:rPr>
          <w:sz w:val="24"/>
          <w:szCs w:val="24"/>
          <w:lang w:val="en-GB"/>
        </w:rPr>
      </w:pPr>
    </w:p>
    <w:p w14:paraId="25FA7AF6" w14:textId="77777777" w:rsidR="00B4737D" w:rsidRPr="001C1AA7" w:rsidRDefault="00B4737D" w:rsidP="00D438C9">
      <w:pPr>
        <w:ind w:left="851"/>
        <w:rPr>
          <w:sz w:val="24"/>
          <w:szCs w:val="24"/>
          <w:lang w:val="en-GB"/>
        </w:rPr>
      </w:pPr>
      <w:r w:rsidRPr="001C1AA7">
        <w:rPr>
          <w:sz w:val="24"/>
          <w:szCs w:val="24"/>
          <w:lang w:val="en-GB"/>
        </w:rPr>
        <w:t xml:space="preserve">In a clinical study of high-risk </w:t>
      </w:r>
      <w:proofErr w:type="spellStart"/>
      <w:r w:rsidRPr="001C1AA7">
        <w:rPr>
          <w:sz w:val="24"/>
          <w:szCs w:val="24"/>
          <w:lang w:val="en-GB"/>
        </w:rPr>
        <w:t>post acute</w:t>
      </w:r>
      <w:proofErr w:type="spellEnd"/>
      <w:r w:rsidRPr="001C1AA7">
        <w:rPr>
          <w:sz w:val="24"/>
          <w:szCs w:val="24"/>
          <w:lang w:val="en-GB"/>
        </w:rPr>
        <w:t xml:space="preserve"> coronary syndrome patients without atrial fibrillation, characterised by multiple cardiac and non-cardiac comorbidities, who received ASA or the combination of ASA and clopidogrel, a significant increase in risk of ISTH major bleeding was reported for apixaban (5.13% per year) compared to placebo (2.04% per year).</w:t>
      </w:r>
    </w:p>
    <w:p w14:paraId="154BE5FE" w14:textId="77777777" w:rsidR="00B4737D" w:rsidRPr="001C1AA7" w:rsidRDefault="00B4737D" w:rsidP="00D438C9">
      <w:pPr>
        <w:ind w:left="851"/>
        <w:rPr>
          <w:sz w:val="24"/>
          <w:szCs w:val="24"/>
          <w:lang w:val="en-GB"/>
        </w:rPr>
      </w:pPr>
    </w:p>
    <w:p w14:paraId="23987FE1" w14:textId="638759D0" w:rsidR="00B4737D" w:rsidRPr="001C1AA7" w:rsidRDefault="00B4737D" w:rsidP="00D438C9">
      <w:pPr>
        <w:ind w:left="851"/>
        <w:rPr>
          <w:sz w:val="24"/>
          <w:szCs w:val="24"/>
          <w:lang w:val="en-GB"/>
        </w:rPr>
      </w:pPr>
      <w:r w:rsidRPr="001C1AA7">
        <w:rPr>
          <w:sz w:val="24"/>
          <w:szCs w:val="24"/>
          <w:lang w:val="en-GB"/>
        </w:rPr>
        <w:lastRenderedPageBreak/>
        <w:t>In study CV185325, no clinically important bleeding events were reported in the 12 paediatric patients</w:t>
      </w:r>
      <w:r w:rsidR="00DC45BC">
        <w:rPr>
          <w:sz w:val="24"/>
          <w:szCs w:val="24"/>
          <w:lang w:val="en-GB"/>
        </w:rPr>
        <w:t xml:space="preserve"> </w:t>
      </w:r>
      <w:r w:rsidRPr="001C1AA7">
        <w:rPr>
          <w:sz w:val="24"/>
          <w:szCs w:val="24"/>
          <w:lang w:val="en-GB"/>
        </w:rPr>
        <w:t>treated with apixaban and ASA ≤ 165 mg daily concomitantly.</w:t>
      </w:r>
    </w:p>
    <w:p w14:paraId="2C6E9256" w14:textId="77777777" w:rsidR="00B4737D" w:rsidRPr="001C1AA7" w:rsidRDefault="00B4737D" w:rsidP="00D438C9">
      <w:pPr>
        <w:ind w:left="851"/>
        <w:rPr>
          <w:sz w:val="24"/>
          <w:szCs w:val="24"/>
          <w:lang w:val="en-GB"/>
        </w:rPr>
      </w:pPr>
    </w:p>
    <w:p w14:paraId="28F0BE8B" w14:textId="77777777" w:rsidR="00B4737D" w:rsidRPr="00DC45BC" w:rsidRDefault="00B4737D" w:rsidP="00D438C9">
      <w:pPr>
        <w:ind w:left="851"/>
        <w:rPr>
          <w:sz w:val="24"/>
          <w:szCs w:val="24"/>
          <w:u w:val="single"/>
          <w:lang w:val="en-GB"/>
        </w:rPr>
      </w:pPr>
      <w:r w:rsidRPr="00DC45BC">
        <w:rPr>
          <w:sz w:val="24"/>
          <w:szCs w:val="24"/>
          <w:u w:val="single"/>
          <w:lang w:val="en-GB"/>
        </w:rPr>
        <w:t xml:space="preserve">Use of thrombolytic agents for the treatment of acute ischemic stroke </w:t>
      </w:r>
    </w:p>
    <w:p w14:paraId="36CA910B" w14:textId="77777777" w:rsidR="00B4737D" w:rsidRPr="001C1AA7" w:rsidRDefault="00B4737D" w:rsidP="00D438C9">
      <w:pPr>
        <w:ind w:left="851"/>
        <w:rPr>
          <w:sz w:val="24"/>
          <w:szCs w:val="24"/>
          <w:lang w:val="en-GB"/>
        </w:rPr>
      </w:pPr>
      <w:r w:rsidRPr="001C1AA7">
        <w:rPr>
          <w:sz w:val="24"/>
          <w:szCs w:val="24"/>
          <w:lang w:val="en-GB"/>
        </w:rPr>
        <w:t xml:space="preserve">There is very limited experience with the use of thrombolytic agents for the treatment of acute ischemic stroke in patients administered apixaban (see section 4.5). </w:t>
      </w:r>
    </w:p>
    <w:p w14:paraId="142B35D4" w14:textId="77777777" w:rsidR="00B4737D" w:rsidRPr="001C1AA7" w:rsidRDefault="00B4737D" w:rsidP="00D438C9">
      <w:pPr>
        <w:ind w:left="851"/>
        <w:rPr>
          <w:sz w:val="24"/>
          <w:szCs w:val="24"/>
          <w:lang w:val="en-GB"/>
        </w:rPr>
      </w:pPr>
    </w:p>
    <w:p w14:paraId="58BCCFE5" w14:textId="77777777" w:rsidR="00B4737D" w:rsidRPr="00DC45BC" w:rsidRDefault="00B4737D" w:rsidP="00D438C9">
      <w:pPr>
        <w:ind w:left="851"/>
        <w:rPr>
          <w:sz w:val="24"/>
          <w:szCs w:val="24"/>
          <w:u w:val="single"/>
          <w:lang w:val="en-GB"/>
        </w:rPr>
      </w:pPr>
      <w:r w:rsidRPr="00DC45BC">
        <w:rPr>
          <w:sz w:val="24"/>
          <w:szCs w:val="24"/>
          <w:u w:val="single"/>
          <w:lang w:val="en-GB"/>
        </w:rPr>
        <w:t xml:space="preserve">Patients with prosthetic heart valves </w:t>
      </w:r>
    </w:p>
    <w:p w14:paraId="5E8061C6" w14:textId="77777777" w:rsidR="00B4737D" w:rsidRPr="001C1AA7" w:rsidRDefault="00B4737D" w:rsidP="00D438C9">
      <w:pPr>
        <w:ind w:left="851"/>
        <w:rPr>
          <w:sz w:val="24"/>
          <w:szCs w:val="24"/>
          <w:lang w:val="en-GB"/>
        </w:rPr>
      </w:pPr>
      <w:r w:rsidRPr="001C1AA7">
        <w:rPr>
          <w:sz w:val="24"/>
          <w:szCs w:val="24"/>
          <w:lang w:val="en-GB"/>
        </w:rPr>
        <w:t xml:space="preserve">Safety and efficacy of apixaban have not been studied in patients with prosthetic heart valves, with or without atrial fibrillation. Therefore, the use of apixaban is not recommended in this setting. </w:t>
      </w:r>
    </w:p>
    <w:p w14:paraId="7E33E41C" w14:textId="77777777" w:rsidR="00B4737D" w:rsidRPr="001C1AA7" w:rsidRDefault="00B4737D" w:rsidP="00D438C9">
      <w:pPr>
        <w:ind w:left="851"/>
        <w:rPr>
          <w:sz w:val="24"/>
          <w:szCs w:val="24"/>
          <w:lang w:val="en-GB"/>
        </w:rPr>
      </w:pPr>
    </w:p>
    <w:p w14:paraId="7DA4FBF7" w14:textId="7E8F5388" w:rsidR="00B4737D" w:rsidRPr="001C1AA7" w:rsidRDefault="00B4737D" w:rsidP="00D438C9">
      <w:pPr>
        <w:ind w:left="851"/>
        <w:rPr>
          <w:sz w:val="24"/>
          <w:szCs w:val="24"/>
          <w:lang w:val="en-GB"/>
        </w:rPr>
      </w:pPr>
      <w:r w:rsidRPr="001C1AA7">
        <w:rPr>
          <w:sz w:val="24"/>
          <w:szCs w:val="24"/>
          <w:lang w:val="en-GB"/>
        </w:rPr>
        <w:t>Apixaban has not been studied in paediatric patients with prosthetic heart valves; therefore, the use of</w:t>
      </w:r>
      <w:r w:rsidR="00DC45BC">
        <w:rPr>
          <w:sz w:val="24"/>
          <w:szCs w:val="24"/>
          <w:lang w:val="en-GB"/>
        </w:rPr>
        <w:t xml:space="preserve"> </w:t>
      </w:r>
      <w:r w:rsidRPr="001C1AA7">
        <w:rPr>
          <w:sz w:val="24"/>
          <w:szCs w:val="24"/>
          <w:lang w:val="en-GB"/>
        </w:rPr>
        <w:t>apixaban is not recommended.</w:t>
      </w:r>
    </w:p>
    <w:p w14:paraId="3D633B8D" w14:textId="77777777" w:rsidR="00B4737D" w:rsidRPr="001C1AA7" w:rsidRDefault="00B4737D" w:rsidP="00D438C9">
      <w:pPr>
        <w:ind w:left="851"/>
        <w:rPr>
          <w:sz w:val="24"/>
          <w:szCs w:val="24"/>
          <w:lang w:val="en-GB"/>
        </w:rPr>
      </w:pPr>
    </w:p>
    <w:p w14:paraId="22F05DC7" w14:textId="77777777" w:rsidR="00B4737D" w:rsidRPr="00DC45BC" w:rsidRDefault="00B4737D" w:rsidP="00D438C9">
      <w:pPr>
        <w:ind w:left="851"/>
        <w:rPr>
          <w:sz w:val="24"/>
          <w:szCs w:val="24"/>
          <w:u w:val="single"/>
          <w:lang w:val="en-GB"/>
        </w:rPr>
      </w:pPr>
      <w:r w:rsidRPr="00DC45BC">
        <w:rPr>
          <w:sz w:val="24"/>
          <w:szCs w:val="24"/>
          <w:u w:val="single"/>
          <w:lang w:val="en-GB"/>
        </w:rPr>
        <w:t xml:space="preserve">Patients with antiphospholipid syndrome </w:t>
      </w:r>
    </w:p>
    <w:p w14:paraId="7A4A4EB1" w14:textId="77777777" w:rsidR="00B4737D" w:rsidRPr="001C1AA7" w:rsidRDefault="00B4737D" w:rsidP="00D438C9">
      <w:pPr>
        <w:ind w:left="851"/>
        <w:rPr>
          <w:sz w:val="24"/>
          <w:szCs w:val="24"/>
          <w:lang w:val="en-GB"/>
        </w:rPr>
      </w:pPr>
      <w:r w:rsidRPr="001C1AA7">
        <w:rPr>
          <w:sz w:val="24"/>
          <w:szCs w:val="24"/>
          <w:lang w:val="en-GB"/>
        </w:rPr>
        <w:t xml:space="preserve">Direct acting Oral Anticoagulants (DOACs) including apixaban are not recommended for patients with a history of thrombosis who are diagnosed with antiphospholipid syndrome. </w:t>
      </w:r>
      <w:proofErr w:type="gramStart"/>
      <w:r w:rsidRPr="001C1AA7">
        <w:rPr>
          <w:sz w:val="24"/>
          <w:szCs w:val="24"/>
          <w:lang w:val="en-GB"/>
        </w:rPr>
        <w:t>In particular for</w:t>
      </w:r>
      <w:proofErr w:type="gramEnd"/>
      <w:r w:rsidRPr="001C1AA7">
        <w:rPr>
          <w:sz w:val="24"/>
          <w:szCs w:val="24"/>
          <w:lang w:val="en-GB"/>
        </w:rPr>
        <w:t xml:space="preserve"> patients that are triple positive (for lupus anticoagulant, anticardiolipin antibodies, and anti-beta 2-glycoprotein I antibodies), treatment with DOACs could be associated with increased rates of recurrent thrombotic events compared with vitamin K antagonist therapy. </w:t>
      </w:r>
    </w:p>
    <w:p w14:paraId="0FB9CD5F" w14:textId="77777777" w:rsidR="00B4737D" w:rsidRPr="001C1AA7" w:rsidRDefault="00B4737D" w:rsidP="00D438C9">
      <w:pPr>
        <w:ind w:left="851"/>
        <w:rPr>
          <w:sz w:val="24"/>
          <w:szCs w:val="24"/>
          <w:lang w:val="en-GB"/>
        </w:rPr>
      </w:pPr>
    </w:p>
    <w:p w14:paraId="66086CBB" w14:textId="77777777" w:rsidR="00B4737D" w:rsidRPr="00DC45BC" w:rsidRDefault="00B4737D" w:rsidP="00D438C9">
      <w:pPr>
        <w:ind w:left="851"/>
        <w:rPr>
          <w:sz w:val="24"/>
          <w:szCs w:val="24"/>
          <w:u w:val="single"/>
          <w:lang w:val="en-GB"/>
        </w:rPr>
      </w:pPr>
      <w:r w:rsidRPr="00DC45BC">
        <w:rPr>
          <w:sz w:val="24"/>
          <w:szCs w:val="24"/>
          <w:u w:val="single"/>
          <w:lang w:val="en-GB"/>
        </w:rPr>
        <w:t xml:space="preserve">Surgery and invasive procedures </w:t>
      </w:r>
    </w:p>
    <w:p w14:paraId="6C403D1D" w14:textId="77777777" w:rsidR="00B4737D" w:rsidRPr="001C1AA7" w:rsidRDefault="00B4737D" w:rsidP="00D438C9">
      <w:pPr>
        <w:ind w:left="851"/>
        <w:rPr>
          <w:sz w:val="24"/>
          <w:szCs w:val="24"/>
          <w:lang w:val="en-GB"/>
        </w:rPr>
      </w:pPr>
      <w:r w:rsidRPr="001C1AA7">
        <w:rPr>
          <w:sz w:val="24"/>
          <w:szCs w:val="24"/>
          <w:lang w:val="en-GB"/>
        </w:rPr>
        <w:t xml:space="preserve">Apixaban should be discontinued at least 48 hours prior to elective surgery or invasive procedures with a moderate or high risk of bleeding. This includes interventions for which the probability of clinically significant bleeding cannot be excluded or for which the risk of bleeding would be unacceptable. </w:t>
      </w:r>
    </w:p>
    <w:p w14:paraId="7775730C" w14:textId="77777777" w:rsidR="00B4737D" w:rsidRPr="001C1AA7" w:rsidRDefault="00B4737D" w:rsidP="00D438C9">
      <w:pPr>
        <w:ind w:left="851"/>
        <w:rPr>
          <w:sz w:val="24"/>
          <w:szCs w:val="24"/>
          <w:lang w:val="en-GB"/>
        </w:rPr>
      </w:pPr>
    </w:p>
    <w:p w14:paraId="6FCB9AC1" w14:textId="77777777" w:rsidR="00B4737D" w:rsidRPr="001C1AA7" w:rsidRDefault="00B4737D" w:rsidP="00D438C9">
      <w:pPr>
        <w:ind w:left="851"/>
        <w:rPr>
          <w:sz w:val="24"/>
          <w:szCs w:val="24"/>
          <w:lang w:val="en-GB"/>
        </w:rPr>
      </w:pPr>
      <w:r w:rsidRPr="001C1AA7">
        <w:rPr>
          <w:sz w:val="24"/>
          <w:szCs w:val="24"/>
          <w:lang w:val="en-GB"/>
        </w:rPr>
        <w:t xml:space="preserve">Apixaban should be discontinued at least 24 hours prior to elective surgery or invasive procedures with a low risk of bleeding. This includes interventions for which any bleeding that occurs is expected to be minimal, non-critical in its location or easily controlled. </w:t>
      </w:r>
    </w:p>
    <w:p w14:paraId="70FCC0A4" w14:textId="77777777" w:rsidR="00B4737D" w:rsidRPr="001C1AA7" w:rsidRDefault="00B4737D" w:rsidP="00D438C9">
      <w:pPr>
        <w:ind w:left="851"/>
        <w:rPr>
          <w:sz w:val="24"/>
          <w:szCs w:val="24"/>
          <w:lang w:val="en-GB"/>
        </w:rPr>
      </w:pPr>
    </w:p>
    <w:p w14:paraId="2B774E63" w14:textId="77777777" w:rsidR="00B4737D" w:rsidRPr="001C1AA7" w:rsidRDefault="00B4737D" w:rsidP="00D438C9">
      <w:pPr>
        <w:ind w:left="851"/>
        <w:rPr>
          <w:sz w:val="24"/>
          <w:szCs w:val="24"/>
          <w:lang w:val="en-GB"/>
        </w:rPr>
      </w:pPr>
      <w:r w:rsidRPr="001C1AA7">
        <w:rPr>
          <w:sz w:val="24"/>
          <w:szCs w:val="24"/>
          <w:lang w:val="en-GB"/>
        </w:rPr>
        <w:t xml:space="preserve">If surgery or invasive procedures cannot be delayed, appropriate caution should be exercised, taking into consideration an increased risk of bleeding. This risk of bleeding should be weighed against the urgency of intervention. </w:t>
      </w:r>
    </w:p>
    <w:p w14:paraId="1B06FAB8" w14:textId="77777777" w:rsidR="00B4737D" w:rsidRPr="001C1AA7" w:rsidRDefault="00B4737D" w:rsidP="00D438C9">
      <w:pPr>
        <w:ind w:left="851"/>
        <w:rPr>
          <w:sz w:val="24"/>
          <w:szCs w:val="24"/>
          <w:lang w:val="en-GB"/>
        </w:rPr>
      </w:pPr>
    </w:p>
    <w:p w14:paraId="75CD14A5" w14:textId="77777777" w:rsidR="00B4737D" w:rsidRPr="001C1AA7" w:rsidRDefault="00B4737D" w:rsidP="00D438C9">
      <w:pPr>
        <w:ind w:left="851"/>
        <w:rPr>
          <w:sz w:val="24"/>
          <w:szCs w:val="24"/>
          <w:lang w:val="en-GB"/>
        </w:rPr>
      </w:pPr>
      <w:r w:rsidRPr="001C1AA7">
        <w:rPr>
          <w:sz w:val="24"/>
          <w:szCs w:val="24"/>
          <w:lang w:val="en-GB"/>
        </w:rPr>
        <w:t xml:space="preserve">Apixaban should be restarted after the invasive procedure or surgical intervention as soon as possible provided the clinical situation allows and adequate haemostasis has been established (for cardioversion see section 4.2). </w:t>
      </w:r>
    </w:p>
    <w:p w14:paraId="579DF9CC" w14:textId="77777777" w:rsidR="00B4737D" w:rsidRPr="001C1AA7" w:rsidRDefault="00B4737D" w:rsidP="00D438C9">
      <w:pPr>
        <w:ind w:left="851"/>
        <w:rPr>
          <w:sz w:val="24"/>
          <w:szCs w:val="24"/>
          <w:lang w:val="en-GB"/>
        </w:rPr>
      </w:pPr>
    </w:p>
    <w:p w14:paraId="6284EAB0" w14:textId="77777777" w:rsidR="00B4737D" w:rsidRPr="001C1AA7" w:rsidRDefault="00B4737D" w:rsidP="00D438C9">
      <w:pPr>
        <w:ind w:left="851"/>
        <w:rPr>
          <w:sz w:val="24"/>
          <w:szCs w:val="24"/>
          <w:lang w:val="en-GB"/>
        </w:rPr>
      </w:pPr>
      <w:r w:rsidRPr="001C1AA7">
        <w:rPr>
          <w:sz w:val="24"/>
          <w:szCs w:val="24"/>
          <w:lang w:val="en-GB"/>
        </w:rPr>
        <w:t xml:space="preserve">For patients undergoing catheter ablation for atrial fibrillation, apixaban treatment does not need to be interrupted (see sections 4.2, 4.3 and 4.5). </w:t>
      </w:r>
    </w:p>
    <w:p w14:paraId="202C4B24" w14:textId="77777777" w:rsidR="00B4737D" w:rsidRPr="001C1AA7" w:rsidRDefault="00B4737D" w:rsidP="00D438C9">
      <w:pPr>
        <w:ind w:left="851"/>
        <w:rPr>
          <w:sz w:val="24"/>
          <w:szCs w:val="24"/>
          <w:lang w:val="en-GB"/>
        </w:rPr>
      </w:pPr>
    </w:p>
    <w:p w14:paraId="5E4B5874" w14:textId="77777777" w:rsidR="00B4737D" w:rsidRPr="00DC45BC" w:rsidRDefault="00B4737D" w:rsidP="00D438C9">
      <w:pPr>
        <w:ind w:left="851"/>
        <w:rPr>
          <w:sz w:val="24"/>
          <w:szCs w:val="24"/>
          <w:u w:val="single"/>
          <w:lang w:val="en-GB"/>
        </w:rPr>
      </w:pPr>
      <w:r w:rsidRPr="00DC45BC">
        <w:rPr>
          <w:sz w:val="24"/>
          <w:szCs w:val="24"/>
          <w:u w:val="single"/>
          <w:lang w:val="en-GB"/>
        </w:rPr>
        <w:t xml:space="preserve">Temporary discontinuation </w:t>
      </w:r>
    </w:p>
    <w:p w14:paraId="0B8D32B6" w14:textId="77777777" w:rsidR="00B4737D" w:rsidRPr="001C1AA7" w:rsidRDefault="00B4737D" w:rsidP="00D438C9">
      <w:pPr>
        <w:ind w:left="851"/>
        <w:rPr>
          <w:sz w:val="24"/>
          <w:szCs w:val="24"/>
          <w:lang w:val="en-GB"/>
        </w:rPr>
      </w:pPr>
      <w:r w:rsidRPr="001C1AA7">
        <w:rPr>
          <w:sz w:val="24"/>
          <w:szCs w:val="24"/>
          <w:lang w:val="en-GB"/>
        </w:rPr>
        <w:t xml:space="preserve">Discontinuing anticoagulants, including apixaban, for active bleeding, elective surgery, or invasive procedures places patients at an increased risk of thrombosis. Lapses in therapy should be avoided and if anticoagulation with apixaban must be temporarily discontinued for any reason, therapy should be restarted as soon as possible. </w:t>
      </w:r>
    </w:p>
    <w:p w14:paraId="42DF180E" w14:textId="49457131" w:rsidR="008F2ECE" w:rsidRDefault="008F2ECE">
      <w:pPr>
        <w:rPr>
          <w:sz w:val="24"/>
          <w:szCs w:val="24"/>
          <w:lang w:val="en-GB"/>
        </w:rPr>
      </w:pPr>
      <w:r>
        <w:rPr>
          <w:sz w:val="24"/>
          <w:szCs w:val="24"/>
          <w:lang w:val="en-GB"/>
        </w:rPr>
        <w:br w:type="page"/>
      </w:r>
    </w:p>
    <w:p w14:paraId="0814350D" w14:textId="77777777" w:rsidR="00B4737D" w:rsidRPr="001C1AA7" w:rsidRDefault="00B4737D" w:rsidP="00D438C9">
      <w:pPr>
        <w:ind w:left="851"/>
        <w:rPr>
          <w:sz w:val="24"/>
          <w:szCs w:val="24"/>
          <w:lang w:val="en-GB"/>
        </w:rPr>
      </w:pPr>
    </w:p>
    <w:p w14:paraId="03AAA3D0" w14:textId="77777777" w:rsidR="00B4737D" w:rsidRPr="00DC45BC" w:rsidRDefault="00B4737D" w:rsidP="00D438C9">
      <w:pPr>
        <w:ind w:left="851"/>
        <w:rPr>
          <w:sz w:val="24"/>
          <w:szCs w:val="24"/>
          <w:u w:val="single"/>
          <w:lang w:val="en-GB"/>
        </w:rPr>
      </w:pPr>
      <w:r w:rsidRPr="00DC45BC">
        <w:rPr>
          <w:sz w:val="24"/>
          <w:szCs w:val="24"/>
          <w:u w:val="single"/>
          <w:lang w:val="en-GB"/>
        </w:rPr>
        <w:t>Spinal/epidural anaesthesia or puncture</w:t>
      </w:r>
    </w:p>
    <w:p w14:paraId="0210F6F8" w14:textId="095C796D" w:rsidR="00B4737D" w:rsidRPr="001C1AA7" w:rsidRDefault="00B4737D" w:rsidP="00D438C9">
      <w:pPr>
        <w:ind w:left="851"/>
        <w:rPr>
          <w:sz w:val="24"/>
          <w:szCs w:val="24"/>
          <w:lang w:val="en-GB"/>
        </w:rPr>
      </w:pPr>
      <w:r w:rsidRPr="001C1AA7">
        <w:rPr>
          <w:sz w:val="24"/>
          <w:szCs w:val="24"/>
          <w:lang w:val="en-GB"/>
        </w:rPr>
        <w:t>When neuraxial anaesthesia (spinal/epidural anaesthesia) or spinal/epidural puncture is employed,</w:t>
      </w:r>
      <w:r w:rsidR="00DC45BC">
        <w:rPr>
          <w:sz w:val="24"/>
          <w:szCs w:val="24"/>
          <w:lang w:val="en-GB"/>
        </w:rPr>
        <w:t xml:space="preserve"> </w:t>
      </w:r>
      <w:r w:rsidRPr="001C1AA7">
        <w:rPr>
          <w:sz w:val="24"/>
          <w:szCs w:val="24"/>
          <w:lang w:val="en-GB"/>
        </w:rPr>
        <w:t>patients treated with antithrombotic agents for prevention of thromboembolic complications are at risk</w:t>
      </w:r>
      <w:r w:rsidR="00DC45BC">
        <w:rPr>
          <w:sz w:val="24"/>
          <w:szCs w:val="24"/>
          <w:lang w:val="en-GB"/>
        </w:rPr>
        <w:t xml:space="preserve"> </w:t>
      </w:r>
      <w:r w:rsidRPr="001C1AA7">
        <w:rPr>
          <w:sz w:val="24"/>
          <w:szCs w:val="24"/>
          <w:lang w:val="en-GB"/>
        </w:rPr>
        <w:t>of developing an epidural or spinal haematoma which can result in long-term or permanent paralysis.</w:t>
      </w:r>
    </w:p>
    <w:p w14:paraId="75694AA9" w14:textId="3EED39CD" w:rsidR="00B4737D" w:rsidRPr="001C1AA7" w:rsidRDefault="00B4737D" w:rsidP="00D438C9">
      <w:pPr>
        <w:ind w:left="851"/>
        <w:rPr>
          <w:sz w:val="24"/>
          <w:szCs w:val="24"/>
          <w:lang w:val="en-GB"/>
        </w:rPr>
      </w:pPr>
      <w:r w:rsidRPr="001C1AA7">
        <w:rPr>
          <w:sz w:val="24"/>
          <w:szCs w:val="24"/>
          <w:lang w:val="en-GB"/>
        </w:rPr>
        <w:t>The risk of these events may be increased by the postoperative use of indwelling epidural catheters or</w:t>
      </w:r>
      <w:r w:rsidR="00DC45BC">
        <w:rPr>
          <w:sz w:val="24"/>
          <w:szCs w:val="24"/>
          <w:lang w:val="en-GB"/>
        </w:rPr>
        <w:t xml:space="preserve"> </w:t>
      </w:r>
      <w:r w:rsidRPr="001C1AA7">
        <w:rPr>
          <w:sz w:val="24"/>
          <w:szCs w:val="24"/>
          <w:lang w:val="en-GB"/>
        </w:rPr>
        <w:t>the concomitant use of medicinal products affecting haemostasis. Indwelling epidural or intrathecal</w:t>
      </w:r>
      <w:r w:rsidR="00DC45BC">
        <w:rPr>
          <w:sz w:val="24"/>
          <w:szCs w:val="24"/>
          <w:lang w:val="en-GB"/>
        </w:rPr>
        <w:t xml:space="preserve"> </w:t>
      </w:r>
      <w:r w:rsidRPr="001C1AA7">
        <w:rPr>
          <w:sz w:val="24"/>
          <w:szCs w:val="24"/>
          <w:lang w:val="en-GB"/>
        </w:rPr>
        <w:t>catheters must be removed at least 5 hours prior to the first dose of apixaban. The risk may also be</w:t>
      </w:r>
      <w:r w:rsidR="00DC45BC">
        <w:rPr>
          <w:sz w:val="24"/>
          <w:szCs w:val="24"/>
          <w:lang w:val="en-GB"/>
        </w:rPr>
        <w:t xml:space="preserve"> </w:t>
      </w:r>
      <w:r w:rsidRPr="001C1AA7">
        <w:rPr>
          <w:sz w:val="24"/>
          <w:szCs w:val="24"/>
          <w:lang w:val="en-GB"/>
        </w:rPr>
        <w:t>increased by traumatic or repeated epidural or spinal puncture. Patients are to be frequently monitored</w:t>
      </w:r>
      <w:r w:rsidR="00DC45BC">
        <w:rPr>
          <w:sz w:val="24"/>
          <w:szCs w:val="24"/>
          <w:lang w:val="en-GB"/>
        </w:rPr>
        <w:t xml:space="preserve"> </w:t>
      </w:r>
      <w:r w:rsidRPr="001C1AA7">
        <w:rPr>
          <w:sz w:val="24"/>
          <w:szCs w:val="24"/>
          <w:lang w:val="en-GB"/>
        </w:rPr>
        <w:t>for signs and symptoms of neurological impairment (e.g., numbness or weakness of the legs, bowel or</w:t>
      </w:r>
      <w:r w:rsidR="00DC45BC">
        <w:rPr>
          <w:sz w:val="24"/>
          <w:szCs w:val="24"/>
          <w:lang w:val="en-GB"/>
        </w:rPr>
        <w:t xml:space="preserve"> </w:t>
      </w:r>
      <w:r w:rsidRPr="001C1AA7">
        <w:rPr>
          <w:sz w:val="24"/>
          <w:szCs w:val="24"/>
          <w:lang w:val="en-GB"/>
        </w:rPr>
        <w:t>bladder dysfunction). If neurological compromise is noted, urgent diagnosis and treatment is</w:t>
      </w:r>
      <w:r w:rsidR="00DC45BC">
        <w:rPr>
          <w:sz w:val="24"/>
          <w:szCs w:val="24"/>
          <w:lang w:val="en-GB"/>
        </w:rPr>
        <w:t xml:space="preserve"> </w:t>
      </w:r>
      <w:r w:rsidRPr="001C1AA7">
        <w:rPr>
          <w:sz w:val="24"/>
          <w:szCs w:val="24"/>
          <w:lang w:val="en-GB"/>
        </w:rPr>
        <w:t>necessary. Prior to neuraxial intervention the physician should consider the potential benefit versus the</w:t>
      </w:r>
      <w:r w:rsidR="00DC45BC">
        <w:rPr>
          <w:sz w:val="24"/>
          <w:szCs w:val="24"/>
          <w:lang w:val="en-GB"/>
        </w:rPr>
        <w:t xml:space="preserve"> </w:t>
      </w:r>
      <w:r w:rsidRPr="001C1AA7">
        <w:rPr>
          <w:sz w:val="24"/>
          <w:szCs w:val="24"/>
          <w:lang w:val="en-GB"/>
        </w:rPr>
        <w:t>risk in anticoagulated patients or in patients to be anticoagulated for thromboprophylaxis.</w:t>
      </w:r>
    </w:p>
    <w:p w14:paraId="636239DE" w14:textId="77777777" w:rsidR="00B4737D" w:rsidRPr="001C1AA7" w:rsidRDefault="00B4737D" w:rsidP="00D438C9">
      <w:pPr>
        <w:ind w:left="851"/>
        <w:rPr>
          <w:sz w:val="24"/>
          <w:szCs w:val="24"/>
          <w:lang w:val="en-GB"/>
        </w:rPr>
      </w:pPr>
    </w:p>
    <w:p w14:paraId="53864A93" w14:textId="61040C88" w:rsidR="00B4737D" w:rsidRPr="001C1AA7" w:rsidRDefault="00B4737D" w:rsidP="00D438C9">
      <w:pPr>
        <w:ind w:left="851"/>
        <w:rPr>
          <w:sz w:val="24"/>
          <w:szCs w:val="24"/>
          <w:lang w:val="en-GB"/>
        </w:rPr>
      </w:pPr>
      <w:r w:rsidRPr="001C1AA7">
        <w:rPr>
          <w:sz w:val="24"/>
          <w:szCs w:val="24"/>
          <w:lang w:val="en-GB"/>
        </w:rPr>
        <w:t>There is no clinical experience with the use of apixaban with indwelling intrathecal or epidural</w:t>
      </w:r>
      <w:r w:rsidR="00DC45BC">
        <w:rPr>
          <w:sz w:val="24"/>
          <w:szCs w:val="24"/>
          <w:lang w:val="en-GB"/>
        </w:rPr>
        <w:t xml:space="preserve"> </w:t>
      </w:r>
      <w:r w:rsidRPr="001C1AA7">
        <w:rPr>
          <w:sz w:val="24"/>
          <w:szCs w:val="24"/>
          <w:lang w:val="en-GB"/>
        </w:rPr>
        <w:t>catheters. In case there is such need and based on the general PK characteristics of apixaban, a time</w:t>
      </w:r>
      <w:r w:rsidR="00DC45BC">
        <w:rPr>
          <w:sz w:val="24"/>
          <w:szCs w:val="24"/>
          <w:lang w:val="en-GB"/>
        </w:rPr>
        <w:t xml:space="preserve"> </w:t>
      </w:r>
      <w:r w:rsidRPr="001C1AA7">
        <w:rPr>
          <w:sz w:val="24"/>
          <w:szCs w:val="24"/>
          <w:lang w:val="en-GB"/>
        </w:rPr>
        <w:t>interval of 20-30 hours (i.e., 2 x half-life) between the last dose of apixaban and catheter withdrawal</w:t>
      </w:r>
      <w:r w:rsidR="00DC45BC">
        <w:rPr>
          <w:sz w:val="24"/>
          <w:szCs w:val="24"/>
          <w:lang w:val="en-GB"/>
        </w:rPr>
        <w:t xml:space="preserve"> </w:t>
      </w:r>
      <w:r w:rsidRPr="001C1AA7">
        <w:rPr>
          <w:sz w:val="24"/>
          <w:szCs w:val="24"/>
          <w:lang w:val="en-GB"/>
        </w:rPr>
        <w:t>should elapse, and at least one dose should be omitted before catheter withdrawal. The next dose of</w:t>
      </w:r>
      <w:r w:rsidR="00DC45BC">
        <w:rPr>
          <w:sz w:val="24"/>
          <w:szCs w:val="24"/>
          <w:lang w:val="en-GB"/>
        </w:rPr>
        <w:t xml:space="preserve"> </w:t>
      </w:r>
      <w:r w:rsidRPr="001C1AA7">
        <w:rPr>
          <w:sz w:val="24"/>
          <w:szCs w:val="24"/>
          <w:lang w:val="en-GB"/>
        </w:rPr>
        <w:t>apixaban may be given at least 5 hours after catheter removal. As with all new anticoagulant medicinal</w:t>
      </w:r>
      <w:r w:rsidR="00DC45BC">
        <w:rPr>
          <w:sz w:val="24"/>
          <w:szCs w:val="24"/>
          <w:lang w:val="en-GB"/>
        </w:rPr>
        <w:t xml:space="preserve"> </w:t>
      </w:r>
      <w:r w:rsidRPr="001C1AA7">
        <w:rPr>
          <w:sz w:val="24"/>
          <w:szCs w:val="24"/>
          <w:lang w:val="en-GB"/>
        </w:rPr>
        <w:t>products, experience with neuraxial blockade is limited and extreme caution is therefore recommended</w:t>
      </w:r>
      <w:r w:rsidR="00DC45BC">
        <w:rPr>
          <w:sz w:val="24"/>
          <w:szCs w:val="24"/>
          <w:lang w:val="en-GB"/>
        </w:rPr>
        <w:t xml:space="preserve"> </w:t>
      </w:r>
      <w:r w:rsidRPr="001C1AA7">
        <w:rPr>
          <w:sz w:val="24"/>
          <w:szCs w:val="24"/>
          <w:lang w:val="en-GB"/>
        </w:rPr>
        <w:t>when using apixaban in the presence of neuraxial blockade.</w:t>
      </w:r>
    </w:p>
    <w:p w14:paraId="61E7BC1F" w14:textId="77777777" w:rsidR="00B4737D" w:rsidRPr="001C1AA7" w:rsidRDefault="00B4737D" w:rsidP="00D438C9">
      <w:pPr>
        <w:ind w:left="851"/>
        <w:rPr>
          <w:sz w:val="24"/>
          <w:szCs w:val="24"/>
          <w:lang w:val="en-GB"/>
        </w:rPr>
      </w:pPr>
    </w:p>
    <w:p w14:paraId="6B04B88C" w14:textId="4931BCA9" w:rsidR="00B4737D" w:rsidRPr="001C1AA7" w:rsidRDefault="00B4737D" w:rsidP="00D438C9">
      <w:pPr>
        <w:ind w:left="851"/>
        <w:rPr>
          <w:sz w:val="24"/>
          <w:szCs w:val="24"/>
          <w:lang w:val="en-GB"/>
        </w:rPr>
      </w:pPr>
      <w:r w:rsidRPr="001C1AA7">
        <w:rPr>
          <w:sz w:val="24"/>
          <w:szCs w:val="24"/>
          <w:lang w:val="en-GB"/>
        </w:rPr>
        <w:t>No data are available on the timing of the placement or removal of neuraxial catheter in paediatric</w:t>
      </w:r>
      <w:r w:rsidR="00DC45BC">
        <w:rPr>
          <w:sz w:val="24"/>
          <w:szCs w:val="24"/>
          <w:lang w:val="en-GB"/>
        </w:rPr>
        <w:t xml:space="preserve"> </w:t>
      </w:r>
      <w:r w:rsidRPr="001C1AA7">
        <w:rPr>
          <w:sz w:val="24"/>
          <w:szCs w:val="24"/>
          <w:lang w:val="en-GB"/>
        </w:rPr>
        <w:t>patients while on apixaban. In such cases, discontinue apixaban and consider a short acting parenteral</w:t>
      </w:r>
      <w:r w:rsidR="00DC45BC">
        <w:rPr>
          <w:sz w:val="24"/>
          <w:szCs w:val="24"/>
          <w:lang w:val="en-GB"/>
        </w:rPr>
        <w:t xml:space="preserve"> </w:t>
      </w:r>
      <w:r w:rsidRPr="001C1AA7">
        <w:rPr>
          <w:sz w:val="24"/>
          <w:szCs w:val="24"/>
          <w:lang w:val="en-GB"/>
        </w:rPr>
        <w:t>anticoagulant.</w:t>
      </w:r>
    </w:p>
    <w:p w14:paraId="2F28BA43" w14:textId="77777777" w:rsidR="00B4737D" w:rsidRPr="001C1AA7" w:rsidRDefault="00B4737D" w:rsidP="00D438C9">
      <w:pPr>
        <w:ind w:left="851"/>
        <w:rPr>
          <w:sz w:val="24"/>
          <w:szCs w:val="24"/>
          <w:lang w:val="en-GB"/>
        </w:rPr>
      </w:pPr>
    </w:p>
    <w:p w14:paraId="487E694A" w14:textId="77777777" w:rsidR="00B4737D" w:rsidRPr="00DC45BC" w:rsidRDefault="00B4737D" w:rsidP="00D438C9">
      <w:pPr>
        <w:ind w:left="851"/>
        <w:rPr>
          <w:sz w:val="24"/>
          <w:szCs w:val="24"/>
          <w:u w:val="single"/>
          <w:lang w:val="en-GB"/>
        </w:rPr>
      </w:pPr>
      <w:r w:rsidRPr="00DC45BC">
        <w:rPr>
          <w:sz w:val="24"/>
          <w:szCs w:val="24"/>
          <w:u w:val="single"/>
          <w:lang w:val="en-GB"/>
        </w:rPr>
        <w:t xml:space="preserve">Haemodynamically unstable PE patients or patients who require thrombolysis or pulmonary embolectomy </w:t>
      </w:r>
    </w:p>
    <w:p w14:paraId="349A2AA1" w14:textId="77777777" w:rsidR="00B4737D" w:rsidRPr="001C1AA7" w:rsidRDefault="00B4737D" w:rsidP="00D438C9">
      <w:pPr>
        <w:ind w:left="851"/>
        <w:rPr>
          <w:sz w:val="24"/>
          <w:szCs w:val="24"/>
          <w:lang w:val="en-GB"/>
        </w:rPr>
      </w:pPr>
      <w:r w:rsidRPr="001C1AA7">
        <w:rPr>
          <w:sz w:val="24"/>
          <w:szCs w:val="24"/>
          <w:lang w:val="en-GB"/>
        </w:rPr>
        <w:t xml:space="preserve">Apixaban is not recommended as an alternative to unfractionated heparin in patients with pulmonary embolism who are haemodynamically unstable or may receive thrombolysis or pulmonary embolectomy since the safety and efficacy of apixaban have not been established in these clinical situations. </w:t>
      </w:r>
    </w:p>
    <w:p w14:paraId="196227CD" w14:textId="77777777" w:rsidR="00B4737D" w:rsidRPr="001C1AA7" w:rsidRDefault="00B4737D" w:rsidP="00D438C9">
      <w:pPr>
        <w:ind w:left="851"/>
        <w:rPr>
          <w:sz w:val="24"/>
          <w:szCs w:val="24"/>
          <w:lang w:val="en-GB"/>
        </w:rPr>
      </w:pPr>
    </w:p>
    <w:p w14:paraId="659D979F" w14:textId="77777777" w:rsidR="00B4737D" w:rsidRPr="00DC45BC" w:rsidRDefault="00B4737D" w:rsidP="00D438C9">
      <w:pPr>
        <w:ind w:left="851"/>
        <w:rPr>
          <w:sz w:val="24"/>
          <w:szCs w:val="24"/>
          <w:u w:val="single"/>
          <w:lang w:val="en-GB"/>
        </w:rPr>
      </w:pPr>
      <w:r w:rsidRPr="00DC45BC">
        <w:rPr>
          <w:sz w:val="24"/>
          <w:szCs w:val="24"/>
          <w:u w:val="single"/>
          <w:lang w:val="en-GB"/>
        </w:rPr>
        <w:t xml:space="preserve">Patients with active cancer </w:t>
      </w:r>
    </w:p>
    <w:p w14:paraId="69CE98C8" w14:textId="77777777" w:rsidR="00B4737D" w:rsidRPr="001C1AA7" w:rsidRDefault="00B4737D" w:rsidP="00D438C9">
      <w:pPr>
        <w:ind w:left="851"/>
        <w:rPr>
          <w:sz w:val="24"/>
          <w:szCs w:val="24"/>
          <w:lang w:val="en-GB"/>
        </w:rPr>
      </w:pPr>
      <w:r w:rsidRPr="001C1AA7">
        <w:rPr>
          <w:sz w:val="24"/>
          <w:szCs w:val="24"/>
          <w:lang w:val="en-GB"/>
        </w:rPr>
        <w:t xml:space="preserve">Patients with active cancer can be at high risk of both venous thromboembolism and bleeding events. When apixaban is considered for DVT or PE treatment in cancer patients, a careful assessment of the benefits against the risks should be made (see also section 4.3). </w:t>
      </w:r>
    </w:p>
    <w:p w14:paraId="35C831AF" w14:textId="77777777" w:rsidR="00B4737D" w:rsidRPr="001C1AA7" w:rsidRDefault="00B4737D" w:rsidP="00D438C9">
      <w:pPr>
        <w:ind w:left="851"/>
        <w:rPr>
          <w:sz w:val="24"/>
          <w:szCs w:val="24"/>
          <w:lang w:val="en-GB"/>
        </w:rPr>
      </w:pPr>
    </w:p>
    <w:p w14:paraId="5C26D82B" w14:textId="77777777" w:rsidR="00B4737D" w:rsidRPr="00DC45BC" w:rsidRDefault="00B4737D" w:rsidP="00D438C9">
      <w:pPr>
        <w:ind w:left="851"/>
        <w:rPr>
          <w:sz w:val="24"/>
          <w:szCs w:val="24"/>
          <w:u w:val="single"/>
          <w:lang w:val="en-GB"/>
        </w:rPr>
      </w:pPr>
      <w:r w:rsidRPr="00DC45BC">
        <w:rPr>
          <w:sz w:val="24"/>
          <w:szCs w:val="24"/>
          <w:u w:val="single"/>
          <w:lang w:val="en-GB"/>
        </w:rPr>
        <w:t xml:space="preserve">Patients with renal impairment </w:t>
      </w:r>
    </w:p>
    <w:p w14:paraId="593FE267" w14:textId="77777777" w:rsidR="00B4737D" w:rsidRPr="001C1AA7" w:rsidRDefault="00B4737D" w:rsidP="00D438C9">
      <w:pPr>
        <w:ind w:left="851"/>
        <w:rPr>
          <w:sz w:val="24"/>
          <w:szCs w:val="24"/>
          <w:lang w:val="en-GB"/>
        </w:rPr>
      </w:pPr>
    </w:p>
    <w:p w14:paraId="02DD8222" w14:textId="77777777" w:rsidR="00B4737D" w:rsidRPr="001C1AA7" w:rsidRDefault="00B4737D" w:rsidP="00D438C9">
      <w:pPr>
        <w:ind w:left="851"/>
        <w:rPr>
          <w:i/>
          <w:sz w:val="24"/>
          <w:szCs w:val="24"/>
          <w:lang w:val="en-GB"/>
        </w:rPr>
      </w:pPr>
      <w:r w:rsidRPr="001C1AA7">
        <w:rPr>
          <w:i/>
          <w:sz w:val="24"/>
          <w:szCs w:val="24"/>
          <w:lang w:val="en-GB"/>
        </w:rPr>
        <w:t>Adult patients</w:t>
      </w:r>
    </w:p>
    <w:p w14:paraId="06D5F75F" w14:textId="77777777" w:rsidR="00B4737D" w:rsidRPr="001C1AA7" w:rsidRDefault="00B4737D" w:rsidP="00D438C9">
      <w:pPr>
        <w:ind w:left="851"/>
        <w:rPr>
          <w:sz w:val="24"/>
          <w:szCs w:val="24"/>
          <w:lang w:val="en-GB"/>
        </w:rPr>
      </w:pPr>
      <w:r w:rsidRPr="001C1AA7">
        <w:rPr>
          <w:sz w:val="24"/>
          <w:szCs w:val="24"/>
          <w:lang w:val="en-GB"/>
        </w:rPr>
        <w:t>Limited clinical data indicate that apixaban plasma concentrations are increased in patients with severe renal impairment (creatinine clearance 15-29 mL/min) which may lead to an increased bleeding risk. For the treatment of DVT, treatment of PE and prevention of recurrent DVT and PE (</w:t>
      </w:r>
      <w:proofErr w:type="spellStart"/>
      <w:r w:rsidRPr="001C1AA7">
        <w:rPr>
          <w:sz w:val="24"/>
          <w:szCs w:val="24"/>
          <w:lang w:val="en-GB"/>
        </w:rPr>
        <w:t>VTEt</w:t>
      </w:r>
      <w:proofErr w:type="spellEnd"/>
      <w:r w:rsidRPr="001C1AA7">
        <w:rPr>
          <w:sz w:val="24"/>
          <w:szCs w:val="24"/>
          <w:lang w:val="en-GB"/>
        </w:rPr>
        <w:t xml:space="preserve">), apixaban is to be used with caution in patients with severe renal impairment (creatinine clearance 15-29 mL/min) (see sections 4.2 and 5.2). </w:t>
      </w:r>
    </w:p>
    <w:p w14:paraId="597FA0A6" w14:textId="77777777" w:rsidR="00B4737D" w:rsidRPr="001C1AA7" w:rsidRDefault="00B4737D" w:rsidP="00D438C9">
      <w:pPr>
        <w:ind w:left="851"/>
        <w:rPr>
          <w:sz w:val="24"/>
          <w:szCs w:val="24"/>
          <w:lang w:val="en-GB"/>
        </w:rPr>
      </w:pPr>
    </w:p>
    <w:p w14:paraId="1042E66D" w14:textId="192F854E" w:rsidR="00B4737D" w:rsidRPr="001C1AA7" w:rsidRDefault="00B4737D" w:rsidP="00D438C9">
      <w:pPr>
        <w:ind w:left="851"/>
        <w:rPr>
          <w:sz w:val="24"/>
          <w:szCs w:val="24"/>
          <w:lang w:val="en-GB"/>
        </w:rPr>
      </w:pPr>
      <w:r w:rsidRPr="001C1AA7">
        <w:rPr>
          <w:sz w:val="24"/>
          <w:szCs w:val="24"/>
          <w:lang w:val="en-GB"/>
        </w:rPr>
        <w:lastRenderedPageBreak/>
        <w:t>For the prevention of stroke and systemic embolism in patients with NVAF, patients with severe renal impairment (creatinine clearance 15-29 mL/min), and patients with serum creatinine ≥ 1.5 mg/dL (133 micromole/L) associated with age ≥ 80 years or body weight ≤</w:t>
      </w:r>
      <w:r w:rsidR="00DC45BC">
        <w:rPr>
          <w:sz w:val="24"/>
          <w:szCs w:val="24"/>
          <w:lang w:val="en-GB"/>
        </w:rPr>
        <w:t> </w:t>
      </w:r>
      <w:r w:rsidRPr="001C1AA7">
        <w:rPr>
          <w:sz w:val="24"/>
          <w:szCs w:val="24"/>
          <w:lang w:val="en-GB"/>
        </w:rPr>
        <w:t xml:space="preserve">60 kg should receive the lower dose of apixaban 2.5 mg twice daily (see section 4.2). </w:t>
      </w:r>
    </w:p>
    <w:p w14:paraId="718E9DE4" w14:textId="77777777" w:rsidR="00B4737D" w:rsidRPr="001C1AA7" w:rsidRDefault="00B4737D" w:rsidP="00D438C9">
      <w:pPr>
        <w:ind w:left="851"/>
        <w:rPr>
          <w:sz w:val="24"/>
          <w:szCs w:val="24"/>
          <w:lang w:val="en-GB"/>
        </w:rPr>
      </w:pPr>
    </w:p>
    <w:p w14:paraId="074C19CF" w14:textId="77777777" w:rsidR="00B4737D" w:rsidRPr="001C1AA7" w:rsidRDefault="00B4737D" w:rsidP="00D438C9">
      <w:pPr>
        <w:ind w:left="851"/>
        <w:rPr>
          <w:sz w:val="24"/>
          <w:szCs w:val="24"/>
          <w:lang w:val="en-GB"/>
        </w:rPr>
      </w:pPr>
      <w:r w:rsidRPr="001C1AA7">
        <w:rPr>
          <w:sz w:val="24"/>
          <w:szCs w:val="24"/>
          <w:lang w:val="en-GB"/>
        </w:rPr>
        <w:t xml:space="preserve">In patients with creatinine clearance &lt; 15 mL/min, or in patients undergoing dialysis, there is no clinical experience therefore apixaban is not recommended (see sections 4.2 and 5.2). </w:t>
      </w:r>
    </w:p>
    <w:p w14:paraId="0D86D5EC" w14:textId="77777777" w:rsidR="00B4737D" w:rsidRPr="001C1AA7" w:rsidRDefault="00B4737D" w:rsidP="00D438C9">
      <w:pPr>
        <w:ind w:left="851"/>
        <w:rPr>
          <w:sz w:val="24"/>
          <w:szCs w:val="24"/>
          <w:lang w:val="en-GB"/>
        </w:rPr>
      </w:pPr>
    </w:p>
    <w:p w14:paraId="08C9694C" w14:textId="77777777" w:rsidR="00B4737D" w:rsidRPr="001C1AA7" w:rsidRDefault="00B4737D" w:rsidP="00D438C9">
      <w:pPr>
        <w:ind w:left="851"/>
        <w:rPr>
          <w:i/>
          <w:sz w:val="24"/>
          <w:szCs w:val="24"/>
          <w:lang w:val="en-GB"/>
        </w:rPr>
      </w:pPr>
      <w:r w:rsidRPr="001C1AA7">
        <w:rPr>
          <w:i/>
          <w:sz w:val="24"/>
          <w:szCs w:val="24"/>
          <w:lang w:val="en-GB"/>
        </w:rPr>
        <w:t>Paediatric patients</w:t>
      </w:r>
    </w:p>
    <w:p w14:paraId="76DFDE48" w14:textId="28CCFAA4" w:rsidR="00B4737D" w:rsidRPr="001C1AA7" w:rsidRDefault="00B4737D" w:rsidP="00D438C9">
      <w:pPr>
        <w:ind w:left="851"/>
        <w:rPr>
          <w:sz w:val="24"/>
          <w:szCs w:val="24"/>
          <w:lang w:val="en-GB"/>
        </w:rPr>
      </w:pPr>
      <w:r w:rsidRPr="001C1AA7">
        <w:rPr>
          <w:sz w:val="24"/>
          <w:szCs w:val="24"/>
          <w:lang w:val="en-GB"/>
        </w:rPr>
        <w:t>Paediatric patients with severe renal impairment have not been studied and therefore should not</w:t>
      </w:r>
      <w:r w:rsidR="00DC45BC">
        <w:rPr>
          <w:sz w:val="24"/>
          <w:szCs w:val="24"/>
          <w:lang w:val="en-GB"/>
        </w:rPr>
        <w:t xml:space="preserve"> </w:t>
      </w:r>
      <w:r w:rsidRPr="001C1AA7">
        <w:rPr>
          <w:sz w:val="24"/>
          <w:szCs w:val="24"/>
          <w:lang w:val="en-GB"/>
        </w:rPr>
        <w:t>receive apixaban (see sections 4.2 and 5.2).</w:t>
      </w:r>
    </w:p>
    <w:p w14:paraId="055F5E88" w14:textId="77777777" w:rsidR="00B4737D" w:rsidRPr="001C1AA7" w:rsidRDefault="00B4737D" w:rsidP="00D438C9">
      <w:pPr>
        <w:ind w:left="851"/>
        <w:rPr>
          <w:sz w:val="24"/>
          <w:szCs w:val="24"/>
          <w:lang w:val="en-GB"/>
        </w:rPr>
      </w:pPr>
    </w:p>
    <w:p w14:paraId="36BA29F3" w14:textId="77777777" w:rsidR="00B4737D" w:rsidRPr="00DC45BC" w:rsidRDefault="00B4737D" w:rsidP="00D438C9">
      <w:pPr>
        <w:ind w:left="851"/>
        <w:rPr>
          <w:sz w:val="24"/>
          <w:szCs w:val="24"/>
          <w:u w:val="single"/>
          <w:lang w:val="en-GB"/>
        </w:rPr>
      </w:pPr>
      <w:r w:rsidRPr="00DC45BC">
        <w:rPr>
          <w:sz w:val="24"/>
          <w:szCs w:val="24"/>
          <w:u w:val="single"/>
          <w:lang w:val="en-GB"/>
        </w:rPr>
        <w:t xml:space="preserve">Elderly patients </w:t>
      </w:r>
    </w:p>
    <w:p w14:paraId="1EE81F01" w14:textId="77777777" w:rsidR="00B4737D" w:rsidRPr="001C1AA7" w:rsidRDefault="00B4737D" w:rsidP="00D438C9">
      <w:pPr>
        <w:ind w:left="851"/>
        <w:rPr>
          <w:sz w:val="24"/>
          <w:szCs w:val="24"/>
          <w:lang w:val="en-GB"/>
        </w:rPr>
      </w:pPr>
      <w:r w:rsidRPr="001C1AA7">
        <w:rPr>
          <w:sz w:val="24"/>
          <w:szCs w:val="24"/>
          <w:lang w:val="en-GB"/>
        </w:rPr>
        <w:t xml:space="preserve">Increasing age may increase haemorrhagic risk (see section 5.2). </w:t>
      </w:r>
    </w:p>
    <w:p w14:paraId="49FA2707" w14:textId="77777777" w:rsidR="00B4737D" w:rsidRPr="001C1AA7" w:rsidRDefault="00B4737D" w:rsidP="00D438C9">
      <w:pPr>
        <w:ind w:left="851"/>
        <w:rPr>
          <w:sz w:val="24"/>
          <w:szCs w:val="24"/>
          <w:lang w:val="en-GB"/>
        </w:rPr>
      </w:pPr>
    </w:p>
    <w:p w14:paraId="1CB82431" w14:textId="77777777" w:rsidR="00B4737D" w:rsidRPr="001C1AA7" w:rsidRDefault="00B4737D" w:rsidP="00D438C9">
      <w:pPr>
        <w:ind w:left="851"/>
        <w:rPr>
          <w:sz w:val="24"/>
          <w:szCs w:val="24"/>
          <w:lang w:val="en-GB"/>
        </w:rPr>
      </w:pPr>
      <w:r w:rsidRPr="001C1AA7">
        <w:rPr>
          <w:sz w:val="24"/>
          <w:szCs w:val="24"/>
          <w:lang w:val="en-GB"/>
        </w:rPr>
        <w:t xml:space="preserve">Also, the coadministration of apixaban with ASA in elderly patients should be used cautiously because of a potentially higher bleeding risk. </w:t>
      </w:r>
    </w:p>
    <w:p w14:paraId="5F512DD0" w14:textId="77777777" w:rsidR="00B4737D" w:rsidRPr="001C1AA7" w:rsidRDefault="00B4737D" w:rsidP="00D438C9">
      <w:pPr>
        <w:ind w:left="851"/>
        <w:rPr>
          <w:sz w:val="24"/>
          <w:szCs w:val="24"/>
          <w:lang w:val="en-GB"/>
        </w:rPr>
      </w:pPr>
    </w:p>
    <w:p w14:paraId="48575F60" w14:textId="77777777" w:rsidR="00B4737D" w:rsidRPr="00DC45BC" w:rsidRDefault="00B4737D" w:rsidP="00D438C9">
      <w:pPr>
        <w:ind w:left="851"/>
        <w:rPr>
          <w:sz w:val="24"/>
          <w:szCs w:val="24"/>
          <w:u w:val="single"/>
          <w:lang w:val="en-GB"/>
        </w:rPr>
      </w:pPr>
      <w:r w:rsidRPr="00DC45BC">
        <w:rPr>
          <w:sz w:val="24"/>
          <w:szCs w:val="24"/>
          <w:u w:val="single"/>
          <w:lang w:val="en-GB"/>
        </w:rPr>
        <w:t xml:space="preserve">Body weight </w:t>
      </w:r>
    </w:p>
    <w:p w14:paraId="5AF2C568" w14:textId="77777777" w:rsidR="00B4737D" w:rsidRPr="001C1AA7" w:rsidRDefault="00B4737D" w:rsidP="00D438C9">
      <w:pPr>
        <w:ind w:left="851"/>
        <w:rPr>
          <w:sz w:val="24"/>
          <w:szCs w:val="24"/>
          <w:lang w:val="en-GB"/>
        </w:rPr>
      </w:pPr>
      <w:r w:rsidRPr="001C1AA7">
        <w:rPr>
          <w:sz w:val="24"/>
          <w:szCs w:val="24"/>
          <w:lang w:val="en-GB"/>
        </w:rPr>
        <w:t>In adults, low body weight (&lt; 60 kg) may increase haemorrhagic risk (see section 5.2).</w:t>
      </w:r>
    </w:p>
    <w:p w14:paraId="2E8C1753" w14:textId="77777777" w:rsidR="00B4737D" w:rsidRPr="001C1AA7" w:rsidRDefault="00B4737D" w:rsidP="00D438C9">
      <w:pPr>
        <w:ind w:left="851"/>
        <w:rPr>
          <w:sz w:val="24"/>
          <w:szCs w:val="24"/>
          <w:lang w:val="en-GB"/>
        </w:rPr>
      </w:pPr>
    </w:p>
    <w:p w14:paraId="4F679E3F" w14:textId="77777777" w:rsidR="00B4737D" w:rsidRPr="00DC45BC" w:rsidRDefault="00B4737D" w:rsidP="00D438C9">
      <w:pPr>
        <w:ind w:left="851"/>
        <w:rPr>
          <w:sz w:val="24"/>
          <w:szCs w:val="24"/>
          <w:u w:val="single"/>
          <w:lang w:val="en-GB"/>
        </w:rPr>
      </w:pPr>
      <w:r w:rsidRPr="00DC45BC">
        <w:rPr>
          <w:sz w:val="24"/>
          <w:szCs w:val="24"/>
          <w:u w:val="single"/>
          <w:lang w:val="en-GB"/>
        </w:rPr>
        <w:t xml:space="preserve">Patients with hepatic impairment </w:t>
      </w:r>
    </w:p>
    <w:p w14:paraId="552EC195" w14:textId="77777777" w:rsidR="00B4737D" w:rsidRPr="001C1AA7" w:rsidRDefault="00B4737D" w:rsidP="00D438C9">
      <w:pPr>
        <w:ind w:left="851"/>
        <w:rPr>
          <w:sz w:val="24"/>
          <w:szCs w:val="24"/>
          <w:lang w:val="en-GB"/>
        </w:rPr>
      </w:pPr>
      <w:r w:rsidRPr="001C1AA7">
        <w:rPr>
          <w:sz w:val="24"/>
          <w:szCs w:val="24"/>
          <w:lang w:val="en-GB"/>
        </w:rPr>
        <w:t xml:space="preserve">Apixaban is contraindicated in patients with hepatic disease associated with coagulopathy and clinically relevant bleeding risk (see section 4.3). </w:t>
      </w:r>
    </w:p>
    <w:p w14:paraId="7DC56424" w14:textId="77777777" w:rsidR="00B4737D" w:rsidRPr="001C1AA7" w:rsidRDefault="00B4737D" w:rsidP="00D438C9">
      <w:pPr>
        <w:ind w:left="851"/>
        <w:rPr>
          <w:sz w:val="24"/>
          <w:szCs w:val="24"/>
          <w:lang w:val="en-GB"/>
        </w:rPr>
      </w:pPr>
    </w:p>
    <w:p w14:paraId="189FB251" w14:textId="77777777" w:rsidR="00B4737D" w:rsidRPr="001C1AA7" w:rsidRDefault="00B4737D" w:rsidP="00D438C9">
      <w:pPr>
        <w:ind w:left="851"/>
        <w:rPr>
          <w:sz w:val="24"/>
          <w:szCs w:val="24"/>
          <w:lang w:val="en-GB"/>
        </w:rPr>
      </w:pPr>
      <w:r w:rsidRPr="001C1AA7">
        <w:rPr>
          <w:sz w:val="24"/>
          <w:szCs w:val="24"/>
          <w:lang w:val="en-GB"/>
        </w:rPr>
        <w:t xml:space="preserve">It is not recommended in patients with severe hepatic impairment (see section 5.2). </w:t>
      </w:r>
    </w:p>
    <w:p w14:paraId="41887D01" w14:textId="77777777" w:rsidR="00B4737D" w:rsidRPr="001C1AA7" w:rsidRDefault="00B4737D" w:rsidP="00D438C9">
      <w:pPr>
        <w:ind w:left="851"/>
        <w:rPr>
          <w:sz w:val="24"/>
          <w:szCs w:val="24"/>
          <w:lang w:val="en-GB"/>
        </w:rPr>
      </w:pPr>
    </w:p>
    <w:p w14:paraId="2C307651" w14:textId="77777777" w:rsidR="00B4737D" w:rsidRPr="001C1AA7" w:rsidRDefault="00B4737D" w:rsidP="00D438C9">
      <w:pPr>
        <w:ind w:left="851"/>
        <w:rPr>
          <w:sz w:val="24"/>
          <w:szCs w:val="24"/>
          <w:lang w:val="en-GB"/>
        </w:rPr>
      </w:pPr>
      <w:r w:rsidRPr="001C1AA7">
        <w:rPr>
          <w:sz w:val="24"/>
          <w:szCs w:val="24"/>
          <w:lang w:val="en-GB"/>
        </w:rPr>
        <w:t xml:space="preserve">It should be used with caution in patients with mild or moderate hepatic impairment (Child Pugh A or B) (see sections 4.2 and 5.2). </w:t>
      </w:r>
    </w:p>
    <w:p w14:paraId="5A37CAEE" w14:textId="77777777" w:rsidR="00B4737D" w:rsidRPr="001C1AA7" w:rsidRDefault="00B4737D" w:rsidP="00D438C9">
      <w:pPr>
        <w:ind w:left="851"/>
        <w:rPr>
          <w:sz w:val="24"/>
          <w:szCs w:val="24"/>
          <w:lang w:val="en-GB"/>
        </w:rPr>
      </w:pPr>
    </w:p>
    <w:p w14:paraId="2970ED92" w14:textId="5AB82C9C" w:rsidR="00B4737D" w:rsidRPr="001C1AA7" w:rsidRDefault="00B4737D" w:rsidP="00D438C9">
      <w:pPr>
        <w:ind w:left="851"/>
        <w:rPr>
          <w:sz w:val="24"/>
          <w:szCs w:val="24"/>
          <w:lang w:val="en-GB"/>
        </w:rPr>
      </w:pPr>
      <w:r w:rsidRPr="001C1AA7">
        <w:rPr>
          <w:sz w:val="24"/>
          <w:szCs w:val="24"/>
          <w:lang w:val="en-GB"/>
        </w:rPr>
        <w:t>Patients with elevated liver enzymes ALT/AST &gt; 2 x ULN or total bilirubin ≥ 1.5 x ULN were excluded in clinical studies. Therefore</w:t>
      </w:r>
      <w:r w:rsidR="00DC45BC">
        <w:rPr>
          <w:sz w:val="24"/>
          <w:szCs w:val="24"/>
          <w:lang w:val="en-GB"/>
        </w:rPr>
        <w:t>,</w:t>
      </w:r>
      <w:r w:rsidRPr="001C1AA7">
        <w:rPr>
          <w:sz w:val="24"/>
          <w:szCs w:val="24"/>
          <w:lang w:val="en-GB"/>
        </w:rPr>
        <w:t xml:space="preserve"> apixaban should be used cautiously in this population (see section 5.2). Prior to initiating apixaban, liver function testing should be performed. </w:t>
      </w:r>
    </w:p>
    <w:p w14:paraId="6C56BD19" w14:textId="77777777" w:rsidR="00B4737D" w:rsidRPr="001C1AA7" w:rsidRDefault="00B4737D" w:rsidP="00D438C9">
      <w:pPr>
        <w:ind w:left="851"/>
        <w:rPr>
          <w:sz w:val="24"/>
          <w:szCs w:val="24"/>
          <w:lang w:val="en-GB"/>
        </w:rPr>
      </w:pPr>
    </w:p>
    <w:p w14:paraId="56A157B9" w14:textId="77777777" w:rsidR="00B4737D" w:rsidRPr="001C1AA7" w:rsidRDefault="00B4737D" w:rsidP="00D438C9">
      <w:pPr>
        <w:ind w:left="851"/>
        <w:rPr>
          <w:sz w:val="24"/>
          <w:szCs w:val="24"/>
          <w:lang w:val="en-GB"/>
        </w:rPr>
      </w:pPr>
      <w:r w:rsidRPr="001C1AA7">
        <w:rPr>
          <w:sz w:val="24"/>
          <w:szCs w:val="24"/>
          <w:lang w:val="en-GB"/>
        </w:rPr>
        <w:t>Apixaban has not been studied in paediatric patients with hepatic impairment.</w:t>
      </w:r>
    </w:p>
    <w:p w14:paraId="06AF46ED" w14:textId="77777777" w:rsidR="00B4737D" w:rsidRPr="001C1AA7" w:rsidRDefault="00B4737D" w:rsidP="00D438C9">
      <w:pPr>
        <w:ind w:left="851"/>
        <w:rPr>
          <w:sz w:val="24"/>
          <w:szCs w:val="24"/>
          <w:lang w:val="en-GB"/>
        </w:rPr>
      </w:pPr>
    </w:p>
    <w:p w14:paraId="0D40A919" w14:textId="77777777" w:rsidR="00B4737D" w:rsidRPr="00DC45BC" w:rsidRDefault="00B4737D" w:rsidP="00D438C9">
      <w:pPr>
        <w:ind w:left="851"/>
        <w:rPr>
          <w:sz w:val="24"/>
          <w:szCs w:val="24"/>
          <w:u w:val="single"/>
          <w:lang w:val="en-GB"/>
        </w:rPr>
      </w:pPr>
      <w:r w:rsidRPr="00DC45BC">
        <w:rPr>
          <w:sz w:val="24"/>
          <w:szCs w:val="24"/>
          <w:u w:val="single"/>
          <w:lang w:val="en-GB"/>
        </w:rPr>
        <w:t>Interaction with inhibitors of both cytochrome P450 3A4 (CYP3A4) and P-glycoprotein (P-</w:t>
      </w:r>
      <w:proofErr w:type="spellStart"/>
      <w:r w:rsidRPr="00DC45BC">
        <w:rPr>
          <w:sz w:val="24"/>
          <w:szCs w:val="24"/>
          <w:u w:val="single"/>
          <w:lang w:val="en-GB"/>
        </w:rPr>
        <w:t>gp</w:t>
      </w:r>
      <w:proofErr w:type="spellEnd"/>
      <w:r w:rsidRPr="00DC45BC">
        <w:rPr>
          <w:sz w:val="24"/>
          <w:szCs w:val="24"/>
          <w:u w:val="single"/>
          <w:lang w:val="en-GB"/>
        </w:rPr>
        <w:t xml:space="preserve">) </w:t>
      </w:r>
    </w:p>
    <w:p w14:paraId="04A3E400" w14:textId="77777777" w:rsidR="00B4737D" w:rsidRPr="001C1AA7" w:rsidRDefault="00B4737D" w:rsidP="00D438C9">
      <w:pPr>
        <w:ind w:left="851"/>
        <w:rPr>
          <w:sz w:val="24"/>
          <w:szCs w:val="24"/>
          <w:lang w:val="en-GB"/>
        </w:rPr>
      </w:pPr>
      <w:r w:rsidRPr="001C1AA7">
        <w:rPr>
          <w:sz w:val="24"/>
          <w:szCs w:val="24"/>
          <w:lang w:val="en-GB"/>
        </w:rPr>
        <w:t>The use of apixaban is not recommended in patients receiving concomitant systemic treatment with strong inhibitors of both CYP3A4 and P-</w:t>
      </w:r>
      <w:proofErr w:type="spellStart"/>
      <w:r w:rsidRPr="001C1AA7">
        <w:rPr>
          <w:sz w:val="24"/>
          <w:szCs w:val="24"/>
          <w:lang w:val="en-GB"/>
        </w:rPr>
        <w:t>gp</w:t>
      </w:r>
      <w:proofErr w:type="spellEnd"/>
      <w:r w:rsidRPr="001C1AA7">
        <w:rPr>
          <w:sz w:val="24"/>
          <w:szCs w:val="24"/>
          <w:lang w:val="en-GB"/>
        </w:rPr>
        <w:t xml:space="preserve">, such as azole-antimycotics (e.g., ketoconazole, itraconazole, voriconazole and posaconazole) and HIV protease inhibitors (e.g., ritonavir). These medicinal products may increase apixaban exposure by 2-fold (see section 4.5), or greater in the presence of additional factors that increase apixaban exposure (e.g., severe renal impairment). </w:t>
      </w:r>
    </w:p>
    <w:p w14:paraId="1E6E8528" w14:textId="77777777" w:rsidR="00B4737D" w:rsidRPr="001C1AA7" w:rsidRDefault="00B4737D" w:rsidP="00D438C9">
      <w:pPr>
        <w:ind w:left="851"/>
        <w:rPr>
          <w:sz w:val="24"/>
          <w:szCs w:val="24"/>
          <w:lang w:val="en-GB"/>
        </w:rPr>
      </w:pPr>
    </w:p>
    <w:p w14:paraId="10F70901" w14:textId="77777777" w:rsidR="00B4737D" w:rsidRPr="001C1AA7" w:rsidRDefault="00B4737D" w:rsidP="00D438C9">
      <w:pPr>
        <w:ind w:left="851"/>
        <w:rPr>
          <w:sz w:val="24"/>
          <w:szCs w:val="24"/>
          <w:lang w:val="en-GB"/>
        </w:rPr>
      </w:pPr>
      <w:r w:rsidRPr="001C1AA7">
        <w:rPr>
          <w:sz w:val="24"/>
          <w:szCs w:val="24"/>
          <w:lang w:val="en-GB"/>
        </w:rPr>
        <w:t>No clinical data are available in paediatric patients receiving concomitant systemic treatment with strong inhibitors of both CYP 3A4 and P-</w:t>
      </w:r>
      <w:proofErr w:type="spellStart"/>
      <w:r w:rsidRPr="001C1AA7">
        <w:rPr>
          <w:sz w:val="24"/>
          <w:szCs w:val="24"/>
          <w:lang w:val="en-GB"/>
        </w:rPr>
        <w:t>gp</w:t>
      </w:r>
      <w:proofErr w:type="spellEnd"/>
      <w:r w:rsidRPr="001C1AA7">
        <w:rPr>
          <w:sz w:val="24"/>
          <w:szCs w:val="24"/>
          <w:lang w:val="en-GB"/>
        </w:rPr>
        <w:t xml:space="preserve"> (see section 4.5).</w:t>
      </w:r>
    </w:p>
    <w:p w14:paraId="70212B0D" w14:textId="0A43FBCF" w:rsidR="008F2ECE" w:rsidRDefault="008F2ECE">
      <w:pPr>
        <w:rPr>
          <w:sz w:val="24"/>
          <w:szCs w:val="24"/>
          <w:lang w:val="en-GB"/>
        </w:rPr>
      </w:pPr>
      <w:r>
        <w:rPr>
          <w:sz w:val="24"/>
          <w:szCs w:val="24"/>
          <w:lang w:val="en-GB"/>
        </w:rPr>
        <w:br w:type="page"/>
      </w:r>
    </w:p>
    <w:p w14:paraId="6D1FDDA2" w14:textId="77777777" w:rsidR="00B4737D" w:rsidRPr="001C1AA7" w:rsidRDefault="00B4737D" w:rsidP="00D438C9">
      <w:pPr>
        <w:ind w:left="851"/>
        <w:rPr>
          <w:sz w:val="24"/>
          <w:szCs w:val="24"/>
          <w:lang w:val="en-GB"/>
        </w:rPr>
      </w:pPr>
    </w:p>
    <w:p w14:paraId="437D7AB3" w14:textId="77777777" w:rsidR="00B4737D" w:rsidRPr="00DC45BC" w:rsidRDefault="00B4737D" w:rsidP="00D438C9">
      <w:pPr>
        <w:ind w:left="851"/>
        <w:rPr>
          <w:sz w:val="24"/>
          <w:szCs w:val="24"/>
          <w:u w:val="single"/>
          <w:lang w:val="en-GB"/>
        </w:rPr>
      </w:pPr>
      <w:r w:rsidRPr="00DC45BC">
        <w:rPr>
          <w:sz w:val="24"/>
          <w:szCs w:val="24"/>
          <w:u w:val="single"/>
          <w:lang w:val="en-GB"/>
        </w:rPr>
        <w:t>Interaction with inducers of both CYP3A4 and P-</w:t>
      </w:r>
      <w:proofErr w:type="spellStart"/>
      <w:r w:rsidRPr="00DC45BC">
        <w:rPr>
          <w:sz w:val="24"/>
          <w:szCs w:val="24"/>
          <w:u w:val="single"/>
          <w:lang w:val="en-GB"/>
        </w:rPr>
        <w:t>gp</w:t>
      </w:r>
      <w:proofErr w:type="spellEnd"/>
      <w:r w:rsidRPr="00DC45BC">
        <w:rPr>
          <w:sz w:val="24"/>
          <w:szCs w:val="24"/>
          <w:u w:val="single"/>
          <w:lang w:val="en-GB"/>
        </w:rPr>
        <w:t xml:space="preserve"> </w:t>
      </w:r>
    </w:p>
    <w:p w14:paraId="3FD8EAF0" w14:textId="77777777" w:rsidR="00B4737D" w:rsidRPr="001C1AA7" w:rsidRDefault="00B4737D" w:rsidP="00D438C9">
      <w:pPr>
        <w:ind w:left="851"/>
        <w:rPr>
          <w:sz w:val="24"/>
          <w:szCs w:val="24"/>
          <w:lang w:val="en-GB"/>
        </w:rPr>
      </w:pPr>
      <w:r w:rsidRPr="001C1AA7">
        <w:rPr>
          <w:sz w:val="24"/>
          <w:szCs w:val="24"/>
          <w:lang w:val="en-GB"/>
        </w:rPr>
        <w:t>The concomitant use of apixaban with strong CYP3A4 and P-</w:t>
      </w:r>
      <w:proofErr w:type="spellStart"/>
      <w:r w:rsidRPr="001C1AA7">
        <w:rPr>
          <w:sz w:val="24"/>
          <w:szCs w:val="24"/>
          <w:lang w:val="en-GB"/>
        </w:rPr>
        <w:t>gp</w:t>
      </w:r>
      <w:proofErr w:type="spellEnd"/>
      <w:r w:rsidRPr="001C1AA7">
        <w:rPr>
          <w:sz w:val="24"/>
          <w:szCs w:val="24"/>
          <w:lang w:val="en-GB"/>
        </w:rPr>
        <w:t xml:space="preserve"> inducers (e.g., rifampicin, phenytoin, carbamazepine, phenobarbital or St. John’s Wort) may lead to a ~50% reduction in apixaban exposure. In a clinical study in atrial fibrillation patients, diminished efficacy and a higher risk of bleeding were observed with coadministration of apixaban with strong inducers of both CYP3A4 and P-</w:t>
      </w:r>
      <w:proofErr w:type="spellStart"/>
      <w:r w:rsidRPr="001C1AA7">
        <w:rPr>
          <w:sz w:val="24"/>
          <w:szCs w:val="24"/>
          <w:lang w:val="en-GB"/>
        </w:rPr>
        <w:t>gp</w:t>
      </w:r>
      <w:proofErr w:type="spellEnd"/>
      <w:r w:rsidRPr="001C1AA7">
        <w:rPr>
          <w:sz w:val="24"/>
          <w:szCs w:val="24"/>
          <w:lang w:val="en-GB"/>
        </w:rPr>
        <w:t xml:space="preserve"> compared with using apixaban alone. </w:t>
      </w:r>
    </w:p>
    <w:p w14:paraId="7FB9BEB8" w14:textId="77777777" w:rsidR="00B4737D" w:rsidRPr="001C1AA7" w:rsidRDefault="00B4737D" w:rsidP="00D438C9">
      <w:pPr>
        <w:ind w:left="851"/>
        <w:rPr>
          <w:sz w:val="24"/>
          <w:szCs w:val="24"/>
          <w:lang w:val="en-GB"/>
        </w:rPr>
      </w:pPr>
    </w:p>
    <w:p w14:paraId="13D68844" w14:textId="77777777" w:rsidR="00B4737D" w:rsidRPr="001C1AA7" w:rsidRDefault="00B4737D" w:rsidP="00D438C9">
      <w:pPr>
        <w:ind w:left="851"/>
        <w:rPr>
          <w:sz w:val="24"/>
          <w:szCs w:val="24"/>
          <w:lang w:val="en-GB"/>
        </w:rPr>
      </w:pPr>
      <w:r w:rsidRPr="001C1AA7">
        <w:rPr>
          <w:sz w:val="24"/>
          <w:szCs w:val="24"/>
          <w:lang w:val="en-GB"/>
        </w:rPr>
        <w:t>In patients receiving concomitant systemic treatment with strong inducers of both CYP3A4 and P-</w:t>
      </w:r>
      <w:proofErr w:type="spellStart"/>
      <w:r w:rsidRPr="001C1AA7">
        <w:rPr>
          <w:sz w:val="24"/>
          <w:szCs w:val="24"/>
          <w:lang w:val="en-GB"/>
        </w:rPr>
        <w:t>gp</w:t>
      </w:r>
      <w:proofErr w:type="spellEnd"/>
      <w:r w:rsidRPr="001C1AA7">
        <w:rPr>
          <w:sz w:val="24"/>
          <w:szCs w:val="24"/>
          <w:lang w:val="en-GB"/>
        </w:rPr>
        <w:t xml:space="preserve"> the following recommendations apply (see section 4.5): </w:t>
      </w:r>
    </w:p>
    <w:p w14:paraId="28365014" w14:textId="77777777" w:rsidR="00B4737D" w:rsidRPr="001C1AA7" w:rsidRDefault="00B4737D" w:rsidP="00D438C9">
      <w:pPr>
        <w:ind w:left="851"/>
        <w:rPr>
          <w:sz w:val="24"/>
          <w:szCs w:val="24"/>
          <w:lang w:val="en-GB"/>
        </w:rPr>
      </w:pPr>
    </w:p>
    <w:p w14:paraId="46AACBA8" w14:textId="77777777" w:rsidR="00B4737D" w:rsidRPr="00DC45BC" w:rsidRDefault="00B4737D" w:rsidP="00DC45BC">
      <w:pPr>
        <w:pStyle w:val="Listeafsnit"/>
        <w:numPr>
          <w:ilvl w:val="0"/>
          <w:numId w:val="12"/>
        </w:numPr>
        <w:ind w:left="1276" w:hanging="425"/>
        <w:rPr>
          <w:sz w:val="24"/>
          <w:szCs w:val="24"/>
          <w:lang w:val="en-GB"/>
        </w:rPr>
      </w:pPr>
      <w:r w:rsidRPr="00DC45BC">
        <w:rPr>
          <w:sz w:val="24"/>
          <w:szCs w:val="24"/>
          <w:lang w:val="en-GB"/>
        </w:rPr>
        <w:t xml:space="preserve">for the prevention of stroke and systemic embolism in patients with NVAF and for the prevention of recurrent DVT and PE, apixaban should be used with </w:t>
      </w:r>
      <w:proofErr w:type="gramStart"/>
      <w:r w:rsidRPr="00DC45BC">
        <w:rPr>
          <w:sz w:val="24"/>
          <w:szCs w:val="24"/>
          <w:lang w:val="en-GB"/>
        </w:rPr>
        <w:t>caution;</w:t>
      </w:r>
      <w:proofErr w:type="gramEnd"/>
      <w:r w:rsidRPr="00DC45BC">
        <w:rPr>
          <w:sz w:val="24"/>
          <w:szCs w:val="24"/>
          <w:lang w:val="en-GB"/>
        </w:rPr>
        <w:t xml:space="preserve"> </w:t>
      </w:r>
    </w:p>
    <w:p w14:paraId="2153D54F" w14:textId="77777777" w:rsidR="00B4737D" w:rsidRPr="001C1AA7" w:rsidRDefault="00B4737D" w:rsidP="00DC45BC">
      <w:pPr>
        <w:ind w:left="1276" w:hanging="425"/>
        <w:rPr>
          <w:sz w:val="24"/>
          <w:szCs w:val="24"/>
          <w:lang w:val="en-GB"/>
        </w:rPr>
      </w:pPr>
    </w:p>
    <w:p w14:paraId="282AF30B" w14:textId="77777777" w:rsidR="00B4737D" w:rsidRPr="00DC45BC" w:rsidRDefault="00B4737D" w:rsidP="00DC45BC">
      <w:pPr>
        <w:pStyle w:val="Listeafsnit"/>
        <w:numPr>
          <w:ilvl w:val="0"/>
          <w:numId w:val="12"/>
        </w:numPr>
        <w:ind w:left="1276" w:hanging="425"/>
        <w:rPr>
          <w:sz w:val="24"/>
          <w:szCs w:val="24"/>
          <w:lang w:val="en-GB"/>
        </w:rPr>
      </w:pPr>
      <w:r w:rsidRPr="00DC45BC">
        <w:rPr>
          <w:sz w:val="24"/>
          <w:szCs w:val="24"/>
          <w:lang w:val="en-GB"/>
        </w:rPr>
        <w:t xml:space="preserve">for the treatment of DVT and treatment of PE, apixaban should not be used since efficacy may be compromised. </w:t>
      </w:r>
    </w:p>
    <w:p w14:paraId="12BAC172" w14:textId="77777777" w:rsidR="00B4737D" w:rsidRPr="001C1AA7" w:rsidRDefault="00B4737D" w:rsidP="00D438C9">
      <w:pPr>
        <w:ind w:left="851"/>
        <w:rPr>
          <w:sz w:val="24"/>
          <w:szCs w:val="24"/>
          <w:lang w:val="en-GB"/>
        </w:rPr>
      </w:pPr>
    </w:p>
    <w:p w14:paraId="7322E0C4" w14:textId="16325DFC" w:rsidR="00B4737D" w:rsidRPr="001C1AA7" w:rsidRDefault="00B4737D" w:rsidP="00D438C9">
      <w:pPr>
        <w:ind w:left="851"/>
        <w:rPr>
          <w:sz w:val="24"/>
          <w:szCs w:val="24"/>
          <w:lang w:val="en-GB"/>
        </w:rPr>
      </w:pPr>
      <w:r w:rsidRPr="001C1AA7">
        <w:rPr>
          <w:sz w:val="24"/>
          <w:szCs w:val="24"/>
          <w:lang w:val="en-GB"/>
        </w:rPr>
        <w:t>No clinical data are available in paediatric patients receiving concomitant systemic treatment with</w:t>
      </w:r>
      <w:r w:rsidR="00DC45BC">
        <w:rPr>
          <w:sz w:val="24"/>
          <w:szCs w:val="24"/>
          <w:lang w:val="en-GB"/>
        </w:rPr>
        <w:t xml:space="preserve"> </w:t>
      </w:r>
      <w:r w:rsidRPr="001C1AA7">
        <w:rPr>
          <w:sz w:val="24"/>
          <w:szCs w:val="24"/>
          <w:lang w:val="en-GB"/>
        </w:rPr>
        <w:t>strong inducers of both CYP 3A4 and P-</w:t>
      </w:r>
      <w:proofErr w:type="spellStart"/>
      <w:r w:rsidRPr="001C1AA7">
        <w:rPr>
          <w:sz w:val="24"/>
          <w:szCs w:val="24"/>
          <w:lang w:val="en-GB"/>
        </w:rPr>
        <w:t>gp</w:t>
      </w:r>
      <w:proofErr w:type="spellEnd"/>
      <w:r w:rsidRPr="001C1AA7">
        <w:rPr>
          <w:sz w:val="24"/>
          <w:szCs w:val="24"/>
          <w:lang w:val="en-GB"/>
        </w:rPr>
        <w:t xml:space="preserve"> (see section 4.5).</w:t>
      </w:r>
    </w:p>
    <w:p w14:paraId="1C15BF2F" w14:textId="77777777" w:rsidR="00B4737D" w:rsidRPr="001C1AA7" w:rsidRDefault="00B4737D" w:rsidP="00D438C9">
      <w:pPr>
        <w:ind w:left="851"/>
        <w:rPr>
          <w:sz w:val="24"/>
          <w:szCs w:val="24"/>
          <w:lang w:val="en-GB"/>
        </w:rPr>
      </w:pPr>
    </w:p>
    <w:p w14:paraId="09542AD8" w14:textId="77777777" w:rsidR="00B4737D" w:rsidRPr="00DC45BC" w:rsidRDefault="00B4737D" w:rsidP="00D438C9">
      <w:pPr>
        <w:ind w:left="851"/>
        <w:rPr>
          <w:sz w:val="24"/>
          <w:szCs w:val="24"/>
          <w:u w:val="single"/>
          <w:lang w:val="en-GB"/>
        </w:rPr>
      </w:pPr>
      <w:r w:rsidRPr="00DC45BC">
        <w:rPr>
          <w:sz w:val="24"/>
          <w:szCs w:val="24"/>
          <w:u w:val="single"/>
          <w:lang w:val="en-GB"/>
        </w:rPr>
        <w:t xml:space="preserve">Laboratory parameters </w:t>
      </w:r>
    </w:p>
    <w:p w14:paraId="7CFC5FDB" w14:textId="77777777" w:rsidR="00B4737D" w:rsidRPr="001C1AA7" w:rsidRDefault="00B4737D" w:rsidP="00D438C9">
      <w:pPr>
        <w:ind w:left="851"/>
        <w:rPr>
          <w:sz w:val="24"/>
          <w:szCs w:val="24"/>
          <w:lang w:val="en-GB"/>
        </w:rPr>
      </w:pPr>
      <w:r w:rsidRPr="001C1AA7">
        <w:rPr>
          <w:sz w:val="24"/>
          <w:szCs w:val="24"/>
          <w:lang w:val="en-GB"/>
        </w:rPr>
        <w:t>Clotting tests [e.g., prothrombin time (PT), INR, and activated partial thromboplastin time (</w:t>
      </w:r>
      <w:proofErr w:type="spellStart"/>
      <w:r w:rsidRPr="001C1AA7">
        <w:rPr>
          <w:sz w:val="24"/>
          <w:szCs w:val="24"/>
          <w:lang w:val="en-GB"/>
        </w:rPr>
        <w:t>aPTT</w:t>
      </w:r>
      <w:proofErr w:type="spellEnd"/>
      <w:r w:rsidRPr="001C1AA7">
        <w:rPr>
          <w:sz w:val="24"/>
          <w:szCs w:val="24"/>
          <w:lang w:val="en-GB"/>
        </w:rPr>
        <w:t xml:space="preserve">)] are affected as expected by the mechanism of action of apixaban. Changes observed in these clotting tests at the expected therapeutic dose are small and subject to a high degree of variability (see section 5.1). </w:t>
      </w:r>
    </w:p>
    <w:p w14:paraId="78F64805" w14:textId="77777777" w:rsidR="00B4737D" w:rsidRPr="001C1AA7" w:rsidRDefault="00B4737D" w:rsidP="00D438C9">
      <w:pPr>
        <w:ind w:left="851"/>
        <w:rPr>
          <w:sz w:val="24"/>
          <w:szCs w:val="24"/>
          <w:lang w:val="en-GB"/>
        </w:rPr>
      </w:pPr>
    </w:p>
    <w:p w14:paraId="1B35E493" w14:textId="77777777" w:rsidR="00B4737D" w:rsidRPr="00DC45BC" w:rsidRDefault="00B4737D" w:rsidP="00D438C9">
      <w:pPr>
        <w:ind w:left="851"/>
        <w:rPr>
          <w:sz w:val="24"/>
          <w:szCs w:val="24"/>
          <w:u w:val="single"/>
          <w:lang w:val="en-GB"/>
        </w:rPr>
      </w:pPr>
      <w:r w:rsidRPr="00DC45BC">
        <w:rPr>
          <w:sz w:val="24"/>
          <w:szCs w:val="24"/>
          <w:u w:val="single"/>
          <w:lang w:val="en-GB"/>
        </w:rPr>
        <w:t xml:space="preserve">Information about excipients </w:t>
      </w:r>
    </w:p>
    <w:p w14:paraId="7D8E9F82" w14:textId="4974446E" w:rsidR="00B4737D" w:rsidRPr="001C1AA7" w:rsidRDefault="001C1AA7" w:rsidP="00D438C9">
      <w:pPr>
        <w:ind w:left="851"/>
        <w:rPr>
          <w:sz w:val="24"/>
          <w:szCs w:val="24"/>
          <w:lang w:val="en-GB"/>
        </w:rPr>
      </w:pPr>
      <w:proofErr w:type="spellStart"/>
      <w:r>
        <w:rPr>
          <w:sz w:val="24"/>
          <w:szCs w:val="24"/>
          <w:lang w:val="en-GB"/>
        </w:rPr>
        <w:t>Apixlets</w:t>
      </w:r>
      <w:proofErr w:type="spellEnd"/>
      <w:r w:rsidR="00B4737D" w:rsidRPr="001C1AA7">
        <w:rPr>
          <w:sz w:val="24"/>
          <w:szCs w:val="24"/>
          <w:lang w:val="en-GB"/>
        </w:rPr>
        <w:t xml:space="preserve"> contains lactose. Patients with rare hereditary problems of galactose intolerance, total lactase deficiency or glucose-galactose malabsorption should not take this medicinal product. </w:t>
      </w:r>
    </w:p>
    <w:p w14:paraId="638A42B3" w14:textId="77777777" w:rsidR="00B4737D" w:rsidRPr="001C1AA7" w:rsidRDefault="00B4737D" w:rsidP="00D438C9">
      <w:pPr>
        <w:ind w:left="851"/>
        <w:rPr>
          <w:sz w:val="24"/>
          <w:szCs w:val="24"/>
          <w:lang w:val="en-GB"/>
        </w:rPr>
      </w:pPr>
      <w:r w:rsidRPr="001C1AA7">
        <w:rPr>
          <w:sz w:val="24"/>
          <w:szCs w:val="24"/>
          <w:lang w:val="en-GB"/>
        </w:rPr>
        <w:t xml:space="preserve">This medicinal product contains less than 1 mmol sodium (23 mg) per capsule, </w:t>
      </w:r>
      <w:proofErr w:type="gramStart"/>
      <w:r w:rsidRPr="001C1AA7">
        <w:rPr>
          <w:sz w:val="24"/>
          <w:szCs w:val="24"/>
          <w:lang w:val="en-GB"/>
        </w:rPr>
        <w:t>that is to say essentially</w:t>
      </w:r>
      <w:proofErr w:type="gramEnd"/>
      <w:r w:rsidRPr="001C1AA7">
        <w:rPr>
          <w:sz w:val="24"/>
          <w:szCs w:val="24"/>
          <w:lang w:val="en-GB"/>
        </w:rPr>
        <w:t xml:space="preserve"> "sodium-free".</w:t>
      </w:r>
    </w:p>
    <w:p w14:paraId="33A15BCD" w14:textId="77777777" w:rsidR="007C5D2A" w:rsidRPr="001C1AA7" w:rsidRDefault="007C5D2A" w:rsidP="003E0341">
      <w:pPr>
        <w:tabs>
          <w:tab w:val="left" w:pos="851"/>
        </w:tabs>
        <w:ind w:left="851"/>
        <w:rPr>
          <w:sz w:val="24"/>
          <w:szCs w:val="24"/>
          <w:lang w:val="en-GB"/>
        </w:rPr>
      </w:pPr>
    </w:p>
    <w:p w14:paraId="504BA7E8" w14:textId="77777777" w:rsidR="007C5D2A" w:rsidRPr="001C1AA7" w:rsidRDefault="007C5D2A" w:rsidP="007C5D2A">
      <w:pPr>
        <w:ind w:left="851" w:hanging="851"/>
        <w:rPr>
          <w:b/>
          <w:sz w:val="24"/>
          <w:szCs w:val="24"/>
          <w:lang w:val="en-GB"/>
        </w:rPr>
      </w:pPr>
      <w:r w:rsidRPr="001C1AA7">
        <w:rPr>
          <w:b/>
          <w:sz w:val="24"/>
          <w:szCs w:val="24"/>
          <w:lang w:val="en-GB"/>
        </w:rPr>
        <w:t>4.5</w:t>
      </w:r>
      <w:r w:rsidRPr="001C1AA7">
        <w:rPr>
          <w:b/>
          <w:sz w:val="24"/>
          <w:szCs w:val="24"/>
          <w:lang w:val="en-GB"/>
        </w:rPr>
        <w:tab/>
        <w:t>Interaction with other medicinal products and other forms of interaction</w:t>
      </w:r>
    </w:p>
    <w:p w14:paraId="77F386DA" w14:textId="77777777" w:rsidR="00DC45BC" w:rsidRDefault="00DC45BC" w:rsidP="00D438C9">
      <w:pPr>
        <w:ind w:left="851"/>
        <w:rPr>
          <w:sz w:val="24"/>
          <w:szCs w:val="24"/>
          <w:lang w:val="en-GB"/>
        </w:rPr>
      </w:pPr>
    </w:p>
    <w:p w14:paraId="6C02147D" w14:textId="254C3755" w:rsidR="00B4737D" w:rsidRPr="00DC45BC" w:rsidRDefault="00B4737D" w:rsidP="00D438C9">
      <w:pPr>
        <w:ind w:left="851"/>
        <w:rPr>
          <w:sz w:val="24"/>
          <w:szCs w:val="24"/>
          <w:u w:val="single"/>
          <w:lang w:val="en-US"/>
        </w:rPr>
      </w:pPr>
      <w:r w:rsidRPr="00DC45BC">
        <w:rPr>
          <w:sz w:val="24"/>
          <w:szCs w:val="24"/>
          <w:u w:val="single"/>
          <w:lang w:val="en-US"/>
        </w:rPr>
        <w:t>Inhibitors of CYP3A4 and P-</w:t>
      </w:r>
      <w:proofErr w:type="spellStart"/>
      <w:r w:rsidRPr="00DC45BC">
        <w:rPr>
          <w:sz w:val="24"/>
          <w:szCs w:val="24"/>
          <w:u w:val="single"/>
          <w:lang w:val="en-US"/>
        </w:rPr>
        <w:t>gp</w:t>
      </w:r>
      <w:proofErr w:type="spellEnd"/>
      <w:r w:rsidRPr="00DC45BC">
        <w:rPr>
          <w:sz w:val="24"/>
          <w:szCs w:val="24"/>
          <w:u w:val="single"/>
          <w:lang w:val="en-US"/>
        </w:rPr>
        <w:t xml:space="preserve"> </w:t>
      </w:r>
    </w:p>
    <w:p w14:paraId="26D8F799" w14:textId="77777777" w:rsidR="00B4737D" w:rsidRPr="001C1AA7" w:rsidRDefault="00B4737D" w:rsidP="00D438C9">
      <w:pPr>
        <w:ind w:left="851"/>
        <w:rPr>
          <w:sz w:val="24"/>
          <w:szCs w:val="24"/>
          <w:lang w:val="en-US"/>
        </w:rPr>
      </w:pPr>
      <w:r w:rsidRPr="001C1AA7">
        <w:rPr>
          <w:sz w:val="24"/>
          <w:szCs w:val="24"/>
          <w:lang w:val="en-US"/>
        </w:rPr>
        <w:t>Coadministration of apixaban with ketoconazole (400 mg once a day), a strong inhibitor of both CYP3A4 and P-</w:t>
      </w:r>
      <w:proofErr w:type="spellStart"/>
      <w:r w:rsidRPr="001C1AA7">
        <w:rPr>
          <w:sz w:val="24"/>
          <w:szCs w:val="24"/>
          <w:lang w:val="en-US"/>
        </w:rPr>
        <w:t>gp</w:t>
      </w:r>
      <w:proofErr w:type="spellEnd"/>
      <w:r w:rsidRPr="001C1AA7">
        <w:rPr>
          <w:sz w:val="24"/>
          <w:szCs w:val="24"/>
          <w:lang w:val="en-US"/>
        </w:rPr>
        <w:t xml:space="preserve">, led to a 2-fold increase in mean apixaban AUC and a 1.6-fold increase in mean apixaban Cmax. </w:t>
      </w:r>
    </w:p>
    <w:p w14:paraId="6C9F698B" w14:textId="77777777" w:rsidR="00B4737D" w:rsidRPr="001C1AA7" w:rsidRDefault="00B4737D" w:rsidP="00D438C9">
      <w:pPr>
        <w:ind w:left="851"/>
        <w:rPr>
          <w:sz w:val="24"/>
          <w:szCs w:val="24"/>
          <w:lang w:val="en-US"/>
        </w:rPr>
      </w:pPr>
    </w:p>
    <w:p w14:paraId="3AA0E5D8" w14:textId="77777777" w:rsidR="00B4737D" w:rsidRPr="001C1AA7" w:rsidRDefault="00B4737D" w:rsidP="00D438C9">
      <w:pPr>
        <w:ind w:left="851"/>
        <w:rPr>
          <w:sz w:val="24"/>
          <w:szCs w:val="24"/>
          <w:lang w:val="en-US"/>
        </w:rPr>
      </w:pPr>
      <w:r w:rsidRPr="001C1AA7">
        <w:rPr>
          <w:sz w:val="24"/>
          <w:szCs w:val="24"/>
          <w:lang w:val="en-US"/>
        </w:rPr>
        <w:t>The use of apixaban is not recommended in patients receiving concomitant systemic treatment with strong inhibitors of both CYP3A4 and P-</w:t>
      </w:r>
      <w:proofErr w:type="spellStart"/>
      <w:r w:rsidRPr="001C1AA7">
        <w:rPr>
          <w:sz w:val="24"/>
          <w:szCs w:val="24"/>
          <w:lang w:val="en-US"/>
        </w:rPr>
        <w:t>gp</w:t>
      </w:r>
      <w:proofErr w:type="spellEnd"/>
      <w:r w:rsidRPr="001C1AA7">
        <w:rPr>
          <w:sz w:val="24"/>
          <w:szCs w:val="24"/>
          <w:lang w:val="en-US"/>
        </w:rPr>
        <w:t xml:space="preserve">, such as azole-antimycotics (e.g., ketoconazole, itraconazole, voriconazole and posaconazole) and HIV protease inhibitors (e.g., ritonavir) (see section 4.4). </w:t>
      </w:r>
    </w:p>
    <w:p w14:paraId="499E5C1F" w14:textId="77777777" w:rsidR="00B4737D" w:rsidRPr="001C1AA7" w:rsidRDefault="00B4737D" w:rsidP="00D438C9">
      <w:pPr>
        <w:ind w:left="851"/>
        <w:rPr>
          <w:sz w:val="24"/>
          <w:szCs w:val="24"/>
          <w:lang w:val="en-US"/>
        </w:rPr>
      </w:pPr>
    </w:p>
    <w:p w14:paraId="5B40E422" w14:textId="77777777" w:rsidR="00B4737D" w:rsidRPr="001C1AA7" w:rsidRDefault="00B4737D" w:rsidP="00D438C9">
      <w:pPr>
        <w:ind w:left="851"/>
        <w:rPr>
          <w:sz w:val="24"/>
          <w:szCs w:val="24"/>
          <w:lang w:val="en-US"/>
        </w:rPr>
      </w:pPr>
      <w:r w:rsidRPr="001C1AA7">
        <w:rPr>
          <w:sz w:val="24"/>
          <w:szCs w:val="24"/>
          <w:lang w:val="en-US"/>
        </w:rPr>
        <w:t>Active substances which are not considered strong inhibitors of both CYP3A4 and P-</w:t>
      </w:r>
      <w:proofErr w:type="spellStart"/>
      <w:r w:rsidRPr="001C1AA7">
        <w:rPr>
          <w:sz w:val="24"/>
          <w:szCs w:val="24"/>
          <w:lang w:val="en-US"/>
        </w:rPr>
        <w:t>gp</w:t>
      </w:r>
      <w:proofErr w:type="spellEnd"/>
      <w:r w:rsidRPr="001C1AA7">
        <w:rPr>
          <w:sz w:val="24"/>
          <w:szCs w:val="24"/>
          <w:lang w:val="en-US"/>
        </w:rPr>
        <w:t xml:space="preserve">, (e.g., amiodarone, clarithromycin, diltiazem, fluconazole, naproxen, quinidine, verapamil) are expected to increase apixaban plasma concentration to a lesser extent. No dose adjustment for apixaban is required when </w:t>
      </w:r>
      <w:proofErr w:type="spellStart"/>
      <w:r w:rsidRPr="001C1AA7">
        <w:rPr>
          <w:sz w:val="24"/>
          <w:szCs w:val="24"/>
          <w:lang w:val="en-US"/>
        </w:rPr>
        <w:t>coadministered</w:t>
      </w:r>
      <w:proofErr w:type="spellEnd"/>
      <w:r w:rsidRPr="001C1AA7">
        <w:rPr>
          <w:sz w:val="24"/>
          <w:szCs w:val="24"/>
          <w:lang w:val="en-US"/>
        </w:rPr>
        <w:t xml:space="preserve"> with agents that are not strong inhibitors of both CYP3A4 and P-</w:t>
      </w:r>
      <w:proofErr w:type="spellStart"/>
      <w:r w:rsidRPr="001C1AA7">
        <w:rPr>
          <w:sz w:val="24"/>
          <w:szCs w:val="24"/>
          <w:lang w:val="en-US"/>
        </w:rPr>
        <w:t>gp</w:t>
      </w:r>
      <w:proofErr w:type="spellEnd"/>
      <w:r w:rsidRPr="001C1AA7">
        <w:rPr>
          <w:sz w:val="24"/>
          <w:szCs w:val="24"/>
          <w:lang w:val="en-US"/>
        </w:rPr>
        <w:t>. For example, diltiazem (360 mg once a day), considered a moderate CYP3A4 and a weak P-</w:t>
      </w:r>
      <w:proofErr w:type="spellStart"/>
      <w:r w:rsidRPr="001C1AA7">
        <w:rPr>
          <w:sz w:val="24"/>
          <w:szCs w:val="24"/>
          <w:lang w:val="en-US"/>
        </w:rPr>
        <w:t>gp</w:t>
      </w:r>
      <w:proofErr w:type="spellEnd"/>
      <w:r w:rsidRPr="001C1AA7">
        <w:rPr>
          <w:sz w:val="24"/>
          <w:szCs w:val="24"/>
          <w:lang w:val="en-US"/>
        </w:rPr>
        <w:t xml:space="preserve"> inhibitor, led to a 1.4-fold increase in </w:t>
      </w:r>
      <w:r w:rsidRPr="001C1AA7">
        <w:rPr>
          <w:sz w:val="24"/>
          <w:szCs w:val="24"/>
          <w:lang w:val="en-US"/>
        </w:rPr>
        <w:lastRenderedPageBreak/>
        <w:t>mean apixaban AUC and a 1.3-fold increase in Cmax. Naproxen (500 mg, single dose) an inhibitor of P-</w:t>
      </w:r>
      <w:proofErr w:type="spellStart"/>
      <w:r w:rsidRPr="001C1AA7">
        <w:rPr>
          <w:sz w:val="24"/>
          <w:szCs w:val="24"/>
          <w:lang w:val="en-US"/>
        </w:rPr>
        <w:t>gp</w:t>
      </w:r>
      <w:proofErr w:type="spellEnd"/>
      <w:r w:rsidRPr="001C1AA7">
        <w:rPr>
          <w:sz w:val="24"/>
          <w:szCs w:val="24"/>
          <w:lang w:val="en-US"/>
        </w:rPr>
        <w:t xml:space="preserve"> but not an inhibitor of CYP3A4, led to a 1.5-fold and 1.6-fold increase in mean apixaban AUC and Cmax, respectively. Clarithromycin (500 mg, twice a day), an inhibitor of P-</w:t>
      </w:r>
      <w:proofErr w:type="spellStart"/>
      <w:r w:rsidRPr="001C1AA7">
        <w:rPr>
          <w:sz w:val="24"/>
          <w:szCs w:val="24"/>
          <w:lang w:val="en-US"/>
        </w:rPr>
        <w:t>gp</w:t>
      </w:r>
      <w:proofErr w:type="spellEnd"/>
      <w:r w:rsidRPr="001C1AA7">
        <w:rPr>
          <w:sz w:val="24"/>
          <w:szCs w:val="24"/>
          <w:lang w:val="en-US"/>
        </w:rPr>
        <w:t xml:space="preserve"> and a strong inhibitor of CYP3A4, led to a 1.6-fold and 1.3-fold increase in mean apixaban AUC and Cmax respectively.</w:t>
      </w:r>
    </w:p>
    <w:p w14:paraId="637CC225" w14:textId="77777777" w:rsidR="00B4737D" w:rsidRPr="001C1AA7" w:rsidRDefault="00B4737D" w:rsidP="00D438C9">
      <w:pPr>
        <w:ind w:left="851"/>
        <w:rPr>
          <w:sz w:val="24"/>
          <w:szCs w:val="24"/>
          <w:lang w:val="en-GB"/>
        </w:rPr>
      </w:pPr>
    </w:p>
    <w:p w14:paraId="4430DE75" w14:textId="77777777" w:rsidR="00B4737D" w:rsidRPr="00DC45BC" w:rsidRDefault="00B4737D" w:rsidP="00D438C9">
      <w:pPr>
        <w:ind w:left="851"/>
        <w:rPr>
          <w:sz w:val="24"/>
          <w:szCs w:val="24"/>
          <w:u w:val="single"/>
          <w:lang w:val="en-US"/>
        </w:rPr>
      </w:pPr>
      <w:r w:rsidRPr="00DC45BC">
        <w:rPr>
          <w:sz w:val="24"/>
          <w:szCs w:val="24"/>
          <w:u w:val="single"/>
          <w:lang w:val="en-US"/>
        </w:rPr>
        <w:t>Inducers of CYP3A4 and P-</w:t>
      </w:r>
      <w:proofErr w:type="spellStart"/>
      <w:r w:rsidRPr="00DC45BC">
        <w:rPr>
          <w:sz w:val="24"/>
          <w:szCs w:val="24"/>
          <w:u w:val="single"/>
          <w:lang w:val="en-US"/>
        </w:rPr>
        <w:t>gp</w:t>
      </w:r>
      <w:proofErr w:type="spellEnd"/>
      <w:r w:rsidRPr="00DC45BC">
        <w:rPr>
          <w:sz w:val="24"/>
          <w:szCs w:val="24"/>
          <w:u w:val="single"/>
          <w:lang w:val="en-US"/>
        </w:rPr>
        <w:t xml:space="preserve"> </w:t>
      </w:r>
    </w:p>
    <w:p w14:paraId="21D30041" w14:textId="77777777" w:rsidR="00B4737D" w:rsidRPr="001C1AA7" w:rsidRDefault="00B4737D" w:rsidP="00D438C9">
      <w:pPr>
        <w:ind w:left="851"/>
        <w:rPr>
          <w:sz w:val="24"/>
          <w:szCs w:val="24"/>
          <w:lang w:val="en-US"/>
        </w:rPr>
      </w:pPr>
      <w:r w:rsidRPr="001C1AA7">
        <w:rPr>
          <w:sz w:val="24"/>
          <w:szCs w:val="24"/>
          <w:lang w:val="en-US"/>
        </w:rPr>
        <w:t>Coadministration of apixaban with rifampicin, a strong inducer of both CYP3A4 and P-</w:t>
      </w:r>
      <w:proofErr w:type="spellStart"/>
      <w:r w:rsidRPr="001C1AA7">
        <w:rPr>
          <w:sz w:val="24"/>
          <w:szCs w:val="24"/>
          <w:lang w:val="en-US"/>
        </w:rPr>
        <w:t>gp</w:t>
      </w:r>
      <w:proofErr w:type="spellEnd"/>
      <w:r w:rsidRPr="001C1AA7">
        <w:rPr>
          <w:sz w:val="24"/>
          <w:szCs w:val="24"/>
          <w:lang w:val="en-US"/>
        </w:rPr>
        <w:t>, led to an approximate 54% and 42% decrease in mean apixaban AUC and Cmax, respectively. The concomitant use of apixaban with other strong CYP3A4 and P-</w:t>
      </w:r>
      <w:proofErr w:type="spellStart"/>
      <w:r w:rsidRPr="001C1AA7">
        <w:rPr>
          <w:sz w:val="24"/>
          <w:szCs w:val="24"/>
          <w:lang w:val="en-US"/>
        </w:rPr>
        <w:t>gp</w:t>
      </w:r>
      <w:proofErr w:type="spellEnd"/>
      <w:r w:rsidRPr="001C1AA7">
        <w:rPr>
          <w:sz w:val="24"/>
          <w:szCs w:val="24"/>
          <w:lang w:val="en-US"/>
        </w:rPr>
        <w:t xml:space="preserve"> inducers (e.g., phenytoin, carbamazepine, phenobarbital or St. John’s Wort) may also lead to reduced apixaban plasma concentrations. No dose adjustment for apixaban is required during concomitant therapy with such medicinal products, </w:t>
      </w:r>
      <w:proofErr w:type="gramStart"/>
      <w:r w:rsidRPr="001C1AA7">
        <w:rPr>
          <w:sz w:val="24"/>
          <w:szCs w:val="24"/>
          <w:lang w:val="en-US"/>
        </w:rPr>
        <w:t>however in</w:t>
      </w:r>
      <w:proofErr w:type="gramEnd"/>
      <w:r w:rsidRPr="001C1AA7">
        <w:rPr>
          <w:sz w:val="24"/>
          <w:szCs w:val="24"/>
          <w:lang w:val="en-US"/>
        </w:rPr>
        <w:t xml:space="preserve"> patients receiving concomitant systemic treatment with strong inducers of both CYP3A4 and P-</w:t>
      </w:r>
      <w:proofErr w:type="spellStart"/>
      <w:r w:rsidRPr="001C1AA7">
        <w:rPr>
          <w:sz w:val="24"/>
          <w:szCs w:val="24"/>
          <w:lang w:val="en-US"/>
        </w:rPr>
        <w:t>gp</w:t>
      </w:r>
      <w:proofErr w:type="spellEnd"/>
      <w:r w:rsidRPr="001C1AA7">
        <w:rPr>
          <w:sz w:val="24"/>
          <w:szCs w:val="24"/>
          <w:lang w:val="en-US"/>
        </w:rPr>
        <w:t xml:space="preserve"> apixaban should be used with caution for the prevention of stroke and systemic embolism in patients with NVAF and for the prevention of recurrent DVT and PE. </w:t>
      </w:r>
    </w:p>
    <w:p w14:paraId="36BD779C" w14:textId="77777777" w:rsidR="00B4737D" w:rsidRPr="001C1AA7" w:rsidRDefault="00B4737D" w:rsidP="00D438C9">
      <w:pPr>
        <w:ind w:left="851"/>
        <w:rPr>
          <w:sz w:val="24"/>
          <w:szCs w:val="24"/>
          <w:lang w:val="en-US"/>
        </w:rPr>
      </w:pPr>
    </w:p>
    <w:p w14:paraId="1DA265C7" w14:textId="77777777" w:rsidR="00B4737D" w:rsidRPr="001C1AA7" w:rsidRDefault="00B4737D" w:rsidP="00D438C9">
      <w:pPr>
        <w:ind w:left="851"/>
        <w:rPr>
          <w:sz w:val="24"/>
          <w:szCs w:val="24"/>
          <w:lang w:val="en-US"/>
        </w:rPr>
      </w:pPr>
      <w:r w:rsidRPr="001C1AA7">
        <w:rPr>
          <w:sz w:val="24"/>
          <w:szCs w:val="24"/>
          <w:lang w:val="en-US"/>
        </w:rPr>
        <w:t>Apixaban is not recommended for the treatment of DVT and PE in patients receiving concomitant systemic treatment with strong inducers of both CYP3A4 and P-</w:t>
      </w:r>
      <w:proofErr w:type="spellStart"/>
      <w:r w:rsidRPr="001C1AA7">
        <w:rPr>
          <w:sz w:val="24"/>
          <w:szCs w:val="24"/>
          <w:lang w:val="en-US"/>
        </w:rPr>
        <w:t>gp</w:t>
      </w:r>
      <w:proofErr w:type="spellEnd"/>
      <w:r w:rsidRPr="001C1AA7">
        <w:rPr>
          <w:sz w:val="24"/>
          <w:szCs w:val="24"/>
          <w:lang w:val="en-US"/>
        </w:rPr>
        <w:t xml:space="preserve"> since efficacy may be compromised (see section 4.4). </w:t>
      </w:r>
    </w:p>
    <w:p w14:paraId="7A274F6B" w14:textId="77777777" w:rsidR="00B4737D" w:rsidRPr="001C1AA7" w:rsidRDefault="00B4737D" w:rsidP="00D438C9">
      <w:pPr>
        <w:ind w:left="851"/>
        <w:rPr>
          <w:sz w:val="24"/>
          <w:szCs w:val="24"/>
          <w:lang w:val="en-US"/>
        </w:rPr>
      </w:pPr>
    </w:p>
    <w:p w14:paraId="511EAAB0" w14:textId="77777777" w:rsidR="00B4737D" w:rsidRPr="00DC45BC" w:rsidRDefault="00B4737D" w:rsidP="00D438C9">
      <w:pPr>
        <w:ind w:left="851"/>
        <w:rPr>
          <w:sz w:val="24"/>
          <w:szCs w:val="24"/>
          <w:u w:val="single"/>
          <w:lang w:val="en-US"/>
        </w:rPr>
      </w:pPr>
      <w:r w:rsidRPr="00DC45BC">
        <w:rPr>
          <w:sz w:val="24"/>
          <w:szCs w:val="24"/>
          <w:u w:val="single"/>
          <w:lang w:val="en-US"/>
        </w:rPr>
        <w:t xml:space="preserve">Anticoagulants, platelet aggregation inhibitors, SSRIs/SNRIs and NSAIDs </w:t>
      </w:r>
    </w:p>
    <w:p w14:paraId="208714A8" w14:textId="77777777" w:rsidR="00B4737D" w:rsidRPr="001C1AA7" w:rsidRDefault="00B4737D" w:rsidP="00D438C9">
      <w:pPr>
        <w:ind w:left="851"/>
        <w:rPr>
          <w:sz w:val="24"/>
          <w:szCs w:val="24"/>
          <w:lang w:val="en-US"/>
        </w:rPr>
      </w:pPr>
      <w:r w:rsidRPr="001C1AA7">
        <w:rPr>
          <w:sz w:val="24"/>
          <w:szCs w:val="24"/>
          <w:lang w:val="en-US"/>
        </w:rPr>
        <w:t xml:space="preserve">Due to an increased bleeding risk, concomitant treatment with any other anticoagulants is contraindicated except under specific circumstances of switching anticoagulant therapy, when UFH is given at doses necessary to maintain an open central </w:t>
      </w:r>
      <w:proofErr w:type="gramStart"/>
      <w:r w:rsidRPr="001C1AA7">
        <w:rPr>
          <w:sz w:val="24"/>
          <w:szCs w:val="24"/>
          <w:lang w:val="en-US"/>
        </w:rPr>
        <w:t>venous</w:t>
      </w:r>
      <w:proofErr w:type="gramEnd"/>
      <w:r w:rsidRPr="001C1AA7">
        <w:rPr>
          <w:sz w:val="24"/>
          <w:szCs w:val="24"/>
          <w:lang w:val="en-US"/>
        </w:rPr>
        <w:t xml:space="preserve"> or arterial catheter or when UFH is given during catheter ablation for atrial fibrillation (see section 4.3).  </w:t>
      </w:r>
    </w:p>
    <w:p w14:paraId="79302807" w14:textId="77777777" w:rsidR="00B4737D" w:rsidRPr="001C1AA7" w:rsidRDefault="00B4737D" w:rsidP="00D438C9">
      <w:pPr>
        <w:ind w:left="851"/>
        <w:rPr>
          <w:sz w:val="24"/>
          <w:szCs w:val="24"/>
          <w:lang w:val="en-US"/>
        </w:rPr>
      </w:pPr>
    </w:p>
    <w:p w14:paraId="477C7AD2" w14:textId="77777777" w:rsidR="00B4737D" w:rsidRPr="001C1AA7" w:rsidRDefault="00B4737D" w:rsidP="00D438C9">
      <w:pPr>
        <w:ind w:left="851"/>
        <w:rPr>
          <w:sz w:val="24"/>
          <w:szCs w:val="24"/>
          <w:lang w:val="en-US"/>
        </w:rPr>
      </w:pPr>
      <w:r w:rsidRPr="001C1AA7">
        <w:rPr>
          <w:sz w:val="24"/>
          <w:szCs w:val="24"/>
          <w:lang w:val="en-US"/>
        </w:rPr>
        <w:t xml:space="preserve">After </w:t>
      </w:r>
      <w:proofErr w:type="gramStart"/>
      <w:r w:rsidRPr="001C1AA7">
        <w:rPr>
          <w:sz w:val="24"/>
          <w:szCs w:val="24"/>
          <w:lang w:val="en-US"/>
        </w:rPr>
        <w:t>combined</w:t>
      </w:r>
      <w:proofErr w:type="gramEnd"/>
      <w:r w:rsidRPr="001C1AA7">
        <w:rPr>
          <w:sz w:val="24"/>
          <w:szCs w:val="24"/>
          <w:lang w:val="en-US"/>
        </w:rPr>
        <w:t xml:space="preserve"> administration of enoxaparin (40 mg single dose) with apixaban (5 mg single dose), an additive effect on anti-Factor Xa activity was observed. </w:t>
      </w:r>
    </w:p>
    <w:p w14:paraId="0D80A1E2" w14:textId="77777777" w:rsidR="00B4737D" w:rsidRPr="001C1AA7" w:rsidRDefault="00B4737D" w:rsidP="00D438C9">
      <w:pPr>
        <w:ind w:left="851"/>
        <w:rPr>
          <w:sz w:val="24"/>
          <w:szCs w:val="24"/>
          <w:lang w:val="en-US"/>
        </w:rPr>
      </w:pPr>
    </w:p>
    <w:p w14:paraId="1ACF1B8B" w14:textId="77777777" w:rsidR="00B4737D" w:rsidRPr="001C1AA7" w:rsidRDefault="00B4737D" w:rsidP="00D438C9">
      <w:pPr>
        <w:ind w:left="851"/>
        <w:rPr>
          <w:sz w:val="24"/>
          <w:szCs w:val="24"/>
          <w:lang w:val="en-US"/>
        </w:rPr>
      </w:pPr>
      <w:r w:rsidRPr="001C1AA7">
        <w:rPr>
          <w:sz w:val="24"/>
          <w:szCs w:val="24"/>
          <w:lang w:val="en-US"/>
        </w:rPr>
        <w:t xml:space="preserve">Pharmacokinetic or pharmacodynamic interactions were not evident when apixaban was </w:t>
      </w:r>
      <w:proofErr w:type="spellStart"/>
      <w:r w:rsidRPr="001C1AA7">
        <w:rPr>
          <w:sz w:val="24"/>
          <w:szCs w:val="24"/>
          <w:lang w:val="en-US"/>
        </w:rPr>
        <w:t>coadministered</w:t>
      </w:r>
      <w:proofErr w:type="spellEnd"/>
      <w:r w:rsidRPr="001C1AA7">
        <w:rPr>
          <w:sz w:val="24"/>
          <w:szCs w:val="24"/>
          <w:lang w:val="en-US"/>
        </w:rPr>
        <w:t xml:space="preserve"> with ASA 325 mg once a day. </w:t>
      </w:r>
    </w:p>
    <w:p w14:paraId="16605F11" w14:textId="77777777" w:rsidR="00B4737D" w:rsidRPr="001C1AA7" w:rsidRDefault="00B4737D" w:rsidP="00D438C9">
      <w:pPr>
        <w:ind w:left="851"/>
        <w:rPr>
          <w:sz w:val="24"/>
          <w:szCs w:val="24"/>
          <w:lang w:val="en-US"/>
        </w:rPr>
      </w:pPr>
    </w:p>
    <w:p w14:paraId="0A2BD22A" w14:textId="77777777" w:rsidR="00B4737D" w:rsidRPr="001C1AA7" w:rsidRDefault="00B4737D" w:rsidP="00D438C9">
      <w:pPr>
        <w:ind w:left="851"/>
        <w:rPr>
          <w:sz w:val="24"/>
          <w:szCs w:val="24"/>
          <w:lang w:val="en-US"/>
        </w:rPr>
      </w:pPr>
      <w:r w:rsidRPr="001C1AA7">
        <w:rPr>
          <w:sz w:val="24"/>
          <w:szCs w:val="24"/>
          <w:lang w:val="en-US"/>
        </w:rPr>
        <w:t xml:space="preserve">Apixaban </w:t>
      </w:r>
      <w:proofErr w:type="spellStart"/>
      <w:r w:rsidRPr="001C1AA7">
        <w:rPr>
          <w:sz w:val="24"/>
          <w:szCs w:val="24"/>
          <w:lang w:val="en-US"/>
        </w:rPr>
        <w:t>coadministered</w:t>
      </w:r>
      <w:proofErr w:type="spellEnd"/>
      <w:r w:rsidRPr="001C1AA7">
        <w:rPr>
          <w:sz w:val="24"/>
          <w:szCs w:val="24"/>
          <w:lang w:val="en-US"/>
        </w:rPr>
        <w:t xml:space="preserve"> with clopidogrel (75 mg once a day) or with the combination of clopidogrel 75 mg and ASA 162 mg once daily, or with prasugrel (60 mg followed by 10 mg once daily) in Phase I studies did not show a relevant increase in template bleeding time, or further inhibition of platelet aggregation, compared to administration of the antiplatelet agents without apixaban. Increases in clotting tests (PT, INR, and </w:t>
      </w:r>
      <w:proofErr w:type="spellStart"/>
      <w:r w:rsidRPr="001C1AA7">
        <w:rPr>
          <w:sz w:val="24"/>
          <w:szCs w:val="24"/>
          <w:lang w:val="en-US"/>
        </w:rPr>
        <w:t>aPTT</w:t>
      </w:r>
      <w:proofErr w:type="spellEnd"/>
      <w:r w:rsidRPr="001C1AA7">
        <w:rPr>
          <w:sz w:val="24"/>
          <w:szCs w:val="24"/>
          <w:lang w:val="en-US"/>
        </w:rPr>
        <w:t xml:space="preserve">) were consistent with the effects of apixaban alone. </w:t>
      </w:r>
    </w:p>
    <w:p w14:paraId="4E2A5792" w14:textId="77777777" w:rsidR="00B4737D" w:rsidRPr="001C1AA7" w:rsidRDefault="00B4737D" w:rsidP="00D438C9">
      <w:pPr>
        <w:ind w:left="851"/>
        <w:rPr>
          <w:sz w:val="24"/>
          <w:szCs w:val="24"/>
          <w:lang w:val="en-US"/>
        </w:rPr>
      </w:pPr>
    </w:p>
    <w:p w14:paraId="496E4C5D" w14:textId="77777777" w:rsidR="00B4737D" w:rsidRPr="001C1AA7" w:rsidRDefault="00B4737D" w:rsidP="00D438C9">
      <w:pPr>
        <w:ind w:left="851"/>
        <w:rPr>
          <w:sz w:val="24"/>
          <w:szCs w:val="24"/>
          <w:lang w:val="en-US"/>
        </w:rPr>
      </w:pPr>
      <w:r w:rsidRPr="001C1AA7">
        <w:rPr>
          <w:sz w:val="24"/>
          <w:szCs w:val="24"/>
          <w:lang w:val="en-US"/>
        </w:rPr>
        <w:t>Naproxen (500 mg), an inhibitor of P-</w:t>
      </w:r>
      <w:proofErr w:type="spellStart"/>
      <w:r w:rsidRPr="001C1AA7">
        <w:rPr>
          <w:sz w:val="24"/>
          <w:szCs w:val="24"/>
          <w:lang w:val="en-US"/>
        </w:rPr>
        <w:t>gp</w:t>
      </w:r>
      <w:proofErr w:type="spellEnd"/>
      <w:r w:rsidRPr="001C1AA7">
        <w:rPr>
          <w:sz w:val="24"/>
          <w:szCs w:val="24"/>
          <w:lang w:val="en-US"/>
        </w:rPr>
        <w:t xml:space="preserve">, led to a 1.5-fold and 1.6-fold increase in mean apixaban AUC and Cmax, respectively. Corresponding increases in clotting tests were observed for apixaban. No changes were observed in the effect of naproxen on arachidonic acid-induced platelet aggregation and no clinically relevant prolongation of bleeding time was observed after concomitant administration of apixaban and naproxen. </w:t>
      </w:r>
    </w:p>
    <w:p w14:paraId="27745AD6" w14:textId="77777777" w:rsidR="00B4737D" w:rsidRPr="001C1AA7" w:rsidRDefault="00B4737D" w:rsidP="00D438C9">
      <w:pPr>
        <w:ind w:left="851"/>
        <w:rPr>
          <w:sz w:val="24"/>
          <w:szCs w:val="24"/>
          <w:lang w:val="en-US"/>
        </w:rPr>
      </w:pPr>
    </w:p>
    <w:p w14:paraId="35CD8F6C" w14:textId="77777777" w:rsidR="00B4737D" w:rsidRPr="001C1AA7" w:rsidRDefault="00B4737D" w:rsidP="00D438C9">
      <w:pPr>
        <w:ind w:left="851"/>
        <w:rPr>
          <w:sz w:val="24"/>
          <w:szCs w:val="24"/>
          <w:lang w:val="en-US"/>
        </w:rPr>
      </w:pPr>
      <w:r w:rsidRPr="001C1AA7">
        <w:rPr>
          <w:sz w:val="24"/>
          <w:szCs w:val="24"/>
          <w:lang w:val="en-US"/>
        </w:rPr>
        <w:t xml:space="preserve">Despite these findings, there may be individuals with a more pronounced pharmacodynamic response when antiplatelet agents are </w:t>
      </w:r>
      <w:proofErr w:type="spellStart"/>
      <w:r w:rsidRPr="001C1AA7">
        <w:rPr>
          <w:sz w:val="24"/>
          <w:szCs w:val="24"/>
          <w:lang w:val="en-US"/>
        </w:rPr>
        <w:t>coadministered</w:t>
      </w:r>
      <w:proofErr w:type="spellEnd"/>
      <w:r w:rsidRPr="001C1AA7">
        <w:rPr>
          <w:sz w:val="24"/>
          <w:szCs w:val="24"/>
          <w:lang w:val="en-US"/>
        </w:rPr>
        <w:t xml:space="preserve"> with apixaban. Apixaban should be used with caution when </w:t>
      </w:r>
      <w:proofErr w:type="spellStart"/>
      <w:r w:rsidRPr="001C1AA7">
        <w:rPr>
          <w:sz w:val="24"/>
          <w:szCs w:val="24"/>
          <w:lang w:val="en-US"/>
        </w:rPr>
        <w:t>coadministered</w:t>
      </w:r>
      <w:proofErr w:type="spellEnd"/>
      <w:r w:rsidRPr="001C1AA7">
        <w:rPr>
          <w:sz w:val="24"/>
          <w:szCs w:val="24"/>
          <w:lang w:val="en-US"/>
        </w:rPr>
        <w:t xml:space="preserve"> with SSRIs/SNRIs, NSAIDs, </w:t>
      </w:r>
      <w:r w:rsidRPr="001C1AA7">
        <w:rPr>
          <w:sz w:val="24"/>
          <w:szCs w:val="24"/>
          <w:lang w:val="en-US"/>
        </w:rPr>
        <w:lastRenderedPageBreak/>
        <w:t xml:space="preserve">ASA and/or P2Y12 inhibitors because these medicinal products typically increase the bleeding risk (see section 4.4). </w:t>
      </w:r>
    </w:p>
    <w:p w14:paraId="2A03E73F" w14:textId="77777777" w:rsidR="00B4737D" w:rsidRPr="001C1AA7" w:rsidRDefault="00B4737D" w:rsidP="00D438C9">
      <w:pPr>
        <w:ind w:left="851"/>
        <w:rPr>
          <w:sz w:val="24"/>
          <w:szCs w:val="24"/>
          <w:lang w:val="en-US"/>
        </w:rPr>
      </w:pPr>
    </w:p>
    <w:p w14:paraId="72CB1A86" w14:textId="77777777" w:rsidR="00B4737D" w:rsidRPr="001C1AA7" w:rsidRDefault="00B4737D" w:rsidP="00D438C9">
      <w:pPr>
        <w:ind w:left="851"/>
        <w:rPr>
          <w:sz w:val="24"/>
          <w:szCs w:val="24"/>
          <w:lang w:val="en-US"/>
        </w:rPr>
      </w:pPr>
      <w:r w:rsidRPr="001C1AA7">
        <w:rPr>
          <w:sz w:val="24"/>
          <w:szCs w:val="24"/>
          <w:lang w:val="en-US"/>
        </w:rPr>
        <w:t xml:space="preserve">There is limited experience of co-administration with other platelet aggregation inhibitors (such as </w:t>
      </w:r>
      <w:proofErr w:type="spellStart"/>
      <w:r w:rsidRPr="001C1AA7">
        <w:rPr>
          <w:sz w:val="24"/>
          <w:szCs w:val="24"/>
          <w:lang w:val="en-US"/>
        </w:rPr>
        <w:t>GPIIb</w:t>
      </w:r>
      <w:proofErr w:type="spellEnd"/>
      <w:r w:rsidRPr="001C1AA7">
        <w:rPr>
          <w:sz w:val="24"/>
          <w:szCs w:val="24"/>
          <w:lang w:val="en-US"/>
        </w:rPr>
        <w:t xml:space="preserve">/IIIa receptor antagonists, dipyridamole, dextran or sulfinpyrazone) or thrombolytic agents. As such agents increase the bleeding risk, co-administration of these medicinal products with apixaban is not recommended (see section 4.4). </w:t>
      </w:r>
    </w:p>
    <w:p w14:paraId="74C5812F" w14:textId="77777777" w:rsidR="00B4737D" w:rsidRPr="001C1AA7" w:rsidRDefault="00B4737D" w:rsidP="00D438C9">
      <w:pPr>
        <w:ind w:left="851"/>
        <w:rPr>
          <w:sz w:val="24"/>
          <w:szCs w:val="24"/>
          <w:lang w:val="en-US"/>
        </w:rPr>
      </w:pPr>
    </w:p>
    <w:p w14:paraId="2939BE93" w14:textId="310CD446" w:rsidR="00B4737D" w:rsidRPr="001C1AA7" w:rsidRDefault="00B4737D" w:rsidP="00D438C9">
      <w:pPr>
        <w:ind w:left="851"/>
        <w:rPr>
          <w:sz w:val="24"/>
          <w:szCs w:val="24"/>
          <w:lang w:val="en-US"/>
        </w:rPr>
      </w:pPr>
      <w:r w:rsidRPr="001C1AA7">
        <w:rPr>
          <w:sz w:val="24"/>
          <w:szCs w:val="24"/>
          <w:lang w:val="en-US"/>
        </w:rPr>
        <w:t>In study CV185325, no clinically important bleeding events were reported in the 12 paediatric patients</w:t>
      </w:r>
      <w:r w:rsidR="00DC45BC">
        <w:rPr>
          <w:sz w:val="24"/>
          <w:szCs w:val="24"/>
          <w:lang w:val="en-US"/>
        </w:rPr>
        <w:t xml:space="preserve"> </w:t>
      </w:r>
      <w:r w:rsidRPr="001C1AA7">
        <w:rPr>
          <w:sz w:val="24"/>
          <w:szCs w:val="24"/>
          <w:lang w:val="en-US"/>
        </w:rPr>
        <w:t>treated with apixaban and ASA ≤ 165 mg daily concomitantly.</w:t>
      </w:r>
    </w:p>
    <w:p w14:paraId="2750E85E" w14:textId="77777777" w:rsidR="00B4737D" w:rsidRPr="001C1AA7" w:rsidRDefault="00B4737D" w:rsidP="00D438C9">
      <w:pPr>
        <w:ind w:left="851"/>
        <w:rPr>
          <w:sz w:val="24"/>
          <w:szCs w:val="24"/>
          <w:lang w:val="en-US"/>
        </w:rPr>
      </w:pPr>
    </w:p>
    <w:p w14:paraId="65EF2541" w14:textId="77777777" w:rsidR="00B4737D" w:rsidRPr="00DC45BC" w:rsidRDefault="00B4737D" w:rsidP="00D438C9">
      <w:pPr>
        <w:ind w:left="851"/>
        <w:rPr>
          <w:sz w:val="24"/>
          <w:szCs w:val="24"/>
          <w:u w:val="single"/>
          <w:lang w:val="en-US"/>
        </w:rPr>
      </w:pPr>
      <w:r w:rsidRPr="00DC45BC">
        <w:rPr>
          <w:sz w:val="24"/>
          <w:szCs w:val="24"/>
          <w:u w:val="single"/>
          <w:lang w:val="en-US"/>
        </w:rPr>
        <w:t xml:space="preserve">Other concomitant therapies </w:t>
      </w:r>
    </w:p>
    <w:p w14:paraId="227516EA" w14:textId="77777777" w:rsidR="00B4737D" w:rsidRPr="001C1AA7" w:rsidRDefault="00B4737D" w:rsidP="00D438C9">
      <w:pPr>
        <w:ind w:left="851"/>
        <w:rPr>
          <w:sz w:val="24"/>
          <w:szCs w:val="24"/>
          <w:lang w:val="en-US"/>
        </w:rPr>
      </w:pPr>
      <w:r w:rsidRPr="001C1AA7">
        <w:rPr>
          <w:sz w:val="24"/>
          <w:szCs w:val="24"/>
          <w:lang w:val="en-US"/>
        </w:rPr>
        <w:t xml:space="preserve">No clinically significant pharmacokinetic or pharmacodynamic interactions were observed when apixaban was </w:t>
      </w:r>
      <w:proofErr w:type="spellStart"/>
      <w:r w:rsidRPr="001C1AA7">
        <w:rPr>
          <w:sz w:val="24"/>
          <w:szCs w:val="24"/>
          <w:lang w:val="en-US"/>
        </w:rPr>
        <w:t>coadministered</w:t>
      </w:r>
      <w:proofErr w:type="spellEnd"/>
      <w:r w:rsidRPr="001C1AA7">
        <w:rPr>
          <w:sz w:val="24"/>
          <w:szCs w:val="24"/>
          <w:lang w:val="en-US"/>
        </w:rPr>
        <w:t xml:space="preserve"> with atenolol or famotidine. Coadministration of apixaban 10 mg with atenolol 100 mg did not have a clinically relevant effect on the pharmacokinetics of apixaban. Following administration of the two medicinal products together, mean apixaban AUC and Cmax were 15% and 18% lower than when administered alone. The administration of apixaban 10 mg with famotidine 40 mg had no effect on apixaban AUC or Cmax.</w:t>
      </w:r>
    </w:p>
    <w:p w14:paraId="00FCE2DB" w14:textId="77777777" w:rsidR="00B4737D" w:rsidRPr="001C1AA7" w:rsidRDefault="00B4737D" w:rsidP="00D438C9">
      <w:pPr>
        <w:ind w:left="851"/>
        <w:rPr>
          <w:sz w:val="24"/>
          <w:szCs w:val="24"/>
          <w:lang w:val="en-US"/>
        </w:rPr>
      </w:pPr>
    </w:p>
    <w:p w14:paraId="0097A8DB" w14:textId="77777777" w:rsidR="00B4737D" w:rsidRPr="00DC45BC" w:rsidRDefault="00B4737D" w:rsidP="00D438C9">
      <w:pPr>
        <w:ind w:left="851"/>
        <w:rPr>
          <w:sz w:val="24"/>
          <w:szCs w:val="24"/>
          <w:u w:val="single"/>
          <w:lang w:val="en-US"/>
        </w:rPr>
      </w:pPr>
      <w:r w:rsidRPr="00DC45BC">
        <w:rPr>
          <w:sz w:val="24"/>
          <w:szCs w:val="24"/>
          <w:u w:val="single"/>
          <w:lang w:val="en-US"/>
        </w:rPr>
        <w:t xml:space="preserve">Effect of apixaban on other medicinal products </w:t>
      </w:r>
    </w:p>
    <w:p w14:paraId="55357D00" w14:textId="77777777" w:rsidR="00B4737D" w:rsidRPr="001C1AA7" w:rsidRDefault="00B4737D" w:rsidP="00D438C9">
      <w:pPr>
        <w:ind w:left="851"/>
        <w:rPr>
          <w:sz w:val="24"/>
          <w:szCs w:val="24"/>
          <w:lang w:val="en-US"/>
        </w:rPr>
      </w:pPr>
      <w:r w:rsidRPr="001C1AA7">
        <w:rPr>
          <w:i/>
          <w:iCs/>
          <w:sz w:val="24"/>
          <w:szCs w:val="24"/>
          <w:lang w:val="en-US"/>
        </w:rPr>
        <w:t xml:space="preserve">In vitro </w:t>
      </w:r>
      <w:r w:rsidRPr="001C1AA7">
        <w:rPr>
          <w:sz w:val="24"/>
          <w:szCs w:val="24"/>
          <w:lang w:val="en-US"/>
        </w:rPr>
        <w:t xml:space="preserve">apixaban studies showed no inhibitory effect on the activity of CYP1A2, CYP2A6, CYP2B6, CYP2C8, CYP2C9, CYP2D6 or CYP3A4 (IC50 &gt; 45 </w:t>
      </w:r>
      <w:r w:rsidRPr="001C1AA7">
        <w:rPr>
          <w:sz w:val="24"/>
          <w:szCs w:val="24"/>
          <w:lang w:val="fr-BE"/>
        </w:rPr>
        <w:t>μ</w:t>
      </w:r>
      <w:r w:rsidRPr="001C1AA7">
        <w:rPr>
          <w:sz w:val="24"/>
          <w:szCs w:val="24"/>
          <w:lang w:val="en-US"/>
        </w:rPr>
        <w:t xml:space="preserve">M) and weak inhibitory effect on the activity of CYP2C19 (IC50 &gt; 20 </w:t>
      </w:r>
      <w:r w:rsidRPr="001C1AA7">
        <w:rPr>
          <w:sz w:val="24"/>
          <w:szCs w:val="24"/>
          <w:lang w:val="fr-BE"/>
        </w:rPr>
        <w:t>μ</w:t>
      </w:r>
      <w:r w:rsidRPr="001C1AA7">
        <w:rPr>
          <w:sz w:val="24"/>
          <w:szCs w:val="24"/>
          <w:lang w:val="en-US"/>
        </w:rPr>
        <w:t xml:space="preserve">M) at concentrations that are significantly greater than peak plasma concentrations observed in patients. Apixaban did not induce CYP1A2, CYP2B6, CYP3A4/5 at a concentration up to 20 </w:t>
      </w:r>
      <w:r w:rsidRPr="001C1AA7">
        <w:rPr>
          <w:sz w:val="24"/>
          <w:szCs w:val="24"/>
          <w:lang w:val="fr-BE"/>
        </w:rPr>
        <w:t>μ</w:t>
      </w:r>
      <w:r w:rsidRPr="001C1AA7">
        <w:rPr>
          <w:sz w:val="24"/>
          <w:szCs w:val="24"/>
          <w:lang w:val="en-US"/>
        </w:rPr>
        <w:t xml:space="preserve">M. Therefore, apixaban is not expected to alter the metabolic clearance of </w:t>
      </w:r>
      <w:proofErr w:type="spellStart"/>
      <w:r w:rsidRPr="001C1AA7">
        <w:rPr>
          <w:sz w:val="24"/>
          <w:szCs w:val="24"/>
          <w:lang w:val="en-US"/>
        </w:rPr>
        <w:t>coadministered</w:t>
      </w:r>
      <w:proofErr w:type="spellEnd"/>
      <w:r w:rsidRPr="001C1AA7">
        <w:rPr>
          <w:sz w:val="24"/>
          <w:szCs w:val="24"/>
          <w:lang w:val="en-US"/>
        </w:rPr>
        <w:t xml:space="preserve"> medicinal products that are </w:t>
      </w:r>
      <w:proofErr w:type="spellStart"/>
      <w:r w:rsidRPr="001C1AA7">
        <w:rPr>
          <w:sz w:val="24"/>
          <w:szCs w:val="24"/>
          <w:lang w:val="en-US"/>
        </w:rPr>
        <w:t>metabolised</w:t>
      </w:r>
      <w:proofErr w:type="spellEnd"/>
      <w:r w:rsidRPr="001C1AA7">
        <w:rPr>
          <w:sz w:val="24"/>
          <w:szCs w:val="24"/>
          <w:lang w:val="en-US"/>
        </w:rPr>
        <w:t xml:space="preserve"> by these enzymes. Apixaban is not a significant inhibitor of P-</w:t>
      </w:r>
      <w:proofErr w:type="spellStart"/>
      <w:r w:rsidRPr="001C1AA7">
        <w:rPr>
          <w:sz w:val="24"/>
          <w:szCs w:val="24"/>
          <w:lang w:val="en-US"/>
        </w:rPr>
        <w:t>gp</w:t>
      </w:r>
      <w:proofErr w:type="spellEnd"/>
      <w:r w:rsidRPr="001C1AA7">
        <w:rPr>
          <w:sz w:val="24"/>
          <w:szCs w:val="24"/>
          <w:lang w:val="en-US"/>
        </w:rPr>
        <w:t xml:space="preserve">. </w:t>
      </w:r>
    </w:p>
    <w:p w14:paraId="00094B1F" w14:textId="77777777" w:rsidR="00B4737D" w:rsidRPr="001C1AA7" w:rsidRDefault="00B4737D" w:rsidP="00D438C9">
      <w:pPr>
        <w:ind w:left="851"/>
        <w:rPr>
          <w:sz w:val="24"/>
          <w:szCs w:val="24"/>
          <w:lang w:val="en-US"/>
        </w:rPr>
      </w:pPr>
    </w:p>
    <w:p w14:paraId="7F938E85" w14:textId="77777777" w:rsidR="00B4737D" w:rsidRPr="001C1AA7" w:rsidRDefault="00B4737D" w:rsidP="00D438C9">
      <w:pPr>
        <w:ind w:left="851"/>
        <w:rPr>
          <w:sz w:val="24"/>
          <w:szCs w:val="24"/>
          <w:lang w:val="en-US"/>
        </w:rPr>
      </w:pPr>
      <w:r w:rsidRPr="001C1AA7">
        <w:rPr>
          <w:sz w:val="24"/>
          <w:szCs w:val="24"/>
          <w:lang w:val="en-US"/>
        </w:rPr>
        <w:t xml:space="preserve">In studies conducted in healthy subjects, as described below, apixaban did not meaningfully alter the pharmacokinetics of digoxin, naproxen, or atenolol. </w:t>
      </w:r>
    </w:p>
    <w:p w14:paraId="5ACF6F3D" w14:textId="77777777" w:rsidR="00B4737D" w:rsidRPr="001C1AA7" w:rsidRDefault="00B4737D" w:rsidP="00D438C9">
      <w:pPr>
        <w:ind w:left="851"/>
        <w:rPr>
          <w:sz w:val="24"/>
          <w:szCs w:val="24"/>
          <w:lang w:val="en-US"/>
        </w:rPr>
      </w:pPr>
    </w:p>
    <w:p w14:paraId="62EB666D" w14:textId="77777777" w:rsidR="00B4737D" w:rsidRPr="001C1AA7" w:rsidRDefault="00B4737D" w:rsidP="00D438C9">
      <w:pPr>
        <w:ind w:left="851"/>
        <w:rPr>
          <w:sz w:val="24"/>
          <w:szCs w:val="24"/>
          <w:lang w:val="en-US"/>
        </w:rPr>
      </w:pPr>
      <w:r w:rsidRPr="001C1AA7">
        <w:rPr>
          <w:i/>
          <w:iCs/>
          <w:sz w:val="24"/>
          <w:szCs w:val="24"/>
          <w:lang w:val="en-US"/>
        </w:rPr>
        <w:t xml:space="preserve">Digoxin </w:t>
      </w:r>
    </w:p>
    <w:p w14:paraId="7BC559AE" w14:textId="77777777" w:rsidR="00B4737D" w:rsidRPr="001C1AA7" w:rsidRDefault="00B4737D" w:rsidP="00D438C9">
      <w:pPr>
        <w:ind w:left="851"/>
        <w:rPr>
          <w:sz w:val="24"/>
          <w:szCs w:val="24"/>
          <w:lang w:val="en-US"/>
        </w:rPr>
      </w:pPr>
      <w:r w:rsidRPr="001C1AA7">
        <w:rPr>
          <w:sz w:val="24"/>
          <w:szCs w:val="24"/>
          <w:lang w:val="en-US"/>
        </w:rPr>
        <w:t>Coadministration of apixaban (20 mg once a day) and digoxin (0.25 mg once a day), a P-</w:t>
      </w:r>
      <w:proofErr w:type="spellStart"/>
      <w:r w:rsidRPr="001C1AA7">
        <w:rPr>
          <w:sz w:val="24"/>
          <w:szCs w:val="24"/>
          <w:lang w:val="en-US"/>
        </w:rPr>
        <w:t>gp</w:t>
      </w:r>
      <w:proofErr w:type="spellEnd"/>
      <w:r w:rsidRPr="001C1AA7">
        <w:rPr>
          <w:sz w:val="24"/>
          <w:szCs w:val="24"/>
          <w:lang w:val="en-US"/>
        </w:rPr>
        <w:t xml:space="preserve"> substrate, did not affect digoxin AUC or Cmax. Therefore, </w:t>
      </w:r>
      <w:proofErr w:type="gramStart"/>
      <w:r w:rsidRPr="001C1AA7">
        <w:rPr>
          <w:sz w:val="24"/>
          <w:szCs w:val="24"/>
          <w:lang w:val="en-US"/>
        </w:rPr>
        <w:t>apixaban</w:t>
      </w:r>
      <w:proofErr w:type="gramEnd"/>
      <w:r w:rsidRPr="001C1AA7">
        <w:rPr>
          <w:sz w:val="24"/>
          <w:szCs w:val="24"/>
          <w:lang w:val="en-US"/>
        </w:rPr>
        <w:t xml:space="preserve"> does not inhibit P-</w:t>
      </w:r>
      <w:proofErr w:type="spellStart"/>
      <w:r w:rsidRPr="001C1AA7">
        <w:rPr>
          <w:sz w:val="24"/>
          <w:szCs w:val="24"/>
          <w:lang w:val="en-US"/>
        </w:rPr>
        <w:t>gp</w:t>
      </w:r>
      <w:proofErr w:type="spellEnd"/>
      <w:r w:rsidRPr="001C1AA7">
        <w:rPr>
          <w:sz w:val="24"/>
          <w:szCs w:val="24"/>
          <w:lang w:val="en-US"/>
        </w:rPr>
        <w:t xml:space="preserve"> mediated substrate transport. </w:t>
      </w:r>
    </w:p>
    <w:p w14:paraId="5D0E729A" w14:textId="77777777" w:rsidR="00B4737D" w:rsidRPr="001C1AA7" w:rsidRDefault="00B4737D" w:rsidP="00D438C9">
      <w:pPr>
        <w:ind w:left="851"/>
        <w:rPr>
          <w:sz w:val="24"/>
          <w:szCs w:val="24"/>
          <w:lang w:val="en-US"/>
        </w:rPr>
      </w:pPr>
    </w:p>
    <w:p w14:paraId="0E4F6AAB" w14:textId="77777777" w:rsidR="00B4737D" w:rsidRPr="001C1AA7" w:rsidRDefault="00B4737D" w:rsidP="00D438C9">
      <w:pPr>
        <w:ind w:left="851"/>
        <w:rPr>
          <w:sz w:val="24"/>
          <w:szCs w:val="24"/>
          <w:lang w:val="en-US"/>
        </w:rPr>
      </w:pPr>
      <w:r w:rsidRPr="001C1AA7">
        <w:rPr>
          <w:i/>
          <w:iCs/>
          <w:sz w:val="24"/>
          <w:szCs w:val="24"/>
          <w:lang w:val="en-US"/>
        </w:rPr>
        <w:t xml:space="preserve">Naproxen </w:t>
      </w:r>
    </w:p>
    <w:p w14:paraId="17BBEB1B" w14:textId="77777777" w:rsidR="00B4737D" w:rsidRPr="001C1AA7" w:rsidRDefault="00B4737D" w:rsidP="00D438C9">
      <w:pPr>
        <w:ind w:left="851"/>
        <w:rPr>
          <w:sz w:val="24"/>
          <w:szCs w:val="24"/>
          <w:lang w:val="en-US"/>
        </w:rPr>
      </w:pPr>
      <w:r w:rsidRPr="001C1AA7">
        <w:rPr>
          <w:sz w:val="24"/>
          <w:szCs w:val="24"/>
          <w:lang w:val="en-US"/>
        </w:rPr>
        <w:t xml:space="preserve">Coadministration of single doses of apixaban (10 mg) and naproxen (500 mg), a commonly used NSAID, did not have any effect on the naproxen AUC or Cmax. </w:t>
      </w:r>
    </w:p>
    <w:p w14:paraId="1F371B24" w14:textId="77777777" w:rsidR="00B4737D" w:rsidRPr="001C1AA7" w:rsidRDefault="00B4737D" w:rsidP="00D438C9">
      <w:pPr>
        <w:ind w:left="851"/>
        <w:rPr>
          <w:sz w:val="24"/>
          <w:szCs w:val="24"/>
          <w:lang w:val="en-US"/>
        </w:rPr>
      </w:pPr>
    </w:p>
    <w:p w14:paraId="2018EDA0" w14:textId="77777777" w:rsidR="00B4737D" w:rsidRPr="001C1AA7" w:rsidRDefault="00B4737D" w:rsidP="00D438C9">
      <w:pPr>
        <w:ind w:left="851"/>
        <w:rPr>
          <w:sz w:val="24"/>
          <w:szCs w:val="24"/>
          <w:lang w:val="en-US"/>
        </w:rPr>
      </w:pPr>
      <w:r w:rsidRPr="001C1AA7">
        <w:rPr>
          <w:i/>
          <w:iCs/>
          <w:sz w:val="24"/>
          <w:szCs w:val="24"/>
          <w:lang w:val="en-US"/>
        </w:rPr>
        <w:t xml:space="preserve">Atenolol </w:t>
      </w:r>
    </w:p>
    <w:p w14:paraId="7760D9C8" w14:textId="77777777" w:rsidR="00B4737D" w:rsidRPr="001C1AA7" w:rsidRDefault="00B4737D" w:rsidP="00D438C9">
      <w:pPr>
        <w:ind w:left="851"/>
        <w:rPr>
          <w:sz w:val="24"/>
          <w:szCs w:val="24"/>
          <w:lang w:val="en-US"/>
        </w:rPr>
      </w:pPr>
      <w:r w:rsidRPr="001C1AA7">
        <w:rPr>
          <w:sz w:val="24"/>
          <w:szCs w:val="24"/>
          <w:lang w:val="en-US"/>
        </w:rPr>
        <w:t xml:space="preserve">Coadministration of a single dose of apixaban (10 mg) and atenolol (100 mg), a common beta-blocker, did not alter the pharmacokinetics of atenolol. </w:t>
      </w:r>
    </w:p>
    <w:p w14:paraId="598FB282" w14:textId="77777777" w:rsidR="00B4737D" w:rsidRPr="001C1AA7" w:rsidRDefault="00B4737D" w:rsidP="00D438C9">
      <w:pPr>
        <w:ind w:left="851"/>
        <w:rPr>
          <w:sz w:val="24"/>
          <w:szCs w:val="24"/>
          <w:lang w:val="en-US"/>
        </w:rPr>
      </w:pPr>
    </w:p>
    <w:p w14:paraId="78C011F2" w14:textId="77777777" w:rsidR="00B4737D" w:rsidRPr="00DC45BC" w:rsidRDefault="00B4737D" w:rsidP="00D438C9">
      <w:pPr>
        <w:ind w:left="851"/>
        <w:rPr>
          <w:sz w:val="24"/>
          <w:szCs w:val="24"/>
          <w:u w:val="single"/>
          <w:lang w:val="en-US"/>
        </w:rPr>
      </w:pPr>
      <w:r w:rsidRPr="00DC45BC">
        <w:rPr>
          <w:sz w:val="24"/>
          <w:szCs w:val="24"/>
          <w:u w:val="single"/>
          <w:lang w:val="en-US"/>
        </w:rPr>
        <w:t xml:space="preserve">Activated charcoal </w:t>
      </w:r>
    </w:p>
    <w:p w14:paraId="7B7D6041" w14:textId="77777777" w:rsidR="00B4737D" w:rsidRPr="001C1AA7" w:rsidRDefault="00B4737D" w:rsidP="00D438C9">
      <w:pPr>
        <w:ind w:left="851"/>
        <w:rPr>
          <w:sz w:val="24"/>
          <w:szCs w:val="24"/>
          <w:lang w:val="en-US"/>
        </w:rPr>
      </w:pPr>
      <w:r w:rsidRPr="001C1AA7">
        <w:rPr>
          <w:sz w:val="24"/>
          <w:szCs w:val="24"/>
          <w:lang w:val="en-US"/>
        </w:rPr>
        <w:t>Administration of activated charcoal reduces apixaban exposure (see section 4.9).</w:t>
      </w:r>
    </w:p>
    <w:p w14:paraId="13E29AD2" w14:textId="7A867AD9" w:rsidR="008F2ECE" w:rsidRDefault="008F2ECE">
      <w:pPr>
        <w:rPr>
          <w:sz w:val="24"/>
          <w:szCs w:val="24"/>
          <w:lang w:val="en-GB"/>
        </w:rPr>
      </w:pPr>
      <w:r>
        <w:rPr>
          <w:sz w:val="24"/>
          <w:szCs w:val="24"/>
          <w:lang w:val="en-GB"/>
        </w:rPr>
        <w:br w:type="page"/>
      </w:r>
    </w:p>
    <w:p w14:paraId="1423BF5C" w14:textId="77777777" w:rsidR="00B4737D" w:rsidRPr="001C1AA7" w:rsidRDefault="00B4737D" w:rsidP="00D438C9">
      <w:pPr>
        <w:ind w:left="851"/>
        <w:rPr>
          <w:sz w:val="24"/>
          <w:szCs w:val="24"/>
          <w:lang w:val="en-GB"/>
        </w:rPr>
      </w:pPr>
    </w:p>
    <w:p w14:paraId="775A31D8" w14:textId="77777777" w:rsidR="00B4737D" w:rsidRPr="00DC45BC" w:rsidRDefault="00B4737D" w:rsidP="00D438C9">
      <w:pPr>
        <w:ind w:left="851"/>
        <w:rPr>
          <w:sz w:val="24"/>
          <w:szCs w:val="24"/>
          <w:u w:val="single"/>
          <w:lang w:val="en-GB"/>
        </w:rPr>
      </w:pPr>
      <w:r w:rsidRPr="00DC45BC">
        <w:rPr>
          <w:sz w:val="24"/>
          <w:szCs w:val="24"/>
          <w:u w:val="single"/>
          <w:lang w:val="en-GB"/>
        </w:rPr>
        <w:t>Paediatric population</w:t>
      </w:r>
    </w:p>
    <w:p w14:paraId="3EA6A683" w14:textId="6D79C42F" w:rsidR="00B4737D" w:rsidRPr="001C1AA7" w:rsidRDefault="00B4737D" w:rsidP="00D438C9">
      <w:pPr>
        <w:ind w:left="851"/>
        <w:rPr>
          <w:sz w:val="24"/>
          <w:szCs w:val="24"/>
          <w:lang w:val="en-GB"/>
        </w:rPr>
      </w:pPr>
      <w:r w:rsidRPr="001C1AA7">
        <w:rPr>
          <w:sz w:val="24"/>
          <w:szCs w:val="24"/>
          <w:lang w:val="en-GB"/>
        </w:rPr>
        <w:t xml:space="preserve">Interaction studies have not been performed in paediatrics. The </w:t>
      </w:r>
      <w:proofErr w:type="gramStart"/>
      <w:r w:rsidRPr="001C1AA7">
        <w:rPr>
          <w:sz w:val="24"/>
          <w:szCs w:val="24"/>
          <w:lang w:val="en-GB"/>
        </w:rPr>
        <w:t>above mentioned</w:t>
      </w:r>
      <w:proofErr w:type="gramEnd"/>
      <w:r w:rsidRPr="001C1AA7">
        <w:rPr>
          <w:sz w:val="24"/>
          <w:szCs w:val="24"/>
          <w:lang w:val="en-GB"/>
        </w:rPr>
        <w:t xml:space="preserve"> interaction data was</w:t>
      </w:r>
      <w:r w:rsidR="00DC45BC">
        <w:rPr>
          <w:sz w:val="24"/>
          <w:szCs w:val="24"/>
          <w:lang w:val="en-GB"/>
        </w:rPr>
        <w:t xml:space="preserve"> </w:t>
      </w:r>
      <w:r w:rsidRPr="001C1AA7">
        <w:rPr>
          <w:sz w:val="24"/>
          <w:szCs w:val="24"/>
          <w:lang w:val="en-GB"/>
        </w:rPr>
        <w:t>obtained in adults and the warnings in section 4.4 should be taken into account for the paediatric</w:t>
      </w:r>
      <w:r w:rsidR="00DC45BC">
        <w:rPr>
          <w:sz w:val="24"/>
          <w:szCs w:val="24"/>
          <w:lang w:val="en-GB"/>
        </w:rPr>
        <w:t xml:space="preserve"> </w:t>
      </w:r>
      <w:r w:rsidRPr="001C1AA7">
        <w:rPr>
          <w:sz w:val="24"/>
          <w:szCs w:val="24"/>
          <w:lang w:val="en-GB"/>
        </w:rPr>
        <w:t>population.</w:t>
      </w:r>
    </w:p>
    <w:p w14:paraId="1A4EC263" w14:textId="77777777" w:rsidR="00B4737D" w:rsidRPr="001C1AA7" w:rsidRDefault="00B4737D" w:rsidP="00D438C9">
      <w:pPr>
        <w:ind w:left="851"/>
        <w:rPr>
          <w:sz w:val="24"/>
          <w:szCs w:val="24"/>
          <w:lang w:val="en-GB"/>
        </w:rPr>
      </w:pPr>
    </w:p>
    <w:p w14:paraId="54D97402"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4.6</w:t>
      </w:r>
      <w:r w:rsidRPr="001C1AA7">
        <w:rPr>
          <w:b/>
          <w:sz w:val="24"/>
          <w:szCs w:val="24"/>
          <w:lang w:val="en-GB"/>
        </w:rPr>
        <w:tab/>
      </w:r>
      <w:r w:rsidR="004860D3" w:rsidRPr="001C1AA7">
        <w:rPr>
          <w:b/>
          <w:sz w:val="24"/>
          <w:szCs w:val="24"/>
          <w:lang w:val="en-GB"/>
        </w:rPr>
        <w:t>Fertility, p</w:t>
      </w:r>
      <w:r w:rsidRPr="001C1AA7">
        <w:rPr>
          <w:b/>
          <w:sz w:val="24"/>
          <w:szCs w:val="24"/>
          <w:lang w:val="en-GB"/>
        </w:rPr>
        <w:t>regnancy and lactation</w:t>
      </w:r>
    </w:p>
    <w:p w14:paraId="009B409E" w14:textId="77777777" w:rsidR="00DC45BC" w:rsidRDefault="00DC45BC" w:rsidP="00D438C9">
      <w:pPr>
        <w:ind w:left="851"/>
        <w:rPr>
          <w:sz w:val="24"/>
          <w:szCs w:val="24"/>
          <w:u w:val="single"/>
          <w:lang w:val="en-GB"/>
        </w:rPr>
      </w:pPr>
    </w:p>
    <w:p w14:paraId="4008D119" w14:textId="73683A8E" w:rsidR="00B4737D" w:rsidRPr="00B4737D" w:rsidRDefault="00B4737D" w:rsidP="00D438C9">
      <w:pPr>
        <w:ind w:left="851"/>
        <w:rPr>
          <w:sz w:val="24"/>
          <w:szCs w:val="24"/>
          <w:u w:val="single"/>
          <w:lang w:val="en-GB"/>
        </w:rPr>
      </w:pPr>
      <w:r w:rsidRPr="00B4737D">
        <w:rPr>
          <w:sz w:val="24"/>
          <w:szCs w:val="24"/>
          <w:u w:val="single"/>
          <w:lang w:val="en-GB"/>
        </w:rPr>
        <w:t>Pregnancy</w:t>
      </w:r>
    </w:p>
    <w:p w14:paraId="2D4A8EEA" w14:textId="77777777" w:rsidR="00B4737D" w:rsidRPr="00B4737D" w:rsidRDefault="00B4737D" w:rsidP="00D438C9">
      <w:pPr>
        <w:ind w:left="851"/>
        <w:rPr>
          <w:sz w:val="24"/>
          <w:szCs w:val="24"/>
          <w:lang w:val="en-GB"/>
        </w:rPr>
      </w:pPr>
      <w:r w:rsidRPr="00B4737D">
        <w:rPr>
          <w:sz w:val="24"/>
          <w:szCs w:val="24"/>
          <w:lang w:val="en-GB"/>
        </w:rPr>
        <w:t>There are no data from the use of apixaban in pregnant women. Animal studies do not indicate direct or indirect harmful effects with respect to reproductive toxicity (see section 5.3). As a precautionary measure, it is preferable to avoid the use of apixaban during pregnancy.</w:t>
      </w:r>
    </w:p>
    <w:p w14:paraId="205970E4" w14:textId="77777777" w:rsidR="00B4737D" w:rsidRPr="00B4737D" w:rsidRDefault="00B4737D" w:rsidP="00D438C9">
      <w:pPr>
        <w:ind w:left="851"/>
        <w:rPr>
          <w:sz w:val="24"/>
          <w:szCs w:val="24"/>
          <w:u w:val="single"/>
          <w:lang w:val="en-GB"/>
        </w:rPr>
      </w:pPr>
    </w:p>
    <w:p w14:paraId="224C920D" w14:textId="77777777" w:rsidR="00B4737D" w:rsidRPr="00B4737D" w:rsidRDefault="00B4737D" w:rsidP="00D438C9">
      <w:pPr>
        <w:ind w:left="851"/>
        <w:rPr>
          <w:sz w:val="24"/>
          <w:szCs w:val="24"/>
          <w:u w:val="single"/>
          <w:lang w:val="en-GB"/>
        </w:rPr>
      </w:pPr>
      <w:r w:rsidRPr="00B4737D">
        <w:rPr>
          <w:sz w:val="24"/>
          <w:szCs w:val="24"/>
          <w:u w:val="single"/>
          <w:lang w:val="en-GB"/>
        </w:rPr>
        <w:t>Breastfeeding</w:t>
      </w:r>
    </w:p>
    <w:p w14:paraId="6E8BD18A" w14:textId="77777777" w:rsidR="00B4737D" w:rsidRPr="00B4737D" w:rsidRDefault="00B4737D" w:rsidP="00D438C9">
      <w:pPr>
        <w:ind w:left="851"/>
        <w:rPr>
          <w:sz w:val="24"/>
          <w:szCs w:val="24"/>
          <w:lang w:val="en-US"/>
        </w:rPr>
      </w:pPr>
      <w:r w:rsidRPr="00B4737D">
        <w:rPr>
          <w:sz w:val="24"/>
          <w:szCs w:val="24"/>
          <w:lang w:val="en-US"/>
        </w:rPr>
        <w:t xml:space="preserve">It is unknown whether apixaban or its metabolites are excreted in human milk. Available data in animals have shown excretion of apixaban in milk (see section 5.3). A risk to the suckling child cannot be excluded. </w:t>
      </w:r>
    </w:p>
    <w:p w14:paraId="04F28CA7" w14:textId="77777777" w:rsidR="00B4737D" w:rsidRPr="00B4737D" w:rsidRDefault="00B4737D" w:rsidP="00D438C9">
      <w:pPr>
        <w:ind w:left="851"/>
        <w:rPr>
          <w:sz w:val="24"/>
          <w:szCs w:val="24"/>
          <w:lang w:val="en-US"/>
        </w:rPr>
      </w:pPr>
    </w:p>
    <w:p w14:paraId="680A9D56" w14:textId="77777777" w:rsidR="00B4737D" w:rsidRPr="00B4737D" w:rsidRDefault="00B4737D" w:rsidP="00D438C9">
      <w:pPr>
        <w:ind w:left="851"/>
        <w:rPr>
          <w:sz w:val="24"/>
          <w:szCs w:val="24"/>
          <w:lang w:val="en-US"/>
        </w:rPr>
      </w:pPr>
      <w:r w:rsidRPr="00B4737D">
        <w:rPr>
          <w:sz w:val="24"/>
          <w:szCs w:val="24"/>
          <w:lang w:val="en-US"/>
        </w:rPr>
        <w:t xml:space="preserve">A decision must be made whether to discontinue breast-feeding or to discontinue/abstain from apixaban therapy </w:t>
      </w:r>
      <w:proofErr w:type="gramStart"/>
      <w:r w:rsidRPr="00B4737D">
        <w:rPr>
          <w:sz w:val="24"/>
          <w:szCs w:val="24"/>
          <w:lang w:val="en-US"/>
        </w:rPr>
        <w:t>taking into account</w:t>
      </w:r>
      <w:proofErr w:type="gramEnd"/>
      <w:r w:rsidRPr="00B4737D">
        <w:rPr>
          <w:sz w:val="24"/>
          <w:szCs w:val="24"/>
          <w:lang w:val="en-US"/>
        </w:rPr>
        <w:t xml:space="preserve"> the benefit of breast-feeding for the child and the benefit of therapy for the woman.</w:t>
      </w:r>
    </w:p>
    <w:p w14:paraId="7A42CEB2" w14:textId="77777777" w:rsidR="00B4737D" w:rsidRPr="00B4737D" w:rsidRDefault="00B4737D" w:rsidP="00D438C9">
      <w:pPr>
        <w:ind w:left="851"/>
        <w:rPr>
          <w:sz w:val="24"/>
          <w:szCs w:val="24"/>
          <w:u w:val="single"/>
          <w:lang w:val="en-GB"/>
        </w:rPr>
      </w:pPr>
    </w:p>
    <w:p w14:paraId="7000766D" w14:textId="77777777" w:rsidR="00B4737D" w:rsidRPr="00B4737D" w:rsidRDefault="00B4737D" w:rsidP="00D438C9">
      <w:pPr>
        <w:ind w:left="851"/>
        <w:rPr>
          <w:sz w:val="24"/>
          <w:szCs w:val="24"/>
          <w:u w:val="single"/>
          <w:lang w:val="en-GB"/>
        </w:rPr>
      </w:pPr>
      <w:r w:rsidRPr="00B4737D">
        <w:rPr>
          <w:sz w:val="24"/>
          <w:szCs w:val="24"/>
          <w:u w:val="single"/>
          <w:lang w:val="en-GB"/>
        </w:rPr>
        <w:t>Fertility</w:t>
      </w:r>
    </w:p>
    <w:p w14:paraId="5CCC25DD" w14:textId="77777777" w:rsidR="00B4737D" w:rsidRPr="00B4737D" w:rsidRDefault="00B4737D" w:rsidP="00D438C9">
      <w:pPr>
        <w:ind w:left="851"/>
        <w:rPr>
          <w:sz w:val="24"/>
          <w:szCs w:val="24"/>
          <w:u w:val="single"/>
          <w:lang w:val="en-GB"/>
        </w:rPr>
      </w:pPr>
      <w:r w:rsidRPr="00B4737D">
        <w:rPr>
          <w:sz w:val="24"/>
          <w:szCs w:val="24"/>
          <w:lang w:val="en-GB"/>
        </w:rPr>
        <w:t>Studies in animals dosed with apixaban have shown no effect on fertility (see section 5.3).</w:t>
      </w:r>
    </w:p>
    <w:p w14:paraId="17174806" w14:textId="77777777" w:rsidR="007C5D2A" w:rsidRPr="001C1AA7" w:rsidRDefault="007C5D2A" w:rsidP="003E0341">
      <w:pPr>
        <w:tabs>
          <w:tab w:val="left" w:pos="851"/>
        </w:tabs>
        <w:ind w:left="851"/>
        <w:rPr>
          <w:sz w:val="24"/>
          <w:szCs w:val="24"/>
          <w:lang w:val="en-GB"/>
        </w:rPr>
      </w:pPr>
    </w:p>
    <w:p w14:paraId="7332C4CD"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4.7</w:t>
      </w:r>
      <w:r w:rsidRPr="001C1AA7">
        <w:rPr>
          <w:b/>
          <w:sz w:val="24"/>
          <w:szCs w:val="24"/>
          <w:lang w:val="en-GB"/>
        </w:rPr>
        <w:tab/>
        <w:t>Effects on ability to drive and use machines</w:t>
      </w:r>
    </w:p>
    <w:p w14:paraId="0132A098" w14:textId="77777777" w:rsidR="00DC45BC" w:rsidRDefault="00DC45BC" w:rsidP="00D438C9">
      <w:pPr>
        <w:ind w:left="851"/>
        <w:rPr>
          <w:sz w:val="24"/>
          <w:szCs w:val="24"/>
          <w:lang w:val="en-GB"/>
        </w:rPr>
      </w:pPr>
      <w:r>
        <w:rPr>
          <w:sz w:val="24"/>
          <w:szCs w:val="24"/>
          <w:lang w:val="en-GB"/>
        </w:rPr>
        <w:t>No traffic warning.</w:t>
      </w:r>
    </w:p>
    <w:p w14:paraId="07D1248C" w14:textId="4D9250CD" w:rsidR="00B4737D" w:rsidRPr="00B4737D" w:rsidRDefault="001C1AA7" w:rsidP="00D438C9">
      <w:pPr>
        <w:ind w:left="851"/>
        <w:rPr>
          <w:sz w:val="24"/>
          <w:szCs w:val="24"/>
          <w:lang w:val="en-GB"/>
        </w:rPr>
      </w:pPr>
      <w:proofErr w:type="spellStart"/>
      <w:r>
        <w:rPr>
          <w:sz w:val="24"/>
          <w:szCs w:val="24"/>
          <w:lang w:val="en-GB"/>
        </w:rPr>
        <w:t>Apixlets</w:t>
      </w:r>
      <w:proofErr w:type="spellEnd"/>
      <w:r w:rsidR="00B4737D" w:rsidRPr="00B4737D">
        <w:rPr>
          <w:sz w:val="24"/>
          <w:szCs w:val="24"/>
          <w:lang w:val="en-GB"/>
        </w:rPr>
        <w:t xml:space="preserve"> has no or negligible influence on the ability to drive and use machines.</w:t>
      </w:r>
    </w:p>
    <w:p w14:paraId="1D8D0131" w14:textId="77777777" w:rsidR="007C5D2A" w:rsidRPr="001C1AA7" w:rsidRDefault="007C5D2A" w:rsidP="003E0341">
      <w:pPr>
        <w:tabs>
          <w:tab w:val="left" w:pos="851"/>
        </w:tabs>
        <w:ind w:left="851"/>
        <w:rPr>
          <w:sz w:val="24"/>
          <w:szCs w:val="24"/>
          <w:lang w:val="en-GB"/>
        </w:rPr>
      </w:pPr>
    </w:p>
    <w:p w14:paraId="45736C79"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4.8</w:t>
      </w:r>
      <w:r w:rsidRPr="001C1AA7">
        <w:rPr>
          <w:b/>
          <w:sz w:val="24"/>
          <w:szCs w:val="24"/>
          <w:lang w:val="en-GB"/>
        </w:rPr>
        <w:tab/>
        <w:t>Undesirable effects</w:t>
      </w:r>
    </w:p>
    <w:p w14:paraId="3E35CDFA" w14:textId="77777777" w:rsidR="00B4737D" w:rsidRPr="00B4737D" w:rsidRDefault="00B4737D" w:rsidP="00B4737D">
      <w:pPr>
        <w:tabs>
          <w:tab w:val="left" w:pos="851"/>
        </w:tabs>
        <w:ind w:left="851"/>
        <w:rPr>
          <w:sz w:val="24"/>
          <w:szCs w:val="24"/>
          <w:lang w:val="en-GB"/>
        </w:rPr>
      </w:pPr>
    </w:p>
    <w:p w14:paraId="312BD1E7" w14:textId="77777777" w:rsidR="00B4737D" w:rsidRPr="00B4737D" w:rsidRDefault="00B4737D" w:rsidP="00B4737D">
      <w:pPr>
        <w:tabs>
          <w:tab w:val="left" w:pos="851"/>
        </w:tabs>
        <w:ind w:left="851"/>
        <w:rPr>
          <w:sz w:val="24"/>
          <w:szCs w:val="24"/>
          <w:u w:val="single"/>
          <w:lang w:val="fr-BE"/>
        </w:rPr>
      </w:pPr>
      <w:proofErr w:type="spellStart"/>
      <w:r w:rsidRPr="00B4737D">
        <w:rPr>
          <w:sz w:val="24"/>
          <w:szCs w:val="24"/>
          <w:u w:val="single"/>
          <w:lang w:val="fr-BE"/>
        </w:rPr>
        <w:t>Summary</w:t>
      </w:r>
      <w:proofErr w:type="spellEnd"/>
      <w:r w:rsidRPr="00B4737D">
        <w:rPr>
          <w:sz w:val="24"/>
          <w:szCs w:val="24"/>
          <w:u w:val="single"/>
          <w:lang w:val="fr-BE"/>
        </w:rPr>
        <w:t xml:space="preserve"> of the </w:t>
      </w:r>
      <w:proofErr w:type="spellStart"/>
      <w:r w:rsidRPr="00B4737D">
        <w:rPr>
          <w:sz w:val="24"/>
          <w:szCs w:val="24"/>
          <w:u w:val="single"/>
          <w:lang w:val="fr-BE"/>
        </w:rPr>
        <w:t>safety</w:t>
      </w:r>
      <w:proofErr w:type="spellEnd"/>
      <w:r w:rsidRPr="00B4737D">
        <w:rPr>
          <w:sz w:val="24"/>
          <w:szCs w:val="24"/>
          <w:u w:val="single"/>
          <w:lang w:val="fr-BE"/>
        </w:rPr>
        <w:t xml:space="preserve"> profile </w:t>
      </w:r>
    </w:p>
    <w:p w14:paraId="76BEF379" w14:textId="28A6CB0C" w:rsidR="00B4737D" w:rsidRPr="00B4737D" w:rsidRDefault="00B4737D" w:rsidP="00D438C9">
      <w:pPr>
        <w:ind w:left="851"/>
        <w:rPr>
          <w:sz w:val="24"/>
          <w:szCs w:val="24"/>
          <w:lang w:val="en-US"/>
        </w:rPr>
      </w:pPr>
      <w:r w:rsidRPr="00B4737D">
        <w:rPr>
          <w:sz w:val="24"/>
          <w:szCs w:val="24"/>
          <w:lang w:val="en-US"/>
        </w:rPr>
        <w:t xml:space="preserve">In adults, the safety of apixaban has been investigated in 7 Phase III clinical studies including more than 21,000 patients: more than 5,000 patients in </w:t>
      </w:r>
      <w:proofErr w:type="spellStart"/>
      <w:r w:rsidRPr="00B4737D">
        <w:rPr>
          <w:sz w:val="24"/>
          <w:szCs w:val="24"/>
          <w:lang w:val="en-US"/>
        </w:rPr>
        <w:t>VTEp</w:t>
      </w:r>
      <w:proofErr w:type="spellEnd"/>
      <w:r w:rsidRPr="00B4737D">
        <w:rPr>
          <w:sz w:val="24"/>
          <w:szCs w:val="24"/>
          <w:lang w:val="en-US"/>
        </w:rPr>
        <w:t xml:space="preserve"> studies, and more than 11,000 patients in</w:t>
      </w:r>
      <w:r w:rsidR="00BD07DC">
        <w:rPr>
          <w:sz w:val="24"/>
          <w:szCs w:val="24"/>
          <w:lang w:val="en-US"/>
        </w:rPr>
        <w:t xml:space="preserve"> </w:t>
      </w:r>
      <w:r w:rsidRPr="00B4737D">
        <w:rPr>
          <w:sz w:val="24"/>
          <w:szCs w:val="24"/>
          <w:lang w:val="en-US"/>
        </w:rPr>
        <w:t>NVAF studies and more than 4,000 patients in the VTE treatment (</w:t>
      </w:r>
      <w:proofErr w:type="spellStart"/>
      <w:r w:rsidRPr="00B4737D">
        <w:rPr>
          <w:sz w:val="24"/>
          <w:szCs w:val="24"/>
          <w:lang w:val="en-US"/>
        </w:rPr>
        <w:t>VTEt</w:t>
      </w:r>
      <w:proofErr w:type="spellEnd"/>
      <w:r w:rsidRPr="00B4737D">
        <w:rPr>
          <w:sz w:val="24"/>
          <w:szCs w:val="24"/>
          <w:lang w:val="en-US"/>
        </w:rPr>
        <w:t>) studies, for an average total</w:t>
      </w:r>
      <w:r w:rsidR="00BD07DC">
        <w:rPr>
          <w:sz w:val="24"/>
          <w:szCs w:val="24"/>
          <w:lang w:val="en-US"/>
        </w:rPr>
        <w:t xml:space="preserve"> </w:t>
      </w:r>
      <w:r w:rsidRPr="00B4737D">
        <w:rPr>
          <w:sz w:val="24"/>
          <w:szCs w:val="24"/>
          <w:lang w:val="en-US"/>
        </w:rPr>
        <w:t>exposure of 20 days, 1.7 years and 221 days respectively (see section 5.1).</w:t>
      </w:r>
    </w:p>
    <w:p w14:paraId="168F6A5C" w14:textId="77777777" w:rsidR="00B4737D" w:rsidRPr="00B4737D" w:rsidRDefault="00B4737D" w:rsidP="00D438C9">
      <w:pPr>
        <w:ind w:left="851"/>
        <w:rPr>
          <w:sz w:val="24"/>
          <w:szCs w:val="24"/>
          <w:lang w:val="en-US"/>
        </w:rPr>
      </w:pPr>
    </w:p>
    <w:p w14:paraId="16F01993" w14:textId="77777777" w:rsidR="00B4737D" w:rsidRPr="00B4737D" w:rsidRDefault="00B4737D" w:rsidP="00D438C9">
      <w:pPr>
        <w:ind w:left="851"/>
        <w:rPr>
          <w:sz w:val="24"/>
          <w:szCs w:val="24"/>
          <w:lang w:val="en-US"/>
        </w:rPr>
      </w:pPr>
      <w:r w:rsidRPr="00B4737D">
        <w:rPr>
          <w:sz w:val="24"/>
          <w:szCs w:val="24"/>
          <w:lang w:val="en-US"/>
        </w:rPr>
        <w:t xml:space="preserve">Common adverse reactions were </w:t>
      </w:r>
      <w:proofErr w:type="spellStart"/>
      <w:r w:rsidRPr="00B4737D">
        <w:rPr>
          <w:sz w:val="24"/>
          <w:szCs w:val="24"/>
          <w:lang w:val="en-US"/>
        </w:rPr>
        <w:t>haemorrhage</w:t>
      </w:r>
      <w:proofErr w:type="spellEnd"/>
      <w:r w:rsidRPr="00B4737D">
        <w:rPr>
          <w:sz w:val="24"/>
          <w:szCs w:val="24"/>
          <w:lang w:val="en-US"/>
        </w:rPr>
        <w:t xml:space="preserve">, contusion, epistaxis, and </w:t>
      </w:r>
      <w:proofErr w:type="spellStart"/>
      <w:r w:rsidRPr="00B4737D">
        <w:rPr>
          <w:sz w:val="24"/>
          <w:szCs w:val="24"/>
          <w:lang w:val="en-US"/>
        </w:rPr>
        <w:t>haematoma</w:t>
      </w:r>
      <w:proofErr w:type="spellEnd"/>
      <w:r w:rsidRPr="00B4737D">
        <w:rPr>
          <w:sz w:val="24"/>
          <w:szCs w:val="24"/>
          <w:lang w:val="en-US"/>
        </w:rPr>
        <w:t xml:space="preserve"> (see Table 3 for adverse reaction profile and frequencies by indication). </w:t>
      </w:r>
    </w:p>
    <w:p w14:paraId="1411E131" w14:textId="77777777" w:rsidR="00B4737D" w:rsidRPr="00B4737D" w:rsidRDefault="00B4737D" w:rsidP="00D438C9">
      <w:pPr>
        <w:ind w:left="851"/>
        <w:rPr>
          <w:sz w:val="24"/>
          <w:szCs w:val="24"/>
          <w:lang w:val="en-US"/>
        </w:rPr>
      </w:pPr>
    </w:p>
    <w:p w14:paraId="0CF8BE8A" w14:textId="77777777" w:rsidR="00B4737D" w:rsidRPr="00B4737D" w:rsidRDefault="00B4737D" w:rsidP="00D438C9">
      <w:pPr>
        <w:ind w:left="851"/>
        <w:rPr>
          <w:sz w:val="24"/>
          <w:szCs w:val="24"/>
          <w:lang w:val="en-US"/>
        </w:rPr>
      </w:pPr>
      <w:r w:rsidRPr="00B4737D">
        <w:rPr>
          <w:sz w:val="24"/>
          <w:szCs w:val="24"/>
          <w:lang w:val="en-US"/>
        </w:rPr>
        <w:t xml:space="preserve">In the NVAF studies, the overall incidence of adverse reactions related to bleeding with apixaban was 24.3% in the apixaban vs warfarin study and 9.6% in the apixaban vs acetylsalicylic acid study. In the apixaban vs warfarin study the incidence of ISTH major gastrointestinal bleeds (including upper GI, lower GI, and rectal bleeding) with apixaban was 0.76%/year. The incidence of ISTH major intraocular bleeding with apixaban was 0.18%/year. </w:t>
      </w:r>
    </w:p>
    <w:p w14:paraId="3DB26E47" w14:textId="77777777" w:rsidR="00B4737D" w:rsidRPr="00B4737D" w:rsidRDefault="00B4737D" w:rsidP="00D438C9">
      <w:pPr>
        <w:ind w:left="851"/>
        <w:rPr>
          <w:sz w:val="24"/>
          <w:szCs w:val="24"/>
          <w:lang w:val="en-US"/>
        </w:rPr>
      </w:pPr>
    </w:p>
    <w:p w14:paraId="013D71D6" w14:textId="77777777" w:rsidR="00B4737D" w:rsidRPr="00B4737D" w:rsidRDefault="00B4737D" w:rsidP="00D438C9">
      <w:pPr>
        <w:ind w:left="851"/>
        <w:rPr>
          <w:sz w:val="24"/>
          <w:szCs w:val="24"/>
          <w:lang w:val="en-US"/>
        </w:rPr>
      </w:pPr>
      <w:r w:rsidRPr="00B4737D">
        <w:rPr>
          <w:sz w:val="24"/>
          <w:szCs w:val="24"/>
          <w:lang w:val="en-US"/>
        </w:rPr>
        <w:lastRenderedPageBreak/>
        <w:t xml:space="preserve">In the </w:t>
      </w:r>
      <w:proofErr w:type="spellStart"/>
      <w:r w:rsidRPr="00B4737D">
        <w:rPr>
          <w:sz w:val="24"/>
          <w:szCs w:val="24"/>
          <w:lang w:val="en-US"/>
        </w:rPr>
        <w:t>VTEt</w:t>
      </w:r>
      <w:proofErr w:type="spellEnd"/>
      <w:r w:rsidRPr="00B4737D">
        <w:rPr>
          <w:sz w:val="24"/>
          <w:szCs w:val="24"/>
          <w:lang w:val="en-US"/>
        </w:rPr>
        <w:t xml:space="preserve"> studies, the overall incidence of adverse reactions related to bleeding with apixaban was 15.6% in the apixaban vs enoxaparin/warfarin study and 13.3% in the apixaban vs placebo study (see section 5.1).</w:t>
      </w:r>
    </w:p>
    <w:p w14:paraId="2D44E2A1" w14:textId="77777777" w:rsidR="00B4737D" w:rsidRPr="00B4737D" w:rsidRDefault="00B4737D" w:rsidP="00D438C9">
      <w:pPr>
        <w:ind w:left="851"/>
        <w:rPr>
          <w:sz w:val="24"/>
          <w:szCs w:val="24"/>
          <w:u w:val="single"/>
          <w:lang w:val="en-GB"/>
        </w:rPr>
      </w:pPr>
    </w:p>
    <w:p w14:paraId="46B703B2" w14:textId="77777777" w:rsidR="00B4737D" w:rsidRPr="00B4737D" w:rsidRDefault="00B4737D" w:rsidP="00D438C9">
      <w:pPr>
        <w:ind w:left="851"/>
        <w:rPr>
          <w:sz w:val="24"/>
          <w:szCs w:val="24"/>
          <w:u w:val="single"/>
          <w:lang w:val="en-US"/>
        </w:rPr>
      </w:pPr>
      <w:r w:rsidRPr="00B4737D">
        <w:rPr>
          <w:sz w:val="24"/>
          <w:szCs w:val="24"/>
          <w:u w:val="single"/>
          <w:lang w:val="en-US"/>
        </w:rPr>
        <w:t xml:space="preserve">Tabulated list of adverse reactions </w:t>
      </w:r>
    </w:p>
    <w:p w14:paraId="76159465" w14:textId="733CE83F" w:rsidR="00B4737D" w:rsidRPr="00B4737D" w:rsidRDefault="00B4737D" w:rsidP="00D438C9">
      <w:pPr>
        <w:ind w:left="851"/>
        <w:rPr>
          <w:sz w:val="24"/>
          <w:szCs w:val="24"/>
          <w:lang w:val="en-GB"/>
        </w:rPr>
      </w:pPr>
      <w:r w:rsidRPr="00B4737D">
        <w:rPr>
          <w:sz w:val="24"/>
          <w:szCs w:val="24"/>
          <w:lang w:val="en-US"/>
        </w:rPr>
        <w:t>Table 3 shows the adverse reactions ranked under headings of system organ class and frequency using the following convention: very common (≥ 1/10); common (≥ 1/100 to &lt;</w:t>
      </w:r>
      <w:r w:rsidR="00BD07DC">
        <w:rPr>
          <w:sz w:val="24"/>
          <w:szCs w:val="24"/>
          <w:lang w:val="en-US"/>
        </w:rPr>
        <w:t> </w:t>
      </w:r>
      <w:r w:rsidRPr="00B4737D">
        <w:rPr>
          <w:sz w:val="24"/>
          <w:szCs w:val="24"/>
          <w:lang w:val="en-US"/>
        </w:rPr>
        <w:t xml:space="preserve">1/10); uncommon (≥ 1/1,000 </w:t>
      </w:r>
      <w:r w:rsidRPr="00B4737D">
        <w:rPr>
          <w:sz w:val="24"/>
          <w:szCs w:val="24"/>
          <w:lang w:val="en-GB"/>
        </w:rPr>
        <w:t>to &lt; 1/100); rare (≥ 1/10,000 to &lt; 1/1,000); very rare (&lt;</w:t>
      </w:r>
      <w:r w:rsidR="00BD07DC">
        <w:rPr>
          <w:sz w:val="24"/>
          <w:szCs w:val="24"/>
          <w:lang w:val="en-GB"/>
        </w:rPr>
        <w:t> </w:t>
      </w:r>
      <w:r w:rsidRPr="00B4737D">
        <w:rPr>
          <w:sz w:val="24"/>
          <w:szCs w:val="24"/>
          <w:lang w:val="en-GB"/>
        </w:rPr>
        <w:t xml:space="preserve">1/10,000); not known (cannot be estimated from the available data) in adults for NVAF and </w:t>
      </w:r>
      <w:proofErr w:type="spellStart"/>
      <w:r w:rsidRPr="00B4737D">
        <w:rPr>
          <w:sz w:val="24"/>
          <w:szCs w:val="24"/>
          <w:lang w:val="en-GB"/>
        </w:rPr>
        <w:t>VTEp</w:t>
      </w:r>
      <w:proofErr w:type="spellEnd"/>
      <w:r w:rsidRPr="00B4737D">
        <w:rPr>
          <w:sz w:val="24"/>
          <w:szCs w:val="24"/>
          <w:lang w:val="en-GB"/>
        </w:rPr>
        <w:t xml:space="preserve"> or </w:t>
      </w:r>
      <w:proofErr w:type="spellStart"/>
      <w:r w:rsidRPr="00B4737D">
        <w:rPr>
          <w:sz w:val="24"/>
          <w:szCs w:val="24"/>
          <w:lang w:val="en-GB"/>
        </w:rPr>
        <w:t>VTEt</w:t>
      </w:r>
      <w:proofErr w:type="spellEnd"/>
      <w:r w:rsidRPr="00B4737D">
        <w:rPr>
          <w:sz w:val="24"/>
          <w:szCs w:val="24"/>
          <w:lang w:val="en-GB"/>
        </w:rPr>
        <w:t xml:space="preserve"> and in paediatric patients from 28 days to &lt; 18 years of age for </w:t>
      </w:r>
      <w:proofErr w:type="spellStart"/>
      <w:r w:rsidRPr="00B4737D">
        <w:rPr>
          <w:sz w:val="24"/>
          <w:szCs w:val="24"/>
          <w:lang w:val="en-GB"/>
        </w:rPr>
        <w:t>VTEt</w:t>
      </w:r>
      <w:proofErr w:type="spellEnd"/>
      <w:r w:rsidRPr="00B4737D">
        <w:rPr>
          <w:sz w:val="24"/>
          <w:szCs w:val="24"/>
          <w:lang w:val="en-GB"/>
        </w:rPr>
        <w:t xml:space="preserve"> and prevention of recurrent VTE.</w:t>
      </w:r>
    </w:p>
    <w:p w14:paraId="34EAEF36" w14:textId="77777777" w:rsidR="00B4737D" w:rsidRPr="00B4737D" w:rsidRDefault="00B4737D" w:rsidP="00D438C9">
      <w:pPr>
        <w:ind w:left="851"/>
        <w:rPr>
          <w:sz w:val="24"/>
          <w:szCs w:val="24"/>
          <w:lang w:val="en-GB"/>
        </w:rPr>
      </w:pPr>
    </w:p>
    <w:p w14:paraId="3889405D" w14:textId="6909552F" w:rsidR="00B4737D" w:rsidRPr="00B4737D" w:rsidRDefault="00B4737D" w:rsidP="00D438C9">
      <w:pPr>
        <w:ind w:left="851"/>
        <w:rPr>
          <w:sz w:val="24"/>
          <w:szCs w:val="24"/>
          <w:lang w:val="en-GB"/>
        </w:rPr>
      </w:pPr>
      <w:r w:rsidRPr="00B4737D">
        <w:rPr>
          <w:sz w:val="24"/>
          <w:szCs w:val="24"/>
          <w:lang w:val="en-GB"/>
        </w:rPr>
        <w:t>The frequencies of adverse reactions reported in Table 3 for paediatric patients are derived from</w:t>
      </w:r>
      <w:r w:rsidR="00BD07DC">
        <w:rPr>
          <w:sz w:val="24"/>
          <w:szCs w:val="24"/>
          <w:lang w:val="en-GB"/>
        </w:rPr>
        <w:t xml:space="preserve"> </w:t>
      </w:r>
      <w:r w:rsidRPr="00B4737D">
        <w:rPr>
          <w:sz w:val="24"/>
          <w:szCs w:val="24"/>
          <w:lang w:val="en-GB"/>
        </w:rPr>
        <w:t>study CV185325, in which they received apixaban for treatment of VTE and prevention of recurrent</w:t>
      </w:r>
      <w:r w:rsidR="00BD07DC">
        <w:rPr>
          <w:sz w:val="24"/>
          <w:szCs w:val="24"/>
          <w:lang w:val="en-GB"/>
        </w:rPr>
        <w:t xml:space="preserve"> </w:t>
      </w:r>
      <w:r w:rsidRPr="00B4737D">
        <w:rPr>
          <w:sz w:val="24"/>
          <w:szCs w:val="24"/>
          <w:lang w:val="en-GB"/>
        </w:rPr>
        <w:t>VTE.</w:t>
      </w:r>
    </w:p>
    <w:p w14:paraId="0476F506" w14:textId="77777777" w:rsidR="00B4737D" w:rsidRPr="00B4737D" w:rsidRDefault="00B4737D" w:rsidP="00B4737D">
      <w:pPr>
        <w:tabs>
          <w:tab w:val="left" w:pos="851"/>
        </w:tabs>
        <w:ind w:left="851"/>
        <w:rPr>
          <w:sz w:val="24"/>
          <w:szCs w:val="24"/>
          <w:u w:val="single"/>
          <w:lang w:val="en-US"/>
        </w:rPr>
      </w:pPr>
    </w:p>
    <w:p w14:paraId="62A2945C" w14:textId="77777777" w:rsidR="00B4737D" w:rsidRPr="00B4737D" w:rsidRDefault="00B4737D" w:rsidP="00B4737D">
      <w:pPr>
        <w:tabs>
          <w:tab w:val="left" w:pos="851"/>
        </w:tabs>
        <w:ind w:left="851"/>
        <w:rPr>
          <w:sz w:val="24"/>
          <w:szCs w:val="24"/>
          <w:u w:val="single"/>
          <w:lang w:val="en-US"/>
        </w:rPr>
      </w:pPr>
      <w:r w:rsidRPr="00B4737D">
        <w:rPr>
          <w:b/>
          <w:bCs/>
          <w:sz w:val="24"/>
          <w:szCs w:val="24"/>
          <w:lang w:val="en-GB"/>
        </w:rPr>
        <w:t>Table 3: Tabulated adverse reactions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782"/>
        <w:gridCol w:w="2220"/>
        <w:gridCol w:w="2218"/>
      </w:tblGrid>
      <w:tr w:rsidR="00B4737D" w:rsidRPr="00A23483" w14:paraId="28E776FC" w14:textId="77777777" w:rsidTr="00D438C9">
        <w:trPr>
          <w:trHeight w:val="1036"/>
        </w:trPr>
        <w:tc>
          <w:tcPr>
            <w:tcW w:w="1250" w:type="pct"/>
            <w:tcBorders>
              <w:top w:val="single" w:sz="4" w:space="0" w:color="auto"/>
              <w:left w:val="single" w:sz="4" w:space="0" w:color="auto"/>
              <w:bottom w:val="single" w:sz="4" w:space="0" w:color="auto"/>
              <w:right w:val="single" w:sz="4" w:space="0" w:color="auto"/>
            </w:tcBorders>
            <w:hideMark/>
          </w:tcPr>
          <w:p w14:paraId="12227B92" w14:textId="77777777" w:rsidR="00B4737D" w:rsidRPr="00B4737D" w:rsidRDefault="00B4737D" w:rsidP="00D438C9">
            <w:pPr>
              <w:rPr>
                <w:sz w:val="24"/>
                <w:szCs w:val="24"/>
                <w:lang w:val="fr-BE"/>
              </w:rPr>
            </w:pPr>
            <w:r w:rsidRPr="00B4737D">
              <w:rPr>
                <w:b/>
                <w:bCs/>
                <w:sz w:val="24"/>
                <w:szCs w:val="24"/>
                <w:lang w:val="fr-BE"/>
              </w:rPr>
              <w:t xml:space="preserve">System </w:t>
            </w:r>
            <w:proofErr w:type="spellStart"/>
            <w:r w:rsidRPr="00B4737D">
              <w:rPr>
                <w:b/>
                <w:bCs/>
                <w:sz w:val="24"/>
                <w:szCs w:val="24"/>
                <w:lang w:val="fr-BE"/>
              </w:rPr>
              <w:t>organ</w:t>
            </w:r>
            <w:proofErr w:type="spellEnd"/>
            <w:r w:rsidRPr="00B4737D">
              <w:rPr>
                <w:b/>
                <w:bCs/>
                <w:sz w:val="24"/>
                <w:szCs w:val="24"/>
                <w:lang w:val="fr-BE"/>
              </w:rPr>
              <w:t xml:space="preserve"> class</w:t>
            </w:r>
          </w:p>
        </w:tc>
        <w:tc>
          <w:tcPr>
            <w:tcW w:w="1445" w:type="pct"/>
            <w:tcBorders>
              <w:top w:val="single" w:sz="4" w:space="0" w:color="auto"/>
              <w:left w:val="single" w:sz="4" w:space="0" w:color="auto"/>
              <w:bottom w:val="single" w:sz="4" w:space="0" w:color="auto"/>
              <w:right w:val="single" w:sz="4" w:space="0" w:color="auto"/>
            </w:tcBorders>
            <w:hideMark/>
          </w:tcPr>
          <w:p w14:paraId="4FEB43F7" w14:textId="77777777" w:rsidR="00B4737D" w:rsidRPr="00B4737D" w:rsidRDefault="00B4737D" w:rsidP="00D438C9">
            <w:pPr>
              <w:rPr>
                <w:sz w:val="24"/>
                <w:szCs w:val="24"/>
                <w:lang w:val="en-US"/>
              </w:rPr>
            </w:pPr>
            <w:r w:rsidRPr="00B4737D">
              <w:rPr>
                <w:b/>
                <w:bCs/>
                <w:sz w:val="24"/>
                <w:szCs w:val="24"/>
                <w:lang w:val="en-US"/>
              </w:rPr>
              <w:t>Prevention of stroke and systemic embolism in adult patients with NVAF, with one or more risk factors (NVAF)</w:t>
            </w:r>
          </w:p>
        </w:tc>
        <w:tc>
          <w:tcPr>
            <w:tcW w:w="1153" w:type="pct"/>
            <w:tcBorders>
              <w:top w:val="single" w:sz="4" w:space="0" w:color="auto"/>
              <w:left w:val="single" w:sz="4" w:space="0" w:color="auto"/>
              <w:bottom w:val="single" w:sz="4" w:space="0" w:color="auto"/>
              <w:right w:val="single" w:sz="4" w:space="0" w:color="auto"/>
            </w:tcBorders>
            <w:hideMark/>
          </w:tcPr>
          <w:p w14:paraId="0F9B2FDA" w14:textId="77777777" w:rsidR="00B4737D" w:rsidRPr="00B4737D" w:rsidRDefault="00B4737D" w:rsidP="00D438C9">
            <w:pPr>
              <w:rPr>
                <w:sz w:val="24"/>
                <w:szCs w:val="24"/>
                <w:lang w:val="en-US"/>
              </w:rPr>
            </w:pPr>
            <w:r w:rsidRPr="00B4737D">
              <w:rPr>
                <w:b/>
                <w:bCs/>
                <w:sz w:val="24"/>
                <w:szCs w:val="24"/>
                <w:lang w:val="en-US"/>
              </w:rPr>
              <w:t>Treatment of DVT and PE, and prevention of recurrent DVT and PE (</w:t>
            </w:r>
            <w:proofErr w:type="spellStart"/>
            <w:r w:rsidRPr="00B4737D">
              <w:rPr>
                <w:b/>
                <w:bCs/>
                <w:sz w:val="24"/>
                <w:szCs w:val="24"/>
                <w:lang w:val="en-US"/>
              </w:rPr>
              <w:t>VTEt</w:t>
            </w:r>
            <w:proofErr w:type="spellEnd"/>
            <w:r w:rsidRPr="00B4737D">
              <w:rPr>
                <w:b/>
                <w:bCs/>
                <w:sz w:val="24"/>
                <w:szCs w:val="24"/>
                <w:lang w:val="en-US"/>
              </w:rPr>
              <w:t>) in adult patients</w:t>
            </w:r>
          </w:p>
        </w:tc>
        <w:tc>
          <w:tcPr>
            <w:tcW w:w="1152" w:type="pct"/>
            <w:tcBorders>
              <w:top w:val="single" w:sz="4" w:space="0" w:color="auto"/>
              <w:left w:val="single" w:sz="4" w:space="0" w:color="auto"/>
              <w:bottom w:val="single" w:sz="4" w:space="0" w:color="auto"/>
              <w:right w:val="single" w:sz="4" w:space="0" w:color="auto"/>
            </w:tcBorders>
            <w:hideMark/>
          </w:tcPr>
          <w:p w14:paraId="4F877EDC" w14:textId="77777777" w:rsidR="00B4737D" w:rsidRPr="00B4737D" w:rsidRDefault="00B4737D" w:rsidP="00D438C9">
            <w:pPr>
              <w:rPr>
                <w:b/>
                <w:bCs/>
                <w:sz w:val="24"/>
                <w:szCs w:val="24"/>
                <w:lang w:val="en-US"/>
              </w:rPr>
            </w:pPr>
            <w:r w:rsidRPr="00B4737D">
              <w:rPr>
                <w:b/>
                <w:bCs/>
                <w:sz w:val="24"/>
                <w:szCs w:val="24"/>
                <w:lang w:val="en-US"/>
              </w:rPr>
              <w:t>Treatment of VTE</w:t>
            </w:r>
          </w:p>
          <w:p w14:paraId="1C1A8E66" w14:textId="77777777" w:rsidR="00B4737D" w:rsidRPr="00B4737D" w:rsidRDefault="00B4737D" w:rsidP="00D438C9">
            <w:pPr>
              <w:rPr>
                <w:b/>
                <w:bCs/>
                <w:sz w:val="24"/>
                <w:szCs w:val="24"/>
                <w:lang w:val="en-US"/>
              </w:rPr>
            </w:pPr>
            <w:r w:rsidRPr="00B4737D">
              <w:rPr>
                <w:b/>
                <w:bCs/>
                <w:sz w:val="24"/>
                <w:szCs w:val="24"/>
                <w:lang w:val="en-US"/>
              </w:rPr>
              <w:t>and prevention of</w:t>
            </w:r>
          </w:p>
          <w:p w14:paraId="41D595AD" w14:textId="77777777" w:rsidR="00B4737D" w:rsidRPr="00B4737D" w:rsidRDefault="00B4737D" w:rsidP="00D438C9">
            <w:pPr>
              <w:rPr>
                <w:b/>
                <w:bCs/>
                <w:sz w:val="24"/>
                <w:szCs w:val="24"/>
                <w:lang w:val="en-US"/>
              </w:rPr>
            </w:pPr>
            <w:proofErr w:type="gramStart"/>
            <w:r w:rsidRPr="00B4737D">
              <w:rPr>
                <w:b/>
                <w:bCs/>
                <w:sz w:val="24"/>
                <w:szCs w:val="24"/>
                <w:lang w:val="en-US"/>
              </w:rPr>
              <w:t>recurrent</w:t>
            </w:r>
            <w:proofErr w:type="gramEnd"/>
            <w:r w:rsidRPr="00B4737D">
              <w:rPr>
                <w:b/>
                <w:bCs/>
                <w:sz w:val="24"/>
                <w:szCs w:val="24"/>
                <w:lang w:val="en-US"/>
              </w:rPr>
              <w:t xml:space="preserve"> VTE in</w:t>
            </w:r>
          </w:p>
          <w:p w14:paraId="39DBF7A6" w14:textId="77777777" w:rsidR="00B4737D" w:rsidRPr="00B4737D" w:rsidRDefault="00B4737D" w:rsidP="00D438C9">
            <w:pPr>
              <w:rPr>
                <w:b/>
                <w:bCs/>
                <w:sz w:val="24"/>
                <w:szCs w:val="24"/>
                <w:lang w:val="en-US"/>
              </w:rPr>
            </w:pPr>
            <w:r w:rsidRPr="00B4737D">
              <w:rPr>
                <w:b/>
                <w:bCs/>
                <w:sz w:val="24"/>
                <w:szCs w:val="24"/>
                <w:lang w:val="en-US"/>
              </w:rPr>
              <w:t>paediatric patients</w:t>
            </w:r>
          </w:p>
          <w:p w14:paraId="46B86110" w14:textId="77777777" w:rsidR="00B4737D" w:rsidRPr="00B4737D" w:rsidRDefault="00B4737D" w:rsidP="00D438C9">
            <w:pPr>
              <w:rPr>
                <w:b/>
                <w:bCs/>
                <w:sz w:val="24"/>
                <w:szCs w:val="24"/>
                <w:lang w:val="en-US"/>
              </w:rPr>
            </w:pPr>
            <w:r w:rsidRPr="00B4737D">
              <w:rPr>
                <w:b/>
                <w:bCs/>
                <w:sz w:val="24"/>
                <w:szCs w:val="24"/>
                <w:lang w:val="en-US"/>
              </w:rPr>
              <w:t>from 28 days to</w:t>
            </w:r>
          </w:p>
          <w:p w14:paraId="2A7080C6" w14:textId="77777777" w:rsidR="00B4737D" w:rsidRPr="00B4737D" w:rsidRDefault="00B4737D" w:rsidP="00D438C9">
            <w:pPr>
              <w:rPr>
                <w:b/>
                <w:bCs/>
                <w:sz w:val="24"/>
                <w:szCs w:val="24"/>
                <w:lang w:val="en-US"/>
              </w:rPr>
            </w:pPr>
            <w:r w:rsidRPr="00B4737D">
              <w:rPr>
                <w:b/>
                <w:bCs/>
                <w:sz w:val="24"/>
                <w:szCs w:val="24"/>
                <w:lang w:val="en-US"/>
              </w:rPr>
              <w:t>less than 18 years</w:t>
            </w:r>
          </w:p>
          <w:p w14:paraId="3908FD3A" w14:textId="77777777" w:rsidR="00B4737D" w:rsidRPr="00B4737D" w:rsidRDefault="00B4737D" w:rsidP="00D438C9">
            <w:pPr>
              <w:rPr>
                <w:b/>
                <w:bCs/>
                <w:sz w:val="24"/>
                <w:szCs w:val="24"/>
                <w:lang w:val="en-US"/>
              </w:rPr>
            </w:pPr>
            <w:r w:rsidRPr="00B4737D">
              <w:rPr>
                <w:b/>
                <w:bCs/>
                <w:sz w:val="24"/>
                <w:szCs w:val="24"/>
                <w:lang w:val="en-US"/>
              </w:rPr>
              <w:t>of age</w:t>
            </w:r>
          </w:p>
        </w:tc>
      </w:tr>
      <w:tr w:rsidR="00B4737D" w:rsidRPr="00A23483" w14:paraId="053F8956"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52CC5E03" w14:textId="77777777" w:rsidR="00B4737D" w:rsidRPr="00B4737D" w:rsidRDefault="00B4737D" w:rsidP="00D438C9">
            <w:pPr>
              <w:rPr>
                <w:i/>
                <w:iCs/>
                <w:sz w:val="24"/>
                <w:szCs w:val="24"/>
                <w:lang w:val="en-US"/>
              </w:rPr>
            </w:pPr>
            <w:r w:rsidRPr="00B4737D">
              <w:rPr>
                <w:i/>
                <w:iCs/>
                <w:sz w:val="24"/>
                <w:szCs w:val="24"/>
                <w:lang w:val="en-US"/>
              </w:rPr>
              <w:t xml:space="preserve">Blood and lymphatic system disorders </w:t>
            </w:r>
          </w:p>
        </w:tc>
      </w:tr>
      <w:tr w:rsidR="00B4737D" w:rsidRPr="00B4737D" w14:paraId="6CB7283C"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71845F76" w14:textId="77777777" w:rsidR="00B4737D" w:rsidRPr="00B4737D" w:rsidRDefault="00B4737D" w:rsidP="00D438C9">
            <w:pPr>
              <w:rPr>
                <w:sz w:val="24"/>
                <w:szCs w:val="24"/>
                <w:lang w:val="fr-BE"/>
              </w:rPr>
            </w:pPr>
            <w:proofErr w:type="spellStart"/>
            <w:r w:rsidRPr="00B4737D">
              <w:rPr>
                <w:sz w:val="24"/>
                <w:szCs w:val="24"/>
                <w:lang w:val="fr-BE"/>
              </w:rPr>
              <w:t>Anaemia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7E4F2D0C"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3E8016E0"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52FA7068"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646B5DA5"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498F7990" w14:textId="77777777" w:rsidR="00B4737D" w:rsidRPr="00B4737D" w:rsidRDefault="00B4737D" w:rsidP="00D438C9">
            <w:pPr>
              <w:rPr>
                <w:sz w:val="24"/>
                <w:szCs w:val="24"/>
                <w:lang w:val="fr-BE"/>
              </w:rPr>
            </w:pPr>
            <w:proofErr w:type="spellStart"/>
            <w:r w:rsidRPr="00B4737D">
              <w:rPr>
                <w:sz w:val="24"/>
                <w:szCs w:val="24"/>
                <w:lang w:val="fr-BE"/>
              </w:rPr>
              <w:t>Thrombocytopenia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20375538"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05CCF8E6"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237541D5"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0EA8C784"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05F477E9" w14:textId="77777777" w:rsidR="00B4737D" w:rsidRPr="00B4737D" w:rsidRDefault="00B4737D" w:rsidP="00D438C9">
            <w:pPr>
              <w:rPr>
                <w:i/>
                <w:iCs/>
                <w:sz w:val="24"/>
                <w:szCs w:val="24"/>
                <w:lang w:val="fr-BE"/>
              </w:rPr>
            </w:pPr>
            <w:r w:rsidRPr="00B4737D">
              <w:rPr>
                <w:i/>
                <w:iCs/>
                <w:sz w:val="24"/>
                <w:szCs w:val="24"/>
                <w:lang w:val="fr-BE"/>
              </w:rPr>
              <w:t xml:space="preserve">Immune system </w:t>
            </w:r>
            <w:proofErr w:type="spellStart"/>
            <w:r w:rsidRPr="00B4737D">
              <w:rPr>
                <w:i/>
                <w:iCs/>
                <w:sz w:val="24"/>
                <w:szCs w:val="24"/>
                <w:lang w:val="fr-BE"/>
              </w:rPr>
              <w:t>disorders</w:t>
            </w:r>
            <w:proofErr w:type="spellEnd"/>
            <w:r w:rsidRPr="00B4737D">
              <w:rPr>
                <w:i/>
                <w:iCs/>
                <w:sz w:val="24"/>
                <w:szCs w:val="24"/>
                <w:lang w:val="fr-BE"/>
              </w:rPr>
              <w:t xml:space="preserve"> </w:t>
            </w:r>
          </w:p>
        </w:tc>
      </w:tr>
      <w:tr w:rsidR="00B4737D" w:rsidRPr="00B4737D" w14:paraId="47DF2379" w14:textId="77777777" w:rsidTr="00D438C9">
        <w:trPr>
          <w:trHeight w:val="273"/>
        </w:trPr>
        <w:tc>
          <w:tcPr>
            <w:tcW w:w="1250" w:type="pct"/>
            <w:tcBorders>
              <w:top w:val="single" w:sz="4" w:space="0" w:color="auto"/>
              <w:left w:val="single" w:sz="4" w:space="0" w:color="auto"/>
              <w:bottom w:val="single" w:sz="4" w:space="0" w:color="auto"/>
              <w:right w:val="single" w:sz="4" w:space="0" w:color="auto"/>
            </w:tcBorders>
            <w:hideMark/>
          </w:tcPr>
          <w:p w14:paraId="7BFACA52" w14:textId="77777777" w:rsidR="00B4737D" w:rsidRPr="00B4737D" w:rsidRDefault="00B4737D" w:rsidP="00D438C9">
            <w:pPr>
              <w:rPr>
                <w:sz w:val="24"/>
                <w:szCs w:val="24"/>
                <w:lang w:val="en-US"/>
              </w:rPr>
            </w:pPr>
            <w:r w:rsidRPr="00B4737D">
              <w:rPr>
                <w:sz w:val="24"/>
                <w:szCs w:val="24"/>
                <w:lang w:val="en-US"/>
              </w:rPr>
              <w:t xml:space="preserve">Hypersensitivity, allergic oedema and Anaphylaxis </w:t>
            </w:r>
          </w:p>
        </w:tc>
        <w:tc>
          <w:tcPr>
            <w:tcW w:w="1445" w:type="pct"/>
            <w:tcBorders>
              <w:top w:val="single" w:sz="4" w:space="0" w:color="auto"/>
              <w:left w:val="single" w:sz="4" w:space="0" w:color="auto"/>
              <w:bottom w:val="single" w:sz="4" w:space="0" w:color="auto"/>
              <w:right w:val="single" w:sz="4" w:space="0" w:color="auto"/>
            </w:tcBorders>
            <w:hideMark/>
          </w:tcPr>
          <w:p w14:paraId="5F30B4E8"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6A9911B4"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0D49160A" w14:textId="77777777" w:rsidR="00B4737D" w:rsidRPr="00B4737D" w:rsidRDefault="00B4737D" w:rsidP="00D438C9">
            <w:pPr>
              <w:rPr>
                <w:sz w:val="24"/>
                <w:szCs w:val="24"/>
                <w:lang w:val="fr-BE"/>
              </w:rPr>
            </w:pPr>
            <w:r w:rsidRPr="00B4737D">
              <w:rPr>
                <w:sz w:val="24"/>
                <w:szCs w:val="24"/>
                <w:lang w:val="fr-BE"/>
              </w:rPr>
              <w:t>Common</w:t>
            </w:r>
            <w:r w:rsidRPr="00B4737D">
              <w:rPr>
                <w:sz w:val="24"/>
                <w:szCs w:val="24"/>
                <w:vertAlign w:val="superscript"/>
                <w:lang w:val="fr-BE"/>
              </w:rPr>
              <w:t>‡</w:t>
            </w:r>
          </w:p>
        </w:tc>
      </w:tr>
      <w:tr w:rsidR="00B4737D" w:rsidRPr="00B4737D" w14:paraId="53616AF4"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660A861" w14:textId="77777777" w:rsidR="00B4737D" w:rsidRPr="00B4737D" w:rsidRDefault="00B4737D" w:rsidP="00D438C9">
            <w:pPr>
              <w:rPr>
                <w:sz w:val="24"/>
                <w:szCs w:val="24"/>
                <w:lang w:val="fr-BE"/>
              </w:rPr>
            </w:pPr>
            <w:proofErr w:type="spellStart"/>
            <w:r w:rsidRPr="00B4737D">
              <w:rPr>
                <w:sz w:val="24"/>
                <w:szCs w:val="24"/>
                <w:lang w:val="fr-BE"/>
              </w:rPr>
              <w:t>Pruritus</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55287FC2"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0DBA0C3F"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r w:rsidRPr="00B4737D">
              <w:rPr>
                <w:sz w:val="24"/>
                <w:szCs w:val="24"/>
                <w:lang w:val="fr-BE"/>
              </w:rPr>
              <w:t>*</w:t>
            </w:r>
          </w:p>
        </w:tc>
        <w:tc>
          <w:tcPr>
            <w:tcW w:w="1152" w:type="pct"/>
            <w:tcBorders>
              <w:top w:val="single" w:sz="4" w:space="0" w:color="auto"/>
              <w:left w:val="single" w:sz="4" w:space="0" w:color="auto"/>
              <w:bottom w:val="single" w:sz="4" w:space="0" w:color="auto"/>
              <w:right w:val="single" w:sz="4" w:space="0" w:color="auto"/>
            </w:tcBorders>
            <w:hideMark/>
          </w:tcPr>
          <w:p w14:paraId="35748D67"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00EABC35"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B50F7DE" w14:textId="77777777" w:rsidR="00B4737D" w:rsidRPr="00B4737D" w:rsidRDefault="00B4737D" w:rsidP="00D438C9">
            <w:pPr>
              <w:rPr>
                <w:sz w:val="24"/>
                <w:szCs w:val="24"/>
                <w:lang w:val="fr-BE"/>
              </w:rPr>
            </w:pPr>
            <w:proofErr w:type="spellStart"/>
            <w:r w:rsidRPr="00B4737D">
              <w:rPr>
                <w:sz w:val="24"/>
                <w:szCs w:val="24"/>
                <w:lang w:val="fr-BE"/>
              </w:rPr>
              <w:t>Angioedema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4C41E8B3"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1788E7D5"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7A3290D2"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4B1A079B"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4842F0BB" w14:textId="77777777" w:rsidR="00B4737D" w:rsidRPr="00B4737D" w:rsidRDefault="00B4737D" w:rsidP="00D438C9">
            <w:pPr>
              <w:rPr>
                <w:i/>
                <w:iCs/>
                <w:sz w:val="24"/>
                <w:szCs w:val="24"/>
                <w:lang w:val="fr-BE"/>
              </w:rPr>
            </w:pPr>
            <w:proofErr w:type="spellStart"/>
            <w:r w:rsidRPr="00B4737D">
              <w:rPr>
                <w:i/>
                <w:iCs/>
                <w:sz w:val="24"/>
                <w:szCs w:val="24"/>
                <w:lang w:val="fr-BE"/>
              </w:rPr>
              <w:t>Nervous</w:t>
            </w:r>
            <w:proofErr w:type="spellEnd"/>
            <w:r w:rsidRPr="00B4737D">
              <w:rPr>
                <w:i/>
                <w:iCs/>
                <w:sz w:val="24"/>
                <w:szCs w:val="24"/>
                <w:lang w:val="fr-BE"/>
              </w:rPr>
              <w:t xml:space="preserve"> system </w:t>
            </w:r>
            <w:proofErr w:type="spellStart"/>
            <w:r w:rsidRPr="00B4737D">
              <w:rPr>
                <w:i/>
                <w:iCs/>
                <w:sz w:val="24"/>
                <w:szCs w:val="24"/>
                <w:lang w:val="fr-BE"/>
              </w:rPr>
              <w:t>disorders</w:t>
            </w:r>
            <w:proofErr w:type="spellEnd"/>
            <w:r w:rsidRPr="00B4737D">
              <w:rPr>
                <w:i/>
                <w:iCs/>
                <w:sz w:val="24"/>
                <w:szCs w:val="24"/>
                <w:lang w:val="fr-BE"/>
              </w:rPr>
              <w:t xml:space="preserve"> </w:t>
            </w:r>
          </w:p>
        </w:tc>
      </w:tr>
      <w:tr w:rsidR="00B4737D" w:rsidRPr="00B4737D" w14:paraId="293C320A" w14:textId="77777777" w:rsidTr="00D438C9">
        <w:trPr>
          <w:trHeight w:val="151"/>
        </w:trPr>
        <w:tc>
          <w:tcPr>
            <w:tcW w:w="1250" w:type="pct"/>
            <w:tcBorders>
              <w:top w:val="single" w:sz="4" w:space="0" w:color="auto"/>
              <w:left w:val="single" w:sz="4" w:space="0" w:color="auto"/>
              <w:bottom w:val="single" w:sz="4" w:space="0" w:color="auto"/>
              <w:right w:val="single" w:sz="4" w:space="0" w:color="auto"/>
            </w:tcBorders>
            <w:hideMark/>
          </w:tcPr>
          <w:p w14:paraId="40A2AA2A" w14:textId="77777777" w:rsidR="00B4737D" w:rsidRPr="00B4737D" w:rsidRDefault="00B4737D" w:rsidP="00D438C9">
            <w:pPr>
              <w:rPr>
                <w:sz w:val="24"/>
                <w:szCs w:val="24"/>
                <w:lang w:val="fr-BE"/>
              </w:rPr>
            </w:pPr>
            <w:r w:rsidRPr="00B4737D">
              <w:rPr>
                <w:sz w:val="24"/>
                <w:szCs w:val="24"/>
                <w:lang w:val="fr-BE"/>
              </w:rPr>
              <w:t xml:space="preserve">Brain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3B66D377"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72CB5DA2" w14:textId="77777777" w:rsidR="00B4737D" w:rsidRPr="00B4737D" w:rsidRDefault="00B4737D" w:rsidP="00D438C9">
            <w:pPr>
              <w:rPr>
                <w:sz w:val="24"/>
                <w:szCs w:val="24"/>
                <w:lang w:val="fr-BE"/>
              </w:rPr>
            </w:pPr>
            <w:r w:rsidRPr="00B4737D">
              <w:rPr>
                <w:sz w:val="24"/>
                <w:szCs w:val="24"/>
                <w:lang w:val="fr-BE"/>
              </w:rPr>
              <w:t>Rare</w:t>
            </w:r>
          </w:p>
        </w:tc>
        <w:tc>
          <w:tcPr>
            <w:tcW w:w="1152" w:type="pct"/>
            <w:tcBorders>
              <w:top w:val="single" w:sz="4" w:space="0" w:color="auto"/>
              <w:left w:val="single" w:sz="4" w:space="0" w:color="auto"/>
              <w:bottom w:val="single" w:sz="4" w:space="0" w:color="auto"/>
              <w:right w:val="single" w:sz="4" w:space="0" w:color="auto"/>
            </w:tcBorders>
            <w:hideMark/>
          </w:tcPr>
          <w:p w14:paraId="7ED41525"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2EF5136D"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05587E61" w14:textId="77777777" w:rsidR="00B4737D" w:rsidRPr="00B4737D" w:rsidRDefault="00B4737D" w:rsidP="00D438C9">
            <w:pPr>
              <w:rPr>
                <w:i/>
                <w:iCs/>
                <w:sz w:val="24"/>
                <w:szCs w:val="24"/>
                <w:lang w:val="fr-BE"/>
              </w:rPr>
            </w:pPr>
            <w:r w:rsidRPr="00B4737D">
              <w:rPr>
                <w:i/>
                <w:iCs/>
                <w:sz w:val="24"/>
                <w:szCs w:val="24"/>
                <w:lang w:val="fr-BE"/>
              </w:rPr>
              <w:t xml:space="preserve">Eye </w:t>
            </w:r>
            <w:proofErr w:type="spellStart"/>
            <w:r w:rsidRPr="00B4737D">
              <w:rPr>
                <w:i/>
                <w:iCs/>
                <w:sz w:val="24"/>
                <w:szCs w:val="24"/>
                <w:lang w:val="fr-BE"/>
              </w:rPr>
              <w:t>disorders</w:t>
            </w:r>
            <w:proofErr w:type="spellEnd"/>
            <w:r w:rsidRPr="00B4737D">
              <w:rPr>
                <w:i/>
                <w:iCs/>
                <w:sz w:val="24"/>
                <w:szCs w:val="24"/>
                <w:lang w:val="fr-BE"/>
              </w:rPr>
              <w:t xml:space="preserve"> </w:t>
            </w:r>
          </w:p>
        </w:tc>
      </w:tr>
      <w:tr w:rsidR="00B4737D" w:rsidRPr="00B4737D" w14:paraId="24A42490" w14:textId="77777777" w:rsidTr="00D438C9">
        <w:trPr>
          <w:trHeight w:val="274"/>
        </w:trPr>
        <w:tc>
          <w:tcPr>
            <w:tcW w:w="1250" w:type="pct"/>
            <w:tcBorders>
              <w:top w:val="single" w:sz="4" w:space="0" w:color="auto"/>
              <w:left w:val="single" w:sz="4" w:space="0" w:color="auto"/>
              <w:bottom w:val="single" w:sz="4" w:space="0" w:color="auto"/>
              <w:right w:val="single" w:sz="4" w:space="0" w:color="auto"/>
            </w:tcBorders>
            <w:hideMark/>
          </w:tcPr>
          <w:p w14:paraId="0AF6FB51" w14:textId="77777777" w:rsidR="00B4737D" w:rsidRPr="00B4737D" w:rsidRDefault="00B4737D" w:rsidP="00D438C9">
            <w:pPr>
              <w:rPr>
                <w:sz w:val="24"/>
                <w:szCs w:val="24"/>
                <w:lang w:val="en-US"/>
              </w:rPr>
            </w:pPr>
            <w:r w:rsidRPr="00B4737D">
              <w:rPr>
                <w:sz w:val="24"/>
                <w:szCs w:val="24"/>
                <w:lang w:val="en-US"/>
              </w:rPr>
              <w:t xml:space="preserve">Eye </w:t>
            </w:r>
            <w:proofErr w:type="spellStart"/>
            <w:r w:rsidRPr="00B4737D">
              <w:rPr>
                <w:sz w:val="24"/>
                <w:szCs w:val="24"/>
                <w:lang w:val="en-US"/>
              </w:rPr>
              <w:t>haemorrhage</w:t>
            </w:r>
            <w:proofErr w:type="spellEnd"/>
            <w:r w:rsidRPr="00B4737D">
              <w:rPr>
                <w:sz w:val="24"/>
                <w:szCs w:val="24"/>
                <w:lang w:val="en-US"/>
              </w:rPr>
              <w:t xml:space="preserve"> (including conjunctival </w:t>
            </w:r>
            <w:proofErr w:type="spellStart"/>
            <w:r w:rsidRPr="00B4737D">
              <w:rPr>
                <w:sz w:val="24"/>
                <w:szCs w:val="24"/>
                <w:lang w:val="en-US"/>
              </w:rPr>
              <w:t>haemorrhage</w:t>
            </w:r>
            <w:proofErr w:type="spellEnd"/>
            <w:r w:rsidRPr="00B4737D">
              <w:rPr>
                <w:sz w:val="24"/>
                <w:szCs w:val="24"/>
                <w:lang w:val="en-US"/>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4014072D"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5B641E64"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2AEEC263"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5D078145"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481B5E8F" w14:textId="77777777" w:rsidR="00B4737D" w:rsidRPr="00B4737D" w:rsidRDefault="00B4737D" w:rsidP="00D438C9">
            <w:pPr>
              <w:rPr>
                <w:i/>
                <w:iCs/>
                <w:sz w:val="24"/>
                <w:szCs w:val="24"/>
                <w:lang w:val="fr-BE"/>
              </w:rPr>
            </w:pPr>
            <w:proofErr w:type="spellStart"/>
            <w:r w:rsidRPr="00B4737D">
              <w:rPr>
                <w:i/>
                <w:iCs/>
                <w:sz w:val="24"/>
                <w:szCs w:val="24"/>
                <w:lang w:val="fr-BE"/>
              </w:rPr>
              <w:t>Vascular</w:t>
            </w:r>
            <w:proofErr w:type="spellEnd"/>
            <w:r w:rsidRPr="00B4737D">
              <w:rPr>
                <w:i/>
                <w:iCs/>
                <w:sz w:val="24"/>
                <w:szCs w:val="24"/>
                <w:lang w:val="fr-BE"/>
              </w:rPr>
              <w:t xml:space="preserve"> </w:t>
            </w:r>
            <w:proofErr w:type="spellStart"/>
            <w:r w:rsidRPr="00B4737D">
              <w:rPr>
                <w:i/>
                <w:iCs/>
                <w:sz w:val="24"/>
                <w:szCs w:val="24"/>
                <w:lang w:val="fr-BE"/>
              </w:rPr>
              <w:t>disorders</w:t>
            </w:r>
            <w:proofErr w:type="spellEnd"/>
            <w:r w:rsidRPr="00B4737D">
              <w:rPr>
                <w:i/>
                <w:iCs/>
                <w:sz w:val="24"/>
                <w:szCs w:val="24"/>
                <w:lang w:val="fr-BE"/>
              </w:rPr>
              <w:t xml:space="preserve"> </w:t>
            </w:r>
          </w:p>
        </w:tc>
      </w:tr>
      <w:tr w:rsidR="00B4737D" w:rsidRPr="00B4737D" w14:paraId="6304E4AF"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03F70E6F" w14:textId="77777777" w:rsidR="00B4737D" w:rsidRPr="00B4737D" w:rsidRDefault="00B4737D" w:rsidP="00D438C9">
            <w:pPr>
              <w:rPr>
                <w:sz w:val="24"/>
                <w:szCs w:val="24"/>
                <w:lang w:val="fr-BE"/>
              </w:rPr>
            </w:pPr>
            <w:proofErr w:type="spellStart"/>
            <w:r w:rsidRPr="00B4737D">
              <w:rPr>
                <w:sz w:val="24"/>
                <w:szCs w:val="24"/>
                <w:lang w:val="fr-BE"/>
              </w:rPr>
              <w:t>Haemorrhage</w:t>
            </w:r>
            <w:proofErr w:type="spellEnd"/>
            <w:r w:rsidRPr="00B4737D">
              <w:rPr>
                <w:sz w:val="24"/>
                <w:szCs w:val="24"/>
                <w:lang w:val="fr-BE"/>
              </w:rPr>
              <w:t xml:space="preserve">, </w:t>
            </w:r>
            <w:proofErr w:type="spellStart"/>
            <w:r w:rsidRPr="00B4737D">
              <w:rPr>
                <w:sz w:val="24"/>
                <w:szCs w:val="24"/>
                <w:lang w:val="fr-BE"/>
              </w:rPr>
              <w:t>haematoma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37F16E0C"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4417A544"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5A2BF28D"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77FC7648" w14:textId="77777777" w:rsidTr="00D438C9">
        <w:trPr>
          <w:trHeight w:val="274"/>
        </w:trPr>
        <w:tc>
          <w:tcPr>
            <w:tcW w:w="1250" w:type="pct"/>
            <w:tcBorders>
              <w:top w:val="single" w:sz="4" w:space="0" w:color="auto"/>
              <w:left w:val="single" w:sz="4" w:space="0" w:color="auto"/>
              <w:bottom w:val="single" w:sz="4" w:space="0" w:color="auto"/>
              <w:right w:val="single" w:sz="4" w:space="0" w:color="auto"/>
            </w:tcBorders>
            <w:hideMark/>
          </w:tcPr>
          <w:p w14:paraId="4DC60921" w14:textId="77777777" w:rsidR="00B4737D" w:rsidRPr="00B4737D" w:rsidRDefault="00B4737D" w:rsidP="00D438C9">
            <w:pPr>
              <w:rPr>
                <w:sz w:val="24"/>
                <w:szCs w:val="24"/>
                <w:lang w:val="fr-BE"/>
              </w:rPr>
            </w:pPr>
            <w:r w:rsidRPr="00B4737D">
              <w:rPr>
                <w:sz w:val="24"/>
                <w:szCs w:val="24"/>
                <w:lang w:val="fr-BE"/>
              </w:rPr>
              <w:t>Hypotension (</w:t>
            </w:r>
            <w:proofErr w:type="spellStart"/>
            <w:r w:rsidRPr="00B4737D">
              <w:rPr>
                <w:sz w:val="24"/>
                <w:szCs w:val="24"/>
                <w:lang w:val="fr-BE"/>
              </w:rPr>
              <w:t>including</w:t>
            </w:r>
            <w:proofErr w:type="spellEnd"/>
            <w:r w:rsidRPr="00B4737D">
              <w:rPr>
                <w:sz w:val="24"/>
                <w:szCs w:val="24"/>
                <w:lang w:val="fr-BE"/>
              </w:rPr>
              <w:t xml:space="preserve"> </w:t>
            </w:r>
            <w:proofErr w:type="spellStart"/>
            <w:r w:rsidRPr="00B4737D">
              <w:rPr>
                <w:sz w:val="24"/>
                <w:szCs w:val="24"/>
                <w:lang w:val="fr-BE"/>
              </w:rPr>
              <w:t>procedural</w:t>
            </w:r>
            <w:proofErr w:type="spellEnd"/>
            <w:r w:rsidRPr="00B4737D">
              <w:rPr>
                <w:sz w:val="24"/>
                <w:szCs w:val="24"/>
                <w:lang w:val="fr-BE"/>
              </w:rPr>
              <w:t xml:space="preserve"> hypotension) </w:t>
            </w:r>
          </w:p>
        </w:tc>
        <w:tc>
          <w:tcPr>
            <w:tcW w:w="1445" w:type="pct"/>
            <w:tcBorders>
              <w:top w:val="single" w:sz="4" w:space="0" w:color="auto"/>
              <w:left w:val="single" w:sz="4" w:space="0" w:color="auto"/>
              <w:bottom w:val="single" w:sz="4" w:space="0" w:color="auto"/>
              <w:right w:val="single" w:sz="4" w:space="0" w:color="auto"/>
            </w:tcBorders>
            <w:hideMark/>
          </w:tcPr>
          <w:p w14:paraId="415924FC"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13ECA3E7"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78588BEA"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567FD8F0"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2B52A61D" w14:textId="77777777" w:rsidR="00B4737D" w:rsidRPr="00B4737D" w:rsidRDefault="00B4737D" w:rsidP="00D438C9">
            <w:pPr>
              <w:rPr>
                <w:sz w:val="24"/>
                <w:szCs w:val="24"/>
                <w:lang w:val="fr-BE"/>
              </w:rPr>
            </w:pPr>
            <w:r w:rsidRPr="00B4737D">
              <w:rPr>
                <w:sz w:val="24"/>
                <w:szCs w:val="24"/>
                <w:lang w:val="fr-BE"/>
              </w:rPr>
              <w:t xml:space="preserve">Intra-abdominal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CBB670D"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5C6D2042"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617B6934"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A23483" w14:paraId="3373F781"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01B2625B" w14:textId="77777777" w:rsidR="00B4737D" w:rsidRPr="00B4737D" w:rsidRDefault="00B4737D" w:rsidP="00D438C9">
            <w:pPr>
              <w:rPr>
                <w:i/>
                <w:iCs/>
                <w:sz w:val="24"/>
                <w:szCs w:val="24"/>
                <w:lang w:val="en-US"/>
              </w:rPr>
            </w:pPr>
            <w:r w:rsidRPr="00B4737D">
              <w:rPr>
                <w:i/>
                <w:iCs/>
                <w:sz w:val="24"/>
                <w:szCs w:val="24"/>
                <w:lang w:val="en-US"/>
              </w:rPr>
              <w:t xml:space="preserve">Respiratory, thoracic and mediastinal disorders </w:t>
            </w:r>
          </w:p>
        </w:tc>
      </w:tr>
      <w:tr w:rsidR="00B4737D" w:rsidRPr="00B4737D" w14:paraId="2F90D8AC"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02EADD6C" w14:textId="77777777" w:rsidR="00B4737D" w:rsidRPr="00B4737D" w:rsidRDefault="00B4737D" w:rsidP="00D438C9">
            <w:pPr>
              <w:rPr>
                <w:sz w:val="24"/>
                <w:szCs w:val="24"/>
                <w:lang w:val="fr-BE"/>
              </w:rPr>
            </w:pPr>
            <w:r w:rsidRPr="00B4737D">
              <w:rPr>
                <w:sz w:val="24"/>
                <w:szCs w:val="24"/>
                <w:lang w:val="fr-BE"/>
              </w:rPr>
              <w:t xml:space="preserve">Epistaxis </w:t>
            </w:r>
          </w:p>
        </w:tc>
        <w:tc>
          <w:tcPr>
            <w:tcW w:w="1445" w:type="pct"/>
            <w:tcBorders>
              <w:top w:val="single" w:sz="4" w:space="0" w:color="auto"/>
              <w:left w:val="single" w:sz="4" w:space="0" w:color="auto"/>
              <w:bottom w:val="single" w:sz="4" w:space="0" w:color="auto"/>
              <w:right w:val="single" w:sz="4" w:space="0" w:color="auto"/>
            </w:tcBorders>
            <w:hideMark/>
          </w:tcPr>
          <w:p w14:paraId="073D1C47"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4E72916F"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1C421E4B" w14:textId="77777777" w:rsidR="00B4737D" w:rsidRPr="00B4737D" w:rsidRDefault="00B4737D" w:rsidP="00D438C9">
            <w:pPr>
              <w:rPr>
                <w:sz w:val="24"/>
                <w:szCs w:val="24"/>
                <w:lang w:val="fr-BE"/>
              </w:rPr>
            </w:pPr>
            <w:r w:rsidRPr="00B4737D">
              <w:rPr>
                <w:sz w:val="24"/>
                <w:szCs w:val="24"/>
                <w:lang w:val="fr-BE"/>
              </w:rPr>
              <w:t xml:space="preserve">Very </w:t>
            </w:r>
            <w:proofErr w:type="spellStart"/>
            <w:r w:rsidRPr="00B4737D">
              <w:rPr>
                <w:sz w:val="24"/>
                <w:szCs w:val="24"/>
                <w:lang w:val="fr-BE"/>
              </w:rPr>
              <w:t>common</w:t>
            </w:r>
            <w:proofErr w:type="spellEnd"/>
          </w:p>
        </w:tc>
      </w:tr>
      <w:tr w:rsidR="00B4737D" w:rsidRPr="00B4737D" w14:paraId="094365D8"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62D50584" w14:textId="77777777" w:rsidR="00B4737D" w:rsidRPr="00B4737D" w:rsidRDefault="00B4737D" w:rsidP="00D438C9">
            <w:pPr>
              <w:rPr>
                <w:sz w:val="24"/>
                <w:szCs w:val="24"/>
                <w:lang w:val="fr-BE"/>
              </w:rPr>
            </w:pPr>
            <w:proofErr w:type="spellStart"/>
            <w:r w:rsidRPr="00B4737D">
              <w:rPr>
                <w:sz w:val="24"/>
                <w:szCs w:val="24"/>
                <w:lang w:val="fr-BE"/>
              </w:rPr>
              <w:lastRenderedPageBreak/>
              <w:t>Haemoptysis</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21417A4A"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67FD1A7C"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73EDEA53"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6F78D5A7"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79A6D453" w14:textId="77777777" w:rsidR="00B4737D" w:rsidRPr="00B4737D" w:rsidRDefault="00B4737D" w:rsidP="00D438C9">
            <w:pPr>
              <w:rPr>
                <w:sz w:val="24"/>
                <w:szCs w:val="24"/>
                <w:lang w:val="fr-BE"/>
              </w:rPr>
            </w:pPr>
            <w:proofErr w:type="spellStart"/>
            <w:r w:rsidRPr="00B4737D">
              <w:rPr>
                <w:sz w:val="24"/>
                <w:szCs w:val="24"/>
                <w:lang w:val="fr-BE"/>
              </w:rPr>
              <w:t>Respiratory</w:t>
            </w:r>
            <w:proofErr w:type="spellEnd"/>
            <w:r w:rsidRPr="00B4737D">
              <w:rPr>
                <w:sz w:val="24"/>
                <w:szCs w:val="24"/>
                <w:lang w:val="fr-BE"/>
              </w:rPr>
              <w:t xml:space="preserve"> tract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02C7196" w14:textId="77777777" w:rsidR="00B4737D" w:rsidRPr="00B4737D" w:rsidRDefault="00B4737D" w:rsidP="00D438C9">
            <w:pPr>
              <w:rPr>
                <w:sz w:val="24"/>
                <w:szCs w:val="24"/>
                <w:lang w:val="fr-BE"/>
              </w:rPr>
            </w:pPr>
            <w:r w:rsidRPr="00B4737D">
              <w:rPr>
                <w:sz w:val="24"/>
                <w:szCs w:val="24"/>
                <w:lang w:val="fr-BE"/>
              </w:rPr>
              <w:t>Rare</w:t>
            </w:r>
          </w:p>
        </w:tc>
        <w:tc>
          <w:tcPr>
            <w:tcW w:w="1153" w:type="pct"/>
            <w:tcBorders>
              <w:top w:val="single" w:sz="4" w:space="0" w:color="auto"/>
              <w:left w:val="single" w:sz="4" w:space="0" w:color="auto"/>
              <w:bottom w:val="single" w:sz="4" w:space="0" w:color="auto"/>
              <w:right w:val="single" w:sz="4" w:space="0" w:color="auto"/>
            </w:tcBorders>
            <w:hideMark/>
          </w:tcPr>
          <w:p w14:paraId="140E3DAB" w14:textId="77777777" w:rsidR="00B4737D" w:rsidRPr="00B4737D" w:rsidRDefault="00B4737D" w:rsidP="00D438C9">
            <w:pPr>
              <w:rPr>
                <w:sz w:val="24"/>
                <w:szCs w:val="24"/>
                <w:lang w:val="fr-BE"/>
              </w:rPr>
            </w:pPr>
            <w:r w:rsidRPr="00B4737D">
              <w:rPr>
                <w:sz w:val="24"/>
                <w:szCs w:val="24"/>
                <w:lang w:val="fr-BE"/>
              </w:rPr>
              <w:t>Rare</w:t>
            </w:r>
          </w:p>
        </w:tc>
        <w:tc>
          <w:tcPr>
            <w:tcW w:w="1152" w:type="pct"/>
            <w:tcBorders>
              <w:top w:val="single" w:sz="4" w:space="0" w:color="auto"/>
              <w:left w:val="single" w:sz="4" w:space="0" w:color="auto"/>
              <w:bottom w:val="single" w:sz="4" w:space="0" w:color="auto"/>
              <w:right w:val="single" w:sz="4" w:space="0" w:color="auto"/>
            </w:tcBorders>
            <w:hideMark/>
          </w:tcPr>
          <w:p w14:paraId="0160891D"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434A8FFD" w14:textId="77777777" w:rsidTr="00D438C9">
        <w:trPr>
          <w:trHeight w:val="146"/>
        </w:trPr>
        <w:tc>
          <w:tcPr>
            <w:tcW w:w="5000" w:type="pct"/>
            <w:gridSpan w:val="4"/>
            <w:tcBorders>
              <w:top w:val="single" w:sz="4" w:space="0" w:color="auto"/>
              <w:left w:val="single" w:sz="4" w:space="0" w:color="auto"/>
              <w:bottom w:val="single" w:sz="4" w:space="0" w:color="auto"/>
              <w:right w:val="single" w:sz="4" w:space="0" w:color="auto"/>
            </w:tcBorders>
            <w:hideMark/>
          </w:tcPr>
          <w:p w14:paraId="09A969C0" w14:textId="77777777" w:rsidR="00B4737D" w:rsidRPr="00B4737D" w:rsidRDefault="00B4737D" w:rsidP="00D438C9">
            <w:pPr>
              <w:rPr>
                <w:i/>
                <w:iCs/>
                <w:sz w:val="24"/>
                <w:szCs w:val="24"/>
                <w:lang w:val="fr-BE"/>
              </w:rPr>
            </w:pPr>
            <w:r w:rsidRPr="00B4737D">
              <w:rPr>
                <w:i/>
                <w:iCs/>
                <w:sz w:val="24"/>
                <w:szCs w:val="24"/>
                <w:lang w:val="fr-BE"/>
              </w:rPr>
              <w:t xml:space="preserve">Gastrointestinal </w:t>
            </w:r>
            <w:proofErr w:type="spellStart"/>
            <w:r w:rsidRPr="00B4737D">
              <w:rPr>
                <w:i/>
                <w:iCs/>
                <w:sz w:val="24"/>
                <w:szCs w:val="24"/>
                <w:lang w:val="fr-BE"/>
              </w:rPr>
              <w:t>disorders</w:t>
            </w:r>
            <w:proofErr w:type="spellEnd"/>
            <w:r w:rsidRPr="00B4737D">
              <w:rPr>
                <w:i/>
                <w:iCs/>
                <w:sz w:val="24"/>
                <w:szCs w:val="24"/>
                <w:lang w:val="fr-BE"/>
              </w:rPr>
              <w:t xml:space="preserve"> </w:t>
            </w:r>
          </w:p>
        </w:tc>
      </w:tr>
      <w:tr w:rsidR="00B4737D" w:rsidRPr="00B4737D" w14:paraId="7F296079"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1E82C151" w14:textId="77777777" w:rsidR="00B4737D" w:rsidRPr="00B4737D" w:rsidRDefault="00B4737D" w:rsidP="00D438C9">
            <w:pPr>
              <w:rPr>
                <w:sz w:val="24"/>
                <w:szCs w:val="24"/>
                <w:lang w:val="fr-BE"/>
              </w:rPr>
            </w:pPr>
            <w:proofErr w:type="spellStart"/>
            <w:r w:rsidRPr="00B4737D">
              <w:rPr>
                <w:sz w:val="24"/>
                <w:szCs w:val="24"/>
                <w:lang w:val="fr-BE"/>
              </w:rPr>
              <w:t>Nausea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93F0331"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216A1C36"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7EC8F9F0"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0C55E98E"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7166FE8F" w14:textId="77777777" w:rsidR="00B4737D" w:rsidRPr="00B4737D" w:rsidRDefault="00B4737D" w:rsidP="00D438C9">
            <w:pPr>
              <w:rPr>
                <w:sz w:val="24"/>
                <w:szCs w:val="24"/>
                <w:lang w:val="fr-BE"/>
              </w:rPr>
            </w:pPr>
            <w:r w:rsidRPr="00B4737D">
              <w:rPr>
                <w:sz w:val="24"/>
                <w:szCs w:val="24"/>
                <w:lang w:val="fr-BE"/>
              </w:rPr>
              <w:t xml:space="preserve">Gastrointestinal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740B6DA"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28B38943"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0AA58E6F"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3871B657"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6EDAD06" w14:textId="77777777" w:rsidR="00B4737D" w:rsidRPr="00B4737D" w:rsidRDefault="00B4737D" w:rsidP="00D438C9">
            <w:pPr>
              <w:rPr>
                <w:sz w:val="24"/>
                <w:szCs w:val="24"/>
                <w:lang w:val="fr-BE"/>
              </w:rPr>
            </w:pPr>
            <w:proofErr w:type="spellStart"/>
            <w:r w:rsidRPr="00B4737D">
              <w:rPr>
                <w:sz w:val="24"/>
                <w:szCs w:val="24"/>
                <w:lang w:val="fr-BE"/>
              </w:rPr>
              <w:t>Haemorrhoidal</w:t>
            </w:r>
            <w:proofErr w:type="spellEnd"/>
            <w:r w:rsidRPr="00B4737D">
              <w:rPr>
                <w:sz w:val="24"/>
                <w:szCs w:val="24"/>
                <w:lang w:val="fr-BE"/>
              </w:rPr>
              <w:t xml:space="preserve">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7713A11C"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47189885"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15A00F25"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6591AB0B"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7D6CEE69" w14:textId="77777777" w:rsidR="00B4737D" w:rsidRPr="00B4737D" w:rsidRDefault="00B4737D" w:rsidP="00D438C9">
            <w:pPr>
              <w:rPr>
                <w:sz w:val="24"/>
                <w:szCs w:val="24"/>
                <w:lang w:val="fr-BE"/>
              </w:rPr>
            </w:pPr>
            <w:proofErr w:type="spellStart"/>
            <w:r w:rsidRPr="00B4737D">
              <w:rPr>
                <w:sz w:val="24"/>
                <w:szCs w:val="24"/>
                <w:lang w:val="fr-BE"/>
              </w:rPr>
              <w:t>Mouth</w:t>
            </w:r>
            <w:proofErr w:type="spellEnd"/>
            <w:r w:rsidRPr="00B4737D">
              <w:rPr>
                <w:sz w:val="24"/>
                <w:szCs w:val="24"/>
                <w:lang w:val="fr-BE"/>
              </w:rPr>
              <w:t xml:space="preserve">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570324EF"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2EACC928"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35ADBF53"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188A9854"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205BA14F" w14:textId="77777777" w:rsidR="00B4737D" w:rsidRPr="00B4737D" w:rsidRDefault="00B4737D" w:rsidP="00D438C9">
            <w:pPr>
              <w:rPr>
                <w:sz w:val="24"/>
                <w:szCs w:val="24"/>
                <w:lang w:val="fr-BE"/>
              </w:rPr>
            </w:pPr>
            <w:proofErr w:type="spellStart"/>
            <w:r w:rsidRPr="00B4737D">
              <w:rPr>
                <w:sz w:val="24"/>
                <w:szCs w:val="24"/>
                <w:lang w:val="fr-BE"/>
              </w:rPr>
              <w:t>Haematochezia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76482525"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48C5E74A"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6B46DC9E"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1D9C7DE8" w14:textId="77777777" w:rsidTr="00D438C9">
        <w:trPr>
          <w:trHeight w:val="274"/>
        </w:trPr>
        <w:tc>
          <w:tcPr>
            <w:tcW w:w="1250" w:type="pct"/>
            <w:tcBorders>
              <w:top w:val="single" w:sz="4" w:space="0" w:color="auto"/>
              <w:left w:val="single" w:sz="4" w:space="0" w:color="auto"/>
              <w:bottom w:val="single" w:sz="4" w:space="0" w:color="auto"/>
              <w:right w:val="single" w:sz="4" w:space="0" w:color="auto"/>
            </w:tcBorders>
            <w:hideMark/>
          </w:tcPr>
          <w:p w14:paraId="18029CF8" w14:textId="77777777" w:rsidR="00B4737D" w:rsidRPr="00B4737D" w:rsidRDefault="00B4737D" w:rsidP="00D438C9">
            <w:pPr>
              <w:rPr>
                <w:sz w:val="24"/>
                <w:szCs w:val="24"/>
                <w:lang w:val="fr-BE"/>
              </w:rPr>
            </w:pPr>
            <w:r w:rsidRPr="00B4737D">
              <w:rPr>
                <w:sz w:val="24"/>
                <w:szCs w:val="24"/>
                <w:lang w:val="fr-BE"/>
              </w:rPr>
              <w:t xml:space="preserve">Rectal </w:t>
            </w:r>
            <w:proofErr w:type="spellStart"/>
            <w:r w:rsidRPr="00B4737D">
              <w:rPr>
                <w:sz w:val="24"/>
                <w:szCs w:val="24"/>
                <w:lang w:val="fr-BE"/>
              </w:rPr>
              <w:t>haemorrhage</w:t>
            </w:r>
            <w:proofErr w:type="spellEnd"/>
            <w:r w:rsidRPr="00B4737D">
              <w:rPr>
                <w:sz w:val="24"/>
                <w:szCs w:val="24"/>
                <w:lang w:val="fr-BE"/>
              </w:rPr>
              <w:t xml:space="preserve">, gingival </w:t>
            </w:r>
            <w:proofErr w:type="spellStart"/>
            <w:r w:rsidRPr="00B4737D">
              <w:rPr>
                <w:sz w:val="24"/>
                <w:szCs w:val="24"/>
                <w:lang w:val="fr-BE"/>
              </w:rPr>
              <w:t>bleeding</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374C9064" w14:textId="77777777" w:rsidR="00B4737D" w:rsidRPr="00B4737D" w:rsidRDefault="00B4737D" w:rsidP="00D438C9">
            <w:pPr>
              <w:rPr>
                <w:sz w:val="24"/>
                <w:szCs w:val="24"/>
                <w:lang w:val="fr-BE"/>
              </w:rPr>
            </w:pPr>
            <w:r w:rsidRPr="00B4737D">
              <w:rPr>
                <w:sz w:val="24"/>
                <w:szCs w:val="24"/>
                <w:lang w:val="fr-BE"/>
              </w:rPr>
              <w:t>Common</w:t>
            </w:r>
          </w:p>
        </w:tc>
        <w:tc>
          <w:tcPr>
            <w:tcW w:w="1153" w:type="pct"/>
            <w:tcBorders>
              <w:top w:val="single" w:sz="4" w:space="0" w:color="auto"/>
              <w:left w:val="single" w:sz="4" w:space="0" w:color="auto"/>
              <w:bottom w:val="single" w:sz="4" w:space="0" w:color="auto"/>
              <w:right w:val="single" w:sz="4" w:space="0" w:color="auto"/>
            </w:tcBorders>
            <w:hideMark/>
          </w:tcPr>
          <w:p w14:paraId="0F4C0BF2" w14:textId="77777777" w:rsidR="00B4737D" w:rsidRPr="00B4737D" w:rsidRDefault="00B4737D" w:rsidP="00D438C9">
            <w:pPr>
              <w:rPr>
                <w:sz w:val="24"/>
                <w:szCs w:val="24"/>
                <w:lang w:val="fr-BE"/>
              </w:rPr>
            </w:pPr>
            <w:r w:rsidRPr="00B4737D">
              <w:rPr>
                <w:sz w:val="24"/>
                <w:szCs w:val="24"/>
                <w:lang w:val="fr-BE"/>
              </w:rPr>
              <w:t>Common</w:t>
            </w:r>
          </w:p>
        </w:tc>
        <w:tc>
          <w:tcPr>
            <w:tcW w:w="1152" w:type="pct"/>
            <w:tcBorders>
              <w:top w:val="single" w:sz="4" w:space="0" w:color="auto"/>
              <w:left w:val="single" w:sz="4" w:space="0" w:color="auto"/>
              <w:bottom w:val="single" w:sz="4" w:space="0" w:color="auto"/>
              <w:right w:val="single" w:sz="4" w:space="0" w:color="auto"/>
            </w:tcBorders>
            <w:hideMark/>
          </w:tcPr>
          <w:p w14:paraId="7372FE8E"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7AA90036"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1796EB8D" w14:textId="77777777" w:rsidR="00B4737D" w:rsidRPr="00B4737D" w:rsidRDefault="00B4737D" w:rsidP="00D438C9">
            <w:pPr>
              <w:rPr>
                <w:sz w:val="24"/>
                <w:szCs w:val="24"/>
                <w:lang w:val="fr-BE"/>
              </w:rPr>
            </w:pPr>
            <w:proofErr w:type="spellStart"/>
            <w:r w:rsidRPr="00B4737D">
              <w:rPr>
                <w:sz w:val="24"/>
                <w:szCs w:val="24"/>
                <w:lang w:val="fr-BE"/>
              </w:rPr>
              <w:t>Retroperitoneal</w:t>
            </w:r>
            <w:proofErr w:type="spellEnd"/>
            <w:r w:rsidRPr="00B4737D">
              <w:rPr>
                <w:sz w:val="24"/>
                <w:szCs w:val="24"/>
                <w:lang w:val="fr-BE"/>
              </w:rPr>
              <w:t xml:space="preserve">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3D73187" w14:textId="77777777" w:rsidR="00B4737D" w:rsidRPr="00B4737D" w:rsidRDefault="00B4737D" w:rsidP="00D438C9">
            <w:pPr>
              <w:rPr>
                <w:sz w:val="24"/>
                <w:szCs w:val="24"/>
                <w:lang w:val="fr-BE"/>
              </w:rPr>
            </w:pPr>
            <w:r w:rsidRPr="00B4737D">
              <w:rPr>
                <w:sz w:val="24"/>
                <w:szCs w:val="24"/>
                <w:lang w:val="fr-BE"/>
              </w:rPr>
              <w:t>Rare</w:t>
            </w:r>
          </w:p>
        </w:tc>
        <w:tc>
          <w:tcPr>
            <w:tcW w:w="1153" w:type="pct"/>
            <w:tcBorders>
              <w:top w:val="single" w:sz="4" w:space="0" w:color="auto"/>
              <w:left w:val="single" w:sz="4" w:space="0" w:color="auto"/>
              <w:bottom w:val="single" w:sz="4" w:space="0" w:color="auto"/>
              <w:right w:val="single" w:sz="4" w:space="0" w:color="auto"/>
            </w:tcBorders>
            <w:hideMark/>
          </w:tcPr>
          <w:p w14:paraId="4193CF73"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5E8A4C96"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28A2B196"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407A2322" w14:textId="77777777" w:rsidR="00B4737D" w:rsidRPr="00B4737D" w:rsidRDefault="00B4737D" w:rsidP="00D438C9">
            <w:pPr>
              <w:rPr>
                <w:i/>
                <w:iCs/>
                <w:sz w:val="24"/>
                <w:szCs w:val="24"/>
                <w:lang w:val="fr-BE"/>
              </w:rPr>
            </w:pPr>
            <w:proofErr w:type="spellStart"/>
            <w:r w:rsidRPr="00B4737D">
              <w:rPr>
                <w:i/>
                <w:iCs/>
                <w:sz w:val="24"/>
                <w:szCs w:val="24"/>
                <w:lang w:val="fr-BE"/>
              </w:rPr>
              <w:t>Hepatobiliary</w:t>
            </w:r>
            <w:proofErr w:type="spellEnd"/>
            <w:r w:rsidRPr="00B4737D">
              <w:rPr>
                <w:i/>
                <w:iCs/>
                <w:sz w:val="24"/>
                <w:szCs w:val="24"/>
                <w:lang w:val="fr-BE"/>
              </w:rPr>
              <w:t xml:space="preserve"> </w:t>
            </w:r>
            <w:proofErr w:type="spellStart"/>
            <w:r w:rsidRPr="00B4737D">
              <w:rPr>
                <w:i/>
                <w:iCs/>
                <w:sz w:val="24"/>
                <w:szCs w:val="24"/>
                <w:lang w:val="fr-BE"/>
              </w:rPr>
              <w:t>disorders</w:t>
            </w:r>
            <w:proofErr w:type="spellEnd"/>
            <w:r w:rsidRPr="00B4737D">
              <w:rPr>
                <w:sz w:val="24"/>
                <w:szCs w:val="24"/>
                <w:lang w:val="fr-BE"/>
              </w:rPr>
              <w:t xml:space="preserve"> </w:t>
            </w:r>
          </w:p>
        </w:tc>
      </w:tr>
      <w:tr w:rsidR="00B4737D" w:rsidRPr="00B4737D" w14:paraId="0D3DD8E5"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04837FFE" w14:textId="77777777" w:rsidR="00B4737D" w:rsidRPr="00B4737D" w:rsidRDefault="00B4737D" w:rsidP="00D438C9">
            <w:pPr>
              <w:rPr>
                <w:sz w:val="24"/>
                <w:szCs w:val="24"/>
                <w:lang w:val="en-US"/>
              </w:rPr>
            </w:pPr>
            <w:r w:rsidRPr="00B4737D">
              <w:rPr>
                <w:sz w:val="24"/>
                <w:szCs w:val="24"/>
                <w:lang w:val="en-US"/>
              </w:rPr>
              <w:t xml:space="preserve">Liver function test abnormal, </w:t>
            </w:r>
            <w:proofErr w:type="spellStart"/>
            <w:r w:rsidRPr="00B4737D">
              <w:rPr>
                <w:sz w:val="24"/>
                <w:szCs w:val="24"/>
                <w:lang w:val="en-US"/>
              </w:rPr>
              <w:t>asparate</w:t>
            </w:r>
            <w:proofErr w:type="spellEnd"/>
            <w:r w:rsidRPr="00B4737D">
              <w:rPr>
                <w:sz w:val="24"/>
                <w:szCs w:val="24"/>
                <w:lang w:val="en-US"/>
              </w:rPr>
              <w:t xml:space="preserve"> aminotransferase increased, blood alkaline phosphatase increased, blood bilirubin increased </w:t>
            </w:r>
          </w:p>
        </w:tc>
        <w:tc>
          <w:tcPr>
            <w:tcW w:w="1445" w:type="pct"/>
            <w:tcBorders>
              <w:top w:val="single" w:sz="4" w:space="0" w:color="auto"/>
              <w:left w:val="single" w:sz="4" w:space="0" w:color="auto"/>
              <w:bottom w:val="single" w:sz="4" w:space="0" w:color="auto"/>
              <w:right w:val="single" w:sz="4" w:space="0" w:color="auto"/>
            </w:tcBorders>
            <w:hideMark/>
          </w:tcPr>
          <w:p w14:paraId="43D1E51A"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664EE844"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7C316007"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1DC4D25D"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18B66F7C" w14:textId="77777777" w:rsidR="00B4737D" w:rsidRPr="00B4737D" w:rsidRDefault="00B4737D" w:rsidP="00D438C9">
            <w:pPr>
              <w:rPr>
                <w:sz w:val="24"/>
                <w:szCs w:val="24"/>
                <w:lang w:val="fr-BE"/>
              </w:rPr>
            </w:pPr>
            <w:r w:rsidRPr="00B4737D">
              <w:rPr>
                <w:sz w:val="24"/>
                <w:szCs w:val="24"/>
                <w:lang w:val="fr-BE"/>
              </w:rPr>
              <w:t>Gamma-</w:t>
            </w:r>
            <w:proofErr w:type="spellStart"/>
            <w:r w:rsidRPr="00B4737D">
              <w:rPr>
                <w:sz w:val="24"/>
                <w:szCs w:val="24"/>
                <w:lang w:val="fr-BE"/>
              </w:rPr>
              <w:t>glutamyltransferase</w:t>
            </w:r>
            <w:proofErr w:type="spellEnd"/>
            <w:r w:rsidRPr="00B4737D">
              <w:rPr>
                <w:sz w:val="24"/>
                <w:szCs w:val="24"/>
                <w:lang w:val="fr-BE"/>
              </w:rPr>
              <w:t xml:space="preserve"> </w:t>
            </w:r>
            <w:proofErr w:type="spellStart"/>
            <w:r w:rsidRPr="00B4737D">
              <w:rPr>
                <w:sz w:val="24"/>
                <w:szCs w:val="24"/>
                <w:lang w:val="fr-BE"/>
              </w:rPr>
              <w:t>increased</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29DF948E" w14:textId="77777777" w:rsidR="00B4737D" w:rsidRPr="00B4737D" w:rsidRDefault="00B4737D" w:rsidP="00D438C9">
            <w:pPr>
              <w:rPr>
                <w:sz w:val="24"/>
                <w:szCs w:val="24"/>
                <w:lang w:val="fr-BE"/>
              </w:rPr>
            </w:pPr>
            <w:r w:rsidRPr="00B4737D">
              <w:rPr>
                <w:sz w:val="24"/>
                <w:szCs w:val="24"/>
                <w:lang w:val="fr-BE"/>
              </w:rPr>
              <w:t xml:space="preserve">Common </w:t>
            </w:r>
          </w:p>
        </w:tc>
        <w:tc>
          <w:tcPr>
            <w:tcW w:w="1153" w:type="pct"/>
            <w:tcBorders>
              <w:top w:val="single" w:sz="4" w:space="0" w:color="auto"/>
              <w:left w:val="single" w:sz="4" w:space="0" w:color="auto"/>
              <w:bottom w:val="single" w:sz="4" w:space="0" w:color="auto"/>
              <w:right w:val="single" w:sz="4" w:space="0" w:color="auto"/>
            </w:tcBorders>
            <w:hideMark/>
          </w:tcPr>
          <w:p w14:paraId="0152E162" w14:textId="77777777" w:rsidR="00B4737D" w:rsidRPr="00B4737D" w:rsidRDefault="00B4737D" w:rsidP="00D438C9">
            <w:pPr>
              <w:rPr>
                <w:sz w:val="24"/>
                <w:szCs w:val="24"/>
                <w:lang w:val="fr-BE"/>
              </w:rPr>
            </w:pPr>
            <w:r w:rsidRPr="00B4737D">
              <w:rPr>
                <w:sz w:val="24"/>
                <w:szCs w:val="24"/>
                <w:lang w:val="fr-BE"/>
              </w:rPr>
              <w:t xml:space="preserve">Common </w:t>
            </w:r>
          </w:p>
        </w:tc>
        <w:tc>
          <w:tcPr>
            <w:tcW w:w="1152" w:type="pct"/>
            <w:tcBorders>
              <w:top w:val="single" w:sz="4" w:space="0" w:color="auto"/>
              <w:left w:val="single" w:sz="4" w:space="0" w:color="auto"/>
              <w:bottom w:val="single" w:sz="4" w:space="0" w:color="auto"/>
              <w:right w:val="single" w:sz="4" w:space="0" w:color="auto"/>
            </w:tcBorders>
            <w:hideMark/>
          </w:tcPr>
          <w:p w14:paraId="639D1F40"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56DBDFF4"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22C6FF3F" w14:textId="77777777" w:rsidR="00B4737D" w:rsidRPr="00B4737D" w:rsidRDefault="00B4737D" w:rsidP="00D438C9">
            <w:pPr>
              <w:rPr>
                <w:sz w:val="24"/>
                <w:szCs w:val="24"/>
                <w:lang w:val="fr-BE"/>
              </w:rPr>
            </w:pPr>
            <w:r w:rsidRPr="00B4737D">
              <w:rPr>
                <w:sz w:val="24"/>
                <w:szCs w:val="24"/>
                <w:lang w:val="fr-BE"/>
              </w:rPr>
              <w:t xml:space="preserve">Alanine </w:t>
            </w:r>
            <w:proofErr w:type="spellStart"/>
            <w:r w:rsidRPr="00B4737D">
              <w:rPr>
                <w:sz w:val="24"/>
                <w:szCs w:val="24"/>
                <w:lang w:val="fr-BE"/>
              </w:rPr>
              <w:t>aminotransferase</w:t>
            </w:r>
            <w:proofErr w:type="spellEnd"/>
            <w:r w:rsidRPr="00B4737D">
              <w:rPr>
                <w:sz w:val="24"/>
                <w:szCs w:val="24"/>
                <w:lang w:val="fr-BE"/>
              </w:rPr>
              <w:t xml:space="preserve"> </w:t>
            </w:r>
            <w:proofErr w:type="spellStart"/>
            <w:r w:rsidRPr="00B4737D">
              <w:rPr>
                <w:sz w:val="24"/>
                <w:szCs w:val="24"/>
                <w:lang w:val="fr-BE"/>
              </w:rPr>
              <w:t>increased</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473AD5F9" w14:textId="77777777" w:rsidR="00B4737D" w:rsidRPr="00B4737D" w:rsidRDefault="00B4737D" w:rsidP="00D438C9">
            <w:pPr>
              <w:rPr>
                <w:sz w:val="24"/>
                <w:szCs w:val="24"/>
                <w:lang w:val="fr-BE"/>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372F933D" w14:textId="77777777" w:rsidR="00B4737D" w:rsidRPr="00B4737D" w:rsidRDefault="00B4737D" w:rsidP="00D438C9">
            <w:pPr>
              <w:rPr>
                <w:sz w:val="24"/>
                <w:szCs w:val="24"/>
                <w:lang w:val="fr-BE"/>
              </w:rPr>
            </w:pPr>
            <w:r w:rsidRPr="00B4737D">
              <w:rPr>
                <w:sz w:val="24"/>
                <w:szCs w:val="24"/>
                <w:lang w:val="fr-BE"/>
              </w:rPr>
              <w:t xml:space="preserve">Common </w:t>
            </w:r>
          </w:p>
        </w:tc>
        <w:tc>
          <w:tcPr>
            <w:tcW w:w="1152" w:type="pct"/>
            <w:tcBorders>
              <w:top w:val="single" w:sz="4" w:space="0" w:color="auto"/>
              <w:left w:val="single" w:sz="4" w:space="0" w:color="auto"/>
              <w:bottom w:val="single" w:sz="4" w:space="0" w:color="auto"/>
              <w:right w:val="single" w:sz="4" w:space="0" w:color="auto"/>
            </w:tcBorders>
            <w:hideMark/>
          </w:tcPr>
          <w:p w14:paraId="37306693" w14:textId="77777777" w:rsidR="00B4737D" w:rsidRPr="00B4737D" w:rsidRDefault="00B4737D" w:rsidP="00D438C9">
            <w:pPr>
              <w:rPr>
                <w:sz w:val="24"/>
                <w:szCs w:val="24"/>
                <w:lang w:val="fr-BE"/>
              </w:rPr>
            </w:pPr>
            <w:r w:rsidRPr="00B4737D">
              <w:rPr>
                <w:sz w:val="24"/>
                <w:szCs w:val="24"/>
                <w:lang w:val="fr-BE"/>
              </w:rPr>
              <w:t>Common</w:t>
            </w:r>
          </w:p>
        </w:tc>
      </w:tr>
      <w:tr w:rsidR="00B4737D" w:rsidRPr="00A23483" w14:paraId="3D49C8DC"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4C2B8994" w14:textId="77777777" w:rsidR="00B4737D" w:rsidRPr="00B4737D" w:rsidRDefault="00B4737D" w:rsidP="00D438C9">
            <w:pPr>
              <w:rPr>
                <w:i/>
                <w:iCs/>
                <w:sz w:val="24"/>
                <w:szCs w:val="24"/>
                <w:lang w:val="en-US"/>
              </w:rPr>
            </w:pPr>
            <w:r w:rsidRPr="00B4737D">
              <w:rPr>
                <w:i/>
                <w:iCs/>
                <w:sz w:val="24"/>
                <w:szCs w:val="24"/>
                <w:lang w:val="en-US"/>
              </w:rPr>
              <w:t xml:space="preserve">Skin and subcutaneous tissue disorders </w:t>
            </w:r>
          </w:p>
        </w:tc>
      </w:tr>
      <w:tr w:rsidR="00B4737D" w:rsidRPr="00B4737D" w14:paraId="15512342"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2AB6E72" w14:textId="77777777" w:rsidR="00B4737D" w:rsidRPr="00B4737D" w:rsidRDefault="00B4737D" w:rsidP="00D438C9">
            <w:pPr>
              <w:rPr>
                <w:sz w:val="24"/>
                <w:szCs w:val="24"/>
                <w:lang w:val="en-US"/>
              </w:rPr>
            </w:pPr>
            <w:r w:rsidRPr="00B4737D">
              <w:rPr>
                <w:sz w:val="24"/>
                <w:szCs w:val="24"/>
                <w:lang w:val="fr-BE"/>
              </w:rPr>
              <w:t xml:space="preserve">Skin rash </w:t>
            </w:r>
          </w:p>
        </w:tc>
        <w:tc>
          <w:tcPr>
            <w:tcW w:w="1445" w:type="pct"/>
            <w:tcBorders>
              <w:top w:val="single" w:sz="4" w:space="0" w:color="auto"/>
              <w:left w:val="single" w:sz="4" w:space="0" w:color="auto"/>
              <w:bottom w:val="single" w:sz="4" w:space="0" w:color="auto"/>
              <w:right w:val="single" w:sz="4" w:space="0" w:color="auto"/>
            </w:tcBorders>
            <w:hideMark/>
          </w:tcPr>
          <w:p w14:paraId="15B8F30B"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7350A87D" w14:textId="77777777" w:rsidR="00B4737D" w:rsidRPr="00B4737D" w:rsidRDefault="00B4737D" w:rsidP="00D438C9">
            <w:pPr>
              <w:rPr>
                <w:sz w:val="24"/>
                <w:szCs w:val="24"/>
                <w:lang w:val="en-US"/>
              </w:rPr>
            </w:pPr>
            <w:r w:rsidRPr="00B4737D">
              <w:rPr>
                <w:sz w:val="24"/>
                <w:szCs w:val="24"/>
                <w:lang w:val="fr-BE"/>
              </w:rPr>
              <w:t xml:space="preserve">Common </w:t>
            </w:r>
          </w:p>
        </w:tc>
        <w:tc>
          <w:tcPr>
            <w:tcW w:w="1152" w:type="pct"/>
            <w:tcBorders>
              <w:top w:val="single" w:sz="4" w:space="0" w:color="auto"/>
              <w:left w:val="single" w:sz="4" w:space="0" w:color="auto"/>
              <w:bottom w:val="single" w:sz="4" w:space="0" w:color="auto"/>
              <w:right w:val="single" w:sz="4" w:space="0" w:color="auto"/>
            </w:tcBorders>
            <w:hideMark/>
          </w:tcPr>
          <w:p w14:paraId="785CA5CA"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7D270F60"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64C24B9A" w14:textId="77777777" w:rsidR="00B4737D" w:rsidRPr="00B4737D" w:rsidRDefault="00B4737D" w:rsidP="00D438C9">
            <w:pPr>
              <w:rPr>
                <w:sz w:val="24"/>
                <w:szCs w:val="24"/>
                <w:lang w:val="en-US"/>
              </w:rPr>
            </w:pPr>
            <w:proofErr w:type="spellStart"/>
            <w:r w:rsidRPr="00B4737D">
              <w:rPr>
                <w:sz w:val="24"/>
                <w:szCs w:val="24"/>
                <w:lang w:val="fr-BE"/>
              </w:rPr>
              <w:t>Alopecia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0CDB4EBB"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5468121B"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378B7C29"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76EF293F"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E85D7F3" w14:textId="77777777" w:rsidR="00B4737D" w:rsidRPr="00B4737D" w:rsidRDefault="00B4737D" w:rsidP="00D438C9">
            <w:pPr>
              <w:rPr>
                <w:sz w:val="24"/>
                <w:szCs w:val="24"/>
                <w:lang w:val="en-US"/>
              </w:rPr>
            </w:pPr>
            <w:proofErr w:type="spellStart"/>
            <w:r w:rsidRPr="00B4737D">
              <w:rPr>
                <w:sz w:val="24"/>
                <w:szCs w:val="24"/>
                <w:lang w:val="fr-BE"/>
              </w:rPr>
              <w:t>Erythema</w:t>
            </w:r>
            <w:proofErr w:type="spellEnd"/>
            <w:r w:rsidRPr="00B4737D">
              <w:rPr>
                <w:sz w:val="24"/>
                <w:szCs w:val="24"/>
                <w:lang w:val="fr-BE"/>
              </w:rPr>
              <w:t xml:space="preserve"> multiforme </w:t>
            </w:r>
          </w:p>
        </w:tc>
        <w:tc>
          <w:tcPr>
            <w:tcW w:w="1445" w:type="pct"/>
            <w:tcBorders>
              <w:top w:val="single" w:sz="4" w:space="0" w:color="auto"/>
              <w:left w:val="single" w:sz="4" w:space="0" w:color="auto"/>
              <w:bottom w:val="single" w:sz="4" w:space="0" w:color="auto"/>
              <w:right w:val="single" w:sz="4" w:space="0" w:color="auto"/>
            </w:tcBorders>
            <w:hideMark/>
          </w:tcPr>
          <w:p w14:paraId="4FBA6BB4" w14:textId="77777777" w:rsidR="00B4737D" w:rsidRPr="00B4737D" w:rsidRDefault="00B4737D" w:rsidP="00D438C9">
            <w:pPr>
              <w:rPr>
                <w:sz w:val="24"/>
                <w:szCs w:val="24"/>
                <w:lang w:val="en-US"/>
              </w:rPr>
            </w:pPr>
            <w:r w:rsidRPr="00B4737D">
              <w:rPr>
                <w:sz w:val="24"/>
                <w:szCs w:val="24"/>
                <w:lang w:val="fr-BE"/>
              </w:rPr>
              <w:t xml:space="preserve">Very rare </w:t>
            </w:r>
          </w:p>
        </w:tc>
        <w:tc>
          <w:tcPr>
            <w:tcW w:w="1153" w:type="pct"/>
            <w:tcBorders>
              <w:top w:val="single" w:sz="4" w:space="0" w:color="auto"/>
              <w:left w:val="single" w:sz="4" w:space="0" w:color="auto"/>
              <w:bottom w:val="single" w:sz="4" w:space="0" w:color="auto"/>
              <w:right w:val="single" w:sz="4" w:space="0" w:color="auto"/>
            </w:tcBorders>
            <w:hideMark/>
          </w:tcPr>
          <w:p w14:paraId="3DC2BDD8" w14:textId="77777777" w:rsidR="00B4737D" w:rsidRPr="00B4737D" w:rsidRDefault="00B4737D" w:rsidP="00D438C9">
            <w:pPr>
              <w:rPr>
                <w:sz w:val="24"/>
                <w:szCs w:val="24"/>
                <w:lang w:val="en-US"/>
              </w:rPr>
            </w:pPr>
            <w:r w:rsidRPr="00B4737D">
              <w:rPr>
                <w:sz w:val="24"/>
                <w:szCs w:val="24"/>
                <w:lang w:val="fr-BE"/>
              </w:rPr>
              <w:t xml:space="preserve">Not </w:t>
            </w:r>
            <w:proofErr w:type="spellStart"/>
            <w:r w:rsidRPr="00B4737D">
              <w:rPr>
                <w:sz w:val="24"/>
                <w:szCs w:val="24"/>
                <w:lang w:val="fr-BE"/>
              </w:rPr>
              <w:t>known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72F9DF0F"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0633049C"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00E5E2E" w14:textId="77777777" w:rsidR="00B4737D" w:rsidRPr="00B4737D" w:rsidRDefault="00B4737D" w:rsidP="00D438C9">
            <w:pPr>
              <w:rPr>
                <w:sz w:val="24"/>
                <w:szCs w:val="24"/>
                <w:lang w:val="en-US"/>
              </w:rPr>
            </w:pPr>
            <w:proofErr w:type="spellStart"/>
            <w:r w:rsidRPr="00B4737D">
              <w:rPr>
                <w:sz w:val="24"/>
                <w:szCs w:val="24"/>
                <w:lang w:val="fr-BE"/>
              </w:rPr>
              <w:t>Cutaneous</w:t>
            </w:r>
            <w:proofErr w:type="spellEnd"/>
            <w:r w:rsidRPr="00B4737D">
              <w:rPr>
                <w:sz w:val="24"/>
                <w:szCs w:val="24"/>
                <w:lang w:val="fr-BE"/>
              </w:rPr>
              <w:t xml:space="preserve"> </w:t>
            </w:r>
            <w:proofErr w:type="spellStart"/>
            <w:r w:rsidRPr="00B4737D">
              <w:rPr>
                <w:sz w:val="24"/>
                <w:szCs w:val="24"/>
                <w:lang w:val="fr-BE"/>
              </w:rPr>
              <w:t>vasculitis</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523FF422" w14:textId="77777777" w:rsidR="00B4737D" w:rsidRPr="00B4737D" w:rsidRDefault="00B4737D" w:rsidP="00D438C9">
            <w:pPr>
              <w:rPr>
                <w:sz w:val="24"/>
                <w:szCs w:val="24"/>
                <w:lang w:val="en-US"/>
              </w:rPr>
            </w:pPr>
            <w:r w:rsidRPr="00B4737D">
              <w:rPr>
                <w:sz w:val="24"/>
                <w:szCs w:val="24"/>
                <w:lang w:val="fr-BE"/>
              </w:rPr>
              <w:t xml:space="preserve">Not </w:t>
            </w:r>
            <w:proofErr w:type="spellStart"/>
            <w:r w:rsidRPr="00B4737D">
              <w:rPr>
                <w:sz w:val="24"/>
                <w:szCs w:val="24"/>
                <w:lang w:val="fr-BE"/>
              </w:rPr>
              <w:t>known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7A85ABFE" w14:textId="77777777" w:rsidR="00B4737D" w:rsidRPr="00B4737D" w:rsidRDefault="00B4737D" w:rsidP="00D438C9">
            <w:pPr>
              <w:rPr>
                <w:sz w:val="24"/>
                <w:szCs w:val="24"/>
                <w:lang w:val="en-US"/>
              </w:rPr>
            </w:pPr>
            <w:r w:rsidRPr="00B4737D">
              <w:rPr>
                <w:sz w:val="24"/>
                <w:szCs w:val="24"/>
                <w:lang w:val="fr-BE"/>
              </w:rPr>
              <w:t xml:space="preserve">Not </w:t>
            </w:r>
            <w:proofErr w:type="spellStart"/>
            <w:r w:rsidRPr="00B4737D">
              <w:rPr>
                <w:sz w:val="24"/>
                <w:szCs w:val="24"/>
                <w:lang w:val="fr-BE"/>
              </w:rPr>
              <w:t>known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752421D6"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A23483" w14:paraId="548FBDD7"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6E447D81" w14:textId="77777777" w:rsidR="00B4737D" w:rsidRPr="00B4737D" w:rsidRDefault="00B4737D" w:rsidP="00D438C9">
            <w:pPr>
              <w:rPr>
                <w:i/>
                <w:iCs/>
                <w:sz w:val="24"/>
                <w:szCs w:val="24"/>
                <w:lang w:val="en-US"/>
              </w:rPr>
            </w:pPr>
            <w:r w:rsidRPr="00B4737D">
              <w:rPr>
                <w:i/>
                <w:iCs/>
                <w:sz w:val="24"/>
                <w:szCs w:val="24"/>
                <w:lang w:val="en-US"/>
              </w:rPr>
              <w:t>Musculoskeletal and connective tissue disorders</w:t>
            </w:r>
          </w:p>
        </w:tc>
      </w:tr>
      <w:tr w:rsidR="00B4737D" w:rsidRPr="00B4737D" w14:paraId="5D5E9E06"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2972C43D" w14:textId="77777777" w:rsidR="00B4737D" w:rsidRPr="00B4737D" w:rsidRDefault="00B4737D" w:rsidP="00D438C9">
            <w:pPr>
              <w:rPr>
                <w:sz w:val="24"/>
                <w:szCs w:val="24"/>
                <w:lang w:val="en-US"/>
              </w:rPr>
            </w:pPr>
            <w:r w:rsidRPr="00B4737D">
              <w:rPr>
                <w:sz w:val="24"/>
                <w:szCs w:val="24"/>
                <w:lang w:val="fr-BE"/>
              </w:rPr>
              <w:t xml:space="preserve">Muscle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32DF178D" w14:textId="77777777" w:rsidR="00B4737D" w:rsidRPr="00B4737D" w:rsidRDefault="00B4737D" w:rsidP="00D438C9">
            <w:pPr>
              <w:rPr>
                <w:sz w:val="24"/>
                <w:szCs w:val="24"/>
                <w:lang w:val="en-US"/>
              </w:rPr>
            </w:pPr>
            <w:r w:rsidRPr="00B4737D">
              <w:rPr>
                <w:sz w:val="24"/>
                <w:szCs w:val="24"/>
                <w:lang w:val="fr-BE"/>
              </w:rPr>
              <w:t xml:space="preserve">Rare </w:t>
            </w:r>
          </w:p>
        </w:tc>
        <w:tc>
          <w:tcPr>
            <w:tcW w:w="1153" w:type="pct"/>
            <w:tcBorders>
              <w:top w:val="single" w:sz="4" w:space="0" w:color="auto"/>
              <w:left w:val="single" w:sz="4" w:space="0" w:color="auto"/>
              <w:bottom w:val="single" w:sz="4" w:space="0" w:color="auto"/>
              <w:right w:val="single" w:sz="4" w:space="0" w:color="auto"/>
            </w:tcBorders>
            <w:hideMark/>
          </w:tcPr>
          <w:p w14:paraId="33974953"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4DE4CB78"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05B2FD09"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11E12772" w14:textId="77777777" w:rsidR="00B4737D" w:rsidRPr="00B4737D" w:rsidRDefault="00B4737D" w:rsidP="00D438C9">
            <w:pPr>
              <w:rPr>
                <w:i/>
                <w:iCs/>
                <w:sz w:val="24"/>
                <w:szCs w:val="24"/>
                <w:lang w:val="fr-BE"/>
              </w:rPr>
            </w:pPr>
            <w:proofErr w:type="spellStart"/>
            <w:r w:rsidRPr="00B4737D">
              <w:rPr>
                <w:i/>
                <w:iCs/>
                <w:sz w:val="24"/>
                <w:szCs w:val="24"/>
                <w:lang w:val="fr-BE"/>
              </w:rPr>
              <w:t>Renal</w:t>
            </w:r>
            <w:proofErr w:type="spellEnd"/>
            <w:r w:rsidRPr="00B4737D">
              <w:rPr>
                <w:i/>
                <w:iCs/>
                <w:sz w:val="24"/>
                <w:szCs w:val="24"/>
                <w:lang w:val="fr-BE"/>
              </w:rPr>
              <w:t xml:space="preserve"> and </w:t>
            </w:r>
            <w:proofErr w:type="spellStart"/>
            <w:r w:rsidRPr="00B4737D">
              <w:rPr>
                <w:i/>
                <w:iCs/>
                <w:sz w:val="24"/>
                <w:szCs w:val="24"/>
                <w:lang w:val="fr-BE"/>
              </w:rPr>
              <w:t>urinary</w:t>
            </w:r>
            <w:proofErr w:type="spellEnd"/>
            <w:r w:rsidRPr="00B4737D">
              <w:rPr>
                <w:i/>
                <w:iCs/>
                <w:sz w:val="24"/>
                <w:szCs w:val="24"/>
                <w:lang w:val="fr-BE"/>
              </w:rPr>
              <w:t xml:space="preserve"> </w:t>
            </w:r>
            <w:proofErr w:type="spellStart"/>
            <w:r w:rsidRPr="00B4737D">
              <w:rPr>
                <w:i/>
                <w:iCs/>
                <w:sz w:val="24"/>
                <w:szCs w:val="24"/>
                <w:lang w:val="fr-BE"/>
              </w:rPr>
              <w:t>disorders</w:t>
            </w:r>
            <w:proofErr w:type="spellEnd"/>
            <w:r w:rsidRPr="00B4737D">
              <w:rPr>
                <w:i/>
                <w:iCs/>
                <w:sz w:val="24"/>
                <w:szCs w:val="24"/>
                <w:lang w:val="fr-BE"/>
              </w:rPr>
              <w:t xml:space="preserve"> </w:t>
            </w:r>
          </w:p>
        </w:tc>
      </w:tr>
      <w:tr w:rsidR="00B4737D" w:rsidRPr="00B4737D" w14:paraId="38D711AB"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3EA1F3B9" w14:textId="77777777" w:rsidR="00B4737D" w:rsidRPr="00B4737D" w:rsidRDefault="00B4737D" w:rsidP="00D438C9">
            <w:pPr>
              <w:rPr>
                <w:sz w:val="24"/>
                <w:szCs w:val="24"/>
                <w:lang w:val="en-US"/>
              </w:rPr>
            </w:pPr>
            <w:proofErr w:type="spellStart"/>
            <w:r w:rsidRPr="00B4737D">
              <w:rPr>
                <w:sz w:val="24"/>
                <w:szCs w:val="24"/>
                <w:lang w:val="fr-BE"/>
              </w:rPr>
              <w:t>Haematuria</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660FD58C" w14:textId="77777777" w:rsidR="00B4737D" w:rsidRPr="00B4737D" w:rsidRDefault="00B4737D" w:rsidP="00D438C9">
            <w:pPr>
              <w:rPr>
                <w:sz w:val="24"/>
                <w:szCs w:val="24"/>
                <w:lang w:val="en-US"/>
              </w:rPr>
            </w:pPr>
            <w:r w:rsidRPr="00B4737D">
              <w:rPr>
                <w:sz w:val="24"/>
                <w:szCs w:val="24"/>
                <w:lang w:val="fr-BE"/>
              </w:rPr>
              <w:t xml:space="preserve">Common </w:t>
            </w:r>
          </w:p>
        </w:tc>
        <w:tc>
          <w:tcPr>
            <w:tcW w:w="1153" w:type="pct"/>
            <w:tcBorders>
              <w:top w:val="single" w:sz="4" w:space="0" w:color="auto"/>
              <w:left w:val="single" w:sz="4" w:space="0" w:color="auto"/>
              <w:bottom w:val="single" w:sz="4" w:space="0" w:color="auto"/>
              <w:right w:val="single" w:sz="4" w:space="0" w:color="auto"/>
            </w:tcBorders>
            <w:hideMark/>
          </w:tcPr>
          <w:p w14:paraId="088057CB" w14:textId="77777777" w:rsidR="00B4737D" w:rsidRPr="00B4737D" w:rsidRDefault="00B4737D" w:rsidP="00D438C9">
            <w:pPr>
              <w:rPr>
                <w:sz w:val="24"/>
                <w:szCs w:val="24"/>
                <w:lang w:val="en-US"/>
              </w:rPr>
            </w:pPr>
            <w:r w:rsidRPr="00B4737D">
              <w:rPr>
                <w:sz w:val="24"/>
                <w:szCs w:val="24"/>
                <w:lang w:val="fr-BE"/>
              </w:rPr>
              <w:t xml:space="preserve">Common </w:t>
            </w:r>
          </w:p>
        </w:tc>
        <w:tc>
          <w:tcPr>
            <w:tcW w:w="1152" w:type="pct"/>
            <w:tcBorders>
              <w:top w:val="single" w:sz="4" w:space="0" w:color="auto"/>
              <w:left w:val="single" w:sz="4" w:space="0" w:color="auto"/>
              <w:bottom w:val="single" w:sz="4" w:space="0" w:color="auto"/>
              <w:right w:val="single" w:sz="4" w:space="0" w:color="auto"/>
            </w:tcBorders>
            <w:hideMark/>
          </w:tcPr>
          <w:p w14:paraId="3EB4CADB"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19530017"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4659F3BA" w14:textId="31BA359B" w:rsidR="00B4737D" w:rsidRPr="00B4737D" w:rsidRDefault="00B4737D" w:rsidP="00BD07DC">
            <w:pPr>
              <w:rPr>
                <w:sz w:val="24"/>
                <w:szCs w:val="24"/>
                <w:lang w:val="fr-BE"/>
              </w:rPr>
            </w:pPr>
            <w:r w:rsidRPr="00B4737D">
              <w:rPr>
                <w:sz w:val="24"/>
                <w:szCs w:val="24"/>
                <w:lang w:val="fr-BE"/>
              </w:rPr>
              <w:t>Anticoagulant-</w:t>
            </w:r>
            <w:proofErr w:type="spellStart"/>
            <w:r w:rsidRPr="00B4737D">
              <w:rPr>
                <w:sz w:val="24"/>
                <w:szCs w:val="24"/>
                <w:lang w:val="fr-BE"/>
              </w:rPr>
              <w:t>related</w:t>
            </w:r>
            <w:proofErr w:type="spellEnd"/>
            <w:r w:rsidR="00BD07DC">
              <w:rPr>
                <w:sz w:val="24"/>
                <w:szCs w:val="24"/>
                <w:lang w:val="fr-BE"/>
              </w:rPr>
              <w:t xml:space="preserve"> </w:t>
            </w:r>
            <w:proofErr w:type="spellStart"/>
            <w:r w:rsidRPr="00B4737D">
              <w:rPr>
                <w:sz w:val="24"/>
                <w:szCs w:val="24"/>
                <w:lang w:val="fr-BE"/>
              </w:rPr>
              <w:t>nephropathy</w:t>
            </w:r>
            <w:proofErr w:type="spellEnd"/>
          </w:p>
        </w:tc>
        <w:tc>
          <w:tcPr>
            <w:tcW w:w="1445" w:type="pct"/>
            <w:tcBorders>
              <w:top w:val="single" w:sz="4" w:space="0" w:color="auto"/>
              <w:left w:val="single" w:sz="4" w:space="0" w:color="auto"/>
              <w:bottom w:val="single" w:sz="4" w:space="0" w:color="auto"/>
              <w:right w:val="single" w:sz="4" w:space="0" w:color="auto"/>
            </w:tcBorders>
            <w:hideMark/>
          </w:tcPr>
          <w:p w14:paraId="03E80A27"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c>
          <w:tcPr>
            <w:tcW w:w="1153" w:type="pct"/>
            <w:tcBorders>
              <w:top w:val="single" w:sz="4" w:space="0" w:color="auto"/>
              <w:left w:val="single" w:sz="4" w:space="0" w:color="auto"/>
              <w:bottom w:val="single" w:sz="4" w:space="0" w:color="auto"/>
              <w:right w:val="single" w:sz="4" w:space="0" w:color="auto"/>
            </w:tcBorders>
            <w:hideMark/>
          </w:tcPr>
          <w:p w14:paraId="77DA3D00"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c>
          <w:tcPr>
            <w:tcW w:w="1152" w:type="pct"/>
            <w:tcBorders>
              <w:top w:val="single" w:sz="4" w:space="0" w:color="auto"/>
              <w:left w:val="single" w:sz="4" w:space="0" w:color="auto"/>
              <w:bottom w:val="single" w:sz="4" w:space="0" w:color="auto"/>
              <w:right w:val="single" w:sz="4" w:space="0" w:color="auto"/>
            </w:tcBorders>
            <w:hideMark/>
          </w:tcPr>
          <w:p w14:paraId="0A632A1B"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A23483" w14:paraId="7E03D5F0"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20372143" w14:textId="77777777" w:rsidR="00B4737D" w:rsidRPr="00B4737D" w:rsidRDefault="00B4737D" w:rsidP="00D438C9">
            <w:pPr>
              <w:rPr>
                <w:i/>
                <w:iCs/>
                <w:sz w:val="24"/>
                <w:szCs w:val="24"/>
                <w:lang w:val="en-US"/>
              </w:rPr>
            </w:pPr>
            <w:r w:rsidRPr="00B4737D">
              <w:rPr>
                <w:i/>
                <w:iCs/>
                <w:sz w:val="24"/>
                <w:szCs w:val="24"/>
                <w:lang w:val="en-US"/>
              </w:rPr>
              <w:t xml:space="preserve">Reproductive system and breast disorders </w:t>
            </w:r>
          </w:p>
        </w:tc>
      </w:tr>
      <w:tr w:rsidR="00B4737D" w:rsidRPr="00B4737D" w14:paraId="1DF34A63"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743346C7" w14:textId="77777777" w:rsidR="00B4737D" w:rsidRPr="00B4737D" w:rsidRDefault="00B4737D" w:rsidP="00D438C9">
            <w:pPr>
              <w:rPr>
                <w:sz w:val="24"/>
                <w:szCs w:val="24"/>
                <w:lang w:val="en-US"/>
              </w:rPr>
            </w:pPr>
            <w:r w:rsidRPr="00B4737D">
              <w:rPr>
                <w:sz w:val="24"/>
                <w:szCs w:val="24"/>
                <w:lang w:val="en-US"/>
              </w:rPr>
              <w:t xml:space="preserve">Abnormal vaginal </w:t>
            </w:r>
            <w:proofErr w:type="spellStart"/>
            <w:r w:rsidRPr="00B4737D">
              <w:rPr>
                <w:sz w:val="24"/>
                <w:szCs w:val="24"/>
                <w:lang w:val="en-US"/>
              </w:rPr>
              <w:t>haemorrhage</w:t>
            </w:r>
            <w:proofErr w:type="spellEnd"/>
            <w:r w:rsidRPr="00B4737D">
              <w:rPr>
                <w:sz w:val="24"/>
                <w:szCs w:val="24"/>
                <w:lang w:val="en-US"/>
              </w:rPr>
              <w:t xml:space="preserve">, urogenital </w:t>
            </w:r>
            <w:proofErr w:type="spellStart"/>
            <w:r w:rsidRPr="00B4737D">
              <w:rPr>
                <w:sz w:val="24"/>
                <w:szCs w:val="24"/>
                <w:lang w:val="en-US"/>
              </w:rPr>
              <w:t>haemorrhage</w:t>
            </w:r>
            <w:proofErr w:type="spellEnd"/>
            <w:r w:rsidRPr="00B4737D">
              <w:rPr>
                <w:sz w:val="24"/>
                <w:szCs w:val="24"/>
                <w:lang w:val="en-US"/>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6E2F4464"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265F9329" w14:textId="77777777" w:rsidR="00B4737D" w:rsidRPr="00B4737D" w:rsidRDefault="00B4737D" w:rsidP="00D438C9">
            <w:pPr>
              <w:rPr>
                <w:sz w:val="24"/>
                <w:szCs w:val="24"/>
                <w:lang w:val="en-US"/>
              </w:rPr>
            </w:pPr>
            <w:r w:rsidRPr="00B4737D">
              <w:rPr>
                <w:sz w:val="24"/>
                <w:szCs w:val="24"/>
                <w:lang w:val="fr-BE"/>
              </w:rPr>
              <w:t xml:space="preserve">Common </w:t>
            </w:r>
          </w:p>
        </w:tc>
        <w:tc>
          <w:tcPr>
            <w:tcW w:w="1152" w:type="pct"/>
            <w:tcBorders>
              <w:top w:val="single" w:sz="4" w:space="0" w:color="auto"/>
              <w:left w:val="single" w:sz="4" w:space="0" w:color="auto"/>
              <w:bottom w:val="single" w:sz="4" w:space="0" w:color="auto"/>
              <w:right w:val="single" w:sz="4" w:space="0" w:color="auto"/>
            </w:tcBorders>
            <w:hideMark/>
          </w:tcPr>
          <w:p w14:paraId="3B9D55D9" w14:textId="77777777" w:rsidR="00B4737D" w:rsidRPr="00B4737D" w:rsidRDefault="00B4737D" w:rsidP="00D438C9">
            <w:pPr>
              <w:rPr>
                <w:sz w:val="24"/>
                <w:szCs w:val="24"/>
                <w:lang w:val="fr-BE"/>
              </w:rPr>
            </w:pPr>
            <w:r w:rsidRPr="00B4737D">
              <w:rPr>
                <w:sz w:val="24"/>
                <w:szCs w:val="24"/>
                <w:lang w:val="fr-BE"/>
              </w:rPr>
              <w:t xml:space="preserve">Very </w:t>
            </w:r>
            <w:proofErr w:type="spellStart"/>
            <w:r w:rsidRPr="00B4737D">
              <w:rPr>
                <w:sz w:val="24"/>
                <w:szCs w:val="24"/>
                <w:lang w:val="fr-BE"/>
              </w:rPr>
              <w:t>common</w:t>
            </w:r>
            <w:proofErr w:type="spellEnd"/>
            <w:r w:rsidRPr="00B4737D">
              <w:rPr>
                <w:sz w:val="24"/>
                <w:szCs w:val="24"/>
                <w:vertAlign w:val="superscript"/>
                <w:lang w:val="fr-BE"/>
              </w:rPr>
              <w:t>§</w:t>
            </w:r>
          </w:p>
        </w:tc>
      </w:tr>
      <w:tr w:rsidR="00B4737D" w:rsidRPr="00A23483" w14:paraId="667CAD49"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197988AA" w14:textId="77777777" w:rsidR="00B4737D" w:rsidRPr="00B4737D" w:rsidRDefault="00B4737D" w:rsidP="00D438C9">
            <w:pPr>
              <w:rPr>
                <w:i/>
                <w:iCs/>
                <w:sz w:val="24"/>
                <w:szCs w:val="24"/>
                <w:lang w:val="en-US"/>
              </w:rPr>
            </w:pPr>
            <w:r w:rsidRPr="00B4737D">
              <w:rPr>
                <w:i/>
                <w:iCs/>
                <w:sz w:val="24"/>
                <w:szCs w:val="24"/>
                <w:lang w:val="en-US"/>
              </w:rPr>
              <w:t xml:space="preserve">General disorders and administration site conditions </w:t>
            </w:r>
          </w:p>
        </w:tc>
      </w:tr>
      <w:tr w:rsidR="00B4737D" w:rsidRPr="00B4737D" w14:paraId="2F4C1285"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5810A6F4" w14:textId="77777777" w:rsidR="00B4737D" w:rsidRPr="00B4737D" w:rsidRDefault="00B4737D" w:rsidP="00D438C9">
            <w:pPr>
              <w:rPr>
                <w:sz w:val="24"/>
                <w:szCs w:val="24"/>
                <w:lang w:val="en-US"/>
              </w:rPr>
            </w:pPr>
            <w:r w:rsidRPr="00B4737D">
              <w:rPr>
                <w:sz w:val="24"/>
                <w:szCs w:val="24"/>
                <w:lang w:val="fr-BE"/>
              </w:rPr>
              <w:t xml:space="preserve">Application site </w:t>
            </w:r>
            <w:proofErr w:type="spellStart"/>
            <w:r w:rsidRPr="00B4737D">
              <w:rPr>
                <w:sz w:val="24"/>
                <w:szCs w:val="24"/>
                <w:lang w:val="fr-BE"/>
              </w:rPr>
              <w:t>bleeding</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1E1CBE4"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1E5796DD"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21435622"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B4737D" w14:paraId="0CDDC3A6"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146F4CB0" w14:textId="77777777" w:rsidR="00B4737D" w:rsidRPr="00B4737D" w:rsidRDefault="00B4737D" w:rsidP="00D438C9">
            <w:pPr>
              <w:rPr>
                <w:i/>
                <w:iCs/>
                <w:sz w:val="24"/>
                <w:szCs w:val="24"/>
                <w:lang w:val="fr-BE"/>
              </w:rPr>
            </w:pPr>
            <w:r w:rsidRPr="00B4737D">
              <w:rPr>
                <w:i/>
                <w:iCs/>
                <w:sz w:val="24"/>
                <w:szCs w:val="24"/>
                <w:lang w:val="fr-BE"/>
              </w:rPr>
              <w:t xml:space="preserve">Investigations </w:t>
            </w:r>
          </w:p>
        </w:tc>
      </w:tr>
      <w:tr w:rsidR="00B4737D" w:rsidRPr="00B4737D" w14:paraId="134FC2E1"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32A76443" w14:textId="77777777" w:rsidR="00B4737D" w:rsidRPr="00B4737D" w:rsidRDefault="00B4737D" w:rsidP="00D438C9">
            <w:pPr>
              <w:rPr>
                <w:sz w:val="24"/>
                <w:szCs w:val="24"/>
                <w:lang w:val="en-US"/>
              </w:rPr>
            </w:pPr>
            <w:proofErr w:type="spellStart"/>
            <w:r w:rsidRPr="00B4737D">
              <w:rPr>
                <w:sz w:val="24"/>
                <w:szCs w:val="24"/>
                <w:lang w:val="fr-BE"/>
              </w:rPr>
              <w:t>Occult</w:t>
            </w:r>
            <w:proofErr w:type="spellEnd"/>
            <w:r w:rsidRPr="00B4737D">
              <w:rPr>
                <w:sz w:val="24"/>
                <w:szCs w:val="24"/>
                <w:lang w:val="fr-BE"/>
              </w:rPr>
              <w:t xml:space="preserve"> </w:t>
            </w:r>
            <w:proofErr w:type="spellStart"/>
            <w:r w:rsidRPr="00B4737D">
              <w:rPr>
                <w:sz w:val="24"/>
                <w:szCs w:val="24"/>
                <w:lang w:val="fr-BE"/>
              </w:rPr>
              <w:t>blood</w:t>
            </w:r>
            <w:proofErr w:type="spellEnd"/>
            <w:r w:rsidRPr="00B4737D">
              <w:rPr>
                <w:sz w:val="24"/>
                <w:szCs w:val="24"/>
                <w:lang w:val="fr-BE"/>
              </w:rPr>
              <w:t xml:space="preserve"> positive </w:t>
            </w:r>
          </w:p>
        </w:tc>
        <w:tc>
          <w:tcPr>
            <w:tcW w:w="1445" w:type="pct"/>
            <w:tcBorders>
              <w:top w:val="single" w:sz="4" w:space="0" w:color="auto"/>
              <w:left w:val="single" w:sz="4" w:space="0" w:color="auto"/>
              <w:bottom w:val="single" w:sz="4" w:space="0" w:color="auto"/>
              <w:right w:val="single" w:sz="4" w:space="0" w:color="auto"/>
            </w:tcBorders>
            <w:hideMark/>
          </w:tcPr>
          <w:p w14:paraId="5ABE3794"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4E670F6B"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62C74FDD"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r w:rsidR="00B4737D" w:rsidRPr="00A23483" w14:paraId="2AC9A857" w14:textId="77777777" w:rsidTr="00D438C9">
        <w:trPr>
          <w:trHeight w:val="147"/>
        </w:trPr>
        <w:tc>
          <w:tcPr>
            <w:tcW w:w="5000" w:type="pct"/>
            <w:gridSpan w:val="4"/>
            <w:tcBorders>
              <w:top w:val="single" w:sz="4" w:space="0" w:color="auto"/>
              <w:left w:val="single" w:sz="4" w:space="0" w:color="auto"/>
              <w:bottom w:val="single" w:sz="4" w:space="0" w:color="auto"/>
              <w:right w:val="single" w:sz="4" w:space="0" w:color="auto"/>
            </w:tcBorders>
            <w:hideMark/>
          </w:tcPr>
          <w:p w14:paraId="75F3F34C" w14:textId="77777777" w:rsidR="00B4737D" w:rsidRPr="00B4737D" w:rsidRDefault="00B4737D" w:rsidP="00D438C9">
            <w:pPr>
              <w:rPr>
                <w:i/>
                <w:iCs/>
                <w:sz w:val="24"/>
                <w:szCs w:val="24"/>
                <w:lang w:val="en-US"/>
              </w:rPr>
            </w:pPr>
            <w:r w:rsidRPr="00B4737D">
              <w:rPr>
                <w:i/>
                <w:iCs/>
                <w:sz w:val="24"/>
                <w:szCs w:val="24"/>
                <w:lang w:val="en-US"/>
              </w:rPr>
              <w:lastRenderedPageBreak/>
              <w:t xml:space="preserve">Injury, poisoning and procedural complications </w:t>
            </w:r>
          </w:p>
        </w:tc>
      </w:tr>
      <w:tr w:rsidR="00B4737D" w:rsidRPr="00B4737D" w14:paraId="34F2E665"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154BE3A8" w14:textId="77777777" w:rsidR="00B4737D" w:rsidRPr="00B4737D" w:rsidRDefault="00B4737D" w:rsidP="00D438C9">
            <w:pPr>
              <w:rPr>
                <w:sz w:val="24"/>
                <w:szCs w:val="24"/>
                <w:lang w:val="en-US"/>
              </w:rPr>
            </w:pPr>
            <w:r w:rsidRPr="00B4737D">
              <w:rPr>
                <w:sz w:val="24"/>
                <w:szCs w:val="24"/>
                <w:lang w:val="fr-BE"/>
              </w:rPr>
              <w:t xml:space="preserve">Contusion </w:t>
            </w:r>
          </w:p>
        </w:tc>
        <w:tc>
          <w:tcPr>
            <w:tcW w:w="1445" w:type="pct"/>
            <w:tcBorders>
              <w:top w:val="single" w:sz="4" w:space="0" w:color="auto"/>
              <w:left w:val="single" w:sz="4" w:space="0" w:color="auto"/>
              <w:bottom w:val="single" w:sz="4" w:space="0" w:color="auto"/>
              <w:right w:val="single" w:sz="4" w:space="0" w:color="auto"/>
            </w:tcBorders>
            <w:hideMark/>
          </w:tcPr>
          <w:p w14:paraId="1B69538A" w14:textId="77777777" w:rsidR="00B4737D" w:rsidRPr="00B4737D" w:rsidRDefault="00B4737D" w:rsidP="00D438C9">
            <w:pPr>
              <w:rPr>
                <w:sz w:val="24"/>
                <w:szCs w:val="24"/>
                <w:lang w:val="en-US"/>
              </w:rPr>
            </w:pPr>
            <w:r w:rsidRPr="00B4737D">
              <w:rPr>
                <w:sz w:val="24"/>
                <w:szCs w:val="24"/>
                <w:lang w:val="fr-BE"/>
              </w:rPr>
              <w:t xml:space="preserve">Common </w:t>
            </w:r>
          </w:p>
        </w:tc>
        <w:tc>
          <w:tcPr>
            <w:tcW w:w="1153" w:type="pct"/>
            <w:tcBorders>
              <w:top w:val="single" w:sz="4" w:space="0" w:color="auto"/>
              <w:left w:val="single" w:sz="4" w:space="0" w:color="auto"/>
              <w:bottom w:val="single" w:sz="4" w:space="0" w:color="auto"/>
              <w:right w:val="single" w:sz="4" w:space="0" w:color="auto"/>
            </w:tcBorders>
            <w:hideMark/>
          </w:tcPr>
          <w:p w14:paraId="32B68EC1" w14:textId="77777777" w:rsidR="00B4737D" w:rsidRPr="00B4737D" w:rsidRDefault="00B4737D" w:rsidP="00D438C9">
            <w:pPr>
              <w:rPr>
                <w:sz w:val="24"/>
                <w:szCs w:val="24"/>
                <w:lang w:val="en-US"/>
              </w:rPr>
            </w:pPr>
            <w:r w:rsidRPr="00B4737D">
              <w:rPr>
                <w:sz w:val="24"/>
                <w:szCs w:val="24"/>
                <w:lang w:val="fr-BE"/>
              </w:rPr>
              <w:t xml:space="preserve">Common </w:t>
            </w:r>
          </w:p>
        </w:tc>
        <w:tc>
          <w:tcPr>
            <w:tcW w:w="1152" w:type="pct"/>
            <w:tcBorders>
              <w:top w:val="single" w:sz="4" w:space="0" w:color="auto"/>
              <w:left w:val="single" w:sz="4" w:space="0" w:color="auto"/>
              <w:bottom w:val="single" w:sz="4" w:space="0" w:color="auto"/>
              <w:right w:val="single" w:sz="4" w:space="0" w:color="auto"/>
            </w:tcBorders>
            <w:hideMark/>
          </w:tcPr>
          <w:p w14:paraId="208F4FBE"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2C16E9E6"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657D7746" w14:textId="77777777" w:rsidR="00B4737D" w:rsidRPr="00B4737D" w:rsidRDefault="00B4737D" w:rsidP="00D438C9">
            <w:pPr>
              <w:rPr>
                <w:sz w:val="24"/>
                <w:szCs w:val="24"/>
                <w:lang w:val="en-US"/>
              </w:rPr>
            </w:pPr>
            <w:r w:rsidRPr="00B4737D">
              <w:rPr>
                <w:sz w:val="24"/>
                <w:szCs w:val="24"/>
                <w:lang w:val="en-US"/>
              </w:rPr>
              <w:t xml:space="preserve">Post procedural </w:t>
            </w:r>
            <w:proofErr w:type="spellStart"/>
            <w:r w:rsidRPr="00B4737D">
              <w:rPr>
                <w:sz w:val="24"/>
                <w:szCs w:val="24"/>
                <w:lang w:val="en-US"/>
              </w:rPr>
              <w:t>haemorrhage</w:t>
            </w:r>
            <w:proofErr w:type="spellEnd"/>
            <w:r w:rsidRPr="00B4737D">
              <w:rPr>
                <w:sz w:val="24"/>
                <w:szCs w:val="24"/>
                <w:lang w:val="en-US"/>
              </w:rPr>
              <w:t xml:space="preserve"> (including post procedural </w:t>
            </w:r>
            <w:proofErr w:type="spellStart"/>
            <w:r w:rsidRPr="00B4737D">
              <w:rPr>
                <w:sz w:val="24"/>
                <w:szCs w:val="24"/>
                <w:lang w:val="en-US"/>
              </w:rPr>
              <w:t>haematoma</w:t>
            </w:r>
            <w:proofErr w:type="spellEnd"/>
            <w:r w:rsidRPr="00B4737D">
              <w:rPr>
                <w:sz w:val="24"/>
                <w:szCs w:val="24"/>
                <w:lang w:val="en-US"/>
              </w:rPr>
              <w:t xml:space="preserve">, wound </w:t>
            </w:r>
            <w:proofErr w:type="spellStart"/>
            <w:r w:rsidRPr="00B4737D">
              <w:rPr>
                <w:sz w:val="24"/>
                <w:szCs w:val="24"/>
                <w:lang w:val="en-US"/>
              </w:rPr>
              <w:t>haemorrhage</w:t>
            </w:r>
            <w:proofErr w:type="spellEnd"/>
            <w:r w:rsidRPr="00B4737D">
              <w:rPr>
                <w:sz w:val="24"/>
                <w:szCs w:val="24"/>
                <w:lang w:val="en-US"/>
              </w:rPr>
              <w:t xml:space="preserve">, vessel puncture site </w:t>
            </w:r>
            <w:proofErr w:type="spellStart"/>
            <w:r w:rsidRPr="00B4737D">
              <w:rPr>
                <w:sz w:val="24"/>
                <w:szCs w:val="24"/>
                <w:lang w:val="en-US"/>
              </w:rPr>
              <w:t>haematoma</w:t>
            </w:r>
            <w:proofErr w:type="spellEnd"/>
            <w:r w:rsidRPr="00B4737D">
              <w:rPr>
                <w:sz w:val="24"/>
                <w:szCs w:val="24"/>
                <w:lang w:val="en-US"/>
              </w:rPr>
              <w:t xml:space="preserve"> and catheter site </w:t>
            </w:r>
            <w:proofErr w:type="spellStart"/>
            <w:r w:rsidRPr="00B4737D">
              <w:rPr>
                <w:sz w:val="24"/>
                <w:szCs w:val="24"/>
                <w:lang w:val="en-US"/>
              </w:rPr>
              <w:t>haemorrhage</w:t>
            </w:r>
            <w:proofErr w:type="spellEnd"/>
            <w:r w:rsidRPr="00B4737D">
              <w:rPr>
                <w:sz w:val="24"/>
                <w:szCs w:val="24"/>
                <w:lang w:val="en-US"/>
              </w:rPr>
              <w:t xml:space="preserve">), wound secretion, incision site </w:t>
            </w:r>
            <w:proofErr w:type="spellStart"/>
            <w:r w:rsidRPr="00B4737D">
              <w:rPr>
                <w:sz w:val="24"/>
                <w:szCs w:val="24"/>
                <w:lang w:val="en-US"/>
              </w:rPr>
              <w:t>haemorrhage</w:t>
            </w:r>
            <w:proofErr w:type="spellEnd"/>
            <w:r w:rsidRPr="00B4737D">
              <w:rPr>
                <w:sz w:val="24"/>
                <w:szCs w:val="24"/>
                <w:lang w:val="en-US"/>
              </w:rPr>
              <w:t xml:space="preserve"> (including incision site </w:t>
            </w:r>
            <w:proofErr w:type="spellStart"/>
            <w:r w:rsidRPr="00B4737D">
              <w:rPr>
                <w:sz w:val="24"/>
                <w:szCs w:val="24"/>
                <w:lang w:val="en-US"/>
              </w:rPr>
              <w:t>haematoma</w:t>
            </w:r>
            <w:proofErr w:type="spellEnd"/>
            <w:r w:rsidRPr="00B4737D">
              <w:rPr>
                <w:sz w:val="24"/>
                <w:szCs w:val="24"/>
                <w:lang w:val="en-US"/>
              </w:rPr>
              <w:t xml:space="preserve">), operative </w:t>
            </w:r>
            <w:proofErr w:type="spellStart"/>
            <w:r w:rsidRPr="00B4737D">
              <w:rPr>
                <w:sz w:val="24"/>
                <w:szCs w:val="24"/>
                <w:lang w:val="en-US"/>
              </w:rPr>
              <w:t>haemorrhage</w:t>
            </w:r>
            <w:proofErr w:type="spellEnd"/>
            <w:r w:rsidRPr="00B4737D">
              <w:rPr>
                <w:sz w:val="24"/>
                <w:szCs w:val="24"/>
                <w:lang w:val="en-US"/>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19559651"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03746BC2"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2456AC26" w14:textId="77777777" w:rsidR="00B4737D" w:rsidRPr="00B4737D" w:rsidRDefault="00B4737D" w:rsidP="00D438C9">
            <w:pPr>
              <w:rPr>
                <w:sz w:val="24"/>
                <w:szCs w:val="24"/>
                <w:lang w:val="fr-BE"/>
              </w:rPr>
            </w:pPr>
            <w:r w:rsidRPr="00B4737D">
              <w:rPr>
                <w:sz w:val="24"/>
                <w:szCs w:val="24"/>
                <w:lang w:val="fr-BE"/>
              </w:rPr>
              <w:t>Common</w:t>
            </w:r>
          </w:p>
        </w:tc>
      </w:tr>
      <w:tr w:rsidR="00B4737D" w:rsidRPr="00B4737D" w14:paraId="68DB72E6" w14:textId="77777777" w:rsidTr="00D438C9">
        <w:trPr>
          <w:trHeight w:val="147"/>
        </w:trPr>
        <w:tc>
          <w:tcPr>
            <w:tcW w:w="1250" w:type="pct"/>
            <w:tcBorders>
              <w:top w:val="single" w:sz="4" w:space="0" w:color="auto"/>
              <w:left w:val="single" w:sz="4" w:space="0" w:color="auto"/>
              <w:bottom w:val="single" w:sz="4" w:space="0" w:color="auto"/>
              <w:right w:val="single" w:sz="4" w:space="0" w:color="auto"/>
            </w:tcBorders>
            <w:hideMark/>
          </w:tcPr>
          <w:p w14:paraId="0617E9F6" w14:textId="77777777" w:rsidR="00B4737D" w:rsidRPr="00B4737D" w:rsidRDefault="00B4737D" w:rsidP="00D438C9">
            <w:pPr>
              <w:rPr>
                <w:sz w:val="24"/>
                <w:szCs w:val="24"/>
                <w:lang w:val="en-US"/>
              </w:rPr>
            </w:pPr>
            <w:proofErr w:type="spellStart"/>
            <w:r w:rsidRPr="00B4737D">
              <w:rPr>
                <w:sz w:val="24"/>
                <w:szCs w:val="24"/>
                <w:lang w:val="fr-BE"/>
              </w:rPr>
              <w:t>Traumatic</w:t>
            </w:r>
            <w:proofErr w:type="spellEnd"/>
            <w:r w:rsidRPr="00B4737D">
              <w:rPr>
                <w:sz w:val="24"/>
                <w:szCs w:val="24"/>
                <w:lang w:val="fr-BE"/>
              </w:rPr>
              <w:t xml:space="preserve"> </w:t>
            </w:r>
            <w:proofErr w:type="spellStart"/>
            <w:r w:rsidRPr="00B4737D">
              <w:rPr>
                <w:sz w:val="24"/>
                <w:szCs w:val="24"/>
                <w:lang w:val="fr-BE"/>
              </w:rPr>
              <w:t>haemorrhage</w:t>
            </w:r>
            <w:proofErr w:type="spellEnd"/>
            <w:r w:rsidRPr="00B4737D">
              <w:rPr>
                <w:sz w:val="24"/>
                <w:szCs w:val="24"/>
                <w:lang w:val="fr-BE"/>
              </w:rPr>
              <w:t xml:space="preserve"> </w:t>
            </w:r>
          </w:p>
        </w:tc>
        <w:tc>
          <w:tcPr>
            <w:tcW w:w="1445" w:type="pct"/>
            <w:tcBorders>
              <w:top w:val="single" w:sz="4" w:space="0" w:color="auto"/>
              <w:left w:val="single" w:sz="4" w:space="0" w:color="auto"/>
              <w:bottom w:val="single" w:sz="4" w:space="0" w:color="auto"/>
              <w:right w:val="single" w:sz="4" w:space="0" w:color="auto"/>
            </w:tcBorders>
            <w:hideMark/>
          </w:tcPr>
          <w:p w14:paraId="5E7727D4"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3" w:type="pct"/>
            <w:tcBorders>
              <w:top w:val="single" w:sz="4" w:space="0" w:color="auto"/>
              <w:left w:val="single" w:sz="4" w:space="0" w:color="auto"/>
              <w:bottom w:val="single" w:sz="4" w:space="0" w:color="auto"/>
              <w:right w:val="single" w:sz="4" w:space="0" w:color="auto"/>
            </w:tcBorders>
            <w:hideMark/>
          </w:tcPr>
          <w:p w14:paraId="1C3FE954" w14:textId="77777777" w:rsidR="00B4737D" w:rsidRPr="00B4737D" w:rsidRDefault="00B4737D" w:rsidP="00D438C9">
            <w:pPr>
              <w:rPr>
                <w:sz w:val="24"/>
                <w:szCs w:val="24"/>
                <w:lang w:val="en-US"/>
              </w:rPr>
            </w:pPr>
            <w:proofErr w:type="spellStart"/>
            <w:r w:rsidRPr="00B4737D">
              <w:rPr>
                <w:sz w:val="24"/>
                <w:szCs w:val="24"/>
                <w:lang w:val="fr-BE"/>
              </w:rPr>
              <w:t>Uncommon</w:t>
            </w:r>
            <w:proofErr w:type="spellEnd"/>
            <w:r w:rsidRPr="00B4737D">
              <w:rPr>
                <w:sz w:val="24"/>
                <w:szCs w:val="24"/>
                <w:lang w:val="fr-BE"/>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5AE6F1EA" w14:textId="77777777" w:rsidR="00B4737D" w:rsidRPr="00B4737D" w:rsidRDefault="00B4737D" w:rsidP="00D438C9">
            <w:pPr>
              <w:rPr>
                <w:sz w:val="24"/>
                <w:szCs w:val="24"/>
                <w:lang w:val="fr-BE"/>
              </w:rPr>
            </w:pPr>
            <w:r w:rsidRPr="00B4737D">
              <w:rPr>
                <w:sz w:val="24"/>
                <w:szCs w:val="24"/>
                <w:lang w:val="fr-BE"/>
              </w:rPr>
              <w:t xml:space="preserve">Not </w:t>
            </w:r>
            <w:proofErr w:type="spellStart"/>
            <w:r w:rsidRPr="00B4737D">
              <w:rPr>
                <w:sz w:val="24"/>
                <w:szCs w:val="24"/>
                <w:lang w:val="fr-BE"/>
              </w:rPr>
              <w:t>known</w:t>
            </w:r>
            <w:proofErr w:type="spellEnd"/>
          </w:p>
        </w:tc>
      </w:tr>
    </w:tbl>
    <w:p w14:paraId="45D3DA0A" w14:textId="41164BCC" w:rsidR="00B4737D" w:rsidRPr="00B4737D" w:rsidRDefault="00B4737D" w:rsidP="00D438C9">
      <w:pPr>
        <w:ind w:left="284" w:hanging="284"/>
        <w:rPr>
          <w:sz w:val="24"/>
          <w:szCs w:val="24"/>
          <w:lang w:val="en-US"/>
        </w:rPr>
      </w:pPr>
      <w:proofErr w:type="gramStart"/>
      <w:r w:rsidRPr="00B4737D">
        <w:rPr>
          <w:sz w:val="24"/>
          <w:szCs w:val="24"/>
          <w:lang w:val="en-US"/>
        </w:rPr>
        <w:t xml:space="preserve">* </w:t>
      </w:r>
      <w:r w:rsidR="00D438C9" w:rsidRPr="001C1AA7">
        <w:rPr>
          <w:sz w:val="24"/>
          <w:szCs w:val="24"/>
          <w:lang w:val="en-US"/>
        </w:rPr>
        <w:tab/>
      </w:r>
      <w:r w:rsidRPr="00B4737D">
        <w:rPr>
          <w:sz w:val="24"/>
          <w:szCs w:val="24"/>
          <w:lang w:val="en-US"/>
        </w:rPr>
        <w:t>There</w:t>
      </w:r>
      <w:proofErr w:type="gramEnd"/>
      <w:r w:rsidRPr="00B4737D">
        <w:rPr>
          <w:sz w:val="24"/>
          <w:szCs w:val="24"/>
          <w:lang w:val="en-US"/>
        </w:rPr>
        <w:t xml:space="preserve"> were no occurrences of </w:t>
      </w:r>
      <w:proofErr w:type="spellStart"/>
      <w:r w:rsidRPr="00B4737D">
        <w:rPr>
          <w:sz w:val="24"/>
          <w:szCs w:val="24"/>
          <w:lang w:val="en-US"/>
        </w:rPr>
        <w:t>generalised</w:t>
      </w:r>
      <w:proofErr w:type="spellEnd"/>
      <w:r w:rsidRPr="00B4737D">
        <w:rPr>
          <w:sz w:val="24"/>
          <w:szCs w:val="24"/>
          <w:lang w:val="en-US"/>
        </w:rPr>
        <w:t xml:space="preserve"> pruritus in CV185057 (long term prevention of VTE) </w:t>
      </w:r>
    </w:p>
    <w:p w14:paraId="6B608E77" w14:textId="0F669AFE" w:rsidR="00B4737D" w:rsidRPr="00B4737D" w:rsidRDefault="00B4737D" w:rsidP="00D438C9">
      <w:pPr>
        <w:ind w:left="284" w:hanging="284"/>
        <w:rPr>
          <w:sz w:val="24"/>
          <w:szCs w:val="24"/>
          <w:lang w:val="en-US"/>
        </w:rPr>
      </w:pPr>
      <w:r w:rsidRPr="00B4737D">
        <w:rPr>
          <w:sz w:val="24"/>
          <w:szCs w:val="24"/>
          <w:lang w:val="en-US"/>
        </w:rPr>
        <w:t xml:space="preserve">† </w:t>
      </w:r>
      <w:r w:rsidR="00D438C9" w:rsidRPr="001C1AA7">
        <w:rPr>
          <w:sz w:val="24"/>
          <w:szCs w:val="24"/>
          <w:lang w:val="en-US"/>
        </w:rPr>
        <w:tab/>
      </w:r>
      <w:r w:rsidRPr="00B4737D">
        <w:rPr>
          <w:sz w:val="24"/>
          <w:szCs w:val="24"/>
          <w:lang w:val="en-US"/>
        </w:rPr>
        <w:t xml:space="preserve">The term “Brain </w:t>
      </w:r>
      <w:proofErr w:type="spellStart"/>
      <w:r w:rsidRPr="00B4737D">
        <w:rPr>
          <w:sz w:val="24"/>
          <w:szCs w:val="24"/>
          <w:lang w:val="en-US"/>
        </w:rPr>
        <w:t>haemorrhage</w:t>
      </w:r>
      <w:proofErr w:type="spellEnd"/>
      <w:r w:rsidRPr="00B4737D">
        <w:rPr>
          <w:sz w:val="24"/>
          <w:szCs w:val="24"/>
          <w:lang w:val="en-US"/>
        </w:rPr>
        <w:t xml:space="preserve">” encompasses all intracranial or intraspinal </w:t>
      </w:r>
      <w:proofErr w:type="spellStart"/>
      <w:r w:rsidRPr="00B4737D">
        <w:rPr>
          <w:sz w:val="24"/>
          <w:szCs w:val="24"/>
          <w:lang w:val="en-US"/>
        </w:rPr>
        <w:t>haemorrhages</w:t>
      </w:r>
      <w:proofErr w:type="spellEnd"/>
      <w:r w:rsidRPr="00B4737D">
        <w:rPr>
          <w:sz w:val="24"/>
          <w:szCs w:val="24"/>
          <w:lang w:val="en-US"/>
        </w:rPr>
        <w:t xml:space="preserve"> (i.e., </w:t>
      </w:r>
      <w:proofErr w:type="spellStart"/>
      <w:r w:rsidRPr="00B4737D">
        <w:rPr>
          <w:sz w:val="24"/>
          <w:szCs w:val="24"/>
          <w:lang w:val="en-US"/>
        </w:rPr>
        <w:t>haemorrhagic</w:t>
      </w:r>
      <w:proofErr w:type="spellEnd"/>
      <w:r w:rsidRPr="00B4737D">
        <w:rPr>
          <w:sz w:val="24"/>
          <w:szCs w:val="24"/>
          <w:lang w:val="en-US"/>
        </w:rPr>
        <w:t xml:space="preserve"> stroke or putamen, cerebellar, intraventricular, or subdural </w:t>
      </w:r>
      <w:proofErr w:type="spellStart"/>
      <w:r w:rsidRPr="00B4737D">
        <w:rPr>
          <w:sz w:val="24"/>
          <w:szCs w:val="24"/>
          <w:lang w:val="en-US"/>
        </w:rPr>
        <w:t>haemorrhages</w:t>
      </w:r>
      <w:proofErr w:type="spellEnd"/>
      <w:r w:rsidRPr="00B4737D">
        <w:rPr>
          <w:sz w:val="24"/>
          <w:szCs w:val="24"/>
          <w:lang w:val="en-US"/>
        </w:rPr>
        <w:t>).</w:t>
      </w:r>
    </w:p>
    <w:p w14:paraId="72466D74" w14:textId="6E54B97E" w:rsidR="00B4737D" w:rsidRPr="00B4737D" w:rsidRDefault="00B4737D" w:rsidP="00D438C9">
      <w:pPr>
        <w:ind w:left="284" w:hanging="284"/>
        <w:rPr>
          <w:sz w:val="24"/>
          <w:szCs w:val="24"/>
          <w:lang w:val="en-US"/>
        </w:rPr>
      </w:pPr>
      <w:r w:rsidRPr="00B4737D">
        <w:rPr>
          <w:sz w:val="24"/>
          <w:szCs w:val="24"/>
          <w:lang w:val="en-US"/>
        </w:rPr>
        <w:t xml:space="preserve">‡ </w:t>
      </w:r>
      <w:r w:rsidR="00D438C9" w:rsidRPr="001C1AA7">
        <w:rPr>
          <w:sz w:val="24"/>
          <w:szCs w:val="24"/>
          <w:lang w:val="en-US"/>
        </w:rPr>
        <w:tab/>
      </w:r>
      <w:r w:rsidRPr="00B4737D">
        <w:rPr>
          <w:sz w:val="24"/>
          <w:szCs w:val="24"/>
          <w:lang w:val="en-US"/>
        </w:rPr>
        <w:t>Includes anaphylactic reaction, drug hypersensitivity, and hypersensitivity.</w:t>
      </w:r>
    </w:p>
    <w:p w14:paraId="12E1EFA8" w14:textId="435D11F5" w:rsidR="00B4737D" w:rsidRPr="00B4737D" w:rsidRDefault="00B4737D" w:rsidP="00D438C9">
      <w:pPr>
        <w:ind w:left="284" w:hanging="284"/>
        <w:rPr>
          <w:sz w:val="24"/>
          <w:szCs w:val="24"/>
          <w:lang w:val="en-US"/>
        </w:rPr>
      </w:pPr>
      <w:r w:rsidRPr="00B4737D">
        <w:rPr>
          <w:sz w:val="24"/>
          <w:szCs w:val="24"/>
          <w:lang w:val="en-US"/>
        </w:rPr>
        <w:t xml:space="preserve">§ </w:t>
      </w:r>
      <w:r w:rsidR="00D438C9" w:rsidRPr="001C1AA7">
        <w:rPr>
          <w:sz w:val="24"/>
          <w:szCs w:val="24"/>
          <w:lang w:val="en-US"/>
        </w:rPr>
        <w:tab/>
      </w:r>
      <w:r w:rsidRPr="00B4737D">
        <w:rPr>
          <w:sz w:val="24"/>
          <w:szCs w:val="24"/>
          <w:lang w:val="en-US"/>
        </w:rPr>
        <w:t xml:space="preserve">Includes heavy menstrual bleeding, intermenstrual bleeding, and vaginal </w:t>
      </w:r>
      <w:proofErr w:type="spellStart"/>
      <w:r w:rsidRPr="00B4737D">
        <w:rPr>
          <w:sz w:val="24"/>
          <w:szCs w:val="24"/>
          <w:lang w:val="en-US"/>
        </w:rPr>
        <w:t>haemorrhage</w:t>
      </w:r>
      <w:proofErr w:type="spellEnd"/>
      <w:r w:rsidRPr="00B4737D">
        <w:rPr>
          <w:sz w:val="24"/>
          <w:szCs w:val="24"/>
          <w:lang w:val="en-US"/>
        </w:rPr>
        <w:t>.</w:t>
      </w:r>
    </w:p>
    <w:p w14:paraId="00B3C4E5" w14:textId="77777777" w:rsidR="00B4737D" w:rsidRPr="00B4737D" w:rsidRDefault="00B4737D" w:rsidP="00B4737D">
      <w:pPr>
        <w:tabs>
          <w:tab w:val="left" w:pos="851"/>
        </w:tabs>
        <w:ind w:left="851"/>
        <w:rPr>
          <w:sz w:val="24"/>
          <w:szCs w:val="24"/>
          <w:lang w:val="en-US"/>
        </w:rPr>
      </w:pPr>
    </w:p>
    <w:p w14:paraId="0B9535E6" w14:textId="77777777" w:rsidR="00B4737D" w:rsidRPr="00B4737D" w:rsidRDefault="00B4737D" w:rsidP="00D438C9">
      <w:pPr>
        <w:ind w:left="851"/>
        <w:rPr>
          <w:sz w:val="24"/>
          <w:szCs w:val="24"/>
          <w:lang w:val="en-GB"/>
        </w:rPr>
      </w:pPr>
      <w:r w:rsidRPr="00B4737D">
        <w:rPr>
          <w:sz w:val="24"/>
          <w:szCs w:val="24"/>
          <w:lang w:val="en-GB"/>
        </w:rPr>
        <w:t xml:space="preserve">The use of apixaban may be associated with an increased risk of occult or overt bleeding from any tissue or organ, which may result in </w:t>
      </w:r>
      <w:proofErr w:type="spellStart"/>
      <w:r w:rsidRPr="00B4737D">
        <w:rPr>
          <w:sz w:val="24"/>
          <w:szCs w:val="24"/>
          <w:lang w:val="en-GB"/>
        </w:rPr>
        <w:t>posthaemorrhagic</w:t>
      </w:r>
      <w:proofErr w:type="spellEnd"/>
      <w:r w:rsidRPr="00B4737D">
        <w:rPr>
          <w:sz w:val="24"/>
          <w:szCs w:val="24"/>
          <w:lang w:val="en-GB"/>
        </w:rPr>
        <w:t xml:space="preserve"> anaemia. The signs, symptoms, and severity will vary according to the location and degree or extent of the bleeding (see sections 4.4 and 5.1).</w:t>
      </w:r>
    </w:p>
    <w:p w14:paraId="76416E94" w14:textId="77777777" w:rsidR="00B4737D" w:rsidRPr="00B4737D" w:rsidRDefault="00B4737D" w:rsidP="00D438C9">
      <w:pPr>
        <w:ind w:left="851"/>
        <w:rPr>
          <w:sz w:val="24"/>
          <w:szCs w:val="24"/>
          <w:u w:val="single"/>
          <w:lang w:val="en-US"/>
        </w:rPr>
      </w:pPr>
    </w:p>
    <w:p w14:paraId="473C07AF" w14:textId="77777777" w:rsidR="00B4737D" w:rsidRPr="00B4737D" w:rsidRDefault="00B4737D" w:rsidP="00D438C9">
      <w:pPr>
        <w:ind w:left="851"/>
        <w:rPr>
          <w:sz w:val="24"/>
          <w:szCs w:val="24"/>
          <w:u w:val="single"/>
          <w:lang w:val="en-US"/>
        </w:rPr>
      </w:pPr>
      <w:r w:rsidRPr="00B4737D">
        <w:rPr>
          <w:sz w:val="24"/>
          <w:szCs w:val="24"/>
          <w:u w:val="single"/>
          <w:lang w:val="en-US"/>
        </w:rPr>
        <w:t>Paediatric population</w:t>
      </w:r>
    </w:p>
    <w:p w14:paraId="315F0679" w14:textId="5E30DAB0" w:rsidR="00B4737D" w:rsidRPr="00B4737D" w:rsidRDefault="00B4737D" w:rsidP="00D438C9">
      <w:pPr>
        <w:ind w:left="851"/>
        <w:rPr>
          <w:sz w:val="24"/>
          <w:szCs w:val="24"/>
          <w:lang w:val="en-US"/>
        </w:rPr>
      </w:pPr>
      <w:r w:rsidRPr="00B4737D">
        <w:rPr>
          <w:sz w:val="24"/>
          <w:szCs w:val="24"/>
          <w:lang w:val="en-US"/>
        </w:rPr>
        <w:t xml:space="preserve">The safety of apixaban has been investigated in 1 </w:t>
      </w:r>
      <w:proofErr w:type="gramStart"/>
      <w:r w:rsidRPr="00B4737D">
        <w:rPr>
          <w:sz w:val="24"/>
          <w:szCs w:val="24"/>
          <w:lang w:val="en-US"/>
        </w:rPr>
        <w:t>Phase</w:t>
      </w:r>
      <w:proofErr w:type="gramEnd"/>
      <w:r w:rsidRPr="00B4737D">
        <w:rPr>
          <w:sz w:val="24"/>
          <w:szCs w:val="24"/>
          <w:lang w:val="en-US"/>
        </w:rPr>
        <w:t xml:space="preserve"> I and 3 Phase II/III clinical studies including</w:t>
      </w:r>
      <w:r w:rsidR="00BD07DC">
        <w:rPr>
          <w:sz w:val="24"/>
          <w:szCs w:val="24"/>
          <w:lang w:val="en-US"/>
        </w:rPr>
        <w:t xml:space="preserve"> </w:t>
      </w:r>
      <w:r w:rsidRPr="00B4737D">
        <w:rPr>
          <w:sz w:val="24"/>
          <w:szCs w:val="24"/>
          <w:lang w:val="en-US"/>
        </w:rPr>
        <w:t>970 patients. Of these patients, 568 patients received one or more doses of apixaban for average total</w:t>
      </w:r>
      <w:r w:rsidR="00BD07DC">
        <w:rPr>
          <w:sz w:val="24"/>
          <w:szCs w:val="24"/>
          <w:lang w:val="en-US"/>
        </w:rPr>
        <w:t xml:space="preserve"> </w:t>
      </w:r>
      <w:r w:rsidRPr="00B4737D">
        <w:rPr>
          <w:sz w:val="24"/>
          <w:szCs w:val="24"/>
          <w:lang w:val="en-US"/>
        </w:rPr>
        <w:t>exposure of 1, 24, 331 and 80 days, respectively (see section 5.1). The patients received weight</w:t>
      </w:r>
      <w:r w:rsidR="00BD07DC">
        <w:rPr>
          <w:sz w:val="24"/>
          <w:szCs w:val="24"/>
          <w:lang w:val="en-US"/>
        </w:rPr>
        <w:t xml:space="preserve"> </w:t>
      </w:r>
      <w:r w:rsidRPr="00B4737D">
        <w:rPr>
          <w:sz w:val="24"/>
          <w:szCs w:val="24"/>
          <w:lang w:val="en-US"/>
        </w:rPr>
        <w:t>adjusted doses of an age-appropriate formulation of apixaban.</w:t>
      </w:r>
    </w:p>
    <w:p w14:paraId="2588241A" w14:textId="77777777" w:rsidR="00B4737D" w:rsidRPr="00B4737D" w:rsidRDefault="00B4737D" w:rsidP="00D438C9">
      <w:pPr>
        <w:ind w:left="851"/>
        <w:rPr>
          <w:sz w:val="24"/>
          <w:szCs w:val="24"/>
          <w:lang w:val="en-US"/>
        </w:rPr>
      </w:pPr>
    </w:p>
    <w:p w14:paraId="42E58A5B" w14:textId="7AF04C21" w:rsidR="00B4737D" w:rsidRPr="00B4737D" w:rsidRDefault="00B4737D" w:rsidP="00D438C9">
      <w:pPr>
        <w:ind w:left="851"/>
        <w:rPr>
          <w:sz w:val="24"/>
          <w:szCs w:val="24"/>
          <w:lang w:val="en-US"/>
        </w:rPr>
      </w:pPr>
      <w:r w:rsidRPr="00B4737D">
        <w:rPr>
          <w:sz w:val="24"/>
          <w:szCs w:val="24"/>
          <w:lang w:val="en-US"/>
        </w:rPr>
        <w:t xml:space="preserve">Overall, the safety profile of apixaban in paediatric patients 28 days to &lt; 18 years of age was </w:t>
      </w:r>
      <w:proofErr w:type="gramStart"/>
      <w:r w:rsidRPr="00B4737D">
        <w:rPr>
          <w:sz w:val="24"/>
          <w:szCs w:val="24"/>
          <w:lang w:val="en-US"/>
        </w:rPr>
        <w:t>similar to</w:t>
      </w:r>
      <w:proofErr w:type="gramEnd"/>
      <w:r w:rsidR="00BD07DC">
        <w:rPr>
          <w:sz w:val="24"/>
          <w:szCs w:val="24"/>
          <w:lang w:val="en-US"/>
        </w:rPr>
        <w:t xml:space="preserve"> </w:t>
      </w:r>
      <w:r w:rsidRPr="00B4737D">
        <w:rPr>
          <w:sz w:val="24"/>
          <w:szCs w:val="24"/>
          <w:lang w:val="en-US"/>
        </w:rPr>
        <w:t>that in adults and was generally consistent across different paediatric age groups.</w:t>
      </w:r>
    </w:p>
    <w:p w14:paraId="7AF99D3F" w14:textId="77777777" w:rsidR="00B4737D" w:rsidRPr="00B4737D" w:rsidRDefault="00B4737D" w:rsidP="00D438C9">
      <w:pPr>
        <w:ind w:left="851"/>
        <w:rPr>
          <w:sz w:val="24"/>
          <w:szCs w:val="24"/>
          <w:lang w:val="en-US"/>
        </w:rPr>
      </w:pPr>
    </w:p>
    <w:p w14:paraId="3FAF03DE" w14:textId="3A16A489" w:rsidR="00B4737D" w:rsidRPr="00B4737D" w:rsidRDefault="00B4737D" w:rsidP="00D438C9">
      <w:pPr>
        <w:ind w:left="851"/>
        <w:rPr>
          <w:sz w:val="24"/>
          <w:szCs w:val="24"/>
          <w:lang w:val="en-US"/>
        </w:rPr>
      </w:pPr>
      <w:r w:rsidRPr="00B4737D">
        <w:rPr>
          <w:sz w:val="24"/>
          <w:szCs w:val="24"/>
          <w:lang w:val="en-US"/>
        </w:rPr>
        <w:t xml:space="preserve">The </w:t>
      </w:r>
      <w:proofErr w:type="gramStart"/>
      <w:r w:rsidRPr="00B4737D">
        <w:rPr>
          <w:sz w:val="24"/>
          <w:szCs w:val="24"/>
          <w:lang w:val="en-US"/>
        </w:rPr>
        <w:t>most commonly reported</w:t>
      </w:r>
      <w:proofErr w:type="gramEnd"/>
      <w:r w:rsidRPr="00B4737D">
        <w:rPr>
          <w:sz w:val="24"/>
          <w:szCs w:val="24"/>
          <w:lang w:val="en-US"/>
        </w:rPr>
        <w:t xml:space="preserve"> adverse reactions in paediatric patients were epistaxis, and abnormal</w:t>
      </w:r>
      <w:r w:rsidR="00BD07DC">
        <w:rPr>
          <w:sz w:val="24"/>
          <w:szCs w:val="24"/>
          <w:lang w:val="en-US"/>
        </w:rPr>
        <w:t xml:space="preserve"> </w:t>
      </w:r>
      <w:r w:rsidRPr="00B4737D">
        <w:rPr>
          <w:sz w:val="24"/>
          <w:szCs w:val="24"/>
          <w:lang w:val="en-US"/>
        </w:rPr>
        <w:t xml:space="preserve">vaginal </w:t>
      </w:r>
      <w:proofErr w:type="spellStart"/>
      <w:r w:rsidRPr="00B4737D">
        <w:rPr>
          <w:sz w:val="24"/>
          <w:szCs w:val="24"/>
          <w:lang w:val="en-US"/>
        </w:rPr>
        <w:t>haemorrhage</w:t>
      </w:r>
      <w:proofErr w:type="spellEnd"/>
      <w:r w:rsidRPr="00B4737D">
        <w:rPr>
          <w:sz w:val="24"/>
          <w:szCs w:val="24"/>
          <w:lang w:val="en-US"/>
        </w:rPr>
        <w:t xml:space="preserve"> (see Table 3 for adverse reaction profile and frequencies by indication).</w:t>
      </w:r>
    </w:p>
    <w:p w14:paraId="383421A2" w14:textId="77777777" w:rsidR="00B4737D" w:rsidRPr="00B4737D" w:rsidRDefault="00B4737D" w:rsidP="00D438C9">
      <w:pPr>
        <w:ind w:left="851"/>
        <w:rPr>
          <w:sz w:val="24"/>
          <w:szCs w:val="24"/>
          <w:lang w:val="en-US"/>
        </w:rPr>
      </w:pPr>
    </w:p>
    <w:p w14:paraId="574CFF9D" w14:textId="12A46FEA" w:rsidR="00B4737D" w:rsidRPr="00B4737D" w:rsidRDefault="00B4737D" w:rsidP="00D438C9">
      <w:pPr>
        <w:ind w:left="851"/>
        <w:rPr>
          <w:sz w:val="24"/>
          <w:szCs w:val="24"/>
          <w:lang w:val="en-US"/>
        </w:rPr>
      </w:pPr>
      <w:r w:rsidRPr="00B4737D">
        <w:rPr>
          <w:sz w:val="24"/>
          <w:szCs w:val="24"/>
          <w:lang w:val="en-US"/>
        </w:rPr>
        <w:t xml:space="preserve">In paediatric patients, epistaxis (very common), abnormal vaginal </w:t>
      </w:r>
      <w:proofErr w:type="spellStart"/>
      <w:r w:rsidRPr="00B4737D">
        <w:rPr>
          <w:sz w:val="24"/>
          <w:szCs w:val="24"/>
          <w:lang w:val="en-US"/>
        </w:rPr>
        <w:t>haemorrhage</w:t>
      </w:r>
      <w:proofErr w:type="spellEnd"/>
      <w:r w:rsidRPr="00B4737D">
        <w:rPr>
          <w:sz w:val="24"/>
          <w:szCs w:val="24"/>
          <w:lang w:val="en-US"/>
        </w:rPr>
        <w:t xml:space="preserve"> (very common),</w:t>
      </w:r>
      <w:r w:rsidR="00BD07DC">
        <w:rPr>
          <w:sz w:val="24"/>
          <w:szCs w:val="24"/>
          <w:lang w:val="en-US"/>
        </w:rPr>
        <w:t xml:space="preserve"> </w:t>
      </w:r>
      <w:r w:rsidRPr="00B4737D">
        <w:rPr>
          <w:sz w:val="24"/>
          <w:szCs w:val="24"/>
          <w:lang w:val="en-US"/>
        </w:rPr>
        <w:t>hypersensitivity and anaphylaxis (common), pruritus (common), hypotension (common),</w:t>
      </w:r>
      <w:r w:rsidR="00BD07DC">
        <w:rPr>
          <w:sz w:val="24"/>
          <w:szCs w:val="24"/>
          <w:lang w:val="en-US"/>
        </w:rPr>
        <w:t xml:space="preserve"> </w:t>
      </w:r>
      <w:proofErr w:type="spellStart"/>
      <w:r w:rsidRPr="00B4737D">
        <w:rPr>
          <w:sz w:val="24"/>
          <w:szCs w:val="24"/>
          <w:lang w:val="en-US"/>
        </w:rPr>
        <w:t>haematochezia</w:t>
      </w:r>
      <w:proofErr w:type="spellEnd"/>
      <w:r w:rsidRPr="00B4737D">
        <w:rPr>
          <w:sz w:val="24"/>
          <w:szCs w:val="24"/>
          <w:lang w:val="en-US"/>
        </w:rPr>
        <w:t xml:space="preserve"> (common), aspartate aminotransferase increased (common), alopecia (common) and</w:t>
      </w:r>
      <w:r w:rsidR="00BD07DC">
        <w:rPr>
          <w:sz w:val="24"/>
          <w:szCs w:val="24"/>
          <w:lang w:val="en-US"/>
        </w:rPr>
        <w:t xml:space="preserve"> </w:t>
      </w:r>
      <w:r w:rsidRPr="00B4737D">
        <w:rPr>
          <w:sz w:val="24"/>
          <w:szCs w:val="24"/>
          <w:lang w:val="en-US"/>
        </w:rPr>
        <w:t xml:space="preserve">post procedural </w:t>
      </w:r>
      <w:proofErr w:type="spellStart"/>
      <w:r w:rsidRPr="00B4737D">
        <w:rPr>
          <w:sz w:val="24"/>
          <w:szCs w:val="24"/>
          <w:lang w:val="en-US"/>
        </w:rPr>
        <w:t>haemorrhage</w:t>
      </w:r>
      <w:proofErr w:type="spellEnd"/>
      <w:r w:rsidRPr="00B4737D">
        <w:rPr>
          <w:sz w:val="24"/>
          <w:szCs w:val="24"/>
          <w:lang w:val="en-US"/>
        </w:rPr>
        <w:t xml:space="preserve"> (common) were reported more frequently as compared to adults treated</w:t>
      </w:r>
      <w:r w:rsidR="00BD07DC">
        <w:rPr>
          <w:sz w:val="24"/>
          <w:szCs w:val="24"/>
          <w:lang w:val="en-US"/>
        </w:rPr>
        <w:t xml:space="preserve"> </w:t>
      </w:r>
      <w:r w:rsidRPr="00B4737D">
        <w:rPr>
          <w:sz w:val="24"/>
          <w:szCs w:val="24"/>
          <w:lang w:val="en-US"/>
        </w:rPr>
        <w:t xml:space="preserve">with apixaban, but in the same frequency category </w:t>
      </w:r>
      <w:r w:rsidRPr="00B4737D">
        <w:rPr>
          <w:sz w:val="24"/>
          <w:szCs w:val="24"/>
          <w:lang w:val="en-US"/>
        </w:rPr>
        <w:lastRenderedPageBreak/>
        <w:t>as the paediatric patients in the standard of care</w:t>
      </w:r>
      <w:r w:rsidR="00BD07DC">
        <w:rPr>
          <w:sz w:val="24"/>
          <w:szCs w:val="24"/>
          <w:lang w:val="en-US"/>
        </w:rPr>
        <w:t xml:space="preserve"> </w:t>
      </w:r>
      <w:r w:rsidRPr="00B4737D">
        <w:rPr>
          <w:sz w:val="24"/>
          <w:szCs w:val="24"/>
          <w:lang w:val="en-US"/>
        </w:rPr>
        <w:t xml:space="preserve">(SOC) arm; the only exception was abnormal vaginal </w:t>
      </w:r>
      <w:proofErr w:type="spellStart"/>
      <w:r w:rsidRPr="00B4737D">
        <w:rPr>
          <w:sz w:val="24"/>
          <w:szCs w:val="24"/>
          <w:lang w:val="en-US"/>
        </w:rPr>
        <w:t>haemorrhage</w:t>
      </w:r>
      <w:proofErr w:type="spellEnd"/>
      <w:r w:rsidRPr="00B4737D">
        <w:rPr>
          <w:sz w:val="24"/>
          <w:szCs w:val="24"/>
          <w:lang w:val="en-US"/>
        </w:rPr>
        <w:t>, which was reported as common in</w:t>
      </w:r>
      <w:r w:rsidR="00BD07DC">
        <w:rPr>
          <w:sz w:val="24"/>
          <w:szCs w:val="24"/>
          <w:lang w:val="en-US"/>
        </w:rPr>
        <w:t xml:space="preserve"> </w:t>
      </w:r>
      <w:r w:rsidRPr="00B4737D">
        <w:rPr>
          <w:sz w:val="24"/>
          <w:szCs w:val="24"/>
          <w:lang w:val="en-US"/>
        </w:rPr>
        <w:t>the SOC. In all but one case, hepatic transaminase elevations were reported in paediatric patients</w:t>
      </w:r>
      <w:r w:rsidR="00BD07DC">
        <w:rPr>
          <w:sz w:val="24"/>
          <w:szCs w:val="24"/>
          <w:lang w:val="en-US"/>
        </w:rPr>
        <w:t xml:space="preserve"> </w:t>
      </w:r>
      <w:r w:rsidRPr="00B4737D">
        <w:rPr>
          <w:sz w:val="24"/>
          <w:szCs w:val="24"/>
          <w:lang w:val="en-US"/>
        </w:rPr>
        <w:t>receiving concomitant chemotherapy for an underlying malignancy.</w:t>
      </w:r>
    </w:p>
    <w:p w14:paraId="3FF700BA" w14:textId="77777777" w:rsidR="00B4737D" w:rsidRPr="00B4737D" w:rsidRDefault="00B4737D" w:rsidP="00D438C9">
      <w:pPr>
        <w:ind w:left="851"/>
        <w:rPr>
          <w:sz w:val="24"/>
          <w:szCs w:val="24"/>
          <w:u w:val="single"/>
          <w:lang w:val="en-GB"/>
        </w:rPr>
      </w:pPr>
    </w:p>
    <w:p w14:paraId="2132527A" w14:textId="77777777" w:rsidR="00A12881" w:rsidRPr="00FD1824" w:rsidRDefault="00A12881" w:rsidP="00A12881">
      <w:pPr>
        <w:ind w:left="851"/>
        <w:rPr>
          <w:sz w:val="24"/>
          <w:szCs w:val="24"/>
          <w:u w:val="single"/>
          <w:lang w:val="en-GB"/>
        </w:rPr>
      </w:pPr>
      <w:r w:rsidRPr="00FD1824">
        <w:rPr>
          <w:sz w:val="24"/>
          <w:szCs w:val="24"/>
          <w:u w:val="single"/>
          <w:lang w:val="en-GB"/>
        </w:rPr>
        <w:t>Reporting of suspected adverse reactions</w:t>
      </w:r>
    </w:p>
    <w:p w14:paraId="2292E831" w14:textId="77777777" w:rsidR="00A12881" w:rsidRPr="00FD1824" w:rsidRDefault="00A12881" w:rsidP="00A12881">
      <w:pPr>
        <w:ind w:left="851"/>
        <w:rPr>
          <w:sz w:val="24"/>
          <w:szCs w:val="24"/>
          <w:lang w:val="en-GB"/>
        </w:rPr>
      </w:pPr>
      <w:r w:rsidRPr="00FD1824">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78E2596B" w14:textId="77777777" w:rsidR="00A12881" w:rsidRPr="00FD1824" w:rsidRDefault="00A12881" w:rsidP="00A12881">
      <w:pPr>
        <w:ind w:left="851"/>
        <w:rPr>
          <w:sz w:val="24"/>
          <w:szCs w:val="24"/>
          <w:lang w:val="en-GB"/>
        </w:rPr>
      </w:pPr>
    </w:p>
    <w:p w14:paraId="1E8D51DD" w14:textId="77777777" w:rsidR="00A12881" w:rsidRPr="00FD1824" w:rsidRDefault="00A12881" w:rsidP="00A12881">
      <w:pPr>
        <w:ind w:left="851"/>
        <w:rPr>
          <w:sz w:val="24"/>
          <w:szCs w:val="24"/>
        </w:rPr>
      </w:pPr>
      <w:r w:rsidRPr="00FD1824">
        <w:rPr>
          <w:sz w:val="24"/>
          <w:szCs w:val="24"/>
        </w:rPr>
        <w:t>Lægemiddelstyrelsen</w:t>
      </w:r>
    </w:p>
    <w:p w14:paraId="2E8A45A8" w14:textId="77777777" w:rsidR="00A12881" w:rsidRPr="00FD1824" w:rsidRDefault="00A12881" w:rsidP="00A12881">
      <w:pPr>
        <w:ind w:left="851"/>
        <w:rPr>
          <w:sz w:val="24"/>
          <w:szCs w:val="24"/>
        </w:rPr>
      </w:pPr>
      <w:r w:rsidRPr="00FD1824">
        <w:rPr>
          <w:sz w:val="24"/>
          <w:szCs w:val="24"/>
        </w:rPr>
        <w:t>Axel Heides Gade 1</w:t>
      </w:r>
    </w:p>
    <w:p w14:paraId="099F049E" w14:textId="77777777" w:rsidR="00A12881" w:rsidRPr="00FD1824" w:rsidRDefault="00A12881" w:rsidP="00A12881">
      <w:pPr>
        <w:ind w:left="851"/>
        <w:rPr>
          <w:sz w:val="24"/>
          <w:szCs w:val="24"/>
        </w:rPr>
      </w:pPr>
      <w:r w:rsidRPr="00FD1824">
        <w:rPr>
          <w:sz w:val="24"/>
          <w:szCs w:val="24"/>
        </w:rPr>
        <w:t>DK-2300 København S</w:t>
      </w:r>
    </w:p>
    <w:p w14:paraId="3480D8EC" w14:textId="77777777" w:rsidR="00A12881" w:rsidRPr="00A23483" w:rsidRDefault="00A12881" w:rsidP="00A12881">
      <w:pPr>
        <w:ind w:left="851"/>
        <w:rPr>
          <w:sz w:val="24"/>
          <w:szCs w:val="24"/>
          <w:lang w:val="en-US"/>
        </w:rPr>
      </w:pPr>
      <w:r w:rsidRPr="00A23483">
        <w:rPr>
          <w:sz w:val="24"/>
          <w:szCs w:val="24"/>
          <w:lang w:val="en-US"/>
        </w:rPr>
        <w:t>Website: www.meldenbivirkning.dk</w:t>
      </w:r>
    </w:p>
    <w:p w14:paraId="60CE017F" w14:textId="77777777" w:rsidR="007C5D2A" w:rsidRPr="001C1AA7" w:rsidRDefault="007C5D2A" w:rsidP="007A4CC6">
      <w:pPr>
        <w:tabs>
          <w:tab w:val="left" w:pos="851"/>
        </w:tabs>
        <w:ind w:left="851"/>
        <w:rPr>
          <w:sz w:val="24"/>
          <w:szCs w:val="24"/>
          <w:lang w:val="en-GB"/>
        </w:rPr>
      </w:pPr>
    </w:p>
    <w:p w14:paraId="5A1C486A"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4.9</w:t>
      </w:r>
      <w:r w:rsidRPr="001C1AA7">
        <w:rPr>
          <w:b/>
          <w:sz w:val="24"/>
          <w:szCs w:val="24"/>
          <w:lang w:val="en-GB"/>
        </w:rPr>
        <w:tab/>
        <w:t>Overdose</w:t>
      </w:r>
    </w:p>
    <w:p w14:paraId="2EA7C62C" w14:textId="77777777" w:rsidR="00B4737D" w:rsidRPr="00B4737D" w:rsidRDefault="00B4737D" w:rsidP="009257ED">
      <w:pPr>
        <w:ind w:left="851"/>
        <w:rPr>
          <w:sz w:val="24"/>
          <w:szCs w:val="24"/>
          <w:lang w:val="en-US"/>
        </w:rPr>
      </w:pPr>
      <w:r w:rsidRPr="00B4737D">
        <w:rPr>
          <w:sz w:val="24"/>
          <w:szCs w:val="24"/>
          <w:lang w:val="en-US"/>
        </w:rPr>
        <w:t xml:space="preserve">Overdose of apixaban may result in a higher risk of bleeding. In the event of </w:t>
      </w:r>
      <w:proofErr w:type="spellStart"/>
      <w:r w:rsidRPr="00B4737D">
        <w:rPr>
          <w:sz w:val="24"/>
          <w:szCs w:val="24"/>
          <w:lang w:val="en-US"/>
        </w:rPr>
        <w:t>haemorrhagic</w:t>
      </w:r>
      <w:proofErr w:type="spellEnd"/>
      <w:r w:rsidRPr="00B4737D">
        <w:rPr>
          <w:sz w:val="24"/>
          <w:szCs w:val="24"/>
          <w:lang w:val="en-US"/>
        </w:rPr>
        <w:t xml:space="preserve"> complications, treatment must be discontinued and the source of bleeding investigated. The initiation of appropriate treatment, e.g., surgical </w:t>
      </w:r>
      <w:proofErr w:type="spellStart"/>
      <w:r w:rsidRPr="00B4737D">
        <w:rPr>
          <w:sz w:val="24"/>
          <w:szCs w:val="24"/>
          <w:lang w:val="en-US"/>
        </w:rPr>
        <w:t>haemostasis</w:t>
      </w:r>
      <w:proofErr w:type="spellEnd"/>
      <w:r w:rsidRPr="00B4737D">
        <w:rPr>
          <w:sz w:val="24"/>
          <w:szCs w:val="24"/>
          <w:lang w:val="en-US"/>
        </w:rPr>
        <w:t xml:space="preserve">, the transfusion of fresh frozen plasma or the administration of a reversal agent for factor Xa inhibitors should be considered (see section 4.4). </w:t>
      </w:r>
    </w:p>
    <w:p w14:paraId="756A581A" w14:textId="77777777" w:rsidR="00B4737D" w:rsidRPr="00B4737D" w:rsidRDefault="00B4737D" w:rsidP="009257ED">
      <w:pPr>
        <w:ind w:left="851"/>
        <w:rPr>
          <w:sz w:val="24"/>
          <w:szCs w:val="24"/>
          <w:lang w:val="en-US"/>
        </w:rPr>
      </w:pPr>
    </w:p>
    <w:p w14:paraId="0BC2E0A6" w14:textId="77777777" w:rsidR="00B4737D" w:rsidRPr="00B4737D" w:rsidRDefault="00B4737D" w:rsidP="009257ED">
      <w:pPr>
        <w:ind w:left="851"/>
        <w:rPr>
          <w:sz w:val="24"/>
          <w:szCs w:val="24"/>
          <w:lang w:val="en-US"/>
        </w:rPr>
      </w:pPr>
      <w:r w:rsidRPr="00B4737D">
        <w:rPr>
          <w:sz w:val="24"/>
          <w:szCs w:val="24"/>
          <w:lang w:val="en-US"/>
        </w:rPr>
        <w:t xml:space="preserve">In controlled clinical studies, </w:t>
      </w:r>
      <w:proofErr w:type="gramStart"/>
      <w:r w:rsidRPr="00B4737D">
        <w:rPr>
          <w:sz w:val="24"/>
          <w:szCs w:val="24"/>
          <w:lang w:val="en-US"/>
        </w:rPr>
        <w:t>orally-administered</w:t>
      </w:r>
      <w:proofErr w:type="gramEnd"/>
      <w:r w:rsidRPr="00B4737D">
        <w:rPr>
          <w:sz w:val="24"/>
          <w:szCs w:val="24"/>
          <w:lang w:val="en-US"/>
        </w:rPr>
        <w:t xml:space="preserve"> apixaban in healthy adult subjects at doses up to 50 mg daily for 3 to 7 days (25 mg twice daily (bid) for 7 days or 50 mg once daily (od) for 3 days) had no clinically relevant adverse reactions. </w:t>
      </w:r>
    </w:p>
    <w:p w14:paraId="4E30F5E1" w14:textId="77777777" w:rsidR="00B4737D" w:rsidRPr="00B4737D" w:rsidRDefault="00B4737D" w:rsidP="009257ED">
      <w:pPr>
        <w:ind w:left="851"/>
        <w:rPr>
          <w:sz w:val="24"/>
          <w:szCs w:val="24"/>
          <w:lang w:val="en-US"/>
        </w:rPr>
      </w:pPr>
    </w:p>
    <w:p w14:paraId="47558DB5" w14:textId="77777777" w:rsidR="00B4737D" w:rsidRPr="00B4737D" w:rsidRDefault="00B4737D" w:rsidP="009257ED">
      <w:pPr>
        <w:ind w:left="851"/>
        <w:rPr>
          <w:sz w:val="24"/>
          <w:szCs w:val="24"/>
          <w:lang w:val="en-US"/>
        </w:rPr>
      </w:pPr>
      <w:r w:rsidRPr="00B4737D">
        <w:rPr>
          <w:sz w:val="24"/>
          <w:szCs w:val="24"/>
          <w:lang w:val="en-US"/>
        </w:rPr>
        <w:t xml:space="preserve">In healthy adult subjects, administration of activated charcoal 2 and 6 hours after ingestion of a 20 mg dose of apixaban reduced mean apixaban AUC by 50% and 27%, respectively, and had no impact on Cmax. Mean half-life of apixaban decreased from 13.4 hours when apixaban was administered alone to 5.3 hours and 4.9 hours, respectively, when activated charcoal was administered 2 and 6 hours after apixaban. Thus, administration of activated charcoal may be useful in the management of apixaban overdose or accidental ingestion. </w:t>
      </w:r>
    </w:p>
    <w:p w14:paraId="382A31D8" w14:textId="77777777" w:rsidR="00B4737D" w:rsidRPr="00B4737D" w:rsidRDefault="00B4737D" w:rsidP="009257ED">
      <w:pPr>
        <w:ind w:left="851"/>
        <w:rPr>
          <w:sz w:val="24"/>
          <w:szCs w:val="24"/>
          <w:lang w:val="en-US"/>
        </w:rPr>
      </w:pPr>
    </w:p>
    <w:p w14:paraId="18D3D68B" w14:textId="12C5285A" w:rsidR="00B4737D" w:rsidRPr="00B4737D" w:rsidRDefault="00B4737D" w:rsidP="009257ED">
      <w:pPr>
        <w:ind w:left="851"/>
        <w:rPr>
          <w:sz w:val="24"/>
          <w:szCs w:val="24"/>
          <w:lang w:val="en-US"/>
        </w:rPr>
      </w:pPr>
      <w:proofErr w:type="spellStart"/>
      <w:r w:rsidRPr="00B4737D">
        <w:rPr>
          <w:sz w:val="24"/>
          <w:szCs w:val="24"/>
          <w:lang w:val="en-US"/>
        </w:rPr>
        <w:t>Haemodialysis</w:t>
      </w:r>
      <w:proofErr w:type="spellEnd"/>
      <w:r w:rsidRPr="00B4737D">
        <w:rPr>
          <w:sz w:val="24"/>
          <w:szCs w:val="24"/>
          <w:lang w:val="en-US"/>
        </w:rPr>
        <w:t xml:space="preserve"> decreased apixaban AUC by 14% in subjects with end-stage renal disease (ESRD),</w:t>
      </w:r>
      <w:r w:rsidR="00A12881">
        <w:rPr>
          <w:sz w:val="24"/>
          <w:szCs w:val="24"/>
          <w:lang w:val="en-US"/>
        </w:rPr>
        <w:t xml:space="preserve"> </w:t>
      </w:r>
      <w:r w:rsidRPr="00B4737D">
        <w:rPr>
          <w:sz w:val="24"/>
          <w:szCs w:val="24"/>
          <w:lang w:val="en-US"/>
        </w:rPr>
        <w:t xml:space="preserve">when a single dose of apixaban 5 mg was administered orally. Therefore, </w:t>
      </w:r>
      <w:proofErr w:type="spellStart"/>
      <w:r w:rsidRPr="00B4737D">
        <w:rPr>
          <w:sz w:val="24"/>
          <w:szCs w:val="24"/>
          <w:lang w:val="en-US"/>
        </w:rPr>
        <w:t>haemodialysis</w:t>
      </w:r>
      <w:proofErr w:type="spellEnd"/>
      <w:r w:rsidRPr="00B4737D">
        <w:rPr>
          <w:sz w:val="24"/>
          <w:szCs w:val="24"/>
          <w:lang w:val="en-US"/>
        </w:rPr>
        <w:t xml:space="preserve"> is unlikely to</w:t>
      </w:r>
      <w:r w:rsidR="00A12881">
        <w:rPr>
          <w:sz w:val="24"/>
          <w:szCs w:val="24"/>
          <w:lang w:val="en-US"/>
        </w:rPr>
        <w:t xml:space="preserve"> </w:t>
      </w:r>
      <w:r w:rsidRPr="00B4737D">
        <w:rPr>
          <w:sz w:val="24"/>
          <w:szCs w:val="24"/>
          <w:lang w:val="en-US"/>
        </w:rPr>
        <w:t>be an effective means of managing apixaban overdose.</w:t>
      </w:r>
    </w:p>
    <w:p w14:paraId="11DA5B41" w14:textId="77777777" w:rsidR="00B4737D" w:rsidRPr="00B4737D" w:rsidRDefault="00B4737D" w:rsidP="009257ED">
      <w:pPr>
        <w:ind w:left="851"/>
        <w:rPr>
          <w:sz w:val="24"/>
          <w:szCs w:val="24"/>
          <w:lang w:val="en-US"/>
        </w:rPr>
      </w:pPr>
    </w:p>
    <w:p w14:paraId="00EB8E68" w14:textId="77777777" w:rsidR="00B4737D" w:rsidRPr="00B4737D" w:rsidRDefault="00B4737D" w:rsidP="009257ED">
      <w:pPr>
        <w:ind w:left="851"/>
        <w:rPr>
          <w:sz w:val="24"/>
          <w:szCs w:val="24"/>
          <w:lang w:val="en-US"/>
        </w:rPr>
      </w:pPr>
      <w:r w:rsidRPr="00B4737D">
        <w:rPr>
          <w:sz w:val="24"/>
          <w:szCs w:val="24"/>
          <w:lang w:val="en-US"/>
        </w:rPr>
        <w:t>For situations in which reversal of anticoagulation is needed due to life-threatening or uncontrolled bleeding, a reversal agent for factor Xa inhibitors (</w:t>
      </w:r>
      <w:proofErr w:type="spellStart"/>
      <w:r w:rsidRPr="00B4737D">
        <w:rPr>
          <w:sz w:val="24"/>
          <w:szCs w:val="24"/>
          <w:lang w:val="en-US"/>
        </w:rPr>
        <w:t>andexanet</w:t>
      </w:r>
      <w:proofErr w:type="spellEnd"/>
      <w:r w:rsidRPr="00B4737D">
        <w:rPr>
          <w:sz w:val="24"/>
          <w:szCs w:val="24"/>
          <w:lang w:val="en-US"/>
        </w:rPr>
        <w:t xml:space="preserve"> alfa) is available for adults (see section 4.4). Administration of prothrombin complex concentrates (PCCs) or recombinant factor </w:t>
      </w:r>
      <w:proofErr w:type="spellStart"/>
      <w:r w:rsidRPr="00B4737D">
        <w:rPr>
          <w:sz w:val="24"/>
          <w:szCs w:val="24"/>
          <w:lang w:val="en-US"/>
        </w:rPr>
        <w:t>VIIa</w:t>
      </w:r>
      <w:proofErr w:type="spellEnd"/>
      <w:r w:rsidRPr="00B4737D">
        <w:rPr>
          <w:sz w:val="24"/>
          <w:szCs w:val="24"/>
          <w:lang w:val="en-US"/>
        </w:rPr>
        <w:t xml:space="preserve"> may also be considered. Reversal of apixaban pharmacodynamic effects, as demonstrated by changes in the thrombin generation assay, was evident at the end of infusion and reached baseline values within 4 hours after the start of a 30 minute 4-factor PCC infusion in healthy subjects. However, there is no clinical experience with the use of 4-factor PCC products to reverse bleeding in individuals who have received apixaban. Currently there is no experience with the use of recombinant factor </w:t>
      </w:r>
      <w:proofErr w:type="spellStart"/>
      <w:r w:rsidRPr="00B4737D">
        <w:rPr>
          <w:sz w:val="24"/>
          <w:szCs w:val="24"/>
          <w:lang w:val="en-US"/>
        </w:rPr>
        <w:t>VIIa</w:t>
      </w:r>
      <w:proofErr w:type="spellEnd"/>
      <w:r w:rsidRPr="00B4737D">
        <w:rPr>
          <w:sz w:val="24"/>
          <w:szCs w:val="24"/>
          <w:lang w:val="en-US"/>
        </w:rPr>
        <w:t xml:space="preserve"> in individuals receiving apixaban. Re-dosing of recombinant factor </w:t>
      </w:r>
      <w:proofErr w:type="spellStart"/>
      <w:r w:rsidRPr="00B4737D">
        <w:rPr>
          <w:sz w:val="24"/>
          <w:szCs w:val="24"/>
          <w:lang w:val="en-US"/>
        </w:rPr>
        <w:t>VIIa</w:t>
      </w:r>
      <w:proofErr w:type="spellEnd"/>
      <w:r w:rsidRPr="00B4737D">
        <w:rPr>
          <w:sz w:val="24"/>
          <w:szCs w:val="24"/>
          <w:lang w:val="en-US"/>
        </w:rPr>
        <w:t xml:space="preserve"> could be considered and titrated depending on improvement of bleeding. </w:t>
      </w:r>
    </w:p>
    <w:p w14:paraId="67C2CB53" w14:textId="77777777" w:rsidR="00B4737D" w:rsidRPr="00B4737D" w:rsidRDefault="00B4737D" w:rsidP="009257ED">
      <w:pPr>
        <w:ind w:left="851"/>
        <w:rPr>
          <w:sz w:val="24"/>
          <w:szCs w:val="24"/>
          <w:lang w:val="en-US"/>
        </w:rPr>
      </w:pPr>
    </w:p>
    <w:p w14:paraId="7C75A2C5" w14:textId="6052B462" w:rsidR="00B4737D" w:rsidRPr="00B4737D" w:rsidRDefault="00B4737D" w:rsidP="009257ED">
      <w:pPr>
        <w:ind w:left="851"/>
        <w:rPr>
          <w:sz w:val="24"/>
          <w:szCs w:val="24"/>
          <w:lang w:val="en-US"/>
        </w:rPr>
      </w:pPr>
      <w:r w:rsidRPr="00B4737D">
        <w:rPr>
          <w:sz w:val="24"/>
          <w:szCs w:val="24"/>
          <w:lang w:val="en-US"/>
        </w:rPr>
        <w:t>A specific reversal agent (</w:t>
      </w:r>
      <w:proofErr w:type="spellStart"/>
      <w:r w:rsidRPr="00B4737D">
        <w:rPr>
          <w:sz w:val="24"/>
          <w:szCs w:val="24"/>
          <w:lang w:val="en-US"/>
        </w:rPr>
        <w:t>andexanet</w:t>
      </w:r>
      <w:proofErr w:type="spellEnd"/>
      <w:r w:rsidRPr="00B4737D">
        <w:rPr>
          <w:sz w:val="24"/>
          <w:szCs w:val="24"/>
          <w:lang w:val="en-US"/>
        </w:rPr>
        <w:t xml:space="preserve"> alfa) </w:t>
      </w:r>
      <w:proofErr w:type="spellStart"/>
      <w:r w:rsidRPr="00B4737D">
        <w:rPr>
          <w:sz w:val="24"/>
          <w:szCs w:val="24"/>
          <w:lang w:val="en-US"/>
        </w:rPr>
        <w:t>antagonising</w:t>
      </w:r>
      <w:proofErr w:type="spellEnd"/>
      <w:r w:rsidRPr="00B4737D">
        <w:rPr>
          <w:sz w:val="24"/>
          <w:szCs w:val="24"/>
          <w:lang w:val="en-US"/>
        </w:rPr>
        <w:t xml:space="preserve"> the pharmacodynamic effect of apixaban is not</w:t>
      </w:r>
      <w:r w:rsidR="00A12881">
        <w:rPr>
          <w:sz w:val="24"/>
          <w:szCs w:val="24"/>
          <w:lang w:val="en-US"/>
        </w:rPr>
        <w:t xml:space="preserve"> </w:t>
      </w:r>
      <w:r w:rsidRPr="00B4737D">
        <w:rPr>
          <w:sz w:val="24"/>
          <w:szCs w:val="24"/>
          <w:lang w:val="en-US"/>
        </w:rPr>
        <w:t xml:space="preserve">established in the paediatric population (refer to the summary of product </w:t>
      </w:r>
      <w:r w:rsidRPr="00B4737D">
        <w:rPr>
          <w:sz w:val="24"/>
          <w:szCs w:val="24"/>
          <w:lang w:val="en-US"/>
        </w:rPr>
        <w:lastRenderedPageBreak/>
        <w:t xml:space="preserve">characteristics of </w:t>
      </w:r>
      <w:r w:rsidR="00A12881">
        <w:rPr>
          <w:sz w:val="24"/>
          <w:szCs w:val="24"/>
          <w:lang w:val="en-US"/>
        </w:rPr>
        <w:t xml:space="preserve">Andexanet </w:t>
      </w:r>
      <w:r w:rsidRPr="00B4737D">
        <w:rPr>
          <w:sz w:val="24"/>
          <w:szCs w:val="24"/>
          <w:lang w:val="en-US"/>
        </w:rPr>
        <w:t>alfa). Transfusion of fresh frozen plasma, or administration of prothrombin complex concentrates</w:t>
      </w:r>
      <w:r w:rsidR="00A12881">
        <w:rPr>
          <w:sz w:val="24"/>
          <w:szCs w:val="24"/>
          <w:lang w:val="en-US"/>
        </w:rPr>
        <w:t xml:space="preserve"> </w:t>
      </w:r>
      <w:r w:rsidRPr="00B4737D">
        <w:rPr>
          <w:sz w:val="24"/>
          <w:szCs w:val="24"/>
          <w:lang w:val="en-US"/>
        </w:rPr>
        <w:t xml:space="preserve">(PCCs), or recombinant factor </w:t>
      </w:r>
      <w:proofErr w:type="spellStart"/>
      <w:r w:rsidRPr="00B4737D">
        <w:rPr>
          <w:sz w:val="24"/>
          <w:szCs w:val="24"/>
          <w:lang w:val="en-US"/>
        </w:rPr>
        <w:t>VIIa</w:t>
      </w:r>
      <w:proofErr w:type="spellEnd"/>
      <w:r w:rsidRPr="00B4737D">
        <w:rPr>
          <w:sz w:val="24"/>
          <w:szCs w:val="24"/>
          <w:lang w:val="en-US"/>
        </w:rPr>
        <w:t xml:space="preserve"> may also be considered.</w:t>
      </w:r>
    </w:p>
    <w:p w14:paraId="47F266E3" w14:textId="77777777" w:rsidR="00B4737D" w:rsidRPr="00B4737D" w:rsidRDefault="00B4737D" w:rsidP="009257ED">
      <w:pPr>
        <w:ind w:left="851"/>
        <w:rPr>
          <w:sz w:val="24"/>
          <w:szCs w:val="24"/>
          <w:lang w:val="en-US"/>
        </w:rPr>
      </w:pPr>
    </w:p>
    <w:p w14:paraId="3961EE1A" w14:textId="77777777" w:rsidR="00B4737D" w:rsidRPr="00B4737D" w:rsidRDefault="00B4737D" w:rsidP="009257ED">
      <w:pPr>
        <w:ind w:left="851"/>
        <w:rPr>
          <w:sz w:val="24"/>
          <w:szCs w:val="24"/>
          <w:lang w:val="en-US"/>
        </w:rPr>
      </w:pPr>
      <w:r w:rsidRPr="00B4737D">
        <w:rPr>
          <w:sz w:val="24"/>
          <w:szCs w:val="24"/>
          <w:lang w:val="en-US"/>
        </w:rPr>
        <w:t xml:space="preserve">Depending on local availability, coagulation expert consultation should be considered in case of major bleeding. </w:t>
      </w:r>
    </w:p>
    <w:p w14:paraId="15AEAF64" w14:textId="77777777" w:rsidR="007C5D2A" w:rsidRPr="001C1AA7" w:rsidRDefault="007C5D2A" w:rsidP="003E0341">
      <w:pPr>
        <w:tabs>
          <w:tab w:val="left" w:pos="851"/>
        </w:tabs>
        <w:ind w:left="851"/>
        <w:rPr>
          <w:sz w:val="24"/>
          <w:szCs w:val="24"/>
          <w:lang w:val="en-GB"/>
        </w:rPr>
      </w:pPr>
    </w:p>
    <w:p w14:paraId="698B4008" w14:textId="77777777" w:rsidR="008F2F8C" w:rsidRPr="001C1AA7" w:rsidRDefault="0042292D" w:rsidP="0042292D">
      <w:pPr>
        <w:tabs>
          <w:tab w:val="left" w:pos="851"/>
        </w:tabs>
        <w:rPr>
          <w:b/>
          <w:sz w:val="24"/>
          <w:szCs w:val="24"/>
          <w:lang w:val="en-GB"/>
        </w:rPr>
      </w:pPr>
      <w:r w:rsidRPr="001C1AA7">
        <w:rPr>
          <w:b/>
          <w:sz w:val="24"/>
          <w:szCs w:val="24"/>
          <w:lang w:val="en-GB"/>
        </w:rPr>
        <w:t>4.10</w:t>
      </w:r>
      <w:r w:rsidRPr="001C1AA7">
        <w:rPr>
          <w:b/>
          <w:sz w:val="24"/>
          <w:szCs w:val="24"/>
          <w:lang w:val="en-GB"/>
        </w:rPr>
        <w:tab/>
        <w:t>Legal status</w:t>
      </w:r>
    </w:p>
    <w:p w14:paraId="1E244F4C" w14:textId="1B0B0B3B" w:rsidR="00AD2E36" w:rsidRPr="001C1AA7" w:rsidRDefault="009257ED" w:rsidP="00AD2E36">
      <w:pPr>
        <w:tabs>
          <w:tab w:val="left" w:pos="851"/>
        </w:tabs>
        <w:ind w:left="851"/>
        <w:rPr>
          <w:sz w:val="24"/>
          <w:szCs w:val="24"/>
          <w:lang w:val="en-GB"/>
        </w:rPr>
      </w:pPr>
      <w:r w:rsidRPr="001C1AA7">
        <w:rPr>
          <w:sz w:val="24"/>
          <w:szCs w:val="24"/>
          <w:lang w:val="en-GB"/>
        </w:rPr>
        <w:t>B</w:t>
      </w:r>
    </w:p>
    <w:p w14:paraId="7202C8A9" w14:textId="77777777" w:rsidR="007C5D2A" w:rsidRPr="001C1AA7" w:rsidRDefault="007C5D2A" w:rsidP="003E0341">
      <w:pPr>
        <w:tabs>
          <w:tab w:val="left" w:pos="851"/>
        </w:tabs>
        <w:ind w:left="851"/>
        <w:rPr>
          <w:sz w:val="24"/>
          <w:szCs w:val="24"/>
          <w:lang w:val="en-GB"/>
        </w:rPr>
      </w:pPr>
    </w:p>
    <w:p w14:paraId="6FD8E21E" w14:textId="77777777" w:rsidR="00AD2E36" w:rsidRPr="001C1AA7" w:rsidRDefault="00AD2E36" w:rsidP="003E0341">
      <w:pPr>
        <w:tabs>
          <w:tab w:val="left" w:pos="851"/>
        </w:tabs>
        <w:ind w:left="851"/>
        <w:rPr>
          <w:sz w:val="24"/>
          <w:szCs w:val="24"/>
          <w:lang w:val="en-GB"/>
        </w:rPr>
      </w:pPr>
    </w:p>
    <w:p w14:paraId="6E679A4C" w14:textId="77777777" w:rsidR="007C5D2A" w:rsidRPr="001C1AA7" w:rsidRDefault="007C5D2A" w:rsidP="007C5D2A">
      <w:pPr>
        <w:tabs>
          <w:tab w:val="left" w:pos="851"/>
        </w:tabs>
        <w:rPr>
          <w:b/>
          <w:sz w:val="24"/>
          <w:szCs w:val="24"/>
          <w:lang w:val="en-GB"/>
        </w:rPr>
      </w:pPr>
      <w:r w:rsidRPr="001C1AA7">
        <w:rPr>
          <w:b/>
          <w:sz w:val="24"/>
          <w:szCs w:val="24"/>
          <w:lang w:val="en-GB"/>
        </w:rPr>
        <w:t>5.</w:t>
      </w:r>
      <w:r w:rsidRPr="001C1AA7">
        <w:rPr>
          <w:b/>
          <w:sz w:val="24"/>
          <w:szCs w:val="24"/>
          <w:lang w:val="en-GB"/>
        </w:rPr>
        <w:tab/>
        <w:t>PHARMACOLOGICAL PROPERTIES</w:t>
      </w:r>
    </w:p>
    <w:p w14:paraId="17974A20" w14:textId="77777777" w:rsidR="007C5D2A" w:rsidRPr="001C1AA7" w:rsidRDefault="007C5D2A" w:rsidP="003E0341">
      <w:pPr>
        <w:tabs>
          <w:tab w:val="left" w:pos="851"/>
        </w:tabs>
        <w:ind w:left="851"/>
        <w:rPr>
          <w:sz w:val="24"/>
          <w:szCs w:val="24"/>
          <w:lang w:val="en-GB"/>
        </w:rPr>
      </w:pPr>
    </w:p>
    <w:p w14:paraId="2203727C" w14:textId="77777777" w:rsidR="007C5D2A" w:rsidRPr="001C1AA7" w:rsidRDefault="007C5D2A" w:rsidP="007C5D2A">
      <w:pPr>
        <w:tabs>
          <w:tab w:val="left" w:pos="851"/>
        </w:tabs>
        <w:ind w:left="851" w:hanging="851"/>
        <w:rPr>
          <w:b/>
          <w:sz w:val="24"/>
          <w:szCs w:val="24"/>
          <w:lang w:val="en-GB"/>
        </w:rPr>
      </w:pPr>
      <w:r w:rsidRPr="001C1AA7">
        <w:rPr>
          <w:b/>
          <w:sz w:val="24"/>
          <w:szCs w:val="24"/>
          <w:lang w:val="en-GB"/>
        </w:rPr>
        <w:t>5.1</w:t>
      </w:r>
      <w:r w:rsidRPr="001C1AA7">
        <w:rPr>
          <w:b/>
          <w:sz w:val="24"/>
          <w:szCs w:val="24"/>
          <w:lang w:val="en-GB"/>
        </w:rPr>
        <w:tab/>
        <w:t>Pharmacodynamic properties</w:t>
      </w:r>
      <w:r w:rsidRPr="001C1AA7">
        <w:rPr>
          <w:b/>
          <w:sz w:val="24"/>
          <w:szCs w:val="24"/>
          <w:lang w:val="en-GB"/>
        </w:rPr>
        <w:tab/>
      </w:r>
    </w:p>
    <w:p w14:paraId="6A01CE2B" w14:textId="77777777" w:rsidR="00B4737D" w:rsidRPr="00B4737D" w:rsidRDefault="00B4737D" w:rsidP="009257ED">
      <w:pPr>
        <w:ind w:left="851"/>
        <w:rPr>
          <w:sz w:val="24"/>
          <w:szCs w:val="24"/>
          <w:lang w:val="en-GB"/>
        </w:rPr>
      </w:pPr>
      <w:r w:rsidRPr="00B4737D">
        <w:rPr>
          <w:sz w:val="24"/>
          <w:szCs w:val="24"/>
          <w:lang w:val="en-GB"/>
        </w:rPr>
        <w:t>Pharmacotherapeutic group: Antithrombotic agents, direct factor Xa inhibitors, ATC code: B01AF02</w:t>
      </w:r>
    </w:p>
    <w:p w14:paraId="624F450D" w14:textId="77777777" w:rsidR="00B4737D" w:rsidRPr="00B4737D" w:rsidRDefault="00B4737D" w:rsidP="009257ED">
      <w:pPr>
        <w:ind w:left="851"/>
        <w:rPr>
          <w:i/>
          <w:sz w:val="24"/>
          <w:szCs w:val="24"/>
          <w:lang w:val="en-GB"/>
        </w:rPr>
      </w:pPr>
    </w:p>
    <w:p w14:paraId="1618E01D" w14:textId="77777777" w:rsidR="00B4737D" w:rsidRPr="00B4737D" w:rsidRDefault="00B4737D" w:rsidP="009257ED">
      <w:pPr>
        <w:ind w:left="851"/>
        <w:rPr>
          <w:sz w:val="24"/>
          <w:szCs w:val="24"/>
          <w:u w:val="single"/>
          <w:lang w:val="en-GB"/>
        </w:rPr>
      </w:pPr>
      <w:r w:rsidRPr="00B4737D">
        <w:rPr>
          <w:sz w:val="24"/>
          <w:szCs w:val="24"/>
          <w:u w:val="single"/>
          <w:lang w:val="en-GB"/>
        </w:rPr>
        <w:t>Mechanism of action</w:t>
      </w:r>
    </w:p>
    <w:p w14:paraId="535A6A96" w14:textId="77777777" w:rsidR="00B4737D" w:rsidRPr="00B4737D" w:rsidRDefault="00B4737D" w:rsidP="009257ED">
      <w:pPr>
        <w:ind w:left="851"/>
        <w:rPr>
          <w:sz w:val="24"/>
          <w:szCs w:val="24"/>
          <w:lang w:val="en-GB"/>
        </w:rPr>
      </w:pPr>
      <w:r w:rsidRPr="00B4737D">
        <w:rPr>
          <w:sz w:val="24"/>
          <w:szCs w:val="24"/>
          <w:lang w:val="en-GB"/>
        </w:rPr>
        <w:t xml:space="preserve">Apixaban is a potent, oral, reversible, direct and highly selective active site inhibitor of factor Xa. It does not require antithrombin III for antithrombotic activity. Apixaban inhibits free and clot-bound factor Xa, and prothrombinase activity. Apixaban has no direct effects on platelet </w:t>
      </w:r>
      <w:proofErr w:type="gramStart"/>
      <w:r w:rsidRPr="00B4737D">
        <w:rPr>
          <w:sz w:val="24"/>
          <w:szCs w:val="24"/>
          <w:lang w:val="en-GB"/>
        </w:rPr>
        <w:t>aggregation, but</w:t>
      </w:r>
      <w:proofErr w:type="gramEnd"/>
      <w:r w:rsidRPr="00B4737D">
        <w:rPr>
          <w:sz w:val="24"/>
          <w:szCs w:val="24"/>
          <w:lang w:val="en-GB"/>
        </w:rPr>
        <w:t xml:space="preserve"> indirectly inhibits platelet aggregation induced by thrombin. By inhibiting factor Xa, apixaban prevents thrombin generation and thrombus development. Preclinical studies of apixaban in animal models have demonstrated antithrombotic efficacy in the prevention of arterial and venous thrombosis at doses that preserved haemostasis.</w:t>
      </w:r>
    </w:p>
    <w:p w14:paraId="4EB7E338" w14:textId="77777777" w:rsidR="00B4737D" w:rsidRPr="00B4737D" w:rsidRDefault="00B4737D" w:rsidP="009257ED">
      <w:pPr>
        <w:ind w:left="851"/>
        <w:rPr>
          <w:sz w:val="24"/>
          <w:szCs w:val="24"/>
          <w:u w:val="single"/>
          <w:lang w:val="en-GB"/>
        </w:rPr>
      </w:pPr>
    </w:p>
    <w:p w14:paraId="7F94B64E" w14:textId="77777777" w:rsidR="00B4737D" w:rsidRPr="00B4737D" w:rsidRDefault="00B4737D" w:rsidP="009257ED">
      <w:pPr>
        <w:ind w:left="851"/>
        <w:rPr>
          <w:sz w:val="24"/>
          <w:szCs w:val="24"/>
          <w:u w:val="single"/>
          <w:lang w:val="en-GB"/>
        </w:rPr>
      </w:pPr>
      <w:r w:rsidRPr="00B4737D">
        <w:rPr>
          <w:sz w:val="24"/>
          <w:szCs w:val="24"/>
          <w:u w:val="single"/>
          <w:lang w:val="en-GB"/>
        </w:rPr>
        <w:t>Pharmacodynamic effects</w:t>
      </w:r>
    </w:p>
    <w:p w14:paraId="0722BBCF" w14:textId="77777777" w:rsidR="00B4737D" w:rsidRPr="00B4737D" w:rsidRDefault="00B4737D" w:rsidP="009257ED">
      <w:pPr>
        <w:ind w:left="851"/>
        <w:rPr>
          <w:sz w:val="24"/>
          <w:szCs w:val="24"/>
          <w:lang w:val="en-US"/>
        </w:rPr>
      </w:pPr>
      <w:r w:rsidRPr="00B4737D">
        <w:rPr>
          <w:sz w:val="24"/>
          <w:szCs w:val="24"/>
          <w:lang w:val="en-US"/>
        </w:rPr>
        <w:t>The pharmacodynamic effects of apixaban are reflective of the mechanism of action (</w:t>
      </w:r>
      <w:proofErr w:type="spellStart"/>
      <w:r w:rsidRPr="00B4737D">
        <w:rPr>
          <w:sz w:val="24"/>
          <w:szCs w:val="24"/>
          <w:lang w:val="en-US"/>
        </w:rPr>
        <w:t>FXa</w:t>
      </w:r>
      <w:proofErr w:type="spellEnd"/>
      <w:r w:rsidRPr="00B4737D">
        <w:rPr>
          <w:sz w:val="24"/>
          <w:szCs w:val="24"/>
          <w:lang w:val="en-US"/>
        </w:rPr>
        <w:t xml:space="preserve"> inhibition). As a result of </w:t>
      </w:r>
      <w:proofErr w:type="spellStart"/>
      <w:r w:rsidRPr="00B4737D">
        <w:rPr>
          <w:sz w:val="24"/>
          <w:szCs w:val="24"/>
          <w:lang w:val="en-US"/>
        </w:rPr>
        <w:t>FXa</w:t>
      </w:r>
      <w:proofErr w:type="spellEnd"/>
      <w:r w:rsidRPr="00B4737D">
        <w:rPr>
          <w:sz w:val="24"/>
          <w:szCs w:val="24"/>
          <w:lang w:val="en-US"/>
        </w:rPr>
        <w:t xml:space="preserve"> inhibition, apixaban prolongs clotting tests such as prothrombin time (PT), INR and activated partial thromboplastin time (</w:t>
      </w:r>
      <w:proofErr w:type="spellStart"/>
      <w:r w:rsidRPr="00B4737D">
        <w:rPr>
          <w:sz w:val="24"/>
          <w:szCs w:val="24"/>
          <w:lang w:val="en-US"/>
        </w:rPr>
        <w:t>aPTT</w:t>
      </w:r>
      <w:proofErr w:type="spellEnd"/>
      <w:r w:rsidRPr="00B4737D">
        <w:rPr>
          <w:sz w:val="24"/>
          <w:szCs w:val="24"/>
          <w:lang w:val="en-US"/>
        </w:rPr>
        <w:t xml:space="preserve">). In adults, changes observed in these clotting tests at the expected therapeutic dose are small and subject to a high degree of variability. They are not recommended to assess the pharmacodynamic effects of apixaban. In the thrombin generation assay, apixaban reduced endogenous thrombin potential, a measure of thrombin generation in human plasma. </w:t>
      </w:r>
    </w:p>
    <w:p w14:paraId="5A8BB636" w14:textId="77777777" w:rsidR="00B4737D" w:rsidRPr="00B4737D" w:rsidRDefault="00B4737D" w:rsidP="009257ED">
      <w:pPr>
        <w:ind w:left="851"/>
        <w:rPr>
          <w:sz w:val="24"/>
          <w:szCs w:val="24"/>
          <w:lang w:val="en-US"/>
        </w:rPr>
      </w:pPr>
    </w:p>
    <w:p w14:paraId="3CDA106E" w14:textId="77777777" w:rsidR="00B4737D" w:rsidRPr="00B4737D" w:rsidRDefault="00B4737D" w:rsidP="009257ED">
      <w:pPr>
        <w:ind w:left="851"/>
        <w:rPr>
          <w:sz w:val="24"/>
          <w:szCs w:val="24"/>
          <w:lang w:val="en-US"/>
        </w:rPr>
      </w:pPr>
      <w:r w:rsidRPr="00B4737D">
        <w:rPr>
          <w:sz w:val="24"/>
          <w:szCs w:val="24"/>
          <w:lang w:val="en-US"/>
        </w:rPr>
        <w:t xml:space="preserve">Apixaban also demonstrates anti-Factor Xa activity as evident by reduction in Factor Xa enzyme activity in multiple commercial anti-Factor Xa kits, however results differ across kits. Data from adult clinical studies are only available for the </w:t>
      </w:r>
      <w:proofErr w:type="spellStart"/>
      <w:r w:rsidRPr="00B4737D">
        <w:rPr>
          <w:sz w:val="24"/>
          <w:szCs w:val="24"/>
          <w:lang w:val="en-US"/>
        </w:rPr>
        <w:t>Rotachrom</w:t>
      </w:r>
      <w:proofErr w:type="spellEnd"/>
      <w:r w:rsidRPr="00B4737D">
        <w:rPr>
          <w:sz w:val="24"/>
          <w:szCs w:val="24"/>
          <w:lang w:val="en-US"/>
        </w:rPr>
        <w:t xml:space="preserve">® Heparin chromogenic assay. Anti-Factor Xa activity exhibits a close direct linear relationship with apixaban plasma concentration, reaching maximum values at the time of apixaban peak plasma concentrations. The relationship between apixaban plasma concentration and anti-Factor Xa activity is approximately linear over a wide dose range of apixaban. Results from apixaban paediatric studies indicate that the linear relationship between apixaban concentration and AXA is consistent with the previously documented relationship in adults. This lends support to the documented mechanism of action of apixaban as a selective inhibitor of </w:t>
      </w:r>
      <w:proofErr w:type="spellStart"/>
      <w:r w:rsidRPr="00B4737D">
        <w:rPr>
          <w:sz w:val="24"/>
          <w:szCs w:val="24"/>
          <w:lang w:val="en-US"/>
        </w:rPr>
        <w:t>FXa</w:t>
      </w:r>
      <w:proofErr w:type="spellEnd"/>
      <w:r w:rsidRPr="00B4737D">
        <w:rPr>
          <w:sz w:val="24"/>
          <w:szCs w:val="24"/>
          <w:lang w:val="en-US"/>
        </w:rPr>
        <w:t>.</w:t>
      </w:r>
    </w:p>
    <w:p w14:paraId="14B52B7F" w14:textId="77777777" w:rsidR="00B4737D" w:rsidRPr="00B4737D" w:rsidRDefault="00B4737D" w:rsidP="009257ED">
      <w:pPr>
        <w:ind w:left="851"/>
        <w:rPr>
          <w:sz w:val="24"/>
          <w:szCs w:val="24"/>
          <w:lang w:val="en-US"/>
        </w:rPr>
      </w:pPr>
    </w:p>
    <w:p w14:paraId="05527152" w14:textId="77777777" w:rsidR="00B4737D" w:rsidRPr="00B4737D" w:rsidRDefault="00B4737D" w:rsidP="009257ED">
      <w:pPr>
        <w:ind w:left="851"/>
        <w:rPr>
          <w:sz w:val="24"/>
          <w:szCs w:val="24"/>
          <w:u w:val="single"/>
          <w:lang w:val="en-GB"/>
        </w:rPr>
      </w:pPr>
      <w:r w:rsidRPr="00B4737D">
        <w:rPr>
          <w:sz w:val="24"/>
          <w:szCs w:val="24"/>
          <w:lang w:val="en-US"/>
        </w:rPr>
        <w:t xml:space="preserve">Table 4 below shows the predicted steady state exposure and anti-Factor Xa activity for each adult indication. In non-valvular atrial fibrillation patients taking apixaban for the prevention of stroke and systemic embolism, the results demonstrate a less than 1.7-fold </w:t>
      </w:r>
      <w:r w:rsidRPr="00B4737D">
        <w:rPr>
          <w:sz w:val="24"/>
          <w:szCs w:val="24"/>
          <w:lang w:val="en-US"/>
        </w:rPr>
        <w:lastRenderedPageBreak/>
        <w:t>fluctuation in peak-to-trough levels. In patients taking apixaban for the treatment of DVT and PE or prevention of recurrent DVT and PE, the results demonstrate a less than 2.2-fold fluctuation in peak-to-trough levels.</w:t>
      </w:r>
    </w:p>
    <w:p w14:paraId="46D20385" w14:textId="77777777" w:rsidR="00B4737D" w:rsidRPr="00B4737D" w:rsidRDefault="00B4737D" w:rsidP="009257ED">
      <w:pPr>
        <w:ind w:left="851"/>
        <w:rPr>
          <w:sz w:val="24"/>
          <w:szCs w:val="24"/>
          <w:u w:val="single"/>
          <w:lang w:val="en-GB"/>
        </w:rPr>
      </w:pPr>
    </w:p>
    <w:p w14:paraId="01DDF005" w14:textId="77777777" w:rsidR="00B4737D" w:rsidRPr="00B4737D" w:rsidRDefault="00B4737D" w:rsidP="00B4737D">
      <w:pPr>
        <w:tabs>
          <w:tab w:val="left" w:pos="851"/>
        </w:tabs>
        <w:ind w:left="851"/>
        <w:rPr>
          <w:sz w:val="24"/>
          <w:szCs w:val="24"/>
          <w:u w:val="single"/>
          <w:lang w:val="en-GB"/>
        </w:rPr>
      </w:pPr>
      <w:r w:rsidRPr="00B4737D">
        <w:rPr>
          <w:b/>
          <w:bCs/>
          <w:sz w:val="24"/>
          <w:szCs w:val="24"/>
          <w:lang w:val="en-GB"/>
        </w:rPr>
        <w:t>Table 4: Predicted apixaban steady-state exposure and anti-Factor Xa activity</w:t>
      </w:r>
    </w:p>
    <w:tbl>
      <w:tblPr>
        <w:tblStyle w:val="Tabel-Gitter"/>
        <w:tblW w:w="5000" w:type="pct"/>
        <w:tblLook w:val="04A0" w:firstRow="1" w:lastRow="0" w:firstColumn="1" w:lastColumn="0" w:noHBand="0" w:noVBand="1"/>
      </w:tblPr>
      <w:tblGrid>
        <w:gridCol w:w="1925"/>
        <w:gridCol w:w="1926"/>
        <w:gridCol w:w="1718"/>
        <w:gridCol w:w="1958"/>
        <w:gridCol w:w="2101"/>
      </w:tblGrid>
      <w:tr w:rsidR="00B4737D" w:rsidRPr="00A23483" w14:paraId="549AE526" w14:textId="77777777" w:rsidTr="009257ED">
        <w:tc>
          <w:tcPr>
            <w:tcW w:w="1000" w:type="pct"/>
            <w:tcBorders>
              <w:top w:val="single" w:sz="4" w:space="0" w:color="auto"/>
              <w:left w:val="single" w:sz="4" w:space="0" w:color="auto"/>
              <w:bottom w:val="single" w:sz="4" w:space="0" w:color="auto"/>
              <w:right w:val="single" w:sz="4" w:space="0" w:color="auto"/>
            </w:tcBorders>
          </w:tcPr>
          <w:p w14:paraId="3A4D961B" w14:textId="77777777" w:rsidR="00B4737D" w:rsidRPr="00B4737D" w:rsidRDefault="00B4737D" w:rsidP="009257ED">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hideMark/>
          </w:tcPr>
          <w:p w14:paraId="4D845CAE" w14:textId="77777777" w:rsidR="00B4737D" w:rsidRPr="00B4737D" w:rsidRDefault="00B4737D" w:rsidP="009257ED">
            <w:pPr>
              <w:ind w:left="32"/>
              <w:rPr>
                <w:sz w:val="24"/>
                <w:szCs w:val="24"/>
                <w:lang w:val="en-US"/>
              </w:rPr>
            </w:pPr>
            <w:proofErr w:type="spellStart"/>
            <w:r w:rsidRPr="00B4737D">
              <w:rPr>
                <w:b/>
                <w:bCs/>
                <w:sz w:val="24"/>
                <w:szCs w:val="24"/>
                <w:lang w:val="en-US"/>
              </w:rPr>
              <w:t>Apix</w:t>
            </w:r>
            <w:proofErr w:type="spellEnd"/>
            <w:r w:rsidRPr="00B4737D">
              <w:rPr>
                <w:b/>
                <w:bCs/>
                <w:sz w:val="24"/>
                <w:szCs w:val="24"/>
                <w:lang w:val="en-US"/>
              </w:rPr>
              <w:t>.</w:t>
            </w:r>
          </w:p>
          <w:p w14:paraId="69E46C01" w14:textId="77777777" w:rsidR="00B4737D" w:rsidRPr="00B4737D" w:rsidRDefault="00B4737D" w:rsidP="009257ED">
            <w:pPr>
              <w:ind w:left="32"/>
              <w:rPr>
                <w:sz w:val="24"/>
                <w:szCs w:val="24"/>
                <w:u w:val="single"/>
                <w:lang w:val="en-GB"/>
              </w:rPr>
            </w:pPr>
            <w:r w:rsidRPr="00B4737D">
              <w:rPr>
                <w:b/>
                <w:bCs/>
                <w:sz w:val="24"/>
                <w:szCs w:val="24"/>
                <w:lang w:val="en-GB"/>
              </w:rPr>
              <w:t>Cmax (ng/mL)</w:t>
            </w:r>
          </w:p>
        </w:tc>
        <w:tc>
          <w:tcPr>
            <w:tcW w:w="892" w:type="pct"/>
            <w:tcBorders>
              <w:top w:val="single" w:sz="4" w:space="0" w:color="auto"/>
              <w:left w:val="single" w:sz="4" w:space="0" w:color="auto"/>
              <w:bottom w:val="single" w:sz="4" w:space="0" w:color="auto"/>
              <w:right w:val="single" w:sz="4" w:space="0" w:color="auto"/>
            </w:tcBorders>
            <w:hideMark/>
          </w:tcPr>
          <w:p w14:paraId="7B1058AC" w14:textId="77777777" w:rsidR="00B4737D" w:rsidRPr="00B4737D" w:rsidRDefault="00B4737D" w:rsidP="009257ED">
            <w:pPr>
              <w:ind w:left="32"/>
              <w:rPr>
                <w:sz w:val="24"/>
                <w:szCs w:val="24"/>
                <w:lang w:val="en-US"/>
              </w:rPr>
            </w:pPr>
            <w:proofErr w:type="spellStart"/>
            <w:r w:rsidRPr="00B4737D">
              <w:rPr>
                <w:b/>
                <w:bCs/>
                <w:sz w:val="24"/>
                <w:szCs w:val="24"/>
                <w:lang w:val="en-US"/>
              </w:rPr>
              <w:t>Apix</w:t>
            </w:r>
            <w:proofErr w:type="spellEnd"/>
            <w:r w:rsidRPr="00B4737D">
              <w:rPr>
                <w:b/>
                <w:bCs/>
                <w:sz w:val="24"/>
                <w:szCs w:val="24"/>
                <w:lang w:val="en-US"/>
              </w:rPr>
              <w:t>.</w:t>
            </w:r>
          </w:p>
          <w:p w14:paraId="3D26B76B" w14:textId="77777777" w:rsidR="00B4737D" w:rsidRPr="00B4737D" w:rsidRDefault="00B4737D" w:rsidP="009257ED">
            <w:pPr>
              <w:ind w:left="32"/>
              <w:rPr>
                <w:sz w:val="24"/>
                <w:szCs w:val="24"/>
                <w:u w:val="single"/>
                <w:lang w:val="en-GB"/>
              </w:rPr>
            </w:pPr>
            <w:proofErr w:type="spellStart"/>
            <w:r w:rsidRPr="00B4737D">
              <w:rPr>
                <w:b/>
                <w:bCs/>
                <w:sz w:val="24"/>
                <w:szCs w:val="24"/>
                <w:lang w:val="en-GB"/>
              </w:rPr>
              <w:t>Cmin</w:t>
            </w:r>
            <w:proofErr w:type="spellEnd"/>
            <w:r w:rsidRPr="00B4737D">
              <w:rPr>
                <w:b/>
                <w:bCs/>
                <w:sz w:val="24"/>
                <w:szCs w:val="24"/>
                <w:lang w:val="en-GB"/>
              </w:rPr>
              <w:t xml:space="preserve"> (ng/mL)</w:t>
            </w:r>
          </w:p>
        </w:tc>
        <w:tc>
          <w:tcPr>
            <w:tcW w:w="1017" w:type="pct"/>
            <w:tcBorders>
              <w:top w:val="single" w:sz="4" w:space="0" w:color="auto"/>
              <w:left w:val="single" w:sz="4" w:space="0" w:color="auto"/>
              <w:bottom w:val="single" w:sz="4" w:space="0" w:color="auto"/>
              <w:right w:val="single" w:sz="4" w:space="0" w:color="auto"/>
            </w:tcBorders>
            <w:hideMark/>
          </w:tcPr>
          <w:p w14:paraId="1157644F" w14:textId="77777777" w:rsidR="00B4737D" w:rsidRPr="00B4737D" w:rsidRDefault="00B4737D" w:rsidP="009257ED">
            <w:pPr>
              <w:ind w:left="32"/>
              <w:rPr>
                <w:sz w:val="24"/>
                <w:szCs w:val="24"/>
                <w:u w:val="single"/>
                <w:lang w:val="en-GB"/>
              </w:rPr>
            </w:pPr>
            <w:proofErr w:type="spellStart"/>
            <w:r w:rsidRPr="00B4737D">
              <w:rPr>
                <w:b/>
                <w:bCs/>
                <w:sz w:val="24"/>
                <w:szCs w:val="24"/>
                <w:lang w:val="en-GB"/>
              </w:rPr>
              <w:t>Apix</w:t>
            </w:r>
            <w:proofErr w:type="spellEnd"/>
            <w:r w:rsidRPr="00B4737D">
              <w:rPr>
                <w:b/>
                <w:bCs/>
                <w:sz w:val="24"/>
                <w:szCs w:val="24"/>
                <w:lang w:val="en-GB"/>
              </w:rPr>
              <w:t>. anti-Factor Xa activity max (IU/mL)</w:t>
            </w:r>
          </w:p>
        </w:tc>
        <w:tc>
          <w:tcPr>
            <w:tcW w:w="1091" w:type="pct"/>
            <w:tcBorders>
              <w:top w:val="single" w:sz="4" w:space="0" w:color="auto"/>
              <w:left w:val="single" w:sz="4" w:space="0" w:color="auto"/>
              <w:bottom w:val="single" w:sz="4" w:space="0" w:color="auto"/>
              <w:right w:val="single" w:sz="4" w:space="0" w:color="auto"/>
            </w:tcBorders>
            <w:hideMark/>
          </w:tcPr>
          <w:p w14:paraId="60AFD568" w14:textId="77777777" w:rsidR="00B4737D" w:rsidRPr="00B4737D" w:rsidRDefault="00B4737D" w:rsidP="009257ED">
            <w:pPr>
              <w:ind w:left="32"/>
              <w:rPr>
                <w:sz w:val="24"/>
                <w:szCs w:val="24"/>
                <w:u w:val="single"/>
                <w:lang w:val="en-GB"/>
              </w:rPr>
            </w:pPr>
            <w:proofErr w:type="spellStart"/>
            <w:r w:rsidRPr="00B4737D">
              <w:rPr>
                <w:b/>
                <w:bCs/>
                <w:sz w:val="24"/>
                <w:szCs w:val="24"/>
                <w:lang w:val="en-GB"/>
              </w:rPr>
              <w:t>Apix</w:t>
            </w:r>
            <w:proofErr w:type="spellEnd"/>
            <w:r w:rsidRPr="00B4737D">
              <w:rPr>
                <w:b/>
                <w:bCs/>
                <w:sz w:val="24"/>
                <w:szCs w:val="24"/>
                <w:lang w:val="en-GB"/>
              </w:rPr>
              <w:t>. anti-Factor Xa activity min (IU/mL)</w:t>
            </w:r>
          </w:p>
        </w:tc>
      </w:tr>
      <w:tr w:rsidR="00B4737D" w:rsidRPr="00B4737D" w14:paraId="5EEA5E43" w14:textId="77777777" w:rsidTr="009257ED">
        <w:tc>
          <w:tcPr>
            <w:tcW w:w="1000" w:type="pct"/>
            <w:tcBorders>
              <w:top w:val="single" w:sz="4" w:space="0" w:color="auto"/>
              <w:left w:val="single" w:sz="4" w:space="0" w:color="auto"/>
              <w:bottom w:val="single" w:sz="4" w:space="0" w:color="auto"/>
              <w:right w:val="single" w:sz="4" w:space="0" w:color="auto"/>
            </w:tcBorders>
          </w:tcPr>
          <w:p w14:paraId="5555D1FF" w14:textId="77777777" w:rsidR="00B4737D" w:rsidRPr="00B4737D" w:rsidRDefault="00B4737D" w:rsidP="009257ED">
            <w:pPr>
              <w:ind w:left="32"/>
              <w:rPr>
                <w:sz w:val="24"/>
                <w:szCs w:val="24"/>
                <w:u w:val="single"/>
                <w:lang w:val="en-GB"/>
              </w:rPr>
            </w:pPr>
          </w:p>
        </w:tc>
        <w:tc>
          <w:tcPr>
            <w:tcW w:w="4000" w:type="pct"/>
            <w:gridSpan w:val="4"/>
            <w:tcBorders>
              <w:top w:val="single" w:sz="4" w:space="0" w:color="auto"/>
              <w:left w:val="single" w:sz="4" w:space="0" w:color="auto"/>
              <w:bottom w:val="single" w:sz="4" w:space="0" w:color="auto"/>
              <w:right w:val="single" w:sz="4" w:space="0" w:color="auto"/>
            </w:tcBorders>
            <w:hideMark/>
          </w:tcPr>
          <w:p w14:paraId="586612C1" w14:textId="77777777" w:rsidR="00B4737D" w:rsidRPr="00B4737D" w:rsidRDefault="00B4737D" w:rsidP="009257ED">
            <w:pPr>
              <w:ind w:left="32"/>
              <w:rPr>
                <w:sz w:val="24"/>
                <w:szCs w:val="24"/>
                <w:u w:val="single"/>
                <w:lang w:val="en-GB"/>
              </w:rPr>
            </w:pPr>
            <w:r w:rsidRPr="00B4737D">
              <w:rPr>
                <w:sz w:val="24"/>
                <w:szCs w:val="24"/>
                <w:lang w:val="en-GB"/>
              </w:rPr>
              <w:t xml:space="preserve">Median [5th, 95th percentile] </w:t>
            </w:r>
          </w:p>
        </w:tc>
      </w:tr>
      <w:tr w:rsidR="00B4737D" w:rsidRPr="00A23483" w14:paraId="0A697892" w14:textId="77777777" w:rsidTr="009257ED">
        <w:tc>
          <w:tcPr>
            <w:tcW w:w="5000" w:type="pct"/>
            <w:gridSpan w:val="5"/>
            <w:tcBorders>
              <w:top w:val="single" w:sz="4" w:space="0" w:color="auto"/>
              <w:left w:val="single" w:sz="4" w:space="0" w:color="auto"/>
              <w:bottom w:val="single" w:sz="4" w:space="0" w:color="auto"/>
              <w:right w:val="single" w:sz="4" w:space="0" w:color="auto"/>
            </w:tcBorders>
            <w:hideMark/>
          </w:tcPr>
          <w:p w14:paraId="602F1C9C" w14:textId="77777777" w:rsidR="00B4737D" w:rsidRPr="00B4737D" w:rsidRDefault="00B4737D" w:rsidP="009257ED">
            <w:pPr>
              <w:ind w:left="32"/>
              <w:rPr>
                <w:sz w:val="24"/>
                <w:szCs w:val="24"/>
                <w:u w:val="single"/>
                <w:lang w:val="en-US"/>
              </w:rPr>
            </w:pPr>
            <w:r w:rsidRPr="00B4737D">
              <w:rPr>
                <w:i/>
                <w:iCs/>
                <w:sz w:val="24"/>
                <w:szCs w:val="24"/>
                <w:lang w:val="en-US"/>
              </w:rPr>
              <w:t xml:space="preserve">Prevention of stroke and systemic embolism: NVAF </w:t>
            </w:r>
          </w:p>
        </w:tc>
      </w:tr>
      <w:tr w:rsidR="00B4737D" w:rsidRPr="00B4737D" w14:paraId="58006043"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0B434219" w14:textId="77777777" w:rsidR="00B4737D" w:rsidRPr="00B4737D" w:rsidRDefault="00B4737D" w:rsidP="009257ED">
            <w:pPr>
              <w:ind w:left="32"/>
              <w:rPr>
                <w:i/>
                <w:iCs/>
                <w:sz w:val="24"/>
                <w:szCs w:val="24"/>
                <w:lang w:val="en-US"/>
              </w:rPr>
            </w:pPr>
            <w:r w:rsidRPr="00B4737D">
              <w:rPr>
                <w:sz w:val="24"/>
                <w:szCs w:val="24"/>
                <w:lang w:val="en-US"/>
              </w:rPr>
              <w:t>2.5 mg twice daily*</w:t>
            </w:r>
          </w:p>
        </w:tc>
        <w:tc>
          <w:tcPr>
            <w:tcW w:w="1000" w:type="pct"/>
            <w:tcBorders>
              <w:top w:val="single" w:sz="4" w:space="0" w:color="auto"/>
              <w:left w:val="single" w:sz="4" w:space="0" w:color="auto"/>
              <w:bottom w:val="single" w:sz="4" w:space="0" w:color="auto"/>
              <w:right w:val="single" w:sz="4" w:space="0" w:color="auto"/>
            </w:tcBorders>
            <w:hideMark/>
          </w:tcPr>
          <w:p w14:paraId="2E4B7061" w14:textId="77777777" w:rsidR="00B4737D" w:rsidRPr="00B4737D" w:rsidRDefault="00B4737D" w:rsidP="009257ED">
            <w:pPr>
              <w:ind w:left="32"/>
              <w:rPr>
                <w:sz w:val="24"/>
                <w:szCs w:val="24"/>
                <w:u w:val="single"/>
                <w:lang w:val="en-GB"/>
              </w:rPr>
            </w:pPr>
            <w:r w:rsidRPr="00B4737D">
              <w:rPr>
                <w:sz w:val="24"/>
                <w:szCs w:val="24"/>
                <w:lang w:val="en-GB"/>
              </w:rPr>
              <w:t>123 [69, 221]</w:t>
            </w:r>
          </w:p>
        </w:tc>
        <w:tc>
          <w:tcPr>
            <w:tcW w:w="892" w:type="pct"/>
            <w:tcBorders>
              <w:top w:val="single" w:sz="4" w:space="0" w:color="auto"/>
              <w:left w:val="single" w:sz="4" w:space="0" w:color="auto"/>
              <w:bottom w:val="single" w:sz="4" w:space="0" w:color="auto"/>
              <w:right w:val="single" w:sz="4" w:space="0" w:color="auto"/>
            </w:tcBorders>
            <w:hideMark/>
          </w:tcPr>
          <w:p w14:paraId="1F231507" w14:textId="77777777" w:rsidR="00B4737D" w:rsidRPr="00B4737D" w:rsidRDefault="00B4737D" w:rsidP="009257ED">
            <w:pPr>
              <w:ind w:left="32"/>
              <w:rPr>
                <w:sz w:val="24"/>
                <w:szCs w:val="24"/>
                <w:u w:val="single"/>
                <w:lang w:val="en-GB"/>
              </w:rPr>
            </w:pPr>
            <w:r w:rsidRPr="00B4737D">
              <w:rPr>
                <w:sz w:val="24"/>
                <w:szCs w:val="24"/>
                <w:lang w:val="en-GB"/>
              </w:rPr>
              <w:t>79 [34, 162]</w:t>
            </w:r>
          </w:p>
        </w:tc>
        <w:tc>
          <w:tcPr>
            <w:tcW w:w="1017" w:type="pct"/>
            <w:tcBorders>
              <w:top w:val="single" w:sz="4" w:space="0" w:color="auto"/>
              <w:left w:val="single" w:sz="4" w:space="0" w:color="auto"/>
              <w:bottom w:val="single" w:sz="4" w:space="0" w:color="auto"/>
              <w:right w:val="single" w:sz="4" w:space="0" w:color="auto"/>
            </w:tcBorders>
            <w:hideMark/>
          </w:tcPr>
          <w:p w14:paraId="1FEA7494" w14:textId="77777777" w:rsidR="00B4737D" w:rsidRPr="00B4737D" w:rsidRDefault="00B4737D" w:rsidP="009257ED">
            <w:pPr>
              <w:ind w:left="32"/>
              <w:rPr>
                <w:sz w:val="24"/>
                <w:szCs w:val="24"/>
                <w:u w:val="single"/>
                <w:lang w:val="en-GB"/>
              </w:rPr>
            </w:pPr>
            <w:r w:rsidRPr="00B4737D">
              <w:rPr>
                <w:sz w:val="24"/>
                <w:szCs w:val="24"/>
                <w:lang w:val="en-GB"/>
              </w:rPr>
              <w:t>1.8 [1.0, 3.3]</w:t>
            </w:r>
          </w:p>
        </w:tc>
        <w:tc>
          <w:tcPr>
            <w:tcW w:w="1091" w:type="pct"/>
            <w:tcBorders>
              <w:top w:val="single" w:sz="4" w:space="0" w:color="auto"/>
              <w:left w:val="single" w:sz="4" w:space="0" w:color="auto"/>
              <w:bottom w:val="single" w:sz="4" w:space="0" w:color="auto"/>
              <w:right w:val="single" w:sz="4" w:space="0" w:color="auto"/>
            </w:tcBorders>
            <w:hideMark/>
          </w:tcPr>
          <w:p w14:paraId="00870CBD" w14:textId="77777777" w:rsidR="00B4737D" w:rsidRPr="00B4737D" w:rsidRDefault="00B4737D" w:rsidP="009257ED">
            <w:pPr>
              <w:ind w:left="32"/>
              <w:rPr>
                <w:sz w:val="24"/>
                <w:szCs w:val="24"/>
                <w:u w:val="single"/>
                <w:lang w:val="en-GB"/>
              </w:rPr>
            </w:pPr>
            <w:r w:rsidRPr="00B4737D">
              <w:rPr>
                <w:sz w:val="24"/>
                <w:szCs w:val="24"/>
                <w:lang w:val="en-GB"/>
              </w:rPr>
              <w:t>1.2 [0.51, 2.4]</w:t>
            </w:r>
          </w:p>
        </w:tc>
      </w:tr>
      <w:tr w:rsidR="00B4737D" w:rsidRPr="00B4737D" w14:paraId="64E20142"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2179CDA0" w14:textId="77777777" w:rsidR="00B4737D" w:rsidRPr="00B4737D" w:rsidRDefault="00B4737D" w:rsidP="009257ED">
            <w:pPr>
              <w:ind w:left="32"/>
              <w:rPr>
                <w:i/>
                <w:iCs/>
                <w:sz w:val="24"/>
                <w:szCs w:val="24"/>
                <w:lang w:val="en-US"/>
              </w:rPr>
            </w:pPr>
            <w:r w:rsidRPr="00B4737D">
              <w:rPr>
                <w:sz w:val="24"/>
                <w:szCs w:val="24"/>
                <w:lang w:val="en-US"/>
              </w:rPr>
              <w:t>5 mg twice daily</w:t>
            </w:r>
          </w:p>
        </w:tc>
        <w:tc>
          <w:tcPr>
            <w:tcW w:w="1000" w:type="pct"/>
            <w:tcBorders>
              <w:top w:val="single" w:sz="4" w:space="0" w:color="auto"/>
              <w:left w:val="single" w:sz="4" w:space="0" w:color="auto"/>
              <w:bottom w:val="single" w:sz="4" w:space="0" w:color="auto"/>
              <w:right w:val="single" w:sz="4" w:space="0" w:color="auto"/>
            </w:tcBorders>
            <w:hideMark/>
          </w:tcPr>
          <w:p w14:paraId="58D2258D" w14:textId="77777777" w:rsidR="00B4737D" w:rsidRPr="00B4737D" w:rsidRDefault="00B4737D" w:rsidP="009257ED">
            <w:pPr>
              <w:ind w:left="32"/>
              <w:rPr>
                <w:sz w:val="24"/>
                <w:szCs w:val="24"/>
                <w:u w:val="single"/>
                <w:lang w:val="en-GB"/>
              </w:rPr>
            </w:pPr>
            <w:r w:rsidRPr="00B4737D">
              <w:rPr>
                <w:sz w:val="24"/>
                <w:szCs w:val="24"/>
                <w:lang w:val="en-GB"/>
              </w:rPr>
              <w:t>171 [91, 321]</w:t>
            </w:r>
          </w:p>
        </w:tc>
        <w:tc>
          <w:tcPr>
            <w:tcW w:w="892" w:type="pct"/>
            <w:tcBorders>
              <w:top w:val="single" w:sz="4" w:space="0" w:color="auto"/>
              <w:left w:val="single" w:sz="4" w:space="0" w:color="auto"/>
              <w:bottom w:val="single" w:sz="4" w:space="0" w:color="auto"/>
              <w:right w:val="single" w:sz="4" w:space="0" w:color="auto"/>
            </w:tcBorders>
            <w:hideMark/>
          </w:tcPr>
          <w:p w14:paraId="10F7756E" w14:textId="77777777" w:rsidR="00B4737D" w:rsidRPr="00B4737D" w:rsidRDefault="00B4737D" w:rsidP="009257ED">
            <w:pPr>
              <w:ind w:left="32"/>
              <w:rPr>
                <w:sz w:val="24"/>
                <w:szCs w:val="24"/>
                <w:u w:val="single"/>
                <w:lang w:val="en-GB"/>
              </w:rPr>
            </w:pPr>
            <w:r w:rsidRPr="00B4737D">
              <w:rPr>
                <w:sz w:val="24"/>
                <w:szCs w:val="24"/>
                <w:lang w:val="en-GB"/>
              </w:rPr>
              <w:t>103 [41, 230]</w:t>
            </w:r>
          </w:p>
        </w:tc>
        <w:tc>
          <w:tcPr>
            <w:tcW w:w="1017" w:type="pct"/>
            <w:tcBorders>
              <w:top w:val="single" w:sz="4" w:space="0" w:color="auto"/>
              <w:left w:val="single" w:sz="4" w:space="0" w:color="auto"/>
              <w:bottom w:val="single" w:sz="4" w:space="0" w:color="auto"/>
              <w:right w:val="single" w:sz="4" w:space="0" w:color="auto"/>
            </w:tcBorders>
            <w:hideMark/>
          </w:tcPr>
          <w:p w14:paraId="0060C353" w14:textId="77777777" w:rsidR="00B4737D" w:rsidRPr="00B4737D" w:rsidRDefault="00B4737D" w:rsidP="009257ED">
            <w:pPr>
              <w:ind w:left="32"/>
              <w:rPr>
                <w:sz w:val="24"/>
                <w:szCs w:val="24"/>
                <w:u w:val="single"/>
                <w:lang w:val="en-GB"/>
              </w:rPr>
            </w:pPr>
            <w:r w:rsidRPr="00B4737D">
              <w:rPr>
                <w:sz w:val="24"/>
                <w:szCs w:val="24"/>
                <w:lang w:val="en-GB"/>
              </w:rPr>
              <w:t>2.6 [1.4, 4.8]</w:t>
            </w:r>
          </w:p>
        </w:tc>
        <w:tc>
          <w:tcPr>
            <w:tcW w:w="1091" w:type="pct"/>
            <w:tcBorders>
              <w:top w:val="single" w:sz="4" w:space="0" w:color="auto"/>
              <w:left w:val="single" w:sz="4" w:space="0" w:color="auto"/>
              <w:bottom w:val="single" w:sz="4" w:space="0" w:color="auto"/>
              <w:right w:val="single" w:sz="4" w:space="0" w:color="auto"/>
            </w:tcBorders>
            <w:hideMark/>
          </w:tcPr>
          <w:p w14:paraId="1B31E9C6" w14:textId="77777777" w:rsidR="00B4737D" w:rsidRPr="00B4737D" w:rsidRDefault="00B4737D" w:rsidP="009257ED">
            <w:pPr>
              <w:ind w:left="32"/>
              <w:rPr>
                <w:sz w:val="24"/>
                <w:szCs w:val="24"/>
                <w:u w:val="single"/>
                <w:lang w:val="en-GB"/>
              </w:rPr>
            </w:pPr>
            <w:r w:rsidRPr="00B4737D">
              <w:rPr>
                <w:sz w:val="24"/>
                <w:szCs w:val="24"/>
                <w:lang w:val="en-GB"/>
              </w:rPr>
              <w:t>1.5 [0.61, 3.4]</w:t>
            </w:r>
          </w:p>
        </w:tc>
      </w:tr>
      <w:tr w:rsidR="00B4737D" w:rsidRPr="00A23483" w14:paraId="24BD524B" w14:textId="77777777" w:rsidTr="009257ED">
        <w:tc>
          <w:tcPr>
            <w:tcW w:w="5000" w:type="pct"/>
            <w:gridSpan w:val="5"/>
            <w:tcBorders>
              <w:top w:val="single" w:sz="4" w:space="0" w:color="auto"/>
              <w:left w:val="single" w:sz="4" w:space="0" w:color="auto"/>
              <w:bottom w:val="single" w:sz="4" w:space="0" w:color="auto"/>
              <w:right w:val="single" w:sz="4" w:space="0" w:color="auto"/>
            </w:tcBorders>
            <w:hideMark/>
          </w:tcPr>
          <w:p w14:paraId="4D572F45" w14:textId="77777777" w:rsidR="00B4737D" w:rsidRPr="00B4737D" w:rsidRDefault="00B4737D" w:rsidP="009257ED">
            <w:pPr>
              <w:ind w:left="32"/>
              <w:rPr>
                <w:sz w:val="24"/>
                <w:szCs w:val="24"/>
                <w:u w:val="single"/>
                <w:lang w:val="en-GB"/>
              </w:rPr>
            </w:pPr>
            <w:r w:rsidRPr="00B4737D">
              <w:rPr>
                <w:i/>
                <w:iCs/>
                <w:sz w:val="24"/>
                <w:szCs w:val="24"/>
                <w:lang w:val="en-GB"/>
              </w:rPr>
              <w:t>Treatment of DVT, treatment of PE and prevention of recurrent DVT and PE (</w:t>
            </w:r>
            <w:proofErr w:type="spellStart"/>
            <w:r w:rsidRPr="00B4737D">
              <w:rPr>
                <w:i/>
                <w:iCs/>
                <w:sz w:val="24"/>
                <w:szCs w:val="24"/>
                <w:lang w:val="en-GB"/>
              </w:rPr>
              <w:t>VTEt</w:t>
            </w:r>
            <w:proofErr w:type="spellEnd"/>
            <w:r w:rsidRPr="00B4737D">
              <w:rPr>
                <w:i/>
                <w:iCs/>
                <w:sz w:val="24"/>
                <w:szCs w:val="24"/>
                <w:lang w:val="en-GB"/>
              </w:rPr>
              <w:t>)</w:t>
            </w:r>
          </w:p>
        </w:tc>
      </w:tr>
      <w:tr w:rsidR="00B4737D" w:rsidRPr="00B4737D" w14:paraId="009347B6"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0E0AD420" w14:textId="77777777" w:rsidR="00B4737D" w:rsidRPr="00B4737D" w:rsidRDefault="00B4737D" w:rsidP="009257ED">
            <w:pPr>
              <w:ind w:left="32"/>
              <w:rPr>
                <w:i/>
                <w:iCs/>
                <w:sz w:val="24"/>
                <w:szCs w:val="24"/>
                <w:lang w:val="en-US"/>
              </w:rPr>
            </w:pPr>
            <w:r w:rsidRPr="00B4737D">
              <w:rPr>
                <w:sz w:val="24"/>
                <w:szCs w:val="24"/>
                <w:lang w:val="en-US"/>
              </w:rPr>
              <w:t>2.5 mg twice daily</w:t>
            </w:r>
          </w:p>
        </w:tc>
        <w:tc>
          <w:tcPr>
            <w:tcW w:w="1000" w:type="pct"/>
            <w:tcBorders>
              <w:top w:val="single" w:sz="4" w:space="0" w:color="auto"/>
              <w:left w:val="single" w:sz="4" w:space="0" w:color="auto"/>
              <w:bottom w:val="single" w:sz="4" w:space="0" w:color="auto"/>
              <w:right w:val="single" w:sz="4" w:space="0" w:color="auto"/>
            </w:tcBorders>
            <w:hideMark/>
          </w:tcPr>
          <w:p w14:paraId="50789109" w14:textId="77777777" w:rsidR="00B4737D" w:rsidRPr="00B4737D" w:rsidRDefault="00B4737D" w:rsidP="009257ED">
            <w:pPr>
              <w:ind w:left="32"/>
              <w:rPr>
                <w:sz w:val="24"/>
                <w:szCs w:val="24"/>
                <w:u w:val="single"/>
                <w:lang w:val="en-GB"/>
              </w:rPr>
            </w:pPr>
            <w:r w:rsidRPr="00B4737D">
              <w:rPr>
                <w:sz w:val="24"/>
                <w:szCs w:val="24"/>
                <w:lang w:val="en-GB"/>
              </w:rPr>
              <w:t>67 [30, 153]</w:t>
            </w:r>
          </w:p>
        </w:tc>
        <w:tc>
          <w:tcPr>
            <w:tcW w:w="892" w:type="pct"/>
            <w:tcBorders>
              <w:top w:val="single" w:sz="4" w:space="0" w:color="auto"/>
              <w:left w:val="single" w:sz="4" w:space="0" w:color="auto"/>
              <w:bottom w:val="single" w:sz="4" w:space="0" w:color="auto"/>
              <w:right w:val="single" w:sz="4" w:space="0" w:color="auto"/>
            </w:tcBorders>
            <w:hideMark/>
          </w:tcPr>
          <w:p w14:paraId="3C60F610" w14:textId="77777777" w:rsidR="00B4737D" w:rsidRPr="00B4737D" w:rsidRDefault="00B4737D" w:rsidP="009257ED">
            <w:pPr>
              <w:ind w:left="32"/>
              <w:rPr>
                <w:sz w:val="24"/>
                <w:szCs w:val="24"/>
                <w:u w:val="single"/>
                <w:lang w:val="en-GB"/>
              </w:rPr>
            </w:pPr>
            <w:r w:rsidRPr="00B4737D">
              <w:rPr>
                <w:sz w:val="24"/>
                <w:szCs w:val="24"/>
                <w:lang w:val="en-GB"/>
              </w:rPr>
              <w:t>32 [11, 90]</w:t>
            </w:r>
          </w:p>
        </w:tc>
        <w:tc>
          <w:tcPr>
            <w:tcW w:w="1017" w:type="pct"/>
            <w:tcBorders>
              <w:top w:val="single" w:sz="4" w:space="0" w:color="auto"/>
              <w:left w:val="single" w:sz="4" w:space="0" w:color="auto"/>
              <w:bottom w:val="single" w:sz="4" w:space="0" w:color="auto"/>
              <w:right w:val="single" w:sz="4" w:space="0" w:color="auto"/>
            </w:tcBorders>
            <w:hideMark/>
          </w:tcPr>
          <w:p w14:paraId="6ECC9DF3" w14:textId="77777777" w:rsidR="00B4737D" w:rsidRPr="00B4737D" w:rsidRDefault="00B4737D" w:rsidP="009257ED">
            <w:pPr>
              <w:ind w:left="32"/>
              <w:rPr>
                <w:sz w:val="24"/>
                <w:szCs w:val="24"/>
                <w:u w:val="single"/>
                <w:lang w:val="en-GB"/>
              </w:rPr>
            </w:pPr>
            <w:r w:rsidRPr="00B4737D">
              <w:rPr>
                <w:sz w:val="24"/>
                <w:szCs w:val="24"/>
                <w:lang w:val="en-GB"/>
              </w:rPr>
              <w:t>1.0 [0.46, 2.5]</w:t>
            </w:r>
          </w:p>
        </w:tc>
        <w:tc>
          <w:tcPr>
            <w:tcW w:w="1091" w:type="pct"/>
            <w:tcBorders>
              <w:top w:val="single" w:sz="4" w:space="0" w:color="auto"/>
              <w:left w:val="single" w:sz="4" w:space="0" w:color="auto"/>
              <w:bottom w:val="single" w:sz="4" w:space="0" w:color="auto"/>
              <w:right w:val="single" w:sz="4" w:space="0" w:color="auto"/>
            </w:tcBorders>
            <w:hideMark/>
          </w:tcPr>
          <w:p w14:paraId="3AD460D3" w14:textId="77777777" w:rsidR="00B4737D" w:rsidRPr="00B4737D" w:rsidRDefault="00B4737D" w:rsidP="009257ED">
            <w:pPr>
              <w:ind w:left="32"/>
              <w:rPr>
                <w:sz w:val="24"/>
                <w:szCs w:val="24"/>
                <w:u w:val="single"/>
                <w:lang w:val="en-GB"/>
              </w:rPr>
            </w:pPr>
            <w:r w:rsidRPr="00B4737D">
              <w:rPr>
                <w:sz w:val="24"/>
                <w:szCs w:val="24"/>
                <w:lang w:val="en-GB"/>
              </w:rPr>
              <w:t>0.49 [0.17, 1.4]</w:t>
            </w:r>
          </w:p>
        </w:tc>
      </w:tr>
      <w:tr w:rsidR="00B4737D" w:rsidRPr="00B4737D" w14:paraId="5BB150E2"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2D32C86A" w14:textId="77777777" w:rsidR="00B4737D" w:rsidRPr="00B4737D" w:rsidRDefault="00B4737D" w:rsidP="009257ED">
            <w:pPr>
              <w:ind w:left="32"/>
              <w:rPr>
                <w:i/>
                <w:iCs/>
                <w:sz w:val="24"/>
                <w:szCs w:val="24"/>
                <w:lang w:val="en-US"/>
              </w:rPr>
            </w:pPr>
            <w:r w:rsidRPr="00B4737D">
              <w:rPr>
                <w:sz w:val="24"/>
                <w:szCs w:val="24"/>
                <w:lang w:val="en-US"/>
              </w:rPr>
              <w:t>5 mg twice daily</w:t>
            </w:r>
          </w:p>
        </w:tc>
        <w:tc>
          <w:tcPr>
            <w:tcW w:w="1000" w:type="pct"/>
            <w:tcBorders>
              <w:top w:val="single" w:sz="4" w:space="0" w:color="auto"/>
              <w:left w:val="single" w:sz="4" w:space="0" w:color="auto"/>
              <w:bottom w:val="single" w:sz="4" w:space="0" w:color="auto"/>
              <w:right w:val="single" w:sz="4" w:space="0" w:color="auto"/>
            </w:tcBorders>
            <w:hideMark/>
          </w:tcPr>
          <w:p w14:paraId="103F664D" w14:textId="77777777" w:rsidR="00B4737D" w:rsidRPr="00B4737D" w:rsidRDefault="00B4737D" w:rsidP="009257ED">
            <w:pPr>
              <w:ind w:left="32"/>
              <w:rPr>
                <w:sz w:val="24"/>
                <w:szCs w:val="24"/>
                <w:u w:val="single"/>
                <w:lang w:val="en-GB"/>
              </w:rPr>
            </w:pPr>
            <w:r w:rsidRPr="00B4737D">
              <w:rPr>
                <w:sz w:val="24"/>
                <w:szCs w:val="24"/>
                <w:lang w:val="en-GB"/>
              </w:rPr>
              <w:t>132 [59, 302]</w:t>
            </w:r>
          </w:p>
        </w:tc>
        <w:tc>
          <w:tcPr>
            <w:tcW w:w="892" w:type="pct"/>
            <w:tcBorders>
              <w:top w:val="single" w:sz="4" w:space="0" w:color="auto"/>
              <w:left w:val="single" w:sz="4" w:space="0" w:color="auto"/>
              <w:bottom w:val="single" w:sz="4" w:space="0" w:color="auto"/>
              <w:right w:val="single" w:sz="4" w:space="0" w:color="auto"/>
            </w:tcBorders>
            <w:hideMark/>
          </w:tcPr>
          <w:p w14:paraId="6B444424" w14:textId="77777777" w:rsidR="00B4737D" w:rsidRPr="00B4737D" w:rsidRDefault="00B4737D" w:rsidP="009257ED">
            <w:pPr>
              <w:ind w:left="32"/>
              <w:rPr>
                <w:sz w:val="24"/>
                <w:szCs w:val="24"/>
                <w:u w:val="single"/>
                <w:lang w:val="en-GB"/>
              </w:rPr>
            </w:pPr>
            <w:r w:rsidRPr="00B4737D">
              <w:rPr>
                <w:sz w:val="24"/>
                <w:szCs w:val="24"/>
                <w:lang w:val="en-GB"/>
              </w:rPr>
              <w:t>63 [22, 177]</w:t>
            </w:r>
          </w:p>
        </w:tc>
        <w:tc>
          <w:tcPr>
            <w:tcW w:w="1017" w:type="pct"/>
            <w:tcBorders>
              <w:top w:val="single" w:sz="4" w:space="0" w:color="auto"/>
              <w:left w:val="single" w:sz="4" w:space="0" w:color="auto"/>
              <w:bottom w:val="single" w:sz="4" w:space="0" w:color="auto"/>
              <w:right w:val="single" w:sz="4" w:space="0" w:color="auto"/>
            </w:tcBorders>
            <w:hideMark/>
          </w:tcPr>
          <w:p w14:paraId="34F7090F" w14:textId="77777777" w:rsidR="00B4737D" w:rsidRPr="00B4737D" w:rsidRDefault="00B4737D" w:rsidP="009257ED">
            <w:pPr>
              <w:ind w:left="32"/>
              <w:rPr>
                <w:sz w:val="24"/>
                <w:szCs w:val="24"/>
                <w:u w:val="single"/>
                <w:lang w:val="en-GB"/>
              </w:rPr>
            </w:pPr>
            <w:r w:rsidRPr="00B4737D">
              <w:rPr>
                <w:sz w:val="24"/>
                <w:szCs w:val="24"/>
                <w:lang w:val="en-GB"/>
              </w:rPr>
              <w:t>2.1 [0.91, 5.2]</w:t>
            </w:r>
          </w:p>
        </w:tc>
        <w:tc>
          <w:tcPr>
            <w:tcW w:w="1091" w:type="pct"/>
            <w:tcBorders>
              <w:top w:val="single" w:sz="4" w:space="0" w:color="auto"/>
              <w:left w:val="single" w:sz="4" w:space="0" w:color="auto"/>
              <w:bottom w:val="single" w:sz="4" w:space="0" w:color="auto"/>
              <w:right w:val="single" w:sz="4" w:space="0" w:color="auto"/>
            </w:tcBorders>
            <w:hideMark/>
          </w:tcPr>
          <w:p w14:paraId="04235CF2" w14:textId="77777777" w:rsidR="00B4737D" w:rsidRPr="00B4737D" w:rsidRDefault="00B4737D" w:rsidP="009257ED">
            <w:pPr>
              <w:ind w:left="32"/>
              <w:rPr>
                <w:sz w:val="24"/>
                <w:szCs w:val="24"/>
                <w:u w:val="single"/>
                <w:lang w:val="en-GB"/>
              </w:rPr>
            </w:pPr>
            <w:r w:rsidRPr="00B4737D">
              <w:rPr>
                <w:sz w:val="24"/>
                <w:szCs w:val="24"/>
                <w:lang w:val="en-GB"/>
              </w:rPr>
              <w:t>1.0 [0.33, 2.9]</w:t>
            </w:r>
          </w:p>
        </w:tc>
      </w:tr>
      <w:tr w:rsidR="00B4737D" w:rsidRPr="00B4737D" w14:paraId="54FD7E1B"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3C78C4F2" w14:textId="77777777" w:rsidR="00B4737D" w:rsidRPr="00B4737D" w:rsidRDefault="00B4737D" w:rsidP="009257ED">
            <w:pPr>
              <w:ind w:left="32"/>
              <w:rPr>
                <w:i/>
                <w:iCs/>
                <w:sz w:val="24"/>
                <w:szCs w:val="24"/>
                <w:lang w:val="en-US"/>
              </w:rPr>
            </w:pPr>
            <w:r w:rsidRPr="00B4737D">
              <w:rPr>
                <w:sz w:val="24"/>
                <w:szCs w:val="24"/>
                <w:lang w:val="en-US"/>
              </w:rPr>
              <w:t>10 mg twice daily</w:t>
            </w:r>
          </w:p>
        </w:tc>
        <w:tc>
          <w:tcPr>
            <w:tcW w:w="1000" w:type="pct"/>
            <w:tcBorders>
              <w:top w:val="single" w:sz="4" w:space="0" w:color="auto"/>
              <w:left w:val="single" w:sz="4" w:space="0" w:color="auto"/>
              <w:bottom w:val="single" w:sz="4" w:space="0" w:color="auto"/>
              <w:right w:val="single" w:sz="4" w:space="0" w:color="auto"/>
            </w:tcBorders>
            <w:hideMark/>
          </w:tcPr>
          <w:p w14:paraId="00283F66" w14:textId="77777777" w:rsidR="00B4737D" w:rsidRPr="00B4737D" w:rsidRDefault="00B4737D" w:rsidP="009257ED">
            <w:pPr>
              <w:ind w:left="32"/>
              <w:rPr>
                <w:sz w:val="24"/>
                <w:szCs w:val="24"/>
                <w:u w:val="single"/>
                <w:lang w:val="en-GB"/>
              </w:rPr>
            </w:pPr>
            <w:r w:rsidRPr="00B4737D">
              <w:rPr>
                <w:sz w:val="24"/>
                <w:szCs w:val="24"/>
                <w:lang w:val="en-GB"/>
              </w:rPr>
              <w:t>251 [111, 572]</w:t>
            </w:r>
          </w:p>
        </w:tc>
        <w:tc>
          <w:tcPr>
            <w:tcW w:w="892" w:type="pct"/>
            <w:tcBorders>
              <w:top w:val="single" w:sz="4" w:space="0" w:color="auto"/>
              <w:left w:val="single" w:sz="4" w:space="0" w:color="auto"/>
              <w:bottom w:val="single" w:sz="4" w:space="0" w:color="auto"/>
              <w:right w:val="single" w:sz="4" w:space="0" w:color="auto"/>
            </w:tcBorders>
            <w:hideMark/>
          </w:tcPr>
          <w:p w14:paraId="2314EA79" w14:textId="77777777" w:rsidR="00B4737D" w:rsidRPr="00B4737D" w:rsidRDefault="00B4737D" w:rsidP="009257ED">
            <w:pPr>
              <w:ind w:left="32"/>
              <w:rPr>
                <w:sz w:val="24"/>
                <w:szCs w:val="24"/>
                <w:u w:val="single"/>
                <w:lang w:val="en-GB"/>
              </w:rPr>
            </w:pPr>
            <w:r w:rsidRPr="00B4737D">
              <w:rPr>
                <w:sz w:val="24"/>
                <w:szCs w:val="24"/>
                <w:lang w:val="en-GB"/>
              </w:rPr>
              <w:t>120 [41, 335]</w:t>
            </w:r>
          </w:p>
        </w:tc>
        <w:tc>
          <w:tcPr>
            <w:tcW w:w="1017" w:type="pct"/>
            <w:tcBorders>
              <w:top w:val="single" w:sz="4" w:space="0" w:color="auto"/>
              <w:left w:val="single" w:sz="4" w:space="0" w:color="auto"/>
              <w:bottom w:val="single" w:sz="4" w:space="0" w:color="auto"/>
              <w:right w:val="single" w:sz="4" w:space="0" w:color="auto"/>
            </w:tcBorders>
            <w:hideMark/>
          </w:tcPr>
          <w:p w14:paraId="7473E332" w14:textId="77777777" w:rsidR="00B4737D" w:rsidRPr="00B4737D" w:rsidRDefault="00B4737D" w:rsidP="009257ED">
            <w:pPr>
              <w:ind w:left="32"/>
              <w:rPr>
                <w:sz w:val="24"/>
                <w:szCs w:val="24"/>
                <w:u w:val="single"/>
                <w:lang w:val="en-GB"/>
              </w:rPr>
            </w:pPr>
            <w:r w:rsidRPr="00B4737D">
              <w:rPr>
                <w:sz w:val="24"/>
                <w:szCs w:val="24"/>
                <w:lang w:val="en-GB"/>
              </w:rPr>
              <w:t>4.2 [1.8, 10.8]</w:t>
            </w:r>
          </w:p>
        </w:tc>
        <w:tc>
          <w:tcPr>
            <w:tcW w:w="1091" w:type="pct"/>
            <w:tcBorders>
              <w:top w:val="single" w:sz="4" w:space="0" w:color="auto"/>
              <w:left w:val="single" w:sz="4" w:space="0" w:color="auto"/>
              <w:bottom w:val="single" w:sz="4" w:space="0" w:color="auto"/>
              <w:right w:val="single" w:sz="4" w:space="0" w:color="auto"/>
            </w:tcBorders>
            <w:hideMark/>
          </w:tcPr>
          <w:p w14:paraId="1CDFE915" w14:textId="77777777" w:rsidR="00B4737D" w:rsidRPr="00B4737D" w:rsidRDefault="00B4737D" w:rsidP="009257ED">
            <w:pPr>
              <w:ind w:left="32"/>
              <w:rPr>
                <w:sz w:val="24"/>
                <w:szCs w:val="24"/>
                <w:u w:val="single"/>
                <w:lang w:val="en-GB"/>
              </w:rPr>
            </w:pPr>
            <w:r w:rsidRPr="00B4737D">
              <w:rPr>
                <w:sz w:val="24"/>
                <w:szCs w:val="24"/>
                <w:lang w:val="en-GB"/>
              </w:rPr>
              <w:t>1.9 [0.64, 5.8]</w:t>
            </w:r>
          </w:p>
        </w:tc>
      </w:tr>
    </w:tbl>
    <w:p w14:paraId="1BDBA37C" w14:textId="63A9B6F8" w:rsidR="00B4737D" w:rsidRPr="00B4737D" w:rsidRDefault="00B4737D" w:rsidP="009257ED">
      <w:pPr>
        <w:ind w:left="284" w:hanging="284"/>
        <w:rPr>
          <w:sz w:val="24"/>
          <w:szCs w:val="24"/>
          <w:lang w:val="en-US"/>
        </w:rPr>
      </w:pPr>
      <w:r w:rsidRPr="00B4737D">
        <w:rPr>
          <w:sz w:val="24"/>
          <w:szCs w:val="24"/>
          <w:lang w:val="en-US"/>
        </w:rPr>
        <w:t xml:space="preserve">* </w:t>
      </w:r>
      <w:r w:rsidR="009257ED" w:rsidRPr="001C1AA7">
        <w:rPr>
          <w:sz w:val="24"/>
          <w:szCs w:val="24"/>
          <w:lang w:val="en-US"/>
        </w:rPr>
        <w:tab/>
      </w:r>
      <w:r w:rsidRPr="00B4737D">
        <w:rPr>
          <w:sz w:val="24"/>
          <w:szCs w:val="24"/>
          <w:lang w:val="en-US"/>
        </w:rPr>
        <w:t xml:space="preserve">Dose adjusted population based on 2 of 3 dose reduction criteria in the ARISTOTLE study. </w:t>
      </w:r>
    </w:p>
    <w:p w14:paraId="541B7F12" w14:textId="77777777" w:rsidR="00B4737D" w:rsidRPr="00B4737D" w:rsidRDefault="00B4737D" w:rsidP="00B4737D">
      <w:pPr>
        <w:tabs>
          <w:tab w:val="left" w:pos="851"/>
        </w:tabs>
        <w:ind w:left="851"/>
        <w:rPr>
          <w:sz w:val="24"/>
          <w:szCs w:val="24"/>
          <w:lang w:val="en-US"/>
        </w:rPr>
      </w:pPr>
    </w:p>
    <w:p w14:paraId="3DE6CA21" w14:textId="77777777" w:rsidR="00B4737D" w:rsidRPr="00B4737D" w:rsidRDefault="00B4737D" w:rsidP="009257ED">
      <w:pPr>
        <w:ind w:left="851"/>
        <w:rPr>
          <w:sz w:val="24"/>
          <w:szCs w:val="24"/>
          <w:lang w:val="en-US"/>
        </w:rPr>
      </w:pPr>
      <w:r w:rsidRPr="00B4737D">
        <w:rPr>
          <w:sz w:val="24"/>
          <w:szCs w:val="24"/>
          <w:lang w:val="en-US"/>
        </w:rPr>
        <w:t>Although treatment with apixaban does not require routine monitoring of exposure, a calibrated quantitative anti-Factor Xa assay may be useful in exceptional situations where knowledge of apixaban exposure may help to inform clinical decisions, e.g., overdose and emergency surgery.</w:t>
      </w:r>
    </w:p>
    <w:p w14:paraId="59E51FBD" w14:textId="77777777" w:rsidR="00B4737D" w:rsidRPr="00B4737D" w:rsidRDefault="00B4737D" w:rsidP="009257ED">
      <w:pPr>
        <w:ind w:left="851"/>
        <w:rPr>
          <w:sz w:val="24"/>
          <w:szCs w:val="24"/>
          <w:u w:val="single"/>
          <w:lang w:val="en-US"/>
        </w:rPr>
      </w:pPr>
    </w:p>
    <w:p w14:paraId="45FF8800" w14:textId="77777777" w:rsidR="00B4737D" w:rsidRPr="00B4737D" w:rsidRDefault="00B4737D" w:rsidP="009257ED">
      <w:pPr>
        <w:ind w:left="851"/>
        <w:rPr>
          <w:sz w:val="24"/>
          <w:szCs w:val="24"/>
          <w:u w:val="single"/>
          <w:lang w:val="en-US"/>
        </w:rPr>
      </w:pPr>
      <w:r w:rsidRPr="00B4737D">
        <w:rPr>
          <w:sz w:val="24"/>
          <w:szCs w:val="24"/>
          <w:u w:val="single"/>
          <w:lang w:val="en-US"/>
        </w:rPr>
        <w:t>Paediatric population</w:t>
      </w:r>
    </w:p>
    <w:p w14:paraId="332DEFEF" w14:textId="193810B0" w:rsidR="00B4737D" w:rsidRPr="00B4737D" w:rsidRDefault="00B4737D" w:rsidP="009257ED">
      <w:pPr>
        <w:ind w:left="851"/>
        <w:rPr>
          <w:sz w:val="24"/>
          <w:szCs w:val="24"/>
          <w:lang w:val="en-US"/>
        </w:rPr>
      </w:pPr>
      <w:r w:rsidRPr="00B4737D">
        <w:rPr>
          <w:sz w:val="24"/>
          <w:szCs w:val="24"/>
          <w:lang w:val="en-US"/>
        </w:rPr>
        <w:t>Apixaban paediatric studies used the STA® Liquid Anti-Xa apixaban assay. Results from these studies</w:t>
      </w:r>
      <w:r w:rsidR="00A12881">
        <w:rPr>
          <w:sz w:val="24"/>
          <w:szCs w:val="24"/>
          <w:lang w:val="en-US"/>
        </w:rPr>
        <w:t xml:space="preserve"> </w:t>
      </w:r>
      <w:r w:rsidRPr="00B4737D">
        <w:rPr>
          <w:sz w:val="24"/>
          <w:szCs w:val="24"/>
          <w:lang w:val="en-US"/>
        </w:rPr>
        <w:t>indicate that the linear relationship between apixaban concentration and anti-Factor Xa activity (AXA)</w:t>
      </w:r>
      <w:r w:rsidR="00A12881">
        <w:rPr>
          <w:sz w:val="24"/>
          <w:szCs w:val="24"/>
          <w:lang w:val="en-US"/>
        </w:rPr>
        <w:t xml:space="preserve"> </w:t>
      </w:r>
      <w:r w:rsidRPr="00B4737D">
        <w:rPr>
          <w:sz w:val="24"/>
          <w:szCs w:val="24"/>
          <w:lang w:val="en-US"/>
        </w:rPr>
        <w:t>is consistent with the previously documented relationship in adults. This lends support to the</w:t>
      </w:r>
      <w:r w:rsidR="00A12881">
        <w:rPr>
          <w:sz w:val="24"/>
          <w:szCs w:val="24"/>
          <w:lang w:val="en-US"/>
        </w:rPr>
        <w:t xml:space="preserve"> </w:t>
      </w:r>
      <w:r w:rsidRPr="00B4737D">
        <w:rPr>
          <w:sz w:val="24"/>
          <w:szCs w:val="24"/>
          <w:lang w:val="en-US"/>
        </w:rPr>
        <w:t xml:space="preserve">documented mechanism of action of apixaban as a selective inhibitor of </w:t>
      </w:r>
      <w:proofErr w:type="spellStart"/>
      <w:r w:rsidRPr="00B4737D">
        <w:rPr>
          <w:sz w:val="24"/>
          <w:szCs w:val="24"/>
          <w:lang w:val="en-US"/>
        </w:rPr>
        <w:t>FXa</w:t>
      </w:r>
      <w:proofErr w:type="spellEnd"/>
      <w:r w:rsidRPr="00B4737D">
        <w:rPr>
          <w:sz w:val="24"/>
          <w:szCs w:val="24"/>
          <w:lang w:val="en-US"/>
        </w:rPr>
        <w:t>.</w:t>
      </w:r>
    </w:p>
    <w:p w14:paraId="045A84C9" w14:textId="77777777" w:rsidR="00B4737D" w:rsidRPr="00B4737D" w:rsidRDefault="00B4737D" w:rsidP="009257ED">
      <w:pPr>
        <w:ind w:left="851"/>
        <w:rPr>
          <w:sz w:val="24"/>
          <w:szCs w:val="24"/>
          <w:lang w:val="en-US"/>
        </w:rPr>
      </w:pPr>
    </w:p>
    <w:p w14:paraId="4AE9F780" w14:textId="4590F941" w:rsidR="00B4737D" w:rsidRPr="00B4737D" w:rsidRDefault="00B4737D" w:rsidP="009257ED">
      <w:pPr>
        <w:ind w:left="851"/>
        <w:rPr>
          <w:sz w:val="24"/>
          <w:szCs w:val="24"/>
          <w:lang w:val="en-US"/>
        </w:rPr>
      </w:pPr>
      <w:r w:rsidRPr="00B4737D">
        <w:rPr>
          <w:sz w:val="24"/>
          <w:szCs w:val="24"/>
          <w:lang w:val="en-US"/>
        </w:rPr>
        <w:t>Across weight tiers 9 to ≥ 35 kg in Study CV185155, the geometric mean (%CV) AXA min and AXA</w:t>
      </w:r>
      <w:r w:rsidR="00A12881">
        <w:rPr>
          <w:sz w:val="24"/>
          <w:szCs w:val="24"/>
          <w:lang w:val="en-US"/>
        </w:rPr>
        <w:t xml:space="preserve"> </w:t>
      </w:r>
      <w:r w:rsidRPr="00B4737D">
        <w:rPr>
          <w:sz w:val="24"/>
          <w:szCs w:val="24"/>
          <w:lang w:val="en-US"/>
        </w:rPr>
        <w:t>max ranged between 27.1 (22.2) ng/mL and 71.9 (17.3) ng/mL, corresponding to geometric mean</w:t>
      </w:r>
      <w:r w:rsidR="00A12881">
        <w:rPr>
          <w:sz w:val="24"/>
          <w:szCs w:val="24"/>
          <w:lang w:val="en-US"/>
        </w:rPr>
        <w:t xml:space="preserve"> </w:t>
      </w:r>
      <w:r w:rsidRPr="00B4737D">
        <w:rPr>
          <w:sz w:val="24"/>
          <w:szCs w:val="24"/>
          <w:lang w:val="en-US"/>
        </w:rPr>
        <w:t xml:space="preserve">(%CV) </w:t>
      </w:r>
      <w:proofErr w:type="spellStart"/>
      <w:r w:rsidRPr="00B4737D">
        <w:rPr>
          <w:sz w:val="24"/>
          <w:szCs w:val="24"/>
          <w:lang w:val="en-US"/>
        </w:rPr>
        <w:t>Cminss</w:t>
      </w:r>
      <w:proofErr w:type="spellEnd"/>
      <w:r w:rsidRPr="00B4737D">
        <w:rPr>
          <w:sz w:val="24"/>
          <w:szCs w:val="24"/>
          <w:lang w:val="en-US"/>
        </w:rPr>
        <w:t xml:space="preserve"> and </w:t>
      </w:r>
      <w:proofErr w:type="spellStart"/>
      <w:r w:rsidRPr="00B4737D">
        <w:rPr>
          <w:sz w:val="24"/>
          <w:szCs w:val="24"/>
          <w:lang w:val="en-US"/>
        </w:rPr>
        <w:t>Cmaxss</w:t>
      </w:r>
      <w:proofErr w:type="spellEnd"/>
      <w:r w:rsidRPr="00B4737D">
        <w:rPr>
          <w:sz w:val="24"/>
          <w:szCs w:val="24"/>
          <w:lang w:val="en-US"/>
        </w:rPr>
        <w:t xml:space="preserve"> of 30.3 (22) ng/mL and 80.8 (16.8</w:t>
      </w:r>
      <w:proofErr w:type="gramStart"/>
      <w:r w:rsidRPr="00B4737D">
        <w:rPr>
          <w:sz w:val="24"/>
          <w:szCs w:val="24"/>
          <w:lang w:val="en-US"/>
        </w:rPr>
        <w:t>) ng</w:t>
      </w:r>
      <w:proofErr w:type="gramEnd"/>
      <w:r w:rsidRPr="00B4737D">
        <w:rPr>
          <w:sz w:val="24"/>
          <w:szCs w:val="24"/>
          <w:lang w:val="en-US"/>
        </w:rPr>
        <w:t>/mL. The exposures achieved at these</w:t>
      </w:r>
      <w:r w:rsidR="00A12881">
        <w:rPr>
          <w:sz w:val="24"/>
          <w:szCs w:val="24"/>
          <w:lang w:val="en-US"/>
        </w:rPr>
        <w:t xml:space="preserve"> </w:t>
      </w:r>
      <w:r w:rsidRPr="00B4737D">
        <w:rPr>
          <w:sz w:val="24"/>
          <w:szCs w:val="24"/>
          <w:lang w:val="en-US"/>
        </w:rPr>
        <w:t>AXA ranges using the paediatric dosing regimen were comparable to those seen in adults who</w:t>
      </w:r>
      <w:r w:rsidR="00A12881">
        <w:rPr>
          <w:sz w:val="24"/>
          <w:szCs w:val="24"/>
          <w:lang w:val="en-US"/>
        </w:rPr>
        <w:t xml:space="preserve"> </w:t>
      </w:r>
      <w:r w:rsidRPr="00B4737D">
        <w:rPr>
          <w:sz w:val="24"/>
          <w:szCs w:val="24"/>
          <w:lang w:val="en-US"/>
        </w:rPr>
        <w:t>received an apixaban dose of 2.5 mg twice daily.</w:t>
      </w:r>
    </w:p>
    <w:p w14:paraId="0CC8BC86" w14:textId="77777777" w:rsidR="00B4737D" w:rsidRPr="00B4737D" w:rsidRDefault="00B4737D" w:rsidP="009257ED">
      <w:pPr>
        <w:ind w:left="851"/>
        <w:rPr>
          <w:sz w:val="24"/>
          <w:szCs w:val="24"/>
          <w:lang w:val="en-US"/>
        </w:rPr>
      </w:pPr>
    </w:p>
    <w:p w14:paraId="3A073B26" w14:textId="1989325D" w:rsidR="00B4737D" w:rsidRPr="00B4737D" w:rsidRDefault="00B4737D" w:rsidP="009257ED">
      <w:pPr>
        <w:ind w:left="851"/>
        <w:rPr>
          <w:sz w:val="24"/>
          <w:szCs w:val="24"/>
          <w:lang w:val="en-US"/>
        </w:rPr>
      </w:pPr>
      <w:r w:rsidRPr="00B4737D">
        <w:rPr>
          <w:sz w:val="24"/>
          <w:szCs w:val="24"/>
          <w:lang w:val="en-US"/>
        </w:rPr>
        <w:t>Across weight tiers 6 to ≥ 35 kg in Study CV185362, the geometric mean (%CV) AXA min and AXA</w:t>
      </w:r>
      <w:r w:rsidR="00A12881">
        <w:rPr>
          <w:sz w:val="24"/>
          <w:szCs w:val="24"/>
          <w:lang w:val="en-US"/>
        </w:rPr>
        <w:t xml:space="preserve"> </w:t>
      </w:r>
      <w:r w:rsidRPr="00B4737D">
        <w:rPr>
          <w:sz w:val="24"/>
          <w:szCs w:val="24"/>
          <w:lang w:val="en-US"/>
        </w:rPr>
        <w:t>max ranged between 67.1 (30.2) ng/mL and 213 (41.7) ng/mL, corresponding to geometric mean</w:t>
      </w:r>
      <w:r w:rsidR="00A12881">
        <w:rPr>
          <w:sz w:val="24"/>
          <w:szCs w:val="24"/>
          <w:lang w:val="en-US"/>
        </w:rPr>
        <w:t xml:space="preserve"> </w:t>
      </w:r>
      <w:r w:rsidRPr="00B4737D">
        <w:rPr>
          <w:sz w:val="24"/>
          <w:szCs w:val="24"/>
          <w:lang w:val="en-US"/>
        </w:rPr>
        <w:t xml:space="preserve">(%CV) </w:t>
      </w:r>
      <w:proofErr w:type="spellStart"/>
      <w:r w:rsidRPr="00B4737D">
        <w:rPr>
          <w:sz w:val="24"/>
          <w:szCs w:val="24"/>
          <w:lang w:val="en-US"/>
        </w:rPr>
        <w:t>Cminss</w:t>
      </w:r>
      <w:proofErr w:type="spellEnd"/>
      <w:r w:rsidRPr="00B4737D">
        <w:rPr>
          <w:sz w:val="24"/>
          <w:szCs w:val="24"/>
          <w:lang w:val="en-US"/>
        </w:rPr>
        <w:t xml:space="preserve"> and </w:t>
      </w:r>
      <w:proofErr w:type="spellStart"/>
      <w:r w:rsidRPr="00B4737D">
        <w:rPr>
          <w:sz w:val="24"/>
          <w:szCs w:val="24"/>
          <w:lang w:val="en-US"/>
        </w:rPr>
        <w:t>Cmaxss</w:t>
      </w:r>
      <w:proofErr w:type="spellEnd"/>
      <w:r w:rsidRPr="00B4737D">
        <w:rPr>
          <w:sz w:val="24"/>
          <w:szCs w:val="24"/>
          <w:lang w:val="en-US"/>
        </w:rPr>
        <w:t xml:space="preserve"> of 71.3 (61.3) ng/mL and 230 (39.5</w:t>
      </w:r>
      <w:proofErr w:type="gramStart"/>
      <w:r w:rsidRPr="00B4737D">
        <w:rPr>
          <w:sz w:val="24"/>
          <w:szCs w:val="24"/>
          <w:lang w:val="en-US"/>
        </w:rPr>
        <w:t>)</w:t>
      </w:r>
      <w:r w:rsidR="008F2ECE">
        <w:rPr>
          <w:sz w:val="24"/>
          <w:szCs w:val="24"/>
          <w:lang w:val="en-US"/>
        </w:rPr>
        <w:t xml:space="preserve"> </w:t>
      </w:r>
      <w:r w:rsidRPr="00B4737D">
        <w:rPr>
          <w:sz w:val="24"/>
          <w:szCs w:val="24"/>
          <w:lang w:val="en-US"/>
        </w:rPr>
        <w:t>ng</w:t>
      </w:r>
      <w:proofErr w:type="gramEnd"/>
      <w:r w:rsidRPr="00B4737D">
        <w:rPr>
          <w:sz w:val="24"/>
          <w:szCs w:val="24"/>
          <w:lang w:val="en-US"/>
        </w:rPr>
        <w:t>/mL. The exposures achieved at these AXA ranges using the paediatric dosing regimen were comparable to those seen in adults who</w:t>
      </w:r>
      <w:r w:rsidR="00A12881">
        <w:rPr>
          <w:sz w:val="24"/>
          <w:szCs w:val="24"/>
          <w:lang w:val="en-US"/>
        </w:rPr>
        <w:t xml:space="preserve"> </w:t>
      </w:r>
      <w:r w:rsidRPr="00B4737D">
        <w:rPr>
          <w:sz w:val="24"/>
          <w:szCs w:val="24"/>
          <w:lang w:val="en-US"/>
        </w:rPr>
        <w:t>received an apixaban dose of 5 mg twice daily.</w:t>
      </w:r>
    </w:p>
    <w:p w14:paraId="4274E810" w14:textId="77777777" w:rsidR="00B4737D" w:rsidRPr="00B4737D" w:rsidRDefault="00B4737D" w:rsidP="009257ED">
      <w:pPr>
        <w:ind w:left="851"/>
        <w:rPr>
          <w:sz w:val="24"/>
          <w:szCs w:val="24"/>
          <w:lang w:val="en-US"/>
        </w:rPr>
      </w:pPr>
    </w:p>
    <w:p w14:paraId="69CE5AF6" w14:textId="1AA990AA" w:rsidR="00B4737D" w:rsidRPr="00B4737D" w:rsidRDefault="00B4737D" w:rsidP="009257ED">
      <w:pPr>
        <w:ind w:left="851"/>
        <w:rPr>
          <w:sz w:val="24"/>
          <w:szCs w:val="24"/>
          <w:lang w:val="en-US"/>
        </w:rPr>
      </w:pPr>
      <w:r w:rsidRPr="00B4737D">
        <w:rPr>
          <w:sz w:val="24"/>
          <w:szCs w:val="24"/>
          <w:lang w:val="en-US"/>
        </w:rPr>
        <w:t>Across weight tiers 6 to ≥ 35 kg in Study CV185325, the geometric mean (%CV) AXA min and AXA</w:t>
      </w:r>
      <w:r w:rsidR="00A12881">
        <w:rPr>
          <w:sz w:val="24"/>
          <w:szCs w:val="24"/>
          <w:lang w:val="en-US"/>
        </w:rPr>
        <w:t xml:space="preserve"> </w:t>
      </w:r>
      <w:r w:rsidRPr="00B4737D">
        <w:rPr>
          <w:sz w:val="24"/>
          <w:szCs w:val="24"/>
          <w:lang w:val="en-US"/>
        </w:rPr>
        <w:t xml:space="preserve">max ranged between 47.1 (57.2) ng/mL and 146 (40.2) ng/mL, </w:t>
      </w:r>
      <w:r w:rsidRPr="00B4737D">
        <w:rPr>
          <w:sz w:val="24"/>
          <w:szCs w:val="24"/>
          <w:lang w:val="en-US"/>
        </w:rPr>
        <w:lastRenderedPageBreak/>
        <w:t>corresponding to geometric mean</w:t>
      </w:r>
      <w:r w:rsidR="00A12881">
        <w:rPr>
          <w:sz w:val="24"/>
          <w:szCs w:val="24"/>
          <w:lang w:val="en-US"/>
        </w:rPr>
        <w:t xml:space="preserve"> </w:t>
      </w:r>
      <w:r w:rsidRPr="00B4737D">
        <w:rPr>
          <w:sz w:val="24"/>
          <w:szCs w:val="24"/>
          <w:lang w:val="en-US"/>
        </w:rPr>
        <w:t xml:space="preserve">(%CV) </w:t>
      </w:r>
      <w:proofErr w:type="spellStart"/>
      <w:r w:rsidRPr="00B4737D">
        <w:rPr>
          <w:sz w:val="24"/>
          <w:szCs w:val="24"/>
          <w:lang w:val="en-US"/>
        </w:rPr>
        <w:t>Cminss</w:t>
      </w:r>
      <w:proofErr w:type="spellEnd"/>
      <w:r w:rsidRPr="00B4737D">
        <w:rPr>
          <w:sz w:val="24"/>
          <w:szCs w:val="24"/>
          <w:lang w:val="en-US"/>
        </w:rPr>
        <w:t xml:space="preserve"> and </w:t>
      </w:r>
      <w:proofErr w:type="spellStart"/>
      <w:r w:rsidRPr="00B4737D">
        <w:rPr>
          <w:sz w:val="24"/>
          <w:szCs w:val="24"/>
          <w:lang w:val="en-US"/>
        </w:rPr>
        <w:t>Cmaxss</w:t>
      </w:r>
      <w:proofErr w:type="spellEnd"/>
      <w:r w:rsidRPr="00B4737D">
        <w:rPr>
          <w:sz w:val="24"/>
          <w:szCs w:val="24"/>
          <w:lang w:val="en-US"/>
        </w:rPr>
        <w:t xml:space="preserve"> of 50 (54.5) ng/mL and 144 (36.9) ng/mL. The exposures achieved at these</w:t>
      </w:r>
      <w:r w:rsidR="00A12881">
        <w:rPr>
          <w:sz w:val="24"/>
          <w:szCs w:val="24"/>
          <w:lang w:val="en-US"/>
        </w:rPr>
        <w:t xml:space="preserve"> </w:t>
      </w:r>
      <w:r w:rsidRPr="00B4737D">
        <w:rPr>
          <w:sz w:val="24"/>
          <w:szCs w:val="24"/>
          <w:lang w:val="en-US"/>
        </w:rPr>
        <w:t>AXA ranges using the paediatric dosing regimen were comparable to those seen in adults who</w:t>
      </w:r>
      <w:r w:rsidR="00A12881">
        <w:rPr>
          <w:sz w:val="24"/>
          <w:szCs w:val="24"/>
          <w:lang w:val="en-US"/>
        </w:rPr>
        <w:t xml:space="preserve"> </w:t>
      </w:r>
      <w:r w:rsidRPr="00B4737D">
        <w:rPr>
          <w:sz w:val="24"/>
          <w:szCs w:val="24"/>
          <w:lang w:val="en-US"/>
        </w:rPr>
        <w:t>received an apixaban dose of 5 mg twice daily.</w:t>
      </w:r>
    </w:p>
    <w:p w14:paraId="2C846C0E" w14:textId="77777777" w:rsidR="00B4737D" w:rsidRPr="00B4737D" w:rsidRDefault="00B4737D" w:rsidP="009257ED">
      <w:pPr>
        <w:ind w:left="851"/>
        <w:rPr>
          <w:sz w:val="24"/>
          <w:szCs w:val="24"/>
          <w:lang w:val="en-US"/>
        </w:rPr>
      </w:pPr>
    </w:p>
    <w:p w14:paraId="56F7996A" w14:textId="37B013C8" w:rsidR="00B4737D" w:rsidRPr="00B4737D" w:rsidRDefault="00B4737D" w:rsidP="009257ED">
      <w:pPr>
        <w:ind w:left="851"/>
        <w:rPr>
          <w:sz w:val="24"/>
          <w:szCs w:val="24"/>
          <w:lang w:val="en-US"/>
        </w:rPr>
      </w:pPr>
      <w:r w:rsidRPr="00B4737D">
        <w:rPr>
          <w:sz w:val="24"/>
          <w:szCs w:val="24"/>
          <w:lang w:val="en-US"/>
        </w:rPr>
        <w:t>The predicted steady state exposure and anti-Factor Xa activity for the paediatric studies suggests that</w:t>
      </w:r>
      <w:r w:rsidR="00A12881">
        <w:rPr>
          <w:sz w:val="24"/>
          <w:szCs w:val="24"/>
          <w:lang w:val="en-US"/>
        </w:rPr>
        <w:t xml:space="preserve"> </w:t>
      </w:r>
      <w:r w:rsidRPr="00B4737D">
        <w:rPr>
          <w:sz w:val="24"/>
          <w:szCs w:val="24"/>
          <w:lang w:val="en-US"/>
        </w:rPr>
        <w:t>the steady state peak-to-trough fluctuation in apixaban concentrations and AXA levels were</w:t>
      </w:r>
      <w:r w:rsidR="00A12881">
        <w:rPr>
          <w:sz w:val="24"/>
          <w:szCs w:val="24"/>
          <w:lang w:val="en-US"/>
        </w:rPr>
        <w:t xml:space="preserve"> </w:t>
      </w:r>
      <w:r w:rsidRPr="00B4737D">
        <w:rPr>
          <w:sz w:val="24"/>
          <w:szCs w:val="24"/>
          <w:lang w:val="en-US"/>
        </w:rPr>
        <w:t>approximately 3-fold (min, max: 2.65-3.22) in the overall population.</w:t>
      </w:r>
    </w:p>
    <w:p w14:paraId="73C55DEF" w14:textId="77777777" w:rsidR="00B4737D" w:rsidRPr="00B4737D" w:rsidRDefault="00B4737D" w:rsidP="009257ED">
      <w:pPr>
        <w:ind w:left="851"/>
        <w:rPr>
          <w:sz w:val="24"/>
          <w:szCs w:val="24"/>
          <w:u w:val="single"/>
          <w:lang w:val="en-US"/>
        </w:rPr>
      </w:pPr>
    </w:p>
    <w:p w14:paraId="75B17F46" w14:textId="77777777" w:rsidR="00B4737D" w:rsidRPr="00B4737D" w:rsidRDefault="00B4737D" w:rsidP="009257ED">
      <w:pPr>
        <w:ind w:left="851"/>
        <w:rPr>
          <w:sz w:val="24"/>
          <w:szCs w:val="24"/>
          <w:u w:val="single"/>
          <w:lang w:val="en-GB"/>
        </w:rPr>
      </w:pPr>
      <w:r w:rsidRPr="00B4737D">
        <w:rPr>
          <w:sz w:val="24"/>
          <w:szCs w:val="24"/>
          <w:u w:val="single"/>
          <w:lang w:val="en-GB"/>
        </w:rPr>
        <w:t>Clinical efficacy and safety</w:t>
      </w:r>
    </w:p>
    <w:p w14:paraId="356C9E89" w14:textId="77777777" w:rsidR="00B4737D" w:rsidRPr="00B4737D" w:rsidRDefault="00B4737D" w:rsidP="009257ED">
      <w:pPr>
        <w:ind w:left="851"/>
        <w:rPr>
          <w:sz w:val="24"/>
          <w:szCs w:val="24"/>
          <w:u w:val="single"/>
          <w:lang w:val="en-GB"/>
        </w:rPr>
      </w:pPr>
    </w:p>
    <w:p w14:paraId="230ABC39" w14:textId="77777777" w:rsidR="00B4737D" w:rsidRPr="00B4737D" w:rsidRDefault="00B4737D" w:rsidP="009257ED">
      <w:pPr>
        <w:ind w:left="851"/>
        <w:rPr>
          <w:sz w:val="24"/>
          <w:szCs w:val="24"/>
          <w:u w:val="single"/>
          <w:lang w:val="en-US"/>
        </w:rPr>
      </w:pPr>
      <w:r w:rsidRPr="00B4737D">
        <w:rPr>
          <w:i/>
          <w:iCs/>
          <w:sz w:val="24"/>
          <w:szCs w:val="24"/>
          <w:u w:val="single"/>
          <w:lang w:val="en-US"/>
        </w:rPr>
        <w:t xml:space="preserve">Prevention of stroke and systemic embolism in patients with non-valvular atrial fibrillation (NVAF) </w:t>
      </w:r>
    </w:p>
    <w:p w14:paraId="6DE39100" w14:textId="77777777" w:rsidR="00B4737D" w:rsidRPr="00B4737D" w:rsidRDefault="00B4737D" w:rsidP="009257ED">
      <w:pPr>
        <w:ind w:left="851"/>
        <w:rPr>
          <w:sz w:val="24"/>
          <w:szCs w:val="24"/>
          <w:lang w:val="en-US"/>
        </w:rPr>
      </w:pPr>
      <w:r w:rsidRPr="00B4737D">
        <w:rPr>
          <w:sz w:val="24"/>
          <w:szCs w:val="24"/>
          <w:lang w:val="en-US"/>
        </w:rPr>
        <w:t xml:space="preserve">A total of 23,799 adult patients were </w:t>
      </w:r>
      <w:proofErr w:type="spellStart"/>
      <w:r w:rsidRPr="00B4737D">
        <w:rPr>
          <w:sz w:val="24"/>
          <w:szCs w:val="24"/>
          <w:lang w:val="en-US"/>
        </w:rPr>
        <w:t>randomised</w:t>
      </w:r>
      <w:proofErr w:type="spellEnd"/>
      <w:r w:rsidRPr="00B4737D">
        <w:rPr>
          <w:sz w:val="24"/>
          <w:szCs w:val="24"/>
          <w:lang w:val="en-US"/>
        </w:rPr>
        <w:t xml:space="preserve"> in the clinical program (ARISTOTLE: apixaban versus warfarin, AVERROES: apixaban versus ASA) including 11,927 </w:t>
      </w:r>
      <w:proofErr w:type="spellStart"/>
      <w:r w:rsidRPr="00B4737D">
        <w:rPr>
          <w:sz w:val="24"/>
          <w:szCs w:val="24"/>
          <w:lang w:val="en-US"/>
        </w:rPr>
        <w:t>randomised</w:t>
      </w:r>
      <w:proofErr w:type="spellEnd"/>
      <w:r w:rsidRPr="00B4737D">
        <w:rPr>
          <w:sz w:val="24"/>
          <w:szCs w:val="24"/>
          <w:lang w:val="en-US"/>
        </w:rPr>
        <w:t xml:space="preserve"> to apixaban. The program was designed to demonstrate the efficacy and safety of apixaban for the prevention of stroke and systemic embolism in patients with non-valvular atrial fibrillation (NVAF) and one or more additional risk factors, such as: </w:t>
      </w:r>
    </w:p>
    <w:p w14:paraId="4E3E92FA" w14:textId="5342E288" w:rsidR="00B4737D" w:rsidRPr="00A12881" w:rsidRDefault="00B4737D" w:rsidP="00A12881">
      <w:pPr>
        <w:pStyle w:val="Listeafsnit"/>
        <w:numPr>
          <w:ilvl w:val="0"/>
          <w:numId w:val="13"/>
        </w:numPr>
        <w:ind w:left="1276" w:hanging="425"/>
        <w:rPr>
          <w:sz w:val="24"/>
          <w:szCs w:val="24"/>
          <w:lang w:val="en-US"/>
        </w:rPr>
      </w:pPr>
      <w:r w:rsidRPr="00A12881">
        <w:rPr>
          <w:sz w:val="24"/>
          <w:szCs w:val="24"/>
          <w:lang w:val="en-US"/>
        </w:rPr>
        <w:t xml:space="preserve">prior stroke or transient </w:t>
      </w:r>
      <w:proofErr w:type="spellStart"/>
      <w:r w:rsidRPr="00A12881">
        <w:rPr>
          <w:sz w:val="24"/>
          <w:szCs w:val="24"/>
          <w:lang w:val="en-US"/>
        </w:rPr>
        <w:t>ischaemic</w:t>
      </w:r>
      <w:proofErr w:type="spellEnd"/>
      <w:r w:rsidRPr="00A12881">
        <w:rPr>
          <w:sz w:val="24"/>
          <w:szCs w:val="24"/>
          <w:lang w:val="en-US"/>
        </w:rPr>
        <w:t xml:space="preserve"> attack (TIA) </w:t>
      </w:r>
    </w:p>
    <w:p w14:paraId="519962E7" w14:textId="7439F1DA" w:rsidR="00B4737D" w:rsidRPr="00A12881" w:rsidRDefault="00B4737D" w:rsidP="00A12881">
      <w:pPr>
        <w:pStyle w:val="Listeafsnit"/>
        <w:numPr>
          <w:ilvl w:val="0"/>
          <w:numId w:val="13"/>
        </w:numPr>
        <w:ind w:left="1276" w:hanging="425"/>
        <w:rPr>
          <w:sz w:val="24"/>
          <w:szCs w:val="24"/>
          <w:lang w:val="en-US"/>
        </w:rPr>
      </w:pPr>
      <w:r w:rsidRPr="00A12881">
        <w:rPr>
          <w:sz w:val="24"/>
          <w:szCs w:val="24"/>
          <w:lang w:val="en-US"/>
        </w:rPr>
        <w:t xml:space="preserve">age ≥ 75 years </w:t>
      </w:r>
    </w:p>
    <w:p w14:paraId="047408D8" w14:textId="374C55FA" w:rsidR="00B4737D" w:rsidRPr="00A12881" w:rsidRDefault="00B4737D" w:rsidP="00A12881">
      <w:pPr>
        <w:pStyle w:val="Listeafsnit"/>
        <w:numPr>
          <w:ilvl w:val="0"/>
          <w:numId w:val="13"/>
        </w:numPr>
        <w:ind w:left="1276" w:hanging="425"/>
        <w:rPr>
          <w:sz w:val="24"/>
          <w:szCs w:val="24"/>
          <w:lang w:val="en-US"/>
        </w:rPr>
      </w:pPr>
      <w:r w:rsidRPr="00A12881">
        <w:rPr>
          <w:sz w:val="24"/>
          <w:szCs w:val="24"/>
          <w:lang w:val="en-US"/>
        </w:rPr>
        <w:t xml:space="preserve">hypertension </w:t>
      </w:r>
    </w:p>
    <w:p w14:paraId="72840089" w14:textId="41D952CD" w:rsidR="00B4737D" w:rsidRPr="00A12881" w:rsidRDefault="00B4737D" w:rsidP="00A12881">
      <w:pPr>
        <w:pStyle w:val="Listeafsnit"/>
        <w:numPr>
          <w:ilvl w:val="0"/>
          <w:numId w:val="13"/>
        </w:numPr>
        <w:ind w:left="1276" w:hanging="425"/>
        <w:rPr>
          <w:sz w:val="24"/>
          <w:szCs w:val="24"/>
          <w:lang w:val="en-US"/>
        </w:rPr>
      </w:pPr>
      <w:r w:rsidRPr="00A12881">
        <w:rPr>
          <w:sz w:val="24"/>
          <w:szCs w:val="24"/>
          <w:lang w:val="en-US"/>
        </w:rPr>
        <w:t xml:space="preserve">diabetes mellitus </w:t>
      </w:r>
    </w:p>
    <w:p w14:paraId="4D157F34" w14:textId="165CBFC7" w:rsidR="00B4737D" w:rsidRPr="00A12881" w:rsidRDefault="00B4737D" w:rsidP="00A12881">
      <w:pPr>
        <w:pStyle w:val="Listeafsnit"/>
        <w:numPr>
          <w:ilvl w:val="0"/>
          <w:numId w:val="13"/>
        </w:numPr>
        <w:ind w:left="1276" w:hanging="425"/>
        <w:rPr>
          <w:sz w:val="24"/>
          <w:szCs w:val="24"/>
          <w:lang w:val="en-US"/>
        </w:rPr>
      </w:pPr>
      <w:r w:rsidRPr="00A12881">
        <w:rPr>
          <w:sz w:val="24"/>
          <w:szCs w:val="24"/>
          <w:lang w:val="en-US"/>
        </w:rPr>
        <w:t xml:space="preserve">symptomatic heart failure (NYHA Class ≥ II) </w:t>
      </w:r>
    </w:p>
    <w:p w14:paraId="4CBDDC69" w14:textId="77777777" w:rsidR="00B4737D" w:rsidRPr="00B4737D" w:rsidRDefault="00B4737D" w:rsidP="009257ED">
      <w:pPr>
        <w:ind w:left="851"/>
        <w:rPr>
          <w:sz w:val="24"/>
          <w:szCs w:val="24"/>
          <w:lang w:val="en-US"/>
        </w:rPr>
      </w:pPr>
    </w:p>
    <w:p w14:paraId="2ABD7EEA" w14:textId="77777777" w:rsidR="00B4737D" w:rsidRPr="00B4737D" w:rsidRDefault="00B4737D" w:rsidP="009257ED">
      <w:pPr>
        <w:ind w:left="851"/>
        <w:rPr>
          <w:sz w:val="24"/>
          <w:szCs w:val="24"/>
          <w:u w:val="single"/>
          <w:lang w:val="en-US"/>
        </w:rPr>
      </w:pPr>
      <w:r w:rsidRPr="00B4737D">
        <w:rPr>
          <w:i/>
          <w:iCs/>
          <w:sz w:val="24"/>
          <w:szCs w:val="24"/>
          <w:u w:val="single"/>
          <w:lang w:val="en-US"/>
        </w:rPr>
        <w:t xml:space="preserve">ARISTOTLE study </w:t>
      </w:r>
    </w:p>
    <w:p w14:paraId="42BA9785" w14:textId="77777777" w:rsidR="00B4737D" w:rsidRPr="00B4737D" w:rsidRDefault="00B4737D" w:rsidP="009257ED">
      <w:pPr>
        <w:ind w:left="851"/>
        <w:rPr>
          <w:sz w:val="24"/>
          <w:szCs w:val="24"/>
          <w:lang w:val="en-US"/>
        </w:rPr>
      </w:pPr>
      <w:r w:rsidRPr="00B4737D">
        <w:rPr>
          <w:sz w:val="24"/>
          <w:szCs w:val="24"/>
          <w:lang w:val="en-US"/>
        </w:rPr>
        <w:t xml:space="preserve">In the ARISTOTLE study a total of 18,201 adult patients were </w:t>
      </w:r>
      <w:proofErr w:type="spellStart"/>
      <w:r w:rsidRPr="00B4737D">
        <w:rPr>
          <w:sz w:val="24"/>
          <w:szCs w:val="24"/>
          <w:lang w:val="en-US"/>
        </w:rPr>
        <w:t>randomised</w:t>
      </w:r>
      <w:proofErr w:type="spellEnd"/>
      <w:r w:rsidRPr="00B4737D">
        <w:rPr>
          <w:sz w:val="24"/>
          <w:szCs w:val="24"/>
          <w:lang w:val="en-US"/>
        </w:rPr>
        <w:t xml:space="preserve"> to double-blind treatment with apixaban 5 mg twice daily (or 2.5 mg twice daily in selected patients [4.7%], see section 4.2) or warfarin (target INR range 2.0-3.0), patients were exposed to study active substance for a mean of 20 months. The mean age was 69.1 years, the mean CHADS2 score was 2.1 and 18.9% of patients had prior stroke or TIA. </w:t>
      </w:r>
    </w:p>
    <w:p w14:paraId="0B53B238" w14:textId="77777777" w:rsidR="00B4737D" w:rsidRPr="00B4737D" w:rsidRDefault="00B4737D" w:rsidP="009257ED">
      <w:pPr>
        <w:ind w:left="851"/>
        <w:rPr>
          <w:sz w:val="24"/>
          <w:szCs w:val="24"/>
          <w:lang w:val="en-US"/>
        </w:rPr>
      </w:pPr>
    </w:p>
    <w:p w14:paraId="24E8CD36" w14:textId="77777777" w:rsidR="00B4737D" w:rsidRPr="00B4737D" w:rsidRDefault="00B4737D" w:rsidP="009257ED">
      <w:pPr>
        <w:ind w:left="851"/>
        <w:rPr>
          <w:sz w:val="24"/>
          <w:szCs w:val="24"/>
          <w:u w:val="single"/>
          <w:lang w:val="en-US"/>
        </w:rPr>
      </w:pPr>
      <w:r w:rsidRPr="00B4737D">
        <w:rPr>
          <w:sz w:val="24"/>
          <w:szCs w:val="24"/>
          <w:lang w:val="en-US"/>
        </w:rPr>
        <w:t xml:space="preserve">In the study, </w:t>
      </w:r>
      <w:proofErr w:type="gramStart"/>
      <w:r w:rsidRPr="00B4737D">
        <w:rPr>
          <w:sz w:val="24"/>
          <w:szCs w:val="24"/>
          <w:lang w:val="en-US"/>
        </w:rPr>
        <w:t>apixaban</w:t>
      </w:r>
      <w:proofErr w:type="gramEnd"/>
      <w:r w:rsidRPr="00B4737D">
        <w:rPr>
          <w:sz w:val="24"/>
          <w:szCs w:val="24"/>
          <w:lang w:val="en-US"/>
        </w:rPr>
        <w:t xml:space="preserve"> achieved statistically significant superiority in the primary endpoint of prevention of stroke (</w:t>
      </w:r>
      <w:proofErr w:type="spellStart"/>
      <w:r w:rsidRPr="00B4737D">
        <w:rPr>
          <w:sz w:val="24"/>
          <w:szCs w:val="24"/>
          <w:lang w:val="en-US"/>
        </w:rPr>
        <w:t>haemorrhagic</w:t>
      </w:r>
      <w:proofErr w:type="spellEnd"/>
      <w:r w:rsidRPr="00B4737D">
        <w:rPr>
          <w:sz w:val="24"/>
          <w:szCs w:val="24"/>
          <w:lang w:val="en-US"/>
        </w:rPr>
        <w:t xml:space="preserve"> or </w:t>
      </w:r>
      <w:proofErr w:type="spellStart"/>
      <w:r w:rsidRPr="00B4737D">
        <w:rPr>
          <w:sz w:val="24"/>
          <w:szCs w:val="24"/>
          <w:lang w:val="en-US"/>
        </w:rPr>
        <w:t>ischaemic</w:t>
      </w:r>
      <w:proofErr w:type="spellEnd"/>
      <w:r w:rsidRPr="00B4737D">
        <w:rPr>
          <w:sz w:val="24"/>
          <w:szCs w:val="24"/>
          <w:lang w:val="en-US"/>
        </w:rPr>
        <w:t>) and systemic embolism (see Table 5) compared with warfarin.</w:t>
      </w:r>
    </w:p>
    <w:p w14:paraId="1215534E" w14:textId="77777777" w:rsidR="00B4737D" w:rsidRPr="00B4737D" w:rsidRDefault="00B4737D" w:rsidP="00B4737D">
      <w:pPr>
        <w:tabs>
          <w:tab w:val="left" w:pos="851"/>
        </w:tabs>
        <w:ind w:left="851"/>
        <w:rPr>
          <w:sz w:val="24"/>
          <w:szCs w:val="24"/>
          <w:u w:val="single"/>
          <w:lang w:val="en-US"/>
        </w:rPr>
      </w:pPr>
    </w:p>
    <w:p w14:paraId="5729A423" w14:textId="77777777" w:rsidR="00B4737D" w:rsidRPr="00B4737D" w:rsidRDefault="00B4737D" w:rsidP="00B4737D">
      <w:pPr>
        <w:tabs>
          <w:tab w:val="left" w:pos="851"/>
        </w:tabs>
        <w:ind w:left="851"/>
        <w:rPr>
          <w:sz w:val="24"/>
          <w:szCs w:val="24"/>
          <w:u w:val="single"/>
          <w:lang w:val="en-US"/>
        </w:rPr>
      </w:pPr>
      <w:r w:rsidRPr="00B4737D">
        <w:rPr>
          <w:b/>
          <w:bCs/>
          <w:sz w:val="24"/>
          <w:szCs w:val="24"/>
          <w:lang w:val="en-GB"/>
        </w:rPr>
        <w:t>Table 5: Efficacy outcomes in patients with atrial fibrillation in the ARISTOTLE study</w:t>
      </w:r>
    </w:p>
    <w:tbl>
      <w:tblPr>
        <w:tblStyle w:val="Tabel-Gitter"/>
        <w:tblW w:w="5000" w:type="pct"/>
        <w:tblLook w:val="04A0" w:firstRow="1" w:lastRow="0" w:firstColumn="1" w:lastColumn="0" w:noHBand="0" w:noVBand="1"/>
      </w:tblPr>
      <w:tblGrid>
        <w:gridCol w:w="3053"/>
        <w:gridCol w:w="1763"/>
        <w:gridCol w:w="1658"/>
        <w:gridCol w:w="1956"/>
        <w:gridCol w:w="1198"/>
      </w:tblGrid>
      <w:tr w:rsidR="00B4737D" w:rsidRPr="00B4737D" w14:paraId="1B80C62A" w14:textId="77777777" w:rsidTr="009257ED">
        <w:tc>
          <w:tcPr>
            <w:tcW w:w="1585" w:type="pct"/>
            <w:tcBorders>
              <w:top w:val="single" w:sz="4" w:space="0" w:color="auto"/>
              <w:left w:val="single" w:sz="4" w:space="0" w:color="auto"/>
              <w:bottom w:val="single" w:sz="4" w:space="0" w:color="auto"/>
              <w:right w:val="single" w:sz="4" w:space="0" w:color="auto"/>
            </w:tcBorders>
          </w:tcPr>
          <w:p w14:paraId="738AB385" w14:textId="77777777" w:rsidR="00B4737D" w:rsidRPr="00B4737D" w:rsidRDefault="00B4737D" w:rsidP="009257ED">
            <w:pPr>
              <w:ind w:left="32"/>
              <w:rPr>
                <w:sz w:val="24"/>
                <w:szCs w:val="24"/>
                <w:u w:val="single"/>
                <w:lang w:val="en-US"/>
              </w:rPr>
            </w:pPr>
          </w:p>
        </w:tc>
        <w:tc>
          <w:tcPr>
            <w:tcW w:w="915" w:type="pct"/>
            <w:tcBorders>
              <w:top w:val="single" w:sz="4" w:space="0" w:color="auto"/>
              <w:left w:val="single" w:sz="4" w:space="0" w:color="auto"/>
              <w:bottom w:val="single" w:sz="4" w:space="0" w:color="auto"/>
              <w:right w:val="single" w:sz="4" w:space="0" w:color="auto"/>
            </w:tcBorders>
            <w:hideMark/>
          </w:tcPr>
          <w:p w14:paraId="2B15E93B" w14:textId="77777777" w:rsidR="00B4737D" w:rsidRPr="00B4737D" w:rsidRDefault="00B4737D" w:rsidP="009257ED">
            <w:pPr>
              <w:ind w:left="32"/>
              <w:rPr>
                <w:b/>
                <w:bCs/>
                <w:sz w:val="24"/>
                <w:szCs w:val="24"/>
                <w:lang w:val="en-US"/>
              </w:rPr>
            </w:pPr>
            <w:r w:rsidRPr="00B4737D">
              <w:rPr>
                <w:b/>
                <w:bCs/>
                <w:sz w:val="24"/>
                <w:szCs w:val="24"/>
                <w:lang w:val="en-US"/>
              </w:rPr>
              <w:t xml:space="preserve">Apixaban </w:t>
            </w:r>
          </w:p>
          <w:p w14:paraId="02A15647" w14:textId="77777777" w:rsidR="00B4737D" w:rsidRPr="00B4737D" w:rsidRDefault="00B4737D" w:rsidP="009257ED">
            <w:pPr>
              <w:ind w:left="32"/>
              <w:rPr>
                <w:sz w:val="24"/>
                <w:szCs w:val="24"/>
                <w:lang w:val="en-US"/>
              </w:rPr>
            </w:pPr>
            <w:r w:rsidRPr="00B4737D">
              <w:rPr>
                <w:b/>
                <w:bCs/>
                <w:sz w:val="24"/>
                <w:szCs w:val="24"/>
                <w:lang w:val="en-US"/>
              </w:rPr>
              <w:t>N = 9,120</w:t>
            </w:r>
          </w:p>
          <w:p w14:paraId="02778D1B" w14:textId="77777777" w:rsidR="00B4737D" w:rsidRPr="00B4737D" w:rsidRDefault="00B4737D" w:rsidP="009257ED">
            <w:pPr>
              <w:ind w:left="32"/>
              <w:rPr>
                <w:sz w:val="24"/>
                <w:szCs w:val="24"/>
                <w:u w:val="single"/>
                <w:lang w:val="en-US"/>
              </w:rPr>
            </w:pPr>
            <w:r w:rsidRPr="00B4737D">
              <w:rPr>
                <w:b/>
                <w:bCs/>
                <w:sz w:val="24"/>
                <w:szCs w:val="24"/>
                <w:lang w:val="en-GB"/>
              </w:rPr>
              <w:t>n (%/yr)</w:t>
            </w:r>
          </w:p>
        </w:tc>
        <w:tc>
          <w:tcPr>
            <w:tcW w:w="861" w:type="pct"/>
            <w:tcBorders>
              <w:top w:val="single" w:sz="4" w:space="0" w:color="auto"/>
              <w:left w:val="single" w:sz="4" w:space="0" w:color="auto"/>
              <w:bottom w:val="single" w:sz="4" w:space="0" w:color="auto"/>
              <w:right w:val="single" w:sz="4" w:space="0" w:color="auto"/>
            </w:tcBorders>
            <w:hideMark/>
          </w:tcPr>
          <w:p w14:paraId="3F6CF7D6" w14:textId="77777777" w:rsidR="00B4737D" w:rsidRPr="00B4737D" w:rsidRDefault="00B4737D" w:rsidP="009257ED">
            <w:pPr>
              <w:ind w:left="32"/>
              <w:rPr>
                <w:sz w:val="24"/>
                <w:szCs w:val="24"/>
                <w:lang w:val="en-US"/>
              </w:rPr>
            </w:pPr>
            <w:r w:rsidRPr="00B4737D">
              <w:rPr>
                <w:b/>
                <w:bCs/>
                <w:sz w:val="24"/>
                <w:szCs w:val="24"/>
                <w:lang w:val="en-US"/>
              </w:rPr>
              <w:t>Warfarin</w:t>
            </w:r>
          </w:p>
          <w:p w14:paraId="526CB1F7" w14:textId="77777777" w:rsidR="00B4737D" w:rsidRPr="00B4737D" w:rsidRDefault="00B4737D" w:rsidP="009257ED">
            <w:pPr>
              <w:ind w:left="32"/>
              <w:rPr>
                <w:sz w:val="24"/>
                <w:szCs w:val="24"/>
                <w:lang w:val="en-US"/>
              </w:rPr>
            </w:pPr>
            <w:r w:rsidRPr="00B4737D">
              <w:rPr>
                <w:b/>
                <w:bCs/>
                <w:sz w:val="24"/>
                <w:szCs w:val="24"/>
                <w:lang w:val="en-US"/>
              </w:rPr>
              <w:t>N = 9,081</w:t>
            </w:r>
          </w:p>
          <w:p w14:paraId="2EF43223" w14:textId="77777777" w:rsidR="00B4737D" w:rsidRPr="00B4737D" w:rsidRDefault="00B4737D" w:rsidP="009257ED">
            <w:pPr>
              <w:ind w:left="32"/>
              <w:rPr>
                <w:sz w:val="24"/>
                <w:szCs w:val="24"/>
                <w:u w:val="single"/>
                <w:lang w:val="en-US"/>
              </w:rPr>
            </w:pPr>
            <w:r w:rsidRPr="00B4737D">
              <w:rPr>
                <w:b/>
                <w:bCs/>
                <w:sz w:val="24"/>
                <w:szCs w:val="24"/>
                <w:lang w:val="en-GB"/>
              </w:rPr>
              <w:t>n (%/yr)</w:t>
            </w:r>
          </w:p>
        </w:tc>
        <w:tc>
          <w:tcPr>
            <w:tcW w:w="1016" w:type="pct"/>
            <w:tcBorders>
              <w:top w:val="single" w:sz="4" w:space="0" w:color="auto"/>
              <w:left w:val="single" w:sz="4" w:space="0" w:color="auto"/>
              <w:bottom w:val="single" w:sz="4" w:space="0" w:color="auto"/>
              <w:right w:val="single" w:sz="4" w:space="0" w:color="auto"/>
            </w:tcBorders>
            <w:hideMark/>
          </w:tcPr>
          <w:p w14:paraId="693447A6" w14:textId="77777777" w:rsidR="00B4737D" w:rsidRPr="00B4737D" w:rsidRDefault="00B4737D" w:rsidP="009257ED">
            <w:pPr>
              <w:ind w:left="32"/>
              <w:rPr>
                <w:sz w:val="24"/>
                <w:szCs w:val="24"/>
                <w:lang w:val="en-US"/>
              </w:rPr>
            </w:pPr>
            <w:r w:rsidRPr="00B4737D">
              <w:rPr>
                <w:b/>
                <w:bCs/>
                <w:sz w:val="24"/>
                <w:szCs w:val="24"/>
                <w:lang w:val="en-US"/>
              </w:rPr>
              <w:t>Hazard ratio</w:t>
            </w:r>
          </w:p>
          <w:p w14:paraId="15AD8A77" w14:textId="77777777" w:rsidR="00B4737D" w:rsidRPr="00B4737D" w:rsidRDefault="00B4737D" w:rsidP="009257ED">
            <w:pPr>
              <w:ind w:left="32"/>
              <w:rPr>
                <w:sz w:val="24"/>
                <w:szCs w:val="24"/>
                <w:u w:val="single"/>
                <w:lang w:val="en-US"/>
              </w:rPr>
            </w:pPr>
            <w:r w:rsidRPr="00B4737D">
              <w:rPr>
                <w:b/>
                <w:bCs/>
                <w:sz w:val="24"/>
                <w:szCs w:val="24"/>
                <w:lang w:val="en-GB"/>
              </w:rPr>
              <w:t>(95% CI)</w:t>
            </w:r>
          </w:p>
        </w:tc>
        <w:tc>
          <w:tcPr>
            <w:tcW w:w="622" w:type="pct"/>
            <w:tcBorders>
              <w:top w:val="single" w:sz="4" w:space="0" w:color="auto"/>
              <w:left w:val="single" w:sz="4" w:space="0" w:color="auto"/>
              <w:bottom w:val="single" w:sz="4" w:space="0" w:color="auto"/>
              <w:right w:val="single" w:sz="4" w:space="0" w:color="auto"/>
            </w:tcBorders>
            <w:hideMark/>
          </w:tcPr>
          <w:p w14:paraId="3DA5C4EE" w14:textId="77777777" w:rsidR="00B4737D" w:rsidRPr="00B4737D" w:rsidRDefault="00B4737D" w:rsidP="009257ED">
            <w:pPr>
              <w:ind w:left="32"/>
              <w:rPr>
                <w:sz w:val="24"/>
                <w:szCs w:val="24"/>
                <w:u w:val="single"/>
                <w:lang w:val="en-US"/>
              </w:rPr>
            </w:pPr>
            <w:r w:rsidRPr="00B4737D">
              <w:rPr>
                <w:b/>
                <w:bCs/>
                <w:sz w:val="24"/>
                <w:szCs w:val="24"/>
                <w:lang w:val="en-GB"/>
              </w:rPr>
              <w:t>p-value</w:t>
            </w:r>
          </w:p>
        </w:tc>
      </w:tr>
      <w:tr w:rsidR="00B4737D" w:rsidRPr="00B4737D" w14:paraId="7F237456" w14:textId="77777777" w:rsidTr="009257ED">
        <w:tc>
          <w:tcPr>
            <w:tcW w:w="1585" w:type="pct"/>
            <w:tcBorders>
              <w:top w:val="single" w:sz="4" w:space="0" w:color="auto"/>
              <w:left w:val="single" w:sz="4" w:space="0" w:color="auto"/>
              <w:bottom w:val="single" w:sz="4" w:space="0" w:color="auto"/>
              <w:right w:val="single" w:sz="4" w:space="0" w:color="auto"/>
            </w:tcBorders>
            <w:hideMark/>
          </w:tcPr>
          <w:p w14:paraId="363EFBB8" w14:textId="77777777" w:rsidR="00B4737D" w:rsidRPr="00B4737D" w:rsidRDefault="00B4737D" w:rsidP="009257ED">
            <w:pPr>
              <w:ind w:left="32"/>
              <w:rPr>
                <w:sz w:val="24"/>
                <w:szCs w:val="24"/>
                <w:u w:val="single"/>
                <w:lang w:val="en-US"/>
              </w:rPr>
            </w:pPr>
            <w:r w:rsidRPr="00B4737D">
              <w:rPr>
                <w:sz w:val="24"/>
                <w:szCs w:val="24"/>
                <w:lang w:val="en-GB"/>
              </w:rPr>
              <w:t xml:space="preserve">Stroke or systemic embolism </w:t>
            </w:r>
          </w:p>
        </w:tc>
        <w:tc>
          <w:tcPr>
            <w:tcW w:w="915" w:type="pct"/>
            <w:tcBorders>
              <w:top w:val="single" w:sz="4" w:space="0" w:color="auto"/>
              <w:left w:val="single" w:sz="4" w:space="0" w:color="auto"/>
              <w:bottom w:val="single" w:sz="4" w:space="0" w:color="auto"/>
              <w:right w:val="single" w:sz="4" w:space="0" w:color="auto"/>
            </w:tcBorders>
            <w:hideMark/>
          </w:tcPr>
          <w:p w14:paraId="294BA01B" w14:textId="77777777" w:rsidR="00B4737D" w:rsidRPr="00B4737D" w:rsidRDefault="00B4737D" w:rsidP="009257ED">
            <w:pPr>
              <w:ind w:left="32"/>
              <w:rPr>
                <w:sz w:val="24"/>
                <w:szCs w:val="24"/>
                <w:u w:val="single"/>
                <w:lang w:val="en-US"/>
              </w:rPr>
            </w:pPr>
            <w:r w:rsidRPr="00B4737D">
              <w:rPr>
                <w:sz w:val="24"/>
                <w:szCs w:val="24"/>
                <w:lang w:val="en-GB"/>
              </w:rPr>
              <w:t>212 (1.27)</w:t>
            </w:r>
          </w:p>
        </w:tc>
        <w:tc>
          <w:tcPr>
            <w:tcW w:w="861" w:type="pct"/>
            <w:tcBorders>
              <w:top w:val="single" w:sz="4" w:space="0" w:color="auto"/>
              <w:left w:val="single" w:sz="4" w:space="0" w:color="auto"/>
              <w:bottom w:val="single" w:sz="4" w:space="0" w:color="auto"/>
              <w:right w:val="single" w:sz="4" w:space="0" w:color="auto"/>
            </w:tcBorders>
            <w:hideMark/>
          </w:tcPr>
          <w:p w14:paraId="5549F29D" w14:textId="77777777" w:rsidR="00B4737D" w:rsidRPr="00B4737D" w:rsidRDefault="00B4737D" w:rsidP="009257ED">
            <w:pPr>
              <w:ind w:left="32"/>
              <w:rPr>
                <w:sz w:val="24"/>
                <w:szCs w:val="24"/>
                <w:u w:val="single"/>
                <w:lang w:val="en-US"/>
              </w:rPr>
            </w:pPr>
            <w:r w:rsidRPr="00B4737D">
              <w:rPr>
                <w:sz w:val="24"/>
                <w:szCs w:val="24"/>
                <w:lang w:val="en-GB"/>
              </w:rPr>
              <w:t>265 (1.60)</w:t>
            </w:r>
          </w:p>
        </w:tc>
        <w:tc>
          <w:tcPr>
            <w:tcW w:w="1016" w:type="pct"/>
            <w:tcBorders>
              <w:top w:val="single" w:sz="4" w:space="0" w:color="auto"/>
              <w:left w:val="single" w:sz="4" w:space="0" w:color="auto"/>
              <w:bottom w:val="single" w:sz="4" w:space="0" w:color="auto"/>
              <w:right w:val="single" w:sz="4" w:space="0" w:color="auto"/>
            </w:tcBorders>
            <w:hideMark/>
          </w:tcPr>
          <w:p w14:paraId="10ED63D4" w14:textId="77777777" w:rsidR="00B4737D" w:rsidRPr="00B4737D" w:rsidRDefault="00B4737D" w:rsidP="009257ED">
            <w:pPr>
              <w:ind w:left="32"/>
              <w:rPr>
                <w:sz w:val="24"/>
                <w:szCs w:val="24"/>
                <w:u w:val="single"/>
                <w:lang w:val="en-US"/>
              </w:rPr>
            </w:pPr>
            <w:r w:rsidRPr="00B4737D">
              <w:rPr>
                <w:sz w:val="24"/>
                <w:szCs w:val="24"/>
                <w:lang w:val="en-GB"/>
              </w:rPr>
              <w:t>0.79 (0.66, 0.95)</w:t>
            </w:r>
          </w:p>
        </w:tc>
        <w:tc>
          <w:tcPr>
            <w:tcW w:w="622" w:type="pct"/>
            <w:tcBorders>
              <w:top w:val="single" w:sz="4" w:space="0" w:color="auto"/>
              <w:left w:val="single" w:sz="4" w:space="0" w:color="auto"/>
              <w:bottom w:val="single" w:sz="4" w:space="0" w:color="auto"/>
              <w:right w:val="single" w:sz="4" w:space="0" w:color="auto"/>
            </w:tcBorders>
            <w:hideMark/>
          </w:tcPr>
          <w:p w14:paraId="7E1B79FA" w14:textId="77777777" w:rsidR="00B4737D" w:rsidRPr="00B4737D" w:rsidRDefault="00B4737D" w:rsidP="009257ED">
            <w:pPr>
              <w:ind w:left="32"/>
              <w:rPr>
                <w:sz w:val="24"/>
                <w:szCs w:val="24"/>
                <w:u w:val="single"/>
                <w:lang w:val="en-US"/>
              </w:rPr>
            </w:pPr>
            <w:r w:rsidRPr="00B4737D">
              <w:rPr>
                <w:sz w:val="24"/>
                <w:szCs w:val="24"/>
                <w:lang w:val="en-GB"/>
              </w:rPr>
              <w:t>0.0114</w:t>
            </w:r>
          </w:p>
        </w:tc>
      </w:tr>
      <w:tr w:rsidR="00B4737D" w:rsidRPr="00B4737D" w14:paraId="3A982329" w14:textId="77777777" w:rsidTr="009257ED">
        <w:tc>
          <w:tcPr>
            <w:tcW w:w="1585" w:type="pct"/>
            <w:tcBorders>
              <w:top w:val="single" w:sz="4" w:space="0" w:color="auto"/>
              <w:left w:val="single" w:sz="4" w:space="0" w:color="auto"/>
              <w:bottom w:val="single" w:sz="4" w:space="0" w:color="auto"/>
              <w:right w:val="single" w:sz="4" w:space="0" w:color="auto"/>
            </w:tcBorders>
            <w:hideMark/>
          </w:tcPr>
          <w:p w14:paraId="0E3305A6" w14:textId="77777777" w:rsidR="00B4737D" w:rsidRPr="00B4737D" w:rsidRDefault="00B4737D" w:rsidP="009257ED">
            <w:pPr>
              <w:ind w:left="32"/>
              <w:rPr>
                <w:sz w:val="24"/>
                <w:szCs w:val="24"/>
                <w:u w:val="single"/>
                <w:lang w:val="en-US"/>
              </w:rPr>
            </w:pPr>
            <w:r w:rsidRPr="00B4737D">
              <w:rPr>
                <w:sz w:val="24"/>
                <w:szCs w:val="24"/>
                <w:lang w:val="en-US"/>
              </w:rPr>
              <w:t xml:space="preserve">   Stroke </w:t>
            </w:r>
          </w:p>
        </w:tc>
        <w:tc>
          <w:tcPr>
            <w:tcW w:w="915" w:type="pct"/>
            <w:tcBorders>
              <w:top w:val="single" w:sz="4" w:space="0" w:color="auto"/>
              <w:left w:val="single" w:sz="4" w:space="0" w:color="auto"/>
              <w:bottom w:val="single" w:sz="4" w:space="0" w:color="auto"/>
              <w:right w:val="single" w:sz="4" w:space="0" w:color="auto"/>
            </w:tcBorders>
          </w:tcPr>
          <w:p w14:paraId="566C7543" w14:textId="77777777" w:rsidR="00B4737D" w:rsidRPr="00B4737D" w:rsidRDefault="00B4737D" w:rsidP="009257ED">
            <w:pPr>
              <w:ind w:left="32"/>
              <w:rPr>
                <w:sz w:val="24"/>
                <w:szCs w:val="24"/>
                <w:u w:val="single"/>
                <w:lang w:val="en-US"/>
              </w:rPr>
            </w:pPr>
          </w:p>
        </w:tc>
        <w:tc>
          <w:tcPr>
            <w:tcW w:w="861" w:type="pct"/>
            <w:tcBorders>
              <w:top w:val="single" w:sz="4" w:space="0" w:color="auto"/>
              <w:left w:val="single" w:sz="4" w:space="0" w:color="auto"/>
              <w:bottom w:val="single" w:sz="4" w:space="0" w:color="auto"/>
              <w:right w:val="single" w:sz="4" w:space="0" w:color="auto"/>
            </w:tcBorders>
          </w:tcPr>
          <w:p w14:paraId="19DB81E1" w14:textId="77777777" w:rsidR="00B4737D" w:rsidRPr="00B4737D" w:rsidRDefault="00B4737D" w:rsidP="009257ED">
            <w:pPr>
              <w:ind w:left="32"/>
              <w:rPr>
                <w:sz w:val="24"/>
                <w:szCs w:val="24"/>
                <w:u w:val="single"/>
                <w:lang w:val="en-US"/>
              </w:rPr>
            </w:pPr>
          </w:p>
        </w:tc>
        <w:tc>
          <w:tcPr>
            <w:tcW w:w="1016" w:type="pct"/>
            <w:tcBorders>
              <w:top w:val="single" w:sz="4" w:space="0" w:color="auto"/>
              <w:left w:val="single" w:sz="4" w:space="0" w:color="auto"/>
              <w:bottom w:val="single" w:sz="4" w:space="0" w:color="auto"/>
              <w:right w:val="single" w:sz="4" w:space="0" w:color="auto"/>
            </w:tcBorders>
          </w:tcPr>
          <w:p w14:paraId="151255DB" w14:textId="77777777" w:rsidR="00B4737D" w:rsidRPr="00B4737D" w:rsidRDefault="00B4737D" w:rsidP="009257ED">
            <w:pPr>
              <w:ind w:left="32"/>
              <w:rPr>
                <w:sz w:val="24"/>
                <w:szCs w:val="24"/>
                <w:u w:val="single"/>
                <w:lang w:val="en-US"/>
              </w:rPr>
            </w:pPr>
          </w:p>
        </w:tc>
        <w:tc>
          <w:tcPr>
            <w:tcW w:w="622" w:type="pct"/>
            <w:tcBorders>
              <w:top w:val="single" w:sz="4" w:space="0" w:color="auto"/>
              <w:left w:val="single" w:sz="4" w:space="0" w:color="auto"/>
              <w:bottom w:val="single" w:sz="4" w:space="0" w:color="auto"/>
              <w:right w:val="single" w:sz="4" w:space="0" w:color="auto"/>
            </w:tcBorders>
          </w:tcPr>
          <w:p w14:paraId="7B74601D" w14:textId="77777777" w:rsidR="00B4737D" w:rsidRPr="00B4737D" w:rsidRDefault="00B4737D" w:rsidP="009257ED">
            <w:pPr>
              <w:ind w:left="32"/>
              <w:rPr>
                <w:sz w:val="24"/>
                <w:szCs w:val="24"/>
                <w:u w:val="single"/>
                <w:lang w:val="en-US"/>
              </w:rPr>
            </w:pPr>
          </w:p>
        </w:tc>
      </w:tr>
      <w:tr w:rsidR="00B4737D" w:rsidRPr="00B4737D" w14:paraId="00A1D99C" w14:textId="77777777" w:rsidTr="009257ED">
        <w:tc>
          <w:tcPr>
            <w:tcW w:w="1585" w:type="pct"/>
            <w:tcBorders>
              <w:top w:val="single" w:sz="4" w:space="0" w:color="auto"/>
              <w:left w:val="single" w:sz="4" w:space="0" w:color="auto"/>
              <w:bottom w:val="single" w:sz="4" w:space="0" w:color="auto"/>
              <w:right w:val="single" w:sz="4" w:space="0" w:color="auto"/>
            </w:tcBorders>
            <w:hideMark/>
          </w:tcPr>
          <w:p w14:paraId="7989A1A6" w14:textId="77777777" w:rsidR="00B4737D" w:rsidRPr="00B4737D" w:rsidRDefault="00B4737D" w:rsidP="009257ED">
            <w:pPr>
              <w:ind w:left="32"/>
              <w:rPr>
                <w:sz w:val="24"/>
                <w:szCs w:val="24"/>
                <w:u w:val="single"/>
                <w:lang w:val="en-US"/>
              </w:rPr>
            </w:pPr>
            <w:r w:rsidRPr="00B4737D">
              <w:rPr>
                <w:sz w:val="24"/>
                <w:szCs w:val="24"/>
                <w:lang w:val="en-GB"/>
              </w:rPr>
              <w:t xml:space="preserve">      Ischaemic or unspecified </w:t>
            </w:r>
          </w:p>
        </w:tc>
        <w:tc>
          <w:tcPr>
            <w:tcW w:w="915" w:type="pct"/>
            <w:tcBorders>
              <w:top w:val="single" w:sz="4" w:space="0" w:color="auto"/>
              <w:left w:val="single" w:sz="4" w:space="0" w:color="auto"/>
              <w:bottom w:val="single" w:sz="4" w:space="0" w:color="auto"/>
              <w:right w:val="single" w:sz="4" w:space="0" w:color="auto"/>
            </w:tcBorders>
            <w:hideMark/>
          </w:tcPr>
          <w:p w14:paraId="300B61A1" w14:textId="77777777" w:rsidR="00B4737D" w:rsidRPr="00B4737D" w:rsidRDefault="00B4737D" w:rsidP="009257ED">
            <w:pPr>
              <w:ind w:left="32"/>
              <w:rPr>
                <w:sz w:val="24"/>
                <w:szCs w:val="24"/>
                <w:u w:val="single"/>
                <w:lang w:val="en-US"/>
              </w:rPr>
            </w:pPr>
            <w:r w:rsidRPr="00B4737D">
              <w:rPr>
                <w:sz w:val="24"/>
                <w:szCs w:val="24"/>
                <w:lang w:val="en-GB"/>
              </w:rPr>
              <w:t>162 (0.97)</w:t>
            </w:r>
          </w:p>
        </w:tc>
        <w:tc>
          <w:tcPr>
            <w:tcW w:w="861" w:type="pct"/>
            <w:tcBorders>
              <w:top w:val="single" w:sz="4" w:space="0" w:color="auto"/>
              <w:left w:val="single" w:sz="4" w:space="0" w:color="auto"/>
              <w:bottom w:val="single" w:sz="4" w:space="0" w:color="auto"/>
              <w:right w:val="single" w:sz="4" w:space="0" w:color="auto"/>
            </w:tcBorders>
            <w:hideMark/>
          </w:tcPr>
          <w:p w14:paraId="3FAD2EF0" w14:textId="77777777" w:rsidR="00B4737D" w:rsidRPr="00B4737D" w:rsidRDefault="00B4737D" w:rsidP="009257ED">
            <w:pPr>
              <w:ind w:left="32"/>
              <w:rPr>
                <w:sz w:val="24"/>
                <w:szCs w:val="24"/>
                <w:u w:val="single"/>
                <w:lang w:val="en-US"/>
              </w:rPr>
            </w:pPr>
            <w:r w:rsidRPr="00B4737D">
              <w:rPr>
                <w:sz w:val="24"/>
                <w:szCs w:val="24"/>
                <w:lang w:val="en-GB"/>
              </w:rPr>
              <w:t>175 (1.05)</w:t>
            </w:r>
          </w:p>
        </w:tc>
        <w:tc>
          <w:tcPr>
            <w:tcW w:w="1016" w:type="pct"/>
            <w:tcBorders>
              <w:top w:val="single" w:sz="4" w:space="0" w:color="auto"/>
              <w:left w:val="single" w:sz="4" w:space="0" w:color="auto"/>
              <w:bottom w:val="single" w:sz="4" w:space="0" w:color="auto"/>
              <w:right w:val="single" w:sz="4" w:space="0" w:color="auto"/>
            </w:tcBorders>
            <w:hideMark/>
          </w:tcPr>
          <w:p w14:paraId="71EE71AB" w14:textId="77777777" w:rsidR="00B4737D" w:rsidRPr="00B4737D" w:rsidRDefault="00B4737D" w:rsidP="009257ED">
            <w:pPr>
              <w:ind w:left="32"/>
              <w:rPr>
                <w:sz w:val="24"/>
                <w:szCs w:val="24"/>
                <w:u w:val="single"/>
                <w:lang w:val="en-US"/>
              </w:rPr>
            </w:pPr>
            <w:r w:rsidRPr="00B4737D">
              <w:rPr>
                <w:sz w:val="24"/>
                <w:szCs w:val="24"/>
                <w:lang w:val="en-GB"/>
              </w:rPr>
              <w:t>0.92 (0.74, 1.13)</w:t>
            </w:r>
          </w:p>
        </w:tc>
        <w:tc>
          <w:tcPr>
            <w:tcW w:w="622" w:type="pct"/>
            <w:tcBorders>
              <w:top w:val="single" w:sz="4" w:space="0" w:color="auto"/>
              <w:left w:val="single" w:sz="4" w:space="0" w:color="auto"/>
              <w:bottom w:val="single" w:sz="4" w:space="0" w:color="auto"/>
              <w:right w:val="single" w:sz="4" w:space="0" w:color="auto"/>
            </w:tcBorders>
          </w:tcPr>
          <w:p w14:paraId="638BAE12" w14:textId="77777777" w:rsidR="00B4737D" w:rsidRPr="00B4737D" w:rsidRDefault="00B4737D" w:rsidP="009257ED">
            <w:pPr>
              <w:ind w:left="32"/>
              <w:rPr>
                <w:sz w:val="24"/>
                <w:szCs w:val="24"/>
                <w:u w:val="single"/>
                <w:lang w:val="en-US"/>
              </w:rPr>
            </w:pPr>
          </w:p>
        </w:tc>
      </w:tr>
      <w:tr w:rsidR="00B4737D" w:rsidRPr="00B4737D" w14:paraId="75B5325D" w14:textId="77777777" w:rsidTr="009257ED">
        <w:tc>
          <w:tcPr>
            <w:tcW w:w="1585" w:type="pct"/>
            <w:tcBorders>
              <w:top w:val="single" w:sz="4" w:space="0" w:color="auto"/>
              <w:left w:val="single" w:sz="4" w:space="0" w:color="auto"/>
              <w:bottom w:val="single" w:sz="4" w:space="0" w:color="auto"/>
              <w:right w:val="single" w:sz="4" w:space="0" w:color="auto"/>
            </w:tcBorders>
            <w:hideMark/>
          </w:tcPr>
          <w:p w14:paraId="5C25ECD1" w14:textId="77777777" w:rsidR="00B4737D" w:rsidRPr="00B4737D" w:rsidRDefault="00B4737D" w:rsidP="009257ED">
            <w:pPr>
              <w:ind w:left="32"/>
              <w:rPr>
                <w:sz w:val="24"/>
                <w:szCs w:val="24"/>
                <w:u w:val="single"/>
                <w:lang w:val="en-US"/>
              </w:rPr>
            </w:pPr>
            <w:r w:rsidRPr="00B4737D">
              <w:rPr>
                <w:sz w:val="24"/>
                <w:szCs w:val="24"/>
                <w:lang w:val="en-GB"/>
              </w:rPr>
              <w:t xml:space="preserve">      Haemorrhagic </w:t>
            </w:r>
          </w:p>
        </w:tc>
        <w:tc>
          <w:tcPr>
            <w:tcW w:w="915" w:type="pct"/>
            <w:tcBorders>
              <w:top w:val="single" w:sz="4" w:space="0" w:color="auto"/>
              <w:left w:val="single" w:sz="4" w:space="0" w:color="auto"/>
              <w:bottom w:val="single" w:sz="4" w:space="0" w:color="auto"/>
              <w:right w:val="single" w:sz="4" w:space="0" w:color="auto"/>
            </w:tcBorders>
            <w:hideMark/>
          </w:tcPr>
          <w:p w14:paraId="35FB0224" w14:textId="77777777" w:rsidR="00B4737D" w:rsidRPr="00B4737D" w:rsidRDefault="00B4737D" w:rsidP="009257ED">
            <w:pPr>
              <w:ind w:left="32"/>
              <w:rPr>
                <w:sz w:val="24"/>
                <w:szCs w:val="24"/>
                <w:u w:val="single"/>
                <w:lang w:val="en-US"/>
              </w:rPr>
            </w:pPr>
            <w:r w:rsidRPr="00B4737D">
              <w:rPr>
                <w:sz w:val="24"/>
                <w:szCs w:val="24"/>
                <w:lang w:val="en-GB"/>
              </w:rPr>
              <w:t>40 (0.24)</w:t>
            </w:r>
          </w:p>
        </w:tc>
        <w:tc>
          <w:tcPr>
            <w:tcW w:w="861" w:type="pct"/>
            <w:tcBorders>
              <w:top w:val="single" w:sz="4" w:space="0" w:color="auto"/>
              <w:left w:val="single" w:sz="4" w:space="0" w:color="auto"/>
              <w:bottom w:val="single" w:sz="4" w:space="0" w:color="auto"/>
              <w:right w:val="single" w:sz="4" w:space="0" w:color="auto"/>
            </w:tcBorders>
            <w:hideMark/>
          </w:tcPr>
          <w:p w14:paraId="798DF9D0" w14:textId="77777777" w:rsidR="00B4737D" w:rsidRPr="00B4737D" w:rsidRDefault="00B4737D" w:rsidP="009257ED">
            <w:pPr>
              <w:ind w:left="32"/>
              <w:rPr>
                <w:sz w:val="24"/>
                <w:szCs w:val="24"/>
                <w:u w:val="single"/>
                <w:lang w:val="en-US"/>
              </w:rPr>
            </w:pPr>
            <w:r w:rsidRPr="00B4737D">
              <w:rPr>
                <w:sz w:val="24"/>
                <w:szCs w:val="24"/>
                <w:lang w:val="en-GB"/>
              </w:rPr>
              <w:t>78 (0.47)</w:t>
            </w:r>
          </w:p>
        </w:tc>
        <w:tc>
          <w:tcPr>
            <w:tcW w:w="1016" w:type="pct"/>
            <w:tcBorders>
              <w:top w:val="single" w:sz="4" w:space="0" w:color="auto"/>
              <w:left w:val="single" w:sz="4" w:space="0" w:color="auto"/>
              <w:bottom w:val="single" w:sz="4" w:space="0" w:color="auto"/>
              <w:right w:val="single" w:sz="4" w:space="0" w:color="auto"/>
            </w:tcBorders>
            <w:hideMark/>
          </w:tcPr>
          <w:p w14:paraId="56B59F7D" w14:textId="77777777" w:rsidR="00B4737D" w:rsidRPr="00B4737D" w:rsidRDefault="00B4737D" w:rsidP="009257ED">
            <w:pPr>
              <w:ind w:left="32"/>
              <w:rPr>
                <w:sz w:val="24"/>
                <w:szCs w:val="24"/>
                <w:u w:val="single"/>
                <w:lang w:val="en-US"/>
              </w:rPr>
            </w:pPr>
            <w:r w:rsidRPr="00B4737D">
              <w:rPr>
                <w:sz w:val="24"/>
                <w:szCs w:val="24"/>
                <w:lang w:val="en-GB"/>
              </w:rPr>
              <w:t>0.51 (0.35, 0.75)</w:t>
            </w:r>
          </w:p>
        </w:tc>
        <w:tc>
          <w:tcPr>
            <w:tcW w:w="622" w:type="pct"/>
            <w:tcBorders>
              <w:top w:val="single" w:sz="4" w:space="0" w:color="auto"/>
              <w:left w:val="single" w:sz="4" w:space="0" w:color="auto"/>
              <w:bottom w:val="single" w:sz="4" w:space="0" w:color="auto"/>
              <w:right w:val="single" w:sz="4" w:space="0" w:color="auto"/>
            </w:tcBorders>
          </w:tcPr>
          <w:p w14:paraId="10B4733A" w14:textId="77777777" w:rsidR="00B4737D" w:rsidRPr="00B4737D" w:rsidRDefault="00B4737D" w:rsidP="009257ED">
            <w:pPr>
              <w:ind w:left="32"/>
              <w:rPr>
                <w:sz w:val="24"/>
                <w:szCs w:val="24"/>
                <w:u w:val="single"/>
                <w:lang w:val="en-US"/>
              </w:rPr>
            </w:pPr>
          </w:p>
        </w:tc>
      </w:tr>
      <w:tr w:rsidR="00B4737D" w:rsidRPr="00B4737D" w14:paraId="54A32E57" w14:textId="77777777" w:rsidTr="009257ED">
        <w:tc>
          <w:tcPr>
            <w:tcW w:w="1585" w:type="pct"/>
            <w:tcBorders>
              <w:top w:val="single" w:sz="4" w:space="0" w:color="auto"/>
              <w:left w:val="single" w:sz="4" w:space="0" w:color="auto"/>
              <w:bottom w:val="single" w:sz="4" w:space="0" w:color="auto"/>
              <w:right w:val="single" w:sz="4" w:space="0" w:color="auto"/>
            </w:tcBorders>
            <w:hideMark/>
          </w:tcPr>
          <w:p w14:paraId="4359FFC3" w14:textId="77777777" w:rsidR="00B4737D" w:rsidRPr="00B4737D" w:rsidRDefault="00B4737D" w:rsidP="009257ED">
            <w:pPr>
              <w:ind w:left="32"/>
              <w:rPr>
                <w:sz w:val="24"/>
                <w:szCs w:val="24"/>
                <w:u w:val="single"/>
                <w:lang w:val="en-US"/>
              </w:rPr>
            </w:pPr>
            <w:r w:rsidRPr="00B4737D">
              <w:rPr>
                <w:sz w:val="24"/>
                <w:szCs w:val="24"/>
                <w:lang w:val="en-GB"/>
              </w:rPr>
              <w:t xml:space="preserve">   Systemic embolism </w:t>
            </w:r>
          </w:p>
        </w:tc>
        <w:tc>
          <w:tcPr>
            <w:tcW w:w="915" w:type="pct"/>
            <w:tcBorders>
              <w:top w:val="single" w:sz="4" w:space="0" w:color="auto"/>
              <w:left w:val="single" w:sz="4" w:space="0" w:color="auto"/>
              <w:bottom w:val="single" w:sz="4" w:space="0" w:color="auto"/>
              <w:right w:val="single" w:sz="4" w:space="0" w:color="auto"/>
            </w:tcBorders>
            <w:hideMark/>
          </w:tcPr>
          <w:p w14:paraId="6EB5BDEB" w14:textId="77777777" w:rsidR="00B4737D" w:rsidRPr="00B4737D" w:rsidRDefault="00B4737D" w:rsidP="009257ED">
            <w:pPr>
              <w:ind w:left="32"/>
              <w:rPr>
                <w:sz w:val="24"/>
                <w:szCs w:val="24"/>
                <w:u w:val="single"/>
                <w:lang w:val="en-US"/>
              </w:rPr>
            </w:pPr>
            <w:r w:rsidRPr="00B4737D">
              <w:rPr>
                <w:sz w:val="24"/>
                <w:szCs w:val="24"/>
                <w:lang w:val="en-GB"/>
              </w:rPr>
              <w:t>15 (0.09)</w:t>
            </w:r>
          </w:p>
        </w:tc>
        <w:tc>
          <w:tcPr>
            <w:tcW w:w="861" w:type="pct"/>
            <w:tcBorders>
              <w:top w:val="single" w:sz="4" w:space="0" w:color="auto"/>
              <w:left w:val="single" w:sz="4" w:space="0" w:color="auto"/>
              <w:bottom w:val="single" w:sz="4" w:space="0" w:color="auto"/>
              <w:right w:val="single" w:sz="4" w:space="0" w:color="auto"/>
            </w:tcBorders>
            <w:hideMark/>
          </w:tcPr>
          <w:p w14:paraId="4D43D7A8" w14:textId="77777777" w:rsidR="00B4737D" w:rsidRPr="00B4737D" w:rsidRDefault="00B4737D" w:rsidP="009257ED">
            <w:pPr>
              <w:ind w:left="32"/>
              <w:rPr>
                <w:sz w:val="24"/>
                <w:szCs w:val="24"/>
                <w:u w:val="single"/>
                <w:lang w:val="en-US"/>
              </w:rPr>
            </w:pPr>
            <w:r w:rsidRPr="00B4737D">
              <w:rPr>
                <w:sz w:val="24"/>
                <w:szCs w:val="24"/>
                <w:lang w:val="en-GB"/>
              </w:rPr>
              <w:t>17 (0.10)</w:t>
            </w:r>
          </w:p>
        </w:tc>
        <w:tc>
          <w:tcPr>
            <w:tcW w:w="1016" w:type="pct"/>
            <w:tcBorders>
              <w:top w:val="single" w:sz="4" w:space="0" w:color="auto"/>
              <w:left w:val="single" w:sz="4" w:space="0" w:color="auto"/>
              <w:bottom w:val="single" w:sz="4" w:space="0" w:color="auto"/>
              <w:right w:val="single" w:sz="4" w:space="0" w:color="auto"/>
            </w:tcBorders>
            <w:hideMark/>
          </w:tcPr>
          <w:p w14:paraId="3EB52877" w14:textId="77777777" w:rsidR="00B4737D" w:rsidRPr="00B4737D" w:rsidRDefault="00B4737D" w:rsidP="009257ED">
            <w:pPr>
              <w:ind w:left="32"/>
              <w:rPr>
                <w:sz w:val="24"/>
                <w:szCs w:val="24"/>
                <w:u w:val="single"/>
                <w:lang w:val="en-US"/>
              </w:rPr>
            </w:pPr>
            <w:r w:rsidRPr="00B4737D">
              <w:rPr>
                <w:sz w:val="24"/>
                <w:szCs w:val="24"/>
                <w:lang w:val="en-GB"/>
              </w:rPr>
              <w:t>0.87 (0.44, 1.75)</w:t>
            </w:r>
          </w:p>
        </w:tc>
        <w:tc>
          <w:tcPr>
            <w:tcW w:w="622" w:type="pct"/>
            <w:tcBorders>
              <w:top w:val="single" w:sz="4" w:space="0" w:color="auto"/>
              <w:left w:val="single" w:sz="4" w:space="0" w:color="auto"/>
              <w:bottom w:val="single" w:sz="4" w:space="0" w:color="auto"/>
              <w:right w:val="single" w:sz="4" w:space="0" w:color="auto"/>
            </w:tcBorders>
          </w:tcPr>
          <w:p w14:paraId="46DE2E4E" w14:textId="77777777" w:rsidR="00B4737D" w:rsidRPr="00B4737D" w:rsidRDefault="00B4737D" w:rsidP="009257ED">
            <w:pPr>
              <w:ind w:left="32"/>
              <w:rPr>
                <w:sz w:val="24"/>
                <w:szCs w:val="24"/>
                <w:u w:val="single"/>
                <w:lang w:val="en-US"/>
              </w:rPr>
            </w:pPr>
          </w:p>
        </w:tc>
      </w:tr>
    </w:tbl>
    <w:p w14:paraId="1335AECD" w14:textId="77777777" w:rsidR="00B4737D" w:rsidRPr="00B4737D" w:rsidRDefault="00B4737D" w:rsidP="009257ED">
      <w:pPr>
        <w:ind w:left="851"/>
        <w:rPr>
          <w:sz w:val="24"/>
          <w:szCs w:val="24"/>
          <w:u w:val="single"/>
          <w:lang w:val="en-US"/>
        </w:rPr>
      </w:pPr>
    </w:p>
    <w:p w14:paraId="0D7FB73B" w14:textId="77777777" w:rsidR="00B4737D" w:rsidRPr="00B4737D" w:rsidRDefault="00B4737D" w:rsidP="009257ED">
      <w:pPr>
        <w:ind w:left="851"/>
        <w:rPr>
          <w:sz w:val="24"/>
          <w:szCs w:val="24"/>
          <w:lang w:val="en-US"/>
        </w:rPr>
      </w:pPr>
      <w:r w:rsidRPr="00B4737D">
        <w:rPr>
          <w:sz w:val="24"/>
          <w:szCs w:val="24"/>
          <w:lang w:val="en-US"/>
        </w:rPr>
        <w:t xml:space="preserve">For patients </w:t>
      </w:r>
      <w:proofErr w:type="spellStart"/>
      <w:proofErr w:type="gramStart"/>
      <w:r w:rsidRPr="00B4737D">
        <w:rPr>
          <w:sz w:val="24"/>
          <w:szCs w:val="24"/>
          <w:lang w:val="en-US"/>
        </w:rPr>
        <w:t>randomised</w:t>
      </w:r>
      <w:proofErr w:type="spellEnd"/>
      <w:proofErr w:type="gramEnd"/>
      <w:r w:rsidRPr="00B4737D">
        <w:rPr>
          <w:sz w:val="24"/>
          <w:szCs w:val="24"/>
          <w:lang w:val="en-US"/>
        </w:rPr>
        <w:t xml:space="preserve"> to warfarin, the median percentage of time in therapeutic range (TTR) (INR 2-3) was 66%. </w:t>
      </w:r>
    </w:p>
    <w:p w14:paraId="77A51438" w14:textId="77777777" w:rsidR="00B4737D" w:rsidRPr="00B4737D" w:rsidRDefault="00B4737D" w:rsidP="009257ED">
      <w:pPr>
        <w:ind w:left="851"/>
        <w:rPr>
          <w:sz w:val="24"/>
          <w:szCs w:val="24"/>
          <w:lang w:val="en-US"/>
        </w:rPr>
      </w:pPr>
    </w:p>
    <w:p w14:paraId="1305949E" w14:textId="77777777" w:rsidR="00B4737D" w:rsidRPr="00B4737D" w:rsidRDefault="00B4737D" w:rsidP="009257ED">
      <w:pPr>
        <w:ind w:left="851"/>
        <w:rPr>
          <w:sz w:val="24"/>
          <w:szCs w:val="24"/>
          <w:lang w:val="en-US"/>
        </w:rPr>
      </w:pPr>
      <w:r w:rsidRPr="00B4737D">
        <w:rPr>
          <w:sz w:val="24"/>
          <w:szCs w:val="24"/>
          <w:lang w:val="en-US"/>
        </w:rPr>
        <w:lastRenderedPageBreak/>
        <w:t xml:space="preserve">Apixaban showed a reduction of stroke and systemic embolism compared to warfarin across the different levels of center TTR; within the highest quartile of TTR according to center, the hazard ratio for apixaban vs warfarin was 0.73 (95% CI, 0.38, 1.40). </w:t>
      </w:r>
    </w:p>
    <w:p w14:paraId="58233701" w14:textId="77777777" w:rsidR="00B4737D" w:rsidRPr="00B4737D" w:rsidRDefault="00B4737D" w:rsidP="009257ED">
      <w:pPr>
        <w:ind w:left="851"/>
        <w:rPr>
          <w:sz w:val="24"/>
          <w:szCs w:val="24"/>
          <w:lang w:val="en-US"/>
        </w:rPr>
      </w:pPr>
    </w:p>
    <w:p w14:paraId="5A0217C0" w14:textId="77777777" w:rsidR="00B4737D" w:rsidRPr="00B4737D" w:rsidRDefault="00B4737D" w:rsidP="009257ED">
      <w:pPr>
        <w:ind w:left="851"/>
        <w:rPr>
          <w:sz w:val="24"/>
          <w:szCs w:val="24"/>
          <w:u w:val="single"/>
          <w:lang w:val="en-US"/>
        </w:rPr>
      </w:pPr>
      <w:r w:rsidRPr="00B4737D">
        <w:rPr>
          <w:sz w:val="24"/>
          <w:szCs w:val="24"/>
          <w:lang w:val="en-US"/>
        </w:rPr>
        <w:t xml:space="preserve">Key secondary endpoints of major bleeding and all cause death were tested in a pre-specified hierarchical testing strategy to control the overall type 1 error in the trial. Statistically significant superiority was also achieved in the key secondary endpoints of both major bleeding and all-cause death (see Table 6). With improving monitoring of </w:t>
      </w:r>
      <w:proofErr w:type="gramStart"/>
      <w:r w:rsidRPr="00B4737D">
        <w:rPr>
          <w:sz w:val="24"/>
          <w:szCs w:val="24"/>
          <w:lang w:val="en-US"/>
        </w:rPr>
        <w:t>INR</w:t>
      </w:r>
      <w:proofErr w:type="gramEnd"/>
      <w:r w:rsidRPr="00B4737D">
        <w:rPr>
          <w:sz w:val="24"/>
          <w:szCs w:val="24"/>
          <w:lang w:val="en-US"/>
        </w:rPr>
        <w:t xml:space="preserve"> the observed benefits of apixaban compared to warfarin regarding all cause death diminish.</w:t>
      </w:r>
    </w:p>
    <w:p w14:paraId="1D55FA4B" w14:textId="77777777" w:rsidR="00B4737D" w:rsidRPr="00B4737D" w:rsidRDefault="00B4737D" w:rsidP="00B4737D">
      <w:pPr>
        <w:tabs>
          <w:tab w:val="left" w:pos="851"/>
        </w:tabs>
        <w:ind w:left="851"/>
        <w:rPr>
          <w:sz w:val="24"/>
          <w:szCs w:val="24"/>
          <w:u w:val="single"/>
          <w:lang w:val="en-US"/>
        </w:rPr>
      </w:pPr>
    </w:p>
    <w:p w14:paraId="066FC50C" w14:textId="77777777" w:rsidR="00B4737D" w:rsidRPr="00B4737D" w:rsidRDefault="00B4737D" w:rsidP="00B4737D">
      <w:pPr>
        <w:tabs>
          <w:tab w:val="left" w:pos="851"/>
        </w:tabs>
        <w:ind w:left="851"/>
        <w:rPr>
          <w:b/>
          <w:bCs/>
          <w:sz w:val="24"/>
          <w:szCs w:val="24"/>
          <w:lang w:val="en-GB"/>
        </w:rPr>
      </w:pPr>
      <w:r w:rsidRPr="00B4737D">
        <w:rPr>
          <w:b/>
          <w:bCs/>
          <w:sz w:val="24"/>
          <w:szCs w:val="24"/>
          <w:lang w:val="en-GB"/>
        </w:rPr>
        <w:t>Table 6: Secondary endpoints in patients with atrial fibrillation in the ARISTOTLE study</w:t>
      </w:r>
    </w:p>
    <w:tbl>
      <w:tblPr>
        <w:tblStyle w:val="Tabel-Gitter"/>
        <w:tblW w:w="5000" w:type="pct"/>
        <w:tblLook w:val="04A0" w:firstRow="1" w:lastRow="0" w:firstColumn="1" w:lastColumn="0" w:noHBand="0" w:noVBand="1"/>
      </w:tblPr>
      <w:tblGrid>
        <w:gridCol w:w="1925"/>
        <w:gridCol w:w="1925"/>
        <w:gridCol w:w="1926"/>
        <w:gridCol w:w="1926"/>
        <w:gridCol w:w="1926"/>
      </w:tblGrid>
      <w:tr w:rsidR="00B4737D" w:rsidRPr="00B4737D" w14:paraId="72ED8FB4" w14:textId="77777777" w:rsidTr="009257ED">
        <w:tc>
          <w:tcPr>
            <w:tcW w:w="1000" w:type="pct"/>
            <w:tcBorders>
              <w:top w:val="single" w:sz="4" w:space="0" w:color="auto"/>
              <w:left w:val="single" w:sz="4" w:space="0" w:color="auto"/>
              <w:bottom w:val="single" w:sz="4" w:space="0" w:color="auto"/>
              <w:right w:val="single" w:sz="4" w:space="0" w:color="auto"/>
            </w:tcBorders>
          </w:tcPr>
          <w:p w14:paraId="08E720E0" w14:textId="77777777" w:rsidR="00B4737D" w:rsidRPr="00B4737D" w:rsidRDefault="00B4737D" w:rsidP="009257ED">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hideMark/>
          </w:tcPr>
          <w:p w14:paraId="25E4D7BD" w14:textId="77777777" w:rsidR="00B4737D" w:rsidRPr="00B4737D" w:rsidRDefault="00B4737D" w:rsidP="009257ED">
            <w:pPr>
              <w:ind w:left="32"/>
              <w:rPr>
                <w:sz w:val="24"/>
                <w:szCs w:val="24"/>
                <w:lang w:val="en-US"/>
              </w:rPr>
            </w:pPr>
            <w:r w:rsidRPr="00B4737D">
              <w:rPr>
                <w:b/>
                <w:bCs/>
                <w:sz w:val="24"/>
                <w:szCs w:val="24"/>
                <w:lang w:val="en-US"/>
              </w:rPr>
              <w:t>Apixaban</w:t>
            </w:r>
          </w:p>
          <w:p w14:paraId="57354780" w14:textId="77777777" w:rsidR="00B4737D" w:rsidRPr="00B4737D" w:rsidRDefault="00B4737D" w:rsidP="009257ED">
            <w:pPr>
              <w:ind w:left="32"/>
              <w:rPr>
                <w:sz w:val="24"/>
                <w:szCs w:val="24"/>
                <w:lang w:val="en-US"/>
              </w:rPr>
            </w:pPr>
            <w:r w:rsidRPr="00B4737D">
              <w:rPr>
                <w:b/>
                <w:bCs/>
                <w:sz w:val="24"/>
                <w:szCs w:val="24"/>
                <w:lang w:val="en-US"/>
              </w:rPr>
              <w:t>N = 9,088</w:t>
            </w:r>
          </w:p>
          <w:p w14:paraId="3204CB2C" w14:textId="77777777" w:rsidR="00B4737D" w:rsidRPr="00B4737D" w:rsidRDefault="00B4737D" w:rsidP="009257ED">
            <w:pPr>
              <w:ind w:left="32"/>
              <w:rPr>
                <w:sz w:val="24"/>
                <w:szCs w:val="24"/>
                <w:u w:val="single"/>
                <w:lang w:val="en-GB"/>
              </w:rPr>
            </w:pPr>
            <w:r w:rsidRPr="00B4737D">
              <w:rPr>
                <w:b/>
                <w:bCs/>
                <w:sz w:val="24"/>
                <w:szCs w:val="24"/>
                <w:lang w:val="en-GB"/>
              </w:rPr>
              <w:t>n (%/year)</w:t>
            </w:r>
          </w:p>
        </w:tc>
        <w:tc>
          <w:tcPr>
            <w:tcW w:w="1000" w:type="pct"/>
            <w:tcBorders>
              <w:top w:val="single" w:sz="4" w:space="0" w:color="auto"/>
              <w:left w:val="single" w:sz="4" w:space="0" w:color="auto"/>
              <w:bottom w:val="single" w:sz="4" w:space="0" w:color="auto"/>
              <w:right w:val="single" w:sz="4" w:space="0" w:color="auto"/>
            </w:tcBorders>
            <w:hideMark/>
          </w:tcPr>
          <w:p w14:paraId="7CF3305F" w14:textId="77777777" w:rsidR="00B4737D" w:rsidRPr="00B4737D" w:rsidRDefault="00B4737D" w:rsidP="009257ED">
            <w:pPr>
              <w:ind w:left="32"/>
              <w:rPr>
                <w:sz w:val="24"/>
                <w:szCs w:val="24"/>
                <w:lang w:val="en-US"/>
              </w:rPr>
            </w:pPr>
            <w:r w:rsidRPr="00B4737D">
              <w:rPr>
                <w:b/>
                <w:bCs/>
                <w:sz w:val="24"/>
                <w:szCs w:val="24"/>
                <w:lang w:val="en-US"/>
              </w:rPr>
              <w:t>Warfarin</w:t>
            </w:r>
          </w:p>
          <w:p w14:paraId="1893A11A" w14:textId="77777777" w:rsidR="00B4737D" w:rsidRPr="00B4737D" w:rsidRDefault="00B4737D" w:rsidP="009257ED">
            <w:pPr>
              <w:ind w:left="32"/>
              <w:rPr>
                <w:sz w:val="24"/>
                <w:szCs w:val="24"/>
                <w:lang w:val="en-US"/>
              </w:rPr>
            </w:pPr>
            <w:r w:rsidRPr="00B4737D">
              <w:rPr>
                <w:b/>
                <w:bCs/>
                <w:sz w:val="24"/>
                <w:szCs w:val="24"/>
                <w:lang w:val="en-US"/>
              </w:rPr>
              <w:t>N = 9,052</w:t>
            </w:r>
          </w:p>
          <w:p w14:paraId="72982E32" w14:textId="77777777" w:rsidR="00B4737D" w:rsidRPr="00B4737D" w:rsidRDefault="00B4737D" w:rsidP="009257ED">
            <w:pPr>
              <w:ind w:left="32"/>
              <w:rPr>
                <w:sz w:val="24"/>
                <w:szCs w:val="24"/>
                <w:u w:val="single"/>
                <w:lang w:val="en-GB"/>
              </w:rPr>
            </w:pPr>
            <w:r w:rsidRPr="00B4737D">
              <w:rPr>
                <w:b/>
                <w:bCs/>
                <w:sz w:val="24"/>
                <w:szCs w:val="24"/>
                <w:lang w:val="en-GB"/>
              </w:rPr>
              <w:t>n (%/year)</w:t>
            </w:r>
          </w:p>
        </w:tc>
        <w:tc>
          <w:tcPr>
            <w:tcW w:w="1000" w:type="pct"/>
            <w:tcBorders>
              <w:top w:val="single" w:sz="4" w:space="0" w:color="auto"/>
              <w:left w:val="single" w:sz="4" w:space="0" w:color="auto"/>
              <w:bottom w:val="single" w:sz="4" w:space="0" w:color="auto"/>
              <w:right w:val="single" w:sz="4" w:space="0" w:color="auto"/>
            </w:tcBorders>
            <w:hideMark/>
          </w:tcPr>
          <w:p w14:paraId="53312681" w14:textId="77777777" w:rsidR="00B4737D" w:rsidRPr="00B4737D" w:rsidRDefault="00B4737D" w:rsidP="009257ED">
            <w:pPr>
              <w:ind w:left="32"/>
              <w:rPr>
                <w:sz w:val="24"/>
                <w:szCs w:val="24"/>
                <w:lang w:val="en-US"/>
              </w:rPr>
            </w:pPr>
            <w:r w:rsidRPr="00B4737D">
              <w:rPr>
                <w:b/>
                <w:bCs/>
                <w:sz w:val="24"/>
                <w:szCs w:val="24"/>
                <w:lang w:val="en-US"/>
              </w:rPr>
              <w:t>Hazard ratio</w:t>
            </w:r>
          </w:p>
          <w:p w14:paraId="1F9F03E6" w14:textId="77777777" w:rsidR="00B4737D" w:rsidRPr="00B4737D" w:rsidRDefault="00B4737D" w:rsidP="009257ED">
            <w:pPr>
              <w:ind w:left="32"/>
              <w:rPr>
                <w:sz w:val="24"/>
                <w:szCs w:val="24"/>
                <w:u w:val="single"/>
                <w:lang w:val="en-GB"/>
              </w:rPr>
            </w:pPr>
            <w:r w:rsidRPr="00B4737D">
              <w:rPr>
                <w:b/>
                <w:bCs/>
                <w:sz w:val="24"/>
                <w:szCs w:val="24"/>
                <w:lang w:val="en-GB"/>
              </w:rPr>
              <w:t>(95% CI)</w:t>
            </w:r>
          </w:p>
        </w:tc>
        <w:tc>
          <w:tcPr>
            <w:tcW w:w="1000" w:type="pct"/>
            <w:tcBorders>
              <w:top w:val="single" w:sz="4" w:space="0" w:color="auto"/>
              <w:left w:val="single" w:sz="4" w:space="0" w:color="auto"/>
              <w:bottom w:val="single" w:sz="4" w:space="0" w:color="auto"/>
              <w:right w:val="single" w:sz="4" w:space="0" w:color="auto"/>
            </w:tcBorders>
            <w:hideMark/>
          </w:tcPr>
          <w:p w14:paraId="32654AA6" w14:textId="77777777" w:rsidR="00B4737D" w:rsidRPr="00B4737D" w:rsidRDefault="00B4737D" w:rsidP="009257ED">
            <w:pPr>
              <w:ind w:left="32"/>
              <w:rPr>
                <w:sz w:val="24"/>
                <w:szCs w:val="24"/>
                <w:u w:val="single"/>
                <w:lang w:val="en-GB"/>
              </w:rPr>
            </w:pPr>
            <w:r w:rsidRPr="00B4737D">
              <w:rPr>
                <w:b/>
                <w:bCs/>
                <w:sz w:val="24"/>
                <w:szCs w:val="24"/>
                <w:lang w:val="en-GB"/>
              </w:rPr>
              <w:t>p-value</w:t>
            </w:r>
          </w:p>
        </w:tc>
      </w:tr>
      <w:tr w:rsidR="00B4737D" w:rsidRPr="00B4737D" w14:paraId="359DCD13" w14:textId="77777777" w:rsidTr="009257ED">
        <w:tc>
          <w:tcPr>
            <w:tcW w:w="5000" w:type="pct"/>
            <w:gridSpan w:val="5"/>
            <w:tcBorders>
              <w:top w:val="single" w:sz="4" w:space="0" w:color="auto"/>
              <w:left w:val="single" w:sz="4" w:space="0" w:color="auto"/>
              <w:bottom w:val="single" w:sz="4" w:space="0" w:color="auto"/>
              <w:right w:val="single" w:sz="4" w:space="0" w:color="auto"/>
            </w:tcBorders>
            <w:hideMark/>
          </w:tcPr>
          <w:p w14:paraId="1EAEDE95" w14:textId="77777777" w:rsidR="00B4737D" w:rsidRPr="00B4737D" w:rsidRDefault="00B4737D" w:rsidP="009257ED">
            <w:pPr>
              <w:ind w:left="32"/>
              <w:rPr>
                <w:sz w:val="24"/>
                <w:szCs w:val="24"/>
                <w:u w:val="single"/>
                <w:lang w:val="en-US"/>
              </w:rPr>
            </w:pPr>
            <w:r w:rsidRPr="00B4737D">
              <w:rPr>
                <w:sz w:val="24"/>
                <w:szCs w:val="24"/>
                <w:lang w:val="en-US"/>
              </w:rPr>
              <w:t xml:space="preserve">Bleeding outcomes </w:t>
            </w:r>
          </w:p>
        </w:tc>
      </w:tr>
      <w:tr w:rsidR="00B4737D" w:rsidRPr="00B4737D" w14:paraId="674A29B0"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01D12EAB" w14:textId="77777777" w:rsidR="00B4737D" w:rsidRPr="00B4737D" w:rsidRDefault="00B4737D" w:rsidP="009257ED">
            <w:pPr>
              <w:ind w:left="32"/>
              <w:rPr>
                <w:sz w:val="24"/>
                <w:szCs w:val="24"/>
                <w:u w:val="single"/>
                <w:lang w:val="en-GB"/>
              </w:rPr>
            </w:pPr>
            <w:r w:rsidRPr="00B4737D">
              <w:rPr>
                <w:sz w:val="24"/>
                <w:szCs w:val="24"/>
                <w:lang w:val="en-GB"/>
              </w:rPr>
              <w:t xml:space="preserve">   Major* </w:t>
            </w:r>
          </w:p>
        </w:tc>
        <w:tc>
          <w:tcPr>
            <w:tcW w:w="1000" w:type="pct"/>
            <w:tcBorders>
              <w:top w:val="single" w:sz="4" w:space="0" w:color="auto"/>
              <w:left w:val="single" w:sz="4" w:space="0" w:color="auto"/>
              <w:bottom w:val="single" w:sz="4" w:space="0" w:color="auto"/>
              <w:right w:val="single" w:sz="4" w:space="0" w:color="auto"/>
            </w:tcBorders>
            <w:hideMark/>
          </w:tcPr>
          <w:p w14:paraId="50F804A7" w14:textId="77777777" w:rsidR="00B4737D" w:rsidRPr="00B4737D" w:rsidRDefault="00B4737D" w:rsidP="009257ED">
            <w:pPr>
              <w:ind w:left="32"/>
              <w:rPr>
                <w:sz w:val="24"/>
                <w:szCs w:val="24"/>
                <w:u w:val="single"/>
                <w:lang w:val="en-GB"/>
              </w:rPr>
            </w:pPr>
            <w:r w:rsidRPr="00B4737D">
              <w:rPr>
                <w:sz w:val="24"/>
                <w:szCs w:val="24"/>
                <w:lang w:val="en-GB"/>
              </w:rPr>
              <w:t>327 (2.13)</w:t>
            </w:r>
          </w:p>
        </w:tc>
        <w:tc>
          <w:tcPr>
            <w:tcW w:w="1000" w:type="pct"/>
            <w:tcBorders>
              <w:top w:val="single" w:sz="4" w:space="0" w:color="auto"/>
              <w:left w:val="single" w:sz="4" w:space="0" w:color="auto"/>
              <w:bottom w:val="single" w:sz="4" w:space="0" w:color="auto"/>
              <w:right w:val="single" w:sz="4" w:space="0" w:color="auto"/>
            </w:tcBorders>
            <w:hideMark/>
          </w:tcPr>
          <w:p w14:paraId="55D74CCA" w14:textId="77777777" w:rsidR="00B4737D" w:rsidRPr="00B4737D" w:rsidRDefault="00B4737D" w:rsidP="009257ED">
            <w:pPr>
              <w:ind w:left="32"/>
              <w:rPr>
                <w:sz w:val="24"/>
                <w:szCs w:val="24"/>
                <w:u w:val="single"/>
                <w:lang w:val="en-GB"/>
              </w:rPr>
            </w:pPr>
            <w:r w:rsidRPr="00B4737D">
              <w:rPr>
                <w:sz w:val="24"/>
                <w:szCs w:val="24"/>
                <w:lang w:val="en-GB"/>
              </w:rPr>
              <w:t>462 (3.09)</w:t>
            </w:r>
          </w:p>
        </w:tc>
        <w:tc>
          <w:tcPr>
            <w:tcW w:w="1000" w:type="pct"/>
            <w:tcBorders>
              <w:top w:val="single" w:sz="4" w:space="0" w:color="auto"/>
              <w:left w:val="single" w:sz="4" w:space="0" w:color="auto"/>
              <w:bottom w:val="single" w:sz="4" w:space="0" w:color="auto"/>
              <w:right w:val="single" w:sz="4" w:space="0" w:color="auto"/>
            </w:tcBorders>
            <w:hideMark/>
          </w:tcPr>
          <w:p w14:paraId="3FA9D539" w14:textId="77777777" w:rsidR="00B4737D" w:rsidRPr="00B4737D" w:rsidRDefault="00B4737D" w:rsidP="009257ED">
            <w:pPr>
              <w:ind w:left="32"/>
              <w:rPr>
                <w:sz w:val="24"/>
                <w:szCs w:val="24"/>
                <w:u w:val="single"/>
                <w:lang w:val="en-GB"/>
              </w:rPr>
            </w:pPr>
            <w:r w:rsidRPr="00B4737D">
              <w:rPr>
                <w:sz w:val="24"/>
                <w:szCs w:val="24"/>
                <w:lang w:val="en-GB"/>
              </w:rPr>
              <w:t>0.69 (0.60, 0.80)</w:t>
            </w:r>
          </w:p>
        </w:tc>
        <w:tc>
          <w:tcPr>
            <w:tcW w:w="1000" w:type="pct"/>
            <w:tcBorders>
              <w:top w:val="single" w:sz="4" w:space="0" w:color="auto"/>
              <w:left w:val="single" w:sz="4" w:space="0" w:color="auto"/>
              <w:bottom w:val="single" w:sz="4" w:space="0" w:color="auto"/>
              <w:right w:val="single" w:sz="4" w:space="0" w:color="auto"/>
            </w:tcBorders>
            <w:hideMark/>
          </w:tcPr>
          <w:p w14:paraId="7165BE80" w14:textId="77777777" w:rsidR="00B4737D" w:rsidRPr="00B4737D" w:rsidRDefault="00B4737D" w:rsidP="009257ED">
            <w:pPr>
              <w:ind w:left="32"/>
              <w:rPr>
                <w:sz w:val="24"/>
                <w:szCs w:val="24"/>
                <w:u w:val="single"/>
                <w:lang w:val="en-GB"/>
              </w:rPr>
            </w:pPr>
            <w:r w:rsidRPr="00B4737D">
              <w:rPr>
                <w:sz w:val="24"/>
                <w:szCs w:val="24"/>
                <w:lang w:val="en-GB"/>
              </w:rPr>
              <w:t>&lt; 0.0001</w:t>
            </w:r>
          </w:p>
        </w:tc>
      </w:tr>
      <w:tr w:rsidR="00B4737D" w:rsidRPr="00B4737D" w14:paraId="317E171F"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232E2213" w14:textId="77777777" w:rsidR="00B4737D" w:rsidRPr="00B4737D" w:rsidRDefault="00B4737D" w:rsidP="009257ED">
            <w:pPr>
              <w:ind w:left="32"/>
              <w:rPr>
                <w:sz w:val="24"/>
                <w:szCs w:val="24"/>
                <w:u w:val="single"/>
                <w:lang w:val="en-GB"/>
              </w:rPr>
            </w:pPr>
            <w:r w:rsidRPr="00B4737D">
              <w:rPr>
                <w:sz w:val="24"/>
                <w:szCs w:val="24"/>
                <w:lang w:val="en-GB"/>
              </w:rPr>
              <w:t xml:space="preserve">      Fatal </w:t>
            </w:r>
          </w:p>
        </w:tc>
        <w:tc>
          <w:tcPr>
            <w:tcW w:w="1000" w:type="pct"/>
            <w:tcBorders>
              <w:top w:val="single" w:sz="4" w:space="0" w:color="auto"/>
              <w:left w:val="single" w:sz="4" w:space="0" w:color="auto"/>
              <w:bottom w:val="single" w:sz="4" w:space="0" w:color="auto"/>
              <w:right w:val="single" w:sz="4" w:space="0" w:color="auto"/>
            </w:tcBorders>
            <w:hideMark/>
          </w:tcPr>
          <w:p w14:paraId="3BDE0446" w14:textId="77777777" w:rsidR="00B4737D" w:rsidRPr="00B4737D" w:rsidRDefault="00B4737D" w:rsidP="009257ED">
            <w:pPr>
              <w:ind w:left="32"/>
              <w:rPr>
                <w:sz w:val="24"/>
                <w:szCs w:val="24"/>
                <w:u w:val="single"/>
                <w:lang w:val="en-GB"/>
              </w:rPr>
            </w:pPr>
            <w:r w:rsidRPr="00B4737D">
              <w:rPr>
                <w:sz w:val="24"/>
                <w:szCs w:val="24"/>
                <w:lang w:val="en-GB"/>
              </w:rPr>
              <w:t>10 (0.06)</w:t>
            </w:r>
          </w:p>
        </w:tc>
        <w:tc>
          <w:tcPr>
            <w:tcW w:w="1000" w:type="pct"/>
            <w:tcBorders>
              <w:top w:val="single" w:sz="4" w:space="0" w:color="auto"/>
              <w:left w:val="single" w:sz="4" w:space="0" w:color="auto"/>
              <w:bottom w:val="single" w:sz="4" w:space="0" w:color="auto"/>
              <w:right w:val="single" w:sz="4" w:space="0" w:color="auto"/>
            </w:tcBorders>
            <w:hideMark/>
          </w:tcPr>
          <w:p w14:paraId="4F56D54F" w14:textId="77777777" w:rsidR="00B4737D" w:rsidRPr="00B4737D" w:rsidRDefault="00B4737D" w:rsidP="009257ED">
            <w:pPr>
              <w:ind w:left="32"/>
              <w:rPr>
                <w:sz w:val="24"/>
                <w:szCs w:val="24"/>
                <w:u w:val="single"/>
                <w:lang w:val="en-GB"/>
              </w:rPr>
            </w:pPr>
            <w:r w:rsidRPr="00B4737D">
              <w:rPr>
                <w:sz w:val="24"/>
                <w:szCs w:val="24"/>
                <w:lang w:val="en-GB"/>
              </w:rPr>
              <w:t>37 (0.24)</w:t>
            </w:r>
          </w:p>
        </w:tc>
        <w:tc>
          <w:tcPr>
            <w:tcW w:w="1000" w:type="pct"/>
            <w:tcBorders>
              <w:top w:val="single" w:sz="4" w:space="0" w:color="auto"/>
              <w:left w:val="single" w:sz="4" w:space="0" w:color="auto"/>
              <w:bottom w:val="single" w:sz="4" w:space="0" w:color="auto"/>
              <w:right w:val="single" w:sz="4" w:space="0" w:color="auto"/>
            </w:tcBorders>
          </w:tcPr>
          <w:p w14:paraId="51421668" w14:textId="77777777" w:rsidR="00B4737D" w:rsidRPr="00B4737D" w:rsidRDefault="00B4737D" w:rsidP="009257ED">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tcPr>
          <w:p w14:paraId="6F628465" w14:textId="77777777" w:rsidR="00B4737D" w:rsidRPr="00B4737D" w:rsidRDefault="00B4737D" w:rsidP="009257ED">
            <w:pPr>
              <w:ind w:left="32"/>
              <w:rPr>
                <w:sz w:val="24"/>
                <w:szCs w:val="24"/>
                <w:u w:val="single"/>
                <w:lang w:val="en-GB"/>
              </w:rPr>
            </w:pPr>
          </w:p>
        </w:tc>
      </w:tr>
      <w:tr w:rsidR="00B4737D" w:rsidRPr="00B4737D" w14:paraId="56C11AE2"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4D49C0A0" w14:textId="77777777" w:rsidR="00B4737D" w:rsidRPr="00B4737D" w:rsidRDefault="00B4737D" w:rsidP="009257ED">
            <w:pPr>
              <w:ind w:left="32"/>
              <w:rPr>
                <w:sz w:val="24"/>
                <w:szCs w:val="24"/>
                <w:u w:val="single"/>
                <w:lang w:val="en-GB"/>
              </w:rPr>
            </w:pPr>
            <w:r w:rsidRPr="00B4737D">
              <w:rPr>
                <w:sz w:val="24"/>
                <w:szCs w:val="24"/>
                <w:lang w:val="en-GB"/>
              </w:rPr>
              <w:t xml:space="preserve">      Intracranial </w:t>
            </w:r>
          </w:p>
        </w:tc>
        <w:tc>
          <w:tcPr>
            <w:tcW w:w="1000" w:type="pct"/>
            <w:tcBorders>
              <w:top w:val="single" w:sz="4" w:space="0" w:color="auto"/>
              <w:left w:val="single" w:sz="4" w:space="0" w:color="auto"/>
              <w:bottom w:val="single" w:sz="4" w:space="0" w:color="auto"/>
              <w:right w:val="single" w:sz="4" w:space="0" w:color="auto"/>
            </w:tcBorders>
            <w:hideMark/>
          </w:tcPr>
          <w:p w14:paraId="216F9517" w14:textId="77777777" w:rsidR="00B4737D" w:rsidRPr="00B4737D" w:rsidRDefault="00B4737D" w:rsidP="009257ED">
            <w:pPr>
              <w:ind w:left="32"/>
              <w:rPr>
                <w:sz w:val="24"/>
                <w:szCs w:val="24"/>
                <w:u w:val="single"/>
                <w:lang w:val="en-GB"/>
              </w:rPr>
            </w:pPr>
            <w:r w:rsidRPr="00B4737D">
              <w:rPr>
                <w:sz w:val="24"/>
                <w:szCs w:val="24"/>
                <w:lang w:val="en-GB"/>
              </w:rPr>
              <w:t>52 (0.33)</w:t>
            </w:r>
          </w:p>
        </w:tc>
        <w:tc>
          <w:tcPr>
            <w:tcW w:w="1000" w:type="pct"/>
            <w:tcBorders>
              <w:top w:val="single" w:sz="4" w:space="0" w:color="auto"/>
              <w:left w:val="single" w:sz="4" w:space="0" w:color="auto"/>
              <w:bottom w:val="single" w:sz="4" w:space="0" w:color="auto"/>
              <w:right w:val="single" w:sz="4" w:space="0" w:color="auto"/>
            </w:tcBorders>
            <w:hideMark/>
          </w:tcPr>
          <w:p w14:paraId="50B75A76" w14:textId="77777777" w:rsidR="00B4737D" w:rsidRPr="00B4737D" w:rsidRDefault="00B4737D" w:rsidP="009257ED">
            <w:pPr>
              <w:ind w:left="32"/>
              <w:rPr>
                <w:sz w:val="24"/>
                <w:szCs w:val="24"/>
                <w:u w:val="single"/>
                <w:lang w:val="en-GB"/>
              </w:rPr>
            </w:pPr>
            <w:r w:rsidRPr="00B4737D">
              <w:rPr>
                <w:sz w:val="24"/>
                <w:szCs w:val="24"/>
                <w:lang w:val="en-GB"/>
              </w:rPr>
              <w:t>122 (0.80)</w:t>
            </w:r>
          </w:p>
        </w:tc>
        <w:tc>
          <w:tcPr>
            <w:tcW w:w="1000" w:type="pct"/>
            <w:tcBorders>
              <w:top w:val="single" w:sz="4" w:space="0" w:color="auto"/>
              <w:left w:val="single" w:sz="4" w:space="0" w:color="auto"/>
              <w:bottom w:val="single" w:sz="4" w:space="0" w:color="auto"/>
              <w:right w:val="single" w:sz="4" w:space="0" w:color="auto"/>
            </w:tcBorders>
          </w:tcPr>
          <w:p w14:paraId="2516492B" w14:textId="77777777" w:rsidR="00B4737D" w:rsidRPr="00B4737D" w:rsidRDefault="00B4737D" w:rsidP="009257ED">
            <w:pPr>
              <w:ind w:left="32"/>
              <w:rPr>
                <w:sz w:val="24"/>
                <w:szCs w:val="24"/>
                <w:u w:val="single"/>
                <w:lang w:val="en-GB"/>
              </w:rPr>
            </w:pPr>
          </w:p>
        </w:tc>
        <w:tc>
          <w:tcPr>
            <w:tcW w:w="1000" w:type="pct"/>
            <w:tcBorders>
              <w:top w:val="single" w:sz="4" w:space="0" w:color="auto"/>
              <w:left w:val="single" w:sz="4" w:space="0" w:color="auto"/>
              <w:bottom w:val="single" w:sz="4" w:space="0" w:color="auto"/>
              <w:right w:val="single" w:sz="4" w:space="0" w:color="auto"/>
            </w:tcBorders>
          </w:tcPr>
          <w:p w14:paraId="6301CA77" w14:textId="77777777" w:rsidR="00B4737D" w:rsidRPr="00B4737D" w:rsidRDefault="00B4737D" w:rsidP="009257ED">
            <w:pPr>
              <w:ind w:left="32"/>
              <w:rPr>
                <w:sz w:val="24"/>
                <w:szCs w:val="24"/>
                <w:u w:val="single"/>
                <w:lang w:val="en-GB"/>
              </w:rPr>
            </w:pPr>
          </w:p>
        </w:tc>
      </w:tr>
      <w:tr w:rsidR="00B4737D" w:rsidRPr="00B4737D" w14:paraId="366C51F9"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49314045" w14:textId="77777777" w:rsidR="00B4737D" w:rsidRPr="00B4737D" w:rsidRDefault="00B4737D" w:rsidP="009257ED">
            <w:pPr>
              <w:ind w:left="32"/>
              <w:rPr>
                <w:sz w:val="24"/>
                <w:szCs w:val="24"/>
                <w:lang w:val="en-US"/>
              </w:rPr>
            </w:pPr>
            <w:r w:rsidRPr="00B4737D">
              <w:rPr>
                <w:sz w:val="24"/>
                <w:szCs w:val="24"/>
                <w:lang w:val="en-US"/>
              </w:rPr>
              <w:t xml:space="preserve">   Major + </w:t>
            </w:r>
          </w:p>
          <w:p w14:paraId="017B6DB0" w14:textId="77777777" w:rsidR="00B4737D" w:rsidRPr="00B4737D" w:rsidRDefault="00B4737D" w:rsidP="009257ED">
            <w:pPr>
              <w:ind w:left="32"/>
              <w:rPr>
                <w:sz w:val="24"/>
                <w:szCs w:val="24"/>
                <w:u w:val="single"/>
                <w:lang w:val="en-GB"/>
              </w:rPr>
            </w:pPr>
            <w:r w:rsidRPr="00B4737D">
              <w:rPr>
                <w:sz w:val="24"/>
                <w:szCs w:val="24"/>
                <w:lang w:val="en-GB"/>
              </w:rPr>
              <w:t xml:space="preserve">   CRNM† † </w:t>
            </w:r>
          </w:p>
        </w:tc>
        <w:tc>
          <w:tcPr>
            <w:tcW w:w="1000" w:type="pct"/>
            <w:tcBorders>
              <w:top w:val="single" w:sz="4" w:space="0" w:color="auto"/>
              <w:left w:val="single" w:sz="4" w:space="0" w:color="auto"/>
              <w:bottom w:val="single" w:sz="4" w:space="0" w:color="auto"/>
              <w:right w:val="single" w:sz="4" w:space="0" w:color="auto"/>
            </w:tcBorders>
            <w:hideMark/>
          </w:tcPr>
          <w:p w14:paraId="772BAB83" w14:textId="77777777" w:rsidR="00B4737D" w:rsidRPr="00B4737D" w:rsidRDefault="00B4737D" w:rsidP="009257ED">
            <w:pPr>
              <w:ind w:left="32"/>
              <w:rPr>
                <w:sz w:val="24"/>
                <w:szCs w:val="24"/>
                <w:u w:val="single"/>
                <w:lang w:val="en-GB"/>
              </w:rPr>
            </w:pPr>
            <w:r w:rsidRPr="00B4737D">
              <w:rPr>
                <w:sz w:val="24"/>
                <w:szCs w:val="24"/>
                <w:lang w:val="en-GB"/>
              </w:rPr>
              <w:t>613 (4.07)</w:t>
            </w:r>
          </w:p>
        </w:tc>
        <w:tc>
          <w:tcPr>
            <w:tcW w:w="1000" w:type="pct"/>
            <w:tcBorders>
              <w:top w:val="single" w:sz="4" w:space="0" w:color="auto"/>
              <w:left w:val="single" w:sz="4" w:space="0" w:color="auto"/>
              <w:bottom w:val="single" w:sz="4" w:space="0" w:color="auto"/>
              <w:right w:val="single" w:sz="4" w:space="0" w:color="auto"/>
            </w:tcBorders>
            <w:hideMark/>
          </w:tcPr>
          <w:p w14:paraId="615FB1BB" w14:textId="77777777" w:rsidR="00B4737D" w:rsidRPr="00B4737D" w:rsidRDefault="00B4737D" w:rsidP="009257ED">
            <w:pPr>
              <w:ind w:left="32"/>
              <w:rPr>
                <w:sz w:val="24"/>
                <w:szCs w:val="24"/>
                <w:u w:val="single"/>
                <w:lang w:val="en-GB"/>
              </w:rPr>
            </w:pPr>
            <w:r w:rsidRPr="00B4737D">
              <w:rPr>
                <w:sz w:val="24"/>
                <w:szCs w:val="24"/>
                <w:lang w:val="en-GB"/>
              </w:rPr>
              <w:t>877 (6.01)</w:t>
            </w:r>
          </w:p>
        </w:tc>
        <w:tc>
          <w:tcPr>
            <w:tcW w:w="1000" w:type="pct"/>
            <w:tcBorders>
              <w:top w:val="single" w:sz="4" w:space="0" w:color="auto"/>
              <w:left w:val="single" w:sz="4" w:space="0" w:color="auto"/>
              <w:bottom w:val="single" w:sz="4" w:space="0" w:color="auto"/>
              <w:right w:val="single" w:sz="4" w:space="0" w:color="auto"/>
            </w:tcBorders>
            <w:hideMark/>
          </w:tcPr>
          <w:p w14:paraId="2F3242F4" w14:textId="77777777" w:rsidR="00B4737D" w:rsidRPr="00B4737D" w:rsidRDefault="00B4737D" w:rsidP="009257ED">
            <w:pPr>
              <w:ind w:left="32"/>
              <w:rPr>
                <w:sz w:val="24"/>
                <w:szCs w:val="24"/>
                <w:u w:val="single"/>
                <w:lang w:val="en-GB"/>
              </w:rPr>
            </w:pPr>
            <w:r w:rsidRPr="00B4737D">
              <w:rPr>
                <w:sz w:val="24"/>
                <w:szCs w:val="24"/>
                <w:lang w:val="en-GB"/>
              </w:rPr>
              <w:t>0.68 (0.61, 0.75)</w:t>
            </w:r>
          </w:p>
        </w:tc>
        <w:tc>
          <w:tcPr>
            <w:tcW w:w="1000" w:type="pct"/>
            <w:tcBorders>
              <w:top w:val="single" w:sz="4" w:space="0" w:color="auto"/>
              <w:left w:val="single" w:sz="4" w:space="0" w:color="auto"/>
              <w:bottom w:val="single" w:sz="4" w:space="0" w:color="auto"/>
              <w:right w:val="single" w:sz="4" w:space="0" w:color="auto"/>
            </w:tcBorders>
            <w:hideMark/>
          </w:tcPr>
          <w:p w14:paraId="363F5352" w14:textId="77777777" w:rsidR="00B4737D" w:rsidRPr="00B4737D" w:rsidRDefault="00B4737D" w:rsidP="009257ED">
            <w:pPr>
              <w:ind w:left="32"/>
              <w:rPr>
                <w:sz w:val="24"/>
                <w:szCs w:val="24"/>
                <w:u w:val="single"/>
                <w:lang w:val="en-GB"/>
              </w:rPr>
            </w:pPr>
            <w:r w:rsidRPr="00B4737D">
              <w:rPr>
                <w:sz w:val="24"/>
                <w:szCs w:val="24"/>
                <w:lang w:val="en-GB"/>
              </w:rPr>
              <w:t>&lt; 0.0001</w:t>
            </w:r>
          </w:p>
        </w:tc>
      </w:tr>
      <w:tr w:rsidR="00B4737D" w:rsidRPr="00B4737D" w14:paraId="2BEC014F"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7491877C" w14:textId="77777777" w:rsidR="00B4737D" w:rsidRPr="00B4737D" w:rsidRDefault="00B4737D" w:rsidP="009257ED">
            <w:pPr>
              <w:ind w:left="32"/>
              <w:rPr>
                <w:sz w:val="24"/>
                <w:szCs w:val="24"/>
                <w:u w:val="single"/>
                <w:lang w:val="en-GB"/>
              </w:rPr>
            </w:pPr>
            <w:r w:rsidRPr="00B4737D">
              <w:rPr>
                <w:sz w:val="24"/>
                <w:szCs w:val="24"/>
                <w:lang w:val="en-GB"/>
              </w:rPr>
              <w:t xml:space="preserve">   All </w:t>
            </w:r>
          </w:p>
        </w:tc>
        <w:tc>
          <w:tcPr>
            <w:tcW w:w="1000" w:type="pct"/>
            <w:tcBorders>
              <w:top w:val="single" w:sz="4" w:space="0" w:color="auto"/>
              <w:left w:val="single" w:sz="4" w:space="0" w:color="auto"/>
              <w:bottom w:val="single" w:sz="4" w:space="0" w:color="auto"/>
              <w:right w:val="single" w:sz="4" w:space="0" w:color="auto"/>
            </w:tcBorders>
            <w:hideMark/>
          </w:tcPr>
          <w:p w14:paraId="0E078B93" w14:textId="77777777" w:rsidR="00B4737D" w:rsidRPr="00B4737D" w:rsidRDefault="00B4737D" w:rsidP="009257ED">
            <w:pPr>
              <w:ind w:left="32"/>
              <w:rPr>
                <w:sz w:val="24"/>
                <w:szCs w:val="24"/>
                <w:u w:val="single"/>
                <w:lang w:val="en-GB"/>
              </w:rPr>
            </w:pPr>
            <w:r w:rsidRPr="00B4737D">
              <w:rPr>
                <w:sz w:val="24"/>
                <w:szCs w:val="24"/>
                <w:lang w:val="en-GB"/>
              </w:rPr>
              <w:t>2356 (18.1)</w:t>
            </w:r>
          </w:p>
        </w:tc>
        <w:tc>
          <w:tcPr>
            <w:tcW w:w="1000" w:type="pct"/>
            <w:tcBorders>
              <w:top w:val="single" w:sz="4" w:space="0" w:color="auto"/>
              <w:left w:val="single" w:sz="4" w:space="0" w:color="auto"/>
              <w:bottom w:val="single" w:sz="4" w:space="0" w:color="auto"/>
              <w:right w:val="single" w:sz="4" w:space="0" w:color="auto"/>
            </w:tcBorders>
            <w:hideMark/>
          </w:tcPr>
          <w:p w14:paraId="52822CB1" w14:textId="77777777" w:rsidR="00B4737D" w:rsidRPr="00B4737D" w:rsidRDefault="00B4737D" w:rsidP="009257ED">
            <w:pPr>
              <w:ind w:left="32"/>
              <w:rPr>
                <w:sz w:val="24"/>
                <w:szCs w:val="24"/>
                <w:u w:val="single"/>
                <w:lang w:val="en-GB"/>
              </w:rPr>
            </w:pPr>
            <w:r w:rsidRPr="00B4737D">
              <w:rPr>
                <w:sz w:val="24"/>
                <w:szCs w:val="24"/>
                <w:lang w:val="en-GB"/>
              </w:rPr>
              <w:t>3060 (25.8)</w:t>
            </w:r>
          </w:p>
        </w:tc>
        <w:tc>
          <w:tcPr>
            <w:tcW w:w="1000" w:type="pct"/>
            <w:tcBorders>
              <w:top w:val="single" w:sz="4" w:space="0" w:color="auto"/>
              <w:left w:val="single" w:sz="4" w:space="0" w:color="auto"/>
              <w:bottom w:val="single" w:sz="4" w:space="0" w:color="auto"/>
              <w:right w:val="single" w:sz="4" w:space="0" w:color="auto"/>
            </w:tcBorders>
            <w:hideMark/>
          </w:tcPr>
          <w:p w14:paraId="66F9552B" w14:textId="77777777" w:rsidR="00B4737D" w:rsidRPr="00B4737D" w:rsidRDefault="00B4737D" w:rsidP="009257ED">
            <w:pPr>
              <w:ind w:left="32"/>
              <w:rPr>
                <w:sz w:val="24"/>
                <w:szCs w:val="24"/>
                <w:u w:val="single"/>
                <w:lang w:val="en-GB"/>
              </w:rPr>
            </w:pPr>
            <w:r w:rsidRPr="00B4737D">
              <w:rPr>
                <w:sz w:val="24"/>
                <w:szCs w:val="24"/>
                <w:lang w:val="en-GB"/>
              </w:rPr>
              <w:t>0.71 (0.68, 0.75)</w:t>
            </w:r>
          </w:p>
        </w:tc>
        <w:tc>
          <w:tcPr>
            <w:tcW w:w="1000" w:type="pct"/>
            <w:tcBorders>
              <w:top w:val="single" w:sz="4" w:space="0" w:color="auto"/>
              <w:left w:val="single" w:sz="4" w:space="0" w:color="auto"/>
              <w:bottom w:val="single" w:sz="4" w:space="0" w:color="auto"/>
              <w:right w:val="single" w:sz="4" w:space="0" w:color="auto"/>
            </w:tcBorders>
            <w:hideMark/>
          </w:tcPr>
          <w:p w14:paraId="06454EC8" w14:textId="77777777" w:rsidR="00B4737D" w:rsidRPr="00B4737D" w:rsidRDefault="00B4737D" w:rsidP="009257ED">
            <w:pPr>
              <w:ind w:left="32"/>
              <w:rPr>
                <w:sz w:val="24"/>
                <w:szCs w:val="24"/>
                <w:u w:val="single"/>
                <w:lang w:val="en-GB"/>
              </w:rPr>
            </w:pPr>
            <w:r w:rsidRPr="00B4737D">
              <w:rPr>
                <w:sz w:val="24"/>
                <w:szCs w:val="24"/>
                <w:lang w:val="en-GB"/>
              </w:rPr>
              <w:t>&lt; 0.0001</w:t>
            </w:r>
          </w:p>
        </w:tc>
      </w:tr>
      <w:tr w:rsidR="00B4737D" w:rsidRPr="00B4737D" w14:paraId="140CC6C6" w14:textId="77777777" w:rsidTr="009257ED">
        <w:tc>
          <w:tcPr>
            <w:tcW w:w="5000" w:type="pct"/>
            <w:gridSpan w:val="5"/>
            <w:tcBorders>
              <w:top w:val="single" w:sz="4" w:space="0" w:color="auto"/>
              <w:left w:val="single" w:sz="4" w:space="0" w:color="auto"/>
              <w:bottom w:val="single" w:sz="4" w:space="0" w:color="auto"/>
              <w:right w:val="single" w:sz="4" w:space="0" w:color="auto"/>
            </w:tcBorders>
            <w:hideMark/>
          </w:tcPr>
          <w:p w14:paraId="17FB0573" w14:textId="77777777" w:rsidR="00B4737D" w:rsidRPr="00B4737D" w:rsidRDefault="00B4737D" w:rsidP="009257ED">
            <w:pPr>
              <w:ind w:left="32"/>
              <w:rPr>
                <w:sz w:val="24"/>
                <w:szCs w:val="24"/>
                <w:u w:val="single"/>
                <w:lang w:val="en-US"/>
              </w:rPr>
            </w:pPr>
            <w:r w:rsidRPr="00B4737D">
              <w:rPr>
                <w:sz w:val="24"/>
                <w:szCs w:val="24"/>
                <w:lang w:val="en-US"/>
              </w:rPr>
              <w:t xml:space="preserve">Other endpoints </w:t>
            </w:r>
          </w:p>
        </w:tc>
      </w:tr>
      <w:tr w:rsidR="00B4737D" w:rsidRPr="00B4737D" w14:paraId="7F18EC07"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49326409" w14:textId="77777777" w:rsidR="00B4737D" w:rsidRPr="00B4737D" w:rsidRDefault="00B4737D" w:rsidP="009257ED">
            <w:pPr>
              <w:ind w:left="32"/>
              <w:rPr>
                <w:sz w:val="24"/>
                <w:szCs w:val="24"/>
                <w:u w:val="single"/>
                <w:lang w:val="en-GB"/>
              </w:rPr>
            </w:pPr>
            <w:r w:rsidRPr="00B4737D">
              <w:rPr>
                <w:sz w:val="24"/>
                <w:szCs w:val="24"/>
                <w:lang w:val="en-GB"/>
              </w:rPr>
              <w:t xml:space="preserve">   All-cause death </w:t>
            </w:r>
          </w:p>
        </w:tc>
        <w:tc>
          <w:tcPr>
            <w:tcW w:w="1000" w:type="pct"/>
            <w:tcBorders>
              <w:top w:val="single" w:sz="4" w:space="0" w:color="auto"/>
              <w:left w:val="single" w:sz="4" w:space="0" w:color="auto"/>
              <w:bottom w:val="single" w:sz="4" w:space="0" w:color="auto"/>
              <w:right w:val="single" w:sz="4" w:space="0" w:color="auto"/>
            </w:tcBorders>
            <w:hideMark/>
          </w:tcPr>
          <w:p w14:paraId="2D347966" w14:textId="77777777" w:rsidR="00B4737D" w:rsidRPr="00B4737D" w:rsidRDefault="00B4737D" w:rsidP="009257ED">
            <w:pPr>
              <w:ind w:left="32"/>
              <w:rPr>
                <w:sz w:val="24"/>
                <w:szCs w:val="24"/>
                <w:u w:val="single"/>
                <w:lang w:val="en-GB"/>
              </w:rPr>
            </w:pPr>
            <w:r w:rsidRPr="00B4737D">
              <w:rPr>
                <w:sz w:val="24"/>
                <w:szCs w:val="24"/>
                <w:lang w:val="en-GB"/>
              </w:rPr>
              <w:t>603 (3.52)</w:t>
            </w:r>
          </w:p>
        </w:tc>
        <w:tc>
          <w:tcPr>
            <w:tcW w:w="1000" w:type="pct"/>
            <w:tcBorders>
              <w:top w:val="single" w:sz="4" w:space="0" w:color="auto"/>
              <w:left w:val="single" w:sz="4" w:space="0" w:color="auto"/>
              <w:bottom w:val="single" w:sz="4" w:space="0" w:color="auto"/>
              <w:right w:val="single" w:sz="4" w:space="0" w:color="auto"/>
            </w:tcBorders>
            <w:hideMark/>
          </w:tcPr>
          <w:p w14:paraId="51220682" w14:textId="77777777" w:rsidR="00B4737D" w:rsidRPr="00B4737D" w:rsidRDefault="00B4737D" w:rsidP="009257ED">
            <w:pPr>
              <w:ind w:left="32"/>
              <w:rPr>
                <w:sz w:val="24"/>
                <w:szCs w:val="24"/>
                <w:u w:val="single"/>
                <w:lang w:val="en-GB"/>
              </w:rPr>
            </w:pPr>
            <w:r w:rsidRPr="00B4737D">
              <w:rPr>
                <w:sz w:val="24"/>
                <w:szCs w:val="24"/>
                <w:lang w:val="en-GB"/>
              </w:rPr>
              <w:t>669 (3.94)</w:t>
            </w:r>
          </w:p>
        </w:tc>
        <w:tc>
          <w:tcPr>
            <w:tcW w:w="1000" w:type="pct"/>
            <w:tcBorders>
              <w:top w:val="single" w:sz="4" w:space="0" w:color="auto"/>
              <w:left w:val="single" w:sz="4" w:space="0" w:color="auto"/>
              <w:bottom w:val="single" w:sz="4" w:space="0" w:color="auto"/>
              <w:right w:val="single" w:sz="4" w:space="0" w:color="auto"/>
            </w:tcBorders>
            <w:hideMark/>
          </w:tcPr>
          <w:p w14:paraId="21609BDE" w14:textId="77777777" w:rsidR="00B4737D" w:rsidRPr="00B4737D" w:rsidRDefault="00B4737D" w:rsidP="009257ED">
            <w:pPr>
              <w:ind w:left="32"/>
              <w:rPr>
                <w:sz w:val="24"/>
                <w:szCs w:val="24"/>
                <w:u w:val="single"/>
                <w:lang w:val="en-GB"/>
              </w:rPr>
            </w:pPr>
            <w:r w:rsidRPr="00B4737D">
              <w:rPr>
                <w:sz w:val="24"/>
                <w:szCs w:val="24"/>
                <w:lang w:val="en-GB"/>
              </w:rPr>
              <w:t>0.89 (0.80, 1.00)</w:t>
            </w:r>
          </w:p>
        </w:tc>
        <w:tc>
          <w:tcPr>
            <w:tcW w:w="1000" w:type="pct"/>
            <w:tcBorders>
              <w:top w:val="single" w:sz="4" w:space="0" w:color="auto"/>
              <w:left w:val="single" w:sz="4" w:space="0" w:color="auto"/>
              <w:bottom w:val="single" w:sz="4" w:space="0" w:color="auto"/>
              <w:right w:val="single" w:sz="4" w:space="0" w:color="auto"/>
            </w:tcBorders>
            <w:hideMark/>
          </w:tcPr>
          <w:p w14:paraId="12486A0B" w14:textId="77777777" w:rsidR="00B4737D" w:rsidRPr="00B4737D" w:rsidRDefault="00B4737D" w:rsidP="009257ED">
            <w:pPr>
              <w:ind w:left="32"/>
              <w:rPr>
                <w:sz w:val="24"/>
                <w:szCs w:val="24"/>
                <w:u w:val="single"/>
                <w:lang w:val="en-GB"/>
              </w:rPr>
            </w:pPr>
            <w:r w:rsidRPr="00B4737D">
              <w:rPr>
                <w:sz w:val="24"/>
                <w:szCs w:val="24"/>
                <w:lang w:val="en-GB"/>
              </w:rPr>
              <w:t>0.0465</w:t>
            </w:r>
          </w:p>
        </w:tc>
      </w:tr>
      <w:tr w:rsidR="00B4737D" w:rsidRPr="00B4737D" w14:paraId="2BC3E79D" w14:textId="77777777" w:rsidTr="009257ED">
        <w:tc>
          <w:tcPr>
            <w:tcW w:w="1000" w:type="pct"/>
            <w:tcBorders>
              <w:top w:val="single" w:sz="4" w:space="0" w:color="auto"/>
              <w:left w:val="single" w:sz="4" w:space="0" w:color="auto"/>
              <w:bottom w:val="single" w:sz="4" w:space="0" w:color="auto"/>
              <w:right w:val="single" w:sz="4" w:space="0" w:color="auto"/>
            </w:tcBorders>
            <w:hideMark/>
          </w:tcPr>
          <w:p w14:paraId="7A23C60B" w14:textId="77777777" w:rsidR="00B4737D" w:rsidRPr="00B4737D" w:rsidRDefault="00B4737D" w:rsidP="009257ED">
            <w:pPr>
              <w:ind w:left="32"/>
              <w:rPr>
                <w:sz w:val="24"/>
                <w:szCs w:val="24"/>
                <w:lang w:val="en-GB"/>
              </w:rPr>
            </w:pPr>
            <w:r w:rsidRPr="00B4737D">
              <w:rPr>
                <w:sz w:val="24"/>
                <w:szCs w:val="24"/>
                <w:lang w:val="en-GB"/>
              </w:rPr>
              <w:t xml:space="preserve">   Myocardia</w:t>
            </w:r>
          </w:p>
          <w:p w14:paraId="49719DCA" w14:textId="77777777" w:rsidR="00B4737D" w:rsidRPr="00B4737D" w:rsidRDefault="00B4737D" w:rsidP="009257ED">
            <w:pPr>
              <w:ind w:left="32"/>
              <w:rPr>
                <w:sz w:val="24"/>
                <w:szCs w:val="24"/>
                <w:u w:val="single"/>
                <w:lang w:val="en-GB"/>
              </w:rPr>
            </w:pPr>
            <w:r w:rsidRPr="00B4737D">
              <w:rPr>
                <w:sz w:val="24"/>
                <w:szCs w:val="24"/>
                <w:lang w:val="en-GB"/>
              </w:rPr>
              <w:t xml:space="preserve">   infarction </w:t>
            </w:r>
          </w:p>
        </w:tc>
        <w:tc>
          <w:tcPr>
            <w:tcW w:w="1000" w:type="pct"/>
            <w:tcBorders>
              <w:top w:val="single" w:sz="4" w:space="0" w:color="auto"/>
              <w:left w:val="single" w:sz="4" w:space="0" w:color="auto"/>
              <w:bottom w:val="single" w:sz="4" w:space="0" w:color="auto"/>
              <w:right w:val="single" w:sz="4" w:space="0" w:color="auto"/>
            </w:tcBorders>
            <w:hideMark/>
          </w:tcPr>
          <w:p w14:paraId="26BF29B9" w14:textId="77777777" w:rsidR="00B4737D" w:rsidRPr="00B4737D" w:rsidRDefault="00B4737D" w:rsidP="009257ED">
            <w:pPr>
              <w:ind w:left="32"/>
              <w:rPr>
                <w:sz w:val="24"/>
                <w:szCs w:val="24"/>
                <w:u w:val="single"/>
                <w:lang w:val="en-GB"/>
              </w:rPr>
            </w:pPr>
            <w:r w:rsidRPr="00B4737D">
              <w:rPr>
                <w:sz w:val="24"/>
                <w:szCs w:val="24"/>
                <w:lang w:val="en-GB"/>
              </w:rPr>
              <w:t>90 (0.53)</w:t>
            </w:r>
          </w:p>
        </w:tc>
        <w:tc>
          <w:tcPr>
            <w:tcW w:w="1000" w:type="pct"/>
            <w:tcBorders>
              <w:top w:val="single" w:sz="4" w:space="0" w:color="auto"/>
              <w:left w:val="single" w:sz="4" w:space="0" w:color="auto"/>
              <w:bottom w:val="single" w:sz="4" w:space="0" w:color="auto"/>
              <w:right w:val="single" w:sz="4" w:space="0" w:color="auto"/>
            </w:tcBorders>
            <w:hideMark/>
          </w:tcPr>
          <w:p w14:paraId="0EB061CC" w14:textId="77777777" w:rsidR="00B4737D" w:rsidRPr="00B4737D" w:rsidRDefault="00B4737D" w:rsidP="009257ED">
            <w:pPr>
              <w:ind w:left="32"/>
              <w:rPr>
                <w:sz w:val="24"/>
                <w:szCs w:val="24"/>
                <w:u w:val="single"/>
                <w:lang w:val="en-GB"/>
              </w:rPr>
            </w:pPr>
            <w:r w:rsidRPr="00B4737D">
              <w:rPr>
                <w:sz w:val="24"/>
                <w:szCs w:val="24"/>
                <w:lang w:val="en-GB"/>
              </w:rPr>
              <w:t>102 (0.61)</w:t>
            </w:r>
          </w:p>
        </w:tc>
        <w:tc>
          <w:tcPr>
            <w:tcW w:w="1000" w:type="pct"/>
            <w:tcBorders>
              <w:top w:val="single" w:sz="4" w:space="0" w:color="auto"/>
              <w:left w:val="single" w:sz="4" w:space="0" w:color="auto"/>
              <w:bottom w:val="single" w:sz="4" w:space="0" w:color="auto"/>
              <w:right w:val="single" w:sz="4" w:space="0" w:color="auto"/>
            </w:tcBorders>
            <w:hideMark/>
          </w:tcPr>
          <w:p w14:paraId="1FA47C71" w14:textId="77777777" w:rsidR="00B4737D" w:rsidRPr="00B4737D" w:rsidRDefault="00B4737D" w:rsidP="009257ED">
            <w:pPr>
              <w:ind w:left="32"/>
              <w:rPr>
                <w:sz w:val="24"/>
                <w:szCs w:val="24"/>
                <w:u w:val="single"/>
                <w:lang w:val="en-GB"/>
              </w:rPr>
            </w:pPr>
            <w:r w:rsidRPr="00B4737D">
              <w:rPr>
                <w:sz w:val="24"/>
                <w:szCs w:val="24"/>
                <w:lang w:val="en-GB"/>
              </w:rPr>
              <w:t>0.88 (0.66, 1.17)</w:t>
            </w:r>
          </w:p>
        </w:tc>
        <w:tc>
          <w:tcPr>
            <w:tcW w:w="1000" w:type="pct"/>
            <w:tcBorders>
              <w:top w:val="single" w:sz="4" w:space="0" w:color="auto"/>
              <w:left w:val="single" w:sz="4" w:space="0" w:color="auto"/>
              <w:bottom w:val="single" w:sz="4" w:space="0" w:color="auto"/>
              <w:right w:val="single" w:sz="4" w:space="0" w:color="auto"/>
            </w:tcBorders>
          </w:tcPr>
          <w:p w14:paraId="0446D0C6" w14:textId="77777777" w:rsidR="00B4737D" w:rsidRPr="00B4737D" w:rsidRDefault="00B4737D" w:rsidP="009257ED">
            <w:pPr>
              <w:ind w:left="32"/>
              <w:rPr>
                <w:sz w:val="24"/>
                <w:szCs w:val="24"/>
                <w:u w:val="single"/>
                <w:lang w:val="en-GB"/>
              </w:rPr>
            </w:pPr>
          </w:p>
        </w:tc>
      </w:tr>
    </w:tbl>
    <w:p w14:paraId="159947E8" w14:textId="1BA7AAA2" w:rsidR="00B4737D" w:rsidRPr="00B4737D" w:rsidRDefault="00B4737D" w:rsidP="009257ED">
      <w:pPr>
        <w:ind w:left="284" w:hanging="284"/>
        <w:rPr>
          <w:sz w:val="24"/>
          <w:szCs w:val="24"/>
          <w:lang w:val="en-GB"/>
        </w:rPr>
      </w:pPr>
      <w:r w:rsidRPr="00B4737D">
        <w:rPr>
          <w:sz w:val="24"/>
          <w:szCs w:val="24"/>
          <w:lang w:val="en-GB"/>
        </w:rPr>
        <w:t xml:space="preserve">* </w:t>
      </w:r>
      <w:r w:rsidR="009257ED" w:rsidRPr="001C1AA7">
        <w:rPr>
          <w:sz w:val="24"/>
          <w:szCs w:val="24"/>
          <w:lang w:val="en-GB"/>
        </w:rPr>
        <w:tab/>
      </w:r>
      <w:r w:rsidRPr="00B4737D">
        <w:rPr>
          <w:sz w:val="24"/>
          <w:szCs w:val="24"/>
          <w:lang w:val="en-GB"/>
        </w:rPr>
        <w:t xml:space="preserve">Major bleeding defined per International Society on Thrombosis and Haemostasis (ISTH) criteria. </w:t>
      </w:r>
    </w:p>
    <w:p w14:paraId="346848E7" w14:textId="0A49D0B6" w:rsidR="00B4737D" w:rsidRPr="00B4737D" w:rsidRDefault="00B4737D" w:rsidP="009257ED">
      <w:pPr>
        <w:ind w:left="284" w:hanging="284"/>
        <w:rPr>
          <w:sz w:val="24"/>
          <w:szCs w:val="24"/>
          <w:u w:val="single"/>
          <w:lang w:val="en-GB"/>
        </w:rPr>
      </w:pPr>
      <w:r w:rsidRPr="00B4737D">
        <w:rPr>
          <w:sz w:val="24"/>
          <w:szCs w:val="24"/>
          <w:lang w:val="en-GB"/>
        </w:rPr>
        <w:t xml:space="preserve">† </w:t>
      </w:r>
      <w:r w:rsidR="009257ED" w:rsidRPr="001C1AA7">
        <w:rPr>
          <w:sz w:val="24"/>
          <w:szCs w:val="24"/>
          <w:lang w:val="en-GB"/>
        </w:rPr>
        <w:tab/>
      </w:r>
      <w:r w:rsidRPr="00B4737D">
        <w:rPr>
          <w:sz w:val="24"/>
          <w:szCs w:val="24"/>
          <w:lang w:val="en-GB"/>
        </w:rPr>
        <w:t>Clinically Relevant Non-Major</w:t>
      </w:r>
    </w:p>
    <w:p w14:paraId="1FC1938C" w14:textId="77777777" w:rsidR="00B4737D" w:rsidRPr="00B4737D" w:rsidRDefault="00B4737D" w:rsidP="00B4737D">
      <w:pPr>
        <w:tabs>
          <w:tab w:val="left" w:pos="851"/>
        </w:tabs>
        <w:ind w:left="851"/>
        <w:rPr>
          <w:sz w:val="24"/>
          <w:szCs w:val="24"/>
          <w:u w:val="single"/>
          <w:lang w:val="en-GB"/>
        </w:rPr>
      </w:pPr>
    </w:p>
    <w:p w14:paraId="60461C3A" w14:textId="77777777" w:rsidR="00B4737D" w:rsidRPr="00B4737D" w:rsidRDefault="00B4737D" w:rsidP="009257ED">
      <w:pPr>
        <w:ind w:left="851"/>
        <w:rPr>
          <w:sz w:val="24"/>
          <w:szCs w:val="24"/>
          <w:lang w:val="en-GB"/>
        </w:rPr>
      </w:pPr>
      <w:r w:rsidRPr="00B4737D">
        <w:rPr>
          <w:sz w:val="24"/>
          <w:szCs w:val="24"/>
          <w:lang w:val="en-GB"/>
        </w:rPr>
        <w:t xml:space="preserve">The overall discontinuation rate due to adverse reactions was 1.8% for apixaban and 2.6% for warfarin in the ARISTOTLE study. </w:t>
      </w:r>
    </w:p>
    <w:p w14:paraId="7CB5CA03" w14:textId="77777777" w:rsidR="00B4737D" w:rsidRPr="00B4737D" w:rsidRDefault="00B4737D" w:rsidP="009257ED">
      <w:pPr>
        <w:ind w:left="851"/>
        <w:rPr>
          <w:sz w:val="24"/>
          <w:szCs w:val="24"/>
          <w:lang w:val="en-GB"/>
        </w:rPr>
      </w:pPr>
    </w:p>
    <w:p w14:paraId="6513D956" w14:textId="77777777" w:rsidR="00B4737D" w:rsidRPr="00B4737D" w:rsidRDefault="00B4737D" w:rsidP="009257ED">
      <w:pPr>
        <w:ind w:left="851"/>
        <w:rPr>
          <w:sz w:val="24"/>
          <w:szCs w:val="24"/>
          <w:lang w:val="en-GB"/>
        </w:rPr>
      </w:pPr>
      <w:r w:rsidRPr="00B4737D">
        <w:rPr>
          <w:sz w:val="24"/>
          <w:szCs w:val="24"/>
          <w:lang w:val="en-GB"/>
        </w:rPr>
        <w:t xml:space="preserve">The efficacy results for prespecified subgroups, including CHADS2 score, age, body weight, gender, status of renal function, prior stroke or TIA and diabetes were consistent with the primary efficacy results for the overall population studied in the trial. </w:t>
      </w:r>
    </w:p>
    <w:p w14:paraId="4585A902" w14:textId="77777777" w:rsidR="00B4737D" w:rsidRPr="00B4737D" w:rsidRDefault="00B4737D" w:rsidP="009257ED">
      <w:pPr>
        <w:ind w:left="851"/>
        <w:rPr>
          <w:sz w:val="24"/>
          <w:szCs w:val="24"/>
          <w:lang w:val="en-GB"/>
        </w:rPr>
      </w:pPr>
    </w:p>
    <w:p w14:paraId="33B199BA" w14:textId="77777777" w:rsidR="00B4737D" w:rsidRPr="00B4737D" w:rsidRDefault="00B4737D" w:rsidP="009257ED">
      <w:pPr>
        <w:ind w:left="851"/>
        <w:rPr>
          <w:sz w:val="24"/>
          <w:szCs w:val="24"/>
          <w:lang w:val="en-GB"/>
        </w:rPr>
      </w:pPr>
      <w:r w:rsidRPr="00B4737D">
        <w:rPr>
          <w:sz w:val="24"/>
          <w:szCs w:val="24"/>
          <w:lang w:val="en-GB"/>
        </w:rPr>
        <w:t>The incidence of ISTH major gastrointestinal bleeds (including upper GI, lower GI, and rectal bleeding) was 0.76%/year with apixaban and 0.86%/year with warfarin.</w:t>
      </w:r>
    </w:p>
    <w:p w14:paraId="3F6352E8" w14:textId="77777777" w:rsidR="00B4737D" w:rsidRPr="00B4737D" w:rsidRDefault="00B4737D" w:rsidP="009257ED">
      <w:pPr>
        <w:ind w:left="851"/>
        <w:rPr>
          <w:sz w:val="24"/>
          <w:szCs w:val="24"/>
          <w:u w:val="single"/>
          <w:lang w:val="en-GB"/>
        </w:rPr>
      </w:pPr>
    </w:p>
    <w:p w14:paraId="60705C0E" w14:textId="77777777" w:rsidR="00B4737D" w:rsidRPr="00B4737D" w:rsidRDefault="00B4737D" w:rsidP="009257ED">
      <w:pPr>
        <w:ind w:left="851"/>
        <w:rPr>
          <w:sz w:val="24"/>
          <w:szCs w:val="24"/>
          <w:lang w:val="en-GB"/>
        </w:rPr>
      </w:pPr>
      <w:r w:rsidRPr="00B4737D">
        <w:rPr>
          <w:sz w:val="24"/>
          <w:szCs w:val="24"/>
          <w:lang w:val="en-GB"/>
        </w:rPr>
        <w:t xml:space="preserve">The major bleeding results for prespecified subgroups including CHADS2 score, age, body weight, gender, status of renal function, prior stroke or TIA and diabetes were consistent with the results for the overall population studied in the trial. </w:t>
      </w:r>
    </w:p>
    <w:p w14:paraId="518873C1" w14:textId="77777777" w:rsidR="00B4737D" w:rsidRPr="00B4737D" w:rsidRDefault="00B4737D" w:rsidP="009257ED">
      <w:pPr>
        <w:ind w:left="851"/>
        <w:rPr>
          <w:sz w:val="24"/>
          <w:szCs w:val="24"/>
          <w:lang w:val="en-GB"/>
        </w:rPr>
      </w:pPr>
    </w:p>
    <w:p w14:paraId="7ACD97D0" w14:textId="77777777" w:rsidR="00B4737D" w:rsidRPr="00B4737D" w:rsidRDefault="00B4737D" w:rsidP="009257ED">
      <w:pPr>
        <w:ind w:left="851"/>
        <w:rPr>
          <w:sz w:val="24"/>
          <w:szCs w:val="24"/>
          <w:u w:val="single"/>
          <w:lang w:val="en-GB"/>
        </w:rPr>
      </w:pPr>
      <w:r w:rsidRPr="00B4737D">
        <w:rPr>
          <w:i/>
          <w:iCs/>
          <w:sz w:val="24"/>
          <w:szCs w:val="24"/>
          <w:u w:val="single"/>
          <w:lang w:val="en-GB"/>
        </w:rPr>
        <w:t xml:space="preserve">AVERROES study </w:t>
      </w:r>
    </w:p>
    <w:p w14:paraId="3C460B90" w14:textId="77777777" w:rsidR="00B4737D" w:rsidRPr="00B4737D" w:rsidRDefault="00B4737D" w:rsidP="009257ED">
      <w:pPr>
        <w:ind w:left="851"/>
        <w:rPr>
          <w:sz w:val="24"/>
          <w:szCs w:val="24"/>
          <w:lang w:val="en-GB"/>
        </w:rPr>
      </w:pPr>
      <w:r w:rsidRPr="00B4737D">
        <w:rPr>
          <w:sz w:val="24"/>
          <w:szCs w:val="24"/>
          <w:lang w:val="en-GB"/>
        </w:rPr>
        <w:t xml:space="preserve">In the AVERROES study a total of 5,598 adult patients considered to be unsuitable for VKA by the investigators were randomised to treatment with apixaban 5 mg twice daily (or 2.5 mg twice daily in selected patients [6.4%], see section 4.2) or ASA. ASA was given at a once daily dose of 81 mg (64%), 162 (26.9%), 243 (2.1%), or 324 mg (6.6%) at the </w:t>
      </w:r>
      <w:r w:rsidRPr="00B4737D">
        <w:rPr>
          <w:sz w:val="24"/>
          <w:szCs w:val="24"/>
          <w:lang w:val="en-GB"/>
        </w:rPr>
        <w:lastRenderedPageBreak/>
        <w:t xml:space="preserve">discretion of the investigator. Patients were exposed to study active substance for a mean of 14 months. The mean age was 69.9 years, the mean CHADS2 score was 2.0 and 13.6% of patients had prior stroke or TIA. </w:t>
      </w:r>
    </w:p>
    <w:p w14:paraId="663656AC" w14:textId="77777777" w:rsidR="00B4737D" w:rsidRPr="00B4737D" w:rsidRDefault="00B4737D" w:rsidP="009257ED">
      <w:pPr>
        <w:ind w:left="851"/>
        <w:rPr>
          <w:sz w:val="24"/>
          <w:szCs w:val="24"/>
          <w:lang w:val="en-GB"/>
        </w:rPr>
      </w:pPr>
    </w:p>
    <w:p w14:paraId="4DA7E9A3" w14:textId="77777777" w:rsidR="00B4737D" w:rsidRPr="00B4737D" w:rsidRDefault="00B4737D" w:rsidP="009257ED">
      <w:pPr>
        <w:ind w:left="851"/>
        <w:rPr>
          <w:sz w:val="24"/>
          <w:szCs w:val="24"/>
          <w:lang w:val="en-GB"/>
        </w:rPr>
      </w:pPr>
      <w:r w:rsidRPr="00B4737D">
        <w:rPr>
          <w:sz w:val="24"/>
          <w:szCs w:val="24"/>
          <w:lang w:val="en-GB"/>
        </w:rPr>
        <w:t xml:space="preserve">Common reasons for unsuitability for VKA therapy in the AVERROES study included unable/unlikely to obtain INRs at requested intervals (42.6%), patient refused treatment with VKA (37.4%), CHADS2 score = 1 and physician did not recommend VKA (21.3%), patient could not be relied on to adhere to VKA medicinal product instruction (15.0%), and difficulty/expected difficulty in contacting patient in case of urgent dose change (11.7%). </w:t>
      </w:r>
    </w:p>
    <w:p w14:paraId="3DBAF44C" w14:textId="77777777" w:rsidR="00B4737D" w:rsidRPr="00B4737D" w:rsidRDefault="00B4737D" w:rsidP="009257ED">
      <w:pPr>
        <w:ind w:left="851"/>
        <w:rPr>
          <w:sz w:val="24"/>
          <w:szCs w:val="24"/>
          <w:lang w:val="en-GB"/>
        </w:rPr>
      </w:pPr>
    </w:p>
    <w:p w14:paraId="483AD888" w14:textId="77777777" w:rsidR="00B4737D" w:rsidRPr="00B4737D" w:rsidRDefault="00B4737D" w:rsidP="009257ED">
      <w:pPr>
        <w:ind w:left="851"/>
        <w:rPr>
          <w:sz w:val="24"/>
          <w:szCs w:val="24"/>
          <w:lang w:val="en-GB"/>
        </w:rPr>
      </w:pPr>
      <w:r w:rsidRPr="00B4737D">
        <w:rPr>
          <w:sz w:val="24"/>
          <w:szCs w:val="24"/>
          <w:lang w:val="en-GB"/>
        </w:rPr>
        <w:t xml:space="preserve">AVERROES was stopped early based on a recommendation by the independent Data Monitoring Committee due to clear evidence of reduction of stroke and systemic embolism with an acceptable safety profile. </w:t>
      </w:r>
    </w:p>
    <w:p w14:paraId="1491B9D8" w14:textId="77777777" w:rsidR="00B4737D" w:rsidRPr="00B4737D" w:rsidRDefault="00B4737D" w:rsidP="009257ED">
      <w:pPr>
        <w:ind w:left="851"/>
        <w:rPr>
          <w:sz w:val="24"/>
          <w:szCs w:val="24"/>
          <w:lang w:val="en-GB"/>
        </w:rPr>
      </w:pPr>
    </w:p>
    <w:p w14:paraId="35933E2E" w14:textId="77777777" w:rsidR="00B4737D" w:rsidRPr="00B4737D" w:rsidRDefault="00B4737D" w:rsidP="009257ED">
      <w:pPr>
        <w:ind w:left="851"/>
        <w:rPr>
          <w:sz w:val="24"/>
          <w:szCs w:val="24"/>
          <w:lang w:val="en-GB"/>
        </w:rPr>
      </w:pPr>
      <w:r w:rsidRPr="00B4737D">
        <w:rPr>
          <w:sz w:val="24"/>
          <w:szCs w:val="24"/>
          <w:lang w:val="en-GB"/>
        </w:rPr>
        <w:t xml:space="preserve">The overall discontinuation rate due to adverse reactions was 1.5% for apixaban and 1.3% for ASA in the AVERROES study. </w:t>
      </w:r>
    </w:p>
    <w:p w14:paraId="6CC532B7" w14:textId="77777777" w:rsidR="00B4737D" w:rsidRPr="00B4737D" w:rsidRDefault="00B4737D" w:rsidP="009257ED">
      <w:pPr>
        <w:ind w:left="851"/>
        <w:rPr>
          <w:sz w:val="24"/>
          <w:szCs w:val="24"/>
          <w:lang w:val="en-GB"/>
        </w:rPr>
      </w:pPr>
    </w:p>
    <w:p w14:paraId="643785AC" w14:textId="77777777" w:rsidR="00B4737D" w:rsidRPr="00B4737D" w:rsidRDefault="00B4737D" w:rsidP="009257ED">
      <w:pPr>
        <w:ind w:left="851"/>
        <w:rPr>
          <w:sz w:val="24"/>
          <w:szCs w:val="24"/>
          <w:u w:val="single"/>
          <w:lang w:val="en-GB"/>
        </w:rPr>
      </w:pPr>
      <w:r w:rsidRPr="00B4737D">
        <w:rPr>
          <w:sz w:val="24"/>
          <w:szCs w:val="24"/>
          <w:lang w:val="en-GB"/>
        </w:rPr>
        <w:t>In the study, apixaban achieved statistically significant superiority in the primary endpoint of prevention of stroke (haemorrhagic, ischaemic or unspecified) or systemic embolism (see Table 7) compared to ASA.</w:t>
      </w:r>
    </w:p>
    <w:p w14:paraId="4110069A" w14:textId="77777777" w:rsidR="00B4737D" w:rsidRPr="00B4737D" w:rsidRDefault="00B4737D" w:rsidP="00B4737D">
      <w:pPr>
        <w:tabs>
          <w:tab w:val="left" w:pos="851"/>
        </w:tabs>
        <w:ind w:left="851"/>
        <w:rPr>
          <w:sz w:val="24"/>
          <w:szCs w:val="24"/>
          <w:u w:val="single"/>
          <w:lang w:val="en-GB"/>
        </w:rPr>
      </w:pPr>
    </w:p>
    <w:p w14:paraId="1EDA2A19" w14:textId="77777777" w:rsidR="00B4737D" w:rsidRPr="00B4737D" w:rsidRDefault="00B4737D" w:rsidP="00B4737D">
      <w:pPr>
        <w:tabs>
          <w:tab w:val="left" w:pos="851"/>
        </w:tabs>
        <w:ind w:left="851"/>
        <w:rPr>
          <w:sz w:val="24"/>
          <w:szCs w:val="24"/>
          <w:u w:val="single"/>
          <w:lang w:val="en-GB"/>
        </w:rPr>
      </w:pPr>
      <w:r w:rsidRPr="00B4737D">
        <w:rPr>
          <w:b/>
          <w:bCs/>
          <w:sz w:val="24"/>
          <w:szCs w:val="24"/>
          <w:lang w:val="en-GB"/>
        </w:rPr>
        <w:t>Table 7: Key efficacy outcomes in patients with atrial fibrillation in the AVERROES study</w:t>
      </w:r>
    </w:p>
    <w:tbl>
      <w:tblPr>
        <w:tblStyle w:val="Tabel-Gitter"/>
        <w:tblW w:w="5000" w:type="pct"/>
        <w:tblLook w:val="04A0" w:firstRow="1" w:lastRow="0" w:firstColumn="1" w:lastColumn="0" w:noHBand="0" w:noVBand="1"/>
      </w:tblPr>
      <w:tblGrid>
        <w:gridCol w:w="3159"/>
        <w:gridCol w:w="1657"/>
        <w:gridCol w:w="1658"/>
        <w:gridCol w:w="1956"/>
        <w:gridCol w:w="1198"/>
      </w:tblGrid>
      <w:tr w:rsidR="00B4737D" w:rsidRPr="00B4737D" w14:paraId="34659E00" w14:textId="77777777" w:rsidTr="00B46CF9">
        <w:tc>
          <w:tcPr>
            <w:tcW w:w="1640" w:type="pct"/>
            <w:tcBorders>
              <w:top w:val="single" w:sz="4" w:space="0" w:color="auto"/>
              <w:left w:val="single" w:sz="4" w:space="0" w:color="auto"/>
              <w:bottom w:val="single" w:sz="4" w:space="0" w:color="auto"/>
              <w:right w:val="single" w:sz="4" w:space="0" w:color="auto"/>
            </w:tcBorders>
          </w:tcPr>
          <w:p w14:paraId="328DC6FE" w14:textId="77777777" w:rsidR="00B4737D" w:rsidRPr="00B4737D" w:rsidRDefault="00B4737D" w:rsidP="009257ED">
            <w:pPr>
              <w:ind w:left="32"/>
              <w:rPr>
                <w:sz w:val="24"/>
                <w:szCs w:val="24"/>
                <w:u w:val="single"/>
                <w:lang w:val="en-GB"/>
              </w:rPr>
            </w:pPr>
          </w:p>
        </w:tc>
        <w:tc>
          <w:tcPr>
            <w:tcW w:w="860" w:type="pct"/>
            <w:tcBorders>
              <w:top w:val="single" w:sz="4" w:space="0" w:color="auto"/>
              <w:left w:val="single" w:sz="4" w:space="0" w:color="auto"/>
              <w:bottom w:val="single" w:sz="4" w:space="0" w:color="auto"/>
              <w:right w:val="single" w:sz="4" w:space="0" w:color="auto"/>
            </w:tcBorders>
            <w:hideMark/>
          </w:tcPr>
          <w:p w14:paraId="0417C3D0" w14:textId="77777777" w:rsidR="00B4737D" w:rsidRPr="00B4737D" w:rsidRDefault="00B4737D" w:rsidP="009257ED">
            <w:pPr>
              <w:ind w:left="32"/>
              <w:rPr>
                <w:sz w:val="24"/>
                <w:szCs w:val="24"/>
                <w:lang w:val="en-US"/>
              </w:rPr>
            </w:pPr>
            <w:r w:rsidRPr="00B4737D">
              <w:rPr>
                <w:b/>
                <w:bCs/>
                <w:sz w:val="24"/>
                <w:szCs w:val="24"/>
                <w:lang w:val="en-US"/>
              </w:rPr>
              <w:t>Apixaban</w:t>
            </w:r>
          </w:p>
          <w:p w14:paraId="1EBFA542" w14:textId="77777777" w:rsidR="00B4737D" w:rsidRPr="00B4737D" w:rsidRDefault="00B4737D" w:rsidP="009257ED">
            <w:pPr>
              <w:ind w:left="32"/>
              <w:rPr>
                <w:sz w:val="24"/>
                <w:szCs w:val="24"/>
                <w:lang w:val="en-US"/>
              </w:rPr>
            </w:pPr>
            <w:r w:rsidRPr="00B4737D">
              <w:rPr>
                <w:b/>
                <w:bCs/>
                <w:sz w:val="24"/>
                <w:szCs w:val="24"/>
                <w:lang w:val="en-US"/>
              </w:rPr>
              <w:t>N = 2,807</w:t>
            </w:r>
          </w:p>
          <w:p w14:paraId="39338C46" w14:textId="77777777" w:rsidR="00B4737D" w:rsidRPr="00B4737D" w:rsidRDefault="00B4737D" w:rsidP="009257ED">
            <w:pPr>
              <w:ind w:left="32"/>
              <w:rPr>
                <w:sz w:val="24"/>
                <w:szCs w:val="24"/>
                <w:u w:val="single"/>
                <w:lang w:val="en-GB"/>
              </w:rPr>
            </w:pPr>
            <w:r w:rsidRPr="00B4737D">
              <w:rPr>
                <w:b/>
                <w:bCs/>
                <w:sz w:val="24"/>
                <w:szCs w:val="24"/>
                <w:lang w:val="en-GB"/>
              </w:rPr>
              <w:t>n (%/year)</w:t>
            </w:r>
          </w:p>
        </w:tc>
        <w:tc>
          <w:tcPr>
            <w:tcW w:w="861" w:type="pct"/>
            <w:tcBorders>
              <w:top w:val="single" w:sz="4" w:space="0" w:color="auto"/>
              <w:left w:val="single" w:sz="4" w:space="0" w:color="auto"/>
              <w:bottom w:val="single" w:sz="4" w:space="0" w:color="auto"/>
              <w:right w:val="single" w:sz="4" w:space="0" w:color="auto"/>
            </w:tcBorders>
            <w:hideMark/>
          </w:tcPr>
          <w:p w14:paraId="09993538" w14:textId="77777777" w:rsidR="00B4737D" w:rsidRPr="00B4737D" w:rsidRDefault="00B4737D" w:rsidP="009257ED">
            <w:pPr>
              <w:ind w:left="32"/>
              <w:rPr>
                <w:sz w:val="24"/>
                <w:szCs w:val="24"/>
                <w:lang w:val="en-US"/>
              </w:rPr>
            </w:pPr>
            <w:r w:rsidRPr="00B4737D">
              <w:rPr>
                <w:b/>
                <w:bCs/>
                <w:sz w:val="24"/>
                <w:szCs w:val="24"/>
                <w:lang w:val="en-US"/>
              </w:rPr>
              <w:t>ASA</w:t>
            </w:r>
          </w:p>
          <w:p w14:paraId="559B6C60" w14:textId="77777777" w:rsidR="00B4737D" w:rsidRPr="00B4737D" w:rsidRDefault="00B4737D" w:rsidP="009257ED">
            <w:pPr>
              <w:ind w:left="32"/>
              <w:rPr>
                <w:sz w:val="24"/>
                <w:szCs w:val="24"/>
                <w:lang w:val="en-US"/>
              </w:rPr>
            </w:pPr>
            <w:r w:rsidRPr="00B4737D">
              <w:rPr>
                <w:b/>
                <w:bCs/>
                <w:sz w:val="24"/>
                <w:szCs w:val="24"/>
                <w:lang w:val="en-US"/>
              </w:rPr>
              <w:t>N = 2,791</w:t>
            </w:r>
          </w:p>
          <w:p w14:paraId="46998035" w14:textId="77777777" w:rsidR="00B4737D" w:rsidRPr="00B4737D" w:rsidRDefault="00B4737D" w:rsidP="009257ED">
            <w:pPr>
              <w:ind w:left="32"/>
              <w:rPr>
                <w:sz w:val="24"/>
                <w:szCs w:val="24"/>
                <w:u w:val="single"/>
                <w:lang w:val="en-GB"/>
              </w:rPr>
            </w:pPr>
            <w:r w:rsidRPr="00B4737D">
              <w:rPr>
                <w:b/>
                <w:bCs/>
                <w:sz w:val="24"/>
                <w:szCs w:val="24"/>
                <w:lang w:val="en-GB"/>
              </w:rPr>
              <w:t>n (%/year)</w:t>
            </w:r>
          </w:p>
        </w:tc>
        <w:tc>
          <w:tcPr>
            <w:tcW w:w="1016" w:type="pct"/>
            <w:tcBorders>
              <w:top w:val="single" w:sz="4" w:space="0" w:color="auto"/>
              <w:left w:val="single" w:sz="4" w:space="0" w:color="auto"/>
              <w:bottom w:val="single" w:sz="4" w:space="0" w:color="auto"/>
              <w:right w:val="single" w:sz="4" w:space="0" w:color="auto"/>
            </w:tcBorders>
            <w:hideMark/>
          </w:tcPr>
          <w:p w14:paraId="09D84939" w14:textId="77777777" w:rsidR="00B4737D" w:rsidRPr="00B4737D" w:rsidRDefault="00B4737D" w:rsidP="009257ED">
            <w:pPr>
              <w:ind w:left="32"/>
              <w:rPr>
                <w:sz w:val="24"/>
                <w:szCs w:val="24"/>
                <w:lang w:val="en-US"/>
              </w:rPr>
            </w:pPr>
            <w:r w:rsidRPr="00B4737D">
              <w:rPr>
                <w:b/>
                <w:bCs/>
                <w:sz w:val="24"/>
                <w:szCs w:val="24"/>
                <w:lang w:val="en-US"/>
              </w:rPr>
              <w:t>Hazard ratio</w:t>
            </w:r>
          </w:p>
          <w:p w14:paraId="497DCCA0" w14:textId="77777777" w:rsidR="00B4737D" w:rsidRPr="00B4737D" w:rsidRDefault="00B4737D" w:rsidP="009257ED">
            <w:pPr>
              <w:ind w:left="32"/>
              <w:rPr>
                <w:sz w:val="24"/>
                <w:szCs w:val="24"/>
                <w:u w:val="single"/>
                <w:lang w:val="en-GB"/>
              </w:rPr>
            </w:pPr>
            <w:r w:rsidRPr="00B4737D">
              <w:rPr>
                <w:b/>
                <w:bCs/>
                <w:sz w:val="24"/>
                <w:szCs w:val="24"/>
                <w:lang w:val="en-GB"/>
              </w:rPr>
              <w:t>(95% CI)</w:t>
            </w:r>
          </w:p>
        </w:tc>
        <w:tc>
          <w:tcPr>
            <w:tcW w:w="622" w:type="pct"/>
            <w:tcBorders>
              <w:top w:val="single" w:sz="4" w:space="0" w:color="auto"/>
              <w:left w:val="single" w:sz="4" w:space="0" w:color="auto"/>
              <w:bottom w:val="single" w:sz="4" w:space="0" w:color="auto"/>
              <w:right w:val="single" w:sz="4" w:space="0" w:color="auto"/>
            </w:tcBorders>
            <w:hideMark/>
          </w:tcPr>
          <w:p w14:paraId="7A1FE373" w14:textId="77777777" w:rsidR="00B4737D" w:rsidRPr="00B4737D" w:rsidRDefault="00B4737D" w:rsidP="009257ED">
            <w:pPr>
              <w:ind w:left="32"/>
              <w:rPr>
                <w:sz w:val="24"/>
                <w:szCs w:val="24"/>
                <w:u w:val="single"/>
                <w:lang w:val="en-GB"/>
              </w:rPr>
            </w:pPr>
            <w:r w:rsidRPr="00B4737D">
              <w:rPr>
                <w:b/>
                <w:bCs/>
                <w:sz w:val="24"/>
                <w:szCs w:val="24"/>
                <w:lang w:val="en-GB"/>
              </w:rPr>
              <w:t>p-value</w:t>
            </w:r>
          </w:p>
        </w:tc>
      </w:tr>
      <w:tr w:rsidR="00B4737D" w:rsidRPr="00B4737D" w14:paraId="15488A7E"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396B3D24" w14:textId="77777777" w:rsidR="00B4737D" w:rsidRPr="00B4737D" w:rsidRDefault="00B4737D" w:rsidP="009257ED">
            <w:pPr>
              <w:ind w:left="32"/>
              <w:rPr>
                <w:sz w:val="24"/>
                <w:szCs w:val="24"/>
                <w:u w:val="single"/>
                <w:lang w:val="en-GB"/>
              </w:rPr>
            </w:pPr>
            <w:r w:rsidRPr="00B4737D">
              <w:rPr>
                <w:sz w:val="24"/>
                <w:szCs w:val="24"/>
                <w:lang w:val="en-GB"/>
              </w:rPr>
              <w:t xml:space="preserve">Stroke or systemic embolism* </w:t>
            </w:r>
          </w:p>
        </w:tc>
        <w:tc>
          <w:tcPr>
            <w:tcW w:w="860" w:type="pct"/>
            <w:tcBorders>
              <w:top w:val="single" w:sz="4" w:space="0" w:color="auto"/>
              <w:left w:val="single" w:sz="4" w:space="0" w:color="auto"/>
              <w:bottom w:val="single" w:sz="4" w:space="0" w:color="auto"/>
              <w:right w:val="single" w:sz="4" w:space="0" w:color="auto"/>
            </w:tcBorders>
            <w:hideMark/>
          </w:tcPr>
          <w:p w14:paraId="6215716E" w14:textId="77777777" w:rsidR="00B4737D" w:rsidRPr="00B4737D" w:rsidRDefault="00B4737D" w:rsidP="009257ED">
            <w:pPr>
              <w:ind w:left="32"/>
              <w:rPr>
                <w:sz w:val="24"/>
                <w:szCs w:val="24"/>
                <w:u w:val="single"/>
                <w:lang w:val="en-GB"/>
              </w:rPr>
            </w:pPr>
            <w:r w:rsidRPr="00B4737D">
              <w:rPr>
                <w:sz w:val="24"/>
                <w:szCs w:val="24"/>
                <w:lang w:val="en-GB"/>
              </w:rPr>
              <w:t>51 (1.62)</w:t>
            </w:r>
          </w:p>
        </w:tc>
        <w:tc>
          <w:tcPr>
            <w:tcW w:w="861" w:type="pct"/>
            <w:tcBorders>
              <w:top w:val="single" w:sz="4" w:space="0" w:color="auto"/>
              <w:left w:val="single" w:sz="4" w:space="0" w:color="auto"/>
              <w:bottom w:val="single" w:sz="4" w:space="0" w:color="auto"/>
              <w:right w:val="single" w:sz="4" w:space="0" w:color="auto"/>
            </w:tcBorders>
            <w:hideMark/>
          </w:tcPr>
          <w:p w14:paraId="6BAD839E" w14:textId="77777777" w:rsidR="00B4737D" w:rsidRPr="00B4737D" w:rsidRDefault="00B4737D" w:rsidP="009257ED">
            <w:pPr>
              <w:ind w:left="32"/>
              <w:rPr>
                <w:sz w:val="24"/>
                <w:szCs w:val="24"/>
                <w:u w:val="single"/>
                <w:lang w:val="en-GB"/>
              </w:rPr>
            </w:pPr>
            <w:r w:rsidRPr="00B4737D">
              <w:rPr>
                <w:sz w:val="24"/>
                <w:szCs w:val="24"/>
                <w:lang w:val="en-GB"/>
              </w:rPr>
              <w:t>113 (3.63)</w:t>
            </w:r>
          </w:p>
        </w:tc>
        <w:tc>
          <w:tcPr>
            <w:tcW w:w="1016" w:type="pct"/>
            <w:tcBorders>
              <w:top w:val="single" w:sz="4" w:space="0" w:color="auto"/>
              <w:left w:val="single" w:sz="4" w:space="0" w:color="auto"/>
              <w:bottom w:val="single" w:sz="4" w:space="0" w:color="auto"/>
              <w:right w:val="single" w:sz="4" w:space="0" w:color="auto"/>
            </w:tcBorders>
            <w:hideMark/>
          </w:tcPr>
          <w:p w14:paraId="7A9F2B7F" w14:textId="77777777" w:rsidR="00B4737D" w:rsidRPr="00B4737D" w:rsidRDefault="00B4737D" w:rsidP="009257ED">
            <w:pPr>
              <w:ind w:left="32"/>
              <w:rPr>
                <w:sz w:val="24"/>
                <w:szCs w:val="24"/>
                <w:u w:val="single"/>
                <w:lang w:val="en-GB"/>
              </w:rPr>
            </w:pPr>
            <w:r w:rsidRPr="00B4737D">
              <w:rPr>
                <w:sz w:val="24"/>
                <w:szCs w:val="24"/>
                <w:lang w:val="en-GB"/>
              </w:rPr>
              <w:t>0.45 (0.32, 0.62)</w:t>
            </w:r>
          </w:p>
        </w:tc>
        <w:tc>
          <w:tcPr>
            <w:tcW w:w="622" w:type="pct"/>
            <w:tcBorders>
              <w:top w:val="single" w:sz="4" w:space="0" w:color="auto"/>
              <w:left w:val="single" w:sz="4" w:space="0" w:color="auto"/>
              <w:bottom w:val="single" w:sz="4" w:space="0" w:color="auto"/>
              <w:right w:val="single" w:sz="4" w:space="0" w:color="auto"/>
            </w:tcBorders>
            <w:hideMark/>
          </w:tcPr>
          <w:p w14:paraId="4754A4F1" w14:textId="77777777" w:rsidR="00B4737D" w:rsidRPr="00B4737D" w:rsidRDefault="00B4737D" w:rsidP="009257ED">
            <w:pPr>
              <w:ind w:left="32"/>
              <w:rPr>
                <w:sz w:val="24"/>
                <w:szCs w:val="24"/>
                <w:u w:val="single"/>
                <w:lang w:val="en-GB"/>
              </w:rPr>
            </w:pPr>
            <w:r w:rsidRPr="00B4737D">
              <w:rPr>
                <w:sz w:val="24"/>
                <w:szCs w:val="24"/>
                <w:lang w:val="en-GB"/>
              </w:rPr>
              <w:t>&lt; 0.0001</w:t>
            </w:r>
          </w:p>
        </w:tc>
      </w:tr>
      <w:tr w:rsidR="00B4737D" w:rsidRPr="00B4737D" w14:paraId="0724E329"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1AF5CE8E" w14:textId="77777777" w:rsidR="00B4737D" w:rsidRPr="00B4737D" w:rsidRDefault="00B4737D" w:rsidP="009257ED">
            <w:pPr>
              <w:ind w:left="32"/>
              <w:rPr>
                <w:sz w:val="24"/>
                <w:szCs w:val="24"/>
                <w:u w:val="single"/>
                <w:lang w:val="en-US"/>
              </w:rPr>
            </w:pPr>
            <w:r w:rsidRPr="00B4737D">
              <w:rPr>
                <w:sz w:val="24"/>
                <w:szCs w:val="24"/>
                <w:lang w:val="en-US"/>
              </w:rPr>
              <w:t xml:space="preserve">   Stroke </w:t>
            </w:r>
          </w:p>
        </w:tc>
        <w:tc>
          <w:tcPr>
            <w:tcW w:w="860" w:type="pct"/>
            <w:tcBorders>
              <w:top w:val="single" w:sz="4" w:space="0" w:color="auto"/>
              <w:left w:val="single" w:sz="4" w:space="0" w:color="auto"/>
              <w:bottom w:val="single" w:sz="4" w:space="0" w:color="auto"/>
              <w:right w:val="single" w:sz="4" w:space="0" w:color="auto"/>
            </w:tcBorders>
          </w:tcPr>
          <w:p w14:paraId="6301DBB3" w14:textId="77777777" w:rsidR="00B4737D" w:rsidRPr="00B4737D" w:rsidRDefault="00B4737D" w:rsidP="009257ED">
            <w:pPr>
              <w:ind w:left="32"/>
              <w:rPr>
                <w:sz w:val="24"/>
                <w:szCs w:val="24"/>
                <w:u w:val="single"/>
                <w:lang w:val="en-GB"/>
              </w:rPr>
            </w:pPr>
          </w:p>
        </w:tc>
        <w:tc>
          <w:tcPr>
            <w:tcW w:w="861" w:type="pct"/>
            <w:tcBorders>
              <w:top w:val="single" w:sz="4" w:space="0" w:color="auto"/>
              <w:left w:val="single" w:sz="4" w:space="0" w:color="auto"/>
              <w:bottom w:val="single" w:sz="4" w:space="0" w:color="auto"/>
              <w:right w:val="single" w:sz="4" w:space="0" w:color="auto"/>
            </w:tcBorders>
          </w:tcPr>
          <w:p w14:paraId="5956521E" w14:textId="77777777" w:rsidR="00B4737D" w:rsidRPr="00B4737D" w:rsidRDefault="00B4737D" w:rsidP="009257ED">
            <w:pPr>
              <w:ind w:left="32"/>
              <w:rPr>
                <w:sz w:val="24"/>
                <w:szCs w:val="24"/>
                <w:u w:val="single"/>
                <w:lang w:val="en-GB"/>
              </w:rPr>
            </w:pPr>
          </w:p>
        </w:tc>
        <w:tc>
          <w:tcPr>
            <w:tcW w:w="1016" w:type="pct"/>
            <w:tcBorders>
              <w:top w:val="single" w:sz="4" w:space="0" w:color="auto"/>
              <w:left w:val="single" w:sz="4" w:space="0" w:color="auto"/>
              <w:bottom w:val="single" w:sz="4" w:space="0" w:color="auto"/>
              <w:right w:val="single" w:sz="4" w:space="0" w:color="auto"/>
            </w:tcBorders>
          </w:tcPr>
          <w:p w14:paraId="5F993EE9" w14:textId="77777777" w:rsidR="00B4737D" w:rsidRPr="00B4737D" w:rsidRDefault="00B4737D" w:rsidP="009257ED">
            <w:pPr>
              <w:ind w:left="32"/>
              <w:rPr>
                <w:sz w:val="24"/>
                <w:szCs w:val="24"/>
                <w:u w:val="single"/>
                <w:lang w:val="en-GB"/>
              </w:rPr>
            </w:pPr>
          </w:p>
        </w:tc>
        <w:tc>
          <w:tcPr>
            <w:tcW w:w="622" w:type="pct"/>
            <w:tcBorders>
              <w:top w:val="single" w:sz="4" w:space="0" w:color="auto"/>
              <w:left w:val="single" w:sz="4" w:space="0" w:color="auto"/>
              <w:bottom w:val="single" w:sz="4" w:space="0" w:color="auto"/>
              <w:right w:val="single" w:sz="4" w:space="0" w:color="auto"/>
            </w:tcBorders>
          </w:tcPr>
          <w:p w14:paraId="150F4DB5" w14:textId="77777777" w:rsidR="00B4737D" w:rsidRPr="00B4737D" w:rsidRDefault="00B4737D" w:rsidP="009257ED">
            <w:pPr>
              <w:ind w:left="32"/>
              <w:rPr>
                <w:sz w:val="24"/>
                <w:szCs w:val="24"/>
                <w:u w:val="single"/>
                <w:lang w:val="en-GB"/>
              </w:rPr>
            </w:pPr>
          </w:p>
        </w:tc>
      </w:tr>
      <w:tr w:rsidR="00B4737D" w:rsidRPr="00B4737D" w14:paraId="5E5C6D0D"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2D2B5D88" w14:textId="77777777" w:rsidR="00B4737D" w:rsidRPr="00B4737D" w:rsidRDefault="00B4737D" w:rsidP="009257ED">
            <w:pPr>
              <w:ind w:left="32"/>
              <w:rPr>
                <w:sz w:val="24"/>
                <w:szCs w:val="24"/>
                <w:u w:val="single"/>
                <w:lang w:val="en-GB"/>
              </w:rPr>
            </w:pPr>
            <w:r w:rsidRPr="00B4737D">
              <w:rPr>
                <w:sz w:val="24"/>
                <w:szCs w:val="24"/>
                <w:lang w:val="en-GB"/>
              </w:rPr>
              <w:t xml:space="preserve">      Ischaemic or unspecified </w:t>
            </w:r>
          </w:p>
        </w:tc>
        <w:tc>
          <w:tcPr>
            <w:tcW w:w="860" w:type="pct"/>
            <w:tcBorders>
              <w:top w:val="single" w:sz="4" w:space="0" w:color="auto"/>
              <w:left w:val="single" w:sz="4" w:space="0" w:color="auto"/>
              <w:bottom w:val="single" w:sz="4" w:space="0" w:color="auto"/>
              <w:right w:val="single" w:sz="4" w:space="0" w:color="auto"/>
            </w:tcBorders>
            <w:hideMark/>
          </w:tcPr>
          <w:p w14:paraId="73B008BD" w14:textId="77777777" w:rsidR="00B4737D" w:rsidRPr="00B4737D" w:rsidRDefault="00B4737D" w:rsidP="009257ED">
            <w:pPr>
              <w:ind w:left="32"/>
              <w:rPr>
                <w:sz w:val="24"/>
                <w:szCs w:val="24"/>
                <w:u w:val="single"/>
                <w:lang w:val="en-GB"/>
              </w:rPr>
            </w:pPr>
            <w:r w:rsidRPr="00B4737D">
              <w:rPr>
                <w:sz w:val="24"/>
                <w:szCs w:val="24"/>
                <w:lang w:val="en-GB"/>
              </w:rPr>
              <w:t>43 (1.37)</w:t>
            </w:r>
          </w:p>
        </w:tc>
        <w:tc>
          <w:tcPr>
            <w:tcW w:w="861" w:type="pct"/>
            <w:tcBorders>
              <w:top w:val="single" w:sz="4" w:space="0" w:color="auto"/>
              <w:left w:val="single" w:sz="4" w:space="0" w:color="auto"/>
              <w:bottom w:val="single" w:sz="4" w:space="0" w:color="auto"/>
              <w:right w:val="single" w:sz="4" w:space="0" w:color="auto"/>
            </w:tcBorders>
            <w:hideMark/>
          </w:tcPr>
          <w:p w14:paraId="434C2ECD" w14:textId="77777777" w:rsidR="00B4737D" w:rsidRPr="00B4737D" w:rsidRDefault="00B4737D" w:rsidP="009257ED">
            <w:pPr>
              <w:ind w:left="32"/>
              <w:rPr>
                <w:sz w:val="24"/>
                <w:szCs w:val="24"/>
                <w:u w:val="single"/>
                <w:lang w:val="en-GB"/>
              </w:rPr>
            </w:pPr>
            <w:r w:rsidRPr="00B4737D">
              <w:rPr>
                <w:sz w:val="24"/>
                <w:szCs w:val="24"/>
                <w:lang w:val="en-GB"/>
              </w:rPr>
              <w:t>97 (3.11)</w:t>
            </w:r>
          </w:p>
        </w:tc>
        <w:tc>
          <w:tcPr>
            <w:tcW w:w="1016" w:type="pct"/>
            <w:tcBorders>
              <w:top w:val="single" w:sz="4" w:space="0" w:color="auto"/>
              <w:left w:val="single" w:sz="4" w:space="0" w:color="auto"/>
              <w:bottom w:val="single" w:sz="4" w:space="0" w:color="auto"/>
              <w:right w:val="single" w:sz="4" w:space="0" w:color="auto"/>
            </w:tcBorders>
            <w:hideMark/>
          </w:tcPr>
          <w:p w14:paraId="5CAC36ED" w14:textId="77777777" w:rsidR="00B4737D" w:rsidRPr="00B4737D" w:rsidRDefault="00B4737D" w:rsidP="009257ED">
            <w:pPr>
              <w:ind w:left="32"/>
              <w:rPr>
                <w:sz w:val="24"/>
                <w:szCs w:val="24"/>
                <w:u w:val="single"/>
                <w:lang w:val="en-GB"/>
              </w:rPr>
            </w:pPr>
            <w:r w:rsidRPr="00B4737D">
              <w:rPr>
                <w:sz w:val="24"/>
                <w:szCs w:val="24"/>
                <w:lang w:val="en-GB"/>
              </w:rPr>
              <w:t>0.44 (0.31, 0.63)</w:t>
            </w:r>
          </w:p>
        </w:tc>
        <w:tc>
          <w:tcPr>
            <w:tcW w:w="622" w:type="pct"/>
            <w:tcBorders>
              <w:top w:val="single" w:sz="4" w:space="0" w:color="auto"/>
              <w:left w:val="single" w:sz="4" w:space="0" w:color="auto"/>
              <w:bottom w:val="single" w:sz="4" w:space="0" w:color="auto"/>
              <w:right w:val="single" w:sz="4" w:space="0" w:color="auto"/>
            </w:tcBorders>
          </w:tcPr>
          <w:p w14:paraId="55C414BD" w14:textId="77777777" w:rsidR="00B4737D" w:rsidRPr="00B4737D" w:rsidRDefault="00B4737D" w:rsidP="009257ED">
            <w:pPr>
              <w:ind w:left="32"/>
              <w:rPr>
                <w:sz w:val="24"/>
                <w:szCs w:val="24"/>
                <w:u w:val="single"/>
                <w:lang w:val="en-GB"/>
              </w:rPr>
            </w:pPr>
          </w:p>
        </w:tc>
      </w:tr>
      <w:tr w:rsidR="00B4737D" w:rsidRPr="00B4737D" w14:paraId="53077DA4"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1AD07620" w14:textId="77777777" w:rsidR="00B4737D" w:rsidRPr="00B4737D" w:rsidRDefault="00B4737D" w:rsidP="009257ED">
            <w:pPr>
              <w:ind w:left="32"/>
              <w:rPr>
                <w:sz w:val="24"/>
                <w:szCs w:val="24"/>
                <w:u w:val="single"/>
                <w:lang w:val="en-GB"/>
              </w:rPr>
            </w:pPr>
            <w:r w:rsidRPr="00B4737D">
              <w:rPr>
                <w:sz w:val="24"/>
                <w:szCs w:val="24"/>
                <w:lang w:val="en-GB"/>
              </w:rPr>
              <w:t xml:space="preserve">      Haemorrhagic </w:t>
            </w:r>
          </w:p>
        </w:tc>
        <w:tc>
          <w:tcPr>
            <w:tcW w:w="860" w:type="pct"/>
            <w:tcBorders>
              <w:top w:val="single" w:sz="4" w:space="0" w:color="auto"/>
              <w:left w:val="single" w:sz="4" w:space="0" w:color="auto"/>
              <w:bottom w:val="single" w:sz="4" w:space="0" w:color="auto"/>
              <w:right w:val="single" w:sz="4" w:space="0" w:color="auto"/>
            </w:tcBorders>
            <w:hideMark/>
          </w:tcPr>
          <w:p w14:paraId="4A505A67" w14:textId="77777777" w:rsidR="00B4737D" w:rsidRPr="00B4737D" w:rsidRDefault="00B4737D" w:rsidP="009257ED">
            <w:pPr>
              <w:ind w:left="32"/>
              <w:rPr>
                <w:sz w:val="24"/>
                <w:szCs w:val="24"/>
                <w:u w:val="single"/>
                <w:lang w:val="en-GB"/>
              </w:rPr>
            </w:pPr>
            <w:r w:rsidRPr="00B4737D">
              <w:rPr>
                <w:sz w:val="24"/>
                <w:szCs w:val="24"/>
                <w:lang w:val="en-GB"/>
              </w:rPr>
              <w:t>6 (0.19)</w:t>
            </w:r>
          </w:p>
        </w:tc>
        <w:tc>
          <w:tcPr>
            <w:tcW w:w="861" w:type="pct"/>
            <w:tcBorders>
              <w:top w:val="single" w:sz="4" w:space="0" w:color="auto"/>
              <w:left w:val="single" w:sz="4" w:space="0" w:color="auto"/>
              <w:bottom w:val="single" w:sz="4" w:space="0" w:color="auto"/>
              <w:right w:val="single" w:sz="4" w:space="0" w:color="auto"/>
            </w:tcBorders>
            <w:hideMark/>
          </w:tcPr>
          <w:p w14:paraId="07A904C7" w14:textId="77777777" w:rsidR="00B4737D" w:rsidRPr="00B4737D" w:rsidRDefault="00B4737D" w:rsidP="009257ED">
            <w:pPr>
              <w:ind w:left="32"/>
              <w:rPr>
                <w:sz w:val="24"/>
                <w:szCs w:val="24"/>
                <w:u w:val="single"/>
                <w:lang w:val="en-GB"/>
              </w:rPr>
            </w:pPr>
            <w:r w:rsidRPr="00B4737D">
              <w:rPr>
                <w:sz w:val="24"/>
                <w:szCs w:val="24"/>
                <w:lang w:val="en-GB"/>
              </w:rPr>
              <w:t>9 (0.28)</w:t>
            </w:r>
          </w:p>
        </w:tc>
        <w:tc>
          <w:tcPr>
            <w:tcW w:w="1016" w:type="pct"/>
            <w:tcBorders>
              <w:top w:val="single" w:sz="4" w:space="0" w:color="auto"/>
              <w:left w:val="single" w:sz="4" w:space="0" w:color="auto"/>
              <w:bottom w:val="single" w:sz="4" w:space="0" w:color="auto"/>
              <w:right w:val="single" w:sz="4" w:space="0" w:color="auto"/>
            </w:tcBorders>
            <w:hideMark/>
          </w:tcPr>
          <w:p w14:paraId="7A28F439" w14:textId="77777777" w:rsidR="00B4737D" w:rsidRPr="00B4737D" w:rsidRDefault="00B4737D" w:rsidP="009257ED">
            <w:pPr>
              <w:ind w:left="32"/>
              <w:rPr>
                <w:sz w:val="24"/>
                <w:szCs w:val="24"/>
                <w:u w:val="single"/>
                <w:lang w:val="en-GB"/>
              </w:rPr>
            </w:pPr>
            <w:r w:rsidRPr="00B4737D">
              <w:rPr>
                <w:sz w:val="24"/>
                <w:szCs w:val="24"/>
                <w:lang w:val="en-GB"/>
              </w:rPr>
              <w:t>0.67 (0.24, 1.88)</w:t>
            </w:r>
          </w:p>
        </w:tc>
        <w:tc>
          <w:tcPr>
            <w:tcW w:w="622" w:type="pct"/>
            <w:tcBorders>
              <w:top w:val="single" w:sz="4" w:space="0" w:color="auto"/>
              <w:left w:val="single" w:sz="4" w:space="0" w:color="auto"/>
              <w:bottom w:val="single" w:sz="4" w:space="0" w:color="auto"/>
              <w:right w:val="single" w:sz="4" w:space="0" w:color="auto"/>
            </w:tcBorders>
          </w:tcPr>
          <w:p w14:paraId="102E15D0" w14:textId="77777777" w:rsidR="00B4737D" w:rsidRPr="00B4737D" w:rsidRDefault="00B4737D" w:rsidP="009257ED">
            <w:pPr>
              <w:ind w:left="32"/>
              <w:rPr>
                <w:sz w:val="24"/>
                <w:szCs w:val="24"/>
                <w:u w:val="single"/>
                <w:lang w:val="en-GB"/>
              </w:rPr>
            </w:pPr>
          </w:p>
        </w:tc>
      </w:tr>
      <w:tr w:rsidR="00B4737D" w:rsidRPr="00B4737D" w14:paraId="7BE8707D"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616BD571" w14:textId="77777777" w:rsidR="00B4737D" w:rsidRPr="00B4737D" w:rsidRDefault="00B4737D" w:rsidP="009257ED">
            <w:pPr>
              <w:ind w:left="32"/>
              <w:rPr>
                <w:sz w:val="24"/>
                <w:szCs w:val="24"/>
                <w:u w:val="single"/>
                <w:lang w:val="en-GB"/>
              </w:rPr>
            </w:pPr>
            <w:r w:rsidRPr="00B4737D">
              <w:rPr>
                <w:sz w:val="24"/>
                <w:szCs w:val="24"/>
                <w:lang w:val="en-GB"/>
              </w:rPr>
              <w:t xml:space="preserve">   Systemic embolism </w:t>
            </w:r>
          </w:p>
        </w:tc>
        <w:tc>
          <w:tcPr>
            <w:tcW w:w="860" w:type="pct"/>
            <w:tcBorders>
              <w:top w:val="single" w:sz="4" w:space="0" w:color="auto"/>
              <w:left w:val="single" w:sz="4" w:space="0" w:color="auto"/>
              <w:bottom w:val="single" w:sz="4" w:space="0" w:color="auto"/>
              <w:right w:val="single" w:sz="4" w:space="0" w:color="auto"/>
            </w:tcBorders>
            <w:hideMark/>
          </w:tcPr>
          <w:p w14:paraId="00E83A3A" w14:textId="77777777" w:rsidR="00B4737D" w:rsidRPr="00B4737D" w:rsidRDefault="00B4737D" w:rsidP="009257ED">
            <w:pPr>
              <w:ind w:left="32"/>
              <w:rPr>
                <w:sz w:val="24"/>
                <w:szCs w:val="24"/>
                <w:u w:val="single"/>
                <w:lang w:val="en-GB"/>
              </w:rPr>
            </w:pPr>
            <w:r w:rsidRPr="00B4737D">
              <w:rPr>
                <w:sz w:val="24"/>
                <w:szCs w:val="24"/>
                <w:lang w:val="en-GB"/>
              </w:rPr>
              <w:t>2 (0.06)</w:t>
            </w:r>
          </w:p>
        </w:tc>
        <w:tc>
          <w:tcPr>
            <w:tcW w:w="861" w:type="pct"/>
            <w:tcBorders>
              <w:top w:val="single" w:sz="4" w:space="0" w:color="auto"/>
              <w:left w:val="single" w:sz="4" w:space="0" w:color="auto"/>
              <w:bottom w:val="single" w:sz="4" w:space="0" w:color="auto"/>
              <w:right w:val="single" w:sz="4" w:space="0" w:color="auto"/>
            </w:tcBorders>
            <w:hideMark/>
          </w:tcPr>
          <w:p w14:paraId="680E854E" w14:textId="77777777" w:rsidR="00B4737D" w:rsidRPr="00B4737D" w:rsidRDefault="00B4737D" w:rsidP="009257ED">
            <w:pPr>
              <w:ind w:left="32"/>
              <w:rPr>
                <w:sz w:val="24"/>
                <w:szCs w:val="24"/>
                <w:u w:val="single"/>
                <w:lang w:val="en-GB"/>
              </w:rPr>
            </w:pPr>
            <w:r w:rsidRPr="00B4737D">
              <w:rPr>
                <w:sz w:val="24"/>
                <w:szCs w:val="24"/>
                <w:lang w:val="en-GB"/>
              </w:rPr>
              <w:t>13 (0.41)</w:t>
            </w:r>
          </w:p>
        </w:tc>
        <w:tc>
          <w:tcPr>
            <w:tcW w:w="1016" w:type="pct"/>
            <w:tcBorders>
              <w:top w:val="single" w:sz="4" w:space="0" w:color="auto"/>
              <w:left w:val="single" w:sz="4" w:space="0" w:color="auto"/>
              <w:bottom w:val="single" w:sz="4" w:space="0" w:color="auto"/>
              <w:right w:val="single" w:sz="4" w:space="0" w:color="auto"/>
            </w:tcBorders>
            <w:hideMark/>
          </w:tcPr>
          <w:p w14:paraId="101CF10F" w14:textId="77777777" w:rsidR="00B4737D" w:rsidRPr="00B4737D" w:rsidRDefault="00B4737D" w:rsidP="009257ED">
            <w:pPr>
              <w:ind w:left="32"/>
              <w:rPr>
                <w:sz w:val="24"/>
                <w:szCs w:val="24"/>
                <w:u w:val="single"/>
                <w:lang w:val="en-GB"/>
              </w:rPr>
            </w:pPr>
            <w:r w:rsidRPr="00B4737D">
              <w:rPr>
                <w:sz w:val="24"/>
                <w:szCs w:val="24"/>
                <w:lang w:val="en-GB"/>
              </w:rPr>
              <w:t>0.15 (0.03, 0.68)</w:t>
            </w:r>
          </w:p>
        </w:tc>
        <w:tc>
          <w:tcPr>
            <w:tcW w:w="622" w:type="pct"/>
            <w:tcBorders>
              <w:top w:val="single" w:sz="4" w:space="0" w:color="auto"/>
              <w:left w:val="single" w:sz="4" w:space="0" w:color="auto"/>
              <w:bottom w:val="single" w:sz="4" w:space="0" w:color="auto"/>
              <w:right w:val="single" w:sz="4" w:space="0" w:color="auto"/>
            </w:tcBorders>
          </w:tcPr>
          <w:p w14:paraId="415884B8" w14:textId="77777777" w:rsidR="00B4737D" w:rsidRPr="00B4737D" w:rsidRDefault="00B4737D" w:rsidP="009257ED">
            <w:pPr>
              <w:ind w:left="32"/>
              <w:rPr>
                <w:sz w:val="24"/>
                <w:szCs w:val="24"/>
                <w:u w:val="single"/>
                <w:lang w:val="en-GB"/>
              </w:rPr>
            </w:pPr>
          </w:p>
        </w:tc>
      </w:tr>
      <w:tr w:rsidR="00B4737D" w:rsidRPr="00B4737D" w14:paraId="3BB8E14C"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1F306FF6" w14:textId="77777777" w:rsidR="00B4737D" w:rsidRPr="00B4737D" w:rsidRDefault="00B4737D" w:rsidP="009257ED">
            <w:pPr>
              <w:ind w:left="32"/>
              <w:rPr>
                <w:sz w:val="24"/>
                <w:szCs w:val="24"/>
                <w:u w:val="single"/>
                <w:lang w:val="en-GB"/>
              </w:rPr>
            </w:pPr>
            <w:r w:rsidRPr="00B4737D">
              <w:rPr>
                <w:sz w:val="24"/>
                <w:szCs w:val="24"/>
                <w:lang w:val="en-GB"/>
              </w:rPr>
              <w:t xml:space="preserve">Stroke, systemic embolism, MI, or vascular death*† </w:t>
            </w:r>
          </w:p>
        </w:tc>
        <w:tc>
          <w:tcPr>
            <w:tcW w:w="860" w:type="pct"/>
            <w:tcBorders>
              <w:top w:val="single" w:sz="4" w:space="0" w:color="auto"/>
              <w:left w:val="single" w:sz="4" w:space="0" w:color="auto"/>
              <w:bottom w:val="single" w:sz="4" w:space="0" w:color="auto"/>
              <w:right w:val="single" w:sz="4" w:space="0" w:color="auto"/>
            </w:tcBorders>
            <w:hideMark/>
          </w:tcPr>
          <w:p w14:paraId="2043F049" w14:textId="77777777" w:rsidR="00B4737D" w:rsidRPr="00B4737D" w:rsidRDefault="00B4737D" w:rsidP="009257ED">
            <w:pPr>
              <w:ind w:left="32"/>
              <w:rPr>
                <w:sz w:val="24"/>
                <w:szCs w:val="24"/>
                <w:u w:val="single"/>
                <w:lang w:val="en-GB"/>
              </w:rPr>
            </w:pPr>
            <w:r w:rsidRPr="00B4737D">
              <w:rPr>
                <w:sz w:val="24"/>
                <w:szCs w:val="24"/>
                <w:lang w:val="en-GB"/>
              </w:rPr>
              <w:t>132 (4.21)</w:t>
            </w:r>
          </w:p>
        </w:tc>
        <w:tc>
          <w:tcPr>
            <w:tcW w:w="861" w:type="pct"/>
            <w:tcBorders>
              <w:top w:val="single" w:sz="4" w:space="0" w:color="auto"/>
              <w:left w:val="single" w:sz="4" w:space="0" w:color="auto"/>
              <w:bottom w:val="single" w:sz="4" w:space="0" w:color="auto"/>
              <w:right w:val="single" w:sz="4" w:space="0" w:color="auto"/>
            </w:tcBorders>
            <w:hideMark/>
          </w:tcPr>
          <w:p w14:paraId="6965D1AC" w14:textId="77777777" w:rsidR="00B4737D" w:rsidRPr="00B4737D" w:rsidRDefault="00B4737D" w:rsidP="009257ED">
            <w:pPr>
              <w:ind w:left="32"/>
              <w:rPr>
                <w:sz w:val="24"/>
                <w:szCs w:val="24"/>
                <w:u w:val="single"/>
                <w:lang w:val="en-GB"/>
              </w:rPr>
            </w:pPr>
            <w:r w:rsidRPr="00B4737D">
              <w:rPr>
                <w:sz w:val="24"/>
                <w:szCs w:val="24"/>
                <w:lang w:val="en-GB"/>
              </w:rPr>
              <w:t>197 (6.35)</w:t>
            </w:r>
          </w:p>
        </w:tc>
        <w:tc>
          <w:tcPr>
            <w:tcW w:w="1016" w:type="pct"/>
            <w:tcBorders>
              <w:top w:val="single" w:sz="4" w:space="0" w:color="auto"/>
              <w:left w:val="single" w:sz="4" w:space="0" w:color="auto"/>
              <w:bottom w:val="single" w:sz="4" w:space="0" w:color="auto"/>
              <w:right w:val="single" w:sz="4" w:space="0" w:color="auto"/>
            </w:tcBorders>
            <w:hideMark/>
          </w:tcPr>
          <w:p w14:paraId="02299352" w14:textId="77777777" w:rsidR="00B4737D" w:rsidRPr="00B4737D" w:rsidRDefault="00B4737D" w:rsidP="009257ED">
            <w:pPr>
              <w:ind w:left="32"/>
              <w:rPr>
                <w:sz w:val="24"/>
                <w:szCs w:val="24"/>
                <w:u w:val="single"/>
                <w:lang w:val="en-GB"/>
              </w:rPr>
            </w:pPr>
            <w:r w:rsidRPr="00B4737D">
              <w:rPr>
                <w:sz w:val="24"/>
                <w:szCs w:val="24"/>
                <w:lang w:val="en-GB"/>
              </w:rPr>
              <w:t>0.66 (0.53, 0.83)</w:t>
            </w:r>
          </w:p>
        </w:tc>
        <w:tc>
          <w:tcPr>
            <w:tcW w:w="622" w:type="pct"/>
            <w:tcBorders>
              <w:top w:val="single" w:sz="4" w:space="0" w:color="auto"/>
              <w:left w:val="single" w:sz="4" w:space="0" w:color="auto"/>
              <w:bottom w:val="single" w:sz="4" w:space="0" w:color="auto"/>
              <w:right w:val="single" w:sz="4" w:space="0" w:color="auto"/>
            </w:tcBorders>
            <w:hideMark/>
          </w:tcPr>
          <w:p w14:paraId="1005707B" w14:textId="77777777" w:rsidR="00B4737D" w:rsidRPr="00B4737D" w:rsidRDefault="00B4737D" w:rsidP="009257ED">
            <w:pPr>
              <w:ind w:left="32"/>
              <w:rPr>
                <w:sz w:val="24"/>
                <w:szCs w:val="24"/>
                <w:u w:val="single"/>
                <w:lang w:val="en-GB"/>
              </w:rPr>
            </w:pPr>
            <w:r w:rsidRPr="00B4737D">
              <w:rPr>
                <w:sz w:val="24"/>
                <w:szCs w:val="24"/>
                <w:lang w:val="en-GB"/>
              </w:rPr>
              <w:t>0.003</w:t>
            </w:r>
          </w:p>
        </w:tc>
      </w:tr>
      <w:tr w:rsidR="00B4737D" w:rsidRPr="00B4737D" w14:paraId="77EFB9B9"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3EA7FD72" w14:textId="77777777" w:rsidR="00B4737D" w:rsidRPr="00B4737D" w:rsidRDefault="00B4737D" w:rsidP="009257ED">
            <w:pPr>
              <w:ind w:left="32"/>
              <w:rPr>
                <w:sz w:val="24"/>
                <w:szCs w:val="24"/>
                <w:u w:val="single"/>
                <w:lang w:val="en-GB"/>
              </w:rPr>
            </w:pPr>
            <w:r w:rsidRPr="00B4737D">
              <w:rPr>
                <w:sz w:val="24"/>
                <w:szCs w:val="24"/>
                <w:lang w:val="en-GB"/>
              </w:rPr>
              <w:t xml:space="preserve">   Myocardial infarction </w:t>
            </w:r>
          </w:p>
        </w:tc>
        <w:tc>
          <w:tcPr>
            <w:tcW w:w="860" w:type="pct"/>
            <w:tcBorders>
              <w:top w:val="single" w:sz="4" w:space="0" w:color="auto"/>
              <w:left w:val="single" w:sz="4" w:space="0" w:color="auto"/>
              <w:bottom w:val="single" w:sz="4" w:space="0" w:color="auto"/>
              <w:right w:val="single" w:sz="4" w:space="0" w:color="auto"/>
            </w:tcBorders>
            <w:hideMark/>
          </w:tcPr>
          <w:p w14:paraId="4DB2DA47" w14:textId="77777777" w:rsidR="00B4737D" w:rsidRPr="00B4737D" w:rsidRDefault="00B4737D" w:rsidP="009257ED">
            <w:pPr>
              <w:ind w:left="32"/>
              <w:rPr>
                <w:sz w:val="24"/>
                <w:szCs w:val="24"/>
                <w:u w:val="single"/>
                <w:lang w:val="en-GB"/>
              </w:rPr>
            </w:pPr>
            <w:r w:rsidRPr="00B4737D">
              <w:rPr>
                <w:sz w:val="24"/>
                <w:szCs w:val="24"/>
                <w:lang w:val="en-GB"/>
              </w:rPr>
              <w:t>24 (0.76)</w:t>
            </w:r>
          </w:p>
        </w:tc>
        <w:tc>
          <w:tcPr>
            <w:tcW w:w="861" w:type="pct"/>
            <w:tcBorders>
              <w:top w:val="single" w:sz="4" w:space="0" w:color="auto"/>
              <w:left w:val="single" w:sz="4" w:space="0" w:color="auto"/>
              <w:bottom w:val="single" w:sz="4" w:space="0" w:color="auto"/>
              <w:right w:val="single" w:sz="4" w:space="0" w:color="auto"/>
            </w:tcBorders>
            <w:hideMark/>
          </w:tcPr>
          <w:p w14:paraId="616CA3CB" w14:textId="77777777" w:rsidR="00B4737D" w:rsidRPr="00B4737D" w:rsidRDefault="00B4737D" w:rsidP="009257ED">
            <w:pPr>
              <w:ind w:left="32"/>
              <w:rPr>
                <w:sz w:val="24"/>
                <w:szCs w:val="24"/>
                <w:u w:val="single"/>
                <w:lang w:val="en-GB"/>
              </w:rPr>
            </w:pPr>
            <w:r w:rsidRPr="00B4737D">
              <w:rPr>
                <w:sz w:val="24"/>
                <w:szCs w:val="24"/>
                <w:lang w:val="en-GB"/>
              </w:rPr>
              <w:t>28 (0.89)</w:t>
            </w:r>
          </w:p>
        </w:tc>
        <w:tc>
          <w:tcPr>
            <w:tcW w:w="1016" w:type="pct"/>
            <w:tcBorders>
              <w:top w:val="single" w:sz="4" w:space="0" w:color="auto"/>
              <w:left w:val="single" w:sz="4" w:space="0" w:color="auto"/>
              <w:bottom w:val="single" w:sz="4" w:space="0" w:color="auto"/>
              <w:right w:val="single" w:sz="4" w:space="0" w:color="auto"/>
            </w:tcBorders>
            <w:hideMark/>
          </w:tcPr>
          <w:p w14:paraId="1FD47FF6" w14:textId="77777777" w:rsidR="00B4737D" w:rsidRPr="00B4737D" w:rsidRDefault="00B4737D" w:rsidP="009257ED">
            <w:pPr>
              <w:ind w:left="32"/>
              <w:rPr>
                <w:sz w:val="24"/>
                <w:szCs w:val="24"/>
                <w:u w:val="single"/>
                <w:lang w:val="en-GB"/>
              </w:rPr>
            </w:pPr>
            <w:r w:rsidRPr="00B4737D">
              <w:rPr>
                <w:sz w:val="24"/>
                <w:szCs w:val="24"/>
                <w:lang w:val="en-GB"/>
              </w:rPr>
              <w:t>0.86 (0.50, 1.48)</w:t>
            </w:r>
          </w:p>
        </w:tc>
        <w:tc>
          <w:tcPr>
            <w:tcW w:w="622" w:type="pct"/>
            <w:tcBorders>
              <w:top w:val="single" w:sz="4" w:space="0" w:color="auto"/>
              <w:left w:val="single" w:sz="4" w:space="0" w:color="auto"/>
              <w:bottom w:val="single" w:sz="4" w:space="0" w:color="auto"/>
              <w:right w:val="single" w:sz="4" w:space="0" w:color="auto"/>
            </w:tcBorders>
          </w:tcPr>
          <w:p w14:paraId="363DB258" w14:textId="77777777" w:rsidR="00B4737D" w:rsidRPr="00B4737D" w:rsidRDefault="00B4737D" w:rsidP="009257ED">
            <w:pPr>
              <w:ind w:left="32"/>
              <w:rPr>
                <w:sz w:val="24"/>
                <w:szCs w:val="24"/>
                <w:u w:val="single"/>
                <w:lang w:val="en-GB"/>
              </w:rPr>
            </w:pPr>
          </w:p>
        </w:tc>
      </w:tr>
      <w:tr w:rsidR="00B4737D" w:rsidRPr="00B4737D" w14:paraId="04E6EB09"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42B4F3A8" w14:textId="77777777" w:rsidR="00B4737D" w:rsidRPr="00B4737D" w:rsidRDefault="00B4737D" w:rsidP="009257ED">
            <w:pPr>
              <w:ind w:left="32"/>
              <w:rPr>
                <w:sz w:val="24"/>
                <w:szCs w:val="24"/>
                <w:u w:val="single"/>
                <w:lang w:val="en-GB"/>
              </w:rPr>
            </w:pPr>
            <w:r w:rsidRPr="00B4737D">
              <w:rPr>
                <w:sz w:val="24"/>
                <w:szCs w:val="24"/>
                <w:lang w:val="en-GB"/>
              </w:rPr>
              <w:t xml:space="preserve">   Vascular death </w:t>
            </w:r>
          </w:p>
        </w:tc>
        <w:tc>
          <w:tcPr>
            <w:tcW w:w="860" w:type="pct"/>
            <w:tcBorders>
              <w:top w:val="single" w:sz="4" w:space="0" w:color="auto"/>
              <w:left w:val="single" w:sz="4" w:space="0" w:color="auto"/>
              <w:bottom w:val="single" w:sz="4" w:space="0" w:color="auto"/>
              <w:right w:val="single" w:sz="4" w:space="0" w:color="auto"/>
            </w:tcBorders>
            <w:hideMark/>
          </w:tcPr>
          <w:p w14:paraId="32F43AD7" w14:textId="77777777" w:rsidR="00B4737D" w:rsidRPr="00B4737D" w:rsidRDefault="00B4737D" w:rsidP="009257ED">
            <w:pPr>
              <w:ind w:left="32"/>
              <w:rPr>
                <w:sz w:val="24"/>
                <w:szCs w:val="24"/>
                <w:u w:val="single"/>
                <w:lang w:val="en-GB"/>
              </w:rPr>
            </w:pPr>
            <w:r w:rsidRPr="00B4737D">
              <w:rPr>
                <w:sz w:val="24"/>
                <w:szCs w:val="24"/>
                <w:lang w:val="en-GB"/>
              </w:rPr>
              <w:t>84 (2.65)</w:t>
            </w:r>
          </w:p>
        </w:tc>
        <w:tc>
          <w:tcPr>
            <w:tcW w:w="861" w:type="pct"/>
            <w:tcBorders>
              <w:top w:val="single" w:sz="4" w:space="0" w:color="auto"/>
              <w:left w:val="single" w:sz="4" w:space="0" w:color="auto"/>
              <w:bottom w:val="single" w:sz="4" w:space="0" w:color="auto"/>
              <w:right w:val="single" w:sz="4" w:space="0" w:color="auto"/>
            </w:tcBorders>
            <w:hideMark/>
          </w:tcPr>
          <w:p w14:paraId="5E821688" w14:textId="77777777" w:rsidR="00B4737D" w:rsidRPr="00B4737D" w:rsidRDefault="00B4737D" w:rsidP="009257ED">
            <w:pPr>
              <w:ind w:left="32"/>
              <w:rPr>
                <w:sz w:val="24"/>
                <w:szCs w:val="24"/>
                <w:u w:val="single"/>
                <w:lang w:val="en-GB"/>
              </w:rPr>
            </w:pPr>
            <w:r w:rsidRPr="00B4737D">
              <w:rPr>
                <w:sz w:val="24"/>
                <w:szCs w:val="24"/>
                <w:lang w:val="en-GB"/>
              </w:rPr>
              <w:t>96 (3.03)</w:t>
            </w:r>
          </w:p>
        </w:tc>
        <w:tc>
          <w:tcPr>
            <w:tcW w:w="1016" w:type="pct"/>
            <w:tcBorders>
              <w:top w:val="single" w:sz="4" w:space="0" w:color="auto"/>
              <w:left w:val="single" w:sz="4" w:space="0" w:color="auto"/>
              <w:bottom w:val="single" w:sz="4" w:space="0" w:color="auto"/>
              <w:right w:val="single" w:sz="4" w:space="0" w:color="auto"/>
            </w:tcBorders>
            <w:hideMark/>
          </w:tcPr>
          <w:p w14:paraId="3FA743BC" w14:textId="77777777" w:rsidR="00B4737D" w:rsidRPr="00B4737D" w:rsidRDefault="00B4737D" w:rsidP="009257ED">
            <w:pPr>
              <w:ind w:left="32"/>
              <w:rPr>
                <w:sz w:val="24"/>
                <w:szCs w:val="24"/>
                <w:u w:val="single"/>
                <w:lang w:val="en-GB"/>
              </w:rPr>
            </w:pPr>
            <w:r w:rsidRPr="00B4737D">
              <w:rPr>
                <w:sz w:val="24"/>
                <w:szCs w:val="24"/>
                <w:lang w:val="en-GB"/>
              </w:rPr>
              <w:t>0.87 (0.65, 1.17)</w:t>
            </w:r>
          </w:p>
        </w:tc>
        <w:tc>
          <w:tcPr>
            <w:tcW w:w="622" w:type="pct"/>
            <w:tcBorders>
              <w:top w:val="single" w:sz="4" w:space="0" w:color="auto"/>
              <w:left w:val="single" w:sz="4" w:space="0" w:color="auto"/>
              <w:bottom w:val="single" w:sz="4" w:space="0" w:color="auto"/>
              <w:right w:val="single" w:sz="4" w:space="0" w:color="auto"/>
            </w:tcBorders>
          </w:tcPr>
          <w:p w14:paraId="0EDE6575" w14:textId="77777777" w:rsidR="00B4737D" w:rsidRPr="00B4737D" w:rsidRDefault="00B4737D" w:rsidP="009257ED">
            <w:pPr>
              <w:ind w:left="32"/>
              <w:rPr>
                <w:sz w:val="24"/>
                <w:szCs w:val="24"/>
                <w:u w:val="single"/>
                <w:lang w:val="en-GB"/>
              </w:rPr>
            </w:pPr>
          </w:p>
        </w:tc>
      </w:tr>
      <w:tr w:rsidR="00B4737D" w:rsidRPr="00B4737D" w14:paraId="693798BE" w14:textId="77777777" w:rsidTr="00B46CF9">
        <w:tc>
          <w:tcPr>
            <w:tcW w:w="1640" w:type="pct"/>
            <w:tcBorders>
              <w:top w:val="single" w:sz="4" w:space="0" w:color="auto"/>
              <w:left w:val="single" w:sz="4" w:space="0" w:color="auto"/>
              <w:bottom w:val="single" w:sz="4" w:space="0" w:color="auto"/>
              <w:right w:val="single" w:sz="4" w:space="0" w:color="auto"/>
            </w:tcBorders>
            <w:hideMark/>
          </w:tcPr>
          <w:p w14:paraId="29D36E38" w14:textId="77777777" w:rsidR="00B4737D" w:rsidRPr="00B4737D" w:rsidRDefault="00B4737D" w:rsidP="009257ED">
            <w:pPr>
              <w:ind w:left="32"/>
              <w:rPr>
                <w:sz w:val="24"/>
                <w:szCs w:val="24"/>
                <w:u w:val="single"/>
                <w:lang w:val="en-GB"/>
              </w:rPr>
            </w:pPr>
            <w:r w:rsidRPr="00B4737D">
              <w:rPr>
                <w:sz w:val="24"/>
                <w:szCs w:val="24"/>
                <w:lang w:val="en-GB"/>
              </w:rPr>
              <w:t xml:space="preserve">All-cause death† </w:t>
            </w:r>
          </w:p>
        </w:tc>
        <w:tc>
          <w:tcPr>
            <w:tcW w:w="860" w:type="pct"/>
            <w:tcBorders>
              <w:top w:val="single" w:sz="4" w:space="0" w:color="auto"/>
              <w:left w:val="single" w:sz="4" w:space="0" w:color="auto"/>
              <w:bottom w:val="single" w:sz="4" w:space="0" w:color="auto"/>
              <w:right w:val="single" w:sz="4" w:space="0" w:color="auto"/>
            </w:tcBorders>
            <w:hideMark/>
          </w:tcPr>
          <w:p w14:paraId="2F382BCB" w14:textId="77777777" w:rsidR="00B4737D" w:rsidRPr="00B4737D" w:rsidRDefault="00B4737D" w:rsidP="009257ED">
            <w:pPr>
              <w:ind w:left="32"/>
              <w:rPr>
                <w:sz w:val="24"/>
                <w:szCs w:val="24"/>
                <w:u w:val="single"/>
                <w:lang w:val="en-GB"/>
              </w:rPr>
            </w:pPr>
            <w:r w:rsidRPr="00B4737D">
              <w:rPr>
                <w:sz w:val="24"/>
                <w:szCs w:val="24"/>
                <w:lang w:val="en-GB"/>
              </w:rPr>
              <w:t>111 (3.51)</w:t>
            </w:r>
          </w:p>
        </w:tc>
        <w:tc>
          <w:tcPr>
            <w:tcW w:w="861" w:type="pct"/>
            <w:tcBorders>
              <w:top w:val="single" w:sz="4" w:space="0" w:color="auto"/>
              <w:left w:val="single" w:sz="4" w:space="0" w:color="auto"/>
              <w:bottom w:val="single" w:sz="4" w:space="0" w:color="auto"/>
              <w:right w:val="single" w:sz="4" w:space="0" w:color="auto"/>
            </w:tcBorders>
            <w:hideMark/>
          </w:tcPr>
          <w:p w14:paraId="18F4CF3C" w14:textId="77777777" w:rsidR="00B4737D" w:rsidRPr="00B4737D" w:rsidRDefault="00B4737D" w:rsidP="009257ED">
            <w:pPr>
              <w:ind w:left="32"/>
              <w:rPr>
                <w:sz w:val="24"/>
                <w:szCs w:val="24"/>
                <w:u w:val="single"/>
                <w:lang w:val="en-GB"/>
              </w:rPr>
            </w:pPr>
            <w:r w:rsidRPr="00B4737D">
              <w:rPr>
                <w:sz w:val="24"/>
                <w:szCs w:val="24"/>
                <w:lang w:val="en-GB"/>
              </w:rPr>
              <w:t>140 (4.42)</w:t>
            </w:r>
          </w:p>
        </w:tc>
        <w:tc>
          <w:tcPr>
            <w:tcW w:w="1016" w:type="pct"/>
            <w:tcBorders>
              <w:top w:val="single" w:sz="4" w:space="0" w:color="auto"/>
              <w:left w:val="single" w:sz="4" w:space="0" w:color="auto"/>
              <w:bottom w:val="single" w:sz="4" w:space="0" w:color="auto"/>
              <w:right w:val="single" w:sz="4" w:space="0" w:color="auto"/>
            </w:tcBorders>
            <w:hideMark/>
          </w:tcPr>
          <w:p w14:paraId="02BEE507" w14:textId="77777777" w:rsidR="00B4737D" w:rsidRPr="00B4737D" w:rsidRDefault="00B4737D" w:rsidP="009257ED">
            <w:pPr>
              <w:ind w:left="32"/>
              <w:rPr>
                <w:sz w:val="24"/>
                <w:szCs w:val="24"/>
                <w:u w:val="single"/>
                <w:lang w:val="en-GB"/>
              </w:rPr>
            </w:pPr>
            <w:r w:rsidRPr="00B4737D">
              <w:rPr>
                <w:sz w:val="24"/>
                <w:szCs w:val="24"/>
                <w:lang w:val="en-GB"/>
              </w:rPr>
              <w:t>0.79 (0.62, 1.02)</w:t>
            </w:r>
          </w:p>
        </w:tc>
        <w:tc>
          <w:tcPr>
            <w:tcW w:w="622" w:type="pct"/>
            <w:tcBorders>
              <w:top w:val="single" w:sz="4" w:space="0" w:color="auto"/>
              <w:left w:val="single" w:sz="4" w:space="0" w:color="auto"/>
              <w:bottom w:val="single" w:sz="4" w:space="0" w:color="auto"/>
              <w:right w:val="single" w:sz="4" w:space="0" w:color="auto"/>
            </w:tcBorders>
            <w:hideMark/>
          </w:tcPr>
          <w:p w14:paraId="7064E1CE" w14:textId="77777777" w:rsidR="00B4737D" w:rsidRPr="00B4737D" w:rsidRDefault="00B4737D" w:rsidP="009257ED">
            <w:pPr>
              <w:ind w:left="32"/>
              <w:rPr>
                <w:sz w:val="24"/>
                <w:szCs w:val="24"/>
                <w:u w:val="single"/>
                <w:lang w:val="en-GB"/>
              </w:rPr>
            </w:pPr>
            <w:r w:rsidRPr="00B4737D">
              <w:rPr>
                <w:sz w:val="24"/>
                <w:szCs w:val="24"/>
                <w:lang w:val="en-GB"/>
              </w:rPr>
              <w:t>0.068</w:t>
            </w:r>
          </w:p>
        </w:tc>
      </w:tr>
    </w:tbl>
    <w:p w14:paraId="14EB9A00" w14:textId="0C8D20F3" w:rsidR="00B4737D" w:rsidRPr="00B4737D" w:rsidRDefault="00B4737D" w:rsidP="009257ED">
      <w:pPr>
        <w:ind w:left="284" w:hanging="284"/>
        <w:rPr>
          <w:sz w:val="24"/>
          <w:szCs w:val="24"/>
          <w:lang w:val="en-GB"/>
        </w:rPr>
      </w:pPr>
      <w:r w:rsidRPr="00B4737D">
        <w:rPr>
          <w:sz w:val="24"/>
          <w:szCs w:val="24"/>
          <w:lang w:val="en-GB"/>
        </w:rPr>
        <w:t xml:space="preserve">* </w:t>
      </w:r>
      <w:r w:rsidR="009257ED" w:rsidRPr="001C1AA7">
        <w:rPr>
          <w:sz w:val="24"/>
          <w:szCs w:val="24"/>
          <w:lang w:val="en-GB"/>
        </w:rPr>
        <w:tab/>
      </w:r>
      <w:r w:rsidRPr="00B4737D">
        <w:rPr>
          <w:sz w:val="24"/>
          <w:szCs w:val="24"/>
          <w:lang w:val="en-GB"/>
        </w:rPr>
        <w:t xml:space="preserve">Assessed by sequential testing strategy designed to control the overall type I error in the trial. </w:t>
      </w:r>
    </w:p>
    <w:p w14:paraId="2D7FB7D6" w14:textId="1D35B943" w:rsidR="00B4737D" w:rsidRPr="00B4737D" w:rsidRDefault="00B4737D" w:rsidP="009257ED">
      <w:pPr>
        <w:ind w:left="284" w:hanging="284"/>
        <w:rPr>
          <w:sz w:val="24"/>
          <w:szCs w:val="24"/>
          <w:u w:val="single"/>
          <w:lang w:val="en-GB"/>
        </w:rPr>
      </w:pPr>
      <w:r w:rsidRPr="00B4737D">
        <w:rPr>
          <w:sz w:val="24"/>
          <w:szCs w:val="24"/>
          <w:lang w:val="en-GB"/>
        </w:rPr>
        <w:t xml:space="preserve">† </w:t>
      </w:r>
      <w:r w:rsidR="009257ED" w:rsidRPr="001C1AA7">
        <w:rPr>
          <w:sz w:val="24"/>
          <w:szCs w:val="24"/>
          <w:lang w:val="en-GB"/>
        </w:rPr>
        <w:tab/>
      </w:r>
      <w:r w:rsidRPr="00B4737D">
        <w:rPr>
          <w:sz w:val="24"/>
          <w:szCs w:val="24"/>
          <w:lang w:val="en-GB"/>
        </w:rPr>
        <w:t>Secondary endpoint</w:t>
      </w:r>
    </w:p>
    <w:p w14:paraId="17BC4B4F" w14:textId="77777777" w:rsidR="00B4737D" w:rsidRPr="00B4737D" w:rsidRDefault="00B4737D" w:rsidP="009257ED">
      <w:pPr>
        <w:ind w:left="851"/>
        <w:rPr>
          <w:sz w:val="24"/>
          <w:szCs w:val="24"/>
          <w:u w:val="single"/>
          <w:lang w:val="en-GB"/>
        </w:rPr>
      </w:pPr>
    </w:p>
    <w:p w14:paraId="2DA1E2E0" w14:textId="77777777" w:rsidR="00B4737D" w:rsidRPr="00B4737D" w:rsidRDefault="00B4737D" w:rsidP="009257ED">
      <w:pPr>
        <w:ind w:left="851"/>
        <w:rPr>
          <w:sz w:val="24"/>
          <w:szCs w:val="24"/>
          <w:u w:val="single"/>
          <w:lang w:val="en-GB"/>
        </w:rPr>
      </w:pPr>
      <w:r w:rsidRPr="00B4737D">
        <w:rPr>
          <w:sz w:val="24"/>
          <w:szCs w:val="24"/>
          <w:lang w:val="en-GB"/>
        </w:rPr>
        <w:t>There was no statistically significant difference in the incidence of major bleeding between apixaban and ASA (see Table 8).</w:t>
      </w:r>
    </w:p>
    <w:p w14:paraId="368988A9" w14:textId="77777777" w:rsidR="00B4737D" w:rsidRPr="00B4737D" w:rsidRDefault="00B4737D" w:rsidP="009257ED">
      <w:pPr>
        <w:ind w:left="851"/>
        <w:rPr>
          <w:sz w:val="24"/>
          <w:szCs w:val="24"/>
          <w:u w:val="single"/>
          <w:lang w:val="en-GB"/>
        </w:rPr>
      </w:pPr>
    </w:p>
    <w:p w14:paraId="554C9AB4" w14:textId="77777777" w:rsidR="00B4737D" w:rsidRPr="00B4737D" w:rsidRDefault="00B4737D" w:rsidP="00B4737D">
      <w:pPr>
        <w:tabs>
          <w:tab w:val="left" w:pos="851"/>
        </w:tabs>
        <w:ind w:left="851"/>
        <w:rPr>
          <w:b/>
          <w:bCs/>
          <w:sz w:val="24"/>
          <w:szCs w:val="24"/>
          <w:lang w:val="en-GB"/>
        </w:rPr>
      </w:pPr>
      <w:r w:rsidRPr="00B4737D">
        <w:rPr>
          <w:b/>
          <w:bCs/>
          <w:sz w:val="24"/>
          <w:szCs w:val="24"/>
          <w:lang w:val="en-GB"/>
        </w:rPr>
        <w:t>Table 8: Bleeding events in patients with atrial fibrillation in the AVERROES study</w:t>
      </w:r>
    </w:p>
    <w:tbl>
      <w:tblPr>
        <w:tblStyle w:val="Tabel-Gitter"/>
        <w:tblW w:w="5000" w:type="pct"/>
        <w:tblLook w:val="04A0" w:firstRow="1" w:lastRow="0" w:firstColumn="1" w:lastColumn="0" w:noHBand="0" w:noVBand="1"/>
      </w:tblPr>
      <w:tblGrid>
        <w:gridCol w:w="2106"/>
        <w:gridCol w:w="1958"/>
        <w:gridCol w:w="1956"/>
        <w:gridCol w:w="1958"/>
        <w:gridCol w:w="1650"/>
      </w:tblGrid>
      <w:tr w:rsidR="00B4737D" w:rsidRPr="00B4737D" w14:paraId="4E182FBD" w14:textId="77777777" w:rsidTr="00B46CF9">
        <w:tc>
          <w:tcPr>
            <w:tcW w:w="1093" w:type="pct"/>
            <w:tcBorders>
              <w:top w:val="single" w:sz="4" w:space="0" w:color="auto"/>
              <w:left w:val="single" w:sz="4" w:space="0" w:color="auto"/>
              <w:bottom w:val="single" w:sz="4" w:space="0" w:color="auto"/>
              <w:right w:val="single" w:sz="4" w:space="0" w:color="auto"/>
            </w:tcBorders>
          </w:tcPr>
          <w:p w14:paraId="76D7C706" w14:textId="77777777" w:rsidR="00B4737D" w:rsidRPr="00B4737D" w:rsidRDefault="00B4737D" w:rsidP="009257ED">
            <w:pPr>
              <w:ind w:left="32"/>
              <w:rPr>
                <w:sz w:val="24"/>
                <w:szCs w:val="24"/>
                <w:u w:val="single"/>
                <w:lang w:val="en-GB"/>
              </w:rPr>
            </w:pPr>
          </w:p>
        </w:tc>
        <w:tc>
          <w:tcPr>
            <w:tcW w:w="1017" w:type="pct"/>
            <w:tcBorders>
              <w:top w:val="single" w:sz="4" w:space="0" w:color="auto"/>
              <w:left w:val="single" w:sz="4" w:space="0" w:color="auto"/>
              <w:bottom w:val="single" w:sz="4" w:space="0" w:color="auto"/>
              <w:right w:val="single" w:sz="4" w:space="0" w:color="auto"/>
            </w:tcBorders>
            <w:hideMark/>
          </w:tcPr>
          <w:p w14:paraId="4EFB3700" w14:textId="77777777" w:rsidR="00B4737D" w:rsidRPr="00B4737D" w:rsidRDefault="00B4737D" w:rsidP="009257ED">
            <w:pPr>
              <w:ind w:left="32"/>
              <w:rPr>
                <w:sz w:val="24"/>
                <w:szCs w:val="24"/>
                <w:lang w:val="en-US"/>
              </w:rPr>
            </w:pPr>
            <w:r w:rsidRPr="00B4737D">
              <w:rPr>
                <w:b/>
                <w:bCs/>
                <w:sz w:val="24"/>
                <w:szCs w:val="24"/>
                <w:lang w:val="en-US"/>
              </w:rPr>
              <w:t>Apixaban</w:t>
            </w:r>
          </w:p>
          <w:p w14:paraId="1679E4BA" w14:textId="77777777" w:rsidR="00B4737D" w:rsidRPr="00B4737D" w:rsidRDefault="00B4737D" w:rsidP="009257ED">
            <w:pPr>
              <w:ind w:left="32"/>
              <w:rPr>
                <w:sz w:val="24"/>
                <w:szCs w:val="24"/>
                <w:lang w:val="en-US"/>
              </w:rPr>
            </w:pPr>
            <w:r w:rsidRPr="00B4737D">
              <w:rPr>
                <w:b/>
                <w:bCs/>
                <w:sz w:val="24"/>
                <w:szCs w:val="24"/>
                <w:lang w:val="en-US"/>
              </w:rPr>
              <w:t>N = 2,798</w:t>
            </w:r>
          </w:p>
          <w:p w14:paraId="5D48725C" w14:textId="77777777" w:rsidR="00B4737D" w:rsidRPr="00B4737D" w:rsidRDefault="00B4737D" w:rsidP="009257ED">
            <w:pPr>
              <w:ind w:left="32"/>
              <w:rPr>
                <w:sz w:val="24"/>
                <w:szCs w:val="24"/>
                <w:u w:val="single"/>
                <w:lang w:val="en-GB"/>
              </w:rPr>
            </w:pPr>
            <w:r w:rsidRPr="00B4737D">
              <w:rPr>
                <w:b/>
                <w:bCs/>
                <w:sz w:val="24"/>
                <w:szCs w:val="24"/>
                <w:lang w:val="en-GB"/>
              </w:rPr>
              <w:t>n (%/year)</w:t>
            </w:r>
          </w:p>
        </w:tc>
        <w:tc>
          <w:tcPr>
            <w:tcW w:w="1016" w:type="pct"/>
            <w:tcBorders>
              <w:top w:val="single" w:sz="4" w:space="0" w:color="auto"/>
              <w:left w:val="single" w:sz="4" w:space="0" w:color="auto"/>
              <w:bottom w:val="single" w:sz="4" w:space="0" w:color="auto"/>
              <w:right w:val="single" w:sz="4" w:space="0" w:color="auto"/>
            </w:tcBorders>
            <w:hideMark/>
          </w:tcPr>
          <w:p w14:paraId="3F581581" w14:textId="77777777" w:rsidR="00B4737D" w:rsidRPr="00B4737D" w:rsidRDefault="00B4737D" w:rsidP="009257ED">
            <w:pPr>
              <w:ind w:left="32"/>
              <w:rPr>
                <w:sz w:val="24"/>
                <w:szCs w:val="24"/>
                <w:lang w:val="en-US"/>
              </w:rPr>
            </w:pPr>
            <w:r w:rsidRPr="00B4737D">
              <w:rPr>
                <w:b/>
                <w:bCs/>
                <w:sz w:val="24"/>
                <w:szCs w:val="24"/>
                <w:lang w:val="en-US"/>
              </w:rPr>
              <w:t>ASA</w:t>
            </w:r>
          </w:p>
          <w:p w14:paraId="313DC6C9" w14:textId="77777777" w:rsidR="00B4737D" w:rsidRPr="00B4737D" w:rsidRDefault="00B4737D" w:rsidP="009257ED">
            <w:pPr>
              <w:ind w:left="32"/>
              <w:rPr>
                <w:sz w:val="24"/>
                <w:szCs w:val="24"/>
                <w:lang w:val="en-US"/>
              </w:rPr>
            </w:pPr>
            <w:r w:rsidRPr="00B4737D">
              <w:rPr>
                <w:b/>
                <w:bCs/>
                <w:sz w:val="24"/>
                <w:szCs w:val="24"/>
                <w:lang w:val="en-US"/>
              </w:rPr>
              <w:t>N = 2,780</w:t>
            </w:r>
          </w:p>
          <w:p w14:paraId="29FFED74" w14:textId="77777777" w:rsidR="00B4737D" w:rsidRPr="00B4737D" w:rsidRDefault="00B4737D" w:rsidP="009257ED">
            <w:pPr>
              <w:ind w:left="32"/>
              <w:rPr>
                <w:sz w:val="24"/>
                <w:szCs w:val="24"/>
                <w:u w:val="single"/>
                <w:lang w:val="en-GB"/>
              </w:rPr>
            </w:pPr>
            <w:r w:rsidRPr="00B4737D">
              <w:rPr>
                <w:b/>
                <w:bCs/>
                <w:sz w:val="24"/>
                <w:szCs w:val="24"/>
                <w:lang w:val="en-GB"/>
              </w:rPr>
              <w:t>n (%/year)</w:t>
            </w:r>
          </w:p>
        </w:tc>
        <w:tc>
          <w:tcPr>
            <w:tcW w:w="1017" w:type="pct"/>
            <w:tcBorders>
              <w:top w:val="single" w:sz="4" w:space="0" w:color="auto"/>
              <w:left w:val="single" w:sz="4" w:space="0" w:color="auto"/>
              <w:bottom w:val="single" w:sz="4" w:space="0" w:color="auto"/>
              <w:right w:val="single" w:sz="4" w:space="0" w:color="auto"/>
            </w:tcBorders>
            <w:hideMark/>
          </w:tcPr>
          <w:p w14:paraId="5A454C36" w14:textId="77777777" w:rsidR="00B4737D" w:rsidRPr="00B4737D" w:rsidRDefault="00B4737D" w:rsidP="009257ED">
            <w:pPr>
              <w:ind w:left="32"/>
              <w:rPr>
                <w:sz w:val="24"/>
                <w:szCs w:val="24"/>
                <w:u w:val="single"/>
                <w:lang w:val="en-GB"/>
              </w:rPr>
            </w:pPr>
            <w:r w:rsidRPr="00B4737D">
              <w:rPr>
                <w:b/>
                <w:bCs/>
                <w:sz w:val="24"/>
                <w:szCs w:val="24"/>
                <w:lang w:val="en-GB"/>
              </w:rPr>
              <w:t>Hazard ratio (95% CI)</w:t>
            </w:r>
          </w:p>
        </w:tc>
        <w:tc>
          <w:tcPr>
            <w:tcW w:w="857" w:type="pct"/>
            <w:tcBorders>
              <w:top w:val="single" w:sz="4" w:space="0" w:color="auto"/>
              <w:left w:val="single" w:sz="4" w:space="0" w:color="auto"/>
              <w:bottom w:val="single" w:sz="4" w:space="0" w:color="auto"/>
              <w:right w:val="single" w:sz="4" w:space="0" w:color="auto"/>
            </w:tcBorders>
            <w:hideMark/>
          </w:tcPr>
          <w:p w14:paraId="2F89A1FD" w14:textId="77777777" w:rsidR="00B4737D" w:rsidRPr="00B4737D" w:rsidRDefault="00B4737D" w:rsidP="009257ED">
            <w:pPr>
              <w:ind w:left="32"/>
              <w:rPr>
                <w:sz w:val="24"/>
                <w:szCs w:val="24"/>
                <w:u w:val="single"/>
                <w:lang w:val="en-GB"/>
              </w:rPr>
            </w:pPr>
            <w:r w:rsidRPr="00B4737D">
              <w:rPr>
                <w:b/>
                <w:bCs/>
                <w:sz w:val="24"/>
                <w:szCs w:val="24"/>
                <w:lang w:val="en-GB"/>
              </w:rPr>
              <w:t>p-value</w:t>
            </w:r>
          </w:p>
        </w:tc>
      </w:tr>
      <w:tr w:rsidR="00B4737D" w:rsidRPr="00B4737D" w14:paraId="0126F7F0"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10EC54C8" w14:textId="77777777" w:rsidR="00B4737D" w:rsidRPr="00B4737D" w:rsidRDefault="00B4737D" w:rsidP="009257ED">
            <w:pPr>
              <w:ind w:left="32"/>
              <w:rPr>
                <w:sz w:val="24"/>
                <w:szCs w:val="24"/>
                <w:u w:val="single"/>
                <w:lang w:val="en-GB"/>
              </w:rPr>
            </w:pPr>
            <w:r w:rsidRPr="00B4737D">
              <w:rPr>
                <w:sz w:val="24"/>
                <w:szCs w:val="24"/>
                <w:lang w:val="en-GB"/>
              </w:rPr>
              <w:t xml:space="preserve">Major* </w:t>
            </w:r>
          </w:p>
        </w:tc>
        <w:tc>
          <w:tcPr>
            <w:tcW w:w="1017" w:type="pct"/>
            <w:tcBorders>
              <w:top w:val="single" w:sz="4" w:space="0" w:color="auto"/>
              <w:left w:val="single" w:sz="4" w:space="0" w:color="auto"/>
              <w:bottom w:val="single" w:sz="4" w:space="0" w:color="auto"/>
              <w:right w:val="single" w:sz="4" w:space="0" w:color="auto"/>
            </w:tcBorders>
            <w:hideMark/>
          </w:tcPr>
          <w:p w14:paraId="557D3E71" w14:textId="77777777" w:rsidR="00B4737D" w:rsidRPr="00B4737D" w:rsidRDefault="00B4737D" w:rsidP="009257ED">
            <w:pPr>
              <w:ind w:left="32"/>
              <w:rPr>
                <w:sz w:val="24"/>
                <w:szCs w:val="24"/>
                <w:u w:val="single"/>
                <w:lang w:val="en-GB"/>
              </w:rPr>
            </w:pPr>
            <w:r w:rsidRPr="00B4737D">
              <w:rPr>
                <w:sz w:val="24"/>
                <w:szCs w:val="24"/>
                <w:lang w:val="en-GB"/>
              </w:rPr>
              <w:t>45 (1.41)</w:t>
            </w:r>
          </w:p>
        </w:tc>
        <w:tc>
          <w:tcPr>
            <w:tcW w:w="1016" w:type="pct"/>
            <w:tcBorders>
              <w:top w:val="single" w:sz="4" w:space="0" w:color="auto"/>
              <w:left w:val="single" w:sz="4" w:space="0" w:color="auto"/>
              <w:bottom w:val="single" w:sz="4" w:space="0" w:color="auto"/>
              <w:right w:val="single" w:sz="4" w:space="0" w:color="auto"/>
            </w:tcBorders>
            <w:hideMark/>
          </w:tcPr>
          <w:p w14:paraId="40D16153" w14:textId="77777777" w:rsidR="00B4737D" w:rsidRPr="00B4737D" w:rsidRDefault="00B4737D" w:rsidP="009257ED">
            <w:pPr>
              <w:ind w:left="32"/>
              <w:rPr>
                <w:sz w:val="24"/>
                <w:szCs w:val="24"/>
                <w:u w:val="single"/>
                <w:lang w:val="en-GB"/>
              </w:rPr>
            </w:pPr>
            <w:r w:rsidRPr="00B4737D">
              <w:rPr>
                <w:sz w:val="24"/>
                <w:szCs w:val="24"/>
                <w:lang w:val="en-GB"/>
              </w:rPr>
              <w:t>29 (0.92)</w:t>
            </w:r>
          </w:p>
        </w:tc>
        <w:tc>
          <w:tcPr>
            <w:tcW w:w="1017" w:type="pct"/>
            <w:tcBorders>
              <w:top w:val="single" w:sz="4" w:space="0" w:color="auto"/>
              <w:left w:val="single" w:sz="4" w:space="0" w:color="auto"/>
              <w:bottom w:val="single" w:sz="4" w:space="0" w:color="auto"/>
              <w:right w:val="single" w:sz="4" w:space="0" w:color="auto"/>
            </w:tcBorders>
            <w:hideMark/>
          </w:tcPr>
          <w:p w14:paraId="3B8F72B0" w14:textId="77777777" w:rsidR="00B4737D" w:rsidRPr="00B4737D" w:rsidRDefault="00B4737D" w:rsidP="009257ED">
            <w:pPr>
              <w:ind w:left="32"/>
              <w:rPr>
                <w:sz w:val="24"/>
                <w:szCs w:val="24"/>
                <w:u w:val="single"/>
                <w:lang w:val="en-GB"/>
              </w:rPr>
            </w:pPr>
            <w:r w:rsidRPr="00B4737D">
              <w:rPr>
                <w:sz w:val="24"/>
                <w:szCs w:val="24"/>
                <w:lang w:val="en-GB"/>
              </w:rPr>
              <w:t>1.54 (0.96, 2.45)</w:t>
            </w:r>
          </w:p>
        </w:tc>
        <w:tc>
          <w:tcPr>
            <w:tcW w:w="857" w:type="pct"/>
            <w:tcBorders>
              <w:top w:val="single" w:sz="4" w:space="0" w:color="auto"/>
              <w:left w:val="single" w:sz="4" w:space="0" w:color="auto"/>
              <w:bottom w:val="single" w:sz="4" w:space="0" w:color="auto"/>
              <w:right w:val="single" w:sz="4" w:space="0" w:color="auto"/>
            </w:tcBorders>
            <w:hideMark/>
          </w:tcPr>
          <w:p w14:paraId="092F92FF" w14:textId="77777777" w:rsidR="00B4737D" w:rsidRPr="00B4737D" w:rsidRDefault="00B4737D" w:rsidP="009257ED">
            <w:pPr>
              <w:ind w:left="32"/>
              <w:rPr>
                <w:sz w:val="24"/>
                <w:szCs w:val="24"/>
                <w:u w:val="single"/>
                <w:lang w:val="en-GB"/>
              </w:rPr>
            </w:pPr>
            <w:r w:rsidRPr="00B4737D">
              <w:rPr>
                <w:sz w:val="24"/>
                <w:szCs w:val="24"/>
                <w:lang w:val="en-GB"/>
              </w:rPr>
              <w:t>0.0716</w:t>
            </w:r>
          </w:p>
        </w:tc>
      </w:tr>
      <w:tr w:rsidR="00B4737D" w:rsidRPr="00B4737D" w14:paraId="5BC7BCFB"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4F02679C" w14:textId="77777777" w:rsidR="00B4737D" w:rsidRPr="00B4737D" w:rsidRDefault="00B4737D" w:rsidP="009257ED">
            <w:pPr>
              <w:ind w:left="32"/>
              <w:rPr>
                <w:sz w:val="24"/>
                <w:szCs w:val="24"/>
                <w:u w:val="single"/>
                <w:lang w:val="en-GB"/>
              </w:rPr>
            </w:pPr>
            <w:r w:rsidRPr="00B4737D">
              <w:rPr>
                <w:sz w:val="24"/>
                <w:szCs w:val="24"/>
                <w:lang w:val="en-GB"/>
              </w:rPr>
              <w:t xml:space="preserve">   Fatal, n </w:t>
            </w:r>
          </w:p>
        </w:tc>
        <w:tc>
          <w:tcPr>
            <w:tcW w:w="1017" w:type="pct"/>
            <w:tcBorders>
              <w:top w:val="single" w:sz="4" w:space="0" w:color="auto"/>
              <w:left w:val="single" w:sz="4" w:space="0" w:color="auto"/>
              <w:bottom w:val="single" w:sz="4" w:space="0" w:color="auto"/>
              <w:right w:val="single" w:sz="4" w:space="0" w:color="auto"/>
            </w:tcBorders>
            <w:hideMark/>
          </w:tcPr>
          <w:p w14:paraId="2A4DB912" w14:textId="77777777" w:rsidR="00B4737D" w:rsidRPr="00B4737D" w:rsidRDefault="00B4737D" w:rsidP="009257ED">
            <w:pPr>
              <w:ind w:left="32"/>
              <w:rPr>
                <w:sz w:val="24"/>
                <w:szCs w:val="24"/>
                <w:u w:val="single"/>
                <w:lang w:val="en-GB"/>
              </w:rPr>
            </w:pPr>
            <w:r w:rsidRPr="00B4737D">
              <w:rPr>
                <w:sz w:val="24"/>
                <w:szCs w:val="24"/>
                <w:lang w:val="en-GB"/>
              </w:rPr>
              <w:t>5 (0.16)</w:t>
            </w:r>
          </w:p>
        </w:tc>
        <w:tc>
          <w:tcPr>
            <w:tcW w:w="1016" w:type="pct"/>
            <w:tcBorders>
              <w:top w:val="single" w:sz="4" w:space="0" w:color="auto"/>
              <w:left w:val="single" w:sz="4" w:space="0" w:color="auto"/>
              <w:bottom w:val="single" w:sz="4" w:space="0" w:color="auto"/>
              <w:right w:val="single" w:sz="4" w:space="0" w:color="auto"/>
            </w:tcBorders>
            <w:hideMark/>
          </w:tcPr>
          <w:p w14:paraId="02C1ADFA" w14:textId="77777777" w:rsidR="00B4737D" w:rsidRPr="00B4737D" w:rsidRDefault="00B4737D" w:rsidP="009257ED">
            <w:pPr>
              <w:ind w:left="32"/>
              <w:rPr>
                <w:sz w:val="24"/>
                <w:szCs w:val="24"/>
                <w:u w:val="single"/>
                <w:lang w:val="en-GB"/>
              </w:rPr>
            </w:pPr>
            <w:r w:rsidRPr="00B4737D">
              <w:rPr>
                <w:sz w:val="24"/>
                <w:szCs w:val="24"/>
                <w:lang w:val="en-GB"/>
              </w:rPr>
              <w:t>5 (0.16)</w:t>
            </w:r>
          </w:p>
        </w:tc>
        <w:tc>
          <w:tcPr>
            <w:tcW w:w="1017" w:type="pct"/>
            <w:tcBorders>
              <w:top w:val="single" w:sz="4" w:space="0" w:color="auto"/>
              <w:left w:val="single" w:sz="4" w:space="0" w:color="auto"/>
              <w:bottom w:val="single" w:sz="4" w:space="0" w:color="auto"/>
              <w:right w:val="single" w:sz="4" w:space="0" w:color="auto"/>
            </w:tcBorders>
          </w:tcPr>
          <w:p w14:paraId="5B3BF967" w14:textId="77777777" w:rsidR="00B4737D" w:rsidRPr="00B4737D" w:rsidRDefault="00B4737D" w:rsidP="009257ED">
            <w:pPr>
              <w:ind w:left="32"/>
              <w:rPr>
                <w:sz w:val="24"/>
                <w:szCs w:val="24"/>
                <w:u w:val="single"/>
                <w:lang w:val="en-GB"/>
              </w:rPr>
            </w:pPr>
          </w:p>
        </w:tc>
        <w:tc>
          <w:tcPr>
            <w:tcW w:w="857" w:type="pct"/>
            <w:tcBorders>
              <w:top w:val="single" w:sz="4" w:space="0" w:color="auto"/>
              <w:left w:val="single" w:sz="4" w:space="0" w:color="auto"/>
              <w:bottom w:val="single" w:sz="4" w:space="0" w:color="auto"/>
              <w:right w:val="single" w:sz="4" w:space="0" w:color="auto"/>
            </w:tcBorders>
          </w:tcPr>
          <w:p w14:paraId="26DBDD5B" w14:textId="77777777" w:rsidR="00B4737D" w:rsidRPr="00B4737D" w:rsidRDefault="00B4737D" w:rsidP="009257ED">
            <w:pPr>
              <w:ind w:left="32"/>
              <w:rPr>
                <w:sz w:val="24"/>
                <w:szCs w:val="24"/>
                <w:u w:val="single"/>
                <w:lang w:val="en-GB"/>
              </w:rPr>
            </w:pPr>
          </w:p>
        </w:tc>
      </w:tr>
      <w:tr w:rsidR="00B4737D" w:rsidRPr="00B4737D" w14:paraId="54F8E953"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18A9C99E" w14:textId="77777777" w:rsidR="00B4737D" w:rsidRPr="00B4737D" w:rsidRDefault="00B4737D" w:rsidP="009257ED">
            <w:pPr>
              <w:ind w:left="32"/>
              <w:rPr>
                <w:sz w:val="24"/>
                <w:szCs w:val="24"/>
                <w:u w:val="single"/>
                <w:lang w:val="en-GB"/>
              </w:rPr>
            </w:pPr>
            <w:r w:rsidRPr="00B4737D">
              <w:rPr>
                <w:sz w:val="24"/>
                <w:szCs w:val="24"/>
                <w:lang w:val="en-GB"/>
              </w:rPr>
              <w:t xml:space="preserve">   Intracranial, n </w:t>
            </w:r>
          </w:p>
        </w:tc>
        <w:tc>
          <w:tcPr>
            <w:tcW w:w="1017" w:type="pct"/>
            <w:tcBorders>
              <w:top w:val="single" w:sz="4" w:space="0" w:color="auto"/>
              <w:left w:val="single" w:sz="4" w:space="0" w:color="auto"/>
              <w:bottom w:val="single" w:sz="4" w:space="0" w:color="auto"/>
              <w:right w:val="single" w:sz="4" w:space="0" w:color="auto"/>
            </w:tcBorders>
            <w:hideMark/>
          </w:tcPr>
          <w:p w14:paraId="44A88379" w14:textId="77777777" w:rsidR="00B4737D" w:rsidRPr="00B4737D" w:rsidRDefault="00B4737D" w:rsidP="009257ED">
            <w:pPr>
              <w:ind w:left="32"/>
              <w:rPr>
                <w:sz w:val="24"/>
                <w:szCs w:val="24"/>
                <w:u w:val="single"/>
                <w:lang w:val="en-GB"/>
              </w:rPr>
            </w:pPr>
            <w:r w:rsidRPr="00B4737D">
              <w:rPr>
                <w:sz w:val="24"/>
                <w:szCs w:val="24"/>
                <w:lang w:val="en-GB"/>
              </w:rPr>
              <w:t>11 (0.34)</w:t>
            </w:r>
          </w:p>
        </w:tc>
        <w:tc>
          <w:tcPr>
            <w:tcW w:w="1016" w:type="pct"/>
            <w:tcBorders>
              <w:top w:val="single" w:sz="4" w:space="0" w:color="auto"/>
              <w:left w:val="single" w:sz="4" w:space="0" w:color="auto"/>
              <w:bottom w:val="single" w:sz="4" w:space="0" w:color="auto"/>
              <w:right w:val="single" w:sz="4" w:space="0" w:color="auto"/>
            </w:tcBorders>
            <w:hideMark/>
          </w:tcPr>
          <w:p w14:paraId="0FC880F7" w14:textId="77777777" w:rsidR="00B4737D" w:rsidRPr="00B4737D" w:rsidRDefault="00B4737D" w:rsidP="009257ED">
            <w:pPr>
              <w:ind w:left="32"/>
              <w:rPr>
                <w:sz w:val="24"/>
                <w:szCs w:val="24"/>
                <w:u w:val="single"/>
                <w:lang w:val="en-GB"/>
              </w:rPr>
            </w:pPr>
            <w:r w:rsidRPr="00B4737D">
              <w:rPr>
                <w:sz w:val="24"/>
                <w:szCs w:val="24"/>
                <w:lang w:val="en-GB"/>
              </w:rPr>
              <w:t>11 (0.35)</w:t>
            </w:r>
          </w:p>
        </w:tc>
        <w:tc>
          <w:tcPr>
            <w:tcW w:w="1017" w:type="pct"/>
            <w:tcBorders>
              <w:top w:val="single" w:sz="4" w:space="0" w:color="auto"/>
              <w:left w:val="single" w:sz="4" w:space="0" w:color="auto"/>
              <w:bottom w:val="single" w:sz="4" w:space="0" w:color="auto"/>
              <w:right w:val="single" w:sz="4" w:space="0" w:color="auto"/>
            </w:tcBorders>
          </w:tcPr>
          <w:p w14:paraId="1A084C90" w14:textId="77777777" w:rsidR="00B4737D" w:rsidRPr="00B4737D" w:rsidRDefault="00B4737D" w:rsidP="009257ED">
            <w:pPr>
              <w:ind w:left="32"/>
              <w:rPr>
                <w:sz w:val="24"/>
                <w:szCs w:val="24"/>
                <w:u w:val="single"/>
                <w:lang w:val="en-GB"/>
              </w:rPr>
            </w:pPr>
          </w:p>
        </w:tc>
        <w:tc>
          <w:tcPr>
            <w:tcW w:w="857" w:type="pct"/>
            <w:tcBorders>
              <w:top w:val="single" w:sz="4" w:space="0" w:color="auto"/>
              <w:left w:val="single" w:sz="4" w:space="0" w:color="auto"/>
              <w:bottom w:val="single" w:sz="4" w:space="0" w:color="auto"/>
              <w:right w:val="single" w:sz="4" w:space="0" w:color="auto"/>
            </w:tcBorders>
          </w:tcPr>
          <w:p w14:paraId="4B6DF911" w14:textId="77777777" w:rsidR="00B4737D" w:rsidRPr="00B4737D" w:rsidRDefault="00B4737D" w:rsidP="009257ED">
            <w:pPr>
              <w:ind w:left="32"/>
              <w:rPr>
                <w:sz w:val="24"/>
                <w:szCs w:val="24"/>
                <w:u w:val="single"/>
                <w:lang w:val="en-GB"/>
              </w:rPr>
            </w:pPr>
          </w:p>
        </w:tc>
      </w:tr>
      <w:tr w:rsidR="00B4737D" w:rsidRPr="00B4737D" w14:paraId="77A30922"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6C1C016C" w14:textId="77777777" w:rsidR="00B4737D" w:rsidRPr="00B4737D" w:rsidRDefault="00B4737D" w:rsidP="009257ED">
            <w:pPr>
              <w:ind w:left="32"/>
              <w:rPr>
                <w:sz w:val="24"/>
                <w:szCs w:val="24"/>
                <w:u w:val="single"/>
                <w:lang w:val="en-GB"/>
              </w:rPr>
            </w:pPr>
            <w:r w:rsidRPr="00B4737D">
              <w:rPr>
                <w:sz w:val="24"/>
                <w:szCs w:val="24"/>
                <w:lang w:val="en-GB"/>
              </w:rPr>
              <w:lastRenderedPageBreak/>
              <w:t xml:space="preserve">Major + CRNM† </w:t>
            </w:r>
          </w:p>
        </w:tc>
        <w:tc>
          <w:tcPr>
            <w:tcW w:w="1017" w:type="pct"/>
            <w:tcBorders>
              <w:top w:val="single" w:sz="4" w:space="0" w:color="auto"/>
              <w:left w:val="single" w:sz="4" w:space="0" w:color="auto"/>
              <w:bottom w:val="single" w:sz="4" w:space="0" w:color="auto"/>
              <w:right w:val="single" w:sz="4" w:space="0" w:color="auto"/>
            </w:tcBorders>
            <w:hideMark/>
          </w:tcPr>
          <w:p w14:paraId="096F7823" w14:textId="77777777" w:rsidR="00B4737D" w:rsidRPr="00B4737D" w:rsidRDefault="00B4737D" w:rsidP="009257ED">
            <w:pPr>
              <w:ind w:left="32"/>
              <w:rPr>
                <w:sz w:val="24"/>
                <w:szCs w:val="24"/>
                <w:u w:val="single"/>
                <w:lang w:val="en-GB"/>
              </w:rPr>
            </w:pPr>
            <w:r w:rsidRPr="00B4737D">
              <w:rPr>
                <w:sz w:val="24"/>
                <w:szCs w:val="24"/>
                <w:lang w:val="en-GB"/>
              </w:rPr>
              <w:t>140 (4.46)</w:t>
            </w:r>
          </w:p>
        </w:tc>
        <w:tc>
          <w:tcPr>
            <w:tcW w:w="1016" w:type="pct"/>
            <w:tcBorders>
              <w:top w:val="single" w:sz="4" w:space="0" w:color="auto"/>
              <w:left w:val="single" w:sz="4" w:space="0" w:color="auto"/>
              <w:bottom w:val="single" w:sz="4" w:space="0" w:color="auto"/>
              <w:right w:val="single" w:sz="4" w:space="0" w:color="auto"/>
            </w:tcBorders>
            <w:hideMark/>
          </w:tcPr>
          <w:p w14:paraId="14607969" w14:textId="77777777" w:rsidR="00B4737D" w:rsidRPr="00B4737D" w:rsidRDefault="00B4737D" w:rsidP="009257ED">
            <w:pPr>
              <w:ind w:left="32"/>
              <w:rPr>
                <w:sz w:val="24"/>
                <w:szCs w:val="24"/>
                <w:u w:val="single"/>
                <w:lang w:val="en-GB"/>
              </w:rPr>
            </w:pPr>
            <w:r w:rsidRPr="00B4737D">
              <w:rPr>
                <w:sz w:val="24"/>
                <w:szCs w:val="24"/>
                <w:lang w:val="en-GB"/>
              </w:rPr>
              <w:t>101 (3.24)</w:t>
            </w:r>
          </w:p>
        </w:tc>
        <w:tc>
          <w:tcPr>
            <w:tcW w:w="1017" w:type="pct"/>
            <w:tcBorders>
              <w:top w:val="single" w:sz="4" w:space="0" w:color="auto"/>
              <w:left w:val="single" w:sz="4" w:space="0" w:color="auto"/>
              <w:bottom w:val="single" w:sz="4" w:space="0" w:color="auto"/>
              <w:right w:val="single" w:sz="4" w:space="0" w:color="auto"/>
            </w:tcBorders>
            <w:hideMark/>
          </w:tcPr>
          <w:p w14:paraId="541E6871" w14:textId="77777777" w:rsidR="00B4737D" w:rsidRPr="00B4737D" w:rsidRDefault="00B4737D" w:rsidP="009257ED">
            <w:pPr>
              <w:ind w:left="32"/>
              <w:rPr>
                <w:sz w:val="24"/>
                <w:szCs w:val="24"/>
                <w:u w:val="single"/>
                <w:lang w:val="en-GB"/>
              </w:rPr>
            </w:pPr>
            <w:r w:rsidRPr="00B4737D">
              <w:rPr>
                <w:sz w:val="24"/>
                <w:szCs w:val="24"/>
                <w:lang w:val="en-GB"/>
              </w:rPr>
              <w:t>1.38 (1.07, 1.78)</w:t>
            </w:r>
          </w:p>
        </w:tc>
        <w:tc>
          <w:tcPr>
            <w:tcW w:w="857" w:type="pct"/>
            <w:tcBorders>
              <w:top w:val="single" w:sz="4" w:space="0" w:color="auto"/>
              <w:left w:val="single" w:sz="4" w:space="0" w:color="auto"/>
              <w:bottom w:val="single" w:sz="4" w:space="0" w:color="auto"/>
              <w:right w:val="single" w:sz="4" w:space="0" w:color="auto"/>
            </w:tcBorders>
            <w:hideMark/>
          </w:tcPr>
          <w:p w14:paraId="2D9992D7" w14:textId="77777777" w:rsidR="00B4737D" w:rsidRPr="00B4737D" w:rsidRDefault="00B4737D" w:rsidP="009257ED">
            <w:pPr>
              <w:ind w:left="32"/>
              <w:rPr>
                <w:sz w:val="24"/>
                <w:szCs w:val="24"/>
                <w:u w:val="single"/>
                <w:lang w:val="en-GB"/>
              </w:rPr>
            </w:pPr>
            <w:r w:rsidRPr="00B4737D">
              <w:rPr>
                <w:sz w:val="24"/>
                <w:szCs w:val="24"/>
                <w:lang w:val="en-GB"/>
              </w:rPr>
              <w:t>0.0144</w:t>
            </w:r>
          </w:p>
        </w:tc>
      </w:tr>
      <w:tr w:rsidR="00B4737D" w:rsidRPr="00B4737D" w14:paraId="1777D37C"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44A2650C" w14:textId="77777777" w:rsidR="00B4737D" w:rsidRPr="00B4737D" w:rsidRDefault="00B4737D" w:rsidP="009257ED">
            <w:pPr>
              <w:ind w:left="32"/>
              <w:rPr>
                <w:sz w:val="24"/>
                <w:szCs w:val="24"/>
                <w:u w:val="single"/>
                <w:lang w:val="en-GB"/>
              </w:rPr>
            </w:pPr>
            <w:r w:rsidRPr="00B4737D">
              <w:rPr>
                <w:sz w:val="24"/>
                <w:szCs w:val="24"/>
                <w:lang w:val="en-GB"/>
              </w:rPr>
              <w:t xml:space="preserve">All </w:t>
            </w:r>
          </w:p>
        </w:tc>
        <w:tc>
          <w:tcPr>
            <w:tcW w:w="1017" w:type="pct"/>
            <w:tcBorders>
              <w:top w:val="single" w:sz="4" w:space="0" w:color="auto"/>
              <w:left w:val="single" w:sz="4" w:space="0" w:color="auto"/>
              <w:bottom w:val="single" w:sz="4" w:space="0" w:color="auto"/>
              <w:right w:val="single" w:sz="4" w:space="0" w:color="auto"/>
            </w:tcBorders>
            <w:hideMark/>
          </w:tcPr>
          <w:p w14:paraId="250B5567" w14:textId="77777777" w:rsidR="00B4737D" w:rsidRPr="00B4737D" w:rsidRDefault="00B4737D" w:rsidP="009257ED">
            <w:pPr>
              <w:ind w:left="32"/>
              <w:rPr>
                <w:sz w:val="24"/>
                <w:szCs w:val="24"/>
                <w:u w:val="single"/>
                <w:lang w:val="en-GB"/>
              </w:rPr>
            </w:pPr>
            <w:r w:rsidRPr="00B4737D">
              <w:rPr>
                <w:sz w:val="24"/>
                <w:szCs w:val="24"/>
                <w:lang w:val="en-GB"/>
              </w:rPr>
              <w:t>325 (10.85)</w:t>
            </w:r>
          </w:p>
        </w:tc>
        <w:tc>
          <w:tcPr>
            <w:tcW w:w="1016" w:type="pct"/>
            <w:tcBorders>
              <w:top w:val="single" w:sz="4" w:space="0" w:color="auto"/>
              <w:left w:val="single" w:sz="4" w:space="0" w:color="auto"/>
              <w:bottom w:val="single" w:sz="4" w:space="0" w:color="auto"/>
              <w:right w:val="single" w:sz="4" w:space="0" w:color="auto"/>
            </w:tcBorders>
            <w:hideMark/>
          </w:tcPr>
          <w:p w14:paraId="3ED8144E" w14:textId="77777777" w:rsidR="00B4737D" w:rsidRPr="00B4737D" w:rsidRDefault="00B4737D" w:rsidP="009257ED">
            <w:pPr>
              <w:ind w:left="32"/>
              <w:rPr>
                <w:sz w:val="24"/>
                <w:szCs w:val="24"/>
                <w:u w:val="single"/>
                <w:lang w:val="en-GB"/>
              </w:rPr>
            </w:pPr>
            <w:r w:rsidRPr="00B4737D">
              <w:rPr>
                <w:sz w:val="24"/>
                <w:szCs w:val="24"/>
                <w:lang w:val="en-GB"/>
              </w:rPr>
              <w:t>250 (8.32)</w:t>
            </w:r>
          </w:p>
        </w:tc>
        <w:tc>
          <w:tcPr>
            <w:tcW w:w="1017" w:type="pct"/>
            <w:tcBorders>
              <w:top w:val="single" w:sz="4" w:space="0" w:color="auto"/>
              <w:left w:val="single" w:sz="4" w:space="0" w:color="auto"/>
              <w:bottom w:val="single" w:sz="4" w:space="0" w:color="auto"/>
              <w:right w:val="single" w:sz="4" w:space="0" w:color="auto"/>
            </w:tcBorders>
            <w:hideMark/>
          </w:tcPr>
          <w:p w14:paraId="028FBD8C" w14:textId="77777777" w:rsidR="00B4737D" w:rsidRPr="00B4737D" w:rsidRDefault="00B4737D" w:rsidP="009257ED">
            <w:pPr>
              <w:ind w:left="32"/>
              <w:rPr>
                <w:sz w:val="24"/>
                <w:szCs w:val="24"/>
                <w:u w:val="single"/>
                <w:lang w:val="en-GB"/>
              </w:rPr>
            </w:pPr>
            <w:r w:rsidRPr="00B4737D">
              <w:rPr>
                <w:sz w:val="24"/>
                <w:szCs w:val="24"/>
                <w:lang w:val="en-GB"/>
              </w:rPr>
              <w:t>1.30 (1.10, 1.53)</w:t>
            </w:r>
          </w:p>
        </w:tc>
        <w:tc>
          <w:tcPr>
            <w:tcW w:w="857" w:type="pct"/>
            <w:tcBorders>
              <w:top w:val="single" w:sz="4" w:space="0" w:color="auto"/>
              <w:left w:val="single" w:sz="4" w:space="0" w:color="auto"/>
              <w:bottom w:val="single" w:sz="4" w:space="0" w:color="auto"/>
              <w:right w:val="single" w:sz="4" w:space="0" w:color="auto"/>
            </w:tcBorders>
            <w:hideMark/>
          </w:tcPr>
          <w:p w14:paraId="5F6742BA" w14:textId="77777777" w:rsidR="00B4737D" w:rsidRPr="00B4737D" w:rsidRDefault="00B4737D" w:rsidP="009257ED">
            <w:pPr>
              <w:ind w:left="32"/>
              <w:rPr>
                <w:sz w:val="24"/>
                <w:szCs w:val="24"/>
                <w:u w:val="single"/>
                <w:lang w:val="en-GB"/>
              </w:rPr>
            </w:pPr>
            <w:r w:rsidRPr="00B4737D">
              <w:rPr>
                <w:sz w:val="24"/>
                <w:szCs w:val="24"/>
                <w:lang w:val="en-GB"/>
              </w:rPr>
              <w:t>0.0017</w:t>
            </w:r>
          </w:p>
        </w:tc>
      </w:tr>
    </w:tbl>
    <w:p w14:paraId="6AF8F477" w14:textId="6FA51DCB" w:rsidR="00B4737D" w:rsidRPr="00B4737D" w:rsidRDefault="00B4737D" w:rsidP="009257ED">
      <w:pPr>
        <w:ind w:left="284" w:hanging="284"/>
        <w:rPr>
          <w:sz w:val="24"/>
          <w:szCs w:val="24"/>
          <w:lang w:val="en-GB"/>
        </w:rPr>
      </w:pPr>
      <w:r w:rsidRPr="00B4737D">
        <w:rPr>
          <w:sz w:val="24"/>
          <w:szCs w:val="24"/>
          <w:lang w:val="en-GB"/>
        </w:rPr>
        <w:t>*</w:t>
      </w:r>
      <w:r w:rsidR="009257ED" w:rsidRPr="001C1AA7">
        <w:rPr>
          <w:sz w:val="24"/>
          <w:szCs w:val="24"/>
          <w:lang w:val="en-GB"/>
        </w:rPr>
        <w:tab/>
      </w:r>
      <w:r w:rsidRPr="00B4737D">
        <w:rPr>
          <w:sz w:val="24"/>
          <w:szCs w:val="24"/>
          <w:lang w:val="en-GB"/>
        </w:rPr>
        <w:t xml:space="preserve">Major bleeding defined per International Society on Thrombosis and Haemostasis (ISTH) criteria. </w:t>
      </w:r>
    </w:p>
    <w:p w14:paraId="6BC770D0" w14:textId="2C74D8A1" w:rsidR="00B4737D" w:rsidRPr="00B4737D" w:rsidRDefault="00B4737D" w:rsidP="009257ED">
      <w:pPr>
        <w:ind w:left="284" w:hanging="284"/>
        <w:rPr>
          <w:sz w:val="24"/>
          <w:szCs w:val="24"/>
          <w:u w:val="single"/>
          <w:lang w:val="en-GB"/>
        </w:rPr>
      </w:pPr>
      <w:r w:rsidRPr="00B4737D">
        <w:rPr>
          <w:sz w:val="24"/>
          <w:szCs w:val="24"/>
          <w:lang w:val="en-GB"/>
        </w:rPr>
        <w:t xml:space="preserve">† </w:t>
      </w:r>
      <w:r w:rsidR="009257ED" w:rsidRPr="001C1AA7">
        <w:rPr>
          <w:sz w:val="24"/>
          <w:szCs w:val="24"/>
          <w:lang w:val="en-GB"/>
        </w:rPr>
        <w:tab/>
      </w:r>
      <w:r w:rsidRPr="00B4737D">
        <w:rPr>
          <w:sz w:val="24"/>
          <w:szCs w:val="24"/>
          <w:lang w:val="en-GB"/>
        </w:rPr>
        <w:t>Clinically relevant non-major</w:t>
      </w:r>
    </w:p>
    <w:p w14:paraId="5D3FD7DE" w14:textId="77777777" w:rsidR="00B4737D" w:rsidRPr="00B4737D" w:rsidRDefault="00B4737D" w:rsidP="00B4737D">
      <w:pPr>
        <w:tabs>
          <w:tab w:val="left" w:pos="851"/>
        </w:tabs>
        <w:ind w:left="851"/>
        <w:rPr>
          <w:sz w:val="24"/>
          <w:szCs w:val="24"/>
          <w:u w:val="single"/>
          <w:lang w:val="en-GB"/>
        </w:rPr>
      </w:pPr>
    </w:p>
    <w:p w14:paraId="754946AC" w14:textId="77777777" w:rsidR="00B4737D" w:rsidRPr="00B4737D" w:rsidRDefault="00B4737D" w:rsidP="009257ED">
      <w:pPr>
        <w:ind w:left="851"/>
        <w:rPr>
          <w:sz w:val="24"/>
          <w:szCs w:val="24"/>
          <w:u w:val="single"/>
          <w:lang w:val="en-GB"/>
        </w:rPr>
      </w:pPr>
      <w:r w:rsidRPr="00B4737D">
        <w:rPr>
          <w:i/>
          <w:iCs/>
          <w:sz w:val="24"/>
          <w:szCs w:val="24"/>
          <w:u w:val="single"/>
          <w:lang w:val="en-GB"/>
        </w:rPr>
        <w:t xml:space="preserve">NVAF patients with ACS and/or undergoing PCI </w:t>
      </w:r>
    </w:p>
    <w:p w14:paraId="17292B53" w14:textId="3D26E4EB" w:rsidR="00B4737D" w:rsidRPr="00B4737D" w:rsidRDefault="00B4737D" w:rsidP="009257ED">
      <w:pPr>
        <w:ind w:left="851"/>
        <w:rPr>
          <w:sz w:val="24"/>
          <w:szCs w:val="24"/>
          <w:lang w:val="en-GB"/>
        </w:rPr>
      </w:pPr>
      <w:r w:rsidRPr="00B4737D">
        <w:rPr>
          <w:sz w:val="24"/>
          <w:szCs w:val="24"/>
          <w:lang w:val="en-GB"/>
        </w:rPr>
        <w:t xml:space="preserve">AUGUSTUS, an </w:t>
      </w:r>
      <w:proofErr w:type="gramStart"/>
      <w:r w:rsidRPr="00B4737D">
        <w:rPr>
          <w:sz w:val="24"/>
          <w:szCs w:val="24"/>
          <w:lang w:val="en-GB"/>
        </w:rPr>
        <w:t>open-label</w:t>
      </w:r>
      <w:proofErr w:type="gramEnd"/>
      <w:r w:rsidRPr="00B4737D">
        <w:rPr>
          <w:sz w:val="24"/>
          <w:szCs w:val="24"/>
          <w:lang w:val="en-GB"/>
        </w:rPr>
        <w:t xml:space="preserve">, randomised, controlled, 2 by 2 factorial design trial, enrolled 4614 adult patients with NVAF who had ACS (43%) and/or underwent PCI (56%). All patients received background therapy with a P2Y12 inhibitor (clopidogrel: 90.3%) prescribed per local standard of care. </w:t>
      </w:r>
    </w:p>
    <w:p w14:paraId="216FC5ED" w14:textId="77777777" w:rsidR="00B4737D" w:rsidRPr="00B4737D" w:rsidRDefault="00B4737D" w:rsidP="009257ED">
      <w:pPr>
        <w:ind w:left="851"/>
        <w:rPr>
          <w:sz w:val="24"/>
          <w:szCs w:val="24"/>
          <w:lang w:val="en-GB"/>
        </w:rPr>
      </w:pPr>
    </w:p>
    <w:p w14:paraId="5808E678" w14:textId="77777777" w:rsidR="00B4737D" w:rsidRPr="00B4737D" w:rsidRDefault="00B4737D" w:rsidP="009257ED">
      <w:pPr>
        <w:ind w:left="851"/>
        <w:rPr>
          <w:sz w:val="24"/>
          <w:szCs w:val="24"/>
          <w:lang w:val="en-GB"/>
        </w:rPr>
      </w:pPr>
      <w:r w:rsidRPr="00B4737D">
        <w:rPr>
          <w:sz w:val="24"/>
          <w:szCs w:val="24"/>
          <w:lang w:val="en-GB"/>
        </w:rPr>
        <w:t xml:space="preserve">Patients were randomised up to 14 days after the ACS and/or PCI to either apixaban 5 mg twice daily (2.5 mg twice daily if two or more of the dose-reduction criteria were met; 4.2% received lower dose) or VKA and to either ASA (81 mg once daily) or placebo. The mean age was 69.9 years, 94% of patients randomised had a CHA2DS2-VASc score &gt; 2, and 47% had a HAS-BLED score &gt; 3. For patients randomised to VKA, the proportion of time in therapeutic range (TTR) (INR 2-3) was 56%, with 32% of time below TTR and 12% above TTR. </w:t>
      </w:r>
    </w:p>
    <w:p w14:paraId="687E6D79" w14:textId="77777777" w:rsidR="00B4737D" w:rsidRPr="00B4737D" w:rsidRDefault="00B4737D" w:rsidP="009257ED">
      <w:pPr>
        <w:ind w:left="851"/>
        <w:rPr>
          <w:sz w:val="24"/>
          <w:szCs w:val="24"/>
          <w:lang w:val="en-GB"/>
        </w:rPr>
      </w:pPr>
    </w:p>
    <w:p w14:paraId="553A99AA" w14:textId="77777777" w:rsidR="00B4737D" w:rsidRPr="00B4737D" w:rsidRDefault="00B4737D" w:rsidP="009257ED">
      <w:pPr>
        <w:ind w:left="851"/>
        <w:rPr>
          <w:sz w:val="24"/>
          <w:szCs w:val="24"/>
          <w:lang w:val="en-GB"/>
        </w:rPr>
      </w:pPr>
      <w:r w:rsidRPr="00B4737D">
        <w:rPr>
          <w:sz w:val="24"/>
          <w:szCs w:val="24"/>
          <w:lang w:val="en-GB"/>
        </w:rPr>
        <w:t xml:space="preserve">The primary objective of AUGUSTUS was to assess safety, with a primary endpoint of ISTH major or CRNM bleeding. In the apixaban versus VKA comparison, the primary safety endpoint of ISTH major or CRNM bleeding at month 6 occurred in 241 (10.5%), and 332 (14.7%) patients in the apixaban arm and in the VKA arm respectively (HR = 0.69, 95% CI: 0.58, 0.82; 2-sided p &lt; 0.0001 for </w:t>
      </w:r>
      <w:proofErr w:type="spellStart"/>
      <w:r w:rsidRPr="00B4737D">
        <w:rPr>
          <w:sz w:val="24"/>
          <w:szCs w:val="24"/>
          <w:lang w:val="en-GB"/>
        </w:rPr>
        <w:t>non inferiority</w:t>
      </w:r>
      <w:proofErr w:type="spellEnd"/>
      <w:r w:rsidRPr="00B4737D">
        <w:rPr>
          <w:sz w:val="24"/>
          <w:szCs w:val="24"/>
          <w:lang w:val="en-GB"/>
        </w:rPr>
        <w:t xml:space="preserve"> and p &lt; 0.0001 for superiority). For VKA, additional analyses using subgroups by TTR showed that the highest rate of bleeding was associated with the lowest quartile of TTR. The rate of bleeding was similar between apixaban and the highest quartile of TTR. </w:t>
      </w:r>
    </w:p>
    <w:p w14:paraId="4425FF60" w14:textId="77777777" w:rsidR="00B4737D" w:rsidRPr="00B4737D" w:rsidRDefault="00B4737D" w:rsidP="009257ED">
      <w:pPr>
        <w:ind w:left="851"/>
        <w:rPr>
          <w:sz w:val="24"/>
          <w:szCs w:val="24"/>
          <w:lang w:val="en-GB"/>
        </w:rPr>
      </w:pPr>
      <w:r w:rsidRPr="00B4737D">
        <w:rPr>
          <w:sz w:val="24"/>
          <w:szCs w:val="24"/>
          <w:lang w:val="en-GB"/>
        </w:rPr>
        <w:t xml:space="preserve">In the ASA versus placebo comparison, the primary safety endpoint of ISTH major or CRNM bleeding at month 6 occurred in 367 (16.1%), and 204 (9.0%) patients in the ASA arm and in the placebo arm respectively (HR = 1.88, 95% CI: 1.58, 2.23; two-sided p &lt; 0.0001). </w:t>
      </w:r>
    </w:p>
    <w:p w14:paraId="00C2DFF1" w14:textId="77777777" w:rsidR="00B4737D" w:rsidRPr="00B4737D" w:rsidRDefault="00B4737D" w:rsidP="009257ED">
      <w:pPr>
        <w:ind w:left="851"/>
        <w:rPr>
          <w:sz w:val="24"/>
          <w:szCs w:val="24"/>
          <w:lang w:val="en-GB"/>
        </w:rPr>
      </w:pPr>
    </w:p>
    <w:p w14:paraId="4F15E0C4" w14:textId="77777777" w:rsidR="00B4737D" w:rsidRPr="00B4737D" w:rsidRDefault="00B4737D" w:rsidP="009257ED">
      <w:pPr>
        <w:ind w:left="851"/>
        <w:rPr>
          <w:sz w:val="24"/>
          <w:szCs w:val="24"/>
          <w:lang w:val="en-GB"/>
        </w:rPr>
      </w:pPr>
      <w:r w:rsidRPr="00B4737D">
        <w:rPr>
          <w:sz w:val="24"/>
          <w:szCs w:val="24"/>
          <w:lang w:val="en-GB"/>
        </w:rPr>
        <w:t xml:space="preserve">Specifically, in apixaban-treated patients, major or CRNM bleeding occurred in 157 (13.7%), and 84 (7.4%) patients in the ASA arm and in the placebo arm respectively. In VKA-treated patients, major or CRNM bleeding occurred in 208 (18.5%), and 122 (10.8%) patients in the ASA arm and in the placebo arm respectively. </w:t>
      </w:r>
    </w:p>
    <w:p w14:paraId="155C8C3C" w14:textId="77777777" w:rsidR="00B4737D" w:rsidRPr="00B4737D" w:rsidRDefault="00B4737D" w:rsidP="009257ED">
      <w:pPr>
        <w:ind w:left="851"/>
        <w:rPr>
          <w:sz w:val="24"/>
          <w:szCs w:val="24"/>
          <w:lang w:val="en-GB"/>
        </w:rPr>
      </w:pPr>
    </w:p>
    <w:p w14:paraId="1A7C8E40" w14:textId="77777777" w:rsidR="00B4737D" w:rsidRPr="00B4737D" w:rsidRDefault="00B4737D" w:rsidP="009257ED">
      <w:pPr>
        <w:ind w:left="851"/>
        <w:rPr>
          <w:sz w:val="24"/>
          <w:szCs w:val="24"/>
          <w:lang w:val="en-GB"/>
        </w:rPr>
      </w:pPr>
      <w:r w:rsidRPr="00B4737D">
        <w:rPr>
          <w:sz w:val="24"/>
          <w:szCs w:val="24"/>
          <w:lang w:val="en-GB"/>
        </w:rPr>
        <w:t xml:space="preserve">Other treatment effects were evaluated as a secondary objective of the study, with composite endpoints. </w:t>
      </w:r>
    </w:p>
    <w:p w14:paraId="3769E66C" w14:textId="77777777" w:rsidR="00B4737D" w:rsidRPr="00B4737D" w:rsidRDefault="00B4737D" w:rsidP="009257ED">
      <w:pPr>
        <w:ind w:left="851"/>
        <w:rPr>
          <w:sz w:val="24"/>
          <w:szCs w:val="24"/>
          <w:lang w:val="en-GB"/>
        </w:rPr>
      </w:pPr>
    </w:p>
    <w:p w14:paraId="74B98769" w14:textId="77777777" w:rsidR="00B4737D" w:rsidRPr="00B4737D" w:rsidRDefault="00B4737D" w:rsidP="009257ED">
      <w:pPr>
        <w:ind w:left="851"/>
        <w:rPr>
          <w:sz w:val="24"/>
          <w:szCs w:val="24"/>
          <w:lang w:val="en-GB"/>
        </w:rPr>
      </w:pPr>
      <w:r w:rsidRPr="00B4737D">
        <w:rPr>
          <w:sz w:val="24"/>
          <w:szCs w:val="24"/>
          <w:lang w:val="en-GB"/>
        </w:rPr>
        <w:t xml:space="preserve">In the apixaban versus VKA comparison, the composite endpoint of death or re-hospitalisation occurred in 541 (23.5%) and 632 (27.4%) patients in the apixaban and in the VKA arm, respectively. The composite endpoint of death or ischemic event (stroke, myocardial infarction, stent thrombosis or urgent revascularisation) occurred in 170 (7.4%), and 182 (7.9%) patients in the apixaban and in the VKA arm, respectively. </w:t>
      </w:r>
    </w:p>
    <w:p w14:paraId="0C8CC09B" w14:textId="77777777" w:rsidR="00B4737D" w:rsidRPr="00B4737D" w:rsidRDefault="00B4737D" w:rsidP="009257ED">
      <w:pPr>
        <w:ind w:left="851"/>
        <w:rPr>
          <w:sz w:val="24"/>
          <w:szCs w:val="24"/>
          <w:lang w:val="en-GB"/>
        </w:rPr>
      </w:pPr>
    </w:p>
    <w:p w14:paraId="0EC5BEB9" w14:textId="77777777" w:rsidR="00B4737D" w:rsidRPr="00B4737D" w:rsidRDefault="00B4737D" w:rsidP="009257ED">
      <w:pPr>
        <w:ind w:left="851"/>
        <w:rPr>
          <w:sz w:val="24"/>
          <w:szCs w:val="24"/>
          <w:lang w:val="en-GB"/>
        </w:rPr>
      </w:pPr>
      <w:r w:rsidRPr="00B4737D">
        <w:rPr>
          <w:sz w:val="24"/>
          <w:szCs w:val="24"/>
          <w:lang w:val="en-GB"/>
        </w:rPr>
        <w:t xml:space="preserve">In the ASA versus placebo comparison, the composite endpoint of death or re-hospitalisation occurred in 604 (26.2%) and 569 (24.7%) patients in the ASA and in the placebo arm, respectively. The composite endpoint of death or ischemic event (stroke, </w:t>
      </w:r>
      <w:r w:rsidRPr="00B4737D">
        <w:rPr>
          <w:sz w:val="24"/>
          <w:szCs w:val="24"/>
          <w:lang w:val="en-GB"/>
        </w:rPr>
        <w:lastRenderedPageBreak/>
        <w:t>myocardial infarction, stent thrombosis or urgent revascularisation) occurred in 163 (7.1%), and 189 (8.2%) patients in the ASA and in the placebo arm, respectively.</w:t>
      </w:r>
    </w:p>
    <w:p w14:paraId="53326C76" w14:textId="77777777" w:rsidR="00B4737D" w:rsidRPr="00B4737D" w:rsidRDefault="00B4737D" w:rsidP="009257ED">
      <w:pPr>
        <w:ind w:left="851"/>
        <w:rPr>
          <w:sz w:val="24"/>
          <w:szCs w:val="24"/>
          <w:u w:val="single"/>
          <w:lang w:val="en-GB"/>
        </w:rPr>
      </w:pPr>
    </w:p>
    <w:p w14:paraId="5077DFFB" w14:textId="77777777" w:rsidR="00B4737D" w:rsidRPr="00B4737D" w:rsidRDefault="00B4737D" w:rsidP="009257ED">
      <w:pPr>
        <w:ind w:left="851"/>
        <w:rPr>
          <w:sz w:val="24"/>
          <w:szCs w:val="24"/>
          <w:u w:val="single"/>
          <w:lang w:val="en-GB"/>
        </w:rPr>
      </w:pPr>
      <w:r w:rsidRPr="00B4737D">
        <w:rPr>
          <w:i/>
          <w:iCs/>
          <w:sz w:val="24"/>
          <w:szCs w:val="24"/>
          <w:u w:val="single"/>
          <w:lang w:val="en-GB"/>
        </w:rPr>
        <w:t xml:space="preserve">Patients undergoing cardioversion </w:t>
      </w:r>
    </w:p>
    <w:p w14:paraId="21D8765A" w14:textId="77777777" w:rsidR="00B4737D" w:rsidRPr="00B4737D" w:rsidRDefault="00B4737D" w:rsidP="009257ED">
      <w:pPr>
        <w:ind w:left="851"/>
        <w:rPr>
          <w:sz w:val="24"/>
          <w:szCs w:val="24"/>
          <w:lang w:val="en-GB"/>
        </w:rPr>
      </w:pPr>
      <w:r w:rsidRPr="00B4737D">
        <w:rPr>
          <w:sz w:val="24"/>
          <w:szCs w:val="24"/>
          <w:lang w:val="en-GB"/>
        </w:rPr>
        <w:t>EMANATE, an open-label, multi-</w:t>
      </w:r>
      <w:proofErr w:type="spellStart"/>
      <w:r w:rsidRPr="00B4737D">
        <w:rPr>
          <w:sz w:val="24"/>
          <w:szCs w:val="24"/>
          <w:lang w:val="en-GB"/>
        </w:rPr>
        <w:t>center</w:t>
      </w:r>
      <w:proofErr w:type="spellEnd"/>
      <w:r w:rsidRPr="00B4737D">
        <w:rPr>
          <w:sz w:val="24"/>
          <w:szCs w:val="24"/>
          <w:lang w:val="en-GB"/>
        </w:rPr>
        <w:t xml:space="preserve"> study, enrolled 1500 adult patients who were either oral anticoagulant naïve or pre-treated less than 48 </w:t>
      </w:r>
      <w:proofErr w:type="gramStart"/>
      <w:r w:rsidRPr="00B4737D">
        <w:rPr>
          <w:sz w:val="24"/>
          <w:szCs w:val="24"/>
          <w:lang w:val="en-GB"/>
        </w:rPr>
        <w:t>hours, and</w:t>
      </w:r>
      <w:proofErr w:type="gramEnd"/>
      <w:r w:rsidRPr="00B4737D">
        <w:rPr>
          <w:sz w:val="24"/>
          <w:szCs w:val="24"/>
          <w:lang w:val="en-GB"/>
        </w:rPr>
        <w:t xml:space="preserve"> scheduled for cardioversion for NVAF. Patients were randomised 1:1 to apixaban or to heparin and/or VKA for the prevention of cardiovascular events. Electrical and/or pharmacologic cardioversion was conducted after at least 5 doses of 5 mg twice daily apixaban (or 2.5 mg twice daily in selected patients (see section 4.2)) or at least 2 hours after a 10 mg loading dose (or a 5 mg loading dose in selected patients (see section 4.2)) if earlier cardioversion was required. In the apixaban group, 342 patients received a loading dose (331 patients received the 10 mg dose and 11 patients received the 5 mg dose). </w:t>
      </w:r>
    </w:p>
    <w:p w14:paraId="08413031" w14:textId="77777777" w:rsidR="00B4737D" w:rsidRPr="00B4737D" w:rsidRDefault="00B4737D" w:rsidP="009257ED">
      <w:pPr>
        <w:ind w:left="851"/>
        <w:rPr>
          <w:sz w:val="24"/>
          <w:szCs w:val="24"/>
          <w:lang w:val="en-GB"/>
        </w:rPr>
      </w:pPr>
    </w:p>
    <w:p w14:paraId="47E284F1" w14:textId="77777777" w:rsidR="00B4737D" w:rsidRPr="00B4737D" w:rsidRDefault="00B4737D" w:rsidP="009257ED">
      <w:pPr>
        <w:ind w:left="851"/>
        <w:rPr>
          <w:sz w:val="24"/>
          <w:szCs w:val="24"/>
          <w:lang w:val="en-GB"/>
        </w:rPr>
      </w:pPr>
      <w:r w:rsidRPr="00B4737D">
        <w:rPr>
          <w:sz w:val="24"/>
          <w:szCs w:val="24"/>
          <w:lang w:val="en-GB"/>
        </w:rPr>
        <w:t xml:space="preserve">There were no strokes (0%) in the apixaban group (n = 753) and 6 (0.80%) strokes in the heparin and/or VKA group (n = 747; RR 0.00, 95% CI 0.00, 0.64). All-cause death occurred in 2 patients (0.27%) in the apixaban group and 1 patient (0.13%) in the heparin and/or VKA group. No systemic embolism events were reported. </w:t>
      </w:r>
    </w:p>
    <w:p w14:paraId="5812F3C8" w14:textId="77777777" w:rsidR="00B4737D" w:rsidRPr="00B4737D" w:rsidRDefault="00B4737D" w:rsidP="009257ED">
      <w:pPr>
        <w:ind w:left="851"/>
        <w:rPr>
          <w:sz w:val="24"/>
          <w:szCs w:val="24"/>
          <w:lang w:val="en-GB"/>
        </w:rPr>
      </w:pPr>
    </w:p>
    <w:p w14:paraId="6A1F1E83" w14:textId="77777777" w:rsidR="00B4737D" w:rsidRPr="00B4737D" w:rsidRDefault="00B4737D" w:rsidP="009257ED">
      <w:pPr>
        <w:ind w:left="851"/>
        <w:rPr>
          <w:sz w:val="24"/>
          <w:szCs w:val="24"/>
          <w:lang w:val="en-GB"/>
        </w:rPr>
      </w:pPr>
      <w:r w:rsidRPr="00B4737D">
        <w:rPr>
          <w:sz w:val="24"/>
          <w:szCs w:val="24"/>
          <w:lang w:val="en-GB"/>
        </w:rPr>
        <w:t xml:space="preserve">Major bleeding and CRNM bleeding events occurred in 3 (0.41%) and 11 (1.50%) patients, respectively, in the apixaban group, compared to 6 (0.83%) and 13 (1.80%) patients in the heparin and/or VKA group. </w:t>
      </w:r>
    </w:p>
    <w:p w14:paraId="46E28625" w14:textId="77777777" w:rsidR="00B4737D" w:rsidRPr="00B4737D" w:rsidRDefault="00B4737D" w:rsidP="009257ED">
      <w:pPr>
        <w:ind w:left="851"/>
        <w:rPr>
          <w:sz w:val="24"/>
          <w:szCs w:val="24"/>
          <w:lang w:val="en-GB"/>
        </w:rPr>
      </w:pPr>
    </w:p>
    <w:p w14:paraId="7B410B43" w14:textId="77777777" w:rsidR="00B4737D" w:rsidRPr="00B4737D" w:rsidRDefault="00B4737D" w:rsidP="009257ED">
      <w:pPr>
        <w:ind w:left="851"/>
        <w:rPr>
          <w:sz w:val="24"/>
          <w:szCs w:val="24"/>
          <w:lang w:val="en-GB"/>
        </w:rPr>
      </w:pPr>
      <w:r w:rsidRPr="00B4737D">
        <w:rPr>
          <w:sz w:val="24"/>
          <w:szCs w:val="24"/>
          <w:lang w:val="en-GB"/>
        </w:rPr>
        <w:t xml:space="preserve">This exploratory study showed comparable efficacy and safety between apixaban and heparin and/or VKA treatment groups in the setting of cardioversion. </w:t>
      </w:r>
    </w:p>
    <w:p w14:paraId="0959F0AB" w14:textId="77777777" w:rsidR="00B4737D" w:rsidRPr="00B4737D" w:rsidRDefault="00B4737D" w:rsidP="009257ED">
      <w:pPr>
        <w:ind w:left="851"/>
        <w:rPr>
          <w:sz w:val="24"/>
          <w:szCs w:val="24"/>
          <w:lang w:val="en-GB"/>
        </w:rPr>
      </w:pPr>
    </w:p>
    <w:p w14:paraId="5A72962E" w14:textId="77777777" w:rsidR="00B4737D" w:rsidRPr="00B4737D" w:rsidRDefault="00B4737D" w:rsidP="009257ED">
      <w:pPr>
        <w:ind w:left="851"/>
        <w:rPr>
          <w:sz w:val="24"/>
          <w:szCs w:val="24"/>
          <w:lang w:val="en-GB"/>
        </w:rPr>
      </w:pPr>
      <w:r w:rsidRPr="00B4737D">
        <w:rPr>
          <w:i/>
          <w:iCs/>
          <w:sz w:val="24"/>
          <w:szCs w:val="24"/>
          <w:u w:val="single"/>
          <w:lang w:val="en-GB"/>
        </w:rPr>
        <w:t>Treatment of DVT, treatment of PE and prevention of recurrent DVT and PE (</w:t>
      </w:r>
      <w:proofErr w:type="spellStart"/>
      <w:r w:rsidRPr="00B4737D">
        <w:rPr>
          <w:i/>
          <w:iCs/>
          <w:sz w:val="24"/>
          <w:szCs w:val="24"/>
          <w:u w:val="single"/>
          <w:lang w:val="en-GB"/>
        </w:rPr>
        <w:t>VTEt</w:t>
      </w:r>
      <w:proofErr w:type="spellEnd"/>
      <w:r w:rsidRPr="00B4737D">
        <w:rPr>
          <w:i/>
          <w:iCs/>
          <w:sz w:val="24"/>
          <w:szCs w:val="24"/>
          <w:u w:val="single"/>
          <w:lang w:val="en-GB"/>
        </w:rPr>
        <w:t xml:space="preserve">) </w:t>
      </w:r>
    </w:p>
    <w:p w14:paraId="78F8362E" w14:textId="77777777" w:rsidR="00B4737D" w:rsidRPr="00B4737D" w:rsidRDefault="00B4737D" w:rsidP="009257ED">
      <w:pPr>
        <w:ind w:left="851"/>
        <w:rPr>
          <w:sz w:val="24"/>
          <w:szCs w:val="24"/>
          <w:lang w:val="en-GB"/>
        </w:rPr>
      </w:pPr>
      <w:r w:rsidRPr="00B4737D">
        <w:rPr>
          <w:sz w:val="24"/>
          <w:szCs w:val="24"/>
          <w:lang w:val="en-GB"/>
        </w:rPr>
        <w:t xml:space="preserve">The adult clinical program (AMPLIFY: apixaban versus enoxaparin/warfarin, AMPLIFY-EXT: apixaban versus placebo) was designed to demonstrate the efficacy and safety of apixaban for the treatment of DVT and/or PE (AMPLIFY), and extended therapy for the prevention of recurrent DVT and/or PE following 6 to 12 months of anticoagulant treatment for DVT and/or PE (AMPLIFY-EXT). Both studies were randomised, parallel-group, double-blind, multinational trials in patients with symptomatic proximal DVT or symptomatic PE. All the key safety and efficacy endpoints were adjudicated by an independent blinded committee. </w:t>
      </w:r>
    </w:p>
    <w:p w14:paraId="654369E3" w14:textId="77777777" w:rsidR="00B4737D" w:rsidRPr="00B4737D" w:rsidRDefault="00B4737D" w:rsidP="009257ED">
      <w:pPr>
        <w:ind w:left="851"/>
        <w:rPr>
          <w:sz w:val="24"/>
          <w:szCs w:val="24"/>
          <w:lang w:val="en-GB"/>
        </w:rPr>
      </w:pPr>
    </w:p>
    <w:p w14:paraId="664207F3" w14:textId="77777777" w:rsidR="00B4737D" w:rsidRPr="00B4737D" w:rsidRDefault="00B4737D" w:rsidP="009257ED">
      <w:pPr>
        <w:ind w:left="851"/>
        <w:rPr>
          <w:sz w:val="24"/>
          <w:szCs w:val="24"/>
          <w:u w:val="single"/>
          <w:lang w:val="en-GB"/>
        </w:rPr>
      </w:pPr>
      <w:r w:rsidRPr="00B4737D">
        <w:rPr>
          <w:i/>
          <w:iCs/>
          <w:sz w:val="24"/>
          <w:szCs w:val="24"/>
          <w:u w:val="single"/>
          <w:lang w:val="en-GB"/>
        </w:rPr>
        <w:t xml:space="preserve">AMPLIFY study </w:t>
      </w:r>
    </w:p>
    <w:p w14:paraId="0E37D0FE" w14:textId="77777777" w:rsidR="00B4737D" w:rsidRPr="00B4737D" w:rsidRDefault="00B4737D" w:rsidP="009257ED">
      <w:pPr>
        <w:ind w:left="851"/>
        <w:rPr>
          <w:sz w:val="24"/>
          <w:szCs w:val="24"/>
          <w:lang w:val="en-GB"/>
        </w:rPr>
      </w:pPr>
      <w:r w:rsidRPr="00B4737D">
        <w:rPr>
          <w:sz w:val="24"/>
          <w:szCs w:val="24"/>
          <w:lang w:val="en-GB"/>
        </w:rPr>
        <w:t xml:space="preserve">In the AMPLIFY study a total of 5,395 adult patients were randomised to treatment with apixaban 10 mg twice daily orally for 7 days followed by apixaban 5 mg twice daily orally for 6 months, or enoxaparin 1 mg/kg twice daily subcutaneously for at least 5 days (until INR≥ 2) and warfarin (target INR range 2.0-3.0) orally for 6 months. </w:t>
      </w:r>
    </w:p>
    <w:p w14:paraId="0E596057" w14:textId="77777777" w:rsidR="00B4737D" w:rsidRPr="00B4737D" w:rsidRDefault="00B4737D" w:rsidP="009257ED">
      <w:pPr>
        <w:ind w:left="851"/>
        <w:rPr>
          <w:sz w:val="24"/>
          <w:szCs w:val="24"/>
          <w:lang w:val="en-GB"/>
        </w:rPr>
      </w:pPr>
    </w:p>
    <w:p w14:paraId="15D1A8B3" w14:textId="77777777" w:rsidR="00B4737D" w:rsidRPr="00B4737D" w:rsidRDefault="00B4737D" w:rsidP="009257ED">
      <w:pPr>
        <w:ind w:left="851"/>
        <w:rPr>
          <w:sz w:val="24"/>
          <w:szCs w:val="24"/>
          <w:lang w:val="en-GB"/>
        </w:rPr>
      </w:pPr>
      <w:r w:rsidRPr="00B4737D">
        <w:rPr>
          <w:sz w:val="24"/>
          <w:szCs w:val="24"/>
          <w:lang w:val="en-GB"/>
        </w:rPr>
        <w:t>The mean age was 56.9 years and 89.8% of randomised patients had unprovoked VTE events.</w:t>
      </w:r>
    </w:p>
    <w:p w14:paraId="27418C42" w14:textId="77777777" w:rsidR="00B4737D" w:rsidRPr="00B4737D" w:rsidRDefault="00B4737D" w:rsidP="009257ED">
      <w:pPr>
        <w:ind w:left="851"/>
        <w:rPr>
          <w:sz w:val="24"/>
          <w:szCs w:val="24"/>
          <w:lang w:val="en-GB"/>
        </w:rPr>
      </w:pPr>
      <w:r w:rsidRPr="00B4737D">
        <w:rPr>
          <w:sz w:val="24"/>
          <w:szCs w:val="24"/>
          <w:lang w:val="en-GB"/>
        </w:rPr>
        <w:t xml:space="preserve">For patients randomised to warfarin, the mean percentage of time in therapeutic range (INR 2.0-3.0) was 60.9. Apixaban showed a reduction in recurrent symptomatic VTE or VTE-related death across the different levels of </w:t>
      </w:r>
      <w:proofErr w:type="spellStart"/>
      <w:r w:rsidRPr="00B4737D">
        <w:rPr>
          <w:sz w:val="24"/>
          <w:szCs w:val="24"/>
          <w:lang w:val="en-GB"/>
        </w:rPr>
        <w:t>center</w:t>
      </w:r>
      <w:proofErr w:type="spellEnd"/>
      <w:r w:rsidRPr="00B4737D">
        <w:rPr>
          <w:sz w:val="24"/>
          <w:szCs w:val="24"/>
          <w:lang w:val="en-GB"/>
        </w:rPr>
        <w:t xml:space="preserve"> TTR; within the highest quartile of TTR according to </w:t>
      </w:r>
      <w:proofErr w:type="spellStart"/>
      <w:r w:rsidRPr="00B4737D">
        <w:rPr>
          <w:sz w:val="24"/>
          <w:szCs w:val="24"/>
          <w:lang w:val="en-GB"/>
        </w:rPr>
        <w:t>center</w:t>
      </w:r>
      <w:proofErr w:type="spellEnd"/>
      <w:r w:rsidRPr="00B4737D">
        <w:rPr>
          <w:sz w:val="24"/>
          <w:szCs w:val="24"/>
          <w:lang w:val="en-GB"/>
        </w:rPr>
        <w:t xml:space="preserve">, the relative risk for apixaban vs enoxaparin/warfarin was 0.79 (95% CI, 0.39, 1.61). </w:t>
      </w:r>
    </w:p>
    <w:p w14:paraId="18AE806B" w14:textId="77777777" w:rsidR="00B4737D" w:rsidRPr="00B4737D" w:rsidRDefault="00B4737D" w:rsidP="009257ED">
      <w:pPr>
        <w:ind w:left="851"/>
        <w:rPr>
          <w:sz w:val="24"/>
          <w:szCs w:val="24"/>
          <w:lang w:val="en-GB"/>
        </w:rPr>
      </w:pPr>
    </w:p>
    <w:p w14:paraId="79814470" w14:textId="77777777" w:rsidR="00B4737D" w:rsidRPr="00B4737D" w:rsidRDefault="00B4737D" w:rsidP="009257ED">
      <w:pPr>
        <w:ind w:left="851"/>
        <w:rPr>
          <w:sz w:val="24"/>
          <w:szCs w:val="24"/>
          <w:u w:val="single"/>
          <w:lang w:val="en-GB"/>
        </w:rPr>
      </w:pPr>
      <w:r w:rsidRPr="00B4737D">
        <w:rPr>
          <w:sz w:val="24"/>
          <w:szCs w:val="24"/>
          <w:lang w:val="en-GB"/>
        </w:rPr>
        <w:lastRenderedPageBreak/>
        <w:t>In the study, apixaban was shown to be non-inferior to enoxaparin/warfarin in the combined primary endpoint of adjudicated recurrent symptomatic VTE (nonfatal DVT or nonfatal PE) or VTE-related death (see Table 9).</w:t>
      </w:r>
    </w:p>
    <w:p w14:paraId="6F2B6609" w14:textId="77777777" w:rsidR="00B4737D" w:rsidRPr="00B4737D" w:rsidRDefault="00B4737D" w:rsidP="00B4737D">
      <w:pPr>
        <w:tabs>
          <w:tab w:val="left" w:pos="851"/>
        </w:tabs>
        <w:ind w:left="851"/>
        <w:rPr>
          <w:sz w:val="24"/>
          <w:szCs w:val="24"/>
          <w:u w:val="single"/>
          <w:lang w:val="en-GB"/>
        </w:rPr>
      </w:pPr>
    </w:p>
    <w:p w14:paraId="6EF65017" w14:textId="77777777" w:rsidR="00B4737D" w:rsidRPr="00B4737D" w:rsidRDefault="00B4737D" w:rsidP="00B4737D">
      <w:pPr>
        <w:tabs>
          <w:tab w:val="left" w:pos="851"/>
        </w:tabs>
        <w:ind w:left="851"/>
        <w:rPr>
          <w:b/>
          <w:bCs/>
          <w:sz w:val="24"/>
          <w:szCs w:val="24"/>
          <w:lang w:val="en-GB"/>
        </w:rPr>
      </w:pPr>
      <w:r w:rsidRPr="00B4737D">
        <w:rPr>
          <w:b/>
          <w:bCs/>
          <w:sz w:val="24"/>
          <w:szCs w:val="24"/>
          <w:lang w:val="en-GB"/>
        </w:rPr>
        <w:t>Table 9: Efficacy results in the AMPLIFY study</w:t>
      </w:r>
    </w:p>
    <w:tbl>
      <w:tblPr>
        <w:tblStyle w:val="Tabel-Gitter"/>
        <w:tblW w:w="5000" w:type="pct"/>
        <w:tblLook w:val="04A0" w:firstRow="1" w:lastRow="0" w:firstColumn="1" w:lastColumn="0" w:noHBand="0" w:noVBand="1"/>
      </w:tblPr>
      <w:tblGrid>
        <w:gridCol w:w="2858"/>
        <w:gridCol w:w="1956"/>
        <w:gridCol w:w="2561"/>
        <w:gridCol w:w="2253"/>
      </w:tblGrid>
      <w:tr w:rsidR="00B4737D" w:rsidRPr="00B4737D" w14:paraId="73777BBE" w14:textId="77777777" w:rsidTr="009257ED">
        <w:tc>
          <w:tcPr>
            <w:tcW w:w="1484" w:type="pct"/>
            <w:tcBorders>
              <w:top w:val="single" w:sz="4" w:space="0" w:color="auto"/>
              <w:left w:val="single" w:sz="4" w:space="0" w:color="auto"/>
              <w:bottom w:val="single" w:sz="4" w:space="0" w:color="auto"/>
              <w:right w:val="single" w:sz="4" w:space="0" w:color="auto"/>
            </w:tcBorders>
          </w:tcPr>
          <w:p w14:paraId="7A6B870D" w14:textId="77777777" w:rsidR="00B4737D" w:rsidRPr="00B4737D" w:rsidRDefault="00B4737D" w:rsidP="009257ED">
            <w:pPr>
              <w:ind w:left="32"/>
              <w:rPr>
                <w:sz w:val="24"/>
                <w:szCs w:val="24"/>
                <w:u w:val="single"/>
                <w:lang w:val="en-GB"/>
              </w:rPr>
            </w:pPr>
          </w:p>
        </w:tc>
        <w:tc>
          <w:tcPr>
            <w:tcW w:w="1016" w:type="pct"/>
            <w:tcBorders>
              <w:top w:val="single" w:sz="4" w:space="0" w:color="auto"/>
              <w:left w:val="single" w:sz="4" w:space="0" w:color="auto"/>
              <w:bottom w:val="single" w:sz="4" w:space="0" w:color="auto"/>
              <w:right w:val="single" w:sz="4" w:space="0" w:color="auto"/>
            </w:tcBorders>
            <w:hideMark/>
          </w:tcPr>
          <w:p w14:paraId="0A28F1F1" w14:textId="77777777" w:rsidR="00B4737D" w:rsidRPr="00B4737D" w:rsidRDefault="00B4737D" w:rsidP="009257ED">
            <w:pPr>
              <w:ind w:left="32"/>
              <w:rPr>
                <w:sz w:val="24"/>
                <w:szCs w:val="24"/>
                <w:lang w:val="en-US"/>
              </w:rPr>
            </w:pPr>
            <w:r w:rsidRPr="00B4737D">
              <w:rPr>
                <w:b/>
                <w:bCs/>
                <w:sz w:val="24"/>
                <w:szCs w:val="24"/>
                <w:lang w:val="en-US"/>
              </w:rPr>
              <w:t>Apixaban</w:t>
            </w:r>
          </w:p>
          <w:p w14:paraId="5FD65389" w14:textId="77777777" w:rsidR="00B4737D" w:rsidRPr="00B4737D" w:rsidRDefault="00B4737D" w:rsidP="009257ED">
            <w:pPr>
              <w:ind w:left="32"/>
              <w:rPr>
                <w:sz w:val="24"/>
                <w:szCs w:val="24"/>
                <w:lang w:val="en-US"/>
              </w:rPr>
            </w:pPr>
            <w:r w:rsidRPr="00B4737D">
              <w:rPr>
                <w:b/>
                <w:bCs/>
                <w:sz w:val="24"/>
                <w:szCs w:val="24"/>
                <w:lang w:val="en-US"/>
              </w:rPr>
              <w:t>N = 2,609</w:t>
            </w:r>
          </w:p>
          <w:p w14:paraId="3C4F9652" w14:textId="77777777" w:rsidR="00B4737D" w:rsidRPr="00B4737D" w:rsidRDefault="00B4737D" w:rsidP="009257ED">
            <w:pPr>
              <w:ind w:left="32"/>
              <w:rPr>
                <w:sz w:val="24"/>
                <w:szCs w:val="24"/>
                <w:u w:val="single"/>
                <w:lang w:val="en-GB"/>
              </w:rPr>
            </w:pPr>
            <w:r w:rsidRPr="00B4737D">
              <w:rPr>
                <w:b/>
                <w:bCs/>
                <w:sz w:val="24"/>
                <w:szCs w:val="24"/>
                <w:lang w:val="en-GB"/>
              </w:rPr>
              <w:t>n (%)</w:t>
            </w:r>
          </w:p>
        </w:tc>
        <w:tc>
          <w:tcPr>
            <w:tcW w:w="1330" w:type="pct"/>
            <w:tcBorders>
              <w:top w:val="single" w:sz="4" w:space="0" w:color="auto"/>
              <w:left w:val="single" w:sz="4" w:space="0" w:color="auto"/>
              <w:bottom w:val="single" w:sz="4" w:space="0" w:color="auto"/>
              <w:right w:val="single" w:sz="4" w:space="0" w:color="auto"/>
            </w:tcBorders>
            <w:hideMark/>
          </w:tcPr>
          <w:p w14:paraId="5446A2AD" w14:textId="77777777" w:rsidR="00B4737D" w:rsidRPr="00B4737D" w:rsidRDefault="00B4737D" w:rsidP="009257ED">
            <w:pPr>
              <w:ind w:left="32"/>
              <w:rPr>
                <w:sz w:val="24"/>
                <w:szCs w:val="24"/>
                <w:lang w:val="en-US"/>
              </w:rPr>
            </w:pPr>
            <w:r w:rsidRPr="00B4737D">
              <w:rPr>
                <w:b/>
                <w:bCs/>
                <w:sz w:val="24"/>
                <w:szCs w:val="24"/>
                <w:lang w:val="en-US"/>
              </w:rPr>
              <w:t>Enoxaparin/Warfarin</w:t>
            </w:r>
          </w:p>
          <w:p w14:paraId="34DBAD5A" w14:textId="77777777" w:rsidR="00B4737D" w:rsidRPr="00B4737D" w:rsidRDefault="00B4737D" w:rsidP="009257ED">
            <w:pPr>
              <w:ind w:left="32"/>
              <w:rPr>
                <w:sz w:val="24"/>
                <w:szCs w:val="24"/>
                <w:lang w:val="en-US"/>
              </w:rPr>
            </w:pPr>
            <w:r w:rsidRPr="00B4737D">
              <w:rPr>
                <w:b/>
                <w:bCs/>
                <w:sz w:val="24"/>
                <w:szCs w:val="24"/>
                <w:lang w:val="en-US"/>
              </w:rPr>
              <w:t>N = 2,635</w:t>
            </w:r>
          </w:p>
          <w:p w14:paraId="6A961BC0" w14:textId="77777777" w:rsidR="00B4737D" w:rsidRPr="00B4737D" w:rsidRDefault="00B4737D" w:rsidP="009257ED">
            <w:pPr>
              <w:ind w:left="32"/>
              <w:rPr>
                <w:sz w:val="24"/>
                <w:szCs w:val="24"/>
                <w:u w:val="single"/>
                <w:lang w:val="en-GB"/>
              </w:rPr>
            </w:pPr>
            <w:r w:rsidRPr="00B4737D">
              <w:rPr>
                <w:b/>
                <w:bCs/>
                <w:sz w:val="24"/>
                <w:szCs w:val="24"/>
                <w:lang w:val="en-GB"/>
              </w:rPr>
              <w:t>n (%)</w:t>
            </w:r>
          </w:p>
        </w:tc>
        <w:tc>
          <w:tcPr>
            <w:tcW w:w="1170" w:type="pct"/>
            <w:tcBorders>
              <w:top w:val="single" w:sz="4" w:space="0" w:color="auto"/>
              <w:left w:val="single" w:sz="4" w:space="0" w:color="auto"/>
              <w:bottom w:val="single" w:sz="4" w:space="0" w:color="auto"/>
              <w:right w:val="single" w:sz="4" w:space="0" w:color="auto"/>
            </w:tcBorders>
            <w:hideMark/>
          </w:tcPr>
          <w:p w14:paraId="1BB38E96" w14:textId="77777777" w:rsidR="00B4737D" w:rsidRPr="00B4737D" w:rsidRDefault="00B4737D" w:rsidP="009257ED">
            <w:pPr>
              <w:ind w:left="32"/>
              <w:rPr>
                <w:sz w:val="24"/>
                <w:szCs w:val="24"/>
                <w:lang w:val="en-US"/>
              </w:rPr>
            </w:pPr>
            <w:r w:rsidRPr="00B4737D">
              <w:rPr>
                <w:b/>
                <w:bCs/>
                <w:sz w:val="24"/>
                <w:szCs w:val="24"/>
                <w:lang w:val="en-US"/>
              </w:rPr>
              <w:t>Relative risk</w:t>
            </w:r>
          </w:p>
          <w:p w14:paraId="5271D14E" w14:textId="77777777" w:rsidR="00B4737D" w:rsidRPr="00B4737D" w:rsidRDefault="00B4737D" w:rsidP="009257ED">
            <w:pPr>
              <w:ind w:left="32"/>
              <w:rPr>
                <w:sz w:val="24"/>
                <w:szCs w:val="24"/>
                <w:u w:val="single"/>
                <w:lang w:val="en-GB"/>
              </w:rPr>
            </w:pPr>
            <w:r w:rsidRPr="00B4737D">
              <w:rPr>
                <w:b/>
                <w:bCs/>
                <w:sz w:val="24"/>
                <w:szCs w:val="24"/>
                <w:lang w:val="en-GB"/>
              </w:rPr>
              <w:t>(95% CI)</w:t>
            </w:r>
          </w:p>
        </w:tc>
      </w:tr>
      <w:tr w:rsidR="00B4737D" w:rsidRPr="00B4737D" w14:paraId="2FBA9729"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49D32321" w14:textId="77777777" w:rsidR="00B4737D" w:rsidRPr="00B4737D" w:rsidRDefault="00B4737D" w:rsidP="009257ED">
            <w:pPr>
              <w:ind w:left="32"/>
              <w:rPr>
                <w:sz w:val="24"/>
                <w:szCs w:val="24"/>
                <w:u w:val="single"/>
                <w:lang w:val="en-GB"/>
              </w:rPr>
            </w:pPr>
            <w:r w:rsidRPr="00B4737D">
              <w:rPr>
                <w:sz w:val="24"/>
                <w:szCs w:val="24"/>
                <w:lang w:val="en-GB"/>
              </w:rPr>
              <w:t xml:space="preserve">VTE or VTE-related death </w:t>
            </w:r>
          </w:p>
        </w:tc>
        <w:tc>
          <w:tcPr>
            <w:tcW w:w="1016" w:type="pct"/>
            <w:tcBorders>
              <w:top w:val="single" w:sz="4" w:space="0" w:color="auto"/>
              <w:left w:val="single" w:sz="4" w:space="0" w:color="auto"/>
              <w:bottom w:val="single" w:sz="4" w:space="0" w:color="auto"/>
              <w:right w:val="single" w:sz="4" w:space="0" w:color="auto"/>
            </w:tcBorders>
            <w:hideMark/>
          </w:tcPr>
          <w:p w14:paraId="43F7939C" w14:textId="77777777" w:rsidR="00B4737D" w:rsidRPr="00B4737D" w:rsidRDefault="00B4737D" w:rsidP="009257ED">
            <w:pPr>
              <w:ind w:left="32"/>
              <w:rPr>
                <w:sz w:val="24"/>
                <w:szCs w:val="24"/>
                <w:u w:val="single"/>
                <w:lang w:val="en-GB"/>
              </w:rPr>
            </w:pPr>
            <w:r w:rsidRPr="00B4737D">
              <w:rPr>
                <w:sz w:val="24"/>
                <w:szCs w:val="24"/>
                <w:lang w:val="en-GB"/>
              </w:rPr>
              <w:t>59 (2.3)</w:t>
            </w:r>
          </w:p>
        </w:tc>
        <w:tc>
          <w:tcPr>
            <w:tcW w:w="1330" w:type="pct"/>
            <w:tcBorders>
              <w:top w:val="single" w:sz="4" w:space="0" w:color="auto"/>
              <w:left w:val="single" w:sz="4" w:space="0" w:color="auto"/>
              <w:bottom w:val="single" w:sz="4" w:space="0" w:color="auto"/>
              <w:right w:val="single" w:sz="4" w:space="0" w:color="auto"/>
            </w:tcBorders>
            <w:hideMark/>
          </w:tcPr>
          <w:p w14:paraId="0BE6B3B9" w14:textId="77777777" w:rsidR="00B4737D" w:rsidRPr="00B4737D" w:rsidRDefault="00B4737D" w:rsidP="009257ED">
            <w:pPr>
              <w:ind w:left="32"/>
              <w:rPr>
                <w:sz w:val="24"/>
                <w:szCs w:val="24"/>
                <w:u w:val="single"/>
                <w:lang w:val="en-GB"/>
              </w:rPr>
            </w:pPr>
            <w:r w:rsidRPr="00B4737D">
              <w:rPr>
                <w:sz w:val="24"/>
                <w:szCs w:val="24"/>
                <w:lang w:val="en-GB"/>
              </w:rPr>
              <w:t>71 (2.7)</w:t>
            </w:r>
          </w:p>
        </w:tc>
        <w:tc>
          <w:tcPr>
            <w:tcW w:w="1170" w:type="pct"/>
            <w:tcBorders>
              <w:top w:val="single" w:sz="4" w:space="0" w:color="auto"/>
              <w:left w:val="single" w:sz="4" w:space="0" w:color="auto"/>
              <w:bottom w:val="single" w:sz="4" w:space="0" w:color="auto"/>
              <w:right w:val="single" w:sz="4" w:space="0" w:color="auto"/>
            </w:tcBorders>
            <w:hideMark/>
          </w:tcPr>
          <w:p w14:paraId="2C8970D6" w14:textId="77777777" w:rsidR="00B4737D" w:rsidRPr="00B4737D" w:rsidRDefault="00B4737D" w:rsidP="009257ED">
            <w:pPr>
              <w:ind w:left="32"/>
              <w:rPr>
                <w:sz w:val="24"/>
                <w:szCs w:val="24"/>
                <w:u w:val="single"/>
                <w:lang w:val="en-GB"/>
              </w:rPr>
            </w:pPr>
            <w:r w:rsidRPr="00B4737D">
              <w:rPr>
                <w:sz w:val="24"/>
                <w:szCs w:val="24"/>
                <w:lang w:val="en-GB"/>
              </w:rPr>
              <w:t xml:space="preserve">0.84 (0.60, </w:t>
            </w:r>
            <w:proofErr w:type="gramStart"/>
            <w:r w:rsidRPr="00B4737D">
              <w:rPr>
                <w:sz w:val="24"/>
                <w:szCs w:val="24"/>
                <w:lang w:val="en-GB"/>
              </w:rPr>
              <w:t>1.18)*</w:t>
            </w:r>
            <w:proofErr w:type="gramEnd"/>
          </w:p>
        </w:tc>
      </w:tr>
      <w:tr w:rsidR="00B4737D" w:rsidRPr="00B4737D" w14:paraId="7C13FE76"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2445DC6F" w14:textId="77777777" w:rsidR="00B4737D" w:rsidRPr="00B4737D" w:rsidRDefault="00B4737D" w:rsidP="009257ED">
            <w:pPr>
              <w:ind w:left="32"/>
              <w:rPr>
                <w:sz w:val="24"/>
                <w:szCs w:val="24"/>
                <w:u w:val="single"/>
                <w:lang w:val="en-GB"/>
              </w:rPr>
            </w:pPr>
            <w:r w:rsidRPr="00B4737D">
              <w:rPr>
                <w:sz w:val="24"/>
                <w:szCs w:val="24"/>
                <w:lang w:val="en-GB"/>
              </w:rPr>
              <w:t xml:space="preserve">   DVT </w:t>
            </w:r>
          </w:p>
        </w:tc>
        <w:tc>
          <w:tcPr>
            <w:tcW w:w="1016" w:type="pct"/>
            <w:tcBorders>
              <w:top w:val="single" w:sz="4" w:space="0" w:color="auto"/>
              <w:left w:val="single" w:sz="4" w:space="0" w:color="auto"/>
              <w:bottom w:val="single" w:sz="4" w:space="0" w:color="auto"/>
              <w:right w:val="single" w:sz="4" w:space="0" w:color="auto"/>
            </w:tcBorders>
            <w:hideMark/>
          </w:tcPr>
          <w:p w14:paraId="27264E51" w14:textId="77777777" w:rsidR="00B4737D" w:rsidRPr="00B4737D" w:rsidRDefault="00B4737D" w:rsidP="009257ED">
            <w:pPr>
              <w:ind w:left="32"/>
              <w:rPr>
                <w:sz w:val="24"/>
                <w:szCs w:val="24"/>
                <w:u w:val="single"/>
                <w:lang w:val="en-GB"/>
              </w:rPr>
            </w:pPr>
            <w:r w:rsidRPr="00B4737D">
              <w:rPr>
                <w:sz w:val="24"/>
                <w:szCs w:val="24"/>
                <w:lang w:val="en-GB"/>
              </w:rPr>
              <w:t>20 (0.7)</w:t>
            </w:r>
          </w:p>
        </w:tc>
        <w:tc>
          <w:tcPr>
            <w:tcW w:w="1330" w:type="pct"/>
            <w:tcBorders>
              <w:top w:val="single" w:sz="4" w:space="0" w:color="auto"/>
              <w:left w:val="single" w:sz="4" w:space="0" w:color="auto"/>
              <w:bottom w:val="single" w:sz="4" w:space="0" w:color="auto"/>
              <w:right w:val="single" w:sz="4" w:space="0" w:color="auto"/>
            </w:tcBorders>
            <w:hideMark/>
          </w:tcPr>
          <w:p w14:paraId="0397318D" w14:textId="77777777" w:rsidR="00B4737D" w:rsidRPr="00B4737D" w:rsidRDefault="00B4737D" w:rsidP="009257ED">
            <w:pPr>
              <w:ind w:left="32"/>
              <w:rPr>
                <w:sz w:val="24"/>
                <w:szCs w:val="24"/>
                <w:u w:val="single"/>
                <w:lang w:val="en-GB"/>
              </w:rPr>
            </w:pPr>
            <w:r w:rsidRPr="00B4737D">
              <w:rPr>
                <w:sz w:val="24"/>
                <w:szCs w:val="24"/>
                <w:lang w:val="en-GB"/>
              </w:rPr>
              <w:t>33 (1.2)</w:t>
            </w:r>
          </w:p>
        </w:tc>
        <w:tc>
          <w:tcPr>
            <w:tcW w:w="1170" w:type="pct"/>
            <w:tcBorders>
              <w:top w:val="single" w:sz="4" w:space="0" w:color="auto"/>
              <w:left w:val="single" w:sz="4" w:space="0" w:color="auto"/>
              <w:bottom w:val="single" w:sz="4" w:space="0" w:color="auto"/>
              <w:right w:val="single" w:sz="4" w:space="0" w:color="auto"/>
            </w:tcBorders>
          </w:tcPr>
          <w:p w14:paraId="5A54A392" w14:textId="77777777" w:rsidR="00B4737D" w:rsidRPr="00B4737D" w:rsidRDefault="00B4737D" w:rsidP="009257ED">
            <w:pPr>
              <w:ind w:left="32"/>
              <w:rPr>
                <w:sz w:val="24"/>
                <w:szCs w:val="24"/>
                <w:u w:val="single"/>
                <w:lang w:val="en-GB"/>
              </w:rPr>
            </w:pPr>
          </w:p>
        </w:tc>
      </w:tr>
      <w:tr w:rsidR="00B4737D" w:rsidRPr="00B4737D" w14:paraId="7316A6FD"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261600AF" w14:textId="77777777" w:rsidR="00B4737D" w:rsidRPr="00B4737D" w:rsidRDefault="00B4737D" w:rsidP="009257ED">
            <w:pPr>
              <w:ind w:left="32"/>
              <w:rPr>
                <w:sz w:val="24"/>
                <w:szCs w:val="24"/>
                <w:u w:val="single"/>
                <w:lang w:val="en-GB"/>
              </w:rPr>
            </w:pPr>
            <w:r w:rsidRPr="00B4737D">
              <w:rPr>
                <w:sz w:val="24"/>
                <w:szCs w:val="24"/>
                <w:lang w:val="en-GB"/>
              </w:rPr>
              <w:t xml:space="preserve">   PE </w:t>
            </w:r>
          </w:p>
        </w:tc>
        <w:tc>
          <w:tcPr>
            <w:tcW w:w="1016" w:type="pct"/>
            <w:tcBorders>
              <w:top w:val="single" w:sz="4" w:space="0" w:color="auto"/>
              <w:left w:val="single" w:sz="4" w:space="0" w:color="auto"/>
              <w:bottom w:val="single" w:sz="4" w:space="0" w:color="auto"/>
              <w:right w:val="single" w:sz="4" w:space="0" w:color="auto"/>
            </w:tcBorders>
            <w:hideMark/>
          </w:tcPr>
          <w:p w14:paraId="35251151" w14:textId="77777777" w:rsidR="00B4737D" w:rsidRPr="00B4737D" w:rsidRDefault="00B4737D" w:rsidP="009257ED">
            <w:pPr>
              <w:ind w:left="32"/>
              <w:rPr>
                <w:sz w:val="24"/>
                <w:szCs w:val="24"/>
                <w:u w:val="single"/>
                <w:lang w:val="en-GB"/>
              </w:rPr>
            </w:pPr>
            <w:r w:rsidRPr="00B4737D">
              <w:rPr>
                <w:sz w:val="24"/>
                <w:szCs w:val="24"/>
                <w:lang w:val="en-GB"/>
              </w:rPr>
              <w:t>27 (1.0)</w:t>
            </w:r>
          </w:p>
        </w:tc>
        <w:tc>
          <w:tcPr>
            <w:tcW w:w="1330" w:type="pct"/>
            <w:tcBorders>
              <w:top w:val="single" w:sz="4" w:space="0" w:color="auto"/>
              <w:left w:val="single" w:sz="4" w:space="0" w:color="auto"/>
              <w:bottom w:val="single" w:sz="4" w:space="0" w:color="auto"/>
              <w:right w:val="single" w:sz="4" w:space="0" w:color="auto"/>
            </w:tcBorders>
            <w:hideMark/>
          </w:tcPr>
          <w:p w14:paraId="6A161ECC" w14:textId="77777777" w:rsidR="00B4737D" w:rsidRPr="00B4737D" w:rsidRDefault="00B4737D" w:rsidP="009257ED">
            <w:pPr>
              <w:ind w:left="32"/>
              <w:rPr>
                <w:sz w:val="24"/>
                <w:szCs w:val="24"/>
                <w:u w:val="single"/>
                <w:lang w:val="en-GB"/>
              </w:rPr>
            </w:pPr>
            <w:r w:rsidRPr="00B4737D">
              <w:rPr>
                <w:sz w:val="24"/>
                <w:szCs w:val="24"/>
                <w:lang w:val="en-GB"/>
              </w:rPr>
              <w:t>23 (0.9)</w:t>
            </w:r>
          </w:p>
        </w:tc>
        <w:tc>
          <w:tcPr>
            <w:tcW w:w="1170" w:type="pct"/>
            <w:tcBorders>
              <w:top w:val="single" w:sz="4" w:space="0" w:color="auto"/>
              <w:left w:val="single" w:sz="4" w:space="0" w:color="auto"/>
              <w:bottom w:val="single" w:sz="4" w:space="0" w:color="auto"/>
              <w:right w:val="single" w:sz="4" w:space="0" w:color="auto"/>
            </w:tcBorders>
          </w:tcPr>
          <w:p w14:paraId="6DA87829" w14:textId="77777777" w:rsidR="00B4737D" w:rsidRPr="00B4737D" w:rsidRDefault="00B4737D" w:rsidP="009257ED">
            <w:pPr>
              <w:ind w:left="32"/>
              <w:rPr>
                <w:sz w:val="24"/>
                <w:szCs w:val="24"/>
                <w:u w:val="single"/>
                <w:lang w:val="en-GB"/>
              </w:rPr>
            </w:pPr>
          </w:p>
        </w:tc>
      </w:tr>
      <w:tr w:rsidR="00B4737D" w:rsidRPr="00B4737D" w14:paraId="11C057B2"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47113FE8" w14:textId="77777777" w:rsidR="00B4737D" w:rsidRPr="00B4737D" w:rsidRDefault="00B4737D" w:rsidP="009257ED">
            <w:pPr>
              <w:ind w:left="32"/>
              <w:rPr>
                <w:sz w:val="24"/>
                <w:szCs w:val="24"/>
                <w:u w:val="single"/>
                <w:lang w:val="en-GB"/>
              </w:rPr>
            </w:pPr>
            <w:r w:rsidRPr="00B4737D">
              <w:rPr>
                <w:sz w:val="24"/>
                <w:szCs w:val="24"/>
                <w:lang w:val="en-GB"/>
              </w:rPr>
              <w:t xml:space="preserve">   VTE-related death </w:t>
            </w:r>
          </w:p>
        </w:tc>
        <w:tc>
          <w:tcPr>
            <w:tcW w:w="1016" w:type="pct"/>
            <w:tcBorders>
              <w:top w:val="single" w:sz="4" w:space="0" w:color="auto"/>
              <w:left w:val="single" w:sz="4" w:space="0" w:color="auto"/>
              <w:bottom w:val="single" w:sz="4" w:space="0" w:color="auto"/>
              <w:right w:val="single" w:sz="4" w:space="0" w:color="auto"/>
            </w:tcBorders>
            <w:hideMark/>
          </w:tcPr>
          <w:p w14:paraId="7BCD74D4" w14:textId="77777777" w:rsidR="00B4737D" w:rsidRPr="00B4737D" w:rsidRDefault="00B4737D" w:rsidP="009257ED">
            <w:pPr>
              <w:ind w:left="32"/>
              <w:rPr>
                <w:sz w:val="24"/>
                <w:szCs w:val="24"/>
                <w:u w:val="single"/>
                <w:lang w:val="en-GB"/>
              </w:rPr>
            </w:pPr>
            <w:r w:rsidRPr="00B4737D">
              <w:rPr>
                <w:sz w:val="24"/>
                <w:szCs w:val="24"/>
                <w:lang w:val="en-GB"/>
              </w:rPr>
              <w:t>12 (0.4)</w:t>
            </w:r>
          </w:p>
        </w:tc>
        <w:tc>
          <w:tcPr>
            <w:tcW w:w="1330" w:type="pct"/>
            <w:tcBorders>
              <w:top w:val="single" w:sz="4" w:space="0" w:color="auto"/>
              <w:left w:val="single" w:sz="4" w:space="0" w:color="auto"/>
              <w:bottom w:val="single" w:sz="4" w:space="0" w:color="auto"/>
              <w:right w:val="single" w:sz="4" w:space="0" w:color="auto"/>
            </w:tcBorders>
            <w:hideMark/>
          </w:tcPr>
          <w:p w14:paraId="1407E925" w14:textId="77777777" w:rsidR="00B4737D" w:rsidRPr="00B4737D" w:rsidRDefault="00B4737D" w:rsidP="009257ED">
            <w:pPr>
              <w:ind w:left="32"/>
              <w:rPr>
                <w:sz w:val="24"/>
                <w:szCs w:val="24"/>
                <w:u w:val="single"/>
                <w:lang w:val="en-GB"/>
              </w:rPr>
            </w:pPr>
            <w:r w:rsidRPr="00B4737D">
              <w:rPr>
                <w:sz w:val="24"/>
                <w:szCs w:val="24"/>
                <w:lang w:val="en-GB"/>
              </w:rPr>
              <w:t>15 (0.6)</w:t>
            </w:r>
          </w:p>
        </w:tc>
        <w:tc>
          <w:tcPr>
            <w:tcW w:w="1170" w:type="pct"/>
            <w:tcBorders>
              <w:top w:val="single" w:sz="4" w:space="0" w:color="auto"/>
              <w:left w:val="single" w:sz="4" w:space="0" w:color="auto"/>
              <w:bottom w:val="single" w:sz="4" w:space="0" w:color="auto"/>
              <w:right w:val="single" w:sz="4" w:space="0" w:color="auto"/>
            </w:tcBorders>
          </w:tcPr>
          <w:p w14:paraId="0E87FB4C" w14:textId="77777777" w:rsidR="00B4737D" w:rsidRPr="00B4737D" w:rsidRDefault="00B4737D" w:rsidP="009257ED">
            <w:pPr>
              <w:ind w:left="32"/>
              <w:rPr>
                <w:sz w:val="24"/>
                <w:szCs w:val="24"/>
                <w:u w:val="single"/>
                <w:lang w:val="en-GB"/>
              </w:rPr>
            </w:pPr>
          </w:p>
        </w:tc>
      </w:tr>
      <w:tr w:rsidR="00B4737D" w:rsidRPr="00B4737D" w14:paraId="2EA86A63"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1AF10D46" w14:textId="77777777" w:rsidR="00B4737D" w:rsidRPr="00B4737D" w:rsidRDefault="00B4737D" w:rsidP="009257ED">
            <w:pPr>
              <w:ind w:left="32"/>
              <w:rPr>
                <w:sz w:val="24"/>
                <w:szCs w:val="24"/>
                <w:u w:val="single"/>
                <w:lang w:val="en-GB"/>
              </w:rPr>
            </w:pPr>
            <w:r w:rsidRPr="00B4737D">
              <w:rPr>
                <w:sz w:val="24"/>
                <w:szCs w:val="24"/>
                <w:lang w:val="en-GB"/>
              </w:rPr>
              <w:t xml:space="preserve">VTE or all-cause death </w:t>
            </w:r>
          </w:p>
        </w:tc>
        <w:tc>
          <w:tcPr>
            <w:tcW w:w="1016" w:type="pct"/>
            <w:tcBorders>
              <w:top w:val="single" w:sz="4" w:space="0" w:color="auto"/>
              <w:left w:val="single" w:sz="4" w:space="0" w:color="auto"/>
              <w:bottom w:val="single" w:sz="4" w:space="0" w:color="auto"/>
              <w:right w:val="single" w:sz="4" w:space="0" w:color="auto"/>
            </w:tcBorders>
            <w:hideMark/>
          </w:tcPr>
          <w:p w14:paraId="2C970674" w14:textId="77777777" w:rsidR="00B4737D" w:rsidRPr="00B4737D" w:rsidRDefault="00B4737D" w:rsidP="009257ED">
            <w:pPr>
              <w:ind w:left="32"/>
              <w:rPr>
                <w:sz w:val="24"/>
                <w:szCs w:val="24"/>
                <w:u w:val="single"/>
                <w:lang w:val="en-GB"/>
              </w:rPr>
            </w:pPr>
            <w:r w:rsidRPr="00B4737D">
              <w:rPr>
                <w:sz w:val="24"/>
                <w:szCs w:val="24"/>
                <w:lang w:val="en-GB"/>
              </w:rPr>
              <w:t>84 (3.2)</w:t>
            </w:r>
          </w:p>
        </w:tc>
        <w:tc>
          <w:tcPr>
            <w:tcW w:w="1330" w:type="pct"/>
            <w:tcBorders>
              <w:top w:val="single" w:sz="4" w:space="0" w:color="auto"/>
              <w:left w:val="single" w:sz="4" w:space="0" w:color="auto"/>
              <w:bottom w:val="single" w:sz="4" w:space="0" w:color="auto"/>
              <w:right w:val="single" w:sz="4" w:space="0" w:color="auto"/>
            </w:tcBorders>
            <w:hideMark/>
          </w:tcPr>
          <w:p w14:paraId="38DF69AE" w14:textId="77777777" w:rsidR="00B4737D" w:rsidRPr="00B4737D" w:rsidRDefault="00B4737D" w:rsidP="009257ED">
            <w:pPr>
              <w:ind w:left="32"/>
              <w:rPr>
                <w:sz w:val="24"/>
                <w:szCs w:val="24"/>
                <w:u w:val="single"/>
                <w:lang w:val="en-GB"/>
              </w:rPr>
            </w:pPr>
            <w:r w:rsidRPr="00B4737D">
              <w:rPr>
                <w:sz w:val="24"/>
                <w:szCs w:val="24"/>
                <w:lang w:val="en-GB"/>
              </w:rPr>
              <w:t>104 (4.0)</w:t>
            </w:r>
          </w:p>
        </w:tc>
        <w:tc>
          <w:tcPr>
            <w:tcW w:w="1170" w:type="pct"/>
            <w:tcBorders>
              <w:top w:val="single" w:sz="4" w:space="0" w:color="auto"/>
              <w:left w:val="single" w:sz="4" w:space="0" w:color="auto"/>
              <w:bottom w:val="single" w:sz="4" w:space="0" w:color="auto"/>
              <w:right w:val="single" w:sz="4" w:space="0" w:color="auto"/>
            </w:tcBorders>
            <w:hideMark/>
          </w:tcPr>
          <w:p w14:paraId="6DE6145F" w14:textId="77777777" w:rsidR="00B4737D" w:rsidRPr="00B4737D" w:rsidRDefault="00B4737D" w:rsidP="009257ED">
            <w:pPr>
              <w:ind w:left="32"/>
              <w:rPr>
                <w:sz w:val="24"/>
                <w:szCs w:val="24"/>
                <w:u w:val="single"/>
                <w:lang w:val="en-GB"/>
              </w:rPr>
            </w:pPr>
            <w:r w:rsidRPr="00B4737D">
              <w:rPr>
                <w:sz w:val="24"/>
                <w:szCs w:val="24"/>
                <w:lang w:val="en-GB"/>
              </w:rPr>
              <w:t>0.82 (0.61, 1.08)</w:t>
            </w:r>
          </w:p>
        </w:tc>
      </w:tr>
      <w:tr w:rsidR="00B4737D" w:rsidRPr="00B4737D" w14:paraId="00DA77AD"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0E0624C5" w14:textId="77777777" w:rsidR="00B4737D" w:rsidRPr="00B4737D" w:rsidRDefault="00B4737D" w:rsidP="009257ED">
            <w:pPr>
              <w:ind w:left="32"/>
              <w:rPr>
                <w:sz w:val="24"/>
                <w:szCs w:val="24"/>
                <w:u w:val="single"/>
                <w:lang w:val="en-GB"/>
              </w:rPr>
            </w:pPr>
            <w:r w:rsidRPr="00B4737D">
              <w:rPr>
                <w:sz w:val="24"/>
                <w:szCs w:val="24"/>
                <w:lang w:val="en-GB"/>
              </w:rPr>
              <w:t xml:space="preserve">VTE or CV-related death </w:t>
            </w:r>
          </w:p>
        </w:tc>
        <w:tc>
          <w:tcPr>
            <w:tcW w:w="1016" w:type="pct"/>
            <w:tcBorders>
              <w:top w:val="single" w:sz="4" w:space="0" w:color="auto"/>
              <w:left w:val="single" w:sz="4" w:space="0" w:color="auto"/>
              <w:bottom w:val="single" w:sz="4" w:space="0" w:color="auto"/>
              <w:right w:val="single" w:sz="4" w:space="0" w:color="auto"/>
            </w:tcBorders>
            <w:hideMark/>
          </w:tcPr>
          <w:p w14:paraId="1CBD5403" w14:textId="77777777" w:rsidR="00B4737D" w:rsidRPr="00B4737D" w:rsidRDefault="00B4737D" w:rsidP="009257ED">
            <w:pPr>
              <w:ind w:left="32"/>
              <w:rPr>
                <w:sz w:val="24"/>
                <w:szCs w:val="24"/>
                <w:u w:val="single"/>
                <w:lang w:val="en-GB"/>
              </w:rPr>
            </w:pPr>
            <w:r w:rsidRPr="00B4737D">
              <w:rPr>
                <w:sz w:val="24"/>
                <w:szCs w:val="24"/>
                <w:lang w:val="en-GB"/>
              </w:rPr>
              <w:t>61 (2.3)</w:t>
            </w:r>
          </w:p>
        </w:tc>
        <w:tc>
          <w:tcPr>
            <w:tcW w:w="1330" w:type="pct"/>
            <w:tcBorders>
              <w:top w:val="single" w:sz="4" w:space="0" w:color="auto"/>
              <w:left w:val="single" w:sz="4" w:space="0" w:color="auto"/>
              <w:bottom w:val="single" w:sz="4" w:space="0" w:color="auto"/>
              <w:right w:val="single" w:sz="4" w:space="0" w:color="auto"/>
            </w:tcBorders>
            <w:hideMark/>
          </w:tcPr>
          <w:p w14:paraId="264CC4A4" w14:textId="77777777" w:rsidR="00B4737D" w:rsidRPr="00B4737D" w:rsidRDefault="00B4737D" w:rsidP="009257ED">
            <w:pPr>
              <w:ind w:left="32"/>
              <w:rPr>
                <w:sz w:val="24"/>
                <w:szCs w:val="24"/>
                <w:u w:val="single"/>
                <w:lang w:val="en-GB"/>
              </w:rPr>
            </w:pPr>
            <w:r w:rsidRPr="00B4737D">
              <w:rPr>
                <w:sz w:val="24"/>
                <w:szCs w:val="24"/>
                <w:lang w:val="en-GB"/>
              </w:rPr>
              <w:t>77 (2.9)</w:t>
            </w:r>
          </w:p>
        </w:tc>
        <w:tc>
          <w:tcPr>
            <w:tcW w:w="1170" w:type="pct"/>
            <w:tcBorders>
              <w:top w:val="single" w:sz="4" w:space="0" w:color="auto"/>
              <w:left w:val="single" w:sz="4" w:space="0" w:color="auto"/>
              <w:bottom w:val="single" w:sz="4" w:space="0" w:color="auto"/>
              <w:right w:val="single" w:sz="4" w:space="0" w:color="auto"/>
            </w:tcBorders>
            <w:hideMark/>
          </w:tcPr>
          <w:p w14:paraId="6A20A157" w14:textId="77777777" w:rsidR="00B4737D" w:rsidRPr="00B4737D" w:rsidRDefault="00B4737D" w:rsidP="009257ED">
            <w:pPr>
              <w:ind w:left="32"/>
              <w:rPr>
                <w:sz w:val="24"/>
                <w:szCs w:val="24"/>
                <w:u w:val="single"/>
                <w:lang w:val="en-GB"/>
              </w:rPr>
            </w:pPr>
            <w:r w:rsidRPr="00B4737D">
              <w:rPr>
                <w:sz w:val="24"/>
                <w:szCs w:val="24"/>
                <w:lang w:val="en-GB"/>
              </w:rPr>
              <w:t>0.80 (0.57, 1.11)</w:t>
            </w:r>
          </w:p>
        </w:tc>
      </w:tr>
      <w:tr w:rsidR="00B4737D" w:rsidRPr="00B4737D" w14:paraId="19C424AF" w14:textId="77777777" w:rsidTr="009257ED">
        <w:tc>
          <w:tcPr>
            <w:tcW w:w="1484" w:type="pct"/>
            <w:tcBorders>
              <w:top w:val="single" w:sz="4" w:space="0" w:color="auto"/>
              <w:left w:val="single" w:sz="4" w:space="0" w:color="auto"/>
              <w:bottom w:val="single" w:sz="4" w:space="0" w:color="auto"/>
              <w:right w:val="single" w:sz="4" w:space="0" w:color="auto"/>
            </w:tcBorders>
            <w:hideMark/>
          </w:tcPr>
          <w:p w14:paraId="582DDEFE" w14:textId="77777777" w:rsidR="00B4737D" w:rsidRPr="00B4737D" w:rsidRDefault="00B4737D" w:rsidP="009257ED">
            <w:pPr>
              <w:ind w:left="32"/>
              <w:rPr>
                <w:sz w:val="24"/>
                <w:szCs w:val="24"/>
                <w:u w:val="single"/>
                <w:lang w:val="en-GB"/>
              </w:rPr>
            </w:pPr>
            <w:r w:rsidRPr="00B4737D">
              <w:rPr>
                <w:sz w:val="24"/>
                <w:szCs w:val="24"/>
                <w:lang w:val="en-GB"/>
              </w:rPr>
              <w:t xml:space="preserve">VTE, VTE-related death, or major bleeding </w:t>
            </w:r>
          </w:p>
        </w:tc>
        <w:tc>
          <w:tcPr>
            <w:tcW w:w="1016" w:type="pct"/>
            <w:tcBorders>
              <w:top w:val="single" w:sz="4" w:space="0" w:color="auto"/>
              <w:left w:val="single" w:sz="4" w:space="0" w:color="auto"/>
              <w:bottom w:val="single" w:sz="4" w:space="0" w:color="auto"/>
              <w:right w:val="single" w:sz="4" w:space="0" w:color="auto"/>
            </w:tcBorders>
            <w:hideMark/>
          </w:tcPr>
          <w:p w14:paraId="72D0AA7C" w14:textId="77777777" w:rsidR="00B4737D" w:rsidRPr="00B4737D" w:rsidRDefault="00B4737D" w:rsidP="009257ED">
            <w:pPr>
              <w:ind w:left="32"/>
              <w:rPr>
                <w:sz w:val="24"/>
                <w:szCs w:val="24"/>
                <w:u w:val="single"/>
                <w:lang w:val="en-GB"/>
              </w:rPr>
            </w:pPr>
            <w:r w:rsidRPr="00B4737D">
              <w:rPr>
                <w:sz w:val="24"/>
                <w:szCs w:val="24"/>
                <w:lang w:val="en-GB"/>
              </w:rPr>
              <w:t>73 (2.8)</w:t>
            </w:r>
          </w:p>
        </w:tc>
        <w:tc>
          <w:tcPr>
            <w:tcW w:w="1330" w:type="pct"/>
            <w:tcBorders>
              <w:top w:val="single" w:sz="4" w:space="0" w:color="auto"/>
              <w:left w:val="single" w:sz="4" w:space="0" w:color="auto"/>
              <w:bottom w:val="single" w:sz="4" w:space="0" w:color="auto"/>
              <w:right w:val="single" w:sz="4" w:space="0" w:color="auto"/>
            </w:tcBorders>
            <w:hideMark/>
          </w:tcPr>
          <w:p w14:paraId="4A295826" w14:textId="77777777" w:rsidR="00B4737D" w:rsidRPr="00B4737D" w:rsidRDefault="00B4737D" w:rsidP="009257ED">
            <w:pPr>
              <w:ind w:left="32"/>
              <w:rPr>
                <w:sz w:val="24"/>
                <w:szCs w:val="24"/>
                <w:u w:val="single"/>
                <w:lang w:val="en-GB"/>
              </w:rPr>
            </w:pPr>
            <w:r w:rsidRPr="00B4737D">
              <w:rPr>
                <w:sz w:val="24"/>
                <w:szCs w:val="24"/>
                <w:lang w:val="en-GB"/>
              </w:rPr>
              <w:t>118 (4.5)</w:t>
            </w:r>
          </w:p>
        </w:tc>
        <w:tc>
          <w:tcPr>
            <w:tcW w:w="1170" w:type="pct"/>
            <w:tcBorders>
              <w:top w:val="single" w:sz="4" w:space="0" w:color="auto"/>
              <w:left w:val="single" w:sz="4" w:space="0" w:color="auto"/>
              <w:bottom w:val="single" w:sz="4" w:space="0" w:color="auto"/>
              <w:right w:val="single" w:sz="4" w:space="0" w:color="auto"/>
            </w:tcBorders>
            <w:hideMark/>
          </w:tcPr>
          <w:p w14:paraId="2F278272" w14:textId="77777777" w:rsidR="00B4737D" w:rsidRPr="00B4737D" w:rsidRDefault="00B4737D" w:rsidP="009257ED">
            <w:pPr>
              <w:ind w:left="32"/>
              <w:rPr>
                <w:sz w:val="24"/>
                <w:szCs w:val="24"/>
                <w:u w:val="single"/>
                <w:lang w:val="en-GB"/>
              </w:rPr>
            </w:pPr>
            <w:r w:rsidRPr="00B4737D">
              <w:rPr>
                <w:sz w:val="24"/>
                <w:szCs w:val="24"/>
                <w:lang w:val="en-GB"/>
              </w:rPr>
              <w:t>0.62 (0.47, 0.83)</w:t>
            </w:r>
          </w:p>
        </w:tc>
      </w:tr>
    </w:tbl>
    <w:p w14:paraId="14C01C2D" w14:textId="0D443BCA" w:rsidR="00B4737D" w:rsidRPr="00B4737D" w:rsidRDefault="00B4737D" w:rsidP="009257ED">
      <w:pPr>
        <w:ind w:left="284" w:hanging="284"/>
        <w:rPr>
          <w:sz w:val="24"/>
          <w:szCs w:val="24"/>
          <w:u w:val="single"/>
          <w:lang w:val="en-GB"/>
        </w:rPr>
      </w:pPr>
      <w:r w:rsidRPr="00B4737D">
        <w:rPr>
          <w:sz w:val="24"/>
          <w:szCs w:val="24"/>
          <w:lang w:val="en-GB"/>
        </w:rPr>
        <w:t xml:space="preserve">* </w:t>
      </w:r>
      <w:r w:rsidR="009257ED" w:rsidRPr="001C1AA7">
        <w:rPr>
          <w:sz w:val="24"/>
          <w:szCs w:val="24"/>
          <w:lang w:val="en-GB"/>
        </w:rPr>
        <w:tab/>
      </w:r>
      <w:r w:rsidRPr="00B4737D">
        <w:rPr>
          <w:sz w:val="24"/>
          <w:szCs w:val="24"/>
          <w:lang w:val="en-GB"/>
        </w:rPr>
        <w:t>Noninferior compared to enoxaparin/warfarin (p-value &lt; 0.0001)</w:t>
      </w:r>
    </w:p>
    <w:p w14:paraId="2905B295" w14:textId="77777777" w:rsidR="00B4737D" w:rsidRPr="00B4737D" w:rsidRDefault="00B4737D" w:rsidP="009257ED">
      <w:pPr>
        <w:ind w:left="851"/>
        <w:rPr>
          <w:sz w:val="24"/>
          <w:szCs w:val="24"/>
          <w:u w:val="single"/>
          <w:lang w:val="en-GB"/>
        </w:rPr>
      </w:pPr>
    </w:p>
    <w:p w14:paraId="5AA0B580" w14:textId="77777777" w:rsidR="00B4737D" w:rsidRPr="00B4737D" w:rsidRDefault="00B4737D" w:rsidP="009257ED">
      <w:pPr>
        <w:ind w:left="851"/>
        <w:rPr>
          <w:sz w:val="24"/>
          <w:szCs w:val="24"/>
          <w:lang w:val="en-GB"/>
        </w:rPr>
      </w:pPr>
      <w:r w:rsidRPr="00B4737D">
        <w:rPr>
          <w:sz w:val="24"/>
          <w:szCs w:val="24"/>
          <w:lang w:val="en-GB"/>
        </w:rPr>
        <w:t xml:space="preserve">Apixaban efficacy in initial treatment of VTE was consistent between patients who were treated for a PE [Relative Risk 0.9; 95% CI (0.5, 1.6)] or DVT [Relative Risk 0.8; 95% CI (0.5, 1.3)]. Efficacy across subgroups, including age, gender, body mass index (BMI), renal function, extent of index PE, location of DVT thrombus, and prior parenteral heparin use was generally consistent. </w:t>
      </w:r>
    </w:p>
    <w:p w14:paraId="625FD241" w14:textId="77777777" w:rsidR="00B4737D" w:rsidRPr="00B4737D" w:rsidRDefault="00B4737D" w:rsidP="009257ED">
      <w:pPr>
        <w:ind w:left="851"/>
        <w:rPr>
          <w:sz w:val="24"/>
          <w:szCs w:val="24"/>
          <w:lang w:val="en-GB"/>
        </w:rPr>
      </w:pPr>
    </w:p>
    <w:p w14:paraId="1111F0E4" w14:textId="77777777" w:rsidR="00B4737D" w:rsidRPr="00B4737D" w:rsidRDefault="00B4737D" w:rsidP="009257ED">
      <w:pPr>
        <w:ind w:left="851"/>
        <w:rPr>
          <w:sz w:val="24"/>
          <w:szCs w:val="24"/>
          <w:u w:val="single"/>
          <w:lang w:val="en-GB"/>
        </w:rPr>
      </w:pPr>
      <w:r w:rsidRPr="00B4737D">
        <w:rPr>
          <w:sz w:val="24"/>
          <w:szCs w:val="24"/>
          <w:lang w:val="en-GB"/>
        </w:rPr>
        <w:t>The primary safety endpoint was major bleeding. In the study, apixaban was statistically superior to enoxaparin/warfarin in the primary safety endpoint [Relative Risk 0.31, 95% confidence interval (0.17, 0.55), P-value &lt; 0.0001] (see Table 10).</w:t>
      </w:r>
    </w:p>
    <w:p w14:paraId="7853162B" w14:textId="77777777" w:rsidR="00B4737D" w:rsidRPr="00B4737D" w:rsidRDefault="00B4737D" w:rsidP="009257ED">
      <w:pPr>
        <w:ind w:left="851"/>
        <w:rPr>
          <w:sz w:val="24"/>
          <w:szCs w:val="24"/>
          <w:u w:val="single"/>
          <w:lang w:val="en-GB"/>
        </w:rPr>
      </w:pPr>
    </w:p>
    <w:p w14:paraId="26866A6E" w14:textId="77777777" w:rsidR="00B4737D" w:rsidRPr="00B4737D" w:rsidRDefault="00B4737D" w:rsidP="00B4737D">
      <w:pPr>
        <w:tabs>
          <w:tab w:val="left" w:pos="851"/>
        </w:tabs>
        <w:ind w:left="851"/>
        <w:rPr>
          <w:sz w:val="24"/>
          <w:szCs w:val="24"/>
          <w:u w:val="single"/>
          <w:lang w:val="en-GB"/>
        </w:rPr>
      </w:pPr>
      <w:r w:rsidRPr="00B4737D">
        <w:rPr>
          <w:b/>
          <w:bCs/>
          <w:sz w:val="24"/>
          <w:szCs w:val="24"/>
          <w:lang w:val="en-GB"/>
        </w:rPr>
        <w:t>Table 10: Bleeding results in the AMPLIFY study</w:t>
      </w:r>
    </w:p>
    <w:tbl>
      <w:tblPr>
        <w:tblStyle w:val="Tabel-Gitter"/>
        <w:tblW w:w="5000" w:type="pct"/>
        <w:tblLook w:val="04A0" w:firstRow="1" w:lastRow="0" w:firstColumn="1" w:lastColumn="0" w:noHBand="0" w:noVBand="1"/>
      </w:tblPr>
      <w:tblGrid>
        <w:gridCol w:w="2342"/>
        <w:gridCol w:w="2345"/>
        <w:gridCol w:w="2596"/>
        <w:gridCol w:w="2345"/>
      </w:tblGrid>
      <w:tr w:rsidR="00B4737D" w:rsidRPr="00B4737D" w14:paraId="3D7DDD56" w14:textId="77777777" w:rsidTr="00B46CF9">
        <w:tc>
          <w:tcPr>
            <w:tcW w:w="1216" w:type="pct"/>
            <w:tcBorders>
              <w:top w:val="single" w:sz="4" w:space="0" w:color="auto"/>
              <w:left w:val="single" w:sz="4" w:space="0" w:color="auto"/>
              <w:bottom w:val="single" w:sz="4" w:space="0" w:color="auto"/>
              <w:right w:val="single" w:sz="4" w:space="0" w:color="auto"/>
            </w:tcBorders>
          </w:tcPr>
          <w:p w14:paraId="0DADCCB7" w14:textId="77777777" w:rsidR="00B4737D" w:rsidRPr="00B4737D" w:rsidRDefault="00B4737D" w:rsidP="009257ED">
            <w:pPr>
              <w:ind w:left="32"/>
              <w:rPr>
                <w:sz w:val="24"/>
                <w:szCs w:val="24"/>
                <w:u w:val="single"/>
                <w:lang w:val="en-GB"/>
              </w:rPr>
            </w:pPr>
          </w:p>
        </w:tc>
        <w:tc>
          <w:tcPr>
            <w:tcW w:w="1218" w:type="pct"/>
            <w:tcBorders>
              <w:top w:val="single" w:sz="4" w:space="0" w:color="auto"/>
              <w:left w:val="single" w:sz="4" w:space="0" w:color="auto"/>
              <w:bottom w:val="single" w:sz="4" w:space="0" w:color="auto"/>
              <w:right w:val="single" w:sz="4" w:space="0" w:color="auto"/>
            </w:tcBorders>
            <w:hideMark/>
          </w:tcPr>
          <w:p w14:paraId="5F933848" w14:textId="77777777" w:rsidR="00B4737D" w:rsidRPr="00B4737D" w:rsidRDefault="00B4737D" w:rsidP="009257ED">
            <w:pPr>
              <w:ind w:left="32"/>
              <w:rPr>
                <w:sz w:val="24"/>
                <w:szCs w:val="24"/>
                <w:lang w:val="en-US"/>
              </w:rPr>
            </w:pPr>
            <w:r w:rsidRPr="00B4737D">
              <w:rPr>
                <w:b/>
                <w:bCs/>
                <w:sz w:val="24"/>
                <w:szCs w:val="24"/>
                <w:lang w:val="en-US"/>
              </w:rPr>
              <w:t>Apixaban</w:t>
            </w:r>
          </w:p>
          <w:p w14:paraId="2DE31E04" w14:textId="77777777" w:rsidR="00B4737D" w:rsidRPr="00B4737D" w:rsidRDefault="00B4737D" w:rsidP="009257ED">
            <w:pPr>
              <w:ind w:left="32"/>
              <w:rPr>
                <w:sz w:val="24"/>
                <w:szCs w:val="24"/>
                <w:lang w:val="en-US"/>
              </w:rPr>
            </w:pPr>
            <w:r w:rsidRPr="00B4737D">
              <w:rPr>
                <w:b/>
                <w:bCs/>
                <w:sz w:val="24"/>
                <w:szCs w:val="24"/>
                <w:lang w:val="en-US"/>
              </w:rPr>
              <w:t>N = 2,676</w:t>
            </w:r>
          </w:p>
          <w:p w14:paraId="7D033C97" w14:textId="77777777" w:rsidR="00B4737D" w:rsidRPr="00B4737D" w:rsidRDefault="00B4737D" w:rsidP="009257ED">
            <w:pPr>
              <w:ind w:left="32"/>
              <w:rPr>
                <w:sz w:val="24"/>
                <w:szCs w:val="24"/>
                <w:u w:val="single"/>
                <w:lang w:val="en-GB"/>
              </w:rPr>
            </w:pPr>
            <w:r w:rsidRPr="00B4737D">
              <w:rPr>
                <w:b/>
                <w:bCs/>
                <w:sz w:val="24"/>
                <w:szCs w:val="24"/>
                <w:lang w:val="en-GB"/>
              </w:rPr>
              <w:t>n (%)</w:t>
            </w:r>
          </w:p>
        </w:tc>
        <w:tc>
          <w:tcPr>
            <w:tcW w:w="1348" w:type="pct"/>
            <w:tcBorders>
              <w:top w:val="single" w:sz="4" w:space="0" w:color="auto"/>
              <w:left w:val="single" w:sz="4" w:space="0" w:color="auto"/>
              <w:bottom w:val="single" w:sz="4" w:space="0" w:color="auto"/>
              <w:right w:val="single" w:sz="4" w:space="0" w:color="auto"/>
            </w:tcBorders>
            <w:hideMark/>
          </w:tcPr>
          <w:p w14:paraId="00387574" w14:textId="77777777" w:rsidR="00B4737D" w:rsidRPr="00B4737D" w:rsidRDefault="00B4737D" w:rsidP="009257ED">
            <w:pPr>
              <w:ind w:left="32"/>
              <w:rPr>
                <w:sz w:val="24"/>
                <w:szCs w:val="24"/>
                <w:lang w:val="en-US"/>
              </w:rPr>
            </w:pPr>
            <w:r w:rsidRPr="00B4737D">
              <w:rPr>
                <w:b/>
                <w:bCs/>
                <w:sz w:val="24"/>
                <w:szCs w:val="24"/>
                <w:lang w:val="en-US"/>
              </w:rPr>
              <w:t>Enoxaparin/Warfarin</w:t>
            </w:r>
          </w:p>
          <w:p w14:paraId="10FE9BB7" w14:textId="77777777" w:rsidR="00B4737D" w:rsidRPr="00B4737D" w:rsidRDefault="00B4737D" w:rsidP="009257ED">
            <w:pPr>
              <w:ind w:left="32"/>
              <w:rPr>
                <w:sz w:val="24"/>
                <w:szCs w:val="24"/>
                <w:lang w:val="en-US"/>
              </w:rPr>
            </w:pPr>
            <w:r w:rsidRPr="00B4737D">
              <w:rPr>
                <w:b/>
                <w:bCs/>
                <w:sz w:val="24"/>
                <w:szCs w:val="24"/>
                <w:lang w:val="en-US"/>
              </w:rPr>
              <w:t>N = 2,689</w:t>
            </w:r>
          </w:p>
          <w:p w14:paraId="12A87448" w14:textId="77777777" w:rsidR="00B4737D" w:rsidRPr="00B4737D" w:rsidRDefault="00B4737D" w:rsidP="009257ED">
            <w:pPr>
              <w:ind w:left="32"/>
              <w:rPr>
                <w:sz w:val="24"/>
                <w:szCs w:val="24"/>
                <w:u w:val="single"/>
                <w:lang w:val="en-GB"/>
              </w:rPr>
            </w:pPr>
            <w:r w:rsidRPr="00B4737D">
              <w:rPr>
                <w:b/>
                <w:bCs/>
                <w:sz w:val="24"/>
                <w:szCs w:val="24"/>
                <w:lang w:val="en-GB"/>
              </w:rPr>
              <w:t>n (%)</w:t>
            </w:r>
          </w:p>
        </w:tc>
        <w:tc>
          <w:tcPr>
            <w:tcW w:w="1218" w:type="pct"/>
            <w:tcBorders>
              <w:top w:val="single" w:sz="4" w:space="0" w:color="auto"/>
              <w:left w:val="single" w:sz="4" w:space="0" w:color="auto"/>
              <w:bottom w:val="single" w:sz="4" w:space="0" w:color="auto"/>
              <w:right w:val="single" w:sz="4" w:space="0" w:color="auto"/>
            </w:tcBorders>
            <w:hideMark/>
          </w:tcPr>
          <w:p w14:paraId="6381A3DC" w14:textId="77777777" w:rsidR="00B4737D" w:rsidRPr="00B4737D" w:rsidRDefault="00B4737D" w:rsidP="009257ED">
            <w:pPr>
              <w:ind w:left="32"/>
              <w:rPr>
                <w:sz w:val="24"/>
                <w:szCs w:val="24"/>
                <w:lang w:val="en-US"/>
              </w:rPr>
            </w:pPr>
            <w:r w:rsidRPr="00B4737D">
              <w:rPr>
                <w:b/>
                <w:bCs/>
                <w:sz w:val="24"/>
                <w:szCs w:val="24"/>
                <w:lang w:val="en-US"/>
              </w:rPr>
              <w:t>Relative risk</w:t>
            </w:r>
          </w:p>
          <w:p w14:paraId="7F7819AC" w14:textId="77777777" w:rsidR="00B4737D" w:rsidRPr="00B4737D" w:rsidRDefault="00B4737D" w:rsidP="009257ED">
            <w:pPr>
              <w:ind w:left="32"/>
              <w:rPr>
                <w:sz w:val="24"/>
                <w:szCs w:val="24"/>
                <w:u w:val="single"/>
                <w:lang w:val="en-GB"/>
              </w:rPr>
            </w:pPr>
            <w:r w:rsidRPr="00B4737D">
              <w:rPr>
                <w:b/>
                <w:bCs/>
                <w:sz w:val="24"/>
                <w:szCs w:val="24"/>
                <w:lang w:val="en-GB"/>
              </w:rPr>
              <w:t>(95% CI)</w:t>
            </w:r>
          </w:p>
        </w:tc>
      </w:tr>
      <w:tr w:rsidR="00B4737D" w:rsidRPr="00B4737D" w14:paraId="79402E40" w14:textId="77777777" w:rsidTr="00B46CF9">
        <w:tc>
          <w:tcPr>
            <w:tcW w:w="1216" w:type="pct"/>
            <w:tcBorders>
              <w:top w:val="single" w:sz="4" w:space="0" w:color="auto"/>
              <w:left w:val="single" w:sz="4" w:space="0" w:color="auto"/>
              <w:bottom w:val="single" w:sz="4" w:space="0" w:color="auto"/>
              <w:right w:val="single" w:sz="4" w:space="0" w:color="auto"/>
            </w:tcBorders>
            <w:hideMark/>
          </w:tcPr>
          <w:p w14:paraId="20A0FDD7" w14:textId="77777777" w:rsidR="00B4737D" w:rsidRPr="00B4737D" w:rsidRDefault="00B4737D" w:rsidP="009257ED">
            <w:pPr>
              <w:ind w:left="32"/>
              <w:rPr>
                <w:sz w:val="24"/>
                <w:szCs w:val="24"/>
                <w:u w:val="single"/>
                <w:lang w:val="en-GB"/>
              </w:rPr>
            </w:pPr>
            <w:r w:rsidRPr="00B4737D">
              <w:rPr>
                <w:sz w:val="24"/>
                <w:szCs w:val="24"/>
                <w:lang w:val="en-GB"/>
              </w:rPr>
              <w:t xml:space="preserve">Major </w:t>
            </w:r>
          </w:p>
        </w:tc>
        <w:tc>
          <w:tcPr>
            <w:tcW w:w="1218" w:type="pct"/>
            <w:tcBorders>
              <w:top w:val="single" w:sz="4" w:space="0" w:color="auto"/>
              <w:left w:val="single" w:sz="4" w:space="0" w:color="auto"/>
              <w:bottom w:val="single" w:sz="4" w:space="0" w:color="auto"/>
              <w:right w:val="single" w:sz="4" w:space="0" w:color="auto"/>
            </w:tcBorders>
            <w:hideMark/>
          </w:tcPr>
          <w:p w14:paraId="5B36F386" w14:textId="77777777" w:rsidR="00B4737D" w:rsidRPr="00B4737D" w:rsidRDefault="00B4737D" w:rsidP="009257ED">
            <w:pPr>
              <w:ind w:left="32"/>
              <w:rPr>
                <w:sz w:val="24"/>
                <w:szCs w:val="24"/>
                <w:u w:val="single"/>
                <w:lang w:val="en-GB"/>
              </w:rPr>
            </w:pPr>
            <w:r w:rsidRPr="00B4737D">
              <w:rPr>
                <w:sz w:val="24"/>
                <w:szCs w:val="24"/>
                <w:lang w:val="en-GB"/>
              </w:rPr>
              <w:t>15 (0.6)</w:t>
            </w:r>
          </w:p>
        </w:tc>
        <w:tc>
          <w:tcPr>
            <w:tcW w:w="1348" w:type="pct"/>
            <w:tcBorders>
              <w:top w:val="single" w:sz="4" w:space="0" w:color="auto"/>
              <w:left w:val="single" w:sz="4" w:space="0" w:color="auto"/>
              <w:bottom w:val="single" w:sz="4" w:space="0" w:color="auto"/>
              <w:right w:val="single" w:sz="4" w:space="0" w:color="auto"/>
            </w:tcBorders>
            <w:hideMark/>
          </w:tcPr>
          <w:p w14:paraId="66295463" w14:textId="77777777" w:rsidR="00B4737D" w:rsidRPr="00B4737D" w:rsidRDefault="00B4737D" w:rsidP="009257ED">
            <w:pPr>
              <w:ind w:left="32"/>
              <w:rPr>
                <w:sz w:val="24"/>
                <w:szCs w:val="24"/>
                <w:u w:val="single"/>
                <w:lang w:val="en-GB"/>
              </w:rPr>
            </w:pPr>
            <w:r w:rsidRPr="00B4737D">
              <w:rPr>
                <w:sz w:val="24"/>
                <w:szCs w:val="24"/>
                <w:lang w:val="en-GB"/>
              </w:rPr>
              <w:t>49 (1.8)</w:t>
            </w:r>
          </w:p>
        </w:tc>
        <w:tc>
          <w:tcPr>
            <w:tcW w:w="1218" w:type="pct"/>
            <w:tcBorders>
              <w:top w:val="single" w:sz="4" w:space="0" w:color="auto"/>
              <w:left w:val="single" w:sz="4" w:space="0" w:color="auto"/>
              <w:bottom w:val="single" w:sz="4" w:space="0" w:color="auto"/>
              <w:right w:val="single" w:sz="4" w:space="0" w:color="auto"/>
            </w:tcBorders>
            <w:hideMark/>
          </w:tcPr>
          <w:p w14:paraId="5A974BB4" w14:textId="77777777" w:rsidR="00B4737D" w:rsidRPr="00B4737D" w:rsidRDefault="00B4737D" w:rsidP="009257ED">
            <w:pPr>
              <w:ind w:left="32"/>
              <w:rPr>
                <w:sz w:val="24"/>
                <w:szCs w:val="24"/>
                <w:u w:val="single"/>
                <w:lang w:val="en-GB"/>
              </w:rPr>
            </w:pPr>
            <w:r w:rsidRPr="00B4737D">
              <w:rPr>
                <w:sz w:val="24"/>
                <w:szCs w:val="24"/>
                <w:lang w:val="en-GB"/>
              </w:rPr>
              <w:t>0.31 (0.17, 0.55)</w:t>
            </w:r>
          </w:p>
        </w:tc>
      </w:tr>
      <w:tr w:rsidR="00B4737D" w:rsidRPr="00B4737D" w14:paraId="4F8FE8A2" w14:textId="77777777" w:rsidTr="00B46CF9">
        <w:tc>
          <w:tcPr>
            <w:tcW w:w="1216" w:type="pct"/>
            <w:tcBorders>
              <w:top w:val="single" w:sz="4" w:space="0" w:color="auto"/>
              <w:left w:val="single" w:sz="4" w:space="0" w:color="auto"/>
              <w:bottom w:val="single" w:sz="4" w:space="0" w:color="auto"/>
              <w:right w:val="single" w:sz="4" w:space="0" w:color="auto"/>
            </w:tcBorders>
            <w:hideMark/>
          </w:tcPr>
          <w:p w14:paraId="2E3B42BD" w14:textId="77777777" w:rsidR="00B4737D" w:rsidRPr="00B4737D" w:rsidRDefault="00B4737D" w:rsidP="009257ED">
            <w:pPr>
              <w:ind w:left="32"/>
              <w:rPr>
                <w:sz w:val="24"/>
                <w:szCs w:val="24"/>
                <w:u w:val="single"/>
                <w:lang w:val="en-GB"/>
              </w:rPr>
            </w:pPr>
            <w:r w:rsidRPr="00B4737D">
              <w:rPr>
                <w:sz w:val="24"/>
                <w:szCs w:val="24"/>
                <w:lang w:val="en-GB"/>
              </w:rPr>
              <w:t xml:space="preserve">Major + CRNM </w:t>
            </w:r>
          </w:p>
        </w:tc>
        <w:tc>
          <w:tcPr>
            <w:tcW w:w="1218" w:type="pct"/>
            <w:tcBorders>
              <w:top w:val="single" w:sz="4" w:space="0" w:color="auto"/>
              <w:left w:val="single" w:sz="4" w:space="0" w:color="auto"/>
              <w:bottom w:val="single" w:sz="4" w:space="0" w:color="auto"/>
              <w:right w:val="single" w:sz="4" w:space="0" w:color="auto"/>
            </w:tcBorders>
            <w:hideMark/>
          </w:tcPr>
          <w:p w14:paraId="327C1F4F" w14:textId="77777777" w:rsidR="00B4737D" w:rsidRPr="00B4737D" w:rsidRDefault="00B4737D" w:rsidP="009257ED">
            <w:pPr>
              <w:ind w:left="32"/>
              <w:rPr>
                <w:sz w:val="24"/>
                <w:szCs w:val="24"/>
                <w:u w:val="single"/>
                <w:lang w:val="en-GB"/>
              </w:rPr>
            </w:pPr>
            <w:r w:rsidRPr="00B4737D">
              <w:rPr>
                <w:sz w:val="24"/>
                <w:szCs w:val="24"/>
                <w:lang w:val="en-GB"/>
              </w:rPr>
              <w:t>115 (4.3)</w:t>
            </w:r>
          </w:p>
        </w:tc>
        <w:tc>
          <w:tcPr>
            <w:tcW w:w="1348" w:type="pct"/>
            <w:tcBorders>
              <w:top w:val="single" w:sz="4" w:space="0" w:color="auto"/>
              <w:left w:val="single" w:sz="4" w:space="0" w:color="auto"/>
              <w:bottom w:val="single" w:sz="4" w:space="0" w:color="auto"/>
              <w:right w:val="single" w:sz="4" w:space="0" w:color="auto"/>
            </w:tcBorders>
            <w:hideMark/>
          </w:tcPr>
          <w:p w14:paraId="5EC9DA96" w14:textId="77777777" w:rsidR="00B4737D" w:rsidRPr="00B4737D" w:rsidRDefault="00B4737D" w:rsidP="009257ED">
            <w:pPr>
              <w:ind w:left="32"/>
              <w:rPr>
                <w:sz w:val="24"/>
                <w:szCs w:val="24"/>
                <w:u w:val="single"/>
                <w:lang w:val="en-GB"/>
              </w:rPr>
            </w:pPr>
            <w:r w:rsidRPr="00B4737D">
              <w:rPr>
                <w:sz w:val="24"/>
                <w:szCs w:val="24"/>
                <w:lang w:val="en-GB"/>
              </w:rPr>
              <w:t>261 (9.7)</w:t>
            </w:r>
          </w:p>
        </w:tc>
        <w:tc>
          <w:tcPr>
            <w:tcW w:w="1218" w:type="pct"/>
            <w:tcBorders>
              <w:top w:val="single" w:sz="4" w:space="0" w:color="auto"/>
              <w:left w:val="single" w:sz="4" w:space="0" w:color="auto"/>
              <w:bottom w:val="single" w:sz="4" w:space="0" w:color="auto"/>
              <w:right w:val="single" w:sz="4" w:space="0" w:color="auto"/>
            </w:tcBorders>
            <w:hideMark/>
          </w:tcPr>
          <w:p w14:paraId="00D391E0" w14:textId="77777777" w:rsidR="00B4737D" w:rsidRPr="00B4737D" w:rsidRDefault="00B4737D" w:rsidP="009257ED">
            <w:pPr>
              <w:ind w:left="32"/>
              <w:rPr>
                <w:sz w:val="24"/>
                <w:szCs w:val="24"/>
                <w:u w:val="single"/>
                <w:lang w:val="en-GB"/>
              </w:rPr>
            </w:pPr>
            <w:r w:rsidRPr="00B4737D">
              <w:rPr>
                <w:sz w:val="24"/>
                <w:szCs w:val="24"/>
                <w:lang w:val="en-GB"/>
              </w:rPr>
              <w:t>0.44 (0.36, 0.55)</w:t>
            </w:r>
          </w:p>
        </w:tc>
      </w:tr>
      <w:tr w:rsidR="00B4737D" w:rsidRPr="00B4737D" w14:paraId="26E0BD5C" w14:textId="77777777" w:rsidTr="00B46CF9">
        <w:tc>
          <w:tcPr>
            <w:tcW w:w="1216" w:type="pct"/>
            <w:tcBorders>
              <w:top w:val="single" w:sz="4" w:space="0" w:color="auto"/>
              <w:left w:val="single" w:sz="4" w:space="0" w:color="auto"/>
              <w:bottom w:val="single" w:sz="4" w:space="0" w:color="auto"/>
              <w:right w:val="single" w:sz="4" w:space="0" w:color="auto"/>
            </w:tcBorders>
            <w:hideMark/>
          </w:tcPr>
          <w:p w14:paraId="5EDC79C6" w14:textId="77777777" w:rsidR="00B4737D" w:rsidRPr="00B4737D" w:rsidRDefault="00B4737D" w:rsidP="009257ED">
            <w:pPr>
              <w:ind w:left="32"/>
              <w:rPr>
                <w:sz w:val="24"/>
                <w:szCs w:val="24"/>
                <w:u w:val="single"/>
                <w:lang w:val="en-GB"/>
              </w:rPr>
            </w:pPr>
            <w:r w:rsidRPr="00B4737D">
              <w:rPr>
                <w:sz w:val="24"/>
                <w:szCs w:val="24"/>
                <w:lang w:val="en-GB"/>
              </w:rPr>
              <w:t xml:space="preserve">Minor </w:t>
            </w:r>
          </w:p>
        </w:tc>
        <w:tc>
          <w:tcPr>
            <w:tcW w:w="1218" w:type="pct"/>
            <w:tcBorders>
              <w:top w:val="single" w:sz="4" w:space="0" w:color="auto"/>
              <w:left w:val="single" w:sz="4" w:space="0" w:color="auto"/>
              <w:bottom w:val="single" w:sz="4" w:space="0" w:color="auto"/>
              <w:right w:val="single" w:sz="4" w:space="0" w:color="auto"/>
            </w:tcBorders>
            <w:hideMark/>
          </w:tcPr>
          <w:p w14:paraId="4B388DF3" w14:textId="77777777" w:rsidR="00B4737D" w:rsidRPr="00B4737D" w:rsidRDefault="00B4737D" w:rsidP="009257ED">
            <w:pPr>
              <w:ind w:left="32"/>
              <w:rPr>
                <w:sz w:val="24"/>
                <w:szCs w:val="24"/>
                <w:u w:val="single"/>
                <w:lang w:val="en-GB"/>
              </w:rPr>
            </w:pPr>
            <w:r w:rsidRPr="00B4737D">
              <w:rPr>
                <w:sz w:val="24"/>
                <w:szCs w:val="24"/>
                <w:lang w:val="en-GB"/>
              </w:rPr>
              <w:t>313 (11.7)</w:t>
            </w:r>
          </w:p>
        </w:tc>
        <w:tc>
          <w:tcPr>
            <w:tcW w:w="1348" w:type="pct"/>
            <w:tcBorders>
              <w:top w:val="single" w:sz="4" w:space="0" w:color="auto"/>
              <w:left w:val="single" w:sz="4" w:space="0" w:color="auto"/>
              <w:bottom w:val="single" w:sz="4" w:space="0" w:color="auto"/>
              <w:right w:val="single" w:sz="4" w:space="0" w:color="auto"/>
            </w:tcBorders>
            <w:hideMark/>
          </w:tcPr>
          <w:p w14:paraId="53AA8821" w14:textId="77777777" w:rsidR="00B4737D" w:rsidRPr="00B4737D" w:rsidRDefault="00B4737D" w:rsidP="009257ED">
            <w:pPr>
              <w:ind w:left="32"/>
              <w:rPr>
                <w:sz w:val="24"/>
                <w:szCs w:val="24"/>
                <w:u w:val="single"/>
                <w:lang w:val="en-GB"/>
              </w:rPr>
            </w:pPr>
            <w:r w:rsidRPr="00B4737D">
              <w:rPr>
                <w:sz w:val="24"/>
                <w:szCs w:val="24"/>
                <w:lang w:val="en-GB"/>
              </w:rPr>
              <w:t>505 (18.8)</w:t>
            </w:r>
          </w:p>
        </w:tc>
        <w:tc>
          <w:tcPr>
            <w:tcW w:w="1218" w:type="pct"/>
            <w:tcBorders>
              <w:top w:val="single" w:sz="4" w:space="0" w:color="auto"/>
              <w:left w:val="single" w:sz="4" w:space="0" w:color="auto"/>
              <w:bottom w:val="single" w:sz="4" w:space="0" w:color="auto"/>
              <w:right w:val="single" w:sz="4" w:space="0" w:color="auto"/>
            </w:tcBorders>
            <w:hideMark/>
          </w:tcPr>
          <w:p w14:paraId="5035468F" w14:textId="77777777" w:rsidR="00B4737D" w:rsidRPr="00B4737D" w:rsidRDefault="00B4737D" w:rsidP="009257ED">
            <w:pPr>
              <w:ind w:left="32"/>
              <w:rPr>
                <w:sz w:val="24"/>
                <w:szCs w:val="24"/>
                <w:u w:val="single"/>
                <w:lang w:val="en-GB"/>
              </w:rPr>
            </w:pPr>
            <w:r w:rsidRPr="00B4737D">
              <w:rPr>
                <w:sz w:val="24"/>
                <w:szCs w:val="24"/>
                <w:lang w:val="en-GB"/>
              </w:rPr>
              <w:t>0.62 (0.54, 0.70)</w:t>
            </w:r>
          </w:p>
        </w:tc>
      </w:tr>
      <w:tr w:rsidR="00B4737D" w:rsidRPr="00B4737D" w14:paraId="4A88FE90" w14:textId="77777777" w:rsidTr="00B46CF9">
        <w:tc>
          <w:tcPr>
            <w:tcW w:w="1216" w:type="pct"/>
            <w:tcBorders>
              <w:top w:val="single" w:sz="4" w:space="0" w:color="auto"/>
              <w:left w:val="single" w:sz="4" w:space="0" w:color="auto"/>
              <w:bottom w:val="single" w:sz="4" w:space="0" w:color="auto"/>
              <w:right w:val="single" w:sz="4" w:space="0" w:color="auto"/>
            </w:tcBorders>
            <w:hideMark/>
          </w:tcPr>
          <w:p w14:paraId="16CD2AFF" w14:textId="77777777" w:rsidR="00B4737D" w:rsidRPr="00B4737D" w:rsidRDefault="00B4737D" w:rsidP="009257ED">
            <w:pPr>
              <w:ind w:left="32"/>
              <w:rPr>
                <w:sz w:val="24"/>
                <w:szCs w:val="24"/>
                <w:u w:val="single"/>
                <w:lang w:val="en-GB"/>
              </w:rPr>
            </w:pPr>
            <w:r w:rsidRPr="00B4737D">
              <w:rPr>
                <w:sz w:val="24"/>
                <w:szCs w:val="24"/>
                <w:lang w:val="en-GB"/>
              </w:rPr>
              <w:t xml:space="preserve">All </w:t>
            </w:r>
          </w:p>
        </w:tc>
        <w:tc>
          <w:tcPr>
            <w:tcW w:w="1218" w:type="pct"/>
            <w:tcBorders>
              <w:top w:val="single" w:sz="4" w:space="0" w:color="auto"/>
              <w:left w:val="single" w:sz="4" w:space="0" w:color="auto"/>
              <w:bottom w:val="single" w:sz="4" w:space="0" w:color="auto"/>
              <w:right w:val="single" w:sz="4" w:space="0" w:color="auto"/>
            </w:tcBorders>
            <w:hideMark/>
          </w:tcPr>
          <w:p w14:paraId="57F7316E" w14:textId="77777777" w:rsidR="00B4737D" w:rsidRPr="00B4737D" w:rsidRDefault="00B4737D" w:rsidP="009257ED">
            <w:pPr>
              <w:ind w:left="32"/>
              <w:rPr>
                <w:sz w:val="24"/>
                <w:szCs w:val="24"/>
                <w:u w:val="single"/>
                <w:lang w:val="en-GB"/>
              </w:rPr>
            </w:pPr>
            <w:r w:rsidRPr="00B4737D">
              <w:rPr>
                <w:sz w:val="24"/>
                <w:szCs w:val="24"/>
                <w:lang w:val="en-GB"/>
              </w:rPr>
              <w:t>402 (15.0)</w:t>
            </w:r>
          </w:p>
        </w:tc>
        <w:tc>
          <w:tcPr>
            <w:tcW w:w="1348" w:type="pct"/>
            <w:tcBorders>
              <w:top w:val="single" w:sz="4" w:space="0" w:color="auto"/>
              <w:left w:val="single" w:sz="4" w:space="0" w:color="auto"/>
              <w:bottom w:val="single" w:sz="4" w:space="0" w:color="auto"/>
              <w:right w:val="single" w:sz="4" w:space="0" w:color="auto"/>
            </w:tcBorders>
            <w:hideMark/>
          </w:tcPr>
          <w:p w14:paraId="41303D06" w14:textId="77777777" w:rsidR="00B4737D" w:rsidRPr="00B4737D" w:rsidRDefault="00B4737D" w:rsidP="009257ED">
            <w:pPr>
              <w:ind w:left="32"/>
              <w:rPr>
                <w:sz w:val="24"/>
                <w:szCs w:val="24"/>
                <w:u w:val="single"/>
                <w:lang w:val="en-GB"/>
              </w:rPr>
            </w:pPr>
            <w:r w:rsidRPr="00B4737D">
              <w:rPr>
                <w:sz w:val="24"/>
                <w:szCs w:val="24"/>
                <w:lang w:val="en-GB"/>
              </w:rPr>
              <w:t>676 (25.1)</w:t>
            </w:r>
          </w:p>
        </w:tc>
        <w:tc>
          <w:tcPr>
            <w:tcW w:w="1218" w:type="pct"/>
            <w:tcBorders>
              <w:top w:val="single" w:sz="4" w:space="0" w:color="auto"/>
              <w:left w:val="single" w:sz="4" w:space="0" w:color="auto"/>
              <w:bottom w:val="single" w:sz="4" w:space="0" w:color="auto"/>
              <w:right w:val="single" w:sz="4" w:space="0" w:color="auto"/>
            </w:tcBorders>
            <w:hideMark/>
          </w:tcPr>
          <w:p w14:paraId="72A1F6E1" w14:textId="77777777" w:rsidR="00B4737D" w:rsidRPr="00B4737D" w:rsidRDefault="00B4737D" w:rsidP="009257ED">
            <w:pPr>
              <w:ind w:left="32"/>
              <w:rPr>
                <w:sz w:val="24"/>
                <w:szCs w:val="24"/>
                <w:u w:val="single"/>
                <w:lang w:val="en-GB"/>
              </w:rPr>
            </w:pPr>
            <w:r w:rsidRPr="00B4737D">
              <w:rPr>
                <w:sz w:val="24"/>
                <w:szCs w:val="24"/>
                <w:lang w:val="en-GB"/>
              </w:rPr>
              <w:t>0.59 (0.53, 0.66)</w:t>
            </w:r>
          </w:p>
        </w:tc>
      </w:tr>
    </w:tbl>
    <w:p w14:paraId="049AB8A7" w14:textId="77777777" w:rsidR="00B4737D" w:rsidRPr="00B4737D" w:rsidRDefault="00B4737D" w:rsidP="009257ED">
      <w:pPr>
        <w:ind w:left="851"/>
        <w:rPr>
          <w:sz w:val="24"/>
          <w:szCs w:val="24"/>
          <w:u w:val="single"/>
          <w:lang w:val="en-GB"/>
        </w:rPr>
      </w:pPr>
    </w:p>
    <w:p w14:paraId="3EAA8615" w14:textId="77777777" w:rsidR="00B4737D" w:rsidRPr="00B4737D" w:rsidRDefault="00B4737D" w:rsidP="009257ED">
      <w:pPr>
        <w:ind w:left="851"/>
        <w:rPr>
          <w:sz w:val="24"/>
          <w:szCs w:val="24"/>
          <w:u w:val="single"/>
          <w:lang w:val="en-GB"/>
        </w:rPr>
      </w:pPr>
      <w:r w:rsidRPr="00B4737D">
        <w:rPr>
          <w:sz w:val="24"/>
          <w:szCs w:val="24"/>
          <w:lang w:val="en-GB"/>
        </w:rPr>
        <w:t>The adjudicated major bleeding and CRNM bleeding at any anatomical site were generally lower in the apixaban group as compared to the enoxaparin/warfarin group. Adjudicated ISTH major gastrointestinal bleeding occurred in 6 (0.2%) apixaban-treated patients and 17 (0.6%) enoxaparin/warfarin-treated patients.</w:t>
      </w:r>
    </w:p>
    <w:p w14:paraId="2EE69BF0" w14:textId="77777777" w:rsidR="00B4737D" w:rsidRPr="00B4737D" w:rsidRDefault="00B4737D" w:rsidP="009257ED">
      <w:pPr>
        <w:ind w:left="851"/>
        <w:rPr>
          <w:sz w:val="24"/>
          <w:szCs w:val="24"/>
          <w:u w:val="single"/>
          <w:lang w:val="en-GB"/>
        </w:rPr>
      </w:pPr>
    </w:p>
    <w:p w14:paraId="5FF90487" w14:textId="77777777" w:rsidR="00B4737D" w:rsidRPr="00B4737D" w:rsidRDefault="00B4737D" w:rsidP="009257ED">
      <w:pPr>
        <w:ind w:left="851"/>
        <w:rPr>
          <w:sz w:val="24"/>
          <w:szCs w:val="24"/>
          <w:u w:val="single"/>
          <w:lang w:val="en-GB"/>
        </w:rPr>
      </w:pPr>
      <w:r w:rsidRPr="00B4737D">
        <w:rPr>
          <w:i/>
          <w:iCs/>
          <w:sz w:val="24"/>
          <w:szCs w:val="24"/>
          <w:u w:val="single"/>
          <w:lang w:val="en-GB"/>
        </w:rPr>
        <w:t xml:space="preserve">AMPLIFY-EXT study </w:t>
      </w:r>
    </w:p>
    <w:p w14:paraId="6F2F8DAD" w14:textId="77777777" w:rsidR="00B4737D" w:rsidRPr="00B4737D" w:rsidRDefault="00B4737D" w:rsidP="009257ED">
      <w:pPr>
        <w:ind w:left="851"/>
        <w:rPr>
          <w:sz w:val="24"/>
          <w:szCs w:val="24"/>
          <w:lang w:val="en-GB"/>
        </w:rPr>
      </w:pPr>
      <w:r w:rsidRPr="00B4737D">
        <w:rPr>
          <w:sz w:val="24"/>
          <w:szCs w:val="24"/>
          <w:lang w:val="en-GB"/>
        </w:rPr>
        <w:t xml:space="preserve">In the AMPLIFY-EXT study a total of 2,482 adult patients were randomised to treatment with apixaban 2.5 mg twice daily orally, apixaban 5 mg twice daily orally, or placebo for 12 months after completing 6 to 12 months of initial anticoagulant treatment. Of these, 836 patients (33.7%) participated in the AMPLIFY study prior to </w:t>
      </w:r>
      <w:proofErr w:type="spellStart"/>
      <w:r w:rsidRPr="00B4737D">
        <w:rPr>
          <w:sz w:val="24"/>
          <w:szCs w:val="24"/>
          <w:lang w:val="en-GB"/>
        </w:rPr>
        <w:t>enrollment</w:t>
      </w:r>
      <w:proofErr w:type="spellEnd"/>
      <w:r w:rsidRPr="00B4737D">
        <w:rPr>
          <w:sz w:val="24"/>
          <w:szCs w:val="24"/>
          <w:lang w:val="en-GB"/>
        </w:rPr>
        <w:t xml:space="preserve"> in the AMPLIFY-EXT study. </w:t>
      </w:r>
    </w:p>
    <w:p w14:paraId="0E5B0F80" w14:textId="77777777" w:rsidR="00B4737D" w:rsidRPr="00B4737D" w:rsidRDefault="00B4737D" w:rsidP="009257ED">
      <w:pPr>
        <w:ind w:left="851"/>
        <w:rPr>
          <w:sz w:val="24"/>
          <w:szCs w:val="24"/>
          <w:lang w:val="en-GB"/>
        </w:rPr>
      </w:pPr>
      <w:r w:rsidRPr="00B4737D">
        <w:rPr>
          <w:sz w:val="24"/>
          <w:szCs w:val="24"/>
          <w:lang w:val="en-GB"/>
        </w:rPr>
        <w:t xml:space="preserve">The mean age was 56.7 years and 91.7% of randomised patients had unprovoked VTE events. </w:t>
      </w:r>
    </w:p>
    <w:p w14:paraId="566E5978" w14:textId="77777777" w:rsidR="00B4737D" w:rsidRPr="00B4737D" w:rsidRDefault="00B4737D" w:rsidP="009257ED">
      <w:pPr>
        <w:ind w:left="851"/>
        <w:rPr>
          <w:sz w:val="24"/>
          <w:szCs w:val="24"/>
          <w:u w:val="single"/>
          <w:lang w:val="en-GB"/>
        </w:rPr>
      </w:pPr>
      <w:r w:rsidRPr="00B4737D">
        <w:rPr>
          <w:sz w:val="24"/>
          <w:szCs w:val="24"/>
          <w:lang w:val="en-GB"/>
        </w:rPr>
        <w:lastRenderedPageBreak/>
        <w:t>In the study, both doses of apixaban were statistically superior to placebo in the primary endpoint of symptomatic, recurrent VTE (nonfatal DVT or nonfatal PE) or all-cause death (see Table 11).</w:t>
      </w:r>
    </w:p>
    <w:p w14:paraId="626B44BB" w14:textId="77777777" w:rsidR="00B4737D" w:rsidRPr="00B4737D" w:rsidRDefault="00B4737D" w:rsidP="00B4737D">
      <w:pPr>
        <w:tabs>
          <w:tab w:val="left" w:pos="851"/>
        </w:tabs>
        <w:ind w:left="851"/>
        <w:rPr>
          <w:sz w:val="24"/>
          <w:szCs w:val="24"/>
          <w:u w:val="single"/>
          <w:lang w:val="en-GB"/>
        </w:rPr>
      </w:pPr>
    </w:p>
    <w:p w14:paraId="4838A89A" w14:textId="77777777" w:rsidR="00B4737D" w:rsidRPr="00B4737D" w:rsidRDefault="00B4737D" w:rsidP="00B4737D">
      <w:pPr>
        <w:tabs>
          <w:tab w:val="left" w:pos="851"/>
        </w:tabs>
        <w:ind w:left="851"/>
        <w:rPr>
          <w:sz w:val="24"/>
          <w:szCs w:val="24"/>
          <w:u w:val="single"/>
          <w:lang w:val="en-GB"/>
        </w:rPr>
      </w:pPr>
      <w:r w:rsidRPr="00B4737D">
        <w:rPr>
          <w:b/>
          <w:bCs/>
          <w:sz w:val="24"/>
          <w:szCs w:val="24"/>
          <w:lang w:val="en-GB"/>
        </w:rPr>
        <w:t>Table 11: Efficacy results in the AMPLIFY-EXT study</w:t>
      </w:r>
    </w:p>
    <w:tbl>
      <w:tblPr>
        <w:tblStyle w:val="Tabel-Gitter"/>
        <w:tblW w:w="5000" w:type="pct"/>
        <w:tblLook w:val="04A0" w:firstRow="1" w:lastRow="0" w:firstColumn="1" w:lastColumn="0" w:noHBand="0" w:noVBand="1"/>
      </w:tblPr>
      <w:tblGrid>
        <w:gridCol w:w="2105"/>
        <w:gridCol w:w="1506"/>
        <w:gridCol w:w="1506"/>
        <w:gridCol w:w="1309"/>
        <w:gridCol w:w="1602"/>
        <w:gridCol w:w="1600"/>
      </w:tblGrid>
      <w:tr w:rsidR="00B4737D" w:rsidRPr="00B4737D" w14:paraId="58342F45" w14:textId="77777777" w:rsidTr="00B46CF9">
        <w:tc>
          <w:tcPr>
            <w:tcW w:w="1093" w:type="pct"/>
            <w:tcBorders>
              <w:top w:val="single" w:sz="4" w:space="0" w:color="auto"/>
              <w:left w:val="single" w:sz="4" w:space="0" w:color="auto"/>
              <w:bottom w:val="single" w:sz="4" w:space="0" w:color="auto"/>
              <w:right w:val="single" w:sz="4" w:space="0" w:color="auto"/>
            </w:tcBorders>
          </w:tcPr>
          <w:p w14:paraId="40A900A6" w14:textId="77777777" w:rsidR="00B4737D" w:rsidRPr="00B4737D" w:rsidRDefault="00B4737D" w:rsidP="00725A13">
            <w:pPr>
              <w:ind w:left="32"/>
              <w:rPr>
                <w:sz w:val="24"/>
                <w:szCs w:val="24"/>
                <w:u w:val="single"/>
                <w:lang w:val="en-GB"/>
              </w:rPr>
            </w:pPr>
          </w:p>
        </w:tc>
        <w:tc>
          <w:tcPr>
            <w:tcW w:w="782" w:type="pct"/>
            <w:tcBorders>
              <w:top w:val="single" w:sz="4" w:space="0" w:color="auto"/>
              <w:left w:val="single" w:sz="4" w:space="0" w:color="auto"/>
              <w:bottom w:val="single" w:sz="4" w:space="0" w:color="auto"/>
              <w:right w:val="single" w:sz="4" w:space="0" w:color="auto"/>
            </w:tcBorders>
            <w:hideMark/>
          </w:tcPr>
          <w:p w14:paraId="2E8ABEF1" w14:textId="77777777" w:rsidR="00B4737D" w:rsidRPr="00B4737D" w:rsidRDefault="00B4737D" w:rsidP="00725A13">
            <w:pPr>
              <w:ind w:left="32"/>
              <w:rPr>
                <w:sz w:val="24"/>
                <w:szCs w:val="24"/>
                <w:u w:val="single"/>
                <w:lang w:val="en-GB"/>
              </w:rPr>
            </w:pPr>
            <w:r w:rsidRPr="00B4737D">
              <w:rPr>
                <w:b/>
                <w:bCs/>
                <w:sz w:val="24"/>
                <w:szCs w:val="24"/>
                <w:lang w:val="en-GB"/>
              </w:rPr>
              <w:t>Apixaban</w:t>
            </w:r>
          </w:p>
        </w:tc>
        <w:tc>
          <w:tcPr>
            <w:tcW w:w="782" w:type="pct"/>
            <w:tcBorders>
              <w:top w:val="single" w:sz="4" w:space="0" w:color="auto"/>
              <w:left w:val="single" w:sz="4" w:space="0" w:color="auto"/>
              <w:bottom w:val="single" w:sz="4" w:space="0" w:color="auto"/>
              <w:right w:val="single" w:sz="4" w:space="0" w:color="auto"/>
            </w:tcBorders>
            <w:hideMark/>
          </w:tcPr>
          <w:p w14:paraId="1BCBE6D7" w14:textId="77777777" w:rsidR="00B4737D" w:rsidRPr="00B4737D" w:rsidRDefault="00B4737D" w:rsidP="00725A13">
            <w:pPr>
              <w:ind w:left="32"/>
              <w:rPr>
                <w:sz w:val="24"/>
                <w:szCs w:val="24"/>
                <w:u w:val="single"/>
                <w:lang w:val="en-GB"/>
              </w:rPr>
            </w:pPr>
            <w:r w:rsidRPr="00B4737D">
              <w:rPr>
                <w:b/>
                <w:bCs/>
                <w:sz w:val="24"/>
                <w:szCs w:val="24"/>
                <w:lang w:val="en-GB"/>
              </w:rPr>
              <w:t>Apixaban</w:t>
            </w:r>
          </w:p>
        </w:tc>
        <w:tc>
          <w:tcPr>
            <w:tcW w:w="680" w:type="pct"/>
            <w:tcBorders>
              <w:top w:val="single" w:sz="4" w:space="0" w:color="auto"/>
              <w:left w:val="single" w:sz="4" w:space="0" w:color="auto"/>
              <w:bottom w:val="single" w:sz="4" w:space="0" w:color="auto"/>
              <w:right w:val="single" w:sz="4" w:space="0" w:color="auto"/>
            </w:tcBorders>
            <w:hideMark/>
          </w:tcPr>
          <w:p w14:paraId="78637DED" w14:textId="77777777" w:rsidR="00B4737D" w:rsidRPr="00B4737D" w:rsidRDefault="00B4737D" w:rsidP="00725A13">
            <w:pPr>
              <w:ind w:left="32"/>
              <w:rPr>
                <w:sz w:val="24"/>
                <w:szCs w:val="24"/>
                <w:u w:val="single"/>
                <w:lang w:val="en-GB"/>
              </w:rPr>
            </w:pPr>
            <w:r w:rsidRPr="00B4737D">
              <w:rPr>
                <w:b/>
                <w:bCs/>
                <w:sz w:val="24"/>
                <w:szCs w:val="24"/>
                <w:lang w:val="en-GB"/>
              </w:rPr>
              <w:t>Placebo</w:t>
            </w:r>
          </w:p>
        </w:tc>
        <w:tc>
          <w:tcPr>
            <w:tcW w:w="1663" w:type="pct"/>
            <w:gridSpan w:val="2"/>
            <w:tcBorders>
              <w:top w:val="single" w:sz="4" w:space="0" w:color="auto"/>
              <w:left w:val="single" w:sz="4" w:space="0" w:color="auto"/>
              <w:bottom w:val="single" w:sz="4" w:space="0" w:color="auto"/>
              <w:right w:val="single" w:sz="4" w:space="0" w:color="auto"/>
            </w:tcBorders>
          </w:tcPr>
          <w:p w14:paraId="1BE2D34D" w14:textId="77777777" w:rsidR="00B4737D" w:rsidRPr="00B4737D" w:rsidRDefault="00B4737D" w:rsidP="00725A13">
            <w:pPr>
              <w:ind w:left="32"/>
              <w:rPr>
                <w:sz w:val="24"/>
                <w:szCs w:val="24"/>
                <w:lang w:val="en-US"/>
              </w:rPr>
            </w:pPr>
            <w:r w:rsidRPr="00B4737D">
              <w:rPr>
                <w:b/>
                <w:bCs/>
                <w:sz w:val="24"/>
                <w:szCs w:val="24"/>
                <w:lang w:val="en-US"/>
              </w:rPr>
              <w:t>Relative risk (95% CI)</w:t>
            </w:r>
          </w:p>
          <w:p w14:paraId="67D10185" w14:textId="77777777" w:rsidR="00B4737D" w:rsidRPr="00B4737D" w:rsidRDefault="00B4737D" w:rsidP="00725A13">
            <w:pPr>
              <w:ind w:left="32"/>
              <w:rPr>
                <w:sz w:val="24"/>
                <w:szCs w:val="24"/>
                <w:u w:val="single"/>
                <w:lang w:val="en-GB"/>
              </w:rPr>
            </w:pPr>
          </w:p>
        </w:tc>
      </w:tr>
      <w:tr w:rsidR="00B4737D" w:rsidRPr="00B4737D" w14:paraId="1A1B630B" w14:textId="77777777" w:rsidTr="00B46CF9">
        <w:tc>
          <w:tcPr>
            <w:tcW w:w="1093" w:type="pct"/>
            <w:tcBorders>
              <w:top w:val="single" w:sz="4" w:space="0" w:color="auto"/>
              <w:left w:val="single" w:sz="4" w:space="0" w:color="auto"/>
              <w:bottom w:val="single" w:sz="4" w:space="0" w:color="auto"/>
              <w:right w:val="single" w:sz="4" w:space="0" w:color="auto"/>
            </w:tcBorders>
          </w:tcPr>
          <w:p w14:paraId="65064FBE" w14:textId="77777777" w:rsidR="00B4737D" w:rsidRPr="00B4737D" w:rsidRDefault="00B4737D" w:rsidP="00725A13">
            <w:pPr>
              <w:ind w:left="32"/>
              <w:rPr>
                <w:sz w:val="24"/>
                <w:szCs w:val="24"/>
                <w:u w:val="single"/>
                <w:lang w:val="en-GB"/>
              </w:rPr>
            </w:pPr>
          </w:p>
        </w:tc>
        <w:tc>
          <w:tcPr>
            <w:tcW w:w="782" w:type="pct"/>
            <w:tcBorders>
              <w:top w:val="single" w:sz="4" w:space="0" w:color="auto"/>
              <w:left w:val="single" w:sz="4" w:space="0" w:color="auto"/>
              <w:bottom w:val="single" w:sz="4" w:space="0" w:color="auto"/>
              <w:right w:val="single" w:sz="4" w:space="0" w:color="auto"/>
            </w:tcBorders>
            <w:hideMark/>
          </w:tcPr>
          <w:p w14:paraId="3E2E1885" w14:textId="77777777" w:rsidR="00B4737D" w:rsidRPr="00B4737D" w:rsidRDefault="00B4737D" w:rsidP="00725A13">
            <w:pPr>
              <w:ind w:left="32"/>
              <w:rPr>
                <w:sz w:val="24"/>
                <w:szCs w:val="24"/>
                <w:lang w:val="en-US"/>
              </w:rPr>
            </w:pPr>
            <w:r w:rsidRPr="00B4737D">
              <w:rPr>
                <w:b/>
                <w:bCs/>
                <w:sz w:val="24"/>
                <w:szCs w:val="24"/>
                <w:lang w:val="en-US"/>
              </w:rPr>
              <w:t>2.5 mg</w:t>
            </w:r>
          </w:p>
          <w:p w14:paraId="096F80C2" w14:textId="77777777" w:rsidR="00B4737D" w:rsidRPr="00B4737D" w:rsidRDefault="00B4737D" w:rsidP="00725A13">
            <w:pPr>
              <w:ind w:left="32"/>
              <w:rPr>
                <w:sz w:val="24"/>
                <w:szCs w:val="24"/>
                <w:u w:val="single"/>
                <w:lang w:val="en-GB"/>
              </w:rPr>
            </w:pPr>
            <w:r w:rsidRPr="00B4737D">
              <w:rPr>
                <w:b/>
                <w:bCs/>
                <w:sz w:val="24"/>
                <w:szCs w:val="24"/>
                <w:lang w:val="en-GB"/>
              </w:rPr>
              <w:t>(N = 840)</w:t>
            </w:r>
          </w:p>
        </w:tc>
        <w:tc>
          <w:tcPr>
            <w:tcW w:w="782" w:type="pct"/>
            <w:tcBorders>
              <w:top w:val="single" w:sz="4" w:space="0" w:color="auto"/>
              <w:left w:val="single" w:sz="4" w:space="0" w:color="auto"/>
              <w:bottom w:val="single" w:sz="4" w:space="0" w:color="auto"/>
              <w:right w:val="single" w:sz="4" w:space="0" w:color="auto"/>
            </w:tcBorders>
            <w:hideMark/>
          </w:tcPr>
          <w:p w14:paraId="15AB4F2C" w14:textId="77777777" w:rsidR="00B4737D" w:rsidRPr="00B4737D" w:rsidRDefault="00B4737D" w:rsidP="00725A13">
            <w:pPr>
              <w:ind w:left="32"/>
              <w:rPr>
                <w:sz w:val="24"/>
                <w:szCs w:val="24"/>
                <w:lang w:val="en-US"/>
              </w:rPr>
            </w:pPr>
            <w:r w:rsidRPr="00B4737D">
              <w:rPr>
                <w:b/>
                <w:bCs/>
                <w:sz w:val="24"/>
                <w:szCs w:val="24"/>
                <w:lang w:val="en-US"/>
              </w:rPr>
              <w:t>5.0 mg</w:t>
            </w:r>
          </w:p>
          <w:p w14:paraId="68090367" w14:textId="77777777" w:rsidR="00B4737D" w:rsidRPr="00B4737D" w:rsidRDefault="00B4737D" w:rsidP="00725A13">
            <w:pPr>
              <w:ind w:left="32"/>
              <w:rPr>
                <w:sz w:val="24"/>
                <w:szCs w:val="24"/>
                <w:u w:val="single"/>
                <w:lang w:val="en-GB"/>
              </w:rPr>
            </w:pPr>
            <w:r w:rsidRPr="00B4737D">
              <w:rPr>
                <w:b/>
                <w:bCs/>
                <w:sz w:val="24"/>
                <w:szCs w:val="24"/>
                <w:lang w:val="en-GB"/>
              </w:rPr>
              <w:t>(N = 813)</w:t>
            </w:r>
          </w:p>
        </w:tc>
        <w:tc>
          <w:tcPr>
            <w:tcW w:w="680" w:type="pct"/>
            <w:tcBorders>
              <w:top w:val="single" w:sz="4" w:space="0" w:color="auto"/>
              <w:left w:val="single" w:sz="4" w:space="0" w:color="auto"/>
              <w:bottom w:val="single" w:sz="4" w:space="0" w:color="auto"/>
              <w:right w:val="single" w:sz="4" w:space="0" w:color="auto"/>
            </w:tcBorders>
            <w:hideMark/>
          </w:tcPr>
          <w:p w14:paraId="3CD47E01" w14:textId="77777777" w:rsidR="00B4737D" w:rsidRPr="00B4737D" w:rsidRDefault="00B4737D" w:rsidP="00725A13">
            <w:pPr>
              <w:ind w:left="32"/>
              <w:rPr>
                <w:sz w:val="24"/>
                <w:szCs w:val="24"/>
                <w:u w:val="single"/>
                <w:lang w:val="en-GB"/>
              </w:rPr>
            </w:pPr>
            <w:r w:rsidRPr="00B4737D">
              <w:rPr>
                <w:b/>
                <w:bCs/>
                <w:sz w:val="24"/>
                <w:szCs w:val="24"/>
                <w:lang w:val="en-GB"/>
              </w:rPr>
              <w:t>(N = 829)</w:t>
            </w:r>
          </w:p>
        </w:tc>
        <w:tc>
          <w:tcPr>
            <w:tcW w:w="832" w:type="pct"/>
            <w:tcBorders>
              <w:top w:val="single" w:sz="4" w:space="0" w:color="auto"/>
              <w:left w:val="single" w:sz="4" w:space="0" w:color="auto"/>
              <w:bottom w:val="single" w:sz="4" w:space="0" w:color="auto"/>
              <w:right w:val="single" w:sz="4" w:space="0" w:color="auto"/>
            </w:tcBorders>
            <w:hideMark/>
          </w:tcPr>
          <w:p w14:paraId="3EF2C24E" w14:textId="77777777" w:rsidR="00B4737D" w:rsidRPr="00B4737D" w:rsidRDefault="00B4737D" w:rsidP="00725A13">
            <w:pPr>
              <w:ind w:left="32"/>
              <w:rPr>
                <w:sz w:val="24"/>
                <w:szCs w:val="24"/>
                <w:lang w:val="en-US"/>
              </w:rPr>
            </w:pPr>
            <w:proofErr w:type="spellStart"/>
            <w:r w:rsidRPr="00B4737D">
              <w:rPr>
                <w:b/>
                <w:bCs/>
                <w:sz w:val="24"/>
                <w:szCs w:val="24"/>
                <w:lang w:val="en-US"/>
              </w:rPr>
              <w:t>Apix</w:t>
            </w:r>
            <w:proofErr w:type="spellEnd"/>
            <w:r w:rsidRPr="00B4737D">
              <w:rPr>
                <w:b/>
                <w:bCs/>
                <w:sz w:val="24"/>
                <w:szCs w:val="24"/>
                <w:lang w:val="en-US"/>
              </w:rPr>
              <w:t xml:space="preserve"> 2.5 mg</w:t>
            </w:r>
          </w:p>
          <w:p w14:paraId="0215114B" w14:textId="77777777" w:rsidR="00B4737D" w:rsidRPr="00B4737D" w:rsidRDefault="00B4737D" w:rsidP="00725A13">
            <w:pPr>
              <w:ind w:left="32"/>
              <w:rPr>
                <w:sz w:val="24"/>
                <w:szCs w:val="24"/>
                <w:u w:val="single"/>
                <w:lang w:val="en-GB"/>
              </w:rPr>
            </w:pPr>
            <w:r w:rsidRPr="00B4737D">
              <w:rPr>
                <w:b/>
                <w:bCs/>
                <w:sz w:val="24"/>
                <w:szCs w:val="24"/>
                <w:lang w:val="en-GB"/>
              </w:rPr>
              <w:t>vs. placebo</w:t>
            </w:r>
          </w:p>
        </w:tc>
        <w:tc>
          <w:tcPr>
            <w:tcW w:w="831" w:type="pct"/>
            <w:tcBorders>
              <w:top w:val="single" w:sz="4" w:space="0" w:color="auto"/>
              <w:left w:val="single" w:sz="4" w:space="0" w:color="auto"/>
              <w:bottom w:val="single" w:sz="4" w:space="0" w:color="auto"/>
              <w:right w:val="single" w:sz="4" w:space="0" w:color="auto"/>
            </w:tcBorders>
            <w:hideMark/>
          </w:tcPr>
          <w:p w14:paraId="7D450D62" w14:textId="77777777" w:rsidR="00B4737D" w:rsidRPr="00B4737D" w:rsidRDefault="00B4737D" w:rsidP="00725A13">
            <w:pPr>
              <w:ind w:left="32"/>
              <w:rPr>
                <w:sz w:val="24"/>
                <w:szCs w:val="24"/>
                <w:lang w:val="en-US"/>
              </w:rPr>
            </w:pPr>
            <w:proofErr w:type="spellStart"/>
            <w:r w:rsidRPr="00B4737D">
              <w:rPr>
                <w:b/>
                <w:bCs/>
                <w:sz w:val="24"/>
                <w:szCs w:val="24"/>
                <w:lang w:val="en-US"/>
              </w:rPr>
              <w:t>Apix</w:t>
            </w:r>
            <w:proofErr w:type="spellEnd"/>
            <w:r w:rsidRPr="00B4737D">
              <w:rPr>
                <w:b/>
                <w:bCs/>
                <w:sz w:val="24"/>
                <w:szCs w:val="24"/>
                <w:lang w:val="en-US"/>
              </w:rPr>
              <w:t xml:space="preserve"> 5.0 mg</w:t>
            </w:r>
          </w:p>
          <w:p w14:paraId="5D1F7013" w14:textId="77777777" w:rsidR="00B4737D" w:rsidRPr="00B4737D" w:rsidRDefault="00B4737D" w:rsidP="00725A13">
            <w:pPr>
              <w:ind w:left="32"/>
              <w:rPr>
                <w:sz w:val="24"/>
                <w:szCs w:val="24"/>
                <w:u w:val="single"/>
                <w:lang w:val="en-GB"/>
              </w:rPr>
            </w:pPr>
            <w:r w:rsidRPr="00B4737D">
              <w:rPr>
                <w:b/>
                <w:bCs/>
                <w:sz w:val="24"/>
                <w:szCs w:val="24"/>
                <w:lang w:val="en-GB"/>
              </w:rPr>
              <w:t>vs. placebo</w:t>
            </w:r>
          </w:p>
        </w:tc>
      </w:tr>
      <w:tr w:rsidR="00B4737D" w:rsidRPr="00B4737D" w14:paraId="21F6F288" w14:textId="77777777" w:rsidTr="00B46CF9">
        <w:tc>
          <w:tcPr>
            <w:tcW w:w="1093" w:type="pct"/>
            <w:tcBorders>
              <w:top w:val="single" w:sz="4" w:space="0" w:color="auto"/>
              <w:left w:val="single" w:sz="4" w:space="0" w:color="auto"/>
              <w:bottom w:val="single" w:sz="4" w:space="0" w:color="auto"/>
              <w:right w:val="single" w:sz="4" w:space="0" w:color="auto"/>
            </w:tcBorders>
          </w:tcPr>
          <w:p w14:paraId="27B3642E" w14:textId="77777777" w:rsidR="00B4737D" w:rsidRPr="00B4737D" w:rsidRDefault="00B4737D" w:rsidP="00725A13">
            <w:pPr>
              <w:ind w:left="32"/>
              <w:rPr>
                <w:sz w:val="24"/>
                <w:szCs w:val="24"/>
                <w:u w:val="single"/>
                <w:lang w:val="en-GB"/>
              </w:rPr>
            </w:pPr>
          </w:p>
        </w:tc>
        <w:tc>
          <w:tcPr>
            <w:tcW w:w="2244" w:type="pct"/>
            <w:gridSpan w:val="3"/>
            <w:tcBorders>
              <w:top w:val="single" w:sz="4" w:space="0" w:color="auto"/>
              <w:left w:val="single" w:sz="4" w:space="0" w:color="auto"/>
              <w:bottom w:val="single" w:sz="4" w:space="0" w:color="auto"/>
              <w:right w:val="single" w:sz="4" w:space="0" w:color="auto"/>
            </w:tcBorders>
            <w:hideMark/>
          </w:tcPr>
          <w:p w14:paraId="2817019E" w14:textId="77777777" w:rsidR="00B4737D" w:rsidRPr="00B4737D" w:rsidRDefault="00B4737D" w:rsidP="00725A13">
            <w:pPr>
              <w:ind w:left="32"/>
              <w:rPr>
                <w:sz w:val="24"/>
                <w:szCs w:val="24"/>
                <w:u w:val="single"/>
                <w:lang w:val="en-US"/>
              </w:rPr>
            </w:pPr>
            <w:r w:rsidRPr="00B4737D">
              <w:rPr>
                <w:sz w:val="24"/>
                <w:szCs w:val="24"/>
                <w:lang w:val="en-US"/>
              </w:rPr>
              <w:t>n (%)</w:t>
            </w:r>
          </w:p>
        </w:tc>
        <w:tc>
          <w:tcPr>
            <w:tcW w:w="832" w:type="pct"/>
            <w:tcBorders>
              <w:top w:val="single" w:sz="4" w:space="0" w:color="auto"/>
              <w:left w:val="single" w:sz="4" w:space="0" w:color="auto"/>
              <w:bottom w:val="single" w:sz="4" w:space="0" w:color="auto"/>
              <w:right w:val="single" w:sz="4" w:space="0" w:color="auto"/>
            </w:tcBorders>
          </w:tcPr>
          <w:p w14:paraId="15A5DA20" w14:textId="77777777" w:rsidR="00B4737D" w:rsidRPr="00B4737D" w:rsidRDefault="00B4737D" w:rsidP="00725A13">
            <w:pPr>
              <w:ind w:left="32"/>
              <w:rPr>
                <w:sz w:val="24"/>
                <w:szCs w:val="24"/>
                <w:u w:val="single"/>
                <w:lang w:val="en-GB"/>
              </w:rPr>
            </w:pPr>
          </w:p>
        </w:tc>
        <w:tc>
          <w:tcPr>
            <w:tcW w:w="831" w:type="pct"/>
            <w:tcBorders>
              <w:top w:val="single" w:sz="4" w:space="0" w:color="auto"/>
              <w:left w:val="single" w:sz="4" w:space="0" w:color="auto"/>
              <w:bottom w:val="single" w:sz="4" w:space="0" w:color="auto"/>
              <w:right w:val="single" w:sz="4" w:space="0" w:color="auto"/>
            </w:tcBorders>
          </w:tcPr>
          <w:p w14:paraId="16ADBB4B" w14:textId="77777777" w:rsidR="00B4737D" w:rsidRPr="00B4737D" w:rsidRDefault="00B4737D" w:rsidP="00725A13">
            <w:pPr>
              <w:ind w:left="32"/>
              <w:rPr>
                <w:sz w:val="24"/>
                <w:szCs w:val="24"/>
                <w:u w:val="single"/>
                <w:lang w:val="en-GB"/>
              </w:rPr>
            </w:pPr>
          </w:p>
        </w:tc>
      </w:tr>
      <w:tr w:rsidR="00B4737D" w:rsidRPr="00B4737D" w14:paraId="621A2851"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19C30D6C" w14:textId="77777777" w:rsidR="00B4737D" w:rsidRPr="00B4737D" w:rsidRDefault="00B4737D" w:rsidP="00725A13">
            <w:pPr>
              <w:ind w:left="32"/>
              <w:rPr>
                <w:sz w:val="24"/>
                <w:szCs w:val="24"/>
                <w:u w:val="single"/>
                <w:lang w:val="en-GB"/>
              </w:rPr>
            </w:pPr>
            <w:r w:rsidRPr="00B4737D">
              <w:rPr>
                <w:sz w:val="24"/>
                <w:szCs w:val="24"/>
                <w:lang w:val="en-GB"/>
              </w:rPr>
              <w:t xml:space="preserve">Recurrent VTE or all-cause death </w:t>
            </w:r>
          </w:p>
        </w:tc>
        <w:tc>
          <w:tcPr>
            <w:tcW w:w="782" w:type="pct"/>
            <w:tcBorders>
              <w:top w:val="single" w:sz="4" w:space="0" w:color="auto"/>
              <w:left w:val="single" w:sz="4" w:space="0" w:color="auto"/>
              <w:bottom w:val="single" w:sz="4" w:space="0" w:color="auto"/>
              <w:right w:val="single" w:sz="4" w:space="0" w:color="auto"/>
            </w:tcBorders>
            <w:hideMark/>
          </w:tcPr>
          <w:p w14:paraId="6AE69CAF" w14:textId="77777777" w:rsidR="00B4737D" w:rsidRPr="00B4737D" w:rsidRDefault="00B4737D" w:rsidP="00725A13">
            <w:pPr>
              <w:ind w:left="32"/>
              <w:rPr>
                <w:sz w:val="24"/>
                <w:szCs w:val="24"/>
                <w:u w:val="single"/>
                <w:lang w:val="en-GB"/>
              </w:rPr>
            </w:pPr>
            <w:r w:rsidRPr="00B4737D">
              <w:rPr>
                <w:sz w:val="24"/>
                <w:szCs w:val="24"/>
                <w:lang w:val="en-GB"/>
              </w:rPr>
              <w:t>19 (2.3)</w:t>
            </w:r>
          </w:p>
        </w:tc>
        <w:tc>
          <w:tcPr>
            <w:tcW w:w="782" w:type="pct"/>
            <w:tcBorders>
              <w:top w:val="single" w:sz="4" w:space="0" w:color="auto"/>
              <w:left w:val="single" w:sz="4" w:space="0" w:color="auto"/>
              <w:bottom w:val="single" w:sz="4" w:space="0" w:color="auto"/>
              <w:right w:val="single" w:sz="4" w:space="0" w:color="auto"/>
            </w:tcBorders>
            <w:hideMark/>
          </w:tcPr>
          <w:p w14:paraId="2C15C51C" w14:textId="77777777" w:rsidR="00B4737D" w:rsidRPr="00B4737D" w:rsidRDefault="00B4737D" w:rsidP="00725A13">
            <w:pPr>
              <w:ind w:left="32"/>
              <w:rPr>
                <w:sz w:val="24"/>
                <w:szCs w:val="24"/>
                <w:u w:val="single"/>
                <w:lang w:val="en-GB"/>
              </w:rPr>
            </w:pPr>
            <w:r w:rsidRPr="00B4737D">
              <w:rPr>
                <w:sz w:val="24"/>
                <w:szCs w:val="24"/>
                <w:lang w:val="en-GB"/>
              </w:rPr>
              <w:t>14 (1.7)</w:t>
            </w:r>
          </w:p>
        </w:tc>
        <w:tc>
          <w:tcPr>
            <w:tcW w:w="680" w:type="pct"/>
            <w:tcBorders>
              <w:top w:val="single" w:sz="4" w:space="0" w:color="auto"/>
              <w:left w:val="single" w:sz="4" w:space="0" w:color="auto"/>
              <w:bottom w:val="single" w:sz="4" w:space="0" w:color="auto"/>
              <w:right w:val="single" w:sz="4" w:space="0" w:color="auto"/>
            </w:tcBorders>
            <w:hideMark/>
          </w:tcPr>
          <w:p w14:paraId="5A378D6D" w14:textId="77777777" w:rsidR="00B4737D" w:rsidRPr="00B4737D" w:rsidRDefault="00B4737D" w:rsidP="00725A13">
            <w:pPr>
              <w:ind w:left="32"/>
              <w:rPr>
                <w:sz w:val="24"/>
                <w:szCs w:val="24"/>
                <w:u w:val="single"/>
                <w:lang w:val="en-GB"/>
              </w:rPr>
            </w:pPr>
            <w:r w:rsidRPr="00B4737D">
              <w:rPr>
                <w:sz w:val="24"/>
                <w:szCs w:val="24"/>
                <w:lang w:val="en-GB"/>
              </w:rPr>
              <w:t>77 (9.3)</w:t>
            </w:r>
          </w:p>
        </w:tc>
        <w:tc>
          <w:tcPr>
            <w:tcW w:w="832" w:type="pct"/>
            <w:tcBorders>
              <w:top w:val="single" w:sz="4" w:space="0" w:color="auto"/>
              <w:left w:val="single" w:sz="4" w:space="0" w:color="auto"/>
              <w:bottom w:val="single" w:sz="4" w:space="0" w:color="auto"/>
              <w:right w:val="single" w:sz="4" w:space="0" w:color="auto"/>
            </w:tcBorders>
            <w:hideMark/>
          </w:tcPr>
          <w:p w14:paraId="203968AA" w14:textId="77777777" w:rsidR="00B4737D" w:rsidRPr="00B4737D" w:rsidRDefault="00B4737D" w:rsidP="00725A13">
            <w:pPr>
              <w:ind w:left="32"/>
              <w:rPr>
                <w:sz w:val="24"/>
                <w:szCs w:val="24"/>
                <w:lang w:val="en-US"/>
              </w:rPr>
            </w:pPr>
            <w:r w:rsidRPr="00B4737D">
              <w:rPr>
                <w:sz w:val="24"/>
                <w:szCs w:val="24"/>
                <w:lang w:val="en-US"/>
              </w:rPr>
              <w:t>0.24</w:t>
            </w:r>
          </w:p>
          <w:p w14:paraId="557101F8" w14:textId="77777777" w:rsidR="00B4737D" w:rsidRPr="00B4737D" w:rsidRDefault="00B4737D" w:rsidP="00725A13">
            <w:pPr>
              <w:ind w:left="32"/>
              <w:rPr>
                <w:sz w:val="24"/>
                <w:szCs w:val="24"/>
                <w:u w:val="single"/>
                <w:lang w:val="en-GB"/>
              </w:rPr>
            </w:pPr>
            <w:r w:rsidRPr="00B4737D">
              <w:rPr>
                <w:sz w:val="24"/>
                <w:szCs w:val="24"/>
                <w:lang w:val="en-GB"/>
              </w:rPr>
              <w:t xml:space="preserve">(0.15, </w:t>
            </w:r>
            <w:proofErr w:type="gramStart"/>
            <w:r w:rsidRPr="00B4737D">
              <w:rPr>
                <w:sz w:val="24"/>
                <w:szCs w:val="24"/>
                <w:lang w:val="en-GB"/>
              </w:rPr>
              <w:t>0.40)</w:t>
            </w:r>
            <w:r w:rsidRPr="00B4737D">
              <w:rPr>
                <w:sz w:val="24"/>
                <w:szCs w:val="24"/>
                <w:vertAlign w:val="superscript"/>
                <w:lang w:val="en-GB"/>
              </w:rPr>
              <w:t>¥</w:t>
            </w:r>
            <w:proofErr w:type="gramEnd"/>
          </w:p>
        </w:tc>
        <w:tc>
          <w:tcPr>
            <w:tcW w:w="831" w:type="pct"/>
            <w:tcBorders>
              <w:top w:val="single" w:sz="4" w:space="0" w:color="auto"/>
              <w:left w:val="single" w:sz="4" w:space="0" w:color="auto"/>
              <w:bottom w:val="single" w:sz="4" w:space="0" w:color="auto"/>
              <w:right w:val="single" w:sz="4" w:space="0" w:color="auto"/>
            </w:tcBorders>
            <w:hideMark/>
          </w:tcPr>
          <w:p w14:paraId="6B657A7B" w14:textId="77777777" w:rsidR="00B4737D" w:rsidRPr="00B4737D" w:rsidRDefault="00B4737D" w:rsidP="00725A13">
            <w:pPr>
              <w:ind w:left="32"/>
              <w:rPr>
                <w:sz w:val="24"/>
                <w:szCs w:val="24"/>
                <w:lang w:val="en-US"/>
              </w:rPr>
            </w:pPr>
            <w:r w:rsidRPr="00B4737D">
              <w:rPr>
                <w:sz w:val="24"/>
                <w:szCs w:val="24"/>
                <w:lang w:val="en-US"/>
              </w:rPr>
              <w:t>0.19</w:t>
            </w:r>
          </w:p>
          <w:p w14:paraId="2F18B666" w14:textId="77777777" w:rsidR="00B4737D" w:rsidRPr="00B4737D" w:rsidRDefault="00B4737D" w:rsidP="00725A13">
            <w:pPr>
              <w:ind w:left="32"/>
              <w:rPr>
                <w:sz w:val="24"/>
                <w:szCs w:val="24"/>
                <w:u w:val="single"/>
                <w:lang w:val="en-GB"/>
              </w:rPr>
            </w:pPr>
            <w:r w:rsidRPr="00B4737D">
              <w:rPr>
                <w:sz w:val="24"/>
                <w:szCs w:val="24"/>
                <w:lang w:val="en-GB"/>
              </w:rPr>
              <w:t xml:space="preserve">(0.11, </w:t>
            </w:r>
            <w:proofErr w:type="gramStart"/>
            <w:r w:rsidRPr="00B4737D">
              <w:rPr>
                <w:sz w:val="24"/>
                <w:szCs w:val="24"/>
                <w:lang w:val="en-GB"/>
              </w:rPr>
              <w:t>0.33)</w:t>
            </w:r>
            <w:r w:rsidRPr="00B4737D">
              <w:rPr>
                <w:sz w:val="24"/>
                <w:szCs w:val="24"/>
                <w:vertAlign w:val="superscript"/>
                <w:lang w:val="en-GB"/>
              </w:rPr>
              <w:t>¥</w:t>
            </w:r>
            <w:proofErr w:type="gramEnd"/>
          </w:p>
        </w:tc>
      </w:tr>
      <w:tr w:rsidR="00B4737D" w:rsidRPr="00B4737D" w14:paraId="73889C7C"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20898D49" w14:textId="77777777" w:rsidR="00B4737D" w:rsidRPr="00B4737D" w:rsidRDefault="00B4737D" w:rsidP="00725A13">
            <w:pPr>
              <w:ind w:left="32"/>
              <w:rPr>
                <w:sz w:val="24"/>
                <w:szCs w:val="24"/>
                <w:u w:val="single"/>
                <w:lang w:val="en-GB"/>
              </w:rPr>
            </w:pPr>
            <w:r w:rsidRPr="00B4737D">
              <w:rPr>
                <w:sz w:val="24"/>
                <w:szCs w:val="24"/>
                <w:lang w:val="en-GB"/>
              </w:rPr>
              <w:t xml:space="preserve">   DVT* </w:t>
            </w:r>
          </w:p>
        </w:tc>
        <w:tc>
          <w:tcPr>
            <w:tcW w:w="782" w:type="pct"/>
            <w:tcBorders>
              <w:top w:val="single" w:sz="4" w:space="0" w:color="auto"/>
              <w:left w:val="single" w:sz="4" w:space="0" w:color="auto"/>
              <w:bottom w:val="single" w:sz="4" w:space="0" w:color="auto"/>
              <w:right w:val="single" w:sz="4" w:space="0" w:color="auto"/>
            </w:tcBorders>
            <w:hideMark/>
          </w:tcPr>
          <w:p w14:paraId="57FDE589" w14:textId="77777777" w:rsidR="00B4737D" w:rsidRPr="00B4737D" w:rsidRDefault="00B4737D" w:rsidP="00725A13">
            <w:pPr>
              <w:ind w:left="32"/>
              <w:rPr>
                <w:sz w:val="24"/>
                <w:szCs w:val="24"/>
                <w:u w:val="single"/>
                <w:lang w:val="en-GB"/>
              </w:rPr>
            </w:pPr>
            <w:r w:rsidRPr="00B4737D">
              <w:rPr>
                <w:sz w:val="24"/>
                <w:szCs w:val="24"/>
                <w:lang w:val="en-GB"/>
              </w:rPr>
              <w:t>6 (0.7)</w:t>
            </w:r>
          </w:p>
        </w:tc>
        <w:tc>
          <w:tcPr>
            <w:tcW w:w="782" w:type="pct"/>
            <w:tcBorders>
              <w:top w:val="single" w:sz="4" w:space="0" w:color="auto"/>
              <w:left w:val="single" w:sz="4" w:space="0" w:color="auto"/>
              <w:bottom w:val="single" w:sz="4" w:space="0" w:color="auto"/>
              <w:right w:val="single" w:sz="4" w:space="0" w:color="auto"/>
            </w:tcBorders>
            <w:hideMark/>
          </w:tcPr>
          <w:p w14:paraId="425BA591" w14:textId="77777777" w:rsidR="00B4737D" w:rsidRPr="00B4737D" w:rsidRDefault="00B4737D" w:rsidP="00725A13">
            <w:pPr>
              <w:ind w:left="32"/>
              <w:rPr>
                <w:sz w:val="24"/>
                <w:szCs w:val="24"/>
                <w:u w:val="single"/>
                <w:lang w:val="en-GB"/>
              </w:rPr>
            </w:pPr>
            <w:r w:rsidRPr="00B4737D">
              <w:rPr>
                <w:sz w:val="24"/>
                <w:szCs w:val="24"/>
                <w:lang w:val="en-GB"/>
              </w:rPr>
              <w:t>7 (0.9)</w:t>
            </w:r>
          </w:p>
        </w:tc>
        <w:tc>
          <w:tcPr>
            <w:tcW w:w="680" w:type="pct"/>
            <w:tcBorders>
              <w:top w:val="single" w:sz="4" w:space="0" w:color="auto"/>
              <w:left w:val="single" w:sz="4" w:space="0" w:color="auto"/>
              <w:bottom w:val="single" w:sz="4" w:space="0" w:color="auto"/>
              <w:right w:val="single" w:sz="4" w:space="0" w:color="auto"/>
            </w:tcBorders>
            <w:hideMark/>
          </w:tcPr>
          <w:p w14:paraId="50EB7BA0" w14:textId="77777777" w:rsidR="00B4737D" w:rsidRPr="00B4737D" w:rsidRDefault="00B4737D" w:rsidP="00725A13">
            <w:pPr>
              <w:ind w:left="32"/>
              <w:rPr>
                <w:sz w:val="24"/>
                <w:szCs w:val="24"/>
                <w:u w:val="single"/>
                <w:lang w:val="en-GB"/>
              </w:rPr>
            </w:pPr>
            <w:r w:rsidRPr="00B4737D">
              <w:rPr>
                <w:sz w:val="24"/>
                <w:szCs w:val="24"/>
                <w:u w:val="single"/>
                <w:lang w:val="en-GB"/>
              </w:rPr>
              <w:t>53 (6.4)</w:t>
            </w:r>
          </w:p>
        </w:tc>
        <w:tc>
          <w:tcPr>
            <w:tcW w:w="832" w:type="pct"/>
            <w:tcBorders>
              <w:top w:val="single" w:sz="4" w:space="0" w:color="auto"/>
              <w:left w:val="single" w:sz="4" w:space="0" w:color="auto"/>
              <w:bottom w:val="single" w:sz="4" w:space="0" w:color="auto"/>
              <w:right w:val="single" w:sz="4" w:space="0" w:color="auto"/>
            </w:tcBorders>
          </w:tcPr>
          <w:p w14:paraId="74F27BB1" w14:textId="77777777" w:rsidR="00B4737D" w:rsidRPr="00B4737D" w:rsidRDefault="00B4737D" w:rsidP="00725A13">
            <w:pPr>
              <w:ind w:left="32"/>
              <w:rPr>
                <w:sz w:val="24"/>
                <w:szCs w:val="24"/>
                <w:u w:val="single"/>
                <w:lang w:val="en-GB"/>
              </w:rPr>
            </w:pPr>
          </w:p>
        </w:tc>
        <w:tc>
          <w:tcPr>
            <w:tcW w:w="831" w:type="pct"/>
            <w:tcBorders>
              <w:top w:val="single" w:sz="4" w:space="0" w:color="auto"/>
              <w:left w:val="single" w:sz="4" w:space="0" w:color="auto"/>
              <w:bottom w:val="single" w:sz="4" w:space="0" w:color="auto"/>
              <w:right w:val="single" w:sz="4" w:space="0" w:color="auto"/>
            </w:tcBorders>
          </w:tcPr>
          <w:p w14:paraId="15803BF3" w14:textId="77777777" w:rsidR="00B4737D" w:rsidRPr="00B4737D" w:rsidRDefault="00B4737D" w:rsidP="00725A13">
            <w:pPr>
              <w:ind w:left="32"/>
              <w:rPr>
                <w:sz w:val="24"/>
                <w:szCs w:val="24"/>
                <w:u w:val="single"/>
                <w:lang w:val="en-GB"/>
              </w:rPr>
            </w:pPr>
          </w:p>
        </w:tc>
      </w:tr>
      <w:tr w:rsidR="00B4737D" w:rsidRPr="00B4737D" w14:paraId="53EF2217"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5AE83EA0" w14:textId="77777777" w:rsidR="00B4737D" w:rsidRPr="00B4737D" w:rsidRDefault="00B4737D" w:rsidP="00725A13">
            <w:pPr>
              <w:ind w:left="32"/>
              <w:rPr>
                <w:sz w:val="24"/>
                <w:szCs w:val="24"/>
                <w:u w:val="single"/>
                <w:lang w:val="en-GB"/>
              </w:rPr>
            </w:pPr>
            <w:r w:rsidRPr="00B4737D">
              <w:rPr>
                <w:sz w:val="24"/>
                <w:szCs w:val="24"/>
                <w:lang w:val="en-GB"/>
              </w:rPr>
              <w:t xml:space="preserve">   PE* </w:t>
            </w:r>
          </w:p>
        </w:tc>
        <w:tc>
          <w:tcPr>
            <w:tcW w:w="782" w:type="pct"/>
            <w:tcBorders>
              <w:top w:val="single" w:sz="4" w:space="0" w:color="auto"/>
              <w:left w:val="single" w:sz="4" w:space="0" w:color="auto"/>
              <w:bottom w:val="single" w:sz="4" w:space="0" w:color="auto"/>
              <w:right w:val="single" w:sz="4" w:space="0" w:color="auto"/>
            </w:tcBorders>
            <w:hideMark/>
          </w:tcPr>
          <w:p w14:paraId="1AB76A73" w14:textId="77777777" w:rsidR="00B4737D" w:rsidRPr="00B4737D" w:rsidRDefault="00B4737D" w:rsidP="00725A13">
            <w:pPr>
              <w:ind w:left="32"/>
              <w:rPr>
                <w:sz w:val="24"/>
                <w:szCs w:val="24"/>
                <w:u w:val="single"/>
                <w:lang w:val="en-GB"/>
              </w:rPr>
            </w:pPr>
            <w:r w:rsidRPr="00B4737D">
              <w:rPr>
                <w:sz w:val="24"/>
                <w:szCs w:val="24"/>
                <w:lang w:val="en-GB"/>
              </w:rPr>
              <w:t>7 (0.8)</w:t>
            </w:r>
          </w:p>
        </w:tc>
        <w:tc>
          <w:tcPr>
            <w:tcW w:w="782" w:type="pct"/>
            <w:tcBorders>
              <w:top w:val="single" w:sz="4" w:space="0" w:color="auto"/>
              <w:left w:val="single" w:sz="4" w:space="0" w:color="auto"/>
              <w:bottom w:val="single" w:sz="4" w:space="0" w:color="auto"/>
              <w:right w:val="single" w:sz="4" w:space="0" w:color="auto"/>
            </w:tcBorders>
            <w:hideMark/>
          </w:tcPr>
          <w:p w14:paraId="097B8DF4" w14:textId="77777777" w:rsidR="00B4737D" w:rsidRPr="00B4737D" w:rsidRDefault="00B4737D" w:rsidP="00725A13">
            <w:pPr>
              <w:ind w:left="32"/>
              <w:rPr>
                <w:sz w:val="24"/>
                <w:szCs w:val="24"/>
                <w:u w:val="single"/>
                <w:lang w:val="en-GB"/>
              </w:rPr>
            </w:pPr>
            <w:r w:rsidRPr="00B4737D">
              <w:rPr>
                <w:sz w:val="24"/>
                <w:szCs w:val="24"/>
                <w:lang w:val="en-GB"/>
              </w:rPr>
              <w:t>4 (0.5)</w:t>
            </w:r>
          </w:p>
        </w:tc>
        <w:tc>
          <w:tcPr>
            <w:tcW w:w="680" w:type="pct"/>
            <w:tcBorders>
              <w:top w:val="single" w:sz="4" w:space="0" w:color="auto"/>
              <w:left w:val="single" w:sz="4" w:space="0" w:color="auto"/>
              <w:bottom w:val="single" w:sz="4" w:space="0" w:color="auto"/>
              <w:right w:val="single" w:sz="4" w:space="0" w:color="auto"/>
            </w:tcBorders>
            <w:hideMark/>
          </w:tcPr>
          <w:p w14:paraId="64018AC0" w14:textId="77777777" w:rsidR="00B4737D" w:rsidRPr="00B4737D" w:rsidRDefault="00B4737D" w:rsidP="00725A13">
            <w:pPr>
              <w:ind w:left="32"/>
              <w:rPr>
                <w:sz w:val="24"/>
                <w:szCs w:val="24"/>
                <w:lang w:val="en-GB"/>
              </w:rPr>
            </w:pPr>
            <w:r w:rsidRPr="00B4737D">
              <w:rPr>
                <w:sz w:val="24"/>
                <w:szCs w:val="24"/>
                <w:lang w:val="en-GB"/>
              </w:rPr>
              <w:t>13 (1.6)</w:t>
            </w:r>
          </w:p>
        </w:tc>
        <w:tc>
          <w:tcPr>
            <w:tcW w:w="832" w:type="pct"/>
            <w:tcBorders>
              <w:top w:val="single" w:sz="4" w:space="0" w:color="auto"/>
              <w:left w:val="single" w:sz="4" w:space="0" w:color="auto"/>
              <w:bottom w:val="single" w:sz="4" w:space="0" w:color="auto"/>
              <w:right w:val="single" w:sz="4" w:space="0" w:color="auto"/>
            </w:tcBorders>
          </w:tcPr>
          <w:p w14:paraId="2A34E209" w14:textId="77777777" w:rsidR="00B4737D" w:rsidRPr="00B4737D" w:rsidRDefault="00B4737D" w:rsidP="00725A13">
            <w:pPr>
              <w:ind w:left="32"/>
              <w:rPr>
                <w:sz w:val="24"/>
                <w:szCs w:val="24"/>
                <w:u w:val="single"/>
                <w:lang w:val="en-GB"/>
              </w:rPr>
            </w:pPr>
          </w:p>
        </w:tc>
        <w:tc>
          <w:tcPr>
            <w:tcW w:w="831" w:type="pct"/>
            <w:tcBorders>
              <w:top w:val="single" w:sz="4" w:space="0" w:color="auto"/>
              <w:left w:val="single" w:sz="4" w:space="0" w:color="auto"/>
              <w:bottom w:val="single" w:sz="4" w:space="0" w:color="auto"/>
              <w:right w:val="single" w:sz="4" w:space="0" w:color="auto"/>
            </w:tcBorders>
          </w:tcPr>
          <w:p w14:paraId="49D03787" w14:textId="77777777" w:rsidR="00B4737D" w:rsidRPr="00B4737D" w:rsidRDefault="00B4737D" w:rsidP="00725A13">
            <w:pPr>
              <w:ind w:left="32"/>
              <w:rPr>
                <w:sz w:val="24"/>
                <w:szCs w:val="24"/>
                <w:u w:val="single"/>
                <w:lang w:val="en-GB"/>
              </w:rPr>
            </w:pPr>
          </w:p>
        </w:tc>
      </w:tr>
      <w:tr w:rsidR="00B4737D" w:rsidRPr="00B4737D" w14:paraId="65545D42"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17FBA35A" w14:textId="77777777" w:rsidR="00B4737D" w:rsidRPr="00B4737D" w:rsidRDefault="00B4737D" w:rsidP="00725A13">
            <w:pPr>
              <w:ind w:left="32"/>
              <w:rPr>
                <w:sz w:val="24"/>
                <w:szCs w:val="24"/>
                <w:u w:val="single"/>
                <w:lang w:val="en-GB"/>
              </w:rPr>
            </w:pPr>
            <w:r w:rsidRPr="00B4737D">
              <w:rPr>
                <w:sz w:val="24"/>
                <w:szCs w:val="24"/>
                <w:lang w:val="en-GB"/>
              </w:rPr>
              <w:t xml:space="preserve">   All-cause death </w:t>
            </w:r>
          </w:p>
        </w:tc>
        <w:tc>
          <w:tcPr>
            <w:tcW w:w="782" w:type="pct"/>
            <w:tcBorders>
              <w:top w:val="single" w:sz="4" w:space="0" w:color="auto"/>
              <w:left w:val="single" w:sz="4" w:space="0" w:color="auto"/>
              <w:bottom w:val="single" w:sz="4" w:space="0" w:color="auto"/>
              <w:right w:val="single" w:sz="4" w:space="0" w:color="auto"/>
            </w:tcBorders>
            <w:hideMark/>
          </w:tcPr>
          <w:p w14:paraId="2BB662C0" w14:textId="77777777" w:rsidR="00B4737D" w:rsidRPr="00B4737D" w:rsidRDefault="00B4737D" w:rsidP="00725A13">
            <w:pPr>
              <w:ind w:left="32"/>
              <w:rPr>
                <w:sz w:val="24"/>
                <w:szCs w:val="24"/>
                <w:u w:val="single"/>
                <w:lang w:val="en-GB"/>
              </w:rPr>
            </w:pPr>
            <w:r w:rsidRPr="00B4737D">
              <w:rPr>
                <w:sz w:val="24"/>
                <w:szCs w:val="24"/>
                <w:lang w:val="en-GB"/>
              </w:rPr>
              <w:t>6 (0.7)</w:t>
            </w:r>
          </w:p>
        </w:tc>
        <w:tc>
          <w:tcPr>
            <w:tcW w:w="782" w:type="pct"/>
            <w:tcBorders>
              <w:top w:val="single" w:sz="4" w:space="0" w:color="auto"/>
              <w:left w:val="single" w:sz="4" w:space="0" w:color="auto"/>
              <w:bottom w:val="single" w:sz="4" w:space="0" w:color="auto"/>
              <w:right w:val="single" w:sz="4" w:space="0" w:color="auto"/>
            </w:tcBorders>
            <w:hideMark/>
          </w:tcPr>
          <w:p w14:paraId="0EF73C4A" w14:textId="77777777" w:rsidR="00B4737D" w:rsidRPr="00B4737D" w:rsidRDefault="00B4737D" w:rsidP="00725A13">
            <w:pPr>
              <w:ind w:left="32"/>
              <w:rPr>
                <w:sz w:val="24"/>
                <w:szCs w:val="24"/>
                <w:u w:val="single"/>
                <w:lang w:val="en-GB"/>
              </w:rPr>
            </w:pPr>
            <w:r w:rsidRPr="00B4737D">
              <w:rPr>
                <w:sz w:val="24"/>
                <w:szCs w:val="24"/>
                <w:lang w:val="en-GB"/>
              </w:rPr>
              <w:t>3 (0.4)</w:t>
            </w:r>
          </w:p>
        </w:tc>
        <w:tc>
          <w:tcPr>
            <w:tcW w:w="680" w:type="pct"/>
            <w:tcBorders>
              <w:top w:val="single" w:sz="4" w:space="0" w:color="auto"/>
              <w:left w:val="single" w:sz="4" w:space="0" w:color="auto"/>
              <w:bottom w:val="single" w:sz="4" w:space="0" w:color="auto"/>
              <w:right w:val="single" w:sz="4" w:space="0" w:color="auto"/>
            </w:tcBorders>
            <w:hideMark/>
          </w:tcPr>
          <w:p w14:paraId="3DD0A2DF" w14:textId="77777777" w:rsidR="00B4737D" w:rsidRPr="00B4737D" w:rsidRDefault="00B4737D" w:rsidP="00725A13">
            <w:pPr>
              <w:ind w:left="32"/>
              <w:rPr>
                <w:sz w:val="24"/>
                <w:szCs w:val="24"/>
                <w:u w:val="single"/>
                <w:lang w:val="en-GB"/>
              </w:rPr>
            </w:pPr>
            <w:r w:rsidRPr="00B4737D">
              <w:rPr>
                <w:sz w:val="24"/>
                <w:szCs w:val="24"/>
                <w:u w:val="single"/>
                <w:lang w:val="en-GB"/>
              </w:rPr>
              <w:t>11 (1.3)</w:t>
            </w:r>
          </w:p>
        </w:tc>
        <w:tc>
          <w:tcPr>
            <w:tcW w:w="832" w:type="pct"/>
            <w:tcBorders>
              <w:top w:val="single" w:sz="4" w:space="0" w:color="auto"/>
              <w:left w:val="single" w:sz="4" w:space="0" w:color="auto"/>
              <w:bottom w:val="single" w:sz="4" w:space="0" w:color="auto"/>
              <w:right w:val="single" w:sz="4" w:space="0" w:color="auto"/>
            </w:tcBorders>
          </w:tcPr>
          <w:p w14:paraId="08052380" w14:textId="77777777" w:rsidR="00B4737D" w:rsidRPr="00B4737D" w:rsidRDefault="00B4737D" w:rsidP="00725A13">
            <w:pPr>
              <w:ind w:left="32"/>
              <w:rPr>
                <w:sz w:val="24"/>
                <w:szCs w:val="24"/>
                <w:u w:val="single"/>
                <w:lang w:val="en-GB"/>
              </w:rPr>
            </w:pPr>
          </w:p>
        </w:tc>
        <w:tc>
          <w:tcPr>
            <w:tcW w:w="831" w:type="pct"/>
            <w:tcBorders>
              <w:top w:val="single" w:sz="4" w:space="0" w:color="auto"/>
              <w:left w:val="single" w:sz="4" w:space="0" w:color="auto"/>
              <w:bottom w:val="single" w:sz="4" w:space="0" w:color="auto"/>
              <w:right w:val="single" w:sz="4" w:space="0" w:color="auto"/>
            </w:tcBorders>
          </w:tcPr>
          <w:p w14:paraId="482F9AD9" w14:textId="77777777" w:rsidR="00B4737D" w:rsidRPr="00B4737D" w:rsidRDefault="00B4737D" w:rsidP="00725A13">
            <w:pPr>
              <w:ind w:left="32"/>
              <w:rPr>
                <w:sz w:val="24"/>
                <w:szCs w:val="24"/>
                <w:u w:val="single"/>
                <w:lang w:val="en-GB"/>
              </w:rPr>
            </w:pPr>
          </w:p>
        </w:tc>
      </w:tr>
      <w:tr w:rsidR="00B4737D" w:rsidRPr="00B4737D" w14:paraId="7FE6C8AE"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708A926D" w14:textId="77777777" w:rsidR="00B4737D" w:rsidRPr="00B4737D" w:rsidRDefault="00B4737D" w:rsidP="00725A13">
            <w:pPr>
              <w:ind w:left="32"/>
              <w:rPr>
                <w:sz w:val="24"/>
                <w:szCs w:val="24"/>
                <w:u w:val="single"/>
                <w:lang w:val="en-GB"/>
              </w:rPr>
            </w:pPr>
            <w:r w:rsidRPr="00B4737D">
              <w:rPr>
                <w:sz w:val="24"/>
                <w:szCs w:val="24"/>
                <w:lang w:val="en-GB"/>
              </w:rPr>
              <w:t xml:space="preserve">Recurrent VTE or VTE-related death </w:t>
            </w:r>
          </w:p>
        </w:tc>
        <w:tc>
          <w:tcPr>
            <w:tcW w:w="782" w:type="pct"/>
            <w:tcBorders>
              <w:top w:val="single" w:sz="4" w:space="0" w:color="auto"/>
              <w:left w:val="single" w:sz="4" w:space="0" w:color="auto"/>
              <w:bottom w:val="single" w:sz="4" w:space="0" w:color="auto"/>
              <w:right w:val="single" w:sz="4" w:space="0" w:color="auto"/>
            </w:tcBorders>
            <w:hideMark/>
          </w:tcPr>
          <w:p w14:paraId="0F205D8E" w14:textId="77777777" w:rsidR="00B4737D" w:rsidRPr="00B4737D" w:rsidRDefault="00B4737D" w:rsidP="00725A13">
            <w:pPr>
              <w:ind w:left="32"/>
              <w:rPr>
                <w:sz w:val="24"/>
                <w:szCs w:val="24"/>
                <w:u w:val="single"/>
                <w:lang w:val="en-GB"/>
              </w:rPr>
            </w:pPr>
            <w:r w:rsidRPr="00B4737D">
              <w:rPr>
                <w:sz w:val="24"/>
                <w:szCs w:val="24"/>
                <w:lang w:val="en-GB"/>
              </w:rPr>
              <w:t>14 (1.7)</w:t>
            </w:r>
          </w:p>
        </w:tc>
        <w:tc>
          <w:tcPr>
            <w:tcW w:w="782" w:type="pct"/>
            <w:tcBorders>
              <w:top w:val="single" w:sz="4" w:space="0" w:color="auto"/>
              <w:left w:val="single" w:sz="4" w:space="0" w:color="auto"/>
              <w:bottom w:val="single" w:sz="4" w:space="0" w:color="auto"/>
              <w:right w:val="single" w:sz="4" w:space="0" w:color="auto"/>
            </w:tcBorders>
            <w:hideMark/>
          </w:tcPr>
          <w:p w14:paraId="67B1D119" w14:textId="77777777" w:rsidR="00B4737D" w:rsidRPr="00B4737D" w:rsidRDefault="00B4737D" w:rsidP="00725A13">
            <w:pPr>
              <w:ind w:left="32"/>
              <w:rPr>
                <w:sz w:val="24"/>
                <w:szCs w:val="24"/>
                <w:u w:val="single"/>
                <w:lang w:val="en-GB"/>
              </w:rPr>
            </w:pPr>
            <w:r w:rsidRPr="00B4737D">
              <w:rPr>
                <w:sz w:val="24"/>
                <w:szCs w:val="24"/>
                <w:lang w:val="en-GB"/>
              </w:rPr>
              <w:t>14 (1.7)</w:t>
            </w:r>
          </w:p>
        </w:tc>
        <w:tc>
          <w:tcPr>
            <w:tcW w:w="680" w:type="pct"/>
            <w:tcBorders>
              <w:top w:val="single" w:sz="4" w:space="0" w:color="auto"/>
              <w:left w:val="single" w:sz="4" w:space="0" w:color="auto"/>
              <w:bottom w:val="single" w:sz="4" w:space="0" w:color="auto"/>
              <w:right w:val="single" w:sz="4" w:space="0" w:color="auto"/>
            </w:tcBorders>
            <w:hideMark/>
          </w:tcPr>
          <w:p w14:paraId="2BAF94FC" w14:textId="77777777" w:rsidR="00B4737D" w:rsidRPr="00B4737D" w:rsidRDefault="00B4737D" w:rsidP="00725A13">
            <w:pPr>
              <w:ind w:left="32"/>
              <w:rPr>
                <w:sz w:val="24"/>
                <w:szCs w:val="24"/>
                <w:u w:val="single"/>
                <w:lang w:val="en-GB"/>
              </w:rPr>
            </w:pPr>
            <w:r w:rsidRPr="00B4737D">
              <w:rPr>
                <w:sz w:val="24"/>
                <w:szCs w:val="24"/>
                <w:lang w:val="en-GB"/>
              </w:rPr>
              <w:t>73 (8.8)</w:t>
            </w:r>
          </w:p>
        </w:tc>
        <w:tc>
          <w:tcPr>
            <w:tcW w:w="832" w:type="pct"/>
            <w:tcBorders>
              <w:top w:val="single" w:sz="4" w:space="0" w:color="auto"/>
              <w:left w:val="single" w:sz="4" w:space="0" w:color="auto"/>
              <w:bottom w:val="single" w:sz="4" w:space="0" w:color="auto"/>
              <w:right w:val="single" w:sz="4" w:space="0" w:color="auto"/>
            </w:tcBorders>
            <w:hideMark/>
          </w:tcPr>
          <w:p w14:paraId="09F3466A" w14:textId="77777777" w:rsidR="00B4737D" w:rsidRPr="00B4737D" w:rsidRDefault="00B4737D" w:rsidP="00725A13">
            <w:pPr>
              <w:ind w:left="32"/>
              <w:rPr>
                <w:sz w:val="24"/>
                <w:szCs w:val="24"/>
                <w:lang w:val="en-US"/>
              </w:rPr>
            </w:pPr>
            <w:r w:rsidRPr="00B4737D">
              <w:rPr>
                <w:sz w:val="24"/>
                <w:szCs w:val="24"/>
                <w:lang w:val="en-US"/>
              </w:rPr>
              <w:t>0.19</w:t>
            </w:r>
          </w:p>
          <w:p w14:paraId="54E11331" w14:textId="77777777" w:rsidR="00B4737D" w:rsidRPr="00B4737D" w:rsidRDefault="00B4737D" w:rsidP="00725A13">
            <w:pPr>
              <w:ind w:left="32"/>
              <w:rPr>
                <w:sz w:val="24"/>
                <w:szCs w:val="24"/>
                <w:u w:val="single"/>
                <w:lang w:val="en-GB"/>
              </w:rPr>
            </w:pPr>
            <w:r w:rsidRPr="00B4737D">
              <w:rPr>
                <w:sz w:val="24"/>
                <w:szCs w:val="24"/>
                <w:lang w:val="en-GB"/>
              </w:rPr>
              <w:t>(0.11, 0.33)</w:t>
            </w:r>
          </w:p>
        </w:tc>
        <w:tc>
          <w:tcPr>
            <w:tcW w:w="831" w:type="pct"/>
            <w:tcBorders>
              <w:top w:val="single" w:sz="4" w:space="0" w:color="auto"/>
              <w:left w:val="single" w:sz="4" w:space="0" w:color="auto"/>
              <w:bottom w:val="single" w:sz="4" w:space="0" w:color="auto"/>
              <w:right w:val="single" w:sz="4" w:space="0" w:color="auto"/>
            </w:tcBorders>
            <w:hideMark/>
          </w:tcPr>
          <w:p w14:paraId="59AA31F7" w14:textId="77777777" w:rsidR="00B4737D" w:rsidRPr="00B4737D" w:rsidRDefault="00B4737D" w:rsidP="00725A13">
            <w:pPr>
              <w:ind w:left="32"/>
              <w:rPr>
                <w:sz w:val="24"/>
                <w:szCs w:val="24"/>
                <w:lang w:val="en-US"/>
              </w:rPr>
            </w:pPr>
            <w:r w:rsidRPr="00B4737D">
              <w:rPr>
                <w:sz w:val="24"/>
                <w:szCs w:val="24"/>
                <w:lang w:val="en-US"/>
              </w:rPr>
              <w:t>0.20</w:t>
            </w:r>
          </w:p>
          <w:p w14:paraId="714BB189" w14:textId="77777777" w:rsidR="00B4737D" w:rsidRPr="00B4737D" w:rsidRDefault="00B4737D" w:rsidP="00725A13">
            <w:pPr>
              <w:ind w:left="32"/>
              <w:rPr>
                <w:sz w:val="24"/>
                <w:szCs w:val="24"/>
                <w:u w:val="single"/>
                <w:lang w:val="en-GB"/>
              </w:rPr>
            </w:pPr>
            <w:r w:rsidRPr="00B4737D">
              <w:rPr>
                <w:sz w:val="24"/>
                <w:szCs w:val="24"/>
                <w:lang w:val="en-GB"/>
              </w:rPr>
              <w:t>(0.11, 0.34)</w:t>
            </w:r>
          </w:p>
        </w:tc>
      </w:tr>
      <w:tr w:rsidR="00B4737D" w:rsidRPr="00B4737D" w14:paraId="5B9F28E7"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53ADBB6A" w14:textId="77777777" w:rsidR="00B4737D" w:rsidRPr="00B4737D" w:rsidRDefault="00B4737D" w:rsidP="00725A13">
            <w:pPr>
              <w:ind w:left="32"/>
              <w:rPr>
                <w:sz w:val="24"/>
                <w:szCs w:val="24"/>
                <w:u w:val="single"/>
                <w:lang w:val="en-GB"/>
              </w:rPr>
            </w:pPr>
            <w:r w:rsidRPr="00B4737D">
              <w:rPr>
                <w:sz w:val="24"/>
                <w:szCs w:val="24"/>
                <w:lang w:val="en-GB"/>
              </w:rPr>
              <w:t xml:space="preserve">Recurrent VTE or CV-related death </w:t>
            </w:r>
          </w:p>
        </w:tc>
        <w:tc>
          <w:tcPr>
            <w:tcW w:w="782" w:type="pct"/>
            <w:tcBorders>
              <w:top w:val="single" w:sz="4" w:space="0" w:color="auto"/>
              <w:left w:val="single" w:sz="4" w:space="0" w:color="auto"/>
              <w:bottom w:val="single" w:sz="4" w:space="0" w:color="auto"/>
              <w:right w:val="single" w:sz="4" w:space="0" w:color="auto"/>
            </w:tcBorders>
            <w:hideMark/>
          </w:tcPr>
          <w:p w14:paraId="4AFBA341" w14:textId="77777777" w:rsidR="00B4737D" w:rsidRPr="00B4737D" w:rsidRDefault="00B4737D" w:rsidP="00725A13">
            <w:pPr>
              <w:ind w:left="32"/>
              <w:rPr>
                <w:sz w:val="24"/>
                <w:szCs w:val="24"/>
                <w:u w:val="single"/>
                <w:lang w:val="en-GB"/>
              </w:rPr>
            </w:pPr>
            <w:r w:rsidRPr="00B4737D">
              <w:rPr>
                <w:sz w:val="24"/>
                <w:szCs w:val="24"/>
                <w:lang w:val="en-GB"/>
              </w:rPr>
              <w:t>14 (1.7)</w:t>
            </w:r>
          </w:p>
        </w:tc>
        <w:tc>
          <w:tcPr>
            <w:tcW w:w="782" w:type="pct"/>
            <w:tcBorders>
              <w:top w:val="single" w:sz="4" w:space="0" w:color="auto"/>
              <w:left w:val="single" w:sz="4" w:space="0" w:color="auto"/>
              <w:bottom w:val="single" w:sz="4" w:space="0" w:color="auto"/>
              <w:right w:val="single" w:sz="4" w:space="0" w:color="auto"/>
            </w:tcBorders>
            <w:hideMark/>
          </w:tcPr>
          <w:p w14:paraId="32B2D4F9" w14:textId="77777777" w:rsidR="00B4737D" w:rsidRPr="00B4737D" w:rsidRDefault="00B4737D" w:rsidP="00725A13">
            <w:pPr>
              <w:ind w:left="32"/>
              <w:rPr>
                <w:sz w:val="24"/>
                <w:szCs w:val="24"/>
                <w:u w:val="single"/>
                <w:lang w:val="en-GB"/>
              </w:rPr>
            </w:pPr>
            <w:r w:rsidRPr="00B4737D">
              <w:rPr>
                <w:sz w:val="24"/>
                <w:szCs w:val="24"/>
                <w:lang w:val="en-GB"/>
              </w:rPr>
              <w:t>14 (1.7)</w:t>
            </w:r>
          </w:p>
        </w:tc>
        <w:tc>
          <w:tcPr>
            <w:tcW w:w="680" w:type="pct"/>
            <w:tcBorders>
              <w:top w:val="single" w:sz="4" w:space="0" w:color="auto"/>
              <w:left w:val="single" w:sz="4" w:space="0" w:color="auto"/>
              <w:bottom w:val="single" w:sz="4" w:space="0" w:color="auto"/>
              <w:right w:val="single" w:sz="4" w:space="0" w:color="auto"/>
            </w:tcBorders>
            <w:hideMark/>
          </w:tcPr>
          <w:p w14:paraId="11A11E90" w14:textId="77777777" w:rsidR="00B4737D" w:rsidRPr="00B4737D" w:rsidRDefault="00B4737D" w:rsidP="00725A13">
            <w:pPr>
              <w:ind w:left="32"/>
              <w:rPr>
                <w:sz w:val="24"/>
                <w:szCs w:val="24"/>
                <w:u w:val="single"/>
                <w:lang w:val="en-GB"/>
              </w:rPr>
            </w:pPr>
            <w:r w:rsidRPr="00B4737D">
              <w:rPr>
                <w:sz w:val="24"/>
                <w:szCs w:val="24"/>
                <w:lang w:val="en-GB"/>
              </w:rPr>
              <w:t>76 (9.2)</w:t>
            </w:r>
          </w:p>
        </w:tc>
        <w:tc>
          <w:tcPr>
            <w:tcW w:w="832" w:type="pct"/>
            <w:tcBorders>
              <w:top w:val="single" w:sz="4" w:space="0" w:color="auto"/>
              <w:left w:val="single" w:sz="4" w:space="0" w:color="auto"/>
              <w:bottom w:val="single" w:sz="4" w:space="0" w:color="auto"/>
              <w:right w:val="single" w:sz="4" w:space="0" w:color="auto"/>
            </w:tcBorders>
            <w:hideMark/>
          </w:tcPr>
          <w:p w14:paraId="6D1E4670" w14:textId="77777777" w:rsidR="00B4737D" w:rsidRPr="00B4737D" w:rsidRDefault="00B4737D" w:rsidP="00725A13">
            <w:pPr>
              <w:ind w:left="32"/>
              <w:rPr>
                <w:sz w:val="24"/>
                <w:szCs w:val="24"/>
                <w:lang w:val="en-US"/>
              </w:rPr>
            </w:pPr>
            <w:r w:rsidRPr="00B4737D">
              <w:rPr>
                <w:sz w:val="24"/>
                <w:szCs w:val="24"/>
                <w:lang w:val="en-US"/>
              </w:rPr>
              <w:t>0.18</w:t>
            </w:r>
          </w:p>
          <w:p w14:paraId="3D812582" w14:textId="77777777" w:rsidR="00B4737D" w:rsidRPr="00B4737D" w:rsidRDefault="00B4737D" w:rsidP="00725A13">
            <w:pPr>
              <w:ind w:left="32"/>
              <w:rPr>
                <w:sz w:val="24"/>
                <w:szCs w:val="24"/>
                <w:u w:val="single"/>
                <w:lang w:val="en-GB"/>
              </w:rPr>
            </w:pPr>
            <w:r w:rsidRPr="00B4737D">
              <w:rPr>
                <w:sz w:val="24"/>
                <w:szCs w:val="24"/>
                <w:lang w:val="en-GB"/>
              </w:rPr>
              <w:t>(0.10, 0.32)</w:t>
            </w:r>
          </w:p>
        </w:tc>
        <w:tc>
          <w:tcPr>
            <w:tcW w:w="831" w:type="pct"/>
            <w:tcBorders>
              <w:top w:val="single" w:sz="4" w:space="0" w:color="auto"/>
              <w:left w:val="single" w:sz="4" w:space="0" w:color="auto"/>
              <w:bottom w:val="single" w:sz="4" w:space="0" w:color="auto"/>
              <w:right w:val="single" w:sz="4" w:space="0" w:color="auto"/>
            </w:tcBorders>
            <w:hideMark/>
          </w:tcPr>
          <w:p w14:paraId="1E88B895" w14:textId="77777777" w:rsidR="00B4737D" w:rsidRPr="00B4737D" w:rsidRDefault="00B4737D" w:rsidP="00725A13">
            <w:pPr>
              <w:ind w:left="32"/>
              <w:rPr>
                <w:sz w:val="24"/>
                <w:szCs w:val="24"/>
                <w:lang w:val="en-US"/>
              </w:rPr>
            </w:pPr>
            <w:r w:rsidRPr="00B4737D">
              <w:rPr>
                <w:sz w:val="24"/>
                <w:szCs w:val="24"/>
                <w:lang w:val="en-US"/>
              </w:rPr>
              <w:t>0.19</w:t>
            </w:r>
          </w:p>
          <w:p w14:paraId="7E1DE31F" w14:textId="77777777" w:rsidR="00B4737D" w:rsidRPr="00B4737D" w:rsidRDefault="00B4737D" w:rsidP="00725A13">
            <w:pPr>
              <w:ind w:left="32"/>
              <w:rPr>
                <w:sz w:val="24"/>
                <w:szCs w:val="24"/>
                <w:u w:val="single"/>
                <w:lang w:val="en-GB"/>
              </w:rPr>
            </w:pPr>
            <w:r w:rsidRPr="00B4737D">
              <w:rPr>
                <w:sz w:val="24"/>
                <w:szCs w:val="24"/>
                <w:lang w:val="en-GB"/>
              </w:rPr>
              <w:t>(0.11, 0.33)</w:t>
            </w:r>
          </w:p>
        </w:tc>
      </w:tr>
      <w:tr w:rsidR="00B4737D" w:rsidRPr="00B4737D" w14:paraId="4DF65F7F"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03F0FD83" w14:textId="77777777" w:rsidR="00B4737D" w:rsidRPr="00B4737D" w:rsidRDefault="00B4737D" w:rsidP="00725A13">
            <w:pPr>
              <w:ind w:left="32"/>
              <w:rPr>
                <w:sz w:val="24"/>
                <w:szCs w:val="24"/>
                <w:u w:val="single"/>
                <w:lang w:val="en-GB"/>
              </w:rPr>
            </w:pPr>
            <w:r w:rsidRPr="00B4737D">
              <w:rPr>
                <w:sz w:val="24"/>
                <w:szCs w:val="24"/>
                <w:lang w:val="en-GB"/>
              </w:rPr>
              <w:t xml:space="preserve">Nonfatal DVT† </w:t>
            </w:r>
          </w:p>
        </w:tc>
        <w:tc>
          <w:tcPr>
            <w:tcW w:w="782" w:type="pct"/>
            <w:tcBorders>
              <w:top w:val="single" w:sz="4" w:space="0" w:color="auto"/>
              <w:left w:val="single" w:sz="4" w:space="0" w:color="auto"/>
              <w:bottom w:val="single" w:sz="4" w:space="0" w:color="auto"/>
              <w:right w:val="single" w:sz="4" w:space="0" w:color="auto"/>
            </w:tcBorders>
            <w:hideMark/>
          </w:tcPr>
          <w:p w14:paraId="4F3A4B07" w14:textId="77777777" w:rsidR="00B4737D" w:rsidRPr="00B4737D" w:rsidRDefault="00B4737D" w:rsidP="00725A13">
            <w:pPr>
              <w:ind w:left="32"/>
              <w:rPr>
                <w:sz w:val="24"/>
                <w:szCs w:val="24"/>
                <w:u w:val="single"/>
                <w:lang w:val="en-GB"/>
              </w:rPr>
            </w:pPr>
            <w:r w:rsidRPr="00B4737D">
              <w:rPr>
                <w:sz w:val="24"/>
                <w:szCs w:val="24"/>
                <w:lang w:val="en-GB"/>
              </w:rPr>
              <w:t>6 (0.7)</w:t>
            </w:r>
          </w:p>
        </w:tc>
        <w:tc>
          <w:tcPr>
            <w:tcW w:w="782" w:type="pct"/>
            <w:tcBorders>
              <w:top w:val="single" w:sz="4" w:space="0" w:color="auto"/>
              <w:left w:val="single" w:sz="4" w:space="0" w:color="auto"/>
              <w:bottom w:val="single" w:sz="4" w:space="0" w:color="auto"/>
              <w:right w:val="single" w:sz="4" w:space="0" w:color="auto"/>
            </w:tcBorders>
            <w:hideMark/>
          </w:tcPr>
          <w:p w14:paraId="0A5D2D7A" w14:textId="77777777" w:rsidR="00B4737D" w:rsidRPr="00B4737D" w:rsidRDefault="00B4737D" w:rsidP="00725A13">
            <w:pPr>
              <w:ind w:left="32"/>
              <w:rPr>
                <w:sz w:val="24"/>
                <w:szCs w:val="24"/>
                <w:u w:val="single"/>
                <w:lang w:val="en-GB"/>
              </w:rPr>
            </w:pPr>
            <w:r w:rsidRPr="00B4737D">
              <w:rPr>
                <w:sz w:val="24"/>
                <w:szCs w:val="24"/>
                <w:lang w:val="en-GB"/>
              </w:rPr>
              <w:t>8 (1.0)</w:t>
            </w:r>
          </w:p>
        </w:tc>
        <w:tc>
          <w:tcPr>
            <w:tcW w:w="680" w:type="pct"/>
            <w:tcBorders>
              <w:top w:val="single" w:sz="4" w:space="0" w:color="auto"/>
              <w:left w:val="single" w:sz="4" w:space="0" w:color="auto"/>
              <w:bottom w:val="single" w:sz="4" w:space="0" w:color="auto"/>
              <w:right w:val="single" w:sz="4" w:space="0" w:color="auto"/>
            </w:tcBorders>
            <w:hideMark/>
          </w:tcPr>
          <w:p w14:paraId="33A6644F" w14:textId="77777777" w:rsidR="00B4737D" w:rsidRPr="00B4737D" w:rsidRDefault="00B4737D" w:rsidP="00725A13">
            <w:pPr>
              <w:ind w:left="32"/>
              <w:rPr>
                <w:sz w:val="24"/>
                <w:szCs w:val="24"/>
                <w:u w:val="single"/>
                <w:lang w:val="en-GB"/>
              </w:rPr>
            </w:pPr>
            <w:r w:rsidRPr="00B4737D">
              <w:rPr>
                <w:sz w:val="24"/>
                <w:szCs w:val="24"/>
                <w:lang w:val="en-GB"/>
              </w:rPr>
              <w:t>53 (6.4)</w:t>
            </w:r>
          </w:p>
        </w:tc>
        <w:tc>
          <w:tcPr>
            <w:tcW w:w="832" w:type="pct"/>
            <w:tcBorders>
              <w:top w:val="single" w:sz="4" w:space="0" w:color="auto"/>
              <w:left w:val="single" w:sz="4" w:space="0" w:color="auto"/>
              <w:bottom w:val="single" w:sz="4" w:space="0" w:color="auto"/>
              <w:right w:val="single" w:sz="4" w:space="0" w:color="auto"/>
            </w:tcBorders>
            <w:hideMark/>
          </w:tcPr>
          <w:p w14:paraId="1162ED04" w14:textId="77777777" w:rsidR="00B4737D" w:rsidRPr="00B4737D" w:rsidRDefault="00B4737D" w:rsidP="00725A13">
            <w:pPr>
              <w:ind w:left="32"/>
              <w:rPr>
                <w:sz w:val="24"/>
                <w:szCs w:val="24"/>
                <w:lang w:val="en-US"/>
              </w:rPr>
            </w:pPr>
            <w:r w:rsidRPr="00B4737D">
              <w:rPr>
                <w:sz w:val="24"/>
                <w:szCs w:val="24"/>
                <w:lang w:val="en-US"/>
              </w:rPr>
              <w:t>0.11</w:t>
            </w:r>
          </w:p>
          <w:p w14:paraId="1B2B5C6A" w14:textId="77777777" w:rsidR="00B4737D" w:rsidRPr="00B4737D" w:rsidRDefault="00B4737D" w:rsidP="00725A13">
            <w:pPr>
              <w:ind w:left="32"/>
              <w:rPr>
                <w:sz w:val="24"/>
                <w:szCs w:val="24"/>
                <w:u w:val="single"/>
                <w:lang w:val="en-GB"/>
              </w:rPr>
            </w:pPr>
            <w:r w:rsidRPr="00B4737D">
              <w:rPr>
                <w:sz w:val="24"/>
                <w:szCs w:val="24"/>
                <w:lang w:val="en-GB"/>
              </w:rPr>
              <w:t>(0.05, 0.26)</w:t>
            </w:r>
          </w:p>
        </w:tc>
        <w:tc>
          <w:tcPr>
            <w:tcW w:w="831" w:type="pct"/>
            <w:tcBorders>
              <w:top w:val="single" w:sz="4" w:space="0" w:color="auto"/>
              <w:left w:val="single" w:sz="4" w:space="0" w:color="auto"/>
              <w:bottom w:val="single" w:sz="4" w:space="0" w:color="auto"/>
              <w:right w:val="single" w:sz="4" w:space="0" w:color="auto"/>
            </w:tcBorders>
            <w:hideMark/>
          </w:tcPr>
          <w:p w14:paraId="69851D8E" w14:textId="77777777" w:rsidR="00B4737D" w:rsidRPr="00B4737D" w:rsidRDefault="00B4737D" w:rsidP="00725A13">
            <w:pPr>
              <w:ind w:left="32"/>
              <w:rPr>
                <w:sz w:val="24"/>
                <w:szCs w:val="24"/>
                <w:lang w:val="en-US"/>
              </w:rPr>
            </w:pPr>
            <w:r w:rsidRPr="00B4737D">
              <w:rPr>
                <w:sz w:val="24"/>
                <w:szCs w:val="24"/>
                <w:lang w:val="en-US"/>
              </w:rPr>
              <w:t>0.15</w:t>
            </w:r>
          </w:p>
          <w:p w14:paraId="32CBC2A1" w14:textId="77777777" w:rsidR="00B4737D" w:rsidRPr="00B4737D" w:rsidRDefault="00B4737D" w:rsidP="00725A13">
            <w:pPr>
              <w:ind w:left="32"/>
              <w:rPr>
                <w:sz w:val="24"/>
                <w:szCs w:val="24"/>
                <w:u w:val="single"/>
                <w:lang w:val="en-GB"/>
              </w:rPr>
            </w:pPr>
            <w:r w:rsidRPr="00B4737D">
              <w:rPr>
                <w:sz w:val="24"/>
                <w:szCs w:val="24"/>
                <w:lang w:val="en-GB"/>
              </w:rPr>
              <w:t>(0.07, 0.32)</w:t>
            </w:r>
          </w:p>
        </w:tc>
      </w:tr>
      <w:tr w:rsidR="00B4737D" w:rsidRPr="00B4737D" w14:paraId="1187B5D6"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7FBA7023" w14:textId="77777777" w:rsidR="00B4737D" w:rsidRPr="00B4737D" w:rsidRDefault="00B4737D" w:rsidP="00725A13">
            <w:pPr>
              <w:ind w:left="32"/>
              <w:rPr>
                <w:sz w:val="24"/>
                <w:szCs w:val="24"/>
                <w:u w:val="single"/>
                <w:lang w:val="en-GB"/>
              </w:rPr>
            </w:pPr>
            <w:r w:rsidRPr="00B4737D">
              <w:rPr>
                <w:sz w:val="24"/>
                <w:szCs w:val="24"/>
                <w:lang w:val="en-GB"/>
              </w:rPr>
              <w:t xml:space="preserve">Nonfatal PE† </w:t>
            </w:r>
          </w:p>
        </w:tc>
        <w:tc>
          <w:tcPr>
            <w:tcW w:w="782" w:type="pct"/>
            <w:tcBorders>
              <w:top w:val="single" w:sz="4" w:space="0" w:color="auto"/>
              <w:left w:val="single" w:sz="4" w:space="0" w:color="auto"/>
              <w:bottom w:val="single" w:sz="4" w:space="0" w:color="auto"/>
              <w:right w:val="single" w:sz="4" w:space="0" w:color="auto"/>
            </w:tcBorders>
            <w:hideMark/>
          </w:tcPr>
          <w:p w14:paraId="2E6CE939" w14:textId="77777777" w:rsidR="00B4737D" w:rsidRPr="00B4737D" w:rsidRDefault="00B4737D" w:rsidP="00725A13">
            <w:pPr>
              <w:ind w:left="32"/>
              <w:rPr>
                <w:sz w:val="24"/>
                <w:szCs w:val="24"/>
                <w:u w:val="single"/>
                <w:lang w:val="en-GB"/>
              </w:rPr>
            </w:pPr>
            <w:r w:rsidRPr="00B4737D">
              <w:rPr>
                <w:sz w:val="24"/>
                <w:szCs w:val="24"/>
                <w:lang w:val="en-GB"/>
              </w:rPr>
              <w:t>8 (1.0)</w:t>
            </w:r>
          </w:p>
        </w:tc>
        <w:tc>
          <w:tcPr>
            <w:tcW w:w="782" w:type="pct"/>
            <w:tcBorders>
              <w:top w:val="single" w:sz="4" w:space="0" w:color="auto"/>
              <w:left w:val="single" w:sz="4" w:space="0" w:color="auto"/>
              <w:bottom w:val="single" w:sz="4" w:space="0" w:color="auto"/>
              <w:right w:val="single" w:sz="4" w:space="0" w:color="auto"/>
            </w:tcBorders>
            <w:hideMark/>
          </w:tcPr>
          <w:p w14:paraId="233C08F3" w14:textId="77777777" w:rsidR="00B4737D" w:rsidRPr="00B4737D" w:rsidRDefault="00B4737D" w:rsidP="00725A13">
            <w:pPr>
              <w:ind w:left="32"/>
              <w:rPr>
                <w:sz w:val="24"/>
                <w:szCs w:val="24"/>
                <w:u w:val="single"/>
                <w:lang w:val="en-GB"/>
              </w:rPr>
            </w:pPr>
            <w:r w:rsidRPr="00B4737D">
              <w:rPr>
                <w:sz w:val="24"/>
                <w:szCs w:val="24"/>
                <w:lang w:val="en-GB"/>
              </w:rPr>
              <w:t>4 (0.5)</w:t>
            </w:r>
          </w:p>
        </w:tc>
        <w:tc>
          <w:tcPr>
            <w:tcW w:w="680" w:type="pct"/>
            <w:tcBorders>
              <w:top w:val="single" w:sz="4" w:space="0" w:color="auto"/>
              <w:left w:val="single" w:sz="4" w:space="0" w:color="auto"/>
              <w:bottom w:val="single" w:sz="4" w:space="0" w:color="auto"/>
              <w:right w:val="single" w:sz="4" w:space="0" w:color="auto"/>
            </w:tcBorders>
            <w:hideMark/>
          </w:tcPr>
          <w:p w14:paraId="51301291" w14:textId="77777777" w:rsidR="00B4737D" w:rsidRPr="00B4737D" w:rsidRDefault="00B4737D" w:rsidP="00725A13">
            <w:pPr>
              <w:ind w:left="32"/>
              <w:rPr>
                <w:sz w:val="24"/>
                <w:szCs w:val="24"/>
                <w:u w:val="single"/>
                <w:lang w:val="en-GB"/>
              </w:rPr>
            </w:pPr>
            <w:r w:rsidRPr="00B4737D">
              <w:rPr>
                <w:sz w:val="24"/>
                <w:szCs w:val="24"/>
                <w:lang w:val="en-GB"/>
              </w:rPr>
              <w:t>15 (1.8)</w:t>
            </w:r>
          </w:p>
        </w:tc>
        <w:tc>
          <w:tcPr>
            <w:tcW w:w="832" w:type="pct"/>
            <w:tcBorders>
              <w:top w:val="single" w:sz="4" w:space="0" w:color="auto"/>
              <w:left w:val="single" w:sz="4" w:space="0" w:color="auto"/>
              <w:bottom w:val="single" w:sz="4" w:space="0" w:color="auto"/>
              <w:right w:val="single" w:sz="4" w:space="0" w:color="auto"/>
            </w:tcBorders>
            <w:hideMark/>
          </w:tcPr>
          <w:p w14:paraId="3C4518AC" w14:textId="77777777" w:rsidR="00B4737D" w:rsidRPr="00B4737D" w:rsidRDefault="00B4737D" w:rsidP="00725A13">
            <w:pPr>
              <w:ind w:left="32"/>
              <w:rPr>
                <w:sz w:val="24"/>
                <w:szCs w:val="24"/>
                <w:lang w:val="en-US"/>
              </w:rPr>
            </w:pPr>
            <w:r w:rsidRPr="00B4737D">
              <w:rPr>
                <w:sz w:val="24"/>
                <w:szCs w:val="24"/>
                <w:lang w:val="en-US"/>
              </w:rPr>
              <w:t>0.51</w:t>
            </w:r>
          </w:p>
          <w:p w14:paraId="41D049B6" w14:textId="77777777" w:rsidR="00B4737D" w:rsidRPr="00B4737D" w:rsidRDefault="00B4737D" w:rsidP="00725A13">
            <w:pPr>
              <w:ind w:left="32"/>
              <w:rPr>
                <w:sz w:val="24"/>
                <w:szCs w:val="24"/>
                <w:u w:val="single"/>
                <w:lang w:val="en-GB"/>
              </w:rPr>
            </w:pPr>
            <w:r w:rsidRPr="00B4737D">
              <w:rPr>
                <w:sz w:val="24"/>
                <w:szCs w:val="24"/>
                <w:lang w:val="en-GB"/>
              </w:rPr>
              <w:t>(0.22, 1.21)</w:t>
            </w:r>
          </w:p>
        </w:tc>
        <w:tc>
          <w:tcPr>
            <w:tcW w:w="831" w:type="pct"/>
            <w:tcBorders>
              <w:top w:val="single" w:sz="4" w:space="0" w:color="auto"/>
              <w:left w:val="single" w:sz="4" w:space="0" w:color="auto"/>
              <w:bottom w:val="single" w:sz="4" w:space="0" w:color="auto"/>
              <w:right w:val="single" w:sz="4" w:space="0" w:color="auto"/>
            </w:tcBorders>
            <w:hideMark/>
          </w:tcPr>
          <w:p w14:paraId="6EA8B30A" w14:textId="77777777" w:rsidR="00B4737D" w:rsidRPr="00B4737D" w:rsidRDefault="00B4737D" w:rsidP="00725A13">
            <w:pPr>
              <w:ind w:left="32"/>
              <w:rPr>
                <w:sz w:val="24"/>
                <w:szCs w:val="24"/>
                <w:lang w:val="en-US"/>
              </w:rPr>
            </w:pPr>
            <w:r w:rsidRPr="00B4737D">
              <w:rPr>
                <w:sz w:val="24"/>
                <w:szCs w:val="24"/>
                <w:lang w:val="en-US"/>
              </w:rPr>
              <w:t>0.27</w:t>
            </w:r>
          </w:p>
          <w:p w14:paraId="58E9845C" w14:textId="77777777" w:rsidR="00B4737D" w:rsidRPr="00B4737D" w:rsidRDefault="00B4737D" w:rsidP="00725A13">
            <w:pPr>
              <w:ind w:left="32"/>
              <w:rPr>
                <w:sz w:val="24"/>
                <w:szCs w:val="24"/>
                <w:u w:val="single"/>
                <w:lang w:val="en-GB"/>
              </w:rPr>
            </w:pPr>
            <w:r w:rsidRPr="00B4737D">
              <w:rPr>
                <w:sz w:val="24"/>
                <w:szCs w:val="24"/>
                <w:lang w:val="en-GB"/>
              </w:rPr>
              <w:t>(0.09, 0.80)</w:t>
            </w:r>
          </w:p>
        </w:tc>
      </w:tr>
      <w:tr w:rsidR="00B4737D" w:rsidRPr="00B4737D" w14:paraId="4291DA5C" w14:textId="77777777" w:rsidTr="00B46CF9">
        <w:tc>
          <w:tcPr>
            <w:tcW w:w="1093" w:type="pct"/>
            <w:tcBorders>
              <w:top w:val="single" w:sz="4" w:space="0" w:color="auto"/>
              <w:left w:val="single" w:sz="4" w:space="0" w:color="auto"/>
              <w:bottom w:val="single" w:sz="4" w:space="0" w:color="auto"/>
              <w:right w:val="single" w:sz="4" w:space="0" w:color="auto"/>
            </w:tcBorders>
            <w:hideMark/>
          </w:tcPr>
          <w:p w14:paraId="1E578240" w14:textId="77777777" w:rsidR="00B4737D" w:rsidRPr="00B4737D" w:rsidRDefault="00B4737D" w:rsidP="00725A13">
            <w:pPr>
              <w:ind w:left="32"/>
              <w:rPr>
                <w:sz w:val="24"/>
                <w:szCs w:val="24"/>
                <w:u w:val="single"/>
                <w:lang w:val="en-GB"/>
              </w:rPr>
            </w:pPr>
            <w:r w:rsidRPr="00B4737D">
              <w:rPr>
                <w:sz w:val="24"/>
                <w:szCs w:val="24"/>
                <w:lang w:val="en-GB"/>
              </w:rPr>
              <w:t xml:space="preserve">VTE-related death </w:t>
            </w:r>
          </w:p>
        </w:tc>
        <w:tc>
          <w:tcPr>
            <w:tcW w:w="782" w:type="pct"/>
            <w:tcBorders>
              <w:top w:val="single" w:sz="4" w:space="0" w:color="auto"/>
              <w:left w:val="single" w:sz="4" w:space="0" w:color="auto"/>
              <w:bottom w:val="single" w:sz="4" w:space="0" w:color="auto"/>
              <w:right w:val="single" w:sz="4" w:space="0" w:color="auto"/>
            </w:tcBorders>
            <w:hideMark/>
          </w:tcPr>
          <w:p w14:paraId="1E2C8ADF" w14:textId="77777777" w:rsidR="00B4737D" w:rsidRPr="00B4737D" w:rsidRDefault="00B4737D" w:rsidP="00725A13">
            <w:pPr>
              <w:ind w:left="32"/>
              <w:rPr>
                <w:sz w:val="24"/>
                <w:szCs w:val="24"/>
                <w:u w:val="single"/>
                <w:lang w:val="en-GB"/>
              </w:rPr>
            </w:pPr>
            <w:r w:rsidRPr="00B4737D">
              <w:rPr>
                <w:sz w:val="24"/>
                <w:szCs w:val="24"/>
                <w:lang w:val="en-GB"/>
              </w:rPr>
              <w:t>2 (0.2)</w:t>
            </w:r>
          </w:p>
        </w:tc>
        <w:tc>
          <w:tcPr>
            <w:tcW w:w="782" w:type="pct"/>
            <w:tcBorders>
              <w:top w:val="single" w:sz="4" w:space="0" w:color="auto"/>
              <w:left w:val="single" w:sz="4" w:space="0" w:color="auto"/>
              <w:bottom w:val="single" w:sz="4" w:space="0" w:color="auto"/>
              <w:right w:val="single" w:sz="4" w:space="0" w:color="auto"/>
            </w:tcBorders>
            <w:hideMark/>
          </w:tcPr>
          <w:p w14:paraId="2DD85AA4" w14:textId="77777777" w:rsidR="00B4737D" w:rsidRPr="00B4737D" w:rsidRDefault="00B4737D" w:rsidP="00725A13">
            <w:pPr>
              <w:ind w:left="32"/>
              <w:rPr>
                <w:sz w:val="24"/>
                <w:szCs w:val="24"/>
                <w:u w:val="single"/>
                <w:lang w:val="en-GB"/>
              </w:rPr>
            </w:pPr>
            <w:r w:rsidRPr="00B4737D">
              <w:rPr>
                <w:sz w:val="24"/>
                <w:szCs w:val="24"/>
                <w:lang w:val="en-GB"/>
              </w:rPr>
              <w:t>3 (0.4)</w:t>
            </w:r>
          </w:p>
        </w:tc>
        <w:tc>
          <w:tcPr>
            <w:tcW w:w="680" w:type="pct"/>
            <w:tcBorders>
              <w:top w:val="single" w:sz="4" w:space="0" w:color="auto"/>
              <w:left w:val="single" w:sz="4" w:space="0" w:color="auto"/>
              <w:bottom w:val="single" w:sz="4" w:space="0" w:color="auto"/>
              <w:right w:val="single" w:sz="4" w:space="0" w:color="auto"/>
            </w:tcBorders>
            <w:hideMark/>
          </w:tcPr>
          <w:p w14:paraId="6019FFF2" w14:textId="77777777" w:rsidR="00B4737D" w:rsidRPr="00B4737D" w:rsidRDefault="00B4737D" w:rsidP="00725A13">
            <w:pPr>
              <w:ind w:left="32"/>
              <w:rPr>
                <w:sz w:val="24"/>
                <w:szCs w:val="24"/>
                <w:u w:val="single"/>
                <w:lang w:val="en-GB"/>
              </w:rPr>
            </w:pPr>
            <w:r w:rsidRPr="00B4737D">
              <w:rPr>
                <w:sz w:val="24"/>
                <w:szCs w:val="24"/>
                <w:lang w:val="en-GB"/>
              </w:rPr>
              <w:t>7 (0.8)</w:t>
            </w:r>
          </w:p>
        </w:tc>
        <w:tc>
          <w:tcPr>
            <w:tcW w:w="832" w:type="pct"/>
            <w:tcBorders>
              <w:top w:val="single" w:sz="4" w:space="0" w:color="auto"/>
              <w:left w:val="single" w:sz="4" w:space="0" w:color="auto"/>
              <w:bottom w:val="single" w:sz="4" w:space="0" w:color="auto"/>
              <w:right w:val="single" w:sz="4" w:space="0" w:color="auto"/>
            </w:tcBorders>
            <w:hideMark/>
          </w:tcPr>
          <w:p w14:paraId="607CD3DC" w14:textId="77777777" w:rsidR="00B4737D" w:rsidRPr="00B4737D" w:rsidRDefault="00B4737D" w:rsidP="00725A13">
            <w:pPr>
              <w:ind w:left="32"/>
              <w:rPr>
                <w:sz w:val="24"/>
                <w:szCs w:val="24"/>
                <w:lang w:val="en-US"/>
              </w:rPr>
            </w:pPr>
            <w:r w:rsidRPr="00B4737D">
              <w:rPr>
                <w:sz w:val="24"/>
                <w:szCs w:val="24"/>
                <w:lang w:val="en-US"/>
              </w:rPr>
              <w:t>0.28</w:t>
            </w:r>
          </w:p>
          <w:p w14:paraId="2FD87CCF" w14:textId="77777777" w:rsidR="00B4737D" w:rsidRPr="00B4737D" w:rsidRDefault="00B4737D" w:rsidP="00725A13">
            <w:pPr>
              <w:ind w:left="32"/>
              <w:rPr>
                <w:sz w:val="24"/>
                <w:szCs w:val="24"/>
                <w:u w:val="single"/>
                <w:lang w:val="en-GB"/>
              </w:rPr>
            </w:pPr>
            <w:r w:rsidRPr="00B4737D">
              <w:rPr>
                <w:sz w:val="24"/>
                <w:szCs w:val="24"/>
                <w:lang w:val="en-GB"/>
              </w:rPr>
              <w:t>(0.06, 1.37)</w:t>
            </w:r>
          </w:p>
        </w:tc>
        <w:tc>
          <w:tcPr>
            <w:tcW w:w="831" w:type="pct"/>
            <w:tcBorders>
              <w:top w:val="single" w:sz="4" w:space="0" w:color="auto"/>
              <w:left w:val="single" w:sz="4" w:space="0" w:color="auto"/>
              <w:bottom w:val="single" w:sz="4" w:space="0" w:color="auto"/>
              <w:right w:val="single" w:sz="4" w:space="0" w:color="auto"/>
            </w:tcBorders>
            <w:hideMark/>
          </w:tcPr>
          <w:p w14:paraId="1F38DB88" w14:textId="77777777" w:rsidR="00B4737D" w:rsidRPr="00B4737D" w:rsidRDefault="00B4737D" w:rsidP="00725A13">
            <w:pPr>
              <w:ind w:left="32"/>
              <w:rPr>
                <w:sz w:val="24"/>
                <w:szCs w:val="24"/>
                <w:lang w:val="en-US"/>
              </w:rPr>
            </w:pPr>
            <w:r w:rsidRPr="00B4737D">
              <w:rPr>
                <w:sz w:val="24"/>
                <w:szCs w:val="24"/>
                <w:lang w:val="en-US"/>
              </w:rPr>
              <w:t>0.45</w:t>
            </w:r>
          </w:p>
          <w:p w14:paraId="634AAB13" w14:textId="77777777" w:rsidR="00B4737D" w:rsidRPr="00B4737D" w:rsidRDefault="00B4737D" w:rsidP="00725A13">
            <w:pPr>
              <w:ind w:left="32"/>
              <w:rPr>
                <w:sz w:val="24"/>
                <w:szCs w:val="24"/>
                <w:u w:val="single"/>
                <w:lang w:val="en-GB"/>
              </w:rPr>
            </w:pPr>
            <w:r w:rsidRPr="00B4737D">
              <w:rPr>
                <w:sz w:val="24"/>
                <w:szCs w:val="24"/>
                <w:lang w:val="en-GB"/>
              </w:rPr>
              <w:t>(0.12, 1.71)</w:t>
            </w:r>
          </w:p>
        </w:tc>
      </w:tr>
    </w:tbl>
    <w:p w14:paraId="7072C8D2" w14:textId="6B2B6F02" w:rsidR="00B4737D" w:rsidRPr="00B4737D" w:rsidRDefault="00B4737D" w:rsidP="00725A13">
      <w:pPr>
        <w:ind w:left="284" w:hanging="284"/>
        <w:rPr>
          <w:sz w:val="24"/>
          <w:szCs w:val="24"/>
          <w:lang w:val="en-GB"/>
        </w:rPr>
      </w:pPr>
      <w:r w:rsidRPr="00B4737D">
        <w:rPr>
          <w:sz w:val="24"/>
          <w:szCs w:val="24"/>
          <w:lang w:val="en-GB"/>
        </w:rPr>
        <w:t xml:space="preserve">¥ </w:t>
      </w:r>
      <w:r w:rsidR="00725A13" w:rsidRPr="001C1AA7">
        <w:rPr>
          <w:sz w:val="24"/>
          <w:szCs w:val="24"/>
          <w:lang w:val="en-GB"/>
        </w:rPr>
        <w:tab/>
      </w:r>
      <w:r w:rsidRPr="00B4737D">
        <w:rPr>
          <w:sz w:val="24"/>
          <w:szCs w:val="24"/>
          <w:lang w:val="en-GB"/>
        </w:rPr>
        <w:t xml:space="preserve">p-value &lt; 0.0001 </w:t>
      </w:r>
    </w:p>
    <w:p w14:paraId="7E8F127A" w14:textId="7C4E92BD" w:rsidR="00B4737D" w:rsidRPr="00B4737D" w:rsidRDefault="00B4737D" w:rsidP="00725A13">
      <w:pPr>
        <w:ind w:left="284" w:hanging="284"/>
        <w:rPr>
          <w:sz w:val="24"/>
          <w:szCs w:val="24"/>
          <w:lang w:val="en-GB"/>
        </w:rPr>
      </w:pPr>
      <w:r w:rsidRPr="00B4737D">
        <w:rPr>
          <w:sz w:val="24"/>
          <w:szCs w:val="24"/>
          <w:lang w:val="en-GB"/>
        </w:rPr>
        <w:t xml:space="preserve">* </w:t>
      </w:r>
      <w:r w:rsidR="00725A13" w:rsidRPr="001C1AA7">
        <w:rPr>
          <w:sz w:val="24"/>
          <w:szCs w:val="24"/>
          <w:lang w:val="en-GB"/>
        </w:rPr>
        <w:tab/>
      </w:r>
      <w:r w:rsidRPr="00B4737D">
        <w:rPr>
          <w:sz w:val="24"/>
          <w:szCs w:val="24"/>
          <w:lang w:val="en-GB"/>
        </w:rPr>
        <w:t>For patients with more than one event contributing to the composite endpoint, only the first event was reported (</w:t>
      </w:r>
      <w:proofErr w:type="spellStart"/>
      <w:r w:rsidRPr="00B4737D">
        <w:rPr>
          <w:sz w:val="24"/>
          <w:szCs w:val="24"/>
          <w:lang w:val="en-GB"/>
        </w:rPr>
        <w:t>eg</w:t>
      </w:r>
      <w:proofErr w:type="spellEnd"/>
      <w:r w:rsidRPr="00B4737D">
        <w:rPr>
          <w:sz w:val="24"/>
          <w:szCs w:val="24"/>
          <w:lang w:val="en-GB"/>
        </w:rPr>
        <w:t xml:space="preserve">, if a subject experienced both a DVT and then a PE, only the DVT was reported) </w:t>
      </w:r>
    </w:p>
    <w:p w14:paraId="51C4CBA1" w14:textId="53A47166" w:rsidR="00B4737D" w:rsidRPr="00B4737D" w:rsidRDefault="00B4737D" w:rsidP="00725A13">
      <w:pPr>
        <w:ind w:left="284" w:hanging="284"/>
        <w:rPr>
          <w:sz w:val="24"/>
          <w:szCs w:val="24"/>
          <w:lang w:val="en-GB"/>
        </w:rPr>
      </w:pPr>
      <w:r w:rsidRPr="00B4737D">
        <w:rPr>
          <w:sz w:val="24"/>
          <w:szCs w:val="24"/>
          <w:lang w:val="en-GB"/>
        </w:rPr>
        <w:t xml:space="preserve">† </w:t>
      </w:r>
      <w:r w:rsidR="00725A13" w:rsidRPr="001C1AA7">
        <w:rPr>
          <w:sz w:val="24"/>
          <w:szCs w:val="24"/>
          <w:lang w:val="en-GB"/>
        </w:rPr>
        <w:tab/>
      </w:r>
      <w:r w:rsidRPr="00B4737D">
        <w:rPr>
          <w:sz w:val="24"/>
          <w:szCs w:val="24"/>
          <w:lang w:val="en-GB"/>
        </w:rPr>
        <w:t xml:space="preserve">Individual subjects could experience more than one event and be represented in both classifications </w:t>
      </w:r>
    </w:p>
    <w:p w14:paraId="05C4BC54" w14:textId="77777777" w:rsidR="00B4737D" w:rsidRPr="00B4737D" w:rsidRDefault="00B4737D" w:rsidP="00B4737D">
      <w:pPr>
        <w:tabs>
          <w:tab w:val="left" w:pos="851"/>
        </w:tabs>
        <w:ind w:left="851"/>
        <w:rPr>
          <w:sz w:val="24"/>
          <w:szCs w:val="24"/>
          <w:lang w:val="en-GB"/>
        </w:rPr>
      </w:pPr>
    </w:p>
    <w:p w14:paraId="67799803" w14:textId="77777777" w:rsidR="00B4737D" w:rsidRPr="00B4737D" w:rsidRDefault="00B4737D" w:rsidP="00725A13">
      <w:pPr>
        <w:ind w:left="851"/>
        <w:rPr>
          <w:sz w:val="24"/>
          <w:szCs w:val="24"/>
          <w:lang w:val="en-GB"/>
        </w:rPr>
      </w:pPr>
      <w:r w:rsidRPr="00B4737D">
        <w:rPr>
          <w:sz w:val="24"/>
          <w:szCs w:val="24"/>
          <w:lang w:val="en-GB"/>
        </w:rPr>
        <w:t xml:space="preserve">Apixaban efficacy for prevention of a recurrence of a VTE was maintained across subgroups, including age, gender, BMI, and renal function. </w:t>
      </w:r>
    </w:p>
    <w:p w14:paraId="3EC99F74" w14:textId="77777777" w:rsidR="00B4737D" w:rsidRPr="00B4737D" w:rsidRDefault="00B4737D" w:rsidP="00725A13">
      <w:pPr>
        <w:ind w:left="851"/>
        <w:rPr>
          <w:sz w:val="24"/>
          <w:szCs w:val="24"/>
          <w:lang w:val="en-GB"/>
        </w:rPr>
      </w:pPr>
    </w:p>
    <w:p w14:paraId="57F7025A" w14:textId="77777777" w:rsidR="00B4737D" w:rsidRPr="00B4737D" w:rsidRDefault="00B4737D" w:rsidP="00725A13">
      <w:pPr>
        <w:ind w:left="851"/>
        <w:rPr>
          <w:sz w:val="24"/>
          <w:szCs w:val="24"/>
          <w:u w:val="single"/>
          <w:lang w:val="en-GB"/>
        </w:rPr>
      </w:pPr>
      <w:r w:rsidRPr="00B4737D">
        <w:rPr>
          <w:sz w:val="24"/>
          <w:szCs w:val="24"/>
          <w:lang w:val="en-GB"/>
        </w:rPr>
        <w:t>The primary safety endpoint was major bleeding during the treatment period. In the study, the incidence in major bleeding for both apixaban doses was not statistically different from placebo. There was no statistically significant difference in the incidence of major + CRNM, minor, and all bleeding between the apixaban 2.5 mg twice daily and placebo treatment groups (see Table 12).</w:t>
      </w:r>
    </w:p>
    <w:p w14:paraId="3A220F09" w14:textId="77777777" w:rsidR="00B4737D" w:rsidRPr="00B4737D" w:rsidRDefault="00B4737D" w:rsidP="00725A13">
      <w:pPr>
        <w:ind w:left="851"/>
        <w:rPr>
          <w:sz w:val="24"/>
          <w:szCs w:val="24"/>
          <w:u w:val="single"/>
          <w:lang w:val="en-GB"/>
        </w:rPr>
      </w:pPr>
    </w:p>
    <w:p w14:paraId="47A7AC07" w14:textId="77777777" w:rsidR="00B4737D" w:rsidRPr="00B4737D" w:rsidRDefault="00B4737D" w:rsidP="00B4737D">
      <w:pPr>
        <w:tabs>
          <w:tab w:val="left" w:pos="851"/>
        </w:tabs>
        <w:ind w:left="851"/>
        <w:rPr>
          <w:sz w:val="24"/>
          <w:szCs w:val="24"/>
          <w:u w:val="single"/>
          <w:lang w:val="en-GB"/>
        </w:rPr>
      </w:pPr>
      <w:r w:rsidRPr="00B4737D">
        <w:rPr>
          <w:b/>
          <w:bCs/>
          <w:sz w:val="24"/>
          <w:szCs w:val="24"/>
          <w:lang w:val="en-GB"/>
        </w:rPr>
        <w:t>Table 12: Bleeding results in the AMPLIFY-EXT study</w:t>
      </w:r>
    </w:p>
    <w:tbl>
      <w:tblPr>
        <w:tblStyle w:val="Tabel-Gitter"/>
        <w:tblW w:w="5000" w:type="pct"/>
        <w:tblLook w:val="04A0" w:firstRow="1" w:lastRow="0" w:firstColumn="1" w:lastColumn="0" w:noHBand="0" w:noVBand="1"/>
      </w:tblPr>
      <w:tblGrid>
        <w:gridCol w:w="1606"/>
        <w:gridCol w:w="1606"/>
        <w:gridCol w:w="1604"/>
        <w:gridCol w:w="1604"/>
        <w:gridCol w:w="1604"/>
        <w:gridCol w:w="1604"/>
      </w:tblGrid>
      <w:tr w:rsidR="00B4737D" w:rsidRPr="00B4737D" w14:paraId="7A220CEC" w14:textId="77777777" w:rsidTr="00B46CF9">
        <w:tc>
          <w:tcPr>
            <w:tcW w:w="834" w:type="pct"/>
            <w:tcBorders>
              <w:top w:val="single" w:sz="4" w:space="0" w:color="auto"/>
              <w:left w:val="single" w:sz="4" w:space="0" w:color="auto"/>
              <w:bottom w:val="single" w:sz="4" w:space="0" w:color="auto"/>
              <w:right w:val="single" w:sz="4" w:space="0" w:color="auto"/>
            </w:tcBorders>
          </w:tcPr>
          <w:p w14:paraId="067F67A1" w14:textId="77777777" w:rsidR="00B4737D" w:rsidRPr="00B4737D" w:rsidRDefault="00B4737D" w:rsidP="00725A13">
            <w:pPr>
              <w:ind w:left="32"/>
              <w:rPr>
                <w:sz w:val="24"/>
                <w:szCs w:val="24"/>
                <w:u w:val="single"/>
                <w:lang w:val="en-GB"/>
              </w:rPr>
            </w:pPr>
          </w:p>
        </w:tc>
        <w:tc>
          <w:tcPr>
            <w:tcW w:w="834" w:type="pct"/>
            <w:tcBorders>
              <w:top w:val="single" w:sz="4" w:space="0" w:color="auto"/>
              <w:left w:val="single" w:sz="4" w:space="0" w:color="auto"/>
              <w:bottom w:val="single" w:sz="4" w:space="0" w:color="auto"/>
              <w:right w:val="single" w:sz="4" w:space="0" w:color="auto"/>
            </w:tcBorders>
            <w:hideMark/>
          </w:tcPr>
          <w:p w14:paraId="60B75238" w14:textId="77777777" w:rsidR="00B4737D" w:rsidRPr="00B4737D" w:rsidRDefault="00B4737D" w:rsidP="00725A13">
            <w:pPr>
              <w:ind w:left="32"/>
              <w:rPr>
                <w:sz w:val="24"/>
                <w:szCs w:val="24"/>
                <w:u w:val="single"/>
                <w:lang w:val="en-GB"/>
              </w:rPr>
            </w:pPr>
            <w:r w:rsidRPr="00B4737D">
              <w:rPr>
                <w:b/>
                <w:bCs/>
                <w:sz w:val="24"/>
                <w:szCs w:val="24"/>
                <w:lang w:val="en-GB"/>
              </w:rPr>
              <w:t>Apixaban</w:t>
            </w:r>
          </w:p>
        </w:tc>
        <w:tc>
          <w:tcPr>
            <w:tcW w:w="833" w:type="pct"/>
            <w:tcBorders>
              <w:top w:val="single" w:sz="4" w:space="0" w:color="auto"/>
              <w:left w:val="single" w:sz="4" w:space="0" w:color="auto"/>
              <w:bottom w:val="single" w:sz="4" w:space="0" w:color="auto"/>
              <w:right w:val="single" w:sz="4" w:space="0" w:color="auto"/>
            </w:tcBorders>
            <w:hideMark/>
          </w:tcPr>
          <w:p w14:paraId="73DA1A2A" w14:textId="77777777" w:rsidR="00B4737D" w:rsidRPr="00B4737D" w:rsidRDefault="00B4737D" w:rsidP="00725A13">
            <w:pPr>
              <w:ind w:left="32"/>
              <w:rPr>
                <w:sz w:val="24"/>
                <w:szCs w:val="24"/>
                <w:u w:val="single"/>
                <w:lang w:val="en-GB"/>
              </w:rPr>
            </w:pPr>
            <w:r w:rsidRPr="00B4737D">
              <w:rPr>
                <w:b/>
                <w:bCs/>
                <w:sz w:val="24"/>
                <w:szCs w:val="24"/>
                <w:lang w:val="en-GB"/>
              </w:rPr>
              <w:t>Apixaban</w:t>
            </w:r>
          </w:p>
        </w:tc>
        <w:tc>
          <w:tcPr>
            <w:tcW w:w="833" w:type="pct"/>
            <w:tcBorders>
              <w:top w:val="single" w:sz="4" w:space="0" w:color="auto"/>
              <w:left w:val="single" w:sz="4" w:space="0" w:color="auto"/>
              <w:bottom w:val="single" w:sz="4" w:space="0" w:color="auto"/>
              <w:right w:val="single" w:sz="4" w:space="0" w:color="auto"/>
            </w:tcBorders>
            <w:hideMark/>
          </w:tcPr>
          <w:p w14:paraId="112AA5B6" w14:textId="77777777" w:rsidR="00B4737D" w:rsidRPr="00B4737D" w:rsidRDefault="00B4737D" w:rsidP="00725A13">
            <w:pPr>
              <w:ind w:left="32"/>
              <w:rPr>
                <w:sz w:val="24"/>
                <w:szCs w:val="24"/>
                <w:u w:val="single"/>
                <w:lang w:val="en-GB"/>
              </w:rPr>
            </w:pPr>
            <w:r w:rsidRPr="00B4737D">
              <w:rPr>
                <w:b/>
                <w:bCs/>
                <w:sz w:val="24"/>
                <w:szCs w:val="24"/>
                <w:lang w:val="en-GB"/>
              </w:rPr>
              <w:t>Placebo</w:t>
            </w:r>
          </w:p>
        </w:tc>
        <w:tc>
          <w:tcPr>
            <w:tcW w:w="1667" w:type="pct"/>
            <w:gridSpan w:val="2"/>
            <w:tcBorders>
              <w:top w:val="single" w:sz="4" w:space="0" w:color="auto"/>
              <w:left w:val="single" w:sz="4" w:space="0" w:color="auto"/>
              <w:bottom w:val="single" w:sz="4" w:space="0" w:color="auto"/>
              <w:right w:val="single" w:sz="4" w:space="0" w:color="auto"/>
            </w:tcBorders>
            <w:hideMark/>
          </w:tcPr>
          <w:p w14:paraId="2C23F2B0" w14:textId="77777777" w:rsidR="00B4737D" w:rsidRPr="00B4737D" w:rsidRDefault="00B4737D" w:rsidP="00725A13">
            <w:pPr>
              <w:ind w:left="32"/>
              <w:rPr>
                <w:sz w:val="24"/>
                <w:szCs w:val="24"/>
                <w:u w:val="single"/>
                <w:lang w:val="en-US"/>
              </w:rPr>
            </w:pPr>
            <w:r w:rsidRPr="00B4737D">
              <w:rPr>
                <w:b/>
                <w:bCs/>
                <w:sz w:val="24"/>
                <w:szCs w:val="24"/>
                <w:lang w:val="en-US"/>
              </w:rPr>
              <w:t>Relative risk (95% CI)</w:t>
            </w:r>
          </w:p>
        </w:tc>
      </w:tr>
      <w:tr w:rsidR="00B4737D" w:rsidRPr="00B4737D" w14:paraId="3714FED2" w14:textId="77777777" w:rsidTr="00B46CF9">
        <w:tc>
          <w:tcPr>
            <w:tcW w:w="834" w:type="pct"/>
            <w:tcBorders>
              <w:top w:val="single" w:sz="4" w:space="0" w:color="auto"/>
              <w:left w:val="single" w:sz="4" w:space="0" w:color="auto"/>
              <w:bottom w:val="single" w:sz="4" w:space="0" w:color="auto"/>
              <w:right w:val="single" w:sz="4" w:space="0" w:color="auto"/>
            </w:tcBorders>
          </w:tcPr>
          <w:p w14:paraId="0756A26A" w14:textId="77777777" w:rsidR="00B4737D" w:rsidRPr="00B4737D" w:rsidRDefault="00B4737D" w:rsidP="00725A13">
            <w:pPr>
              <w:ind w:left="32"/>
              <w:rPr>
                <w:sz w:val="24"/>
                <w:szCs w:val="24"/>
                <w:u w:val="single"/>
                <w:lang w:val="en-GB"/>
              </w:rPr>
            </w:pPr>
          </w:p>
        </w:tc>
        <w:tc>
          <w:tcPr>
            <w:tcW w:w="834" w:type="pct"/>
            <w:tcBorders>
              <w:top w:val="single" w:sz="4" w:space="0" w:color="auto"/>
              <w:left w:val="single" w:sz="4" w:space="0" w:color="auto"/>
              <w:bottom w:val="single" w:sz="4" w:space="0" w:color="auto"/>
              <w:right w:val="single" w:sz="4" w:space="0" w:color="auto"/>
            </w:tcBorders>
            <w:hideMark/>
          </w:tcPr>
          <w:p w14:paraId="21A1668B" w14:textId="77777777" w:rsidR="00B4737D" w:rsidRPr="00B4737D" w:rsidRDefault="00B4737D" w:rsidP="00725A13">
            <w:pPr>
              <w:ind w:left="32"/>
              <w:rPr>
                <w:sz w:val="24"/>
                <w:szCs w:val="24"/>
                <w:lang w:val="en-US"/>
              </w:rPr>
            </w:pPr>
            <w:r w:rsidRPr="00B4737D">
              <w:rPr>
                <w:b/>
                <w:bCs/>
                <w:sz w:val="24"/>
                <w:szCs w:val="24"/>
                <w:lang w:val="en-US"/>
              </w:rPr>
              <w:t>2.5 mg</w:t>
            </w:r>
          </w:p>
          <w:p w14:paraId="47E7B883" w14:textId="77777777" w:rsidR="00B4737D" w:rsidRPr="00B4737D" w:rsidRDefault="00B4737D" w:rsidP="00725A13">
            <w:pPr>
              <w:ind w:left="32"/>
              <w:rPr>
                <w:sz w:val="24"/>
                <w:szCs w:val="24"/>
                <w:u w:val="single"/>
                <w:lang w:val="en-GB"/>
              </w:rPr>
            </w:pPr>
            <w:r w:rsidRPr="00B4737D">
              <w:rPr>
                <w:sz w:val="24"/>
                <w:szCs w:val="24"/>
                <w:lang w:val="en-GB"/>
              </w:rPr>
              <w:t>(N = 840)</w:t>
            </w:r>
          </w:p>
        </w:tc>
        <w:tc>
          <w:tcPr>
            <w:tcW w:w="833" w:type="pct"/>
            <w:tcBorders>
              <w:top w:val="single" w:sz="4" w:space="0" w:color="auto"/>
              <w:left w:val="single" w:sz="4" w:space="0" w:color="auto"/>
              <w:bottom w:val="single" w:sz="4" w:space="0" w:color="auto"/>
              <w:right w:val="single" w:sz="4" w:space="0" w:color="auto"/>
            </w:tcBorders>
            <w:hideMark/>
          </w:tcPr>
          <w:p w14:paraId="1F9E6783" w14:textId="77777777" w:rsidR="00B4737D" w:rsidRPr="00B4737D" w:rsidRDefault="00B4737D" w:rsidP="00725A13">
            <w:pPr>
              <w:ind w:left="32"/>
              <w:rPr>
                <w:sz w:val="24"/>
                <w:szCs w:val="24"/>
                <w:lang w:val="en-US"/>
              </w:rPr>
            </w:pPr>
            <w:r w:rsidRPr="00B4737D">
              <w:rPr>
                <w:b/>
                <w:bCs/>
                <w:sz w:val="24"/>
                <w:szCs w:val="24"/>
                <w:lang w:val="en-US"/>
              </w:rPr>
              <w:t>5.0 mg</w:t>
            </w:r>
          </w:p>
          <w:p w14:paraId="1AF5D1FA" w14:textId="77777777" w:rsidR="00B4737D" w:rsidRPr="00B4737D" w:rsidRDefault="00B4737D" w:rsidP="00725A13">
            <w:pPr>
              <w:ind w:left="32"/>
              <w:rPr>
                <w:sz w:val="24"/>
                <w:szCs w:val="24"/>
                <w:u w:val="single"/>
                <w:lang w:val="en-GB"/>
              </w:rPr>
            </w:pPr>
            <w:r w:rsidRPr="00B4737D">
              <w:rPr>
                <w:sz w:val="24"/>
                <w:szCs w:val="24"/>
                <w:lang w:val="en-GB"/>
              </w:rPr>
              <w:t>(N = 811)</w:t>
            </w:r>
          </w:p>
        </w:tc>
        <w:tc>
          <w:tcPr>
            <w:tcW w:w="833" w:type="pct"/>
            <w:tcBorders>
              <w:top w:val="single" w:sz="4" w:space="0" w:color="auto"/>
              <w:left w:val="single" w:sz="4" w:space="0" w:color="auto"/>
              <w:bottom w:val="single" w:sz="4" w:space="0" w:color="auto"/>
              <w:right w:val="single" w:sz="4" w:space="0" w:color="auto"/>
            </w:tcBorders>
            <w:hideMark/>
          </w:tcPr>
          <w:p w14:paraId="63851EF0" w14:textId="77777777" w:rsidR="00B4737D" w:rsidRPr="00B4737D" w:rsidRDefault="00B4737D" w:rsidP="00725A13">
            <w:pPr>
              <w:ind w:left="32"/>
              <w:rPr>
                <w:sz w:val="24"/>
                <w:szCs w:val="24"/>
                <w:u w:val="single"/>
                <w:lang w:val="en-GB"/>
              </w:rPr>
            </w:pPr>
            <w:r w:rsidRPr="00B4737D">
              <w:rPr>
                <w:sz w:val="24"/>
                <w:szCs w:val="24"/>
                <w:lang w:val="en-GB"/>
              </w:rPr>
              <w:t>(N = 826)</w:t>
            </w:r>
          </w:p>
        </w:tc>
        <w:tc>
          <w:tcPr>
            <w:tcW w:w="833" w:type="pct"/>
            <w:tcBorders>
              <w:top w:val="single" w:sz="4" w:space="0" w:color="auto"/>
              <w:left w:val="single" w:sz="4" w:space="0" w:color="auto"/>
              <w:bottom w:val="single" w:sz="4" w:space="0" w:color="auto"/>
              <w:right w:val="single" w:sz="4" w:space="0" w:color="auto"/>
            </w:tcBorders>
            <w:hideMark/>
          </w:tcPr>
          <w:p w14:paraId="0500C318" w14:textId="77777777" w:rsidR="00B4737D" w:rsidRPr="00B4737D" w:rsidRDefault="00B4737D" w:rsidP="00725A13">
            <w:pPr>
              <w:ind w:left="32"/>
              <w:rPr>
                <w:sz w:val="24"/>
                <w:szCs w:val="24"/>
                <w:lang w:val="en-US"/>
              </w:rPr>
            </w:pPr>
            <w:proofErr w:type="spellStart"/>
            <w:r w:rsidRPr="00B4737D">
              <w:rPr>
                <w:b/>
                <w:bCs/>
                <w:sz w:val="24"/>
                <w:szCs w:val="24"/>
                <w:lang w:val="en-US"/>
              </w:rPr>
              <w:t>Apix</w:t>
            </w:r>
            <w:proofErr w:type="spellEnd"/>
            <w:r w:rsidRPr="00B4737D">
              <w:rPr>
                <w:b/>
                <w:bCs/>
                <w:sz w:val="24"/>
                <w:szCs w:val="24"/>
                <w:lang w:val="en-US"/>
              </w:rPr>
              <w:t xml:space="preserve"> 2.5 mg</w:t>
            </w:r>
          </w:p>
          <w:p w14:paraId="09492466" w14:textId="77777777" w:rsidR="00B4737D" w:rsidRPr="00B4737D" w:rsidRDefault="00B4737D" w:rsidP="00725A13">
            <w:pPr>
              <w:ind w:left="32"/>
              <w:rPr>
                <w:sz w:val="24"/>
                <w:szCs w:val="24"/>
                <w:u w:val="single"/>
                <w:lang w:val="en-GB"/>
              </w:rPr>
            </w:pPr>
            <w:r w:rsidRPr="00B4737D">
              <w:rPr>
                <w:sz w:val="24"/>
                <w:szCs w:val="24"/>
                <w:lang w:val="en-GB"/>
              </w:rPr>
              <w:t>vs. placebo</w:t>
            </w:r>
          </w:p>
        </w:tc>
        <w:tc>
          <w:tcPr>
            <w:tcW w:w="834" w:type="pct"/>
            <w:tcBorders>
              <w:top w:val="single" w:sz="4" w:space="0" w:color="auto"/>
              <w:left w:val="single" w:sz="4" w:space="0" w:color="auto"/>
              <w:bottom w:val="single" w:sz="4" w:space="0" w:color="auto"/>
              <w:right w:val="single" w:sz="4" w:space="0" w:color="auto"/>
            </w:tcBorders>
            <w:hideMark/>
          </w:tcPr>
          <w:p w14:paraId="560604C4" w14:textId="77777777" w:rsidR="00B4737D" w:rsidRPr="00B4737D" w:rsidRDefault="00B4737D" w:rsidP="00725A13">
            <w:pPr>
              <w:ind w:left="32"/>
              <w:rPr>
                <w:sz w:val="24"/>
                <w:szCs w:val="24"/>
                <w:lang w:val="en-US"/>
              </w:rPr>
            </w:pPr>
            <w:proofErr w:type="spellStart"/>
            <w:r w:rsidRPr="00B4737D">
              <w:rPr>
                <w:b/>
                <w:bCs/>
                <w:sz w:val="24"/>
                <w:szCs w:val="24"/>
                <w:lang w:val="en-US"/>
              </w:rPr>
              <w:t>Apix</w:t>
            </w:r>
            <w:proofErr w:type="spellEnd"/>
            <w:r w:rsidRPr="00B4737D">
              <w:rPr>
                <w:b/>
                <w:bCs/>
                <w:sz w:val="24"/>
                <w:szCs w:val="24"/>
                <w:lang w:val="en-US"/>
              </w:rPr>
              <w:t xml:space="preserve"> 5.0 mg</w:t>
            </w:r>
          </w:p>
          <w:p w14:paraId="3FF1B762" w14:textId="77777777" w:rsidR="00B4737D" w:rsidRPr="00B4737D" w:rsidRDefault="00B4737D" w:rsidP="00725A13">
            <w:pPr>
              <w:ind w:left="32"/>
              <w:rPr>
                <w:sz w:val="24"/>
                <w:szCs w:val="24"/>
                <w:u w:val="single"/>
                <w:lang w:val="en-GB"/>
              </w:rPr>
            </w:pPr>
            <w:r w:rsidRPr="00B4737D">
              <w:rPr>
                <w:sz w:val="24"/>
                <w:szCs w:val="24"/>
                <w:lang w:val="en-GB"/>
              </w:rPr>
              <w:t>vs. placebo</w:t>
            </w:r>
          </w:p>
        </w:tc>
      </w:tr>
      <w:tr w:rsidR="00B4737D" w:rsidRPr="00B4737D" w14:paraId="2EF3A051" w14:textId="77777777" w:rsidTr="00B46CF9">
        <w:tc>
          <w:tcPr>
            <w:tcW w:w="834" w:type="pct"/>
            <w:tcBorders>
              <w:top w:val="single" w:sz="4" w:space="0" w:color="auto"/>
              <w:left w:val="single" w:sz="4" w:space="0" w:color="auto"/>
              <w:bottom w:val="single" w:sz="4" w:space="0" w:color="auto"/>
              <w:right w:val="single" w:sz="4" w:space="0" w:color="auto"/>
            </w:tcBorders>
          </w:tcPr>
          <w:p w14:paraId="3B809E6C" w14:textId="77777777" w:rsidR="00B4737D" w:rsidRPr="00B4737D" w:rsidRDefault="00B4737D" w:rsidP="00725A13">
            <w:pPr>
              <w:ind w:left="32"/>
              <w:rPr>
                <w:sz w:val="24"/>
                <w:szCs w:val="24"/>
                <w:u w:val="single"/>
                <w:lang w:val="en-GB"/>
              </w:rPr>
            </w:pPr>
          </w:p>
        </w:tc>
        <w:tc>
          <w:tcPr>
            <w:tcW w:w="834" w:type="pct"/>
            <w:tcBorders>
              <w:top w:val="single" w:sz="4" w:space="0" w:color="auto"/>
              <w:left w:val="single" w:sz="4" w:space="0" w:color="auto"/>
              <w:bottom w:val="single" w:sz="4" w:space="0" w:color="auto"/>
              <w:right w:val="single" w:sz="4" w:space="0" w:color="auto"/>
            </w:tcBorders>
          </w:tcPr>
          <w:p w14:paraId="504A70CC" w14:textId="77777777" w:rsidR="00B4737D" w:rsidRPr="00B4737D" w:rsidRDefault="00B4737D" w:rsidP="00725A13">
            <w:pPr>
              <w:ind w:left="32"/>
              <w:rPr>
                <w:sz w:val="24"/>
                <w:szCs w:val="24"/>
                <w:u w:val="single"/>
                <w:lang w:val="en-GB"/>
              </w:rPr>
            </w:pPr>
          </w:p>
        </w:tc>
        <w:tc>
          <w:tcPr>
            <w:tcW w:w="833" w:type="pct"/>
            <w:tcBorders>
              <w:top w:val="single" w:sz="4" w:space="0" w:color="auto"/>
              <w:left w:val="single" w:sz="4" w:space="0" w:color="auto"/>
              <w:bottom w:val="single" w:sz="4" w:space="0" w:color="auto"/>
              <w:right w:val="single" w:sz="4" w:space="0" w:color="auto"/>
            </w:tcBorders>
            <w:hideMark/>
          </w:tcPr>
          <w:p w14:paraId="52D61A99" w14:textId="77777777" w:rsidR="00B4737D" w:rsidRPr="00B4737D" w:rsidRDefault="00B4737D" w:rsidP="00725A13">
            <w:pPr>
              <w:ind w:left="32"/>
              <w:rPr>
                <w:sz w:val="24"/>
                <w:szCs w:val="24"/>
                <w:u w:val="single"/>
                <w:lang w:val="en-US"/>
              </w:rPr>
            </w:pPr>
            <w:r w:rsidRPr="00B4737D">
              <w:rPr>
                <w:sz w:val="24"/>
                <w:szCs w:val="24"/>
                <w:lang w:val="en-US"/>
              </w:rPr>
              <w:t>n (%)</w:t>
            </w:r>
          </w:p>
        </w:tc>
        <w:tc>
          <w:tcPr>
            <w:tcW w:w="833" w:type="pct"/>
            <w:tcBorders>
              <w:top w:val="single" w:sz="4" w:space="0" w:color="auto"/>
              <w:left w:val="single" w:sz="4" w:space="0" w:color="auto"/>
              <w:bottom w:val="single" w:sz="4" w:space="0" w:color="auto"/>
              <w:right w:val="single" w:sz="4" w:space="0" w:color="auto"/>
            </w:tcBorders>
          </w:tcPr>
          <w:p w14:paraId="7AC74D46" w14:textId="77777777" w:rsidR="00B4737D" w:rsidRPr="00B4737D" w:rsidRDefault="00B4737D" w:rsidP="00725A13">
            <w:pPr>
              <w:ind w:left="32"/>
              <w:rPr>
                <w:sz w:val="24"/>
                <w:szCs w:val="24"/>
                <w:u w:val="single"/>
                <w:lang w:val="en-GB"/>
              </w:rPr>
            </w:pPr>
          </w:p>
        </w:tc>
        <w:tc>
          <w:tcPr>
            <w:tcW w:w="833" w:type="pct"/>
            <w:tcBorders>
              <w:top w:val="single" w:sz="4" w:space="0" w:color="auto"/>
              <w:left w:val="single" w:sz="4" w:space="0" w:color="auto"/>
              <w:bottom w:val="single" w:sz="4" w:space="0" w:color="auto"/>
              <w:right w:val="single" w:sz="4" w:space="0" w:color="auto"/>
            </w:tcBorders>
          </w:tcPr>
          <w:p w14:paraId="4AEC73A2" w14:textId="77777777" w:rsidR="00B4737D" w:rsidRPr="00B4737D" w:rsidRDefault="00B4737D" w:rsidP="00725A13">
            <w:pPr>
              <w:ind w:left="32"/>
              <w:rPr>
                <w:sz w:val="24"/>
                <w:szCs w:val="24"/>
                <w:u w:val="single"/>
                <w:lang w:val="en-GB"/>
              </w:rPr>
            </w:pPr>
          </w:p>
        </w:tc>
        <w:tc>
          <w:tcPr>
            <w:tcW w:w="834" w:type="pct"/>
            <w:tcBorders>
              <w:top w:val="single" w:sz="4" w:space="0" w:color="auto"/>
              <w:left w:val="single" w:sz="4" w:space="0" w:color="auto"/>
              <w:bottom w:val="single" w:sz="4" w:space="0" w:color="auto"/>
              <w:right w:val="single" w:sz="4" w:space="0" w:color="auto"/>
            </w:tcBorders>
          </w:tcPr>
          <w:p w14:paraId="6C1CFBC5" w14:textId="77777777" w:rsidR="00B4737D" w:rsidRPr="00B4737D" w:rsidRDefault="00B4737D" w:rsidP="00725A13">
            <w:pPr>
              <w:ind w:left="32"/>
              <w:rPr>
                <w:sz w:val="24"/>
                <w:szCs w:val="24"/>
                <w:u w:val="single"/>
                <w:lang w:val="en-GB"/>
              </w:rPr>
            </w:pPr>
          </w:p>
        </w:tc>
      </w:tr>
      <w:tr w:rsidR="00B4737D" w:rsidRPr="00B4737D" w14:paraId="7A505E9E" w14:textId="77777777" w:rsidTr="00B46CF9">
        <w:tc>
          <w:tcPr>
            <w:tcW w:w="834" w:type="pct"/>
            <w:tcBorders>
              <w:top w:val="single" w:sz="4" w:space="0" w:color="auto"/>
              <w:left w:val="single" w:sz="4" w:space="0" w:color="auto"/>
              <w:bottom w:val="single" w:sz="4" w:space="0" w:color="auto"/>
              <w:right w:val="single" w:sz="4" w:space="0" w:color="auto"/>
            </w:tcBorders>
            <w:hideMark/>
          </w:tcPr>
          <w:p w14:paraId="5359FEB1" w14:textId="77777777" w:rsidR="00B4737D" w:rsidRPr="00B4737D" w:rsidRDefault="00B4737D" w:rsidP="00725A13">
            <w:pPr>
              <w:ind w:left="32"/>
              <w:rPr>
                <w:sz w:val="24"/>
                <w:szCs w:val="24"/>
                <w:u w:val="single"/>
                <w:lang w:val="en-GB"/>
              </w:rPr>
            </w:pPr>
            <w:r w:rsidRPr="00B4737D">
              <w:rPr>
                <w:sz w:val="24"/>
                <w:szCs w:val="24"/>
                <w:lang w:val="en-GB"/>
              </w:rPr>
              <w:t xml:space="preserve">Major </w:t>
            </w:r>
          </w:p>
        </w:tc>
        <w:tc>
          <w:tcPr>
            <w:tcW w:w="834" w:type="pct"/>
            <w:tcBorders>
              <w:top w:val="single" w:sz="4" w:space="0" w:color="auto"/>
              <w:left w:val="single" w:sz="4" w:space="0" w:color="auto"/>
              <w:bottom w:val="single" w:sz="4" w:space="0" w:color="auto"/>
              <w:right w:val="single" w:sz="4" w:space="0" w:color="auto"/>
            </w:tcBorders>
            <w:hideMark/>
          </w:tcPr>
          <w:p w14:paraId="3E8CC024" w14:textId="77777777" w:rsidR="00B4737D" w:rsidRPr="00B4737D" w:rsidRDefault="00B4737D" w:rsidP="00725A13">
            <w:pPr>
              <w:ind w:left="32"/>
              <w:rPr>
                <w:sz w:val="24"/>
                <w:szCs w:val="24"/>
                <w:u w:val="single"/>
                <w:lang w:val="en-GB"/>
              </w:rPr>
            </w:pPr>
            <w:r w:rsidRPr="00B4737D">
              <w:rPr>
                <w:sz w:val="24"/>
                <w:szCs w:val="24"/>
                <w:lang w:val="en-GB"/>
              </w:rPr>
              <w:t>2 (0.2)</w:t>
            </w:r>
          </w:p>
        </w:tc>
        <w:tc>
          <w:tcPr>
            <w:tcW w:w="833" w:type="pct"/>
            <w:tcBorders>
              <w:top w:val="single" w:sz="4" w:space="0" w:color="auto"/>
              <w:left w:val="single" w:sz="4" w:space="0" w:color="auto"/>
              <w:bottom w:val="single" w:sz="4" w:space="0" w:color="auto"/>
              <w:right w:val="single" w:sz="4" w:space="0" w:color="auto"/>
            </w:tcBorders>
            <w:hideMark/>
          </w:tcPr>
          <w:p w14:paraId="38B3F7E0" w14:textId="77777777" w:rsidR="00B4737D" w:rsidRPr="00B4737D" w:rsidRDefault="00B4737D" w:rsidP="00725A13">
            <w:pPr>
              <w:ind w:left="32"/>
              <w:rPr>
                <w:sz w:val="24"/>
                <w:szCs w:val="24"/>
                <w:u w:val="single"/>
                <w:lang w:val="en-GB"/>
              </w:rPr>
            </w:pPr>
            <w:r w:rsidRPr="00B4737D">
              <w:rPr>
                <w:sz w:val="24"/>
                <w:szCs w:val="24"/>
                <w:lang w:val="en-GB"/>
              </w:rPr>
              <w:t>1 (0.1)</w:t>
            </w:r>
          </w:p>
        </w:tc>
        <w:tc>
          <w:tcPr>
            <w:tcW w:w="833" w:type="pct"/>
            <w:tcBorders>
              <w:top w:val="single" w:sz="4" w:space="0" w:color="auto"/>
              <w:left w:val="single" w:sz="4" w:space="0" w:color="auto"/>
              <w:bottom w:val="single" w:sz="4" w:space="0" w:color="auto"/>
              <w:right w:val="single" w:sz="4" w:space="0" w:color="auto"/>
            </w:tcBorders>
            <w:hideMark/>
          </w:tcPr>
          <w:p w14:paraId="6B391B32" w14:textId="77777777" w:rsidR="00B4737D" w:rsidRPr="00B4737D" w:rsidRDefault="00B4737D" w:rsidP="00725A13">
            <w:pPr>
              <w:ind w:left="32"/>
              <w:rPr>
                <w:sz w:val="24"/>
                <w:szCs w:val="24"/>
                <w:u w:val="single"/>
                <w:lang w:val="en-GB"/>
              </w:rPr>
            </w:pPr>
            <w:r w:rsidRPr="00B4737D">
              <w:rPr>
                <w:sz w:val="24"/>
                <w:szCs w:val="24"/>
                <w:lang w:val="en-GB"/>
              </w:rPr>
              <w:t>4 (0.5)</w:t>
            </w:r>
          </w:p>
        </w:tc>
        <w:tc>
          <w:tcPr>
            <w:tcW w:w="833" w:type="pct"/>
            <w:tcBorders>
              <w:top w:val="single" w:sz="4" w:space="0" w:color="auto"/>
              <w:left w:val="single" w:sz="4" w:space="0" w:color="auto"/>
              <w:bottom w:val="single" w:sz="4" w:space="0" w:color="auto"/>
              <w:right w:val="single" w:sz="4" w:space="0" w:color="auto"/>
            </w:tcBorders>
            <w:hideMark/>
          </w:tcPr>
          <w:p w14:paraId="08D550AB" w14:textId="77777777" w:rsidR="00B4737D" w:rsidRPr="00B4737D" w:rsidRDefault="00B4737D" w:rsidP="00725A13">
            <w:pPr>
              <w:ind w:left="32"/>
              <w:rPr>
                <w:sz w:val="24"/>
                <w:szCs w:val="24"/>
                <w:lang w:val="en-US"/>
              </w:rPr>
            </w:pPr>
            <w:r w:rsidRPr="00B4737D">
              <w:rPr>
                <w:sz w:val="24"/>
                <w:szCs w:val="24"/>
                <w:lang w:val="en-US"/>
              </w:rPr>
              <w:t>0.49</w:t>
            </w:r>
          </w:p>
          <w:p w14:paraId="7A845B34" w14:textId="77777777" w:rsidR="00B4737D" w:rsidRPr="00B4737D" w:rsidRDefault="00B4737D" w:rsidP="00725A13">
            <w:pPr>
              <w:ind w:left="32"/>
              <w:rPr>
                <w:sz w:val="24"/>
                <w:szCs w:val="24"/>
                <w:u w:val="single"/>
                <w:lang w:val="en-GB"/>
              </w:rPr>
            </w:pPr>
            <w:r w:rsidRPr="00B4737D">
              <w:rPr>
                <w:sz w:val="24"/>
                <w:szCs w:val="24"/>
                <w:lang w:val="en-GB"/>
              </w:rPr>
              <w:t>(0.09, 2.64)</w:t>
            </w:r>
          </w:p>
        </w:tc>
        <w:tc>
          <w:tcPr>
            <w:tcW w:w="834" w:type="pct"/>
            <w:tcBorders>
              <w:top w:val="single" w:sz="4" w:space="0" w:color="auto"/>
              <w:left w:val="single" w:sz="4" w:space="0" w:color="auto"/>
              <w:bottom w:val="single" w:sz="4" w:space="0" w:color="auto"/>
              <w:right w:val="single" w:sz="4" w:space="0" w:color="auto"/>
            </w:tcBorders>
            <w:hideMark/>
          </w:tcPr>
          <w:p w14:paraId="42ABC4BD" w14:textId="77777777" w:rsidR="00B4737D" w:rsidRPr="00B4737D" w:rsidRDefault="00B4737D" w:rsidP="00725A13">
            <w:pPr>
              <w:ind w:left="32"/>
              <w:rPr>
                <w:sz w:val="24"/>
                <w:szCs w:val="24"/>
                <w:lang w:val="en-US"/>
              </w:rPr>
            </w:pPr>
            <w:r w:rsidRPr="00B4737D">
              <w:rPr>
                <w:sz w:val="24"/>
                <w:szCs w:val="24"/>
                <w:lang w:val="en-US"/>
              </w:rPr>
              <w:t>0.25</w:t>
            </w:r>
          </w:p>
          <w:p w14:paraId="52A76166" w14:textId="77777777" w:rsidR="00B4737D" w:rsidRPr="00B4737D" w:rsidRDefault="00B4737D" w:rsidP="00725A13">
            <w:pPr>
              <w:ind w:left="32"/>
              <w:rPr>
                <w:sz w:val="24"/>
                <w:szCs w:val="24"/>
                <w:u w:val="single"/>
                <w:lang w:val="en-GB"/>
              </w:rPr>
            </w:pPr>
            <w:r w:rsidRPr="00B4737D">
              <w:rPr>
                <w:sz w:val="24"/>
                <w:szCs w:val="24"/>
                <w:lang w:val="en-GB"/>
              </w:rPr>
              <w:t>(0.03, 2.24)</w:t>
            </w:r>
          </w:p>
        </w:tc>
      </w:tr>
      <w:tr w:rsidR="00B4737D" w:rsidRPr="00B4737D" w14:paraId="0C6FF87E" w14:textId="77777777" w:rsidTr="00B46CF9">
        <w:tc>
          <w:tcPr>
            <w:tcW w:w="834" w:type="pct"/>
            <w:tcBorders>
              <w:top w:val="single" w:sz="4" w:space="0" w:color="auto"/>
              <w:left w:val="single" w:sz="4" w:space="0" w:color="auto"/>
              <w:bottom w:val="single" w:sz="4" w:space="0" w:color="auto"/>
              <w:right w:val="single" w:sz="4" w:space="0" w:color="auto"/>
            </w:tcBorders>
            <w:hideMark/>
          </w:tcPr>
          <w:p w14:paraId="784AC80F" w14:textId="77777777" w:rsidR="00B4737D" w:rsidRPr="00B4737D" w:rsidRDefault="00B4737D" w:rsidP="00725A13">
            <w:pPr>
              <w:ind w:left="32"/>
              <w:rPr>
                <w:sz w:val="24"/>
                <w:szCs w:val="24"/>
                <w:u w:val="single"/>
                <w:lang w:val="en-GB"/>
              </w:rPr>
            </w:pPr>
            <w:r w:rsidRPr="00B4737D">
              <w:rPr>
                <w:sz w:val="24"/>
                <w:szCs w:val="24"/>
                <w:lang w:val="en-GB"/>
              </w:rPr>
              <w:t xml:space="preserve">Major + CRNM </w:t>
            </w:r>
          </w:p>
        </w:tc>
        <w:tc>
          <w:tcPr>
            <w:tcW w:w="834" w:type="pct"/>
            <w:tcBorders>
              <w:top w:val="single" w:sz="4" w:space="0" w:color="auto"/>
              <w:left w:val="single" w:sz="4" w:space="0" w:color="auto"/>
              <w:bottom w:val="single" w:sz="4" w:space="0" w:color="auto"/>
              <w:right w:val="single" w:sz="4" w:space="0" w:color="auto"/>
            </w:tcBorders>
            <w:hideMark/>
          </w:tcPr>
          <w:p w14:paraId="67E9E09B" w14:textId="77777777" w:rsidR="00B4737D" w:rsidRPr="00B4737D" w:rsidRDefault="00B4737D" w:rsidP="00725A13">
            <w:pPr>
              <w:ind w:left="32"/>
              <w:rPr>
                <w:sz w:val="24"/>
                <w:szCs w:val="24"/>
                <w:u w:val="single"/>
                <w:lang w:val="en-GB"/>
              </w:rPr>
            </w:pPr>
            <w:r w:rsidRPr="00B4737D">
              <w:rPr>
                <w:sz w:val="24"/>
                <w:szCs w:val="24"/>
                <w:lang w:val="en-GB"/>
              </w:rPr>
              <w:t>27 (3.2)</w:t>
            </w:r>
          </w:p>
        </w:tc>
        <w:tc>
          <w:tcPr>
            <w:tcW w:w="833" w:type="pct"/>
            <w:tcBorders>
              <w:top w:val="single" w:sz="4" w:space="0" w:color="auto"/>
              <w:left w:val="single" w:sz="4" w:space="0" w:color="auto"/>
              <w:bottom w:val="single" w:sz="4" w:space="0" w:color="auto"/>
              <w:right w:val="single" w:sz="4" w:space="0" w:color="auto"/>
            </w:tcBorders>
            <w:hideMark/>
          </w:tcPr>
          <w:p w14:paraId="125A8F93" w14:textId="77777777" w:rsidR="00B4737D" w:rsidRPr="00B4737D" w:rsidRDefault="00B4737D" w:rsidP="00725A13">
            <w:pPr>
              <w:ind w:left="32"/>
              <w:rPr>
                <w:sz w:val="24"/>
                <w:szCs w:val="24"/>
                <w:u w:val="single"/>
                <w:lang w:val="en-GB"/>
              </w:rPr>
            </w:pPr>
            <w:r w:rsidRPr="00B4737D">
              <w:rPr>
                <w:sz w:val="24"/>
                <w:szCs w:val="24"/>
                <w:lang w:val="en-GB"/>
              </w:rPr>
              <w:t>35 (4.3)</w:t>
            </w:r>
          </w:p>
        </w:tc>
        <w:tc>
          <w:tcPr>
            <w:tcW w:w="833" w:type="pct"/>
            <w:tcBorders>
              <w:top w:val="single" w:sz="4" w:space="0" w:color="auto"/>
              <w:left w:val="single" w:sz="4" w:space="0" w:color="auto"/>
              <w:bottom w:val="single" w:sz="4" w:space="0" w:color="auto"/>
              <w:right w:val="single" w:sz="4" w:space="0" w:color="auto"/>
            </w:tcBorders>
            <w:hideMark/>
          </w:tcPr>
          <w:p w14:paraId="3742B825" w14:textId="77777777" w:rsidR="00B4737D" w:rsidRPr="00B4737D" w:rsidRDefault="00B4737D" w:rsidP="00725A13">
            <w:pPr>
              <w:ind w:left="32"/>
              <w:rPr>
                <w:sz w:val="24"/>
                <w:szCs w:val="24"/>
                <w:u w:val="single"/>
                <w:lang w:val="en-GB"/>
              </w:rPr>
            </w:pPr>
            <w:r w:rsidRPr="00B4737D">
              <w:rPr>
                <w:sz w:val="24"/>
                <w:szCs w:val="24"/>
                <w:lang w:val="en-GB"/>
              </w:rPr>
              <w:t>22 (2.7)</w:t>
            </w:r>
          </w:p>
        </w:tc>
        <w:tc>
          <w:tcPr>
            <w:tcW w:w="833" w:type="pct"/>
            <w:tcBorders>
              <w:top w:val="single" w:sz="4" w:space="0" w:color="auto"/>
              <w:left w:val="single" w:sz="4" w:space="0" w:color="auto"/>
              <w:bottom w:val="single" w:sz="4" w:space="0" w:color="auto"/>
              <w:right w:val="single" w:sz="4" w:space="0" w:color="auto"/>
            </w:tcBorders>
            <w:hideMark/>
          </w:tcPr>
          <w:p w14:paraId="159F30B2" w14:textId="77777777" w:rsidR="00B4737D" w:rsidRPr="00B4737D" w:rsidRDefault="00B4737D" w:rsidP="00725A13">
            <w:pPr>
              <w:ind w:left="32"/>
              <w:rPr>
                <w:sz w:val="24"/>
                <w:szCs w:val="24"/>
                <w:lang w:val="en-US"/>
              </w:rPr>
            </w:pPr>
            <w:r w:rsidRPr="00B4737D">
              <w:rPr>
                <w:sz w:val="24"/>
                <w:szCs w:val="24"/>
                <w:lang w:val="en-US"/>
              </w:rPr>
              <w:t>1.20</w:t>
            </w:r>
          </w:p>
          <w:p w14:paraId="171BDA8F" w14:textId="77777777" w:rsidR="00B4737D" w:rsidRPr="00B4737D" w:rsidRDefault="00B4737D" w:rsidP="00725A13">
            <w:pPr>
              <w:ind w:left="32"/>
              <w:rPr>
                <w:sz w:val="24"/>
                <w:szCs w:val="24"/>
                <w:u w:val="single"/>
                <w:lang w:val="en-GB"/>
              </w:rPr>
            </w:pPr>
            <w:r w:rsidRPr="00B4737D">
              <w:rPr>
                <w:sz w:val="24"/>
                <w:szCs w:val="24"/>
                <w:lang w:val="en-GB"/>
              </w:rPr>
              <w:t>(0.69, 2.10)</w:t>
            </w:r>
          </w:p>
        </w:tc>
        <w:tc>
          <w:tcPr>
            <w:tcW w:w="834" w:type="pct"/>
            <w:tcBorders>
              <w:top w:val="single" w:sz="4" w:space="0" w:color="auto"/>
              <w:left w:val="single" w:sz="4" w:space="0" w:color="auto"/>
              <w:bottom w:val="single" w:sz="4" w:space="0" w:color="auto"/>
              <w:right w:val="single" w:sz="4" w:space="0" w:color="auto"/>
            </w:tcBorders>
            <w:hideMark/>
          </w:tcPr>
          <w:p w14:paraId="229C54C7" w14:textId="77777777" w:rsidR="00B4737D" w:rsidRPr="00B4737D" w:rsidRDefault="00B4737D" w:rsidP="00725A13">
            <w:pPr>
              <w:ind w:left="32"/>
              <w:rPr>
                <w:sz w:val="24"/>
                <w:szCs w:val="24"/>
                <w:lang w:val="en-US"/>
              </w:rPr>
            </w:pPr>
            <w:r w:rsidRPr="00B4737D">
              <w:rPr>
                <w:sz w:val="24"/>
                <w:szCs w:val="24"/>
                <w:lang w:val="en-US"/>
              </w:rPr>
              <w:t>1.62</w:t>
            </w:r>
          </w:p>
          <w:p w14:paraId="626D0BF1" w14:textId="77777777" w:rsidR="00B4737D" w:rsidRPr="00B4737D" w:rsidRDefault="00B4737D" w:rsidP="00725A13">
            <w:pPr>
              <w:ind w:left="32"/>
              <w:rPr>
                <w:sz w:val="24"/>
                <w:szCs w:val="24"/>
                <w:u w:val="single"/>
                <w:lang w:val="en-GB"/>
              </w:rPr>
            </w:pPr>
            <w:r w:rsidRPr="00B4737D">
              <w:rPr>
                <w:sz w:val="24"/>
                <w:szCs w:val="24"/>
                <w:lang w:val="en-GB"/>
              </w:rPr>
              <w:t>(0.96, 2.73)</w:t>
            </w:r>
          </w:p>
        </w:tc>
      </w:tr>
      <w:tr w:rsidR="00B4737D" w:rsidRPr="00B4737D" w14:paraId="53041839" w14:textId="77777777" w:rsidTr="00B46CF9">
        <w:tc>
          <w:tcPr>
            <w:tcW w:w="834" w:type="pct"/>
            <w:tcBorders>
              <w:top w:val="single" w:sz="4" w:space="0" w:color="auto"/>
              <w:left w:val="single" w:sz="4" w:space="0" w:color="auto"/>
              <w:bottom w:val="single" w:sz="4" w:space="0" w:color="auto"/>
              <w:right w:val="single" w:sz="4" w:space="0" w:color="auto"/>
            </w:tcBorders>
            <w:hideMark/>
          </w:tcPr>
          <w:p w14:paraId="3E9CA861" w14:textId="77777777" w:rsidR="00B4737D" w:rsidRPr="00B4737D" w:rsidRDefault="00B4737D" w:rsidP="00725A13">
            <w:pPr>
              <w:ind w:left="32"/>
              <w:rPr>
                <w:sz w:val="24"/>
                <w:szCs w:val="24"/>
                <w:u w:val="single"/>
                <w:lang w:val="en-GB"/>
              </w:rPr>
            </w:pPr>
            <w:r w:rsidRPr="00B4737D">
              <w:rPr>
                <w:sz w:val="24"/>
                <w:szCs w:val="24"/>
                <w:lang w:val="en-GB"/>
              </w:rPr>
              <w:lastRenderedPageBreak/>
              <w:t xml:space="preserve">Minor </w:t>
            </w:r>
          </w:p>
        </w:tc>
        <w:tc>
          <w:tcPr>
            <w:tcW w:w="834" w:type="pct"/>
            <w:tcBorders>
              <w:top w:val="single" w:sz="4" w:space="0" w:color="auto"/>
              <w:left w:val="single" w:sz="4" w:space="0" w:color="auto"/>
              <w:bottom w:val="single" w:sz="4" w:space="0" w:color="auto"/>
              <w:right w:val="single" w:sz="4" w:space="0" w:color="auto"/>
            </w:tcBorders>
            <w:hideMark/>
          </w:tcPr>
          <w:p w14:paraId="1AF46A55" w14:textId="77777777" w:rsidR="00B4737D" w:rsidRPr="00B4737D" w:rsidRDefault="00B4737D" w:rsidP="00725A13">
            <w:pPr>
              <w:ind w:left="32"/>
              <w:rPr>
                <w:sz w:val="24"/>
                <w:szCs w:val="24"/>
                <w:u w:val="single"/>
                <w:lang w:val="en-GB"/>
              </w:rPr>
            </w:pPr>
            <w:r w:rsidRPr="00B4737D">
              <w:rPr>
                <w:sz w:val="24"/>
                <w:szCs w:val="24"/>
                <w:lang w:val="en-GB"/>
              </w:rPr>
              <w:t>75 (8.9)</w:t>
            </w:r>
          </w:p>
        </w:tc>
        <w:tc>
          <w:tcPr>
            <w:tcW w:w="833" w:type="pct"/>
            <w:tcBorders>
              <w:top w:val="single" w:sz="4" w:space="0" w:color="auto"/>
              <w:left w:val="single" w:sz="4" w:space="0" w:color="auto"/>
              <w:bottom w:val="single" w:sz="4" w:space="0" w:color="auto"/>
              <w:right w:val="single" w:sz="4" w:space="0" w:color="auto"/>
            </w:tcBorders>
            <w:hideMark/>
          </w:tcPr>
          <w:p w14:paraId="2D9FF13B" w14:textId="77777777" w:rsidR="00B4737D" w:rsidRPr="00B4737D" w:rsidRDefault="00B4737D" w:rsidP="00725A13">
            <w:pPr>
              <w:ind w:left="32"/>
              <w:rPr>
                <w:sz w:val="24"/>
                <w:szCs w:val="24"/>
                <w:u w:val="single"/>
                <w:lang w:val="en-GB"/>
              </w:rPr>
            </w:pPr>
            <w:r w:rsidRPr="00B4737D">
              <w:rPr>
                <w:sz w:val="24"/>
                <w:szCs w:val="24"/>
                <w:lang w:val="en-GB"/>
              </w:rPr>
              <w:t>98 (12.1)</w:t>
            </w:r>
          </w:p>
        </w:tc>
        <w:tc>
          <w:tcPr>
            <w:tcW w:w="833" w:type="pct"/>
            <w:tcBorders>
              <w:top w:val="single" w:sz="4" w:space="0" w:color="auto"/>
              <w:left w:val="single" w:sz="4" w:space="0" w:color="auto"/>
              <w:bottom w:val="single" w:sz="4" w:space="0" w:color="auto"/>
              <w:right w:val="single" w:sz="4" w:space="0" w:color="auto"/>
            </w:tcBorders>
            <w:hideMark/>
          </w:tcPr>
          <w:p w14:paraId="6BF640AB" w14:textId="77777777" w:rsidR="00B4737D" w:rsidRPr="00B4737D" w:rsidRDefault="00B4737D" w:rsidP="00725A13">
            <w:pPr>
              <w:ind w:left="32"/>
              <w:rPr>
                <w:sz w:val="24"/>
                <w:szCs w:val="24"/>
                <w:u w:val="single"/>
                <w:lang w:val="en-GB"/>
              </w:rPr>
            </w:pPr>
            <w:r w:rsidRPr="00B4737D">
              <w:rPr>
                <w:sz w:val="24"/>
                <w:szCs w:val="24"/>
                <w:lang w:val="en-GB"/>
              </w:rPr>
              <w:t>58 (7.0)</w:t>
            </w:r>
          </w:p>
        </w:tc>
        <w:tc>
          <w:tcPr>
            <w:tcW w:w="833" w:type="pct"/>
            <w:tcBorders>
              <w:top w:val="single" w:sz="4" w:space="0" w:color="auto"/>
              <w:left w:val="single" w:sz="4" w:space="0" w:color="auto"/>
              <w:bottom w:val="single" w:sz="4" w:space="0" w:color="auto"/>
              <w:right w:val="single" w:sz="4" w:space="0" w:color="auto"/>
            </w:tcBorders>
            <w:hideMark/>
          </w:tcPr>
          <w:p w14:paraId="611BD0F6" w14:textId="77777777" w:rsidR="00B4737D" w:rsidRPr="00B4737D" w:rsidRDefault="00B4737D" w:rsidP="00725A13">
            <w:pPr>
              <w:ind w:left="32"/>
              <w:rPr>
                <w:sz w:val="24"/>
                <w:szCs w:val="24"/>
                <w:lang w:val="en-US"/>
              </w:rPr>
            </w:pPr>
            <w:r w:rsidRPr="00B4737D">
              <w:rPr>
                <w:sz w:val="24"/>
                <w:szCs w:val="24"/>
                <w:lang w:val="en-US"/>
              </w:rPr>
              <w:t>1.26</w:t>
            </w:r>
          </w:p>
          <w:p w14:paraId="032C5C7D" w14:textId="77777777" w:rsidR="00B4737D" w:rsidRPr="00B4737D" w:rsidRDefault="00B4737D" w:rsidP="00725A13">
            <w:pPr>
              <w:ind w:left="32"/>
              <w:rPr>
                <w:sz w:val="24"/>
                <w:szCs w:val="24"/>
                <w:u w:val="single"/>
                <w:lang w:val="en-GB"/>
              </w:rPr>
            </w:pPr>
            <w:r w:rsidRPr="00B4737D">
              <w:rPr>
                <w:sz w:val="24"/>
                <w:szCs w:val="24"/>
                <w:lang w:val="en-GB"/>
              </w:rPr>
              <w:t>(0.91, 1.75)</w:t>
            </w:r>
          </w:p>
        </w:tc>
        <w:tc>
          <w:tcPr>
            <w:tcW w:w="834" w:type="pct"/>
            <w:tcBorders>
              <w:top w:val="single" w:sz="4" w:space="0" w:color="auto"/>
              <w:left w:val="single" w:sz="4" w:space="0" w:color="auto"/>
              <w:bottom w:val="single" w:sz="4" w:space="0" w:color="auto"/>
              <w:right w:val="single" w:sz="4" w:space="0" w:color="auto"/>
            </w:tcBorders>
            <w:hideMark/>
          </w:tcPr>
          <w:p w14:paraId="57E4E932" w14:textId="77777777" w:rsidR="00B4737D" w:rsidRPr="00B4737D" w:rsidRDefault="00B4737D" w:rsidP="00725A13">
            <w:pPr>
              <w:ind w:left="32"/>
              <w:rPr>
                <w:sz w:val="24"/>
                <w:szCs w:val="24"/>
                <w:lang w:val="en-US"/>
              </w:rPr>
            </w:pPr>
            <w:r w:rsidRPr="00B4737D">
              <w:rPr>
                <w:sz w:val="24"/>
                <w:szCs w:val="24"/>
                <w:lang w:val="en-US"/>
              </w:rPr>
              <w:t>1.70</w:t>
            </w:r>
          </w:p>
          <w:p w14:paraId="03D30F71" w14:textId="77777777" w:rsidR="00B4737D" w:rsidRPr="00B4737D" w:rsidRDefault="00B4737D" w:rsidP="00725A13">
            <w:pPr>
              <w:ind w:left="32"/>
              <w:rPr>
                <w:sz w:val="24"/>
                <w:szCs w:val="24"/>
                <w:u w:val="single"/>
                <w:lang w:val="en-GB"/>
              </w:rPr>
            </w:pPr>
            <w:r w:rsidRPr="00B4737D">
              <w:rPr>
                <w:sz w:val="24"/>
                <w:szCs w:val="24"/>
                <w:lang w:val="en-GB"/>
              </w:rPr>
              <w:t>(1.25, 2.31)</w:t>
            </w:r>
          </w:p>
        </w:tc>
      </w:tr>
      <w:tr w:rsidR="00B4737D" w:rsidRPr="00B4737D" w14:paraId="4FDAC0B5" w14:textId="77777777" w:rsidTr="00B46CF9">
        <w:tc>
          <w:tcPr>
            <w:tcW w:w="834" w:type="pct"/>
            <w:tcBorders>
              <w:top w:val="single" w:sz="4" w:space="0" w:color="auto"/>
              <w:left w:val="single" w:sz="4" w:space="0" w:color="auto"/>
              <w:bottom w:val="single" w:sz="4" w:space="0" w:color="auto"/>
              <w:right w:val="single" w:sz="4" w:space="0" w:color="auto"/>
            </w:tcBorders>
            <w:hideMark/>
          </w:tcPr>
          <w:p w14:paraId="5F22290F" w14:textId="77777777" w:rsidR="00B4737D" w:rsidRPr="00B4737D" w:rsidRDefault="00B4737D" w:rsidP="00725A13">
            <w:pPr>
              <w:ind w:left="32"/>
              <w:rPr>
                <w:sz w:val="24"/>
                <w:szCs w:val="24"/>
                <w:u w:val="single"/>
                <w:lang w:val="en-GB"/>
              </w:rPr>
            </w:pPr>
            <w:r w:rsidRPr="00B4737D">
              <w:rPr>
                <w:sz w:val="24"/>
                <w:szCs w:val="24"/>
                <w:lang w:val="en-GB"/>
              </w:rPr>
              <w:t xml:space="preserve">All </w:t>
            </w:r>
          </w:p>
        </w:tc>
        <w:tc>
          <w:tcPr>
            <w:tcW w:w="834" w:type="pct"/>
            <w:tcBorders>
              <w:top w:val="single" w:sz="4" w:space="0" w:color="auto"/>
              <w:left w:val="single" w:sz="4" w:space="0" w:color="auto"/>
              <w:bottom w:val="single" w:sz="4" w:space="0" w:color="auto"/>
              <w:right w:val="single" w:sz="4" w:space="0" w:color="auto"/>
            </w:tcBorders>
            <w:hideMark/>
          </w:tcPr>
          <w:p w14:paraId="3C8E02EF" w14:textId="77777777" w:rsidR="00B4737D" w:rsidRPr="00B4737D" w:rsidRDefault="00B4737D" w:rsidP="00725A13">
            <w:pPr>
              <w:ind w:left="32"/>
              <w:rPr>
                <w:sz w:val="24"/>
                <w:szCs w:val="24"/>
                <w:u w:val="single"/>
                <w:lang w:val="en-GB"/>
              </w:rPr>
            </w:pPr>
            <w:r w:rsidRPr="00B4737D">
              <w:rPr>
                <w:sz w:val="24"/>
                <w:szCs w:val="24"/>
                <w:lang w:val="en-GB"/>
              </w:rPr>
              <w:t>94 (11.2)</w:t>
            </w:r>
          </w:p>
        </w:tc>
        <w:tc>
          <w:tcPr>
            <w:tcW w:w="833" w:type="pct"/>
            <w:tcBorders>
              <w:top w:val="single" w:sz="4" w:space="0" w:color="auto"/>
              <w:left w:val="single" w:sz="4" w:space="0" w:color="auto"/>
              <w:bottom w:val="single" w:sz="4" w:space="0" w:color="auto"/>
              <w:right w:val="single" w:sz="4" w:space="0" w:color="auto"/>
            </w:tcBorders>
            <w:hideMark/>
          </w:tcPr>
          <w:p w14:paraId="2F13668A" w14:textId="77777777" w:rsidR="00B4737D" w:rsidRPr="00B4737D" w:rsidRDefault="00B4737D" w:rsidP="00725A13">
            <w:pPr>
              <w:ind w:left="32"/>
              <w:rPr>
                <w:sz w:val="24"/>
                <w:szCs w:val="24"/>
                <w:u w:val="single"/>
                <w:lang w:val="en-GB"/>
              </w:rPr>
            </w:pPr>
            <w:r w:rsidRPr="00B4737D">
              <w:rPr>
                <w:sz w:val="24"/>
                <w:szCs w:val="24"/>
                <w:lang w:val="en-GB"/>
              </w:rPr>
              <w:t>121 (14.9)</w:t>
            </w:r>
          </w:p>
        </w:tc>
        <w:tc>
          <w:tcPr>
            <w:tcW w:w="833" w:type="pct"/>
            <w:tcBorders>
              <w:top w:val="single" w:sz="4" w:space="0" w:color="auto"/>
              <w:left w:val="single" w:sz="4" w:space="0" w:color="auto"/>
              <w:bottom w:val="single" w:sz="4" w:space="0" w:color="auto"/>
              <w:right w:val="single" w:sz="4" w:space="0" w:color="auto"/>
            </w:tcBorders>
            <w:hideMark/>
          </w:tcPr>
          <w:p w14:paraId="16517C33" w14:textId="77777777" w:rsidR="00B4737D" w:rsidRPr="00B4737D" w:rsidRDefault="00B4737D" w:rsidP="00725A13">
            <w:pPr>
              <w:ind w:left="32"/>
              <w:rPr>
                <w:sz w:val="24"/>
                <w:szCs w:val="24"/>
                <w:u w:val="single"/>
                <w:lang w:val="en-GB"/>
              </w:rPr>
            </w:pPr>
            <w:r w:rsidRPr="00B4737D">
              <w:rPr>
                <w:sz w:val="24"/>
                <w:szCs w:val="24"/>
                <w:lang w:val="en-GB"/>
              </w:rPr>
              <w:t>74 (9.0)</w:t>
            </w:r>
          </w:p>
        </w:tc>
        <w:tc>
          <w:tcPr>
            <w:tcW w:w="833" w:type="pct"/>
            <w:tcBorders>
              <w:top w:val="single" w:sz="4" w:space="0" w:color="auto"/>
              <w:left w:val="single" w:sz="4" w:space="0" w:color="auto"/>
              <w:bottom w:val="single" w:sz="4" w:space="0" w:color="auto"/>
              <w:right w:val="single" w:sz="4" w:space="0" w:color="auto"/>
            </w:tcBorders>
            <w:hideMark/>
          </w:tcPr>
          <w:p w14:paraId="4F166F9E" w14:textId="77777777" w:rsidR="00B4737D" w:rsidRPr="00B4737D" w:rsidRDefault="00B4737D" w:rsidP="00725A13">
            <w:pPr>
              <w:ind w:left="32"/>
              <w:rPr>
                <w:sz w:val="24"/>
                <w:szCs w:val="24"/>
                <w:lang w:val="en-US"/>
              </w:rPr>
            </w:pPr>
            <w:r w:rsidRPr="00B4737D">
              <w:rPr>
                <w:sz w:val="24"/>
                <w:szCs w:val="24"/>
                <w:lang w:val="en-US"/>
              </w:rPr>
              <w:t>1.24</w:t>
            </w:r>
          </w:p>
          <w:p w14:paraId="2AC4D7FE" w14:textId="77777777" w:rsidR="00B4737D" w:rsidRPr="00B4737D" w:rsidRDefault="00B4737D" w:rsidP="00725A13">
            <w:pPr>
              <w:ind w:left="32"/>
              <w:rPr>
                <w:sz w:val="24"/>
                <w:szCs w:val="24"/>
                <w:u w:val="single"/>
                <w:lang w:val="en-GB"/>
              </w:rPr>
            </w:pPr>
            <w:r w:rsidRPr="00B4737D">
              <w:rPr>
                <w:sz w:val="24"/>
                <w:szCs w:val="24"/>
                <w:lang w:val="en-GB"/>
              </w:rPr>
              <w:t>(0.93, 1.65)</w:t>
            </w:r>
          </w:p>
        </w:tc>
        <w:tc>
          <w:tcPr>
            <w:tcW w:w="834" w:type="pct"/>
            <w:tcBorders>
              <w:top w:val="single" w:sz="4" w:space="0" w:color="auto"/>
              <w:left w:val="single" w:sz="4" w:space="0" w:color="auto"/>
              <w:bottom w:val="single" w:sz="4" w:space="0" w:color="auto"/>
              <w:right w:val="single" w:sz="4" w:space="0" w:color="auto"/>
            </w:tcBorders>
            <w:hideMark/>
          </w:tcPr>
          <w:p w14:paraId="5C9EEBB6" w14:textId="77777777" w:rsidR="00B4737D" w:rsidRPr="00B4737D" w:rsidRDefault="00B4737D" w:rsidP="00725A13">
            <w:pPr>
              <w:ind w:left="32"/>
              <w:rPr>
                <w:sz w:val="24"/>
                <w:szCs w:val="24"/>
                <w:lang w:val="en-US"/>
              </w:rPr>
            </w:pPr>
            <w:r w:rsidRPr="00B4737D">
              <w:rPr>
                <w:sz w:val="24"/>
                <w:szCs w:val="24"/>
                <w:lang w:val="en-US"/>
              </w:rPr>
              <w:t>1.65</w:t>
            </w:r>
          </w:p>
          <w:p w14:paraId="57C5870C" w14:textId="77777777" w:rsidR="00B4737D" w:rsidRPr="00B4737D" w:rsidRDefault="00B4737D" w:rsidP="00725A13">
            <w:pPr>
              <w:ind w:left="32"/>
              <w:rPr>
                <w:sz w:val="24"/>
                <w:szCs w:val="24"/>
                <w:u w:val="single"/>
                <w:lang w:val="en-GB"/>
              </w:rPr>
            </w:pPr>
            <w:r w:rsidRPr="00B4737D">
              <w:rPr>
                <w:sz w:val="24"/>
                <w:szCs w:val="24"/>
                <w:lang w:val="en-GB"/>
              </w:rPr>
              <w:t>(1.26, 2.16)</w:t>
            </w:r>
          </w:p>
        </w:tc>
      </w:tr>
    </w:tbl>
    <w:p w14:paraId="161FC86E" w14:textId="77777777" w:rsidR="00B4737D" w:rsidRPr="00B4737D" w:rsidRDefault="00B4737D" w:rsidP="00B4737D">
      <w:pPr>
        <w:tabs>
          <w:tab w:val="left" w:pos="851"/>
        </w:tabs>
        <w:ind w:left="851"/>
        <w:rPr>
          <w:sz w:val="24"/>
          <w:szCs w:val="24"/>
          <w:u w:val="single"/>
          <w:lang w:val="en-GB"/>
        </w:rPr>
      </w:pPr>
    </w:p>
    <w:p w14:paraId="5C58F448" w14:textId="77777777" w:rsidR="00B4737D" w:rsidRPr="00B4737D" w:rsidRDefault="00B4737D" w:rsidP="00725A13">
      <w:pPr>
        <w:ind w:left="851"/>
        <w:rPr>
          <w:sz w:val="24"/>
          <w:szCs w:val="24"/>
          <w:lang w:val="en-GB"/>
        </w:rPr>
      </w:pPr>
      <w:r w:rsidRPr="00B4737D">
        <w:rPr>
          <w:sz w:val="24"/>
          <w:szCs w:val="24"/>
          <w:lang w:val="en-GB"/>
        </w:rPr>
        <w:t xml:space="preserve">Adjudicated ISTH major gastrointestinal bleeding occurred in 1 (0.1%) apixaban-treated patient at the 5 mg twice daily dose, no patients at the 2.5 mg twice daily dose, and 1 (0.1%) placebo-treated patient. </w:t>
      </w:r>
    </w:p>
    <w:p w14:paraId="5BA06391" w14:textId="77777777" w:rsidR="00B4737D" w:rsidRPr="00B4737D" w:rsidRDefault="00B4737D" w:rsidP="00725A13">
      <w:pPr>
        <w:ind w:left="851"/>
        <w:rPr>
          <w:sz w:val="24"/>
          <w:szCs w:val="24"/>
          <w:lang w:val="en-GB"/>
        </w:rPr>
      </w:pPr>
    </w:p>
    <w:p w14:paraId="3318A3B8" w14:textId="77777777" w:rsidR="00B4737D" w:rsidRPr="00B4737D" w:rsidRDefault="00B4737D" w:rsidP="00725A13">
      <w:pPr>
        <w:ind w:left="851"/>
        <w:rPr>
          <w:sz w:val="24"/>
          <w:szCs w:val="24"/>
          <w:u w:val="single"/>
          <w:lang w:val="en-GB"/>
        </w:rPr>
      </w:pPr>
      <w:r w:rsidRPr="00B4737D">
        <w:rPr>
          <w:sz w:val="24"/>
          <w:szCs w:val="24"/>
          <w:u w:val="single"/>
          <w:lang w:val="en-GB"/>
        </w:rPr>
        <w:t xml:space="preserve">Paediatric population </w:t>
      </w:r>
    </w:p>
    <w:p w14:paraId="534D8EDA" w14:textId="77777777" w:rsidR="00B4737D" w:rsidRPr="00B4737D" w:rsidRDefault="00B4737D" w:rsidP="00725A13">
      <w:pPr>
        <w:ind w:left="851"/>
        <w:rPr>
          <w:i/>
          <w:sz w:val="24"/>
          <w:szCs w:val="24"/>
          <w:u w:val="single"/>
          <w:lang w:val="en-GB"/>
        </w:rPr>
      </w:pPr>
      <w:r w:rsidRPr="00B4737D">
        <w:rPr>
          <w:i/>
          <w:sz w:val="24"/>
          <w:szCs w:val="24"/>
          <w:u w:val="single"/>
          <w:lang w:val="en-GB"/>
        </w:rPr>
        <w:t>Treatment of venous thromboembolism (VTE) and prevention of recurrent VTE in paediatric patients</w:t>
      </w:r>
    </w:p>
    <w:p w14:paraId="616E2632" w14:textId="77777777" w:rsidR="00B4737D" w:rsidRPr="00B4737D" w:rsidRDefault="00B4737D" w:rsidP="00725A13">
      <w:pPr>
        <w:ind w:left="851"/>
        <w:rPr>
          <w:i/>
          <w:sz w:val="24"/>
          <w:szCs w:val="24"/>
          <w:u w:val="single"/>
          <w:lang w:val="en-GB"/>
        </w:rPr>
      </w:pPr>
      <w:r w:rsidRPr="00B4737D">
        <w:rPr>
          <w:i/>
          <w:sz w:val="24"/>
          <w:szCs w:val="24"/>
          <w:u w:val="single"/>
          <w:lang w:val="en-GB"/>
        </w:rPr>
        <w:t>from 28 days to less than 18 years of age</w:t>
      </w:r>
    </w:p>
    <w:p w14:paraId="1C4BABB2" w14:textId="718DF277" w:rsidR="00B4737D" w:rsidRPr="00B4737D" w:rsidRDefault="00B4737D" w:rsidP="00725A13">
      <w:pPr>
        <w:ind w:left="851"/>
        <w:rPr>
          <w:sz w:val="24"/>
          <w:szCs w:val="24"/>
          <w:lang w:val="en-GB"/>
        </w:rPr>
      </w:pPr>
      <w:r w:rsidRPr="00B4737D">
        <w:rPr>
          <w:sz w:val="24"/>
          <w:szCs w:val="24"/>
          <w:lang w:val="en-GB"/>
        </w:rPr>
        <w:t>Study CV185325 was a randomised, active controlled, open label, multi-centre study of apixaban for</w:t>
      </w:r>
      <w:r w:rsidR="00B46CF9">
        <w:rPr>
          <w:sz w:val="24"/>
          <w:szCs w:val="24"/>
          <w:lang w:val="en-GB"/>
        </w:rPr>
        <w:t xml:space="preserve"> </w:t>
      </w:r>
      <w:r w:rsidRPr="00B4737D">
        <w:rPr>
          <w:sz w:val="24"/>
          <w:szCs w:val="24"/>
          <w:lang w:val="en-GB"/>
        </w:rPr>
        <w:t>the treatment of VTE in paediatric patients. This descriptive efficacy and safety study included</w:t>
      </w:r>
      <w:r w:rsidR="00B46CF9">
        <w:rPr>
          <w:sz w:val="24"/>
          <w:szCs w:val="24"/>
          <w:lang w:val="en-GB"/>
        </w:rPr>
        <w:t xml:space="preserve"> </w:t>
      </w:r>
      <w:r w:rsidRPr="00B4737D">
        <w:rPr>
          <w:sz w:val="24"/>
          <w:szCs w:val="24"/>
          <w:lang w:val="en-GB"/>
        </w:rPr>
        <w:t>217 paediatric patients requiring anticoagulation treatment for VTE and prevention of recurrent VTE;</w:t>
      </w:r>
      <w:r w:rsidR="00B46CF9">
        <w:rPr>
          <w:sz w:val="24"/>
          <w:szCs w:val="24"/>
          <w:lang w:val="en-GB"/>
        </w:rPr>
        <w:t xml:space="preserve"> </w:t>
      </w:r>
      <w:r w:rsidRPr="00B4737D">
        <w:rPr>
          <w:sz w:val="24"/>
          <w:szCs w:val="24"/>
          <w:lang w:val="en-GB"/>
        </w:rPr>
        <w:t>137 patients in age group 1 (12 to &lt; 18 years), 44 patients in age group 2 (2 to &lt; 12 years), 32 patients</w:t>
      </w:r>
      <w:r w:rsidR="00B46CF9">
        <w:rPr>
          <w:sz w:val="24"/>
          <w:szCs w:val="24"/>
          <w:lang w:val="en-GB"/>
        </w:rPr>
        <w:t xml:space="preserve"> </w:t>
      </w:r>
      <w:r w:rsidRPr="00B4737D">
        <w:rPr>
          <w:sz w:val="24"/>
          <w:szCs w:val="24"/>
          <w:lang w:val="en-GB"/>
        </w:rPr>
        <w:t>in age group 3 (28 days to &lt; 2 years) and 4 patients in age group 4 (birth to &lt; 28 days). The index VTE</w:t>
      </w:r>
      <w:r w:rsidR="00B46CF9">
        <w:rPr>
          <w:sz w:val="24"/>
          <w:szCs w:val="24"/>
          <w:lang w:val="en-GB"/>
        </w:rPr>
        <w:t xml:space="preserve"> </w:t>
      </w:r>
      <w:r w:rsidRPr="00B4737D">
        <w:rPr>
          <w:sz w:val="24"/>
          <w:szCs w:val="24"/>
          <w:lang w:val="en-GB"/>
        </w:rPr>
        <w:t>was confirmed by imaging, and independently adjudicated. Prior to randomization, patients were</w:t>
      </w:r>
      <w:r w:rsidR="00B46CF9">
        <w:rPr>
          <w:sz w:val="24"/>
          <w:szCs w:val="24"/>
          <w:lang w:val="en-GB"/>
        </w:rPr>
        <w:t xml:space="preserve"> </w:t>
      </w:r>
      <w:r w:rsidRPr="00B4737D">
        <w:rPr>
          <w:sz w:val="24"/>
          <w:szCs w:val="24"/>
          <w:lang w:val="en-GB"/>
        </w:rPr>
        <w:t>treated with SOC anticoagulation for up to 14 days (mean (SD) duration of treatment with SOC</w:t>
      </w:r>
      <w:r w:rsidR="00B46CF9">
        <w:rPr>
          <w:sz w:val="24"/>
          <w:szCs w:val="24"/>
          <w:lang w:val="en-GB"/>
        </w:rPr>
        <w:t xml:space="preserve"> </w:t>
      </w:r>
      <w:r w:rsidRPr="00B4737D">
        <w:rPr>
          <w:sz w:val="24"/>
          <w:szCs w:val="24"/>
          <w:lang w:val="en-GB"/>
        </w:rPr>
        <w:t>anticoagulation prior to start of study medication was 4.8 (2.5) days, and 92.3% of patients was started</w:t>
      </w:r>
      <w:r w:rsidR="00B46CF9">
        <w:rPr>
          <w:sz w:val="24"/>
          <w:szCs w:val="24"/>
          <w:lang w:val="en-GB"/>
        </w:rPr>
        <w:t xml:space="preserve"> </w:t>
      </w:r>
      <w:r w:rsidRPr="00B4737D">
        <w:rPr>
          <w:sz w:val="24"/>
          <w:szCs w:val="24"/>
          <w:lang w:val="en-GB"/>
        </w:rPr>
        <w:t>≤ 7 days). Patients were randomised according to a 2:1 ratio to an age-appropriate formulation of</w:t>
      </w:r>
      <w:r w:rsidR="00B46CF9">
        <w:rPr>
          <w:sz w:val="24"/>
          <w:szCs w:val="24"/>
          <w:lang w:val="en-GB"/>
        </w:rPr>
        <w:t xml:space="preserve"> </w:t>
      </w:r>
      <w:r w:rsidRPr="00B4737D">
        <w:rPr>
          <w:sz w:val="24"/>
          <w:szCs w:val="24"/>
          <w:lang w:val="en-GB"/>
        </w:rPr>
        <w:t>apixaban (doses adjusted for weight equivalent to a loading dose of 10 mg BID for 7 days followed by</w:t>
      </w:r>
      <w:r w:rsidR="00B46CF9">
        <w:rPr>
          <w:sz w:val="24"/>
          <w:szCs w:val="24"/>
          <w:lang w:val="en-GB"/>
        </w:rPr>
        <w:t xml:space="preserve"> </w:t>
      </w:r>
      <w:r w:rsidRPr="00B4737D">
        <w:rPr>
          <w:sz w:val="24"/>
          <w:szCs w:val="24"/>
          <w:lang w:val="en-GB"/>
        </w:rPr>
        <w:t>5 mg BID in adults) or SOC. For patients 2 to &lt;</w:t>
      </w:r>
      <w:r w:rsidR="00B46CF9">
        <w:rPr>
          <w:sz w:val="24"/>
          <w:szCs w:val="24"/>
          <w:lang w:val="en-GB"/>
        </w:rPr>
        <w:t> </w:t>
      </w:r>
      <w:r w:rsidRPr="00B4737D">
        <w:rPr>
          <w:sz w:val="24"/>
          <w:szCs w:val="24"/>
          <w:lang w:val="en-GB"/>
        </w:rPr>
        <w:t>18 years, SOC was comprised of low molecular</w:t>
      </w:r>
      <w:r w:rsidR="00B46CF9">
        <w:rPr>
          <w:sz w:val="24"/>
          <w:szCs w:val="24"/>
          <w:lang w:val="en-GB"/>
        </w:rPr>
        <w:t xml:space="preserve"> </w:t>
      </w:r>
      <w:r w:rsidRPr="00B4737D">
        <w:rPr>
          <w:sz w:val="24"/>
          <w:szCs w:val="24"/>
          <w:lang w:val="en-GB"/>
        </w:rPr>
        <w:t>weight heparins (LMWH), unfractionated heparins (UFH) or vitamin K antagonists (VKA). For</w:t>
      </w:r>
      <w:r w:rsidR="00B46CF9">
        <w:rPr>
          <w:sz w:val="24"/>
          <w:szCs w:val="24"/>
          <w:lang w:val="en-GB"/>
        </w:rPr>
        <w:t xml:space="preserve"> </w:t>
      </w:r>
      <w:r w:rsidRPr="00B4737D">
        <w:rPr>
          <w:sz w:val="24"/>
          <w:szCs w:val="24"/>
          <w:lang w:val="en-GB"/>
        </w:rPr>
        <w:t>patients 28 days to &lt; 2 years of age, SOC will be limited to heparins (UFH or LMWH). The main</w:t>
      </w:r>
      <w:r w:rsidR="00B46CF9">
        <w:rPr>
          <w:sz w:val="24"/>
          <w:szCs w:val="24"/>
          <w:lang w:val="en-GB"/>
        </w:rPr>
        <w:t xml:space="preserve"> </w:t>
      </w:r>
      <w:r w:rsidRPr="00B4737D">
        <w:rPr>
          <w:sz w:val="24"/>
          <w:szCs w:val="24"/>
          <w:lang w:val="en-GB"/>
        </w:rPr>
        <w:t>treatment phase lasted 42 to 84 days for patients aged &lt; 2 years, and 84 days in subjects aged</w:t>
      </w:r>
      <w:r w:rsidR="00B46CF9">
        <w:rPr>
          <w:sz w:val="24"/>
          <w:szCs w:val="24"/>
          <w:lang w:val="en-GB"/>
        </w:rPr>
        <w:t xml:space="preserve"> </w:t>
      </w:r>
      <w:r w:rsidRPr="00B4737D">
        <w:rPr>
          <w:sz w:val="24"/>
          <w:szCs w:val="24"/>
          <w:lang w:val="en-GB"/>
        </w:rPr>
        <w:t>&gt; 2 years. Subjects aged 28 days to &lt; 18 years who were randomised to receive apixaban had the</w:t>
      </w:r>
      <w:r w:rsidR="00B46CF9">
        <w:rPr>
          <w:sz w:val="24"/>
          <w:szCs w:val="24"/>
          <w:lang w:val="en-GB"/>
        </w:rPr>
        <w:t xml:space="preserve"> </w:t>
      </w:r>
      <w:r w:rsidRPr="00B4737D">
        <w:rPr>
          <w:sz w:val="24"/>
          <w:szCs w:val="24"/>
          <w:lang w:val="en-GB"/>
        </w:rPr>
        <w:t>option to continue apixaban treatment for 6 to 12 additional weeks in the extension phase.</w:t>
      </w:r>
    </w:p>
    <w:p w14:paraId="1E06910D" w14:textId="77777777" w:rsidR="00B4737D" w:rsidRPr="00B4737D" w:rsidRDefault="00B4737D" w:rsidP="00725A13">
      <w:pPr>
        <w:ind w:left="851"/>
        <w:rPr>
          <w:sz w:val="24"/>
          <w:szCs w:val="24"/>
          <w:lang w:val="en-GB"/>
        </w:rPr>
      </w:pPr>
    </w:p>
    <w:p w14:paraId="14AE8FFA" w14:textId="7BF94456" w:rsidR="00B4737D" w:rsidRPr="00B4737D" w:rsidRDefault="00B4737D" w:rsidP="00725A13">
      <w:pPr>
        <w:ind w:left="851"/>
        <w:rPr>
          <w:sz w:val="24"/>
          <w:szCs w:val="24"/>
          <w:lang w:val="en-GB"/>
        </w:rPr>
      </w:pPr>
      <w:r w:rsidRPr="00B4737D">
        <w:rPr>
          <w:sz w:val="24"/>
          <w:szCs w:val="24"/>
          <w:lang w:val="en-GB"/>
        </w:rPr>
        <w:t>The primary efficacy endpoint was the composite of all image-confirmed and adjudicated</w:t>
      </w:r>
      <w:r w:rsidR="00B46CF9">
        <w:rPr>
          <w:sz w:val="24"/>
          <w:szCs w:val="24"/>
          <w:lang w:val="en-GB"/>
        </w:rPr>
        <w:t xml:space="preserve"> </w:t>
      </w:r>
      <w:r w:rsidRPr="00B4737D">
        <w:rPr>
          <w:sz w:val="24"/>
          <w:szCs w:val="24"/>
          <w:lang w:val="en-GB"/>
        </w:rPr>
        <w:t>symptomatic and asymptomatic recurrent VTE and VTE-related death. No patient in either treatment</w:t>
      </w:r>
      <w:r w:rsidR="00B46CF9">
        <w:rPr>
          <w:sz w:val="24"/>
          <w:szCs w:val="24"/>
          <w:lang w:val="en-GB"/>
        </w:rPr>
        <w:t xml:space="preserve"> </w:t>
      </w:r>
      <w:r w:rsidRPr="00B4737D">
        <w:rPr>
          <w:sz w:val="24"/>
          <w:szCs w:val="24"/>
          <w:lang w:val="en-GB"/>
        </w:rPr>
        <w:t>group had a VTE-related death. A total of 4 (2.8%) patients in the apixaban group and 2 (2.8%)</w:t>
      </w:r>
      <w:r w:rsidR="00B46CF9">
        <w:rPr>
          <w:sz w:val="24"/>
          <w:szCs w:val="24"/>
          <w:lang w:val="en-GB"/>
        </w:rPr>
        <w:t xml:space="preserve"> </w:t>
      </w:r>
      <w:r w:rsidRPr="00B4737D">
        <w:rPr>
          <w:sz w:val="24"/>
          <w:szCs w:val="24"/>
          <w:lang w:val="en-GB"/>
        </w:rPr>
        <w:t>patients in the SOC group had at least 1 adjudicated symptomatic or asymptomatic recurrent VTE</w:t>
      </w:r>
      <w:r w:rsidR="00B46CF9">
        <w:rPr>
          <w:sz w:val="24"/>
          <w:szCs w:val="24"/>
          <w:lang w:val="en-GB"/>
        </w:rPr>
        <w:t xml:space="preserve"> </w:t>
      </w:r>
      <w:r w:rsidRPr="00B4737D">
        <w:rPr>
          <w:sz w:val="24"/>
          <w:szCs w:val="24"/>
          <w:lang w:val="en-GB"/>
        </w:rPr>
        <w:t>event.</w:t>
      </w:r>
    </w:p>
    <w:p w14:paraId="07D617AE" w14:textId="77777777" w:rsidR="00B4737D" w:rsidRPr="00B4737D" w:rsidRDefault="00B4737D" w:rsidP="00725A13">
      <w:pPr>
        <w:ind w:left="851"/>
        <w:rPr>
          <w:sz w:val="24"/>
          <w:szCs w:val="24"/>
          <w:lang w:val="en-GB"/>
        </w:rPr>
      </w:pPr>
    </w:p>
    <w:p w14:paraId="20F17017" w14:textId="547B7955" w:rsidR="00B4737D" w:rsidRPr="00B4737D" w:rsidRDefault="00B4737D" w:rsidP="00725A13">
      <w:pPr>
        <w:ind w:left="851"/>
        <w:rPr>
          <w:sz w:val="24"/>
          <w:szCs w:val="24"/>
          <w:lang w:val="en-GB"/>
        </w:rPr>
      </w:pPr>
      <w:r w:rsidRPr="00B4737D">
        <w:rPr>
          <w:sz w:val="24"/>
          <w:szCs w:val="24"/>
          <w:lang w:val="en-GB"/>
        </w:rPr>
        <w:t>The median extent of exposure in 143 treated patients in the apixaban arm was 84.0 days. Exposure</w:t>
      </w:r>
      <w:r w:rsidR="00B46CF9">
        <w:rPr>
          <w:sz w:val="24"/>
          <w:szCs w:val="24"/>
          <w:lang w:val="en-GB"/>
        </w:rPr>
        <w:t xml:space="preserve"> </w:t>
      </w:r>
      <w:r w:rsidRPr="00B4737D">
        <w:rPr>
          <w:sz w:val="24"/>
          <w:szCs w:val="24"/>
          <w:lang w:val="en-GB"/>
        </w:rPr>
        <w:t>exceeded 84 days in 67 (46.9%) of patients. The primary safety endpoint of composite of major and</w:t>
      </w:r>
      <w:r w:rsidR="00B46CF9">
        <w:rPr>
          <w:sz w:val="24"/>
          <w:szCs w:val="24"/>
          <w:lang w:val="en-GB"/>
        </w:rPr>
        <w:t xml:space="preserve"> </w:t>
      </w:r>
      <w:r w:rsidRPr="00B4737D">
        <w:rPr>
          <w:sz w:val="24"/>
          <w:szCs w:val="24"/>
          <w:lang w:val="en-GB"/>
        </w:rPr>
        <w:t>CRNM bleeding was seen in 2 (1.4%) patients on apixaban vs 1 (1.4%) patients on SOC, with a RR of</w:t>
      </w:r>
      <w:r w:rsidR="00B46CF9">
        <w:rPr>
          <w:sz w:val="24"/>
          <w:szCs w:val="24"/>
          <w:lang w:val="en-GB"/>
        </w:rPr>
        <w:t xml:space="preserve"> </w:t>
      </w:r>
      <w:r w:rsidRPr="00B4737D">
        <w:rPr>
          <w:sz w:val="24"/>
          <w:szCs w:val="24"/>
          <w:lang w:val="en-GB"/>
        </w:rPr>
        <w:t>0.99 (95% CI 0.1;10.8). In all cases this concerned a CRNM bleeding. Minor bleeding was reported in</w:t>
      </w:r>
      <w:r w:rsidR="00B46CF9">
        <w:rPr>
          <w:sz w:val="24"/>
          <w:szCs w:val="24"/>
          <w:lang w:val="en-GB"/>
        </w:rPr>
        <w:t xml:space="preserve"> </w:t>
      </w:r>
      <w:r w:rsidRPr="00B4737D">
        <w:rPr>
          <w:sz w:val="24"/>
          <w:szCs w:val="24"/>
          <w:lang w:val="en-GB"/>
        </w:rPr>
        <w:t>51 (35.7%) patients in the apixaban group and 21 (29.6%) patients in the SOC group, with a RR of</w:t>
      </w:r>
      <w:r w:rsidR="00B46CF9">
        <w:rPr>
          <w:sz w:val="24"/>
          <w:szCs w:val="24"/>
          <w:lang w:val="en-GB"/>
        </w:rPr>
        <w:t xml:space="preserve"> </w:t>
      </w:r>
      <w:r w:rsidRPr="00B4737D">
        <w:rPr>
          <w:sz w:val="24"/>
          <w:szCs w:val="24"/>
          <w:lang w:val="en-GB"/>
        </w:rPr>
        <w:t>1.19 (95% CI 0.8; 1.8).</w:t>
      </w:r>
    </w:p>
    <w:p w14:paraId="6965D7B4" w14:textId="77777777" w:rsidR="00B4737D" w:rsidRPr="00B4737D" w:rsidRDefault="00B4737D" w:rsidP="00725A13">
      <w:pPr>
        <w:ind w:left="851"/>
        <w:rPr>
          <w:sz w:val="24"/>
          <w:szCs w:val="24"/>
          <w:lang w:val="en-GB"/>
        </w:rPr>
      </w:pPr>
    </w:p>
    <w:p w14:paraId="3AE05828" w14:textId="39E3525E" w:rsidR="00B4737D" w:rsidRPr="00B4737D" w:rsidRDefault="00B4737D" w:rsidP="00725A13">
      <w:pPr>
        <w:ind w:left="851"/>
        <w:rPr>
          <w:sz w:val="24"/>
          <w:szCs w:val="24"/>
          <w:lang w:val="en-GB"/>
        </w:rPr>
      </w:pPr>
      <w:r w:rsidRPr="00B4737D">
        <w:rPr>
          <w:sz w:val="24"/>
          <w:szCs w:val="24"/>
          <w:lang w:val="en-GB"/>
        </w:rPr>
        <w:t>Major bleeding was defined as bleeding that satisfies one or more of the following criteria: a (i) fatal</w:t>
      </w:r>
      <w:r w:rsidR="00B46CF9">
        <w:rPr>
          <w:sz w:val="24"/>
          <w:szCs w:val="24"/>
          <w:lang w:val="en-GB"/>
        </w:rPr>
        <w:t xml:space="preserve"> </w:t>
      </w:r>
      <w:r w:rsidRPr="00B4737D">
        <w:rPr>
          <w:sz w:val="24"/>
          <w:szCs w:val="24"/>
          <w:lang w:val="en-GB"/>
        </w:rPr>
        <w:t>bleeding; (ii) clinically overt bleeding associated with a decrease in Hgb of at least 20 g/L (2 g/dL) in</w:t>
      </w:r>
      <w:r w:rsidR="00B46CF9">
        <w:rPr>
          <w:sz w:val="24"/>
          <w:szCs w:val="24"/>
          <w:lang w:val="en-GB"/>
        </w:rPr>
        <w:t xml:space="preserve"> </w:t>
      </w:r>
      <w:r w:rsidRPr="00B4737D">
        <w:rPr>
          <w:sz w:val="24"/>
          <w:szCs w:val="24"/>
          <w:lang w:val="en-GB"/>
        </w:rPr>
        <w:t>a 24-hour period; (iii) bleeding that is retroperitoneal, pulmonary, intracranial, or otherwise involves</w:t>
      </w:r>
      <w:r w:rsidR="00B46CF9">
        <w:rPr>
          <w:sz w:val="24"/>
          <w:szCs w:val="24"/>
          <w:lang w:val="en-GB"/>
        </w:rPr>
        <w:t xml:space="preserve"> </w:t>
      </w:r>
      <w:r w:rsidRPr="00B4737D">
        <w:rPr>
          <w:sz w:val="24"/>
          <w:szCs w:val="24"/>
          <w:lang w:val="en-GB"/>
        </w:rPr>
        <w:t>the central nervous system; and (iv) bleeding that requires surgical intervention in an operating suite</w:t>
      </w:r>
      <w:r w:rsidR="00B46CF9">
        <w:rPr>
          <w:sz w:val="24"/>
          <w:szCs w:val="24"/>
          <w:lang w:val="en-GB"/>
        </w:rPr>
        <w:t xml:space="preserve"> </w:t>
      </w:r>
      <w:r w:rsidRPr="00B4737D">
        <w:rPr>
          <w:sz w:val="24"/>
          <w:szCs w:val="24"/>
          <w:lang w:val="en-GB"/>
        </w:rPr>
        <w:t xml:space="preserve">(including interventional radiology). </w:t>
      </w:r>
    </w:p>
    <w:p w14:paraId="4BA2C5CE" w14:textId="77777777" w:rsidR="00B4737D" w:rsidRPr="00B4737D" w:rsidRDefault="00B4737D" w:rsidP="00725A13">
      <w:pPr>
        <w:ind w:left="851"/>
        <w:rPr>
          <w:sz w:val="24"/>
          <w:szCs w:val="24"/>
          <w:lang w:val="en-GB"/>
        </w:rPr>
      </w:pPr>
    </w:p>
    <w:p w14:paraId="5EE0063A" w14:textId="5801795B" w:rsidR="00B4737D" w:rsidRPr="00B4737D" w:rsidRDefault="00B4737D" w:rsidP="00725A13">
      <w:pPr>
        <w:ind w:left="851"/>
        <w:rPr>
          <w:sz w:val="24"/>
          <w:szCs w:val="24"/>
          <w:lang w:val="en-GB"/>
        </w:rPr>
      </w:pPr>
      <w:r w:rsidRPr="00B4737D">
        <w:rPr>
          <w:sz w:val="24"/>
          <w:szCs w:val="24"/>
          <w:lang w:val="en-GB"/>
        </w:rPr>
        <w:t>CRNM bleeding was defined as bleeding that satisfies one or both of the following: (i) overt bleeding</w:t>
      </w:r>
      <w:r w:rsidR="00B46CF9">
        <w:rPr>
          <w:sz w:val="24"/>
          <w:szCs w:val="24"/>
          <w:lang w:val="en-GB"/>
        </w:rPr>
        <w:t xml:space="preserve"> </w:t>
      </w:r>
      <w:r w:rsidRPr="00B4737D">
        <w:rPr>
          <w:sz w:val="24"/>
          <w:szCs w:val="24"/>
          <w:lang w:val="en-GB"/>
        </w:rPr>
        <w:t>for which a blood product is administered, and which is not directly attributable to the subject’s</w:t>
      </w:r>
      <w:r w:rsidR="00B46CF9">
        <w:rPr>
          <w:sz w:val="24"/>
          <w:szCs w:val="24"/>
          <w:lang w:val="en-GB"/>
        </w:rPr>
        <w:t xml:space="preserve"> </w:t>
      </w:r>
      <w:r w:rsidRPr="00B4737D">
        <w:rPr>
          <w:sz w:val="24"/>
          <w:szCs w:val="24"/>
          <w:lang w:val="en-GB"/>
        </w:rPr>
        <w:t>underlying medical condition and (ii) bleeding that requires medical or surgical intervention to restore</w:t>
      </w:r>
      <w:r w:rsidR="00B46CF9">
        <w:rPr>
          <w:sz w:val="24"/>
          <w:szCs w:val="24"/>
          <w:lang w:val="en-GB"/>
        </w:rPr>
        <w:t xml:space="preserve"> </w:t>
      </w:r>
      <w:proofErr w:type="spellStart"/>
      <w:r w:rsidRPr="00B4737D">
        <w:rPr>
          <w:sz w:val="24"/>
          <w:szCs w:val="24"/>
          <w:lang w:val="en-GB"/>
        </w:rPr>
        <w:t>hemostasis</w:t>
      </w:r>
      <w:proofErr w:type="spellEnd"/>
      <w:r w:rsidRPr="00B4737D">
        <w:rPr>
          <w:sz w:val="24"/>
          <w:szCs w:val="24"/>
          <w:lang w:val="en-GB"/>
        </w:rPr>
        <w:t>, other than in an operating suite.</w:t>
      </w:r>
    </w:p>
    <w:p w14:paraId="535BD29C" w14:textId="77777777" w:rsidR="00B4737D" w:rsidRPr="00B4737D" w:rsidRDefault="00B4737D" w:rsidP="00725A13">
      <w:pPr>
        <w:ind w:left="851"/>
        <w:rPr>
          <w:sz w:val="24"/>
          <w:szCs w:val="24"/>
          <w:lang w:val="en-GB"/>
        </w:rPr>
      </w:pPr>
    </w:p>
    <w:p w14:paraId="5EB855B3" w14:textId="19CFC16D" w:rsidR="00B4737D" w:rsidRPr="00B4737D" w:rsidRDefault="00B4737D" w:rsidP="00725A13">
      <w:pPr>
        <w:ind w:left="851"/>
        <w:rPr>
          <w:sz w:val="24"/>
          <w:szCs w:val="24"/>
          <w:lang w:val="en-GB"/>
        </w:rPr>
      </w:pPr>
      <w:r w:rsidRPr="00B4737D">
        <w:rPr>
          <w:sz w:val="24"/>
          <w:szCs w:val="24"/>
          <w:lang w:val="en-GB"/>
        </w:rPr>
        <w:t xml:space="preserve">Minor bleeding was defined as any overt or macroscopic evidence of bleeding that does not </w:t>
      </w:r>
      <w:proofErr w:type="spellStart"/>
      <w:r w:rsidRPr="00B4737D">
        <w:rPr>
          <w:sz w:val="24"/>
          <w:szCs w:val="24"/>
          <w:lang w:val="en-GB"/>
        </w:rPr>
        <w:t>fulfill</w:t>
      </w:r>
      <w:proofErr w:type="spellEnd"/>
      <w:r w:rsidRPr="00B4737D">
        <w:rPr>
          <w:sz w:val="24"/>
          <w:szCs w:val="24"/>
          <w:lang w:val="en-GB"/>
        </w:rPr>
        <w:t xml:space="preserve"> the</w:t>
      </w:r>
      <w:r w:rsidR="00B46CF9">
        <w:rPr>
          <w:sz w:val="24"/>
          <w:szCs w:val="24"/>
          <w:lang w:val="en-GB"/>
        </w:rPr>
        <w:t xml:space="preserve"> </w:t>
      </w:r>
      <w:r w:rsidRPr="00B4737D">
        <w:rPr>
          <w:sz w:val="24"/>
          <w:szCs w:val="24"/>
          <w:lang w:val="en-GB"/>
        </w:rPr>
        <w:t xml:space="preserve">above criteria for either major bleeding or clinically relevant, non-major bleeding. </w:t>
      </w:r>
      <w:proofErr w:type="gramStart"/>
      <w:r w:rsidRPr="00B4737D">
        <w:rPr>
          <w:sz w:val="24"/>
          <w:szCs w:val="24"/>
          <w:lang w:val="en-GB"/>
        </w:rPr>
        <w:t>Menstrual bleeding,</w:t>
      </w:r>
      <w:proofErr w:type="gramEnd"/>
      <w:r w:rsidR="00B46CF9">
        <w:rPr>
          <w:sz w:val="24"/>
          <w:szCs w:val="24"/>
          <w:lang w:val="en-GB"/>
        </w:rPr>
        <w:t xml:space="preserve"> </w:t>
      </w:r>
      <w:r w:rsidRPr="00B4737D">
        <w:rPr>
          <w:sz w:val="24"/>
          <w:szCs w:val="24"/>
          <w:lang w:val="en-GB"/>
        </w:rPr>
        <w:t>was classified as a minor bleeding event rather than clinically relevant non-major.</w:t>
      </w:r>
    </w:p>
    <w:p w14:paraId="60BC937C" w14:textId="77777777" w:rsidR="00B4737D" w:rsidRPr="00B4737D" w:rsidRDefault="00B4737D" w:rsidP="00725A13">
      <w:pPr>
        <w:ind w:left="851"/>
        <w:rPr>
          <w:sz w:val="24"/>
          <w:szCs w:val="24"/>
          <w:lang w:val="en-GB"/>
        </w:rPr>
      </w:pPr>
    </w:p>
    <w:p w14:paraId="3D72E59F" w14:textId="77777777" w:rsidR="00B4737D" w:rsidRPr="00B4737D" w:rsidRDefault="00B4737D" w:rsidP="00725A13">
      <w:pPr>
        <w:ind w:left="851"/>
        <w:rPr>
          <w:sz w:val="24"/>
          <w:szCs w:val="24"/>
          <w:lang w:val="en-GB"/>
        </w:rPr>
      </w:pPr>
      <w:r w:rsidRPr="00B4737D">
        <w:rPr>
          <w:sz w:val="24"/>
          <w:szCs w:val="24"/>
          <w:lang w:val="en-GB"/>
        </w:rPr>
        <w:t>In 53 patients who entered the extension phase and were treated with apixaban, no event of</w:t>
      </w:r>
    </w:p>
    <w:p w14:paraId="63378BB0" w14:textId="3FBBF9BB" w:rsidR="00B4737D" w:rsidRPr="00B4737D" w:rsidRDefault="00B4737D" w:rsidP="00725A13">
      <w:pPr>
        <w:ind w:left="851"/>
        <w:rPr>
          <w:sz w:val="24"/>
          <w:szCs w:val="24"/>
          <w:lang w:val="en-GB"/>
        </w:rPr>
      </w:pPr>
      <w:r w:rsidRPr="00B4737D">
        <w:rPr>
          <w:sz w:val="24"/>
          <w:szCs w:val="24"/>
          <w:lang w:val="en-GB"/>
        </w:rPr>
        <w:t>symptomatic and asymptomatic recurrent VTE or VTE related mortality was reported. No patients in</w:t>
      </w:r>
      <w:r w:rsidR="00B46CF9">
        <w:rPr>
          <w:sz w:val="24"/>
          <w:szCs w:val="24"/>
          <w:lang w:val="en-GB"/>
        </w:rPr>
        <w:t xml:space="preserve"> </w:t>
      </w:r>
      <w:r w:rsidRPr="00B4737D">
        <w:rPr>
          <w:sz w:val="24"/>
          <w:szCs w:val="24"/>
          <w:lang w:val="en-GB"/>
        </w:rPr>
        <w:t>the extension phase experienced an adjudicated major or a CRNM bleeding event. Eight (8/53; 15.1%)</w:t>
      </w:r>
      <w:r w:rsidR="00B46CF9">
        <w:rPr>
          <w:sz w:val="24"/>
          <w:szCs w:val="24"/>
          <w:lang w:val="en-GB"/>
        </w:rPr>
        <w:t xml:space="preserve"> </w:t>
      </w:r>
      <w:r w:rsidRPr="00B4737D">
        <w:rPr>
          <w:sz w:val="24"/>
          <w:szCs w:val="24"/>
          <w:lang w:val="en-GB"/>
        </w:rPr>
        <w:t>patients in the extension phase experienced minor bleeding events.</w:t>
      </w:r>
    </w:p>
    <w:p w14:paraId="64F6CD61" w14:textId="77777777" w:rsidR="00B4737D" w:rsidRPr="00B4737D" w:rsidRDefault="00B4737D" w:rsidP="00725A13">
      <w:pPr>
        <w:ind w:left="851"/>
        <w:rPr>
          <w:sz w:val="24"/>
          <w:szCs w:val="24"/>
          <w:lang w:val="en-GB"/>
        </w:rPr>
      </w:pPr>
    </w:p>
    <w:p w14:paraId="3A597740" w14:textId="5EF5EBD1" w:rsidR="00B4737D" w:rsidRPr="00B4737D" w:rsidRDefault="00B4737D" w:rsidP="00725A13">
      <w:pPr>
        <w:ind w:left="851"/>
        <w:rPr>
          <w:sz w:val="24"/>
          <w:szCs w:val="24"/>
          <w:lang w:val="en-GB"/>
        </w:rPr>
      </w:pPr>
      <w:r w:rsidRPr="00B4737D">
        <w:rPr>
          <w:sz w:val="24"/>
          <w:szCs w:val="24"/>
          <w:lang w:val="en-GB"/>
        </w:rPr>
        <w:t>There were 3 deaths in the apixaban group and 1 death in the SOC group, all of which were assessed</w:t>
      </w:r>
      <w:r w:rsidR="00B46CF9">
        <w:rPr>
          <w:sz w:val="24"/>
          <w:szCs w:val="24"/>
          <w:lang w:val="en-GB"/>
        </w:rPr>
        <w:t xml:space="preserve"> </w:t>
      </w:r>
      <w:r w:rsidRPr="00B4737D">
        <w:rPr>
          <w:sz w:val="24"/>
          <w:szCs w:val="24"/>
          <w:lang w:val="en-GB"/>
        </w:rPr>
        <w:t>as not treatment-related by the investigator. None of these deaths were due to a VTE or bleeding event</w:t>
      </w:r>
      <w:r w:rsidR="00B46CF9">
        <w:rPr>
          <w:sz w:val="24"/>
          <w:szCs w:val="24"/>
          <w:lang w:val="en-GB"/>
        </w:rPr>
        <w:t xml:space="preserve"> </w:t>
      </w:r>
      <w:r w:rsidRPr="00B4737D">
        <w:rPr>
          <w:sz w:val="24"/>
          <w:szCs w:val="24"/>
          <w:lang w:val="en-GB"/>
        </w:rPr>
        <w:t>per the adjudication performed by the independent event adjudication committee.</w:t>
      </w:r>
    </w:p>
    <w:p w14:paraId="154094B7" w14:textId="77777777" w:rsidR="00B4737D" w:rsidRPr="00B4737D" w:rsidRDefault="00B4737D" w:rsidP="00725A13">
      <w:pPr>
        <w:ind w:left="851"/>
        <w:rPr>
          <w:sz w:val="24"/>
          <w:szCs w:val="24"/>
          <w:lang w:val="en-GB"/>
        </w:rPr>
      </w:pPr>
    </w:p>
    <w:p w14:paraId="21B7935A" w14:textId="07461BD6" w:rsidR="00B4737D" w:rsidRPr="00B4737D" w:rsidRDefault="00B4737D" w:rsidP="00725A13">
      <w:pPr>
        <w:ind w:left="851"/>
        <w:rPr>
          <w:sz w:val="24"/>
          <w:szCs w:val="24"/>
          <w:lang w:val="en-GB"/>
        </w:rPr>
      </w:pPr>
      <w:r w:rsidRPr="00B4737D">
        <w:rPr>
          <w:sz w:val="24"/>
          <w:szCs w:val="24"/>
          <w:lang w:val="en-GB"/>
        </w:rPr>
        <w:t>The safety database for apixaban in paediatric patients is based on Study CV185325 for treatment of</w:t>
      </w:r>
      <w:r w:rsidR="00B46CF9">
        <w:rPr>
          <w:sz w:val="24"/>
          <w:szCs w:val="24"/>
          <w:lang w:val="en-GB"/>
        </w:rPr>
        <w:t xml:space="preserve"> </w:t>
      </w:r>
      <w:r w:rsidRPr="00B4737D">
        <w:rPr>
          <w:sz w:val="24"/>
          <w:szCs w:val="24"/>
          <w:lang w:val="en-GB"/>
        </w:rPr>
        <w:t>VTE and prevention of recurrent VTE, supplemented with the PREVAPIX-ALL study and the</w:t>
      </w:r>
      <w:r w:rsidR="00B46CF9">
        <w:rPr>
          <w:sz w:val="24"/>
          <w:szCs w:val="24"/>
          <w:lang w:val="en-GB"/>
        </w:rPr>
        <w:t xml:space="preserve"> </w:t>
      </w:r>
      <w:r w:rsidRPr="00B4737D">
        <w:rPr>
          <w:sz w:val="24"/>
          <w:szCs w:val="24"/>
          <w:lang w:val="en-GB"/>
        </w:rPr>
        <w:t>SAXOPHONE study in VTE primary prophylaxis, and single-dose study CV185118. It includes</w:t>
      </w:r>
      <w:r w:rsidR="00B46CF9">
        <w:rPr>
          <w:sz w:val="24"/>
          <w:szCs w:val="24"/>
          <w:lang w:val="en-GB"/>
        </w:rPr>
        <w:t xml:space="preserve"> </w:t>
      </w:r>
      <w:r w:rsidRPr="00B4737D">
        <w:rPr>
          <w:sz w:val="24"/>
          <w:szCs w:val="24"/>
          <w:lang w:val="en-GB"/>
        </w:rPr>
        <w:t>970 paediatric patients, 568 of whom received apixaban.</w:t>
      </w:r>
    </w:p>
    <w:p w14:paraId="1A9C9F7E" w14:textId="77777777" w:rsidR="00B4737D" w:rsidRPr="00B4737D" w:rsidRDefault="00B4737D" w:rsidP="00725A13">
      <w:pPr>
        <w:ind w:left="851"/>
        <w:rPr>
          <w:sz w:val="24"/>
          <w:szCs w:val="24"/>
          <w:lang w:val="en-GB"/>
        </w:rPr>
      </w:pPr>
    </w:p>
    <w:p w14:paraId="059F564E" w14:textId="77777777" w:rsidR="00B4737D" w:rsidRPr="00B4737D" w:rsidRDefault="00B4737D" w:rsidP="00725A13">
      <w:pPr>
        <w:ind w:left="851"/>
        <w:rPr>
          <w:sz w:val="24"/>
          <w:szCs w:val="24"/>
          <w:u w:val="single"/>
          <w:lang w:val="en-GB"/>
        </w:rPr>
      </w:pPr>
      <w:r w:rsidRPr="00B4737D">
        <w:rPr>
          <w:sz w:val="24"/>
          <w:szCs w:val="24"/>
          <w:lang w:val="en-GB"/>
        </w:rPr>
        <w:t xml:space="preserve">There is no authorised paediatric indication for the primary prophylaxis of VTE. </w:t>
      </w:r>
    </w:p>
    <w:p w14:paraId="4CBEA449" w14:textId="77777777" w:rsidR="00B4737D" w:rsidRPr="00B4737D" w:rsidRDefault="00B4737D" w:rsidP="00725A13">
      <w:pPr>
        <w:ind w:left="851"/>
        <w:rPr>
          <w:sz w:val="24"/>
          <w:szCs w:val="24"/>
          <w:u w:val="single"/>
          <w:lang w:val="en-GB"/>
        </w:rPr>
      </w:pPr>
    </w:p>
    <w:p w14:paraId="48B155F7" w14:textId="77777777" w:rsidR="00B4737D" w:rsidRPr="00B4737D" w:rsidRDefault="00B4737D" w:rsidP="00725A13">
      <w:pPr>
        <w:ind w:left="851"/>
        <w:rPr>
          <w:sz w:val="24"/>
          <w:szCs w:val="24"/>
          <w:u w:val="single"/>
          <w:lang w:val="en-GB"/>
        </w:rPr>
      </w:pPr>
      <w:r w:rsidRPr="00B4737D">
        <w:rPr>
          <w:i/>
          <w:iCs/>
          <w:sz w:val="24"/>
          <w:szCs w:val="24"/>
          <w:u w:val="single"/>
          <w:lang w:val="en-GB"/>
        </w:rPr>
        <w:t xml:space="preserve">Prevention of VTE in paediatric patients with acute lymphoblastic leukaemia or lymphoblastic lymphoma (ALL, LL) </w:t>
      </w:r>
    </w:p>
    <w:p w14:paraId="563BCF94" w14:textId="77777777" w:rsidR="00B4737D" w:rsidRPr="00B4737D" w:rsidRDefault="00B4737D" w:rsidP="00725A13">
      <w:pPr>
        <w:ind w:left="851"/>
        <w:rPr>
          <w:sz w:val="24"/>
          <w:szCs w:val="24"/>
          <w:lang w:val="en-GB"/>
        </w:rPr>
      </w:pPr>
      <w:r w:rsidRPr="00B4737D">
        <w:rPr>
          <w:sz w:val="24"/>
          <w:szCs w:val="24"/>
          <w:lang w:val="en-GB"/>
        </w:rPr>
        <w:t>In the PREVAPIX-ALL study, a total of 512 patients age ≥ 1 to &lt; 18 with newly diagnosed ALL or LL, undergoing induction chemotherapy including asparaginase via an indwelling central venous access device, were randomised 1:1 to open-label thromboprophylaxis with apixaban or standard of care (with no systemic anticoagulation). Apixaban was administered according to a fixed-dose, body weight-tiered regimen designed to produce exposures comparable to those seen in adults who received 2.5 mg twice daily (see Table 13). Apixaban was provided as a 2.5 mg tablet, 0.5 mg tablet, or 0.4 mg/mL oral solution. The median duration of exposure in the apixaban arm was 25 days.</w:t>
      </w:r>
    </w:p>
    <w:p w14:paraId="4F973B5A" w14:textId="77777777" w:rsidR="00B4737D" w:rsidRPr="00B4737D" w:rsidRDefault="00B4737D" w:rsidP="00B4737D">
      <w:pPr>
        <w:tabs>
          <w:tab w:val="left" w:pos="851"/>
        </w:tabs>
        <w:ind w:left="851"/>
        <w:rPr>
          <w:sz w:val="24"/>
          <w:szCs w:val="24"/>
          <w:u w:val="single"/>
          <w:lang w:val="en-GB"/>
        </w:rPr>
      </w:pPr>
    </w:p>
    <w:p w14:paraId="77CCDCAF" w14:textId="77777777" w:rsidR="00B4737D" w:rsidRPr="00B4737D" w:rsidRDefault="00B4737D" w:rsidP="00B4737D">
      <w:pPr>
        <w:tabs>
          <w:tab w:val="left" w:pos="851"/>
        </w:tabs>
        <w:ind w:left="851"/>
        <w:rPr>
          <w:b/>
          <w:bCs/>
          <w:sz w:val="24"/>
          <w:szCs w:val="24"/>
          <w:lang w:val="en-GB"/>
        </w:rPr>
      </w:pPr>
      <w:r w:rsidRPr="00B4737D">
        <w:rPr>
          <w:b/>
          <w:bCs/>
          <w:sz w:val="24"/>
          <w:szCs w:val="24"/>
          <w:lang w:val="en-GB"/>
        </w:rPr>
        <w:t>Table 13: Apixaban dosing in the PREVAPIX-ALL study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8"/>
      </w:tblGrid>
      <w:tr w:rsidR="00B4737D" w:rsidRPr="00B4737D" w14:paraId="5E8ACDCD" w14:textId="77777777" w:rsidTr="00B46CF9">
        <w:trPr>
          <w:trHeight w:val="151"/>
        </w:trPr>
        <w:tc>
          <w:tcPr>
            <w:tcW w:w="2977" w:type="dxa"/>
            <w:tcBorders>
              <w:top w:val="single" w:sz="4" w:space="0" w:color="auto"/>
              <w:left w:val="single" w:sz="4" w:space="0" w:color="auto"/>
              <w:bottom w:val="single" w:sz="4" w:space="0" w:color="auto"/>
              <w:right w:val="single" w:sz="4" w:space="0" w:color="auto"/>
            </w:tcBorders>
            <w:hideMark/>
          </w:tcPr>
          <w:p w14:paraId="093B227C" w14:textId="77777777" w:rsidR="00B4737D" w:rsidRPr="00B4737D" w:rsidRDefault="00B4737D" w:rsidP="00725A13">
            <w:pPr>
              <w:ind w:left="132"/>
              <w:rPr>
                <w:sz w:val="24"/>
                <w:szCs w:val="24"/>
                <w:lang w:val="fr-BE"/>
              </w:rPr>
            </w:pPr>
            <w:proofErr w:type="spellStart"/>
            <w:r w:rsidRPr="00B4737D">
              <w:rPr>
                <w:b/>
                <w:bCs/>
                <w:sz w:val="24"/>
                <w:szCs w:val="24"/>
                <w:lang w:val="fr-BE"/>
              </w:rPr>
              <w:t>Weight</w:t>
            </w:r>
            <w:proofErr w:type="spellEnd"/>
            <w:r w:rsidRPr="00B4737D">
              <w:rPr>
                <w:b/>
                <w:bCs/>
                <w:sz w:val="24"/>
                <w:szCs w:val="24"/>
                <w:lang w:val="fr-BE"/>
              </w:rPr>
              <w:t xml:space="preserve"> Range</w:t>
            </w:r>
          </w:p>
        </w:tc>
        <w:tc>
          <w:tcPr>
            <w:tcW w:w="3118" w:type="dxa"/>
            <w:tcBorders>
              <w:top w:val="single" w:sz="4" w:space="0" w:color="auto"/>
              <w:left w:val="single" w:sz="4" w:space="0" w:color="auto"/>
              <w:bottom w:val="single" w:sz="4" w:space="0" w:color="auto"/>
              <w:right w:val="single" w:sz="4" w:space="0" w:color="auto"/>
            </w:tcBorders>
            <w:hideMark/>
          </w:tcPr>
          <w:p w14:paraId="3CA69ABB" w14:textId="77777777" w:rsidR="00B4737D" w:rsidRPr="00B4737D" w:rsidRDefault="00B4737D" w:rsidP="00725A13">
            <w:pPr>
              <w:ind w:left="132"/>
              <w:rPr>
                <w:sz w:val="24"/>
                <w:szCs w:val="24"/>
                <w:lang w:val="fr-BE"/>
              </w:rPr>
            </w:pPr>
            <w:r w:rsidRPr="00B4737D">
              <w:rPr>
                <w:b/>
                <w:bCs/>
                <w:sz w:val="24"/>
                <w:szCs w:val="24"/>
                <w:lang w:val="fr-BE"/>
              </w:rPr>
              <w:t xml:space="preserve">Dose </w:t>
            </w:r>
            <w:proofErr w:type="spellStart"/>
            <w:r w:rsidRPr="00B4737D">
              <w:rPr>
                <w:b/>
                <w:bCs/>
                <w:sz w:val="24"/>
                <w:szCs w:val="24"/>
                <w:lang w:val="fr-BE"/>
              </w:rPr>
              <w:t>schedule</w:t>
            </w:r>
            <w:proofErr w:type="spellEnd"/>
          </w:p>
        </w:tc>
      </w:tr>
      <w:tr w:rsidR="00B4737D" w:rsidRPr="00B4737D" w14:paraId="222B69B9" w14:textId="77777777" w:rsidTr="00B46CF9">
        <w:trPr>
          <w:trHeight w:val="147"/>
        </w:trPr>
        <w:tc>
          <w:tcPr>
            <w:tcW w:w="2977" w:type="dxa"/>
            <w:tcBorders>
              <w:top w:val="single" w:sz="4" w:space="0" w:color="auto"/>
              <w:left w:val="single" w:sz="4" w:space="0" w:color="auto"/>
              <w:bottom w:val="single" w:sz="4" w:space="0" w:color="auto"/>
              <w:right w:val="single" w:sz="4" w:space="0" w:color="auto"/>
            </w:tcBorders>
            <w:hideMark/>
          </w:tcPr>
          <w:p w14:paraId="0E061176" w14:textId="77777777" w:rsidR="00B4737D" w:rsidRPr="00B4737D" w:rsidRDefault="00B4737D" w:rsidP="00725A13">
            <w:pPr>
              <w:ind w:left="132"/>
              <w:rPr>
                <w:sz w:val="24"/>
                <w:szCs w:val="24"/>
                <w:lang w:val="fr-BE"/>
              </w:rPr>
            </w:pPr>
            <w:r w:rsidRPr="00B4737D">
              <w:rPr>
                <w:sz w:val="24"/>
                <w:szCs w:val="24"/>
                <w:lang w:val="fr-BE"/>
              </w:rPr>
              <w:t>6 to &lt; 10.5 kg</w:t>
            </w:r>
          </w:p>
        </w:tc>
        <w:tc>
          <w:tcPr>
            <w:tcW w:w="3118" w:type="dxa"/>
            <w:tcBorders>
              <w:top w:val="single" w:sz="4" w:space="0" w:color="auto"/>
              <w:left w:val="single" w:sz="4" w:space="0" w:color="auto"/>
              <w:bottom w:val="single" w:sz="4" w:space="0" w:color="auto"/>
              <w:right w:val="single" w:sz="4" w:space="0" w:color="auto"/>
            </w:tcBorders>
            <w:hideMark/>
          </w:tcPr>
          <w:p w14:paraId="19D88322" w14:textId="77777777" w:rsidR="00B4737D" w:rsidRPr="00B4737D" w:rsidRDefault="00B4737D" w:rsidP="00725A13">
            <w:pPr>
              <w:ind w:left="132"/>
              <w:rPr>
                <w:sz w:val="24"/>
                <w:szCs w:val="24"/>
                <w:lang w:val="fr-BE"/>
              </w:rPr>
            </w:pPr>
            <w:r w:rsidRPr="00B4737D">
              <w:rPr>
                <w:sz w:val="24"/>
                <w:szCs w:val="24"/>
                <w:lang w:val="fr-BE"/>
              </w:rPr>
              <w:t xml:space="preserve">0.5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7A649C78" w14:textId="77777777" w:rsidTr="00B46CF9">
        <w:trPr>
          <w:trHeight w:val="147"/>
        </w:trPr>
        <w:tc>
          <w:tcPr>
            <w:tcW w:w="2977" w:type="dxa"/>
            <w:tcBorders>
              <w:top w:val="single" w:sz="4" w:space="0" w:color="auto"/>
              <w:left w:val="single" w:sz="4" w:space="0" w:color="auto"/>
              <w:bottom w:val="single" w:sz="4" w:space="0" w:color="auto"/>
              <w:right w:val="single" w:sz="4" w:space="0" w:color="auto"/>
            </w:tcBorders>
            <w:hideMark/>
          </w:tcPr>
          <w:p w14:paraId="7683A4C9" w14:textId="77777777" w:rsidR="00B4737D" w:rsidRPr="00B4737D" w:rsidRDefault="00B4737D" w:rsidP="00725A13">
            <w:pPr>
              <w:ind w:left="132"/>
              <w:rPr>
                <w:sz w:val="24"/>
                <w:szCs w:val="24"/>
                <w:lang w:val="fr-BE"/>
              </w:rPr>
            </w:pPr>
            <w:r w:rsidRPr="00B4737D">
              <w:rPr>
                <w:sz w:val="24"/>
                <w:szCs w:val="24"/>
                <w:lang w:val="fr-BE"/>
              </w:rPr>
              <w:t>10.5 to &lt; 18 kg</w:t>
            </w:r>
          </w:p>
        </w:tc>
        <w:tc>
          <w:tcPr>
            <w:tcW w:w="3118" w:type="dxa"/>
            <w:tcBorders>
              <w:top w:val="single" w:sz="4" w:space="0" w:color="auto"/>
              <w:left w:val="single" w:sz="4" w:space="0" w:color="auto"/>
              <w:bottom w:val="single" w:sz="4" w:space="0" w:color="auto"/>
              <w:right w:val="single" w:sz="4" w:space="0" w:color="auto"/>
            </w:tcBorders>
            <w:hideMark/>
          </w:tcPr>
          <w:p w14:paraId="3355B745" w14:textId="77777777" w:rsidR="00B4737D" w:rsidRPr="00B4737D" w:rsidRDefault="00B4737D" w:rsidP="00725A13">
            <w:pPr>
              <w:ind w:left="132"/>
              <w:rPr>
                <w:sz w:val="24"/>
                <w:szCs w:val="24"/>
                <w:lang w:val="fr-BE"/>
              </w:rPr>
            </w:pPr>
            <w:r w:rsidRPr="00B4737D">
              <w:rPr>
                <w:sz w:val="24"/>
                <w:szCs w:val="24"/>
                <w:lang w:val="fr-BE"/>
              </w:rPr>
              <w:t xml:space="preserve">1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49414D5D" w14:textId="77777777" w:rsidTr="00B46CF9">
        <w:trPr>
          <w:trHeight w:val="147"/>
        </w:trPr>
        <w:tc>
          <w:tcPr>
            <w:tcW w:w="2977" w:type="dxa"/>
            <w:tcBorders>
              <w:top w:val="single" w:sz="4" w:space="0" w:color="auto"/>
              <w:left w:val="single" w:sz="4" w:space="0" w:color="auto"/>
              <w:bottom w:val="single" w:sz="4" w:space="0" w:color="auto"/>
              <w:right w:val="single" w:sz="4" w:space="0" w:color="auto"/>
            </w:tcBorders>
            <w:hideMark/>
          </w:tcPr>
          <w:p w14:paraId="00D38F99" w14:textId="77777777" w:rsidR="00B4737D" w:rsidRPr="00B4737D" w:rsidRDefault="00B4737D" w:rsidP="00725A13">
            <w:pPr>
              <w:ind w:left="132"/>
              <w:rPr>
                <w:sz w:val="24"/>
                <w:szCs w:val="24"/>
                <w:lang w:val="fr-BE"/>
              </w:rPr>
            </w:pPr>
            <w:r w:rsidRPr="00B4737D">
              <w:rPr>
                <w:sz w:val="24"/>
                <w:szCs w:val="24"/>
                <w:lang w:val="fr-BE"/>
              </w:rPr>
              <w:t>18 to &lt; 25 kg</w:t>
            </w:r>
          </w:p>
        </w:tc>
        <w:tc>
          <w:tcPr>
            <w:tcW w:w="3118" w:type="dxa"/>
            <w:tcBorders>
              <w:top w:val="single" w:sz="4" w:space="0" w:color="auto"/>
              <w:left w:val="single" w:sz="4" w:space="0" w:color="auto"/>
              <w:bottom w:val="single" w:sz="4" w:space="0" w:color="auto"/>
              <w:right w:val="single" w:sz="4" w:space="0" w:color="auto"/>
            </w:tcBorders>
            <w:hideMark/>
          </w:tcPr>
          <w:p w14:paraId="4F38988E" w14:textId="77777777" w:rsidR="00B4737D" w:rsidRPr="00B4737D" w:rsidRDefault="00B4737D" w:rsidP="00725A13">
            <w:pPr>
              <w:ind w:left="132"/>
              <w:rPr>
                <w:sz w:val="24"/>
                <w:szCs w:val="24"/>
                <w:lang w:val="fr-BE"/>
              </w:rPr>
            </w:pPr>
            <w:r w:rsidRPr="00B4737D">
              <w:rPr>
                <w:sz w:val="24"/>
                <w:szCs w:val="24"/>
                <w:lang w:val="fr-BE"/>
              </w:rPr>
              <w:t xml:space="preserve">1.5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783EFB5A" w14:textId="77777777" w:rsidTr="00B46CF9">
        <w:trPr>
          <w:trHeight w:val="147"/>
        </w:trPr>
        <w:tc>
          <w:tcPr>
            <w:tcW w:w="2977" w:type="dxa"/>
            <w:tcBorders>
              <w:top w:val="single" w:sz="4" w:space="0" w:color="auto"/>
              <w:left w:val="single" w:sz="4" w:space="0" w:color="auto"/>
              <w:bottom w:val="single" w:sz="4" w:space="0" w:color="auto"/>
              <w:right w:val="single" w:sz="4" w:space="0" w:color="auto"/>
            </w:tcBorders>
            <w:hideMark/>
          </w:tcPr>
          <w:p w14:paraId="6941BC8E" w14:textId="77777777" w:rsidR="00B4737D" w:rsidRPr="00B4737D" w:rsidRDefault="00B4737D" w:rsidP="00725A13">
            <w:pPr>
              <w:ind w:left="132"/>
              <w:rPr>
                <w:sz w:val="24"/>
                <w:szCs w:val="24"/>
                <w:lang w:val="fr-BE"/>
              </w:rPr>
            </w:pPr>
            <w:r w:rsidRPr="00B4737D">
              <w:rPr>
                <w:sz w:val="24"/>
                <w:szCs w:val="24"/>
                <w:lang w:val="fr-BE"/>
              </w:rPr>
              <w:t>25 to &lt; 35 kg</w:t>
            </w:r>
          </w:p>
        </w:tc>
        <w:tc>
          <w:tcPr>
            <w:tcW w:w="3118" w:type="dxa"/>
            <w:tcBorders>
              <w:top w:val="single" w:sz="4" w:space="0" w:color="auto"/>
              <w:left w:val="single" w:sz="4" w:space="0" w:color="auto"/>
              <w:bottom w:val="single" w:sz="4" w:space="0" w:color="auto"/>
              <w:right w:val="single" w:sz="4" w:space="0" w:color="auto"/>
            </w:tcBorders>
            <w:hideMark/>
          </w:tcPr>
          <w:p w14:paraId="19EB7046" w14:textId="77777777" w:rsidR="00B4737D" w:rsidRPr="00B4737D" w:rsidRDefault="00B4737D" w:rsidP="00725A13">
            <w:pPr>
              <w:ind w:left="132"/>
              <w:rPr>
                <w:sz w:val="24"/>
                <w:szCs w:val="24"/>
                <w:lang w:val="fr-BE"/>
              </w:rPr>
            </w:pPr>
            <w:r w:rsidRPr="00B4737D">
              <w:rPr>
                <w:sz w:val="24"/>
                <w:szCs w:val="24"/>
                <w:lang w:val="fr-BE"/>
              </w:rPr>
              <w:t xml:space="preserve">2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1A925795" w14:textId="77777777" w:rsidTr="00B46CF9">
        <w:trPr>
          <w:trHeight w:val="147"/>
        </w:trPr>
        <w:tc>
          <w:tcPr>
            <w:tcW w:w="2977" w:type="dxa"/>
            <w:tcBorders>
              <w:top w:val="single" w:sz="4" w:space="0" w:color="auto"/>
              <w:left w:val="single" w:sz="4" w:space="0" w:color="auto"/>
              <w:bottom w:val="single" w:sz="4" w:space="0" w:color="auto"/>
              <w:right w:val="single" w:sz="4" w:space="0" w:color="auto"/>
            </w:tcBorders>
            <w:hideMark/>
          </w:tcPr>
          <w:p w14:paraId="233DA84E" w14:textId="77777777" w:rsidR="00B4737D" w:rsidRPr="00B4737D" w:rsidRDefault="00B4737D" w:rsidP="00725A13">
            <w:pPr>
              <w:ind w:left="132"/>
              <w:rPr>
                <w:sz w:val="24"/>
                <w:szCs w:val="24"/>
                <w:lang w:val="fr-BE"/>
              </w:rPr>
            </w:pPr>
            <w:r w:rsidRPr="00B4737D">
              <w:rPr>
                <w:sz w:val="24"/>
                <w:szCs w:val="24"/>
                <w:lang w:val="fr-BE"/>
              </w:rPr>
              <w:t>≥ 35 kg</w:t>
            </w:r>
          </w:p>
        </w:tc>
        <w:tc>
          <w:tcPr>
            <w:tcW w:w="3118" w:type="dxa"/>
            <w:tcBorders>
              <w:top w:val="single" w:sz="4" w:space="0" w:color="auto"/>
              <w:left w:val="single" w:sz="4" w:space="0" w:color="auto"/>
              <w:bottom w:val="single" w:sz="4" w:space="0" w:color="auto"/>
              <w:right w:val="single" w:sz="4" w:space="0" w:color="auto"/>
            </w:tcBorders>
            <w:hideMark/>
          </w:tcPr>
          <w:p w14:paraId="0F6E6E83" w14:textId="77777777" w:rsidR="00B4737D" w:rsidRPr="00B4737D" w:rsidRDefault="00B4737D" w:rsidP="00725A13">
            <w:pPr>
              <w:ind w:left="132"/>
              <w:rPr>
                <w:sz w:val="24"/>
                <w:szCs w:val="24"/>
                <w:lang w:val="fr-BE"/>
              </w:rPr>
            </w:pPr>
            <w:r w:rsidRPr="00B4737D">
              <w:rPr>
                <w:sz w:val="24"/>
                <w:szCs w:val="24"/>
                <w:lang w:val="fr-BE"/>
              </w:rPr>
              <w:t xml:space="preserve">2.5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bl>
    <w:p w14:paraId="7B36A73F" w14:textId="77777777" w:rsidR="00B4737D" w:rsidRPr="00B4737D" w:rsidRDefault="00B4737D" w:rsidP="00B4737D">
      <w:pPr>
        <w:tabs>
          <w:tab w:val="left" w:pos="851"/>
        </w:tabs>
        <w:ind w:left="851"/>
        <w:rPr>
          <w:sz w:val="24"/>
          <w:szCs w:val="24"/>
          <w:u w:val="single"/>
          <w:lang w:val="en-GB"/>
        </w:rPr>
      </w:pPr>
    </w:p>
    <w:p w14:paraId="7ABB1DF5" w14:textId="77777777" w:rsidR="00B4737D" w:rsidRPr="00B4737D" w:rsidRDefault="00B4737D" w:rsidP="00725A13">
      <w:pPr>
        <w:ind w:left="851"/>
        <w:rPr>
          <w:sz w:val="24"/>
          <w:szCs w:val="24"/>
          <w:lang w:val="en-GB"/>
        </w:rPr>
      </w:pPr>
      <w:r w:rsidRPr="00B4737D">
        <w:rPr>
          <w:sz w:val="24"/>
          <w:szCs w:val="24"/>
          <w:lang w:val="en-GB"/>
        </w:rPr>
        <w:t xml:space="preserve">The primary efficacy endpoint was a composite of adjudicated symptomatic and asymptomatic non-fatal deep vein thrombosis, pulmonary embolism, cerebral venous sinus thrombosis, and venous thromboembolism-related death. The incidence of the primary </w:t>
      </w:r>
      <w:r w:rsidRPr="00B4737D">
        <w:rPr>
          <w:sz w:val="24"/>
          <w:szCs w:val="24"/>
          <w:lang w:val="en-GB"/>
        </w:rPr>
        <w:lastRenderedPageBreak/>
        <w:t xml:space="preserve">efficacy endpoint was 31 (12.1%) in the apixaban arm versus 45 (17.6%) in the standard of care arm. The relative risk reduction did not achieve significance. </w:t>
      </w:r>
    </w:p>
    <w:p w14:paraId="77794CCB" w14:textId="77777777" w:rsidR="00B4737D" w:rsidRPr="00B4737D" w:rsidRDefault="00B4737D" w:rsidP="00725A13">
      <w:pPr>
        <w:ind w:left="851"/>
        <w:rPr>
          <w:sz w:val="24"/>
          <w:szCs w:val="24"/>
          <w:lang w:val="en-GB"/>
        </w:rPr>
      </w:pPr>
    </w:p>
    <w:p w14:paraId="0383ED47" w14:textId="77777777" w:rsidR="00B4737D" w:rsidRPr="00B4737D" w:rsidRDefault="00B4737D" w:rsidP="00725A13">
      <w:pPr>
        <w:ind w:left="851"/>
        <w:rPr>
          <w:sz w:val="24"/>
          <w:szCs w:val="24"/>
          <w:lang w:val="en-GB"/>
        </w:rPr>
      </w:pPr>
      <w:r w:rsidRPr="00B4737D">
        <w:rPr>
          <w:sz w:val="24"/>
          <w:szCs w:val="24"/>
          <w:lang w:val="en-GB"/>
        </w:rPr>
        <w:t xml:space="preserve">Safety endpoints were adjudicated according to ISTH criteria. The primary safety endpoint, major bleeding, occurred in 0.8% of patients in each treatment arm. CRNM bleeding occurred in 11 patients (4.3%) in the apixaban arm and 3 patients (1.2%) in the standard of care arm. The most common CRNM bleeding event contributing to the treatment difference was mild to moderate intensity epistaxis. Minor bleeding events occurred in 37 patients in the apixaban arm (14.5%) and 20 patients (7.8%) in the standard of care arm. </w:t>
      </w:r>
    </w:p>
    <w:p w14:paraId="77327510" w14:textId="77777777" w:rsidR="00B4737D" w:rsidRPr="00B4737D" w:rsidRDefault="00B4737D" w:rsidP="00725A13">
      <w:pPr>
        <w:ind w:left="851"/>
        <w:rPr>
          <w:sz w:val="24"/>
          <w:szCs w:val="24"/>
          <w:u w:val="single"/>
          <w:lang w:val="en-GB"/>
        </w:rPr>
      </w:pPr>
    </w:p>
    <w:p w14:paraId="65C1D076" w14:textId="77777777" w:rsidR="00B4737D" w:rsidRPr="00B4737D" w:rsidRDefault="00B4737D" w:rsidP="00725A13">
      <w:pPr>
        <w:ind w:left="851"/>
        <w:rPr>
          <w:sz w:val="24"/>
          <w:szCs w:val="24"/>
          <w:u w:val="single"/>
          <w:lang w:val="en-GB"/>
        </w:rPr>
      </w:pPr>
      <w:r w:rsidRPr="00B4737D">
        <w:rPr>
          <w:i/>
          <w:iCs/>
          <w:sz w:val="24"/>
          <w:szCs w:val="24"/>
          <w:u w:val="single"/>
          <w:lang w:val="en-GB"/>
        </w:rPr>
        <w:t xml:space="preserve">Prevention of thromboembolism (TE) in paediatric patients with congenital or acquired heart disease </w:t>
      </w:r>
    </w:p>
    <w:p w14:paraId="57671D33" w14:textId="77777777" w:rsidR="00B4737D" w:rsidRPr="00B4737D" w:rsidRDefault="00B4737D" w:rsidP="00725A13">
      <w:pPr>
        <w:ind w:left="851"/>
        <w:rPr>
          <w:sz w:val="24"/>
          <w:szCs w:val="24"/>
          <w:u w:val="single"/>
          <w:lang w:val="en-GB"/>
        </w:rPr>
      </w:pPr>
      <w:r w:rsidRPr="00B4737D">
        <w:rPr>
          <w:sz w:val="24"/>
          <w:szCs w:val="24"/>
          <w:lang w:val="en-GB"/>
        </w:rPr>
        <w:t>SAXOPHONE was a randomised 2:1 open-label, multi-</w:t>
      </w:r>
      <w:proofErr w:type="spellStart"/>
      <w:r w:rsidRPr="00B4737D">
        <w:rPr>
          <w:sz w:val="24"/>
          <w:szCs w:val="24"/>
          <w:lang w:val="en-GB"/>
        </w:rPr>
        <w:t>center</w:t>
      </w:r>
      <w:proofErr w:type="spellEnd"/>
      <w:r w:rsidRPr="00B4737D">
        <w:rPr>
          <w:sz w:val="24"/>
          <w:szCs w:val="24"/>
          <w:lang w:val="en-GB"/>
        </w:rPr>
        <w:t xml:space="preserve"> comparative study of patients 28 days to &lt; 18 years of age with congenital or acquired heart disease who require anticoagulation. Patients received either apixaban or standard of care thromboprophylaxis with a vitamin K antagonist or low molecular weight heparin. Apixaban was administered according to a fixed-dose, body weight-tiered regimen designed to produce exposures comparable to those seen in adults who received a dose of 5 mg twice daily (see Table 14). Apixaban was provided as a 5 mg tablet, 0.5 mg tablet, or 0.4 mg/mL oral solution. The mean duration of exposure in the apixaban arm was 331 days.</w:t>
      </w:r>
    </w:p>
    <w:p w14:paraId="29D821AB" w14:textId="77777777" w:rsidR="00B4737D" w:rsidRPr="00B4737D" w:rsidRDefault="00B4737D" w:rsidP="00B4737D">
      <w:pPr>
        <w:tabs>
          <w:tab w:val="left" w:pos="851"/>
        </w:tabs>
        <w:ind w:left="851"/>
        <w:rPr>
          <w:sz w:val="24"/>
          <w:szCs w:val="24"/>
          <w:u w:val="single"/>
          <w:lang w:val="en-GB"/>
        </w:rPr>
      </w:pPr>
    </w:p>
    <w:p w14:paraId="6390656D" w14:textId="77777777" w:rsidR="00B4737D" w:rsidRPr="00B4737D" w:rsidRDefault="00B4737D" w:rsidP="00B4737D">
      <w:pPr>
        <w:tabs>
          <w:tab w:val="left" w:pos="851"/>
        </w:tabs>
        <w:ind w:left="851"/>
        <w:rPr>
          <w:b/>
          <w:bCs/>
          <w:sz w:val="24"/>
          <w:szCs w:val="24"/>
          <w:lang w:val="en-GB"/>
        </w:rPr>
      </w:pPr>
      <w:r w:rsidRPr="00B4737D">
        <w:rPr>
          <w:b/>
          <w:bCs/>
          <w:sz w:val="24"/>
          <w:szCs w:val="24"/>
          <w:lang w:val="en-GB"/>
        </w:rPr>
        <w:t>Table 14: Apixaban dosing in the SAXOPHONE study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977"/>
      </w:tblGrid>
      <w:tr w:rsidR="00B4737D" w:rsidRPr="00B4737D" w14:paraId="35F06EF5" w14:textId="77777777" w:rsidTr="00B46CF9">
        <w:trPr>
          <w:trHeight w:val="151"/>
        </w:trPr>
        <w:tc>
          <w:tcPr>
            <w:tcW w:w="2835" w:type="dxa"/>
            <w:tcBorders>
              <w:top w:val="single" w:sz="4" w:space="0" w:color="auto"/>
              <w:left w:val="single" w:sz="4" w:space="0" w:color="auto"/>
              <w:bottom w:val="single" w:sz="4" w:space="0" w:color="auto"/>
              <w:right w:val="single" w:sz="4" w:space="0" w:color="auto"/>
            </w:tcBorders>
            <w:hideMark/>
          </w:tcPr>
          <w:p w14:paraId="358FEB4D" w14:textId="77777777" w:rsidR="00B4737D" w:rsidRPr="00B4737D" w:rsidRDefault="00B4737D" w:rsidP="00725A13">
            <w:pPr>
              <w:ind w:left="132"/>
              <w:rPr>
                <w:sz w:val="24"/>
                <w:szCs w:val="24"/>
                <w:lang w:val="fr-BE"/>
              </w:rPr>
            </w:pPr>
            <w:proofErr w:type="spellStart"/>
            <w:r w:rsidRPr="00B4737D">
              <w:rPr>
                <w:b/>
                <w:bCs/>
                <w:sz w:val="24"/>
                <w:szCs w:val="24"/>
                <w:lang w:val="fr-BE"/>
              </w:rPr>
              <w:t>Weight</w:t>
            </w:r>
            <w:proofErr w:type="spellEnd"/>
            <w:r w:rsidRPr="00B4737D">
              <w:rPr>
                <w:b/>
                <w:bCs/>
                <w:sz w:val="24"/>
                <w:szCs w:val="24"/>
                <w:lang w:val="fr-BE"/>
              </w:rPr>
              <w:t xml:space="preserve"> Range</w:t>
            </w:r>
          </w:p>
        </w:tc>
        <w:tc>
          <w:tcPr>
            <w:tcW w:w="2977" w:type="dxa"/>
            <w:tcBorders>
              <w:top w:val="single" w:sz="4" w:space="0" w:color="auto"/>
              <w:left w:val="single" w:sz="4" w:space="0" w:color="auto"/>
              <w:bottom w:val="single" w:sz="4" w:space="0" w:color="auto"/>
              <w:right w:val="single" w:sz="4" w:space="0" w:color="auto"/>
            </w:tcBorders>
            <w:hideMark/>
          </w:tcPr>
          <w:p w14:paraId="6D42C79B" w14:textId="77777777" w:rsidR="00B4737D" w:rsidRPr="00B4737D" w:rsidRDefault="00B4737D" w:rsidP="00725A13">
            <w:pPr>
              <w:ind w:left="132"/>
              <w:rPr>
                <w:sz w:val="24"/>
                <w:szCs w:val="24"/>
                <w:lang w:val="fr-BE"/>
              </w:rPr>
            </w:pPr>
            <w:r w:rsidRPr="00B4737D">
              <w:rPr>
                <w:b/>
                <w:bCs/>
                <w:sz w:val="24"/>
                <w:szCs w:val="24"/>
                <w:lang w:val="fr-BE"/>
              </w:rPr>
              <w:t xml:space="preserve">Dose </w:t>
            </w:r>
            <w:proofErr w:type="spellStart"/>
            <w:r w:rsidRPr="00B4737D">
              <w:rPr>
                <w:b/>
                <w:bCs/>
                <w:sz w:val="24"/>
                <w:szCs w:val="24"/>
                <w:lang w:val="fr-BE"/>
              </w:rPr>
              <w:t>schedule</w:t>
            </w:r>
            <w:proofErr w:type="spellEnd"/>
          </w:p>
        </w:tc>
      </w:tr>
      <w:tr w:rsidR="00B4737D" w:rsidRPr="00B4737D" w14:paraId="76F9B5E8" w14:textId="77777777" w:rsidTr="00B46CF9">
        <w:trPr>
          <w:trHeight w:val="147"/>
        </w:trPr>
        <w:tc>
          <w:tcPr>
            <w:tcW w:w="2835" w:type="dxa"/>
            <w:tcBorders>
              <w:top w:val="single" w:sz="4" w:space="0" w:color="auto"/>
              <w:left w:val="single" w:sz="4" w:space="0" w:color="auto"/>
              <w:bottom w:val="single" w:sz="4" w:space="0" w:color="auto"/>
              <w:right w:val="single" w:sz="4" w:space="0" w:color="auto"/>
            </w:tcBorders>
            <w:hideMark/>
          </w:tcPr>
          <w:p w14:paraId="63DD8B56" w14:textId="77777777" w:rsidR="00B4737D" w:rsidRPr="00B4737D" w:rsidRDefault="00B4737D" w:rsidP="00725A13">
            <w:pPr>
              <w:ind w:left="132"/>
              <w:rPr>
                <w:sz w:val="24"/>
                <w:szCs w:val="24"/>
                <w:lang w:val="fr-BE"/>
              </w:rPr>
            </w:pPr>
            <w:r w:rsidRPr="00B4737D">
              <w:rPr>
                <w:sz w:val="24"/>
                <w:szCs w:val="24"/>
                <w:lang w:val="fr-BE"/>
              </w:rPr>
              <w:t>6 to &lt; 9 kg</w:t>
            </w:r>
          </w:p>
        </w:tc>
        <w:tc>
          <w:tcPr>
            <w:tcW w:w="2977" w:type="dxa"/>
            <w:tcBorders>
              <w:top w:val="single" w:sz="4" w:space="0" w:color="auto"/>
              <w:left w:val="single" w:sz="4" w:space="0" w:color="auto"/>
              <w:bottom w:val="single" w:sz="4" w:space="0" w:color="auto"/>
              <w:right w:val="single" w:sz="4" w:space="0" w:color="auto"/>
            </w:tcBorders>
            <w:hideMark/>
          </w:tcPr>
          <w:p w14:paraId="45375662" w14:textId="77777777" w:rsidR="00B4737D" w:rsidRPr="00B4737D" w:rsidRDefault="00B4737D" w:rsidP="00725A13">
            <w:pPr>
              <w:ind w:left="132"/>
              <w:rPr>
                <w:sz w:val="24"/>
                <w:szCs w:val="24"/>
                <w:lang w:val="fr-BE"/>
              </w:rPr>
            </w:pPr>
            <w:r w:rsidRPr="00B4737D">
              <w:rPr>
                <w:sz w:val="24"/>
                <w:szCs w:val="24"/>
                <w:lang w:val="fr-BE"/>
              </w:rPr>
              <w:t xml:space="preserve">1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7740195B" w14:textId="77777777" w:rsidTr="00B46CF9">
        <w:trPr>
          <w:trHeight w:val="147"/>
        </w:trPr>
        <w:tc>
          <w:tcPr>
            <w:tcW w:w="2835" w:type="dxa"/>
            <w:tcBorders>
              <w:top w:val="single" w:sz="4" w:space="0" w:color="auto"/>
              <w:left w:val="single" w:sz="4" w:space="0" w:color="auto"/>
              <w:bottom w:val="single" w:sz="4" w:space="0" w:color="auto"/>
              <w:right w:val="single" w:sz="4" w:space="0" w:color="auto"/>
            </w:tcBorders>
            <w:hideMark/>
          </w:tcPr>
          <w:p w14:paraId="64C469FC" w14:textId="77777777" w:rsidR="00B4737D" w:rsidRPr="00B4737D" w:rsidRDefault="00B4737D" w:rsidP="00725A13">
            <w:pPr>
              <w:ind w:left="132"/>
              <w:rPr>
                <w:sz w:val="24"/>
                <w:szCs w:val="24"/>
                <w:lang w:val="fr-BE"/>
              </w:rPr>
            </w:pPr>
            <w:r w:rsidRPr="00B4737D">
              <w:rPr>
                <w:sz w:val="24"/>
                <w:szCs w:val="24"/>
                <w:lang w:val="fr-BE"/>
              </w:rPr>
              <w:t>9 to &lt; 12 kg</w:t>
            </w:r>
          </w:p>
        </w:tc>
        <w:tc>
          <w:tcPr>
            <w:tcW w:w="2977" w:type="dxa"/>
            <w:tcBorders>
              <w:top w:val="single" w:sz="4" w:space="0" w:color="auto"/>
              <w:left w:val="single" w:sz="4" w:space="0" w:color="auto"/>
              <w:bottom w:val="single" w:sz="4" w:space="0" w:color="auto"/>
              <w:right w:val="single" w:sz="4" w:space="0" w:color="auto"/>
            </w:tcBorders>
            <w:hideMark/>
          </w:tcPr>
          <w:p w14:paraId="5E22C72E" w14:textId="77777777" w:rsidR="00B4737D" w:rsidRPr="00B4737D" w:rsidRDefault="00B4737D" w:rsidP="00725A13">
            <w:pPr>
              <w:ind w:left="132"/>
              <w:rPr>
                <w:sz w:val="24"/>
                <w:szCs w:val="24"/>
                <w:lang w:val="fr-BE"/>
              </w:rPr>
            </w:pPr>
            <w:r w:rsidRPr="00B4737D">
              <w:rPr>
                <w:sz w:val="24"/>
                <w:szCs w:val="24"/>
                <w:lang w:val="fr-BE"/>
              </w:rPr>
              <w:t xml:space="preserve">1.5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65038E15" w14:textId="77777777" w:rsidTr="00B46CF9">
        <w:trPr>
          <w:trHeight w:val="147"/>
        </w:trPr>
        <w:tc>
          <w:tcPr>
            <w:tcW w:w="2835" w:type="dxa"/>
            <w:tcBorders>
              <w:top w:val="single" w:sz="4" w:space="0" w:color="auto"/>
              <w:left w:val="single" w:sz="4" w:space="0" w:color="auto"/>
              <w:bottom w:val="single" w:sz="4" w:space="0" w:color="auto"/>
              <w:right w:val="single" w:sz="4" w:space="0" w:color="auto"/>
            </w:tcBorders>
            <w:hideMark/>
          </w:tcPr>
          <w:p w14:paraId="7119BC9B" w14:textId="77777777" w:rsidR="00B4737D" w:rsidRPr="00B4737D" w:rsidRDefault="00B4737D" w:rsidP="00725A13">
            <w:pPr>
              <w:ind w:left="132"/>
              <w:rPr>
                <w:sz w:val="24"/>
                <w:szCs w:val="24"/>
                <w:lang w:val="fr-BE"/>
              </w:rPr>
            </w:pPr>
            <w:r w:rsidRPr="00B4737D">
              <w:rPr>
                <w:sz w:val="24"/>
                <w:szCs w:val="24"/>
                <w:lang w:val="fr-BE"/>
              </w:rPr>
              <w:t>12 to &lt; 18 kg</w:t>
            </w:r>
          </w:p>
        </w:tc>
        <w:tc>
          <w:tcPr>
            <w:tcW w:w="2977" w:type="dxa"/>
            <w:tcBorders>
              <w:top w:val="single" w:sz="4" w:space="0" w:color="auto"/>
              <w:left w:val="single" w:sz="4" w:space="0" w:color="auto"/>
              <w:bottom w:val="single" w:sz="4" w:space="0" w:color="auto"/>
              <w:right w:val="single" w:sz="4" w:space="0" w:color="auto"/>
            </w:tcBorders>
            <w:hideMark/>
          </w:tcPr>
          <w:p w14:paraId="03656C97" w14:textId="77777777" w:rsidR="00B4737D" w:rsidRPr="00B4737D" w:rsidRDefault="00B4737D" w:rsidP="00725A13">
            <w:pPr>
              <w:ind w:left="132"/>
              <w:rPr>
                <w:sz w:val="24"/>
                <w:szCs w:val="24"/>
                <w:lang w:val="fr-BE"/>
              </w:rPr>
            </w:pPr>
            <w:r w:rsidRPr="00B4737D">
              <w:rPr>
                <w:sz w:val="24"/>
                <w:szCs w:val="24"/>
                <w:lang w:val="fr-BE"/>
              </w:rPr>
              <w:t xml:space="preserve">2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271F0F2E" w14:textId="77777777" w:rsidTr="00B46CF9">
        <w:trPr>
          <w:trHeight w:val="147"/>
        </w:trPr>
        <w:tc>
          <w:tcPr>
            <w:tcW w:w="2835" w:type="dxa"/>
            <w:tcBorders>
              <w:top w:val="single" w:sz="4" w:space="0" w:color="auto"/>
              <w:left w:val="single" w:sz="4" w:space="0" w:color="auto"/>
              <w:bottom w:val="single" w:sz="4" w:space="0" w:color="auto"/>
              <w:right w:val="single" w:sz="4" w:space="0" w:color="auto"/>
            </w:tcBorders>
            <w:hideMark/>
          </w:tcPr>
          <w:p w14:paraId="546EA26E" w14:textId="77777777" w:rsidR="00B4737D" w:rsidRPr="00B4737D" w:rsidRDefault="00B4737D" w:rsidP="00725A13">
            <w:pPr>
              <w:ind w:left="132"/>
              <w:rPr>
                <w:sz w:val="24"/>
                <w:szCs w:val="24"/>
                <w:lang w:val="fr-BE"/>
              </w:rPr>
            </w:pPr>
            <w:r w:rsidRPr="00B4737D">
              <w:rPr>
                <w:sz w:val="24"/>
                <w:szCs w:val="24"/>
                <w:lang w:val="fr-BE"/>
              </w:rPr>
              <w:t>18 to &lt; 25 kg</w:t>
            </w:r>
          </w:p>
        </w:tc>
        <w:tc>
          <w:tcPr>
            <w:tcW w:w="2977" w:type="dxa"/>
            <w:tcBorders>
              <w:top w:val="single" w:sz="4" w:space="0" w:color="auto"/>
              <w:left w:val="single" w:sz="4" w:space="0" w:color="auto"/>
              <w:bottom w:val="single" w:sz="4" w:space="0" w:color="auto"/>
              <w:right w:val="single" w:sz="4" w:space="0" w:color="auto"/>
            </w:tcBorders>
            <w:hideMark/>
          </w:tcPr>
          <w:p w14:paraId="335A37E5" w14:textId="77777777" w:rsidR="00B4737D" w:rsidRPr="00B4737D" w:rsidRDefault="00B4737D" w:rsidP="00725A13">
            <w:pPr>
              <w:ind w:left="132"/>
              <w:rPr>
                <w:sz w:val="24"/>
                <w:szCs w:val="24"/>
                <w:lang w:val="fr-BE"/>
              </w:rPr>
            </w:pPr>
            <w:r w:rsidRPr="00B4737D">
              <w:rPr>
                <w:sz w:val="24"/>
                <w:szCs w:val="24"/>
                <w:lang w:val="fr-BE"/>
              </w:rPr>
              <w:t xml:space="preserve">3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3A2BABEA" w14:textId="77777777" w:rsidTr="00B46CF9">
        <w:trPr>
          <w:trHeight w:val="147"/>
        </w:trPr>
        <w:tc>
          <w:tcPr>
            <w:tcW w:w="2835" w:type="dxa"/>
            <w:tcBorders>
              <w:top w:val="single" w:sz="4" w:space="0" w:color="auto"/>
              <w:left w:val="single" w:sz="4" w:space="0" w:color="auto"/>
              <w:bottom w:val="single" w:sz="4" w:space="0" w:color="auto"/>
              <w:right w:val="single" w:sz="4" w:space="0" w:color="auto"/>
            </w:tcBorders>
            <w:hideMark/>
          </w:tcPr>
          <w:p w14:paraId="6D961A05" w14:textId="77777777" w:rsidR="00B4737D" w:rsidRPr="00B4737D" w:rsidRDefault="00B4737D" w:rsidP="00725A13">
            <w:pPr>
              <w:ind w:left="132"/>
              <w:rPr>
                <w:sz w:val="24"/>
                <w:szCs w:val="24"/>
                <w:lang w:val="fr-BE"/>
              </w:rPr>
            </w:pPr>
            <w:r w:rsidRPr="00B4737D">
              <w:rPr>
                <w:sz w:val="24"/>
                <w:szCs w:val="24"/>
                <w:lang w:val="fr-BE"/>
              </w:rPr>
              <w:t>25 to &lt; 35 kg</w:t>
            </w:r>
          </w:p>
        </w:tc>
        <w:tc>
          <w:tcPr>
            <w:tcW w:w="2977" w:type="dxa"/>
            <w:tcBorders>
              <w:top w:val="single" w:sz="4" w:space="0" w:color="auto"/>
              <w:left w:val="single" w:sz="4" w:space="0" w:color="auto"/>
              <w:bottom w:val="single" w:sz="4" w:space="0" w:color="auto"/>
              <w:right w:val="single" w:sz="4" w:space="0" w:color="auto"/>
            </w:tcBorders>
            <w:hideMark/>
          </w:tcPr>
          <w:p w14:paraId="32712881" w14:textId="77777777" w:rsidR="00B4737D" w:rsidRPr="00B4737D" w:rsidRDefault="00B4737D" w:rsidP="00725A13">
            <w:pPr>
              <w:ind w:left="132"/>
              <w:rPr>
                <w:sz w:val="24"/>
                <w:szCs w:val="24"/>
                <w:lang w:val="fr-BE"/>
              </w:rPr>
            </w:pPr>
            <w:r w:rsidRPr="00B4737D">
              <w:rPr>
                <w:sz w:val="24"/>
                <w:szCs w:val="24"/>
                <w:lang w:val="fr-BE"/>
              </w:rPr>
              <w:t xml:space="preserve">4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r w:rsidR="00B4737D" w:rsidRPr="00B4737D" w14:paraId="4B334FEB" w14:textId="77777777" w:rsidTr="00B46CF9">
        <w:trPr>
          <w:trHeight w:val="147"/>
        </w:trPr>
        <w:tc>
          <w:tcPr>
            <w:tcW w:w="2835" w:type="dxa"/>
            <w:tcBorders>
              <w:top w:val="single" w:sz="4" w:space="0" w:color="auto"/>
              <w:left w:val="single" w:sz="4" w:space="0" w:color="auto"/>
              <w:bottom w:val="single" w:sz="4" w:space="0" w:color="auto"/>
              <w:right w:val="single" w:sz="4" w:space="0" w:color="auto"/>
            </w:tcBorders>
            <w:hideMark/>
          </w:tcPr>
          <w:p w14:paraId="386EFBB0" w14:textId="77777777" w:rsidR="00B4737D" w:rsidRPr="00B4737D" w:rsidRDefault="00B4737D" w:rsidP="00725A13">
            <w:pPr>
              <w:ind w:left="132"/>
              <w:rPr>
                <w:sz w:val="24"/>
                <w:szCs w:val="24"/>
                <w:lang w:val="fr-BE"/>
              </w:rPr>
            </w:pPr>
            <w:r w:rsidRPr="00B4737D">
              <w:rPr>
                <w:sz w:val="24"/>
                <w:szCs w:val="24"/>
                <w:lang w:val="fr-BE"/>
              </w:rPr>
              <w:t>≥ 35 kg</w:t>
            </w:r>
          </w:p>
        </w:tc>
        <w:tc>
          <w:tcPr>
            <w:tcW w:w="2977" w:type="dxa"/>
            <w:tcBorders>
              <w:top w:val="single" w:sz="4" w:space="0" w:color="auto"/>
              <w:left w:val="single" w:sz="4" w:space="0" w:color="auto"/>
              <w:bottom w:val="single" w:sz="4" w:space="0" w:color="auto"/>
              <w:right w:val="single" w:sz="4" w:space="0" w:color="auto"/>
            </w:tcBorders>
            <w:hideMark/>
          </w:tcPr>
          <w:p w14:paraId="14BA53F3" w14:textId="77777777" w:rsidR="00B4737D" w:rsidRPr="00B4737D" w:rsidRDefault="00B4737D" w:rsidP="00725A13">
            <w:pPr>
              <w:ind w:left="132"/>
              <w:rPr>
                <w:sz w:val="24"/>
                <w:szCs w:val="24"/>
                <w:lang w:val="fr-BE"/>
              </w:rPr>
            </w:pPr>
            <w:r w:rsidRPr="00B4737D">
              <w:rPr>
                <w:sz w:val="24"/>
                <w:szCs w:val="24"/>
                <w:lang w:val="fr-BE"/>
              </w:rPr>
              <w:t xml:space="preserve">5 mg </w:t>
            </w:r>
            <w:proofErr w:type="spellStart"/>
            <w:r w:rsidRPr="00B4737D">
              <w:rPr>
                <w:sz w:val="24"/>
                <w:szCs w:val="24"/>
                <w:lang w:val="fr-BE"/>
              </w:rPr>
              <w:t>twice</w:t>
            </w:r>
            <w:proofErr w:type="spellEnd"/>
            <w:r w:rsidRPr="00B4737D">
              <w:rPr>
                <w:sz w:val="24"/>
                <w:szCs w:val="24"/>
                <w:lang w:val="fr-BE"/>
              </w:rPr>
              <w:t xml:space="preserve"> </w:t>
            </w:r>
            <w:proofErr w:type="spellStart"/>
            <w:r w:rsidRPr="00B4737D">
              <w:rPr>
                <w:sz w:val="24"/>
                <w:szCs w:val="24"/>
                <w:lang w:val="fr-BE"/>
              </w:rPr>
              <w:t>daily</w:t>
            </w:r>
            <w:proofErr w:type="spellEnd"/>
          </w:p>
        </w:tc>
      </w:tr>
    </w:tbl>
    <w:p w14:paraId="0A8DBE85" w14:textId="77777777" w:rsidR="00B4737D" w:rsidRPr="00B4737D" w:rsidRDefault="00B4737D" w:rsidP="00B4737D">
      <w:pPr>
        <w:tabs>
          <w:tab w:val="left" w:pos="851"/>
        </w:tabs>
        <w:ind w:left="851"/>
        <w:rPr>
          <w:sz w:val="24"/>
          <w:szCs w:val="24"/>
          <w:u w:val="single"/>
          <w:lang w:val="en-GB"/>
        </w:rPr>
      </w:pPr>
    </w:p>
    <w:p w14:paraId="7AD2A71D" w14:textId="77777777" w:rsidR="00B4737D" w:rsidRPr="00B4737D" w:rsidRDefault="00B4737D" w:rsidP="00725A13">
      <w:pPr>
        <w:ind w:left="851"/>
        <w:rPr>
          <w:sz w:val="24"/>
          <w:szCs w:val="24"/>
          <w:lang w:val="en-GB"/>
        </w:rPr>
      </w:pPr>
      <w:r w:rsidRPr="00B4737D">
        <w:rPr>
          <w:sz w:val="24"/>
          <w:szCs w:val="24"/>
          <w:lang w:val="en-US"/>
        </w:rPr>
        <w:t xml:space="preserve">The primary safety endpoint, a composite of adjudicated ISTH defined major and CRNM bleeding, occurred in 1 (0.8%) of 126 patients in the apixaban arm and 3 (4.8%) of 62 patients in the standard of care arm. The secondary safety endpoints of adjudicated major, CRNM, and all bleeding events were </w:t>
      </w:r>
      <w:r w:rsidRPr="00B4737D">
        <w:rPr>
          <w:sz w:val="24"/>
          <w:szCs w:val="24"/>
          <w:lang w:val="en-GB"/>
        </w:rPr>
        <w:t xml:space="preserve">similar in incidence across the two treatment arms. The secondary safety endpoint of drug discontinuation due to adverse event, intolerability, or bleeding was reported in 7 (5.6%) subjects in the apixaban arm and 1 (1.6%) subject in the standard of care arm. No patients in either treatment arm experienced a thromboembolic event. There were no deaths in either treatment arm. </w:t>
      </w:r>
    </w:p>
    <w:p w14:paraId="7E620994" w14:textId="77777777" w:rsidR="00B4737D" w:rsidRPr="00B4737D" w:rsidRDefault="00B4737D" w:rsidP="00725A13">
      <w:pPr>
        <w:ind w:left="851"/>
        <w:rPr>
          <w:sz w:val="24"/>
          <w:szCs w:val="24"/>
          <w:lang w:val="en-GB"/>
        </w:rPr>
      </w:pPr>
    </w:p>
    <w:p w14:paraId="12167153" w14:textId="77777777" w:rsidR="00B4737D" w:rsidRPr="00B4737D" w:rsidRDefault="00B4737D" w:rsidP="00725A13">
      <w:pPr>
        <w:ind w:left="851"/>
        <w:rPr>
          <w:sz w:val="24"/>
          <w:szCs w:val="24"/>
          <w:lang w:val="en-GB"/>
        </w:rPr>
      </w:pPr>
      <w:r w:rsidRPr="00B4737D">
        <w:rPr>
          <w:sz w:val="24"/>
          <w:szCs w:val="24"/>
          <w:lang w:val="en-GB"/>
        </w:rPr>
        <w:t xml:space="preserve">This study was prospectively designed for descriptive efficacy and safety because of the expected low incidence of TE and bleeding events in this population. Due to the observed low incidence of TE in this study a definitive risk benefit assessment could not be established. </w:t>
      </w:r>
    </w:p>
    <w:p w14:paraId="020628B1" w14:textId="77777777" w:rsidR="00B4737D" w:rsidRPr="00B4737D" w:rsidRDefault="00B4737D" w:rsidP="00725A13">
      <w:pPr>
        <w:ind w:left="851"/>
        <w:rPr>
          <w:sz w:val="24"/>
          <w:szCs w:val="24"/>
          <w:lang w:val="en-GB"/>
        </w:rPr>
      </w:pPr>
    </w:p>
    <w:p w14:paraId="4153AFDE" w14:textId="77777777" w:rsidR="00B4737D" w:rsidRPr="00B4737D" w:rsidRDefault="00B4737D" w:rsidP="00725A13">
      <w:pPr>
        <w:ind w:left="851"/>
        <w:rPr>
          <w:sz w:val="24"/>
          <w:szCs w:val="24"/>
          <w:u w:val="single"/>
          <w:lang w:val="en-GB"/>
        </w:rPr>
      </w:pPr>
      <w:r w:rsidRPr="00B4737D">
        <w:rPr>
          <w:sz w:val="24"/>
          <w:szCs w:val="24"/>
          <w:lang w:val="en-GB"/>
        </w:rPr>
        <w:t>The European Medicines Agency has deferred the obligation to submit the results of studies for the treatment of venous thromboembolism with reference medicinal product in one or more subsets of the paediatric population (see section 4.2 for information on paediatric use).</w:t>
      </w:r>
    </w:p>
    <w:p w14:paraId="6D61F2EB" w14:textId="77777777" w:rsidR="007C5D2A" w:rsidRPr="001C1AA7" w:rsidRDefault="007C5D2A" w:rsidP="00725A13">
      <w:pPr>
        <w:ind w:left="851"/>
        <w:rPr>
          <w:sz w:val="24"/>
          <w:szCs w:val="24"/>
          <w:lang w:val="en-GB"/>
        </w:rPr>
      </w:pPr>
    </w:p>
    <w:p w14:paraId="61B12039" w14:textId="1E6AC42A" w:rsidR="007C5D2A" w:rsidRPr="001C1AA7" w:rsidRDefault="007C5D2A" w:rsidP="007C5D2A">
      <w:pPr>
        <w:tabs>
          <w:tab w:val="left" w:pos="851"/>
        </w:tabs>
        <w:ind w:left="851" w:hanging="851"/>
        <w:rPr>
          <w:b/>
          <w:sz w:val="24"/>
          <w:szCs w:val="24"/>
          <w:lang w:val="en-GB"/>
        </w:rPr>
      </w:pPr>
      <w:r w:rsidRPr="001C1AA7">
        <w:rPr>
          <w:b/>
          <w:sz w:val="24"/>
          <w:szCs w:val="24"/>
          <w:lang w:val="en-GB"/>
        </w:rPr>
        <w:lastRenderedPageBreak/>
        <w:t>5.2</w:t>
      </w:r>
      <w:r w:rsidRPr="001C1AA7">
        <w:rPr>
          <w:b/>
          <w:sz w:val="24"/>
          <w:szCs w:val="24"/>
          <w:lang w:val="en-GB"/>
        </w:rPr>
        <w:tab/>
        <w:t>Pharmacokinetic properties</w:t>
      </w:r>
    </w:p>
    <w:p w14:paraId="7EB5463A" w14:textId="77777777" w:rsidR="00B46CF9" w:rsidRDefault="00B46CF9" w:rsidP="00725A13">
      <w:pPr>
        <w:ind w:left="851"/>
        <w:rPr>
          <w:iCs/>
          <w:sz w:val="24"/>
          <w:szCs w:val="24"/>
          <w:u w:val="single"/>
          <w:lang w:val="en-GB"/>
        </w:rPr>
      </w:pPr>
    </w:p>
    <w:p w14:paraId="5C9E0E61" w14:textId="0AE49859" w:rsidR="00B4737D" w:rsidRPr="00B4737D" w:rsidRDefault="00B4737D" w:rsidP="00725A13">
      <w:pPr>
        <w:ind w:left="851"/>
        <w:rPr>
          <w:iCs/>
          <w:sz w:val="24"/>
          <w:szCs w:val="24"/>
          <w:u w:val="single"/>
          <w:lang w:val="en-GB"/>
        </w:rPr>
      </w:pPr>
      <w:r w:rsidRPr="00B4737D">
        <w:rPr>
          <w:iCs/>
          <w:sz w:val="24"/>
          <w:szCs w:val="24"/>
          <w:u w:val="single"/>
          <w:lang w:val="en-GB"/>
        </w:rPr>
        <w:t>Absorption</w:t>
      </w:r>
    </w:p>
    <w:p w14:paraId="369A7F4C" w14:textId="77777777" w:rsidR="00B4737D" w:rsidRPr="00B4737D" w:rsidRDefault="00B4737D" w:rsidP="00725A13">
      <w:pPr>
        <w:ind w:left="851"/>
        <w:rPr>
          <w:sz w:val="24"/>
          <w:szCs w:val="24"/>
          <w:lang w:val="en-GB"/>
        </w:rPr>
      </w:pPr>
      <w:r w:rsidRPr="00B4737D">
        <w:rPr>
          <w:sz w:val="24"/>
          <w:szCs w:val="24"/>
          <w:lang w:val="en-GB"/>
        </w:rPr>
        <w:t xml:space="preserve">In adults, the absolute bioavailability of apixaban is approximately 50% for doses up to 10 mg. Apixaban is rapidly absorbed with maximum concentrations (Cmax) appearing 3 to 4 hours after intake. Intake with food does not affect apixaban AUC or Cmax at the 10 mg dose. Apixaban can be taken with or without food. </w:t>
      </w:r>
    </w:p>
    <w:p w14:paraId="60125B34" w14:textId="77777777" w:rsidR="00B4737D" w:rsidRPr="00B4737D" w:rsidRDefault="00B4737D" w:rsidP="00725A13">
      <w:pPr>
        <w:ind w:left="851"/>
        <w:rPr>
          <w:sz w:val="24"/>
          <w:szCs w:val="24"/>
          <w:lang w:val="en-GB"/>
        </w:rPr>
      </w:pPr>
    </w:p>
    <w:p w14:paraId="3B41B681" w14:textId="77777777" w:rsidR="00B4737D" w:rsidRPr="00B4737D" w:rsidRDefault="00B4737D" w:rsidP="00725A13">
      <w:pPr>
        <w:ind w:left="851"/>
        <w:rPr>
          <w:sz w:val="24"/>
          <w:szCs w:val="24"/>
          <w:lang w:val="en-GB"/>
        </w:rPr>
      </w:pPr>
      <w:r w:rsidRPr="00B4737D">
        <w:rPr>
          <w:sz w:val="24"/>
          <w:szCs w:val="24"/>
          <w:lang w:val="en-GB"/>
        </w:rPr>
        <w:t xml:space="preserve">Apixaban demonstrates linear pharmacokinetics with dose proportional increases in exposure for oral doses up to 10 mg. At doses ≥ 25 mg apixaban displays dissolution limited absorption with decreased bioavailability. Apixaban exposure parameters exhibit low to moderate variability reflected by a within-subject and inter-subject variability of ~20% CV and ~30% CV, respectively. </w:t>
      </w:r>
    </w:p>
    <w:p w14:paraId="630339D2" w14:textId="77777777" w:rsidR="00B4737D" w:rsidRPr="00B4737D" w:rsidRDefault="00B4737D" w:rsidP="00725A13">
      <w:pPr>
        <w:ind w:left="851"/>
        <w:rPr>
          <w:sz w:val="24"/>
          <w:szCs w:val="24"/>
          <w:lang w:val="en-GB"/>
        </w:rPr>
      </w:pPr>
    </w:p>
    <w:p w14:paraId="0DCE07A8" w14:textId="77777777" w:rsidR="00B4737D" w:rsidRPr="00B4737D" w:rsidRDefault="00B4737D" w:rsidP="00725A13">
      <w:pPr>
        <w:ind w:left="851"/>
        <w:rPr>
          <w:sz w:val="24"/>
          <w:szCs w:val="24"/>
          <w:lang w:val="en-GB"/>
        </w:rPr>
      </w:pPr>
      <w:r w:rsidRPr="00B4737D">
        <w:rPr>
          <w:sz w:val="24"/>
          <w:szCs w:val="24"/>
          <w:lang w:val="en-GB"/>
        </w:rPr>
        <w:t xml:space="preserve">Following oral administration of 10 mg of apixaban as 2 crushed 5 mg tablets suspended in 30 mL of water, exposure was comparable to exposure after oral administration of 2 whole 5 mg tablets. Following oral administration of 10 mg of apixaban as 2 crushed 5 mg tablets with 30 g of apple puree, the Cmax and AUC were 21% and 16% lower, respectively, when compared to administration of 2 whole 5 mg tablets. The reduction in exposure is not considered clinically relevant. </w:t>
      </w:r>
    </w:p>
    <w:p w14:paraId="34086DC2" w14:textId="77777777" w:rsidR="00B4737D" w:rsidRPr="00B4737D" w:rsidRDefault="00B4737D" w:rsidP="00725A13">
      <w:pPr>
        <w:ind w:left="851"/>
        <w:rPr>
          <w:sz w:val="24"/>
          <w:szCs w:val="24"/>
          <w:lang w:val="en-GB"/>
        </w:rPr>
      </w:pPr>
    </w:p>
    <w:p w14:paraId="42676805" w14:textId="77777777" w:rsidR="00B4737D" w:rsidRPr="00B4737D" w:rsidRDefault="00B4737D" w:rsidP="00725A13">
      <w:pPr>
        <w:ind w:left="851"/>
        <w:rPr>
          <w:sz w:val="24"/>
          <w:szCs w:val="24"/>
          <w:lang w:val="en-GB"/>
        </w:rPr>
      </w:pPr>
      <w:r w:rsidRPr="00B4737D">
        <w:rPr>
          <w:sz w:val="24"/>
          <w:szCs w:val="24"/>
          <w:lang w:val="en-GB"/>
        </w:rPr>
        <w:t xml:space="preserve">Following administration of a crushed 5 mg apixaban tablet suspended in 60 mL of G5W and delivered via a nasogastric tube, exposure was </w:t>
      </w:r>
      <w:proofErr w:type="gramStart"/>
      <w:r w:rsidRPr="00B4737D">
        <w:rPr>
          <w:sz w:val="24"/>
          <w:szCs w:val="24"/>
          <w:lang w:val="en-GB"/>
        </w:rPr>
        <w:t>similar to</w:t>
      </w:r>
      <w:proofErr w:type="gramEnd"/>
      <w:r w:rsidRPr="00B4737D">
        <w:rPr>
          <w:sz w:val="24"/>
          <w:szCs w:val="24"/>
          <w:lang w:val="en-GB"/>
        </w:rPr>
        <w:t xml:space="preserve"> exposure seen in other clinical studies involving healthy subjects receiving a single oral 5 mg apixaban tablet dose. </w:t>
      </w:r>
    </w:p>
    <w:p w14:paraId="140E58AB" w14:textId="77777777" w:rsidR="00B4737D" w:rsidRPr="00B4737D" w:rsidRDefault="00B4737D" w:rsidP="00725A13">
      <w:pPr>
        <w:ind w:left="851"/>
        <w:rPr>
          <w:sz w:val="24"/>
          <w:szCs w:val="24"/>
          <w:lang w:val="en-GB"/>
        </w:rPr>
      </w:pPr>
    </w:p>
    <w:p w14:paraId="056C4B3A" w14:textId="77777777" w:rsidR="00B4737D" w:rsidRPr="00B4737D" w:rsidRDefault="00B4737D" w:rsidP="00725A13">
      <w:pPr>
        <w:ind w:left="851"/>
        <w:rPr>
          <w:sz w:val="24"/>
          <w:szCs w:val="24"/>
          <w:lang w:val="en-GB"/>
        </w:rPr>
      </w:pPr>
      <w:r w:rsidRPr="00B4737D">
        <w:rPr>
          <w:sz w:val="24"/>
          <w:szCs w:val="24"/>
          <w:lang w:val="en-GB"/>
        </w:rPr>
        <w:t>Given the predictable, dose-proportional pharmacokinetic profile of apixaban, the bioavailability results from the conducted studies are applicable to lower apixaban doses.</w:t>
      </w:r>
    </w:p>
    <w:p w14:paraId="268E9EE7" w14:textId="77777777" w:rsidR="00B4737D" w:rsidRPr="00B4737D" w:rsidRDefault="00B4737D" w:rsidP="00725A13">
      <w:pPr>
        <w:ind w:left="851"/>
        <w:rPr>
          <w:sz w:val="24"/>
          <w:szCs w:val="24"/>
          <w:lang w:val="en-GB"/>
        </w:rPr>
      </w:pPr>
    </w:p>
    <w:p w14:paraId="4872CB8D" w14:textId="77777777" w:rsidR="00B4737D" w:rsidRPr="00B4737D" w:rsidRDefault="00B4737D" w:rsidP="00725A13">
      <w:pPr>
        <w:ind w:left="851"/>
        <w:rPr>
          <w:sz w:val="24"/>
          <w:szCs w:val="24"/>
          <w:u w:val="single"/>
          <w:lang w:val="en-GB"/>
        </w:rPr>
      </w:pPr>
      <w:r w:rsidRPr="00B4737D">
        <w:rPr>
          <w:sz w:val="24"/>
          <w:szCs w:val="24"/>
          <w:u w:val="single"/>
          <w:lang w:val="en-GB"/>
        </w:rPr>
        <w:t>Paediatric population</w:t>
      </w:r>
    </w:p>
    <w:p w14:paraId="16A460C4" w14:textId="32667307" w:rsidR="00B4737D" w:rsidRPr="00B4737D" w:rsidRDefault="00B4737D" w:rsidP="00725A13">
      <w:pPr>
        <w:ind w:left="851"/>
        <w:rPr>
          <w:sz w:val="24"/>
          <w:szCs w:val="24"/>
          <w:lang w:val="en-GB"/>
        </w:rPr>
      </w:pPr>
      <w:r w:rsidRPr="00B4737D">
        <w:rPr>
          <w:sz w:val="24"/>
          <w:szCs w:val="24"/>
          <w:lang w:val="en-GB"/>
        </w:rPr>
        <w:t>Apixaban is rapidly absorbed, reaching maximum concentration (Cmax) approximately 2 hours after</w:t>
      </w:r>
      <w:r w:rsidR="00B46CF9">
        <w:rPr>
          <w:sz w:val="24"/>
          <w:szCs w:val="24"/>
          <w:lang w:val="en-GB"/>
        </w:rPr>
        <w:t xml:space="preserve"> </w:t>
      </w:r>
      <w:r w:rsidRPr="00B4737D">
        <w:rPr>
          <w:sz w:val="24"/>
          <w:szCs w:val="24"/>
          <w:lang w:val="en-GB"/>
        </w:rPr>
        <w:t>single-dose administration.</w:t>
      </w:r>
    </w:p>
    <w:p w14:paraId="3B20FF44" w14:textId="77777777" w:rsidR="00B4737D" w:rsidRPr="00B4737D" w:rsidRDefault="00B4737D" w:rsidP="00725A13">
      <w:pPr>
        <w:ind w:left="851"/>
        <w:rPr>
          <w:iCs/>
          <w:sz w:val="24"/>
          <w:szCs w:val="24"/>
          <w:u w:val="single"/>
          <w:lang w:val="en-GB"/>
        </w:rPr>
      </w:pPr>
    </w:p>
    <w:p w14:paraId="7BEDB927" w14:textId="77777777" w:rsidR="00B4737D" w:rsidRPr="00B4737D" w:rsidRDefault="00B4737D" w:rsidP="00725A13">
      <w:pPr>
        <w:ind w:left="851"/>
        <w:rPr>
          <w:iCs/>
          <w:sz w:val="24"/>
          <w:szCs w:val="24"/>
          <w:u w:val="single"/>
          <w:lang w:val="en-GB"/>
        </w:rPr>
      </w:pPr>
      <w:r w:rsidRPr="00B4737D">
        <w:rPr>
          <w:iCs/>
          <w:sz w:val="24"/>
          <w:szCs w:val="24"/>
          <w:u w:val="single"/>
          <w:lang w:val="en-GB"/>
        </w:rPr>
        <w:t>Distribution</w:t>
      </w:r>
    </w:p>
    <w:p w14:paraId="69E50B1F" w14:textId="77777777" w:rsidR="00B4737D" w:rsidRPr="00B4737D" w:rsidRDefault="00B4737D" w:rsidP="00725A13">
      <w:pPr>
        <w:ind w:left="851"/>
        <w:rPr>
          <w:sz w:val="24"/>
          <w:szCs w:val="24"/>
          <w:lang w:val="en-GB"/>
        </w:rPr>
      </w:pPr>
      <w:r w:rsidRPr="00B4737D">
        <w:rPr>
          <w:sz w:val="24"/>
          <w:szCs w:val="24"/>
          <w:lang w:val="en-GB"/>
        </w:rPr>
        <w:t>In adults, plasma protein binding is approximately 87%. The volume of distribution (</w:t>
      </w:r>
      <w:proofErr w:type="spellStart"/>
      <w:r w:rsidRPr="00B4737D">
        <w:rPr>
          <w:sz w:val="24"/>
          <w:szCs w:val="24"/>
          <w:lang w:val="en-GB"/>
        </w:rPr>
        <w:t>Vss</w:t>
      </w:r>
      <w:proofErr w:type="spellEnd"/>
      <w:r w:rsidRPr="00B4737D">
        <w:rPr>
          <w:sz w:val="24"/>
          <w:szCs w:val="24"/>
          <w:lang w:val="en-GB"/>
        </w:rPr>
        <w:t>) is approximately 21 litres.</w:t>
      </w:r>
    </w:p>
    <w:p w14:paraId="12E88B24" w14:textId="77777777" w:rsidR="00B4737D" w:rsidRPr="00B4737D" w:rsidRDefault="00B4737D" w:rsidP="00725A13">
      <w:pPr>
        <w:ind w:left="851"/>
        <w:rPr>
          <w:sz w:val="24"/>
          <w:szCs w:val="24"/>
          <w:lang w:val="en-GB"/>
        </w:rPr>
      </w:pPr>
    </w:p>
    <w:p w14:paraId="7E2EA69C" w14:textId="77777777" w:rsidR="00B4737D" w:rsidRPr="00B4737D" w:rsidRDefault="00B4737D" w:rsidP="00725A13">
      <w:pPr>
        <w:ind w:left="851"/>
        <w:rPr>
          <w:sz w:val="24"/>
          <w:szCs w:val="24"/>
          <w:lang w:val="en-GB"/>
        </w:rPr>
      </w:pPr>
      <w:bookmarkStart w:id="4" w:name="_Hlk208414447"/>
      <w:r w:rsidRPr="00B4737D">
        <w:rPr>
          <w:sz w:val="24"/>
          <w:szCs w:val="24"/>
          <w:lang w:val="en-GB"/>
        </w:rPr>
        <w:t>No data on apixaban plasma protein binding specific to paediatric population is available.</w:t>
      </w:r>
    </w:p>
    <w:bookmarkEnd w:id="4"/>
    <w:p w14:paraId="5EBABA43" w14:textId="77777777" w:rsidR="00B4737D" w:rsidRPr="00B4737D" w:rsidRDefault="00B4737D" w:rsidP="00725A13">
      <w:pPr>
        <w:ind w:left="851"/>
        <w:rPr>
          <w:iCs/>
          <w:sz w:val="24"/>
          <w:szCs w:val="24"/>
          <w:u w:val="single"/>
          <w:lang w:val="en-GB"/>
        </w:rPr>
      </w:pPr>
    </w:p>
    <w:p w14:paraId="3C888577" w14:textId="77777777" w:rsidR="00B4737D" w:rsidRPr="00B4737D" w:rsidRDefault="00B4737D" w:rsidP="00725A13">
      <w:pPr>
        <w:ind w:left="851"/>
        <w:rPr>
          <w:iCs/>
          <w:sz w:val="24"/>
          <w:szCs w:val="24"/>
          <w:u w:val="single"/>
          <w:lang w:val="en-GB"/>
        </w:rPr>
      </w:pPr>
      <w:r w:rsidRPr="00B4737D">
        <w:rPr>
          <w:iCs/>
          <w:sz w:val="24"/>
          <w:szCs w:val="24"/>
          <w:u w:val="single"/>
          <w:lang w:val="en-GB"/>
        </w:rPr>
        <w:t>Biotransformation and elimination</w:t>
      </w:r>
    </w:p>
    <w:p w14:paraId="5C74FA00" w14:textId="77777777" w:rsidR="00B4737D" w:rsidRPr="00B4737D" w:rsidRDefault="00B4737D" w:rsidP="00725A13">
      <w:pPr>
        <w:ind w:left="851"/>
        <w:rPr>
          <w:sz w:val="24"/>
          <w:szCs w:val="24"/>
          <w:lang w:val="en-GB"/>
        </w:rPr>
      </w:pPr>
      <w:r w:rsidRPr="00B4737D">
        <w:rPr>
          <w:sz w:val="24"/>
          <w:szCs w:val="24"/>
          <w:lang w:val="en-GB"/>
        </w:rPr>
        <w:t xml:space="preserve">Apixaban has multiple routes of elimination. Of the administered apixaban dose in adults, approximately 25% was recovered as metabolites, with the majority recovered in faeces. In adults, renal excretion of apixaban accounts for approximately 27% of total clearance. Additional contributions from biliary and direct intestinal excretion were observed in clinical and nonclinical studies, respectively. </w:t>
      </w:r>
    </w:p>
    <w:p w14:paraId="0EA7AEB1" w14:textId="77777777" w:rsidR="00B4737D" w:rsidRPr="00B4737D" w:rsidRDefault="00B4737D" w:rsidP="00725A13">
      <w:pPr>
        <w:ind w:left="851"/>
        <w:rPr>
          <w:sz w:val="24"/>
          <w:szCs w:val="24"/>
          <w:lang w:val="en-GB"/>
        </w:rPr>
      </w:pPr>
    </w:p>
    <w:p w14:paraId="51E563DD" w14:textId="77777777" w:rsidR="00B4737D" w:rsidRPr="00B4737D" w:rsidRDefault="00B4737D" w:rsidP="00725A13">
      <w:pPr>
        <w:ind w:left="851"/>
        <w:rPr>
          <w:sz w:val="24"/>
          <w:szCs w:val="24"/>
          <w:lang w:val="en-GB"/>
        </w:rPr>
      </w:pPr>
      <w:r w:rsidRPr="00B4737D">
        <w:rPr>
          <w:sz w:val="24"/>
          <w:szCs w:val="24"/>
          <w:lang w:val="en-GB"/>
        </w:rPr>
        <w:t xml:space="preserve">In adults, apixaban has a total clearance of about 3.3 L/h and a half-life of approximately 12 hours. </w:t>
      </w:r>
    </w:p>
    <w:p w14:paraId="6834EB87" w14:textId="77777777" w:rsidR="00B4737D" w:rsidRPr="00B4737D" w:rsidRDefault="00B4737D" w:rsidP="00725A13">
      <w:pPr>
        <w:ind w:left="851"/>
        <w:rPr>
          <w:sz w:val="24"/>
          <w:szCs w:val="24"/>
          <w:lang w:val="en-GB"/>
        </w:rPr>
      </w:pPr>
    </w:p>
    <w:p w14:paraId="513C7681" w14:textId="77777777" w:rsidR="00B4737D" w:rsidRPr="00B4737D" w:rsidRDefault="00B4737D" w:rsidP="00725A13">
      <w:pPr>
        <w:ind w:left="851"/>
        <w:rPr>
          <w:sz w:val="24"/>
          <w:szCs w:val="24"/>
          <w:lang w:val="en-GB"/>
        </w:rPr>
      </w:pPr>
      <w:r w:rsidRPr="00B4737D">
        <w:rPr>
          <w:sz w:val="24"/>
          <w:szCs w:val="24"/>
          <w:lang w:val="en-GB"/>
        </w:rPr>
        <w:t>In paediatrics, apixaban has a total apparent clearance of about 3.0 L/h.</w:t>
      </w:r>
    </w:p>
    <w:p w14:paraId="179B1240" w14:textId="77777777" w:rsidR="00B4737D" w:rsidRPr="00B4737D" w:rsidRDefault="00B4737D" w:rsidP="00725A13">
      <w:pPr>
        <w:ind w:left="851"/>
        <w:rPr>
          <w:sz w:val="24"/>
          <w:szCs w:val="24"/>
          <w:lang w:val="en-GB"/>
        </w:rPr>
      </w:pPr>
    </w:p>
    <w:p w14:paraId="3317DD7E" w14:textId="77777777" w:rsidR="00B4737D" w:rsidRPr="00B4737D" w:rsidRDefault="00B4737D" w:rsidP="00725A13">
      <w:pPr>
        <w:ind w:left="851"/>
        <w:rPr>
          <w:sz w:val="24"/>
          <w:szCs w:val="24"/>
          <w:lang w:val="en-GB"/>
        </w:rPr>
      </w:pPr>
      <w:r w:rsidRPr="00B4737D">
        <w:rPr>
          <w:sz w:val="24"/>
          <w:szCs w:val="24"/>
          <w:lang w:val="en-GB"/>
        </w:rPr>
        <w:lastRenderedPageBreak/>
        <w:t>O-demethylation and hydroxylation at the 3-oxopiperidinyl moiety are the major sites of biotransformation. Apixaban is metabolised mainly via CYP3A4/5 with minor contributions from CYP1A2, 2C8, 2C9, 2C19, and 2J2. Unchanged apixaban is the major active substance-related component in human plasma with no active circulating metabolites present. Apixaban is a substrate of transport proteins, P-</w:t>
      </w:r>
      <w:proofErr w:type="spellStart"/>
      <w:r w:rsidRPr="00B4737D">
        <w:rPr>
          <w:sz w:val="24"/>
          <w:szCs w:val="24"/>
          <w:lang w:val="en-GB"/>
        </w:rPr>
        <w:t>gp</w:t>
      </w:r>
      <w:proofErr w:type="spellEnd"/>
      <w:r w:rsidRPr="00B4737D">
        <w:rPr>
          <w:sz w:val="24"/>
          <w:szCs w:val="24"/>
          <w:lang w:val="en-GB"/>
        </w:rPr>
        <w:t xml:space="preserve"> and breast cancer resistance protein (BCRP).</w:t>
      </w:r>
    </w:p>
    <w:p w14:paraId="3599061D" w14:textId="77777777" w:rsidR="00B4737D" w:rsidRPr="00B4737D" w:rsidRDefault="00B4737D" w:rsidP="00725A13">
      <w:pPr>
        <w:ind w:left="851"/>
        <w:rPr>
          <w:iCs/>
          <w:sz w:val="24"/>
          <w:szCs w:val="24"/>
          <w:u w:val="single"/>
          <w:lang w:val="en-GB"/>
        </w:rPr>
      </w:pPr>
    </w:p>
    <w:p w14:paraId="4A8C4A1F" w14:textId="77777777" w:rsidR="00B4737D" w:rsidRPr="00B4737D" w:rsidRDefault="00B4737D" w:rsidP="00725A13">
      <w:pPr>
        <w:ind w:left="851"/>
        <w:rPr>
          <w:sz w:val="24"/>
          <w:szCs w:val="24"/>
          <w:u w:val="single"/>
          <w:lang w:val="en-GB"/>
        </w:rPr>
      </w:pPr>
      <w:r w:rsidRPr="00B4737D">
        <w:rPr>
          <w:sz w:val="24"/>
          <w:szCs w:val="24"/>
          <w:u w:val="single"/>
          <w:lang w:val="en-GB"/>
        </w:rPr>
        <w:t xml:space="preserve">Elderly </w:t>
      </w:r>
    </w:p>
    <w:p w14:paraId="03045AF6" w14:textId="77777777" w:rsidR="00B4737D" w:rsidRPr="00B4737D" w:rsidRDefault="00B4737D" w:rsidP="00725A13">
      <w:pPr>
        <w:ind w:left="851"/>
        <w:rPr>
          <w:sz w:val="24"/>
          <w:szCs w:val="24"/>
          <w:lang w:val="en-GB"/>
        </w:rPr>
      </w:pPr>
      <w:r w:rsidRPr="00B4737D">
        <w:rPr>
          <w:sz w:val="24"/>
          <w:szCs w:val="24"/>
          <w:lang w:val="en-GB"/>
        </w:rPr>
        <w:t xml:space="preserve">Elderly patients (above 65 years) exhibited higher plasma concentrations than younger patients, with mean AUC values being approximately 32% higher and no difference in Cmax. </w:t>
      </w:r>
    </w:p>
    <w:p w14:paraId="59223EB8" w14:textId="77777777" w:rsidR="00B4737D" w:rsidRPr="00B4737D" w:rsidRDefault="00B4737D" w:rsidP="00725A13">
      <w:pPr>
        <w:ind w:left="851"/>
        <w:rPr>
          <w:sz w:val="24"/>
          <w:szCs w:val="24"/>
          <w:lang w:val="en-GB"/>
        </w:rPr>
      </w:pPr>
    </w:p>
    <w:p w14:paraId="11CD1142" w14:textId="77777777" w:rsidR="00B4737D" w:rsidRPr="00B4737D" w:rsidRDefault="00B4737D" w:rsidP="00725A13">
      <w:pPr>
        <w:ind w:left="851"/>
        <w:rPr>
          <w:sz w:val="24"/>
          <w:szCs w:val="24"/>
          <w:u w:val="single"/>
          <w:lang w:val="en-GB"/>
        </w:rPr>
      </w:pPr>
      <w:r w:rsidRPr="00B4737D">
        <w:rPr>
          <w:sz w:val="24"/>
          <w:szCs w:val="24"/>
          <w:u w:val="single"/>
          <w:lang w:val="en-GB"/>
        </w:rPr>
        <w:t xml:space="preserve">Renal impairment </w:t>
      </w:r>
    </w:p>
    <w:p w14:paraId="031BD77D" w14:textId="77777777" w:rsidR="00B4737D" w:rsidRPr="00B4737D" w:rsidRDefault="00B4737D" w:rsidP="00725A13">
      <w:pPr>
        <w:ind w:left="851"/>
        <w:rPr>
          <w:sz w:val="24"/>
          <w:szCs w:val="24"/>
          <w:lang w:val="en-GB"/>
        </w:rPr>
      </w:pPr>
      <w:r w:rsidRPr="00B4737D">
        <w:rPr>
          <w:sz w:val="24"/>
          <w:szCs w:val="24"/>
          <w:lang w:val="en-GB"/>
        </w:rPr>
        <w:t xml:space="preserve">There was no impact of impaired renal function on peak concentration of apixaban. There was an increase in apixaban exposure correlated to decrease in renal function, as assessed via measured creatinine clearance. In individuals with mild (creatinine clearance 51-80 mL/min), moderate (creatinine clearance 30-50 mL/min) and severe (creatinine clearance 15-29 mL/min) renal impairment, apixaban plasma concentrations (AUC) were increased 16, 29, and 44% respectively, compared to individuals with normal creatinine clearance. Renal impairment had no evident effect on the relationship between apixaban plasma concentration and anti-Factor Xa activity. </w:t>
      </w:r>
    </w:p>
    <w:p w14:paraId="5E2686F6" w14:textId="77777777" w:rsidR="00B4737D" w:rsidRPr="00B4737D" w:rsidRDefault="00B4737D" w:rsidP="00725A13">
      <w:pPr>
        <w:ind w:left="851"/>
        <w:rPr>
          <w:sz w:val="24"/>
          <w:szCs w:val="24"/>
          <w:lang w:val="en-GB"/>
        </w:rPr>
      </w:pPr>
    </w:p>
    <w:p w14:paraId="07148030" w14:textId="77777777" w:rsidR="00B4737D" w:rsidRPr="00B4737D" w:rsidRDefault="00B4737D" w:rsidP="00725A13">
      <w:pPr>
        <w:ind w:left="851"/>
        <w:rPr>
          <w:sz w:val="24"/>
          <w:szCs w:val="24"/>
          <w:lang w:val="en-GB"/>
        </w:rPr>
      </w:pPr>
      <w:r w:rsidRPr="00B4737D">
        <w:rPr>
          <w:sz w:val="24"/>
          <w:szCs w:val="24"/>
          <w:lang w:val="en-GB"/>
        </w:rPr>
        <w:t xml:space="preserve">In subjects with end-stage renal disease (ESRD), the AUC of apixaban was increased by 36% when a single dose of apixaban 5 mg was administered immediately after haemodialysis, compared to that seen in subjects with normal renal function. Haemodialysis, started two hours after administration of a single dose of apixaban 5 mg, decreased apixaban AUC by 14% in these ESRD subjects, corresponding to an apixaban dialysis clearance of 18 mL/min. Therefore, haemodialysis is unlikely to be an effective means of managing apixaban overdose. </w:t>
      </w:r>
    </w:p>
    <w:p w14:paraId="38865C5F" w14:textId="77777777" w:rsidR="00B4737D" w:rsidRPr="00B4737D" w:rsidRDefault="00B4737D" w:rsidP="00725A13">
      <w:pPr>
        <w:ind w:left="851"/>
        <w:rPr>
          <w:sz w:val="24"/>
          <w:szCs w:val="24"/>
          <w:lang w:val="en-GB"/>
        </w:rPr>
      </w:pPr>
    </w:p>
    <w:p w14:paraId="27656E4E" w14:textId="1CCEDDA4" w:rsidR="00B4737D" w:rsidRPr="00B4737D" w:rsidRDefault="00B4737D" w:rsidP="00725A13">
      <w:pPr>
        <w:ind w:left="851"/>
        <w:rPr>
          <w:sz w:val="24"/>
          <w:szCs w:val="24"/>
          <w:lang w:val="en-GB"/>
        </w:rPr>
      </w:pPr>
      <w:r w:rsidRPr="00B4737D">
        <w:rPr>
          <w:sz w:val="24"/>
          <w:szCs w:val="24"/>
          <w:lang w:val="en-GB"/>
        </w:rPr>
        <w:t>In paediatric patients ≥ 2 years of age, severe renal impairment is defined as an estimated glomerular</w:t>
      </w:r>
      <w:r w:rsidR="00B46CF9">
        <w:rPr>
          <w:sz w:val="24"/>
          <w:szCs w:val="24"/>
          <w:lang w:val="en-GB"/>
        </w:rPr>
        <w:t xml:space="preserve"> </w:t>
      </w:r>
      <w:r w:rsidRPr="00B4737D">
        <w:rPr>
          <w:sz w:val="24"/>
          <w:szCs w:val="24"/>
          <w:lang w:val="en-GB"/>
        </w:rPr>
        <w:t>filtration rate (eGFR) less than 30 mL/min/1.73 m</w:t>
      </w:r>
      <w:r w:rsidRPr="00B4737D">
        <w:rPr>
          <w:sz w:val="24"/>
          <w:szCs w:val="24"/>
          <w:vertAlign w:val="superscript"/>
          <w:lang w:val="en-GB"/>
        </w:rPr>
        <w:t>2</w:t>
      </w:r>
      <w:r w:rsidRPr="00B4737D">
        <w:rPr>
          <w:sz w:val="24"/>
          <w:szCs w:val="24"/>
          <w:lang w:val="en-GB"/>
        </w:rPr>
        <w:t xml:space="preserve"> body surface area (BSA). In Study CV185325, in</w:t>
      </w:r>
      <w:r w:rsidR="00B46CF9">
        <w:rPr>
          <w:sz w:val="24"/>
          <w:szCs w:val="24"/>
          <w:lang w:val="en-GB"/>
        </w:rPr>
        <w:t xml:space="preserve"> </w:t>
      </w:r>
      <w:r w:rsidRPr="00B4737D">
        <w:rPr>
          <w:sz w:val="24"/>
          <w:szCs w:val="24"/>
          <w:lang w:val="en-GB"/>
        </w:rPr>
        <w:t>patients less than 2 years of age, the thresholds defining severe renal impairment by sex and post-natal</w:t>
      </w:r>
      <w:r w:rsidR="00B46CF9">
        <w:rPr>
          <w:sz w:val="24"/>
          <w:szCs w:val="24"/>
          <w:lang w:val="en-GB"/>
        </w:rPr>
        <w:t xml:space="preserve"> </w:t>
      </w:r>
      <w:r w:rsidRPr="00B4737D">
        <w:rPr>
          <w:sz w:val="24"/>
          <w:szCs w:val="24"/>
          <w:lang w:val="en-GB"/>
        </w:rPr>
        <w:t>age are summarized in Table 15 below; each corresponds to an eGFR &lt; 30 mL/min/1.73 m</w:t>
      </w:r>
      <w:r w:rsidRPr="00B4737D">
        <w:rPr>
          <w:sz w:val="24"/>
          <w:szCs w:val="24"/>
          <w:vertAlign w:val="superscript"/>
          <w:lang w:val="en-GB"/>
        </w:rPr>
        <w:t>2</w:t>
      </w:r>
      <w:r w:rsidRPr="00B4737D">
        <w:rPr>
          <w:sz w:val="24"/>
          <w:szCs w:val="24"/>
          <w:lang w:val="en-GB"/>
        </w:rPr>
        <w:t xml:space="preserve"> BSA for</w:t>
      </w:r>
      <w:r w:rsidR="00B46CF9">
        <w:rPr>
          <w:sz w:val="24"/>
          <w:szCs w:val="24"/>
          <w:lang w:val="en-GB"/>
        </w:rPr>
        <w:t xml:space="preserve"> </w:t>
      </w:r>
      <w:r w:rsidRPr="00B4737D">
        <w:rPr>
          <w:sz w:val="24"/>
          <w:szCs w:val="24"/>
          <w:lang w:val="en-GB"/>
        </w:rPr>
        <w:t>patients ≥ 2 years of age.</w:t>
      </w:r>
    </w:p>
    <w:p w14:paraId="7945717C" w14:textId="77777777" w:rsidR="00B4737D" w:rsidRPr="00B4737D" w:rsidRDefault="00B4737D" w:rsidP="00725A13">
      <w:pPr>
        <w:ind w:left="851"/>
        <w:rPr>
          <w:sz w:val="24"/>
          <w:szCs w:val="24"/>
          <w:lang w:val="en-GB"/>
        </w:rPr>
      </w:pPr>
    </w:p>
    <w:p w14:paraId="781FA95D" w14:textId="77777777" w:rsidR="00B4737D" w:rsidRPr="00B4737D" w:rsidRDefault="00B4737D" w:rsidP="00B4737D">
      <w:pPr>
        <w:tabs>
          <w:tab w:val="left" w:pos="851"/>
        </w:tabs>
        <w:ind w:left="851"/>
        <w:rPr>
          <w:b/>
          <w:sz w:val="24"/>
          <w:szCs w:val="24"/>
          <w:lang w:val="en-GB"/>
        </w:rPr>
      </w:pPr>
      <w:r w:rsidRPr="00B4737D">
        <w:rPr>
          <w:b/>
          <w:sz w:val="24"/>
          <w:szCs w:val="24"/>
          <w:lang w:val="en-GB"/>
        </w:rPr>
        <w:t>Table 15: eGFR eligibility thresholds for study CV185325</w:t>
      </w:r>
    </w:p>
    <w:tbl>
      <w:tblPr>
        <w:tblStyle w:val="Tabel-Gitter"/>
        <w:tblW w:w="5000" w:type="pct"/>
        <w:tblLook w:val="04A0" w:firstRow="1" w:lastRow="0" w:firstColumn="1" w:lastColumn="0" w:noHBand="0" w:noVBand="1"/>
      </w:tblPr>
      <w:tblGrid>
        <w:gridCol w:w="3209"/>
        <w:gridCol w:w="3209"/>
        <w:gridCol w:w="3210"/>
      </w:tblGrid>
      <w:tr w:rsidR="00B4737D" w:rsidRPr="00B4737D" w14:paraId="2D6ADC8E"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71B156C8" w14:textId="77777777" w:rsidR="00B4737D" w:rsidRPr="00B4737D" w:rsidRDefault="00B4737D" w:rsidP="00725A13">
            <w:pPr>
              <w:ind w:left="32"/>
              <w:rPr>
                <w:b/>
                <w:sz w:val="24"/>
                <w:szCs w:val="24"/>
                <w:lang w:val="en-GB"/>
              </w:rPr>
            </w:pPr>
            <w:r w:rsidRPr="00B4737D">
              <w:rPr>
                <w:b/>
                <w:sz w:val="24"/>
                <w:szCs w:val="24"/>
                <w:lang w:val="en-GB"/>
              </w:rPr>
              <w:t>Postnatal age (gender)</w:t>
            </w:r>
          </w:p>
        </w:tc>
        <w:tc>
          <w:tcPr>
            <w:tcW w:w="1666" w:type="pct"/>
            <w:tcBorders>
              <w:top w:val="single" w:sz="4" w:space="0" w:color="auto"/>
              <w:left w:val="single" w:sz="4" w:space="0" w:color="auto"/>
              <w:bottom w:val="single" w:sz="4" w:space="0" w:color="auto"/>
              <w:right w:val="single" w:sz="4" w:space="0" w:color="auto"/>
            </w:tcBorders>
            <w:hideMark/>
          </w:tcPr>
          <w:p w14:paraId="3B5B3C8E" w14:textId="77777777" w:rsidR="00B4737D" w:rsidRPr="00B4737D" w:rsidRDefault="00B4737D" w:rsidP="00725A13">
            <w:pPr>
              <w:ind w:left="32"/>
              <w:rPr>
                <w:b/>
                <w:sz w:val="24"/>
                <w:szCs w:val="24"/>
                <w:lang w:val="en-GB"/>
              </w:rPr>
            </w:pPr>
            <w:r w:rsidRPr="00B4737D">
              <w:rPr>
                <w:b/>
                <w:sz w:val="24"/>
                <w:szCs w:val="24"/>
                <w:lang w:val="en-GB"/>
              </w:rPr>
              <w:t>GFR reference range</w:t>
            </w:r>
          </w:p>
          <w:p w14:paraId="362EDDD7" w14:textId="77777777" w:rsidR="00B4737D" w:rsidRPr="00B4737D" w:rsidRDefault="00B4737D" w:rsidP="00725A13">
            <w:pPr>
              <w:ind w:left="32"/>
              <w:rPr>
                <w:b/>
                <w:sz w:val="24"/>
                <w:szCs w:val="24"/>
                <w:lang w:val="en-GB"/>
              </w:rPr>
            </w:pPr>
            <w:r w:rsidRPr="00B4737D">
              <w:rPr>
                <w:b/>
                <w:sz w:val="24"/>
                <w:szCs w:val="24"/>
                <w:lang w:val="en-GB"/>
              </w:rPr>
              <w:t>(mL/min/1.73 m</w:t>
            </w:r>
            <w:r w:rsidRPr="00B4737D">
              <w:rPr>
                <w:b/>
                <w:sz w:val="24"/>
                <w:szCs w:val="24"/>
                <w:vertAlign w:val="superscript"/>
                <w:lang w:val="en-GB"/>
              </w:rPr>
              <w:t>2</w:t>
            </w:r>
            <w:r w:rsidRPr="00B4737D">
              <w:rPr>
                <w:b/>
                <w:sz w:val="24"/>
                <w:szCs w:val="24"/>
                <w:lang w:val="en-GB"/>
              </w:rPr>
              <w:t>)</w:t>
            </w:r>
          </w:p>
        </w:tc>
        <w:tc>
          <w:tcPr>
            <w:tcW w:w="1667" w:type="pct"/>
            <w:tcBorders>
              <w:top w:val="single" w:sz="4" w:space="0" w:color="auto"/>
              <w:left w:val="single" w:sz="4" w:space="0" w:color="auto"/>
              <w:bottom w:val="single" w:sz="4" w:space="0" w:color="auto"/>
              <w:right w:val="single" w:sz="4" w:space="0" w:color="auto"/>
            </w:tcBorders>
            <w:hideMark/>
          </w:tcPr>
          <w:p w14:paraId="3F015B2B" w14:textId="77777777" w:rsidR="00B4737D" w:rsidRPr="00B4737D" w:rsidRDefault="00B4737D" w:rsidP="00725A13">
            <w:pPr>
              <w:ind w:left="32"/>
              <w:rPr>
                <w:b/>
                <w:sz w:val="24"/>
                <w:szCs w:val="24"/>
                <w:lang w:val="en-GB"/>
              </w:rPr>
            </w:pPr>
            <w:r w:rsidRPr="00B4737D">
              <w:rPr>
                <w:b/>
                <w:sz w:val="24"/>
                <w:szCs w:val="24"/>
                <w:lang w:val="en-GB"/>
              </w:rPr>
              <w:t>Eligibility threshold for</w:t>
            </w:r>
          </w:p>
          <w:p w14:paraId="32136733" w14:textId="77777777" w:rsidR="00B4737D" w:rsidRPr="00B4737D" w:rsidRDefault="00B4737D" w:rsidP="00725A13">
            <w:pPr>
              <w:ind w:left="32"/>
              <w:rPr>
                <w:b/>
                <w:sz w:val="24"/>
                <w:szCs w:val="24"/>
                <w:lang w:val="en-GB"/>
              </w:rPr>
            </w:pPr>
            <w:r w:rsidRPr="00B4737D">
              <w:rPr>
                <w:b/>
                <w:sz w:val="24"/>
                <w:szCs w:val="24"/>
                <w:lang w:val="en-GB"/>
              </w:rPr>
              <w:t>eGFR*</w:t>
            </w:r>
          </w:p>
        </w:tc>
      </w:tr>
      <w:tr w:rsidR="00B4737D" w:rsidRPr="00B4737D" w14:paraId="75D78A15"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779C02EF" w14:textId="77777777" w:rsidR="00B4737D" w:rsidRPr="00B4737D" w:rsidRDefault="00B4737D" w:rsidP="00725A13">
            <w:pPr>
              <w:ind w:left="32"/>
              <w:rPr>
                <w:sz w:val="24"/>
                <w:szCs w:val="24"/>
                <w:lang w:val="en-GB"/>
              </w:rPr>
            </w:pPr>
            <w:r w:rsidRPr="00B4737D">
              <w:rPr>
                <w:sz w:val="24"/>
                <w:szCs w:val="24"/>
                <w:lang w:val="en-GB"/>
              </w:rPr>
              <w:t>1 week (males and females)</w:t>
            </w:r>
          </w:p>
        </w:tc>
        <w:tc>
          <w:tcPr>
            <w:tcW w:w="1666" w:type="pct"/>
            <w:tcBorders>
              <w:top w:val="single" w:sz="4" w:space="0" w:color="auto"/>
              <w:left w:val="single" w:sz="4" w:space="0" w:color="auto"/>
              <w:bottom w:val="single" w:sz="4" w:space="0" w:color="auto"/>
              <w:right w:val="single" w:sz="4" w:space="0" w:color="auto"/>
            </w:tcBorders>
            <w:hideMark/>
          </w:tcPr>
          <w:p w14:paraId="37297260" w14:textId="77777777" w:rsidR="00B4737D" w:rsidRPr="00B4737D" w:rsidRDefault="00B4737D" w:rsidP="00725A13">
            <w:pPr>
              <w:ind w:left="32"/>
              <w:rPr>
                <w:sz w:val="24"/>
                <w:szCs w:val="24"/>
                <w:lang w:val="en-GB"/>
              </w:rPr>
            </w:pPr>
            <w:r w:rsidRPr="00B4737D">
              <w:rPr>
                <w:sz w:val="24"/>
                <w:szCs w:val="24"/>
                <w:lang w:val="en-GB"/>
              </w:rPr>
              <w:t>41 ± 15</w:t>
            </w:r>
          </w:p>
        </w:tc>
        <w:tc>
          <w:tcPr>
            <w:tcW w:w="1667" w:type="pct"/>
            <w:tcBorders>
              <w:top w:val="single" w:sz="4" w:space="0" w:color="auto"/>
              <w:left w:val="single" w:sz="4" w:space="0" w:color="auto"/>
              <w:bottom w:val="single" w:sz="4" w:space="0" w:color="auto"/>
              <w:right w:val="single" w:sz="4" w:space="0" w:color="auto"/>
            </w:tcBorders>
            <w:hideMark/>
          </w:tcPr>
          <w:p w14:paraId="4C15A7EA" w14:textId="77777777" w:rsidR="00B4737D" w:rsidRPr="00B4737D" w:rsidRDefault="00B4737D" w:rsidP="00725A13">
            <w:pPr>
              <w:ind w:left="32"/>
              <w:rPr>
                <w:sz w:val="24"/>
                <w:szCs w:val="24"/>
                <w:lang w:val="en-GB"/>
              </w:rPr>
            </w:pPr>
            <w:r w:rsidRPr="00B4737D">
              <w:rPr>
                <w:sz w:val="24"/>
                <w:szCs w:val="24"/>
                <w:lang w:val="en-GB"/>
              </w:rPr>
              <w:t>≥ 8</w:t>
            </w:r>
          </w:p>
        </w:tc>
      </w:tr>
      <w:tr w:rsidR="00B4737D" w:rsidRPr="00B4737D" w14:paraId="6FE248D0"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68D92BCE" w14:textId="77777777" w:rsidR="00B4737D" w:rsidRPr="00B4737D" w:rsidRDefault="00B4737D" w:rsidP="00725A13">
            <w:pPr>
              <w:ind w:left="32"/>
              <w:rPr>
                <w:sz w:val="24"/>
                <w:szCs w:val="24"/>
                <w:lang w:val="en-GB"/>
              </w:rPr>
            </w:pPr>
            <w:r w:rsidRPr="00B4737D">
              <w:rPr>
                <w:sz w:val="24"/>
                <w:szCs w:val="24"/>
                <w:lang w:val="en-GB"/>
              </w:rPr>
              <w:t>2-8 weeks (males and females)</w:t>
            </w:r>
          </w:p>
        </w:tc>
        <w:tc>
          <w:tcPr>
            <w:tcW w:w="1666" w:type="pct"/>
            <w:tcBorders>
              <w:top w:val="single" w:sz="4" w:space="0" w:color="auto"/>
              <w:left w:val="single" w:sz="4" w:space="0" w:color="auto"/>
              <w:bottom w:val="single" w:sz="4" w:space="0" w:color="auto"/>
              <w:right w:val="single" w:sz="4" w:space="0" w:color="auto"/>
            </w:tcBorders>
            <w:hideMark/>
          </w:tcPr>
          <w:p w14:paraId="6E72787E" w14:textId="77777777" w:rsidR="00B4737D" w:rsidRPr="00B4737D" w:rsidRDefault="00B4737D" w:rsidP="00725A13">
            <w:pPr>
              <w:ind w:left="32"/>
              <w:rPr>
                <w:sz w:val="24"/>
                <w:szCs w:val="24"/>
                <w:lang w:val="en-GB"/>
              </w:rPr>
            </w:pPr>
            <w:r w:rsidRPr="00B4737D">
              <w:rPr>
                <w:sz w:val="24"/>
                <w:szCs w:val="24"/>
                <w:lang w:val="en-GB"/>
              </w:rPr>
              <w:t>66 ± 25</w:t>
            </w:r>
          </w:p>
        </w:tc>
        <w:tc>
          <w:tcPr>
            <w:tcW w:w="1667" w:type="pct"/>
            <w:tcBorders>
              <w:top w:val="single" w:sz="4" w:space="0" w:color="auto"/>
              <w:left w:val="single" w:sz="4" w:space="0" w:color="auto"/>
              <w:bottom w:val="single" w:sz="4" w:space="0" w:color="auto"/>
              <w:right w:val="single" w:sz="4" w:space="0" w:color="auto"/>
            </w:tcBorders>
            <w:hideMark/>
          </w:tcPr>
          <w:p w14:paraId="388560E0" w14:textId="77777777" w:rsidR="00B4737D" w:rsidRPr="00B4737D" w:rsidRDefault="00B4737D" w:rsidP="00725A13">
            <w:pPr>
              <w:ind w:left="32"/>
              <w:rPr>
                <w:sz w:val="24"/>
                <w:szCs w:val="24"/>
                <w:lang w:val="en-GB"/>
              </w:rPr>
            </w:pPr>
            <w:r w:rsidRPr="00B4737D">
              <w:rPr>
                <w:sz w:val="24"/>
                <w:szCs w:val="24"/>
                <w:lang w:val="en-GB"/>
              </w:rPr>
              <w:t>≥ 12</w:t>
            </w:r>
          </w:p>
        </w:tc>
      </w:tr>
      <w:tr w:rsidR="00B4737D" w:rsidRPr="00B4737D" w14:paraId="3728BF93"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571052CA" w14:textId="77777777" w:rsidR="00B4737D" w:rsidRPr="00B4737D" w:rsidRDefault="00B4737D" w:rsidP="00725A13">
            <w:pPr>
              <w:ind w:left="32"/>
              <w:rPr>
                <w:sz w:val="24"/>
                <w:szCs w:val="24"/>
                <w:lang w:val="en-GB"/>
              </w:rPr>
            </w:pPr>
            <w:r w:rsidRPr="00B4737D">
              <w:rPr>
                <w:sz w:val="24"/>
                <w:szCs w:val="24"/>
                <w:lang w:val="en-GB"/>
              </w:rPr>
              <w:t>&gt; 8 weeks to &lt; 2 years (males and females)</w:t>
            </w:r>
          </w:p>
        </w:tc>
        <w:tc>
          <w:tcPr>
            <w:tcW w:w="1666" w:type="pct"/>
            <w:tcBorders>
              <w:top w:val="single" w:sz="4" w:space="0" w:color="auto"/>
              <w:left w:val="single" w:sz="4" w:space="0" w:color="auto"/>
              <w:bottom w:val="single" w:sz="4" w:space="0" w:color="auto"/>
              <w:right w:val="single" w:sz="4" w:space="0" w:color="auto"/>
            </w:tcBorders>
            <w:hideMark/>
          </w:tcPr>
          <w:p w14:paraId="2844F9B5" w14:textId="77777777" w:rsidR="00B4737D" w:rsidRPr="00B4737D" w:rsidRDefault="00B4737D" w:rsidP="00725A13">
            <w:pPr>
              <w:ind w:left="32"/>
              <w:rPr>
                <w:sz w:val="24"/>
                <w:szCs w:val="24"/>
                <w:lang w:val="en-GB"/>
              </w:rPr>
            </w:pPr>
            <w:r w:rsidRPr="00B4737D">
              <w:rPr>
                <w:sz w:val="24"/>
                <w:szCs w:val="24"/>
                <w:lang w:val="en-GB"/>
              </w:rPr>
              <w:t>96 ± 22</w:t>
            </w:r>
          </w:p>
        </w:tc>
        <w:tc>
          <w:tcPr>
            <w:tcW w:w="1667" w:type="pct"/>
            <w:tcBorders>
              <w:top w:val="single" w:sz="4" w:space="0" w:color="auto"/>
              <w:left w:val="single" w:sz="4" w:space="0" w:color="auto"/>
              <w:bottom w:val="single" w:sz="4" w:space="0" w:color="auto"/>
              <w:right w:val="single" w:sz="4" w:space="0" w:color="auto"/>
            </w:tcBorders>
            <w:hideMark/>
          </w:tcPr>
          <w:p w14:paraId="792C64ED" w14:textId="77777777" w:rsidR="00B4737D" w:rsidRPr="00B4737D" w:rsidRDefault="00B4737D" w:rsidP="00725A13">
            <w:pPr>
              <w:ind w:left="32"/>
              <w:rPr>
                <w:sz w:val="24"/>
                <w:szCs w:val="24"/>
                <w:lang w:val="en-GB"/>
              </w:rPr>
            </w:pPr>
            <w:r w:rsidRPr="00B4737D">
              <w:rPr>
                <w:sz w:val="24"/>
                <w:szCs w:val="24"/>
                <w:lang w:val="en-GB"/>
              </w:rPr>
              <w:t>≥ 22</w:t>
            </w:r>
          </w:p>
        </w:tc>
      </w:tr>
      <w:tr w:rsidR="00B4737D" w:rsidRPr="00B4737D" w14:paraId="77CA90FE"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314A3E66" w14:textId="77777777" w:rsidR="00B4737D" w:rsidRPr="00B4737D" w:rsidRDefault="00B4737D" w:rsidP="00725A13">
            <w:pPr>
              <w:ind w:left="32"/>
              <w:rPr>
                <w:sz w:val="24"/>
                <w:szCs w:val="24"/>
                <w:lang w:val="en-GB"/>
              </w:rPr>
            </w:pPr>
            <w:r w:rsidRPr="00B4737D">
              <w:rPr>
                <w:sz w:val="24"/>
                <w:szCs w:val="24"/>
                <w:lang w:val="en-GB"/>
              </w:rPr>
              <w:t>2-12 years (males and females)</w:t>
            </w:r>
          </w:p>
        </w:tc>
        <w:tc>
          <w:tcPr>
            <w:tcW w:w="1666" w:type="pct"/>
            <w:tcBorders>
              <w:top w:val="single" w:sz="4" w:space="0" w:color="auto"/>
              <w:left w:val="single" w:sz="4" w:space="0" w:color="auto"/>
              <w:bottom w:val="single" w:sz="4" w:space="0" w:color="auto"/>
              <w:right w:val="single" w:sz="4" w:space="0" w:color="auto"/>
            </w:tcBorders>
            <w:hideMark/>
          </w:tcPr>
          <w:p w14:paraId="08489A49" w14:textId="77777777" w:rsidR="00B4737D" w:rsidRPr="00B4737D" w:rsidRDefault="00B4737D" w:rsidP="00725A13">
            <w:pPr>
              <w:ind w:left="32"/>
              <w:rPr>
                <w:sz w:val="24"/>
                <w:szCs w:val="24"/>
                <w:lang w:val="en-GB"/>
              </w:rPr>
            </w:pPr>
            <w:r w:rsidRPr="00B4737D">
              <w:rPr>
                <w:sz w:val="24"/>
                <w:szCs w:val="24"/>
                <w:lang w:val="en-GB"/>
              </w:rPr>
              <w:t>133 ± 27</w:t>
            </w:r>
          </w:p>
        </w:tc>
        <w:tc>
          <w:tcPr>
            <w:tcW w:w="1667" w:type="pct"/>
            <w:tcBorders>
              <w:top w:val="single" w:sz="4" w:space="0" w:color="auto"/>
              <w:left w:val="single" w:sz="4" w:space="0" w:color="auto"/>
              <w:bottom w:val="single" w:sz="4" w:space="0" w:color="auto"/>
              <w:right w:val="single" w:sz="4" w:space="0" w:color="auto"/>
            </w:tcBorders>
            <w:hideMark/>
          </w:tcPr>
          <w:p w14:paraId="6453A414" w14:textId="77777777" w:rsidR="00B4737D" w:rsidRPr="00B4737D" w:rsidRDefault="00B4737D" w:rsidP="00725A13">
            <w:pPr>
              <w:ind w:left="32"/>
              <w:rPr>
                <w:sz w:val="24"/>
                <w:szCs w:val="24"/>
                <w:lang w:val="en-GB"/>
              </w:rPr>
            </w:pPr>
            <w:r w:rsidRPr="00B4737D">
              <w:rPr>
                <w:sz w:val="24"/>
                <w:szCs w:val="24"/>
                <w:lang w:val="en-GB"/>
              </w:rPr>
              <w:t>≥ 30</w:t>
            </w:r>
          </w:p>
        </w:tc>
      </w:tr>
      <w:tr w:rsidR="00B4737D" w:rsidRPr="00B4737D" w14:paraId="6C96A261"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31295889" w14:textId="77777777" w:rsidR="00B4737D" w:rsidRPr="00B4737D" w:rsidRDefault="00B4737D" w:rsidP="00725A13">
            <w:pPr>
              <w:ind w:left="32"/>
              <w:rPr>
                <w:sz w:val="24"/>
                <w:szCs w:val="24"/>
                <w:lang w:val="en-GB"/>
              </w:rPr>
            </w:pPr>
            <w:r w:rsidRPr="00B4737D">
              <w:rPr>
                <w:sz w:val="24"/>
                <w:szCs w:val="24"/>
                <w:lang w:val="en-GB"/>
              </w:rPr>
              <w:t>13-17 years (males)</w:t>
            </w:r>
          </w:p>
        </w:tc>
        <w:tc>
          <w:tcPr>
            <w:tcW w:w="1666" w:type="pct"/>
            <w:tcBorders>
              <w:top w:val="single" w:sz="4" w:space="0" w:color="auto"/>
              <w:left w:val="single" w:sz="4" w:space="0" w:color="auto"/>
              <w:bottom w:val="single" w:sz="4" w:space="0" w:color="auto"/>
              <w:right w:val="single" w:sz="4" w:space="0" w:color="auto"/>
            </w:tcBorders>
            <w:hideMark/>
          </w:tcPr>
          <w:p w14:paraId="1A3647C7" w14:textId="77777777" w:rsidR="00B4737D" w:rsidRPr="00B4737D" w:rsidRDefault="00B4737D" w:rsidP="00725A13">
            <w:pPr>
              <w:ind w:left="32"/>
              <w:rPr>
                <w:sz w:val="24"/>
                <w:szCs w:val="24"/>
                <w:lang w:val="en-GB"/>
              </w:rPr>
            </w:pPr>
            <w:r w:rsidRPr="00B4737D">
              <w:rPr>
                <w:sz w:val="24"/>
                <w:szCs w:val="24"/>
                <w:lang w:val="en-GB"/>
              </w:rPr>
              <w:t>140 ± 30</w:t>
            </w:r>
          </w:p>
        </w:tc>
        <w:tc>
          <w:tcPr>
            <w:tcW w:w="1667" w:type="pct"/>
            <w:tcBorders>
              <w:top w:val="single" w:sz="4" w:space="0" w:color="auto"/>
              <w:left w:val="single" w:sz="4" w:space="0" w:color="auto"/>
              <w:bottom w:val="single" w:sz="4" w:space="0" w:color="auto"/>
              <w:right w:val="single" w:sz="4" w:space="0" w:color="auto"/>
            </w:tcBorders>
            <w:hideMark/>
          </w:tcPr>
          <w:p w14:paraId="2F6C6620" w14:textId="77777777" w:rsidR="00B4737D" w:rsidRPr="00B4737D" w:rsidRDefault="00B4737D" w:rsidP="00725A13">
            <w:pPr>
              <w:ind w:left="32"/>
              <w:rPr>
                <w:sz w:val="24"/>
                <w:szCs w:val="24"/>
                <w:lang w:val="en-GB"/>
              </w:rPr>
            </w:pPr>
            <w:r w:rsidRPr="00B4737D">
              <w:rPr>
                <w:sz w:val="24"/>
                <w:szCs w:val="24"/>
                <w:lang w:val="en-GB"/>
              </w:rPr>
              <w:t>≥ 30</w:t>
            </w:r>
          </w:p>
        </w:tc>
      </w:tr>
      <w:tr w:rsidR="00B4737D" w:rsidRPr="00B4737D" w14:paraId="313EB780" w14:textId="77777777" w:rsidTr="00B46CF9">
        <w:tc>
          <w:tcPr>
            <w:tcW w:w="1666" w:type="pct"/>
            <w:tcBorders>
              <w:top w:val="single" w:sz="4" w:space="0" w:color="auto"/>
              <w:left w:val="single" w:sz="4" w:space="0" w:color="auto"/>
              <w:bottom w:val="single" w:sz="4" w:space="0" w:color="auto"/>
              <w:right w:val="single" w:sz="4" w:space="0" w:color="auto"/>
            </w:tcBorders>
            <w:hideMark/>
          </w:tcPr>
          <w:p w14:paraId="69E04B63" w14:textId="77777777" w:rsidR="00B4737D" w:rsidRPr="00B4737D" w:rsidRDefault="00B4737D" w:rsidP="00725A13">
            <w:pPr>
              <w:ind w:left="32"/>
              <w:rPr>
                <w:sz w:val="24"/>
                <w:szCs w:val="24"/>
                <w:lang w:val="en-GB"/>
              </w:rPr>
            </w:pPr>
            <w:r w:rsidRPr="00B4737D">
              <w:rPr>
                <w:sz w:val="24"/>
                <w:szCs w:val="24"/>
                <w:lang w:val="en-GB"/>
              </w:rPr>
              <w:t>13-17 years (females)</w:t>
            </w:r>
          </w:p>
        </w:tc>
        <w:tc>
          <w:tcPr>
            <w:tcW w:w="1666" w:type="pct"/>
            <w:tcBorders>
              <w:top w:val="single" w:sz="4" w:space="0" w:color="auto"/>
              <w:left w:val="single" w:sz="4" w:space="0" w:color="auto"/>
              <w:bottom w:val="single" w:sz="4" w:space="0" w:color="auto"/>
              <w:right w:val="single" w:sz="4" w:space="0" w:color="auto"/>
            </w:tcBorders>
            <w:hideMark/>
          </w:tcPr>
          <w:p w14:paraId="5CB90162" w14:textId="77777777" w:rsidR="00B4737D" w:rsidRPr="00B4737D" w:rsidRDefault="00B4737D" w:rsidP="00725A13">
            <w:pPr>
              <w:ind w:left="32"/>
              <w:rPr>
                <w:sz w:val="24"/>
                <w:szCs w:val="24"/>
                <w:lang w:val="en-GB"/>
              </w:rPr>
            </w:pPr>
            <w:r w:rsidRPr="00B4737D">
              <w:rPr>
                <w:sz w:val="24"/>
                <w:szCs w:val="24"/>
                <w:lang w:val="en-GB"/>
              </w:rPr>
              <w:t>126 ± 22</w:t>
            </w:r>
          </w:p>
        </w:tc>
        <w:tc>
          <w:tcPr>
            <w:tcW w:w="1667" w:type="pct"/>
            <w:tcBorders>
              <w:top w:val="single" w:sz="4" w:space="0" w:color="auto"/>
              <w:left w:val="single" w:sz="4" w:space="0" w:color="auto"/>
              <w:bottom w:val="single" w:sz="4" w:space="0" w:color="auto"/>
              <w:right w:val="single" w:sz="4" w:space="0" w:color="auto"/>
            </w:tcBorders>
            <w:hideMark/>
          </w:tcPr>
          <w:p w14:paraId="4077066F" w14:textId="77777777" w:rsidR="00B4737D" w:rsidRPr="00B4737D" w:rsidRDefault="00B4737D" w:rsidP="00725A13">
            <w:pPr>
              <w:ind w:left="32"/>
              <w:rPr>
                <w:sz w:val="24"/>
                <w:szCs w:val="24"/>
                <w:lang w:val="en-GB"/>
              </w:rPr>
            </w:pPr>
            <w:r w:rsidRPr="00B4737D">
              <w:rPr>
                <w:sz w:val="24"/>
                <w:szCs w:val="24"/>
                <w:lang w:val="en-GB"/>
              </w:rPr>
              <w:t>≥ 30</w:t>
            </w:r>
          </w:p>
        </w:tc>
      </w:tr>
    </w:tbl>
    <w:p w14:paraId="4E1287E9" w14:textId="5631834E" w:rsidR="00B4737D" w:rsidRPr="00B4737D" w:rsidRDefault="00B4737D" w:rsidP="00725A13">
      <w:pPr>
        <w:ind w:left="284" w:hanging="284"/>
        <w:rPr>
          <w:sz w:val="24"/>
          <w:szCs w:val="24"/>
          <w:lang w:val="en-GB"/>
        </w:rPr>
      </w:pPr>
      <w:r w:rsidRPr="00B4737D">
        <w:rPr>
          <w:sz w:val="24"/>
          <w:szCs w:val="24"/>
          <w:lang w:val="en-GB"/>
        </w:rPr>
        <w:t>*</w:t>
      </w:r>
      <w:r w:rsidR="00725A13" w:rsidRPr="001C1AA7">
        <w:rPr>
          <w:sz w:val="24"/>
          <w:szCs w:val="24"/>
          <w:lang w:val="en-GB"/>
        </w:rPr>
        <w:tab/>
      </w:r>
      <w:r w:rsidRPr="00B4737D">
        <w:rPr>
          <w:sz w:val="24"/>
          <w:szCs w:val="24"/>
          <w:lang w:val="en-GB"/>
        </w:rPr>
        <w:t xml:space="preserve">Eligibility threshold for CV185325 study participation, where estimated glomerular filtration rate (eGFR) was calculated per the updated bedside Schwartz equation (Schwartz, GJ et al., CJASN </w:t>
      </w:r>
      <w:r w:rsidRPr="00B4737D">
        <w:rPr>
          <w:sz w:val="24"/>
          <w:szCs w:val="24"/>
          <w:lang w:val="en-GB"/>
        </w:rPr>
        <w:lastRenderedPageBreak/>
        <w:t>2009). This per protocol threshold corresponded to the eGFR below which a prospective patient was considered to have “inadequate renal function” that precluded participation in Study CV185325. Each threshold was defined as an eGFR &lt; 30% of 1 standard deviation (SD) below the GFR reference range for age and gender. Threshold values for patients &lt; 2 years of age correspond to an eGFR &lt; 30 mL/min/1.73 m</w:t>
      </w:r>
      <w:r w:rsidRPr="00B4737D">
        <w:rPr>
          <w:sz w:val="24"/>
          <w:szCs w:val="24"/>
          <w:vertAlign w:val="superscript"/>
          <w:lang w:val="en-GB"/>
        </w:rPr>
        <w:t>2</w:t>
      </w:r>
      <w:r w:rsidRPr="00B4737D">
        <w:rPr>
          <w:sz w:val="24"/>
          <w:szCs w:val="24"/>
          <w:lang w:val="en-GB"/>
        </w:rPr>
        <w:t>, the conventional definition of severe renal failure in patients &gt; 2 years of age.</w:t>
      </w:r>
    </w:p>
    <w:p w14:paraId="37F4CA64" w14:textId="77777777" w:rsidR="00B4737D" w:rsidRPr="00B4737D" w:rsidRDefault="00B4737D" w:rsidP="00725A13">
      <w:pPr>
        <w:ind w:left="851"/>
        <w:rPr>
          <w:sz w:val="24"/>
          <w:szCs w:val="24"/>
          <w:lang w:val="en-GB"/>
        </w:rPr>
      </w:pPr>
    </w:p>
    <w:p w14:paraId="753900D9" w14:textId="7573A43B" w:rsidR="00B4737D" w:rsidRPr="00B4737D" w:rsidRDefault="00B4737D" w:rsidP="00725A13">
      <w:pPr>
        <w:ind w:left="851"/>
        <w:rPr>
          <w:sz w:val="24"/>
          <w:szCs w:val="24"/>
          <w:lang w:val="en-GB"/>
        </w:rPr>
      </w:pPr>
      <w:r w:rsidRPr="00B4737D">
        <w:rPr>
          <w:sz w:val="24"/>
          <w:szCs w:val="24"/>
          <w:lang w:val="en-GB"/>
        </w:rPr>
        <w:t>Paediatric patients with glomerular filtration rates ≤ 55 mL/min/1.73 m</w:t>
      </w:r>
      <w:r w:rsidRPr="00B4737D">
        <w:rPr>
          <w:sz w:val="24"/>
          <w:szCs w:val="24"/>
          <w:vertAlign w:val="superscript"/>
          <w:lang w:val="en-GB"/>
        </w:rPr>
        <w:t>2</w:t>
      </w:r>
      <w:r w:rsidRPr="00B4737D">
        <w:rPr>
          <w:sz w:val="24"/>
          <w:szCs w:val="24"/>
          <w:lang w:val="en-GB"/>
        </w:rPr>
        <w:t xml:space="preserve"> did not participate in Study</w:t>
      </w:r>
      <w:r w:rsidR="00B46CF9">
        <w:rPr>
          <w:sz w:val="24"/>
          <w:szCs w:val="24"/>
          <w:lang w:val="en-GB"/>
        </w:rPr>
        <w:t xml:space="preserve"> </w:t>
      </w:r>
      <w:r w:rsidRPr="00B4737D">
        <w:rPr>
          <w:sz w:val="24"/>
          <w:szCs w:val="24"/>
          <w:lang w:val="en-GB"/>
        </w:rPr>
        <w:t>CV185325, although those with mild to moderate levels of renal impairment (eGFR ≥ 30 to</w:t>
      </w:r>
      <w:r w:rsidR="00B46CF9">
        <w:rPr>
          <w:sz w:val="24"/>
          <w:szCs w:val="24"/>
          <w:lang w:val="en-GB"/>
        </w:rPr>
        <w:t xml:space="preserve"> </w:t>
      </w:r>
      <w:r w:rsidRPr="00B4737D">
        <w:rPr>
          <w:sz w:val="24"/>
          <w:szCs w:val="24"/>
          <w:lang w:val="en-GB"/>
        </w:rPr>
        <w:t>&lt; 60 mL/min/1.73 m</w:t>
      </w:r>
      <w:r w:rsidRPr="00B4737D">
        <w:rPr>
          <w:sz w:val="24"/>
          <w:szCs w:val="24"/>
          <w:vertAlign w:val="superscript"/>
          <w:lang w:val="en-GB"/>
        </w:rPr>
        <w:t>2</w:t>
      </w:r>
      <w:r w:rsidRPr="00B4737D">
        <w:rPr>
          <w:sz w:val="24"/>
          <w:szCs w:val="24"/>
          <w:lang w:val="en-GB"/>
        </w:rPr>
        <w:t xml:space="preserve"> BSA) were eligible. Based on adult data and limited data in all apixaban-treated</w:t>
      </w:r>
      <w:r w:rsidR="00B46CF9">
        <w:rPr>
          <w:sz w:val="24"/>
          <w:szCs w:val="24"/>
          <w:lang w:val="en-GB"/>
        </w:rPr>
        <w:t xml:space="preserve"> </w:t>
      </w:r>
      <w:r w:rsidRPr="00B4737D">
        <w:rPr>
          <w:sz w:val="24"/>
          <w:szCs w:val="24"/>
          <w:lang w:val="en-GB"/>
        </w:rPr>
        <w:t>paediatric patients, no dose adjustment is necessary in paediatric patients with mild to moderate renal</w:t>
      </w:r>
      <w:r w:rsidR="00B46CF9">
        <w:rPr>
          <w:sz w:val="24"/>
          <w:szCs w:val="24"/>
          <w:lang w:val="en-GB"/>
        </w:rPr>
        <w:t xml:space="preserve"> </w:t>
      </w:r>
      <w:r w:rsidRPr="00B4737D">
        <w:rPr>
          <w:sz w:val="24"/>
          <w:szCs w:val="24"/>
          <w:lang w:val="en-GB"/>
        </w:rPr>
        <w:t>impairment. Apixaban is not recommended in paediatric patients with severe renal impairment (see</w:t>
      </w:r>
      <w:r w:rsidR="00B46CF9">
        <w:rPr>
          <w:sz w:val="24"/>
          <w:szCs w:val="24"/>
          <w:lang w:val="en-GB"/>
        </w:rPr>
        <w:t xml:space="preserve"> </w:t>
      </w:r>
      <w:r w:rsidRPr="00B4737D">
        <w:rPr>
          <w:sz w:val="24"/>
          <w:szCs w:val="24"/>
          <w:lang w:val="en-GB"/>
        </w:rPr>
        <w:t>sections 4.2 and 4.4).</w:t>
      </w:r>
    </w:p>
    <w:p w14:paraId="26E287CF" w14:textId="77777777" w:rsidR="00B4737D" w:rsidRPr="00B4737D" w:rsidRDefault="00B4737D" w:rsidP="00725A13">
      <w:pPr>
        <w:ind w:left="851"/>
        <w:rPr>
          <w:sz w:val="24"/>
          <w:szCs w:val="24"/>
          <w:u w:val="single"/>
          <w:lang w:val="en-GB"/>
        </w:rPr>
      </w:pPr>
    </w:p>
    <w:p w14:paraId="5B80D728" w14:textId="77777777" w:rsidR="00B4737D" w:rsidRPr="00B4737D" w:rsidRDefault="00B4737D" w:rsidP="00725A13">
      <w:pPr>
        <w:ind w:left="851"/>
        <w:rPr>
          <w:sz w:val="24"/>
          <w:szCs w:val="24"/>
          <w:u w:val="single"/>
          <w:lang w:val="en-GB"/>
        </w:rPr>
      </w:pPr>
      <w:r w:rsidRPr="00B4737D">
        <w:rPr>
          <w:sz w:val="24"/>
          <w:szCs w:val="24"/>
          <w:u w:val="single"/>
          <w:lang w:val="en-GB"/>
        </w:rPr>
        <w:t xml:space="preserve">Hepatic impairment </w:t>
      </w:r>
    </w:p>
    <w:p w14:paraId="78CAF3E4" w14:textId="33A51467" w:rsidR="00B4737D" w:rsidRPr="00B4737D" w:rsidRDefault="00B4737D" w:rsidP="00725A13">
      <w:pPr>
        <w:ind w:left="851"/>
        <w:rPr>
          <w:sz w:val="24"/>
          <w:szCs w:val="24"/>
          <w:lang w:val="en-GB"/>
        </w:rPr>
      </w:pPr>
      <w:r w:rsidRPr="00B4737D">
        <w:rPr>
          <w:sz w:val="24"/>
          <w:szCs w:val="24"/>
          <w:lang w:val="en-GB"/>
        </w:rPr>
        <w:t>In a study comparing 8 subjects with mild hepatic impairment, Child-Pugh A score 5 (n</w:t>
      </w:r>
      <w:r w:rsidR="00B46CF9">
        <w:rPr>
          <w:sz w:val="24"/>
          <w:szCs w:val="24"/>
          <w:lang w:val="en-GB"/>
        </w:rPr>
        <w:t> </w:t>
      </w:r>
      <w:r w:rsidRPr="00B4737D">
        <w:rPr>
          <w:sz w:val="24"/>
          <w:szCs w:val="24"/>
          <w:lang w:val="en-GB"/>
        </w:rPr>
        <w:t>=</w:t>
      </w:r>
      <w:r w:rsidR="00B46CF9">
        <w:rPr>
          <w:sz w:val="24"/>
          <w:szCs w:val="24"/>
          <w:lang w:val="en-GB"/>
        </w:rPr>
        <w:t> </w:t>
      </w:r>
      <w:r w:rsidRPr="00B4737D">
        <w:rPr>
          <w:sz w:val="24"/>
          <w:szCs w:val="24"/>
          <w:lang w:val="en-GB"/>
        </w:rPr>
        <w:t xml:space="preserve">6) and score 6 (n = 2), and 8 subjects with moderate hepatic impairment, Child-Pugh B score 7 (n = 6) and score 8 (n = 2), to 16 healthy control subjects, the single-dose pharmacokinetics and pharmacodynamics of apixaban 5 mg were not altered in subjects with hepatic impairment. Changes in anti-Factor Xa activity and INR were comparable between subjects with mild to moderate hepatic impairment and healthy subjects. </w:t>
      </w:r>
    </w:p>
    <w:p w14:paraId="1CFB7448" w14:textId="77777777" w:rsidR="00B4737D" w:rsidRPr="00B4737D" w:rsidRDefault="00B4737D" w:rsidP="00725A13">
      <w:pPr>
        <w:ind w:left="851"/>
        <w:rPr>
          <w:sz w:val="24"/>
          <w:szCs w:val="24"/>
          <w:lang w:val="en-GB"/>
        </w:rPr>
      </w:pPr>
    </w:p>
    <w:p w14:paraId="75A8AAC5" w14:textId="77777777" w:rsidR="00B4737D" w:rsidRPr="00B4737D" w:rsidRDefault="00B4737D" w:rsidP="00725A13">
      <w:pPr>
        <w:ind w:left="851"/>
        <w:rPr>
          <w:sz w:val="24"/>
          <w:szCs w:val="24"/>
          <w:lang w:val="en-GB"/>
        </w:rPr>
      </w:pPr>
      <w:r w:rsidRPr="00B4737D">
        <w:rPr>
          <w:sz w:val="24"/>
          <w:szCs w:val="24"/>
          <w:lang w:val="en-GB"/>
        </w:rPr>
        <w:t>Apixaban has not been studied in paediatric patients with hepatic impairment.</w:t>
      </w:r>
    </w:p>
    <w:p w14:paraId="62AC45BE" w14:textId="77777777" w:rsidR="00B4737D" w:rsidRPr="00B4737D" w:rsidRDefault="00B4737D" w:rsidP="00725A13">
      <w:pPr>
        <w:ind w:left="851"/>
        <w:rPr>
          <w:sz w:val="24"/>
          <w:szCs w:val="24"/>
          <w:lang w:val="en-GB"/>
        </w:rPr>
      </w:pPr>
    </w:p>
    <w:p w14:paraId="05FC85BC" w14:textId="77777777" w:rsidR="00B4737D" w:rsidRPr="00B4737D" w:rsidRDefault="00B4737D" w:rsidP="00725A13">
      <w:pPr>
        <w:ind w:left="851"/>
        <w:rPr>
          <w:sz w:val="24"/>
          <w:szCs w:val="24"/>
          <w:u w:val="single"/>
          <w:lang w:val="en-GB"/>
        </w:rPr>
      </w:pPr>
      <w:r w:rsidRPr="00B4737D">
        <w:rPr>
          <w:sz w:val="24"/>
          <w:szCs w:val="24"/>
          <w:u w:val="single"/>
          <w:lang w:val="en-GB"/>
        </w:rPr>
        <w:t xml:space="preserve">Gender </w:t>
      </w:r>
    </w:p>
    <w:p w14:paraId="43A32C80" w14:textId="77777777" w:rsidR="00B4737D" w:rsidRPr="00B4737D" w:rsidRDefault="00B4737D" w:rsidP="00725A13">
      <w:pPr>
        <w:ind w:left="851"/>
        <w:rPr>
          <w:sz w:val="24"/>
          <w:szCs w:val="24"/>
          <w:lang w:val="en-GB"/>
        </w:rPr>
      </w:pPr>
      <w:r w:rsidRPr="00B4737D">
        <w:rPr>
          <w:sz w:val="24"/>
          <w:szCs w:val="24"/>
          <w:lang w:val="en-GB"/>
        </w:rPr>
        <w:t>Exposure to apixaban was approximately 18% higher in females than in males.</w:t>
      </w:r>
    </w:p>
    <w:p w14:paraId="65EF14F9" w14:textId="77777777" w:rsidR="00B4737D" w:rsidRPr="00B4737D" w:rsidRDefault="00B4737D" w:rsidP="00725A13">
      <w:pPr>
        <w:ind w:left="851"/>
        <w:rPr>
          <w:sz w:val="24"/>
          <w:szCs w:val="24"/>
          <w:lang w:val="en-GB"/>
        </w:rPr>
      </w:pPr>
    </w:p>
    <w:p w14:paraId="20047292" w14:textId="77777777" w:rsidR="00B4737D" w:rsidRPr="00B4737D" w:rsidRDefault="00B4737D" w:rsidP="00725A13">
      <w:pPr>
        <w:ind w:left="851"/>
        <w:rPr>
          <w:sz w:val="24"/>
          <w:szCs w:val="24"/>
          <w:lang w:val="en-GB"/>
        </w:rPr>
      </w:pPr>
      <w:r w:rsidRPr="00B4737D">
        <w:rPr>
          <w:sz w:val="24"/>
          <w:szCs w:val="24"/>
          <w:lang w:val="en-GB"/>
        </w:rPr>
        <w:t>Gender differences in pharmacokinetic properties were not studied in paediatric patients.</w:t>
      </w:r>
    </w:p>
    <w:p w14:paraId="65AC03E8" w14:textId="77777777" w:rsidR="00B4737D" w:rsidRPr="00B4737D" w:rsidRDefault="00B4737D" w:rsidP="00725A13">
      <w:pPr>
        <w:ind w:left="851"/>
        <w:rPr>
          <w:iCs/>
          <w:sz w:val="24"/>
          <w:szCs w:val="24"/>
          <w:u w:val="single"/>
          <w:lang w:val="en-GB"/>
        </w:rPr>
      </w:pPr>
    </w:p>
    <w:p w14:paraId="131ED651" w14:textId="77777777" w:rsidR="00B4737D" w:rsidRPr="00B4737D" w:rsidRDefault="00B4737D" w:rsidP="00725A13">
      <w:pPr>
        <w:ind w:left="851"/>
        <w:rPr>
          <w:sz w:val="24"/>
          <w:szCs w:val="24"/>
          <w:u w:val="single"/>
          <w:lang w:val="en-GB"/>
        </w:rPr>
      </w:pPr>
      <w:r w:rsidRPr="00B4737D">
        <w:rPr>
          <w:sz w:val="24"/>
          <w:szCs w:val="24"/>
          <w:u w:val="single"/>
          <w:lang w:val="en-GB"/>
        </w:rPr>
        <w:t xml:space="preserve">Ethnic origin and race </w:t>
      </w:r>
    </w:p>
    <w:p w14:paraId="21109EA5" w14:textId="77777777" w:rsidR="00B4737D" w:rsidRPr="00B4737D" w:rsidRDefault="00B4737D" w:rsidP="00725A13">
      <w:pPr>
        <w:ind w:left="851"/>
        <w:rPr>
          <w:sz w:val="24"/>
          <w:szCs w:val="24"/>
          <w:lang w:val="en-GB"/>
        </w:rPr>
      </w:pPr>
      <w:r w:rsidRPr="00B4737D">
        <w:rPr>
          <w:sz w:val="24"/>
          <w:szCs w:val="24"/>
          <w:lang w:val="en-GB"/>
        </w:rPr>
        <w:t xml:space="preserve">The results across phase I studies showed no discernible difference in apixaban pharmacokinetics between White/Caucasian, Asian and Black/African American subjects. Findings from a population pharmacokinetic analysis in patients who received apixaban were generally consistent with the phase I results. </w:t>
      </w:r>
    </w:p>
    <w:p w14:paraId="15A2E2C8" w14:textId="77777777" w:rsidR="00B4737D" w:rsidRPr="00B4737D" w:rsidRDefault="00B4737D" w:rsidP="00725A13">
      <w:pPr>
        <w:ind w:left="851"/>
        <w:rPr>
          <w:sz w:val="24"/>
          <w:szCs w:val="24"/>
          <w:lang w:val="en-GB"/>
        </w:rPr>
      </w:pPr>
    </w:p>
    <w:p w14:paraId="2AFA5679" w14:textId="009C62C1" w:rsidR="00B4737D" w:rsidRPr="00B4737D" w:rsidRDefault="00B4737D" w:rsidP="00725A13">
      <w:pPr>
        <w:ind w:left="851"/>
        <w:rPr>
          <w:sz w:val="24"/>
          <w:szCs w:val="24"/>
          <w:lang w:val="en-GB"/>
        </w:rPr>
      </w:pPr>
      <w:r w:rsidRPr="00B4737D">
        <w:rPr>
          <w:sz w:val="24"/>
          <w:szCs w:val="24"/>
          <w:lang w:val="en-GB"/>
        </w:rPr>
        <w:t>Differences in pharmacokinetic properties relating to ethnic origin and race were not studied in</w:t>
      </w:r>
      <w:r w:rsidR="00B46CF9">
        <w:rPr>
          <w:sz w:val="24"/>
          <w:szCs w:val="24"/>
          <w:lang w:val="en-GB"/>
        </w:rPr>
        <w:t xml:space="preserve"> </w:t>
      </w:r>
      <w:r w:rsidRPr="00B4737D">
        <w:rPr>
          <w:sz w:val="24"/>
          <w:szCs w:val="24"/>
          <w:lang w:val="en-GB"/>
        </w:rPr>
        <w:t>paediatric patients.</w:t>
      </w:r>
    </w:p>
    <w:p w14:paraId="60D42E41" w14:textId="77777777" w:rsidR="00B4737D" w:rsidRPr="00B4737D" w:rsidRDefault="00B4737D" w:rsidP="00725A13">
      <w:pPr>
        <w:ind w:left="851"/>
        <w:rPr>
          <w:sz w:val="24"/>
          <w:szCs w:val="24"/>
          <w:lang w:val="en-GB"/>
        </w:rPr>
      </w:pPr>
    </w:p>
    <w:p w14:paraId="46FF6CB3" w14:textId="77777777" w:rsidR="00B4737D" w:rsidRPr="00B4737D" w:rsidRDefault="00B4737D" w:rsidP="00725A13">
      <w:pPr>
        <w:ind w:left="851"/>
        <w:rPr>
          <w:sz w:val="24"/>
          <w:szCs w:val="24"/>
          <w:u w:val="single"/>
          <w:lang w:val="en-GB"/>
        </w:rPr>
      </w:pPr>
      <w:r w:rsidRPr="00B4737D">
        <w:rPr>
          <w:sz w:val="24"/>
          <w:szCs w:val="24"/>
          <w:u w:val="single"/>
          <w:lang w:val="en-GB"/>
        </w:rPr>
        <w:t xml:space="preserve">Body weight </w:t>
      </w:r>
    </w:p>
    <w:p w14:paraId="4FF9D6E2" w14:textId="77777777" w:rsidR="00B4737D" w:rsidRPr="00B4737D" w:rsidRDefault="00B4737D" w:rsidP="00725A13">
      <w:pPr>
        <w:ind w:left="851"/>
        <w:rPr>
          <w:sz w:val="24"/>
          <w:szCs w:val="24"/>
          <w:lang w:val="en-GB"/>
        </w:rPr>
      </w:pPr>
      <w:r w:rsidRPr="00B4737D">
        <w:rPr>
          <w:sz w:val="24"/>
          <w:szCs w:val="24"/>
          <w:lang w:val="en-GB"/>
        </w:rPr>
        <w:t xml:space="preserve">Compared to apixaban exposure in subjects with body weight of 65 to 85 kg, body weight &gt; 120 kg was associated with approximately 30% lower exposure and body weight &lt; 50 kg was associated with approximately 30% higher exposure. </w:t>
      </w:r>
    </w:p>
    <w:p w14:paraId="3EB57D5C" w14:textId="77777777" w:rsidR="00B4737D" w:rsidRPr="00B4737D" w:rsidRDefault="00B4737D" w:rsidP="00725A13">
      <w:pPr>
        <w:ind w:left="851"/>
        <w:rPr>
          <w:sz w:val="24"/>
          <w:szCs w:val="24"/>
          <w:lang w:val="en-GB"/>
        </w:rPr>
      </w:pPr>
    </w:p>
    <w:p w14:paraId="5397036B" w14:textId="77777777" w:rsidR="00B4737D" w:rsidRPr="00B4737D" w:rsidRDefault="00B4737D" w:rsidP="00725A13">
      <w:pPr>
        <w:ind w:left="851"/>
        <w:rPr>
          <w:sz w:val="24"/>
          <w:szCs w:val="24"/>
          <w:lang w:val="en-GB"/>
        </w:rPr>
      </w:pPr>
      <w:r w:rsidRPr="00B4737D">
        <w:rPr>
          <w:sz w:val="24"/>
          <w:szCs w:val="24"/>
          <w:lang w:val="en-GB"/>
        </w:rPr>
        <w:t>Administration of apixaban to paediatric patients is based on a fixed-dose by weight-tier regimen.</w:t>
      </w:r>
    </w:p>
    <w:p w14:paraId="636B0745" w14:textId="77777777" w:rsidR="00B4737D" w:rsidRPr="00B4737D" w:rsidRDefault="00B4737D" w:rsidP="00725A13">
      <w:pPr>
        <w:ind w:left="851"/>
        <w:rPr>
          <w:sz w:val="24"/>
          <w:szCs w:val="24"/>
          <w:lang w:val="en-GB"/>
        </w:rPr>
      </w:pPr>
    </w:p>
    <w:p w14:paraId="1C02D562" w14:textId="77777777" w:rsidR="00B4737D" w:rsidRPr="00B4737D" w:rsidRDefault="00B4737D" w:rsidP="00725A13">
      <w:pPr>
        <w:ind w:left="851"/>
        <w:rPr>
          <w:sz w:val="24"/>
          <w:szCs w:val="24"/>
          <w:u w:val="single"/>
          <w:lang w:val="en-GB"/>
        </w:rPr>
      </w:pPr>
      <w:r w:rsidRPr="00B4737D">
        <w:rPr>
          <w:sz w:val="24"/>
          <w:szCs w:val="24"/>
          <w:u w:val="single"/>
          <w:lang w:val="en-GB"/>
        </w:rPr>
        <w:t xml:space="preserve">Pharmacokinetic/pharmacodynamic relationship </w:t>
      </w:r>
    </w:p>
    <w:p w14:paraId="33C0D8FC" w14:textId="77777777" w:rsidR="00B4737D" w:rsidRPr="00B4737D" w:rsidRDefault="00B4737D" w:rsidP="00725A13">
      <w:pPr>
        <w:ind w:left="851"/>
        <w:rPr>
          <w:sz w:val="24"/>
          <w:szCs w:val="24"/>
          <w:lang w:val="en-GB"/>
        </w:rPr>
      </w:pPr>
      <w:r w:rsidRPr="00B4737D">
        <w:rPr>
          <w:sz w:val="24"/>
          <w:szCs w:val="24"/>
          <w:lang w:val="en-GB"/>
        </w:rPr>
        <w:t xml:space="preserve">In adults, the pharmacokinetic/pharmacodynamic (PK/PD) relationship between apixaban plasma concentration and several PD endpoints (anti-Factor Xa activity, INR, PT, </w:t>
      </w:r>
      <w:proofErr w:type="spellStart"/>
      <w:r w:rsidRPr="00B4737D">
        <w:rPr>
          <w:sz w:val="24"/>
          <w:szCs w:val="24"/>
          <w:lang w:val="en-GB"/>
        </w:rPr>
        <w:t>aPTT</w:t>
      </w:r>
      <w:proofErr w:type="spellEnd"/>
      <w:r w:rsidRPr="00B4737D">
        <w:rPr>
          <w:sz w:val="24"/>
          <w:szCs w:val="24"/>
          <w:lang w:val="en-GB"/>
        </w:rPr>
        <w:t xml:space="preserve">) has been evaluated after administration of a wide range of doses (0.5 – 50 mg). The relationship between apixaban plasma concentration and anti-Factor Xa activity was best </w:t>
      </w:r>
      <w:r w:rsidRPr="00B4737D">
        <w:rPr>
          <w:sz w:val="24"/>
          <w:szCs w:val="24"/>
          <w:lang w:val="en-GB"/>
        </w:rPr>
        <w:lastRenderedPageBreak/>
        <w:t>described by a linear model. The PK/PD relationship observed in patients was consistent with that established in healthy subjects.</w:t>
      </w:r>
    </w:p>
    <w:p w14:paraId="085100DC" w14:textId="77777777" w:rsidR="00B4737D" w:rsidRPr="00B4737D" w:rsidRDefault="00B4737D" w:rsidP="00725A13">
      <w:pPr>
        <w:ind w:left="851"/>
        <w:rPr>
          <w:iCs/>
          <w:sz w:val="24"/>
          <w:szCs w:val="24"/>
          <w:u w:val="single"/>
          <w:lang w:val="en-GB"/>
        </w:rPr>
      </w:pPr>
    </w:p>
    <w:p w14:paraId="156326FB" w14:textId="5F0C7AA5" w:rsidR="00B4737D" w:rsidRPr="00B4737D" w:rsidRDefault="00B4737D" w:rsidP="00725A13">
      <w:pPr>
        <w:ind w:left="851"/>
        <w:rPr>
          <w:iCs/>
          <w:sz w:val="24"/>
          <w:szCs w:val="24"/>
          <w:lang w:val="en-GB"/>
        </w:rPr>
      </w:pPr>
      <w:r w:rsidRPr="00B4737D">
        <w:rPr>
          <w:iCs/>
          <w:sz w:val="24"/>
          <w:szCs w:val="24"/>
          <w:lang w:val="en-GB"/>
        </w:rPr>
        <w:t>Similarly, results from apixaban paediatric PK/PD assessment indicate a linear relationship between</w:t>
      </w:r>
      <w:r w:rsidR="00B46CF9">
        <w:rPr>
          <w:iCs/>
          <w:sz w:val="24"/>
          <w:szCs w:val="24"/>
          <w:lang w:val="en-GB"/>
        </w:rPr>
        <w:t xml:space="preserve"> </w:t>
      </w:r>
      <w:r w:rsidRPr="00B4737D">
        <w:rPr>
          <w:iCs/>
          <w:sz w:val="24"/>
          <w:szCs w:val="24"/>
          <w:lang w:val="en-GB"/>
        </w:rPr>
        <w:t>apixaban concentration and AXA. This is consistent with the previously documented relationship in</w:t>
      </w:r>
      <w:r w:rsidR="00B46CF9">
        <w:rPr>
          <w:iCs/>
          <w:sz w:val="24"/>
          <w:szCs w:val="24"/>
          <w:lang w:val="en-GB"/>
        </w:rPr>
        <w:t xml:space="preserve"> </w:t>
      </w:r>
      <w:r w:rsidRPr="00B4737D">
        <w:rPr>
          <w:iCs/>
          <w:sz w:val="24"/>
          <w:szCs w:val="24"/>
          <w:lang w:val="en-GB"/>
        </w:rPr>
        <w:t>adults.</w:t>
      </w:r>
    </w:p>
    <w:p w14:paraId="7A6DDE21" w14:textId="77777777" w:rsidR="007C5D2A" w:rsidRPr="001C1AA7" w:rsidRDefault="007C5D2A" w:rsidP="003E0341">
      <w:pPr>
        <w:tabs>
          <w:tab w:val="left" w:pos="851"/>
        </w:tabs>
        <w:ind w:left="851"/>
        <w:rPr>
          <w:sz w:val="24"/>
          <w:szCs w:val="24"/>
          <w:lang w:val="en-GB"/>
        </w:rPr>
      </w:pPr>
    </w:p>
    <w:p w14:paraId="63EF81B6" w14:textId="77777777" w:rsidR="007C5D2A" w:rsidRPr="001C1AA7" w:rsidRDefault="00180A12" w:rsidP="007C5D2A">
      <w:pPr>
        <w:tabs>
          <w:tab w:val="left" w:pos="851"/>
        </w:tabs>
        <w:ind w:left="851" w:hanging="851"/>
        <w:rPr>
          <w:b/>
          <w:sz w:val="24"/>
          <w:szCs w:val="24"/>
          <w:lang w:val="en-GB"/>
        </w:rPr>
      </w:pPr>
      <w:r w:rsidRPr="001C1AA7">
        <w:rPr>
          <w:b/>
          <w:sz w:val="24"/>
          <w:szCs w:val="24"/>
          <w:lang w:val="en-GB"/>
        </w:rPr>
        <w:t>5.3</w:t>
      </w:r>
      <w:r w:rsidRPr="001C1AA7">
        <w:rPr>
          <w:b/>
          <w:sz w:val="24"/>
          <w:szCs w:val="24"/>
          <w:lang w:val="en-GB"/>
        </w:rPr>
        <w:tab/>
        <w:t>Preclinical safety data</w:t>
      </w:r>
    </w:p>
    <w:p w14:paraId="6C57443A" w14:textId="77777777" w:rsidR="00B4737D" w:rsidRPr="00B4737D" w:rsidRDefault="00B4737D" w:rsidP="00725A13">
      <w:pPr>
        <w:ind w:left="851"/>
        <w:rPr>
          <w:sz w:val="24"/>
          <w:szCs w:val="24"/>
          <w:lang w:val="en-GB"/>
        </w:rPr>
      </w:pPr>
      <w:r w:rsidRPr="00B4737D">
        <w:rPr>
          <w:sz w:val="24"/>
          <w:szCs w:val="24"/>
          <w:lang w:val="en-GB"/>
        </w:rPr>
        <w:t xml:space="preserve">Preclinical data reveal no special hazard for humans based on conventional studies of safety pharmacology, repeated dose toxicity, genotoxicity, carcinogenic potential, fertility and embryo-foetal development and juvenile toxicity. </w:t>
      </w:r>
    </w:p>
    <w:p w14:paraId="6AE15A2E" w14:textId="77777777" w:rsidR="00B4737D" w:rsidRPr="00B4737D" w:rsidRDefault="00B4737D" w:rsidP="00725A13">
      <w:pPr>
        <w:ind w:left="851"/>
        <w:rPr>
          <w:sz w:val="24"/>
          <w:szCs w:val="24"/>
          <w:lang w:val="en-GB"/>
        </w:rPr>
      </w:pPr>
    </w:p>
    <w:p w14:paraId="624D9351" w14:textId="77777777" w:rsidR="00B4737D" w:rsidRPr="00B4737D" w:rsidRDefault="00B4737D" w:rsidP="00725A13">
      <w:pPr>
        <w:ind w:left="851"/>
        <w:rPr>
          <w:sz w:val="24"/>
          <w:szCs w:val="24"/>
          <w:lang w:val="en-GB"/>
        </w:rPr>
      </w:pPr>
      <w:r w:rsidRPr="00B4737D">
        <w:rPr>
          <w:sz w:val="24"/>
          <w:szCs w:val="24"/>
          <w:lang w:val="en-GB"/>
        </w:rPr>
        <w:t xml:space="preserve">The major observed effects in the repeated dose toxicity studies were those related to the pharmacodynamic action of apixaban on blood coagulation parameters. In the toxicity studies little to no increase of bleeding tendency was found. However, since this may be due to a lower sensitivity of the non-clinical species compared to humans, this result should be interpreted with caution when extrapolating to humans. </w:t>
      </w:r>
    </w:p>
    <w:p w14:paraId="551966F6" w14:textId="77777777" w:rsidR="00B4737D" w:rsidRPr="00B4737D" w:rsidRDefault="00B4737D" w:rsidP="00725A13">
      <w:pPr>
        <w:ind w:left="851"/>
        <w:rPr>
          <w:sz w:val="24"/>
          <w:szCs w:val="24"/>
          <w:lang w:val="en-GB"/>
        </w:rPr>
      </w:pPr>
    </w:p>
    <w:p w14:paraId="4A8FD1B8" w14:textId="77777777" w:rsidR="00B4737D" w:rsidRPr="00B4737D" w:rsidRDefault="00B4737D" w:rsidP="00725A13">
      <w:pPr>
        <w:ind w:left="851"/>
        <w:rPr>
          <w:sz w:val="24"/>
          <w:szCs w:val="24"/>
          <w:lang w:val="en-GB"/>
        </w:rPr>
      </w:pPr>
      <w:r w:rsidRPr="00B4737D">
        <w:rPr>
          <w:sz w:val="24"/>
          <w:szCs w:val="24"/>
          <w:lang w:val="en-GB"/>
        </w:rPr>
        <w:t>In rat milk, a high milk to maternal plasma ratio (Cmax about 8, AUC about 30) was found, possibly due to active transport into the milk.</w:t>
      </w:r>
    </w:p>
    <w:p w14:paraId="775D0104" w14:textId="77777777" w:rsidR="007C5D2A" w:rsidRPr="001C1AA7" w:rsidRDefault="007C5D2A" w:rsidP="003E0341">
      <w:pPr>
        <w:tabs>
          <w:tab w:val="left" w:pos="851"/>
        </w:tabs>
        <w:ind w:left="851"/>
        <w:rPr>
          <w:sz w:val="24"/>
          <w:szCs w:val="24"/>
          <w:lang w:val="en-GB"/>
        </w:rPr>
      </w:pPr>
    </w:p>
    <w:p w14:paraId="45FCE9C5" w14:textId="77777777" w:rsidR="007C5D2A" w:rsidRPr="001C1AA7" w:rsidRDefault="007C5D2A" w:rsidP="003E0341">
      <w:pPr>
        <w:tabs>
          <w:tab w:val="left" w:pos="851"/>
        </w:tabs>
        <w:ind w:left="851"/>
        <w:rPr>
          <w:sz w:val="24"/>
          <w:szCs w:val="24"/>
          <w:lang w:val="en-GB"/>
        </w:rPr>
      </w:pPr>
    </w:p>
    <w:p w14:paraId="12A0F306" w14:textId="77777777" w:rsidR="007C5D2A" w:rsidRPr="001C1AA7" w:rsidRDefault="009925C9" w:rsidP="007C5D2A">
      <w:pPr>
        <w:ind w:left="851" w:hanging="851"/>
        <w:rPr>
          <w:b/>
          <w:sz w:val="24"/>
          <w:szCs w:val="24"/>
          <w:lang w:val="en-GB"/>
        </w:rPr>
      </w:pPr>
      <w:r w:rsidRPr="001C1AA7">
        <w:rPr>
          <w:b/>
          <w:sz w:val="24"/>
          <w:szCs w:val="24"/>
          <w:lang w:val="en-GB"/>
        </w:rPr>
        <w:t>6.</w:t>
      </w:r>
      <w:r w:rsidR="007C5D2A" w:rsidRPr="001C1AA7">
        <w:rPr>
          <w:b/>
          <w:sz w:val="24"/>
          <w:szCs w:val="24"/>
          <w:lang w:val="en-GB"/>
        </w:rPr>
        <w:tab/>
        <w:t>PHARMACEUTICAL PARTICULARS</w:t>
      </w:r>
    </w:p>
    <w:p w14:paraId="4397F975" w14:textId="77777777" w:rsidR="007C5D2A" w:rsidRPr="001C1AA7" w:rsidRDefault="007C5D2A" w:rsidP="003E0341">
      <w:pPr>
        <w:tabs>
          <w:tab w:val="left" w:pos="851"/>
        </w:tabs>
        <w:ind w:left="851"/>
        <w:rPr>
          <w:sz w:val="24"/>
          <w:szCs w:val="24"/>
          <w:lang w:val="en-GB"/>
        </w:rPr>
      </w:pPr>
    </w:p>
    <w:p w14:paraId="3849D3E6" w14:textId="77777777" w:rsidR="007C5D2A" w:rsidRPr="001C1AA7" w:rsidRDefault="007C5D2A" w:rsidP="007C5D2A">
      <w:pPr>
        <w:ind w:left="851" w:hanging="851"/>
        <w:rPr>
          <w:b/>
          <w:sz w:val="24"/>
          <w:szCs w:val="24"/>
          <w:lang w:val="en-GB"/>
        </w:rPr>
      </w:pPr>
      <w:r w:rsidRPr="001C1AA7">
        <w:rPr>
          <w:b/>
          <w:sz w:val="24"/>
          <w:szCs w:val="24"/>
          <w:lang w:val="en-GB"/>
        </w:rPr>
        <w:t>6.1</w:t>
      </w:r>
      <w:r w:rsidRPr="001C1AA7">
        <w:rPr>
          <w:b/>
          <w:sz w:val="24"/>
          <w:szCs w:val="24"/>
          <w:lang w:val="en-GB"/>
        </w:rPr>
        <w:tab/>
        <w:t>List of excipients</w:t>
      </w:r>
    </w:p>
    <w:p w14:paraId="6C735DE8" w14:textId="77777777" w:rsidR="00B46CF9" w:rsidRDefault="00B46CF9" w:rsidP="00725A13">
      <w:pPr>
        <w:ind w:left="851"/>
        <w:rPr>
          <w:sz w:val="24"/>
          <w:szCs w:val="24"/>
          <w:u w:val="single"/>
          <w:lang w:val="en-GB"/>
        </w:rPr>
      </w:pPr>
    </w:p>
    <w:p w14:paraId="3270B6A2" w14:textId="7CCA001D" w:rsidR="00B4737D" w:rsidRPr="00B4737D" w:rsidRDefault="00B4737D" w:rsidP="00725A13">
      <w:pPr>
        <w:ind w:left="851"/>
        <w:rPr>
          <w:sz w:val="24"/>
          <w:szCs w:val="24"/>
          <w:u w:val="single"/>
          <w:lang w:val="en-GB"/>
        </w:rPr>
      </w:pPr>
      <w:r w:rsidRPr="00B4737D">
        <w:rPr>
          <w:sz w:val="24"/>
          <w:szCs w:val="24"/>
          <w:u w:val="single"/>
          <w:lang w:val="en-GB"/>
        </w:rPr>
        <w:t>Capsule content</w:t>
      </w:r>
    </w:p>
    <w:p w14:paraId="291B3421" w14:textId="77777777" w:rsidR="00B4737D" w:rsidRPr="00B4737D" w:rsidRDefault="00B4737D" w:rsidP="00725A13">
      <w:pPr>
        <w:ind w:left="851"/>
        <w:rPr>
          <w:sz w:val="24"/>
          <w:szCs w:val="24"/>
          <w:lang w:val="en-GB"/>
        </w:rPr>
      </w:pPr>
      <w:r w:rsidRPr="00B4737D">
        <w:rPr>
          <w:sz w:val="24"/>
          <w:szCs w:val="24"/>
          <w:lang w:val="en-GB"/>
        </w:rPr>
        <w:t>Lactose monohydrate</w:t>
      </w:r>
    </w:p>
    <w:p w14:paraId="13AB9036" w14:textId="77777777" w:rsidR="00B4737D" w:rsidRPr="00B4737D" w:rsidRDefault="00B4737D" w:rsidP="00725A13">
      <w:pPr>
        <w:ind w:left="851"/>
        <w:rPr>
          <w:sz w:val="24"/>
          <w:szCs w:val="24"/>
          <w:lang w:val="en-GB"/>
        </w:rPr>
      </w:pPr>
      <w:r w:rsidRPr="00B4737D">
        <w:rPr>
          <w:sz w:val="24"/>
          <w:szCs w:val="24"/>
          <w:lang w:val="en-GB"/>
        </w:rPr>
        <w:t>Microcrystalline cellulose (E460)</w:t>
      </w:r>
    </w:p>
    <w:p w14:paraId="37C82044" w14:textId="77777777" w:rsidR="00B4737D" w:rsidRPr="00B4737D" w:rsidRDefault="00B4737D" w:rsidP="00725A13">
      <w:pPr>
        <w:ind w:left="851"/>
        <w:rPr>
          <w:sz w:val="24"/>
          <w:szCs w:val="24"/>
          <w:lang w:val="en-GB"/>
        </w:rPr>
      </w:pPr>
      <w:r w:rsidRPr="00B4737D">
        <w:rPr>
          <w:sz w:val="24"/>
          <w:szCs w:val="24"/>
          <w:lang w:val="en-GB"/>
        </w:rPr>
        <w:t xml:space="preserve">Povidone </w:t>
      </w:r>
    </w:p>
    <w:p w14:paraId="138A9078" w14:textId="77777777" w:rsidR="00B4737D" w:rsidRPr="00B4737D" w:rsidRDefault="00B4737D" w:rsidP="00725A13">
      <w:pPr>
        <w:ind w:left="851"/>
        <w:rPr>
          <w:sz w:val="24"/>
          <w:szCs w:val="24"/>
          <w:lang w:val="en-GB"/>
        </w:rPr>
      </w:pPr>
      <w:r w:rsidRPr="00B4737D">
        <w:rPr>
          <w:sz w:val="24"/>
          <w:szCs w:val="24"/>
          <w:lang w:val="en-GB"/>
        </w:rPr>
        <w:t xml:space="preserve">Sodium </w:t>
      </w:r>
      <w:proofErr w:type="spellStart"/>
      <w:r w:rsidRPr="00B4737D">
        <w:rPr>
          <w:sz w:val="24"/>
          <w:szCs w:val="24"/>
          <w:lang w:val="en-GB"/>
        </w:rPr>
        <w:t>laurilsulfate</w:t>
      </w:r>
      <w:proofErr w:type="spellEnd"/>
    </w:p>
    <w:p w14:paraId="45D5152C" w14:textId="77777777" w:rsidR="00B4737D" w:rsidRPr="00B4737D" w:rsidRDefault="00B4737D" w:rsidP="00725A13">
      <w:pPr>
        <w:ind w:left="851"/>
        <w:rPr>
          <w:sz w:val="24"/>
          <w:szCs w:val="24"/>
          <w:lang w:val="en-GB"/>
        </w:rPr>
      </w:pPr>
    </w:p>
    <w:p w14:paraId="1A9A2110" w14:textId="77777777" w:rsidR="00B4737D" w:rsidRPr="00B4737D" w:rsidRDefault="00B4737D" w:rsidP="00725A13">
      <w:pPr>
        <w:ind w:left="851"/>
        <w:rPr>
          <w:sz w:val="24"/>
          <w:szCs w:val="24"/>
          <w:u w:val="single"/>
          <w:lang w:val="en-GB"/>
        </w:rPr>
      </w:pPr>
      <w:r w:rsidRPr="00B4737D">
        <w:rPr>
          <w:sz w:val="24"/>
          <w:szCs w:val="24"/>
          <w:u w:val="single"/>
          <w:lang w:val="en-GB"/>
        </w:rPr>
        <w:t>Capsule shell</w:t>
      </w:r>
    </w:p>
    <w:p w14:paraId="25F321C1" w14:textId="77777777" w:rsidR="00B4737D" w:rsidRPr="00B4737D" w:rsidRDefault="00B4737D" w:rsidP="00725A13">
      <w:pPr>
        <w:ind w:left="851"/>
        <w:rPr>
          <w:sz w:val="24"/>
          <w:szCs w:val="24"/>
          <w:lang w:val="en-GB"/>
        </w:rPr>
      </w:pPr>
      <w:r w:rsidRPr="00B4737D">
        <w:rPr>
          <w:sz w:val="24"/>
          <w:szCs w:val="24"/>
          <w:lang w:val="en-GB"/>
        </w:rPr>
        <w:t>Titanium dioxide (E171)</w:t>
      </w:r>
    </w:p>
    <w:p w14:paraId="7B62B2C4" w14:textId="77777777" w:rsidR="00B4737D" w:rsidRPr="00B4737D" w:rsidRDefault="00B4737D" w:rsidP="00725A13">
      <w:pPr>
        <w:ind w:left="851"/>
        <w:rPr>
          <w:sz w:val="24"/>
          <w:szCs w:val="24"/>
          <w:lang w:val="en-GB"/>
        </w:rPr>
      </w:pPr>
      <w:r w:rsidRPr="00B4737D">
        <w:rPr>
          <w:sz w:val="24"/>
          <w:szCs w:val="24"/>
          <w:lang w:val="en-GB"/>
        </w:rPr>
        <w:t>Yellow iron oxide (E172)</w:t>
      </w:r>
    </w:p>
    <w:p w14:paraId="1470F840" w14:textId="77777777" w:rsidR="00B4737D" w:rsidRPr="00B4737D" w:rsidRDefault="00B4737D" w:rsidP="00725A13">
      <w:pPr>
        <w:ind w:left="851"/>
        <w:rPr>
          <w:sz w:val="24"/>
          <w:szCs w:val="24"/>
          <w:lang w:val="en-GB"/>
        </w:rPr>
      </w:pPr>
      <w:r w:rsidRPr="00B4737D">
        <w:rPr>
          <w:sz w:val="24"/>
          <w:szCs w:val="24"/>
          <w:lang w:val="en-GB"/>
        </w:rPr>
        <w:t>Red iron oxide (E172)</w:t>
      </w:r>
    </w:p>
    <w:p w14:paraId="4CF06A38" w14:textId="77777777" w:rsidR="00B4737D" w:rsidRPr="00B4737D" w:rsidRDefault="00B4737D" w:rsidP="00725A13">
      <w:pPr>
        <w:ind w:left="851"/>
        <w:rPr>
          <w:sz w:val="24"/>
          <w:szCs w:val="24"/>
          <w:lang w:val="en-GB"/>
        </w:rPr>
      </w:pPr>
      <w:proofErr w:type="spellStart"/>
      <w:r w:rsidRPr="00B4737D">
        <w:rPr>
          <w:sz w:val="24"/>
          <w:szCs w:val="24"/>
          <w:lang w:val="en-GB"/>
        </w:rPr>
        <w:t>Gelatin</w:t>
      </w:r>
      <w:proofErr w:type="spellEnd"/>
    </w:p>
    <w:p w14:paraId="1DCB9200" w14:textId="77777777" w:rsidR="007C5D2A" w:rsidRPr="001C1AA7" w:rsidRDefault="007C5D2A" w:rsidP="003D727E">
      <w:pPr>
        <w:tabs>
          <w:tab w:val="left" w:pos="851"/>
        </w:tabs>
        <w:ind w:left="851"/>
        <w:rPr>
          <w:sz w:val="24"/>
          <w:szCs w:val="24"/>
          <w:lang w:val="en-GB"/>
        </w:rPr>
      </w:pPr>
    </w:p>
    <w:p w14:paraId="25ACC6FF" w14:textId="77777777" w:rsidR="007C5D2A" w:rsidRPr="001C1AA7" w:rsidRDefault="007C5D2A" w:rsidP="007C5D2A">
      <w:pPr>
        <w:ind w:left="851" w:hanging="851"/>
        <w:rPr>
          <w:b/>
          <w:sz w:val="24"/>
          <w:szCs w:val="24"/>
          <w:lang w:val="en-GB"/>
        </w:rPr>
      </w:pPr>
      <w:r w:rsidRPr="001C1AA7">
        <w:rPr>
          <w:b/>
          <w:sz w:val="24"/>
          <w:szCs w:val="24"/>
          <w:lang w:val="en-GB"/>
        </w:rPr>
        <w:t>6.2</w:t>
      </w:r>
      <w:r w:rsidRPr="001C1AA7">
        <w:rPr>
          <w:b/>
          <w:sz w:val="24"/>
          <w:szCs w:val="24"/>
          <w:lang w:val="en-GB"/>
        </w:rPr>
        <w:tab/>
        <w:t>Incompatibilities</w:t>
      </w:r>
    </w:p>
    <w:p w14:paraId="5BCC5D94" w14:textId="77777777" w:rsidR="00B4737D" w:rsidRPr="00B4737D" w:rsidRDefault="00B4737D" w:rsidP="00725A13">
      <w:pPr>
        <w:ind w:left="851"/>
        <w:rPr>
          <w:sz w:val="24"/>
          <w:szCs w:val="24"/>
          <w:lang w:val="en-GB"/>
        </w:rPr>
      </w:pPr>
      <w:r w:rsidRPr="00B4737D">
        <w:rPr>
          <w:sz w:val="24"/>
          <w:szCs w:val="24"/>
          <w:lang w:val="en-GB"/>
        </w:rPr>
        <w:t>Not applicable.</w:t>
      </w:r>
    </w:p>
    <w:p w14:paraId="6ABF6412" w14:textId="77777777" w:rsidR="007C5D2A" w:rsidRPr="001C1AA7" w:rsidRDefault="007C5D2A" w:rsidP="003E0341">
      <w:pPr>
        <w:tabs>
          <w:tab w:val="left" w:pos="851"/>
        </w:tabs>
        <w:ind w:left="851"/>
        <w:rPr>
          <w:sz w:val="24"/>
          <w:szCs w:val="24"/>
          <w:lang w:val="en-GB"/>
        </w:rPr>
      </w:pPr>
    </w:p>
    <w:p w14:paraId="4B6F053E" w14:textId="77777777" w:rsidR="007C5D2A" w:rsidRPr="001C1AA7" w:rsidRDefault="007C5D2A" w:rsidP="007C5D2A">
      <w:pPr>
        <w:ind w:left="851" w:hanging="851"/>
        <w:rPr>
          <w:b/>
          <w:sz w:val="24"/>
          <w:szCs w:val="24"/>
          <w:lang w:val="en-GB"/>
        </w:rPr>
      </w:pPr>
      <w:r w:rsidRPr="001C1AA7">
        <w:rPr>
          <w:b/>
          <w:sz w:val="24"/>
          <w:szCs w:val="24"/>
          <w:lang w:val="en-GB"/>
        </w:rPr>
        <w:t>6.3</w:t>
      </w:r>
      <w:r w:rsidRPr="001C1AA7">
        <w:rPr>
          <w:b/>
          <w:sz w:val="24"/>
          <w:szCs w:val="24"/>
          <w:lang w:val="en-GB"/>
        </w:rPr>
        <w:tab/>
        <w:t>Shelf</w:t>
      </w:r>
      <w:r w:rsidR="00B45DC5" w:rsidRPr="001C1AA7">
        <w:rPr>
          <w:b/>
          <w:sz w:val="24"/>
          <w:szCs w:val="24"/>
          <w:lang w:val="en-GB"/>
        </w:rPr>
        <w:t xml:space="preserve"> </w:t>
      </w:r>
      <w:r w:rsidRPr="001C1AA7">
        <w:rPr>
          <w:b/>
          <w:sz w:val="24"/>
          <w:szCs w:val="24"/>
          <w:lang w:val="en-GB"/>
        </w:rPr>
        <w:t>life</w:t>
      </w:r>
    </w:p>
    <w:p w14:paraId="1EDCA48E" w14:textId="77777777" w:rsidR="00B4737D" w:rsidRPr="00B4737D" w:rsidRDefault="00B4737D" w:rsidP="00725A13">
      <w:pPr>
        <w:ind w:left="851"/>
        <w:rPr>
          <w:sz w:val="24"/>
          <w:szCs w:val="24"/>
          <w:lang w:val="en-GB"/>
        </w:rPr>
      </w:pPr>
      <w:r w:rsidRPr="00B4737D">
        <w:rPr>
          <w:sz w:val="24"/>
          <w:szCs w:val="24"/>
          <w:lang w:val="en-GB"/>
        </w:rPr>
        <w:t>Bottle: 2 years</w:t>
      </w:r>
    </w:p>
    <w:p w14:paraId="11A1961C" w14:textId="77777777" w:rsidR="00B4737D" w:rsidRPr="00B4737D" w:rsidRDefault="00B4737D" w:rsidP="00725A13">
      <w:pPr>
        <w:ind w:left="851"/>
        <w:rPr>
          <w:sz w:val="24"/>
          <w:szCs w:val="24"/>
          <w:lang w:val="en-GB"/>
        </w:rPr>
      </w:pPr>
      <w:r w:rsidRPr="00B4737D">
        <w:rPr>
          <w:sz w:val="24"/>
          <w:szCs w:val="24"/>
          <w:lang w:val="en-GB"/>
        </w:rPr>
        <w:t>Blister: 21 months</w:t>
      </w:r>
    </w:p>
    <w:p w14:paraId="283CD83E" w14:textId="77777777" w:rsidR="007C5D2A" w:rsidRPr="001C1AA7" w:rsidRDefault="007C5D2A" w:rsidP="003E0341">
      <w:pPr>
        <w:tabs>
          <w:tab w:val="left" w:pos="851"/>
        </w:tabs>
        <w:ind w:left="851"/>
        <w:rPr>
          <w:sz w:val="24"/>
          <w:szCs w:val="24"/>
          <w:lang w:val="en-GB"/>
        </w:rPr>
      </w:pPr>
    </w:p>
    <w:p w14:paraId="41408955" w14:textId="77777777" w:rsidR="007C5D2A" w:rsidRPr="001C1AA7" w:rsidRDefault="007C5D2A" w:rsidP="007C5D2A">
      <w:pPr>
        <w:ind w:left="851" w:hanging="851"/>
        <w:rPr>
          <w:b/>
          <w:sz w:val="24"/>
          <w:szCs w:val="24"/>
          <w:lang w:val="en-GB"/>
        </w:rPr>
      </w:pPr>
      <w:r w:rsidRPr="001C1AA7">
        <w:rPr>
          <w:b/>
          <w:sz w:val="24"/>
          <w:szCs w:val="24"/>
          <w:lang w:val="en-GB"/>
        </w:rPr>
        <w:t>6.4</w:t>
      </w:r>
      <w:r w:rsidRPr="001C1AA7">
        <w:rPr>
          <w:b/>
          <w:sz w:val="24"/>
          <w:szCs w:val="24"/>
          <w:lang w:val="en-GB"/>
        </w:rPr>
        <w:tab/>
        <w:t>Special precautions for storage</w:t>
      </w:r>
    </w:p>
    <w:p w14:paraId="0C5B3E4D" w14:textId="21300556" w:rsidR="00B4737D" w:rsidRPr="00B4737D" w:rsidRDefault="00B4737D" w:rsidP="00B46CF9">
      <w:pPr>
        <w:tabs>
          <w:tab w:val="left" w:pos="1701"/>
        </w:tabs>
        <w:ind w:left="851"/>
        <w:rPr>
          <w:sz w:val="24"/>
          <w:szCs w:val="24"/>
          <w:lang w:val="en-GB"/>
        </w:rPr>
      </w:pPr>
      <w:r w:rsidRPr="00B4737D">
        <w:rPr>
          <w:sz w:val="24"/>
          <w:szCs w:val="24"/>
          <w:lang w:val="en-GB"/>
        </w:rPr>
        <w:t xml:space="preserve">Bottle: </w:t>
      </w:r>
      <w:r w:rsidRPr="00B4737D">
        <w:rPr>
          <w:iCs/>
          <w:sz w:val="24"/>
          <w:szCs w:val="24"/>
          <w:lang w:val="en-GB"/>
        </w:rPr>
        <w:t xml:space="preserve"> </w:t>
      </w:r>
      <w:bookmarkStart w:id="5" w:name="_Hlk220673519"/>
      <w:r w:rsidR="00B46CF9">
        <w:rPr>
          <w:iCs/>
          <w:sz w:val="24"/>
          <w:szCs w:val="24"/>
          <w:lang w:val="en-GB"/>
        </w:rPr>
        <w:tab/>
      </w:r>
      <w:r w:rsidRPr="00B4737D">
        <w:rPr>
          <w:iCs/>
          <w:sz w:val="24"/>
          <w:szCs w:val="24"/>
          <w:lang w:val="en-GB"/>
        </w:rPr>
        <w:t>Store in the original package to protect from moisture</w:t>
      </w:r>
      <w:bookmarkEnd w:id="5"/>
      <w:r w:rsidRPr="00B4737D">
        <w:rPr>
          <w:iCs/>
          <w:sz w:val="24"/>
          <w:szCs w:val="24"/>
          <w:lang w:val="en-GB"/>
        </w:rPr>
        <w:t>.</w:t>
      </w:r>
    </w:p>
    <w:p w14:paraId="2371DA87" w14:textId="3F5DE098" w:rsidR="00B4737D" w:rsidRPr="00B4737D" w:rsidRDefault="00B4737D" w:rsidP="00B46CF9">
      <w:pPr>
        <w:tabs>
          <w:tab w:val="left" w:pos="1701"/>
        </w:tabs>
        <w:ind w:left="851"/>
        <w:rPr>
          <w:sz w:val="24"/>
          <w:szCs w:val="24"/>
          <w:lang w:val="en-GB"/>
        </w:rPr>
      </w:pPr>
      <w:r w:rsidRPr="00B4737D">
        <w:rPr>
          <w:sz w:val="24"/>
          <w:szCs w:val="24"/>
          <w:lang w:val="en-GB"/>
        </w:rPr>
        <w:t xml:space="preserve">Blister: </w:t>
      </w:r>
      <w:r w:rsidR="00B46CF9">
        <w:rPr>
          <w:sz w:val="24"/>
          <w:szCs w:val="24"/>
          <w:lang w:val="en-GB"/>
        </w:rPr>
        <w:tab/>
      </w:r>
      <w:r w:rsidRPr="00B4737D">
        <w:rPr>
          <w:sz w:val="24"/>
          <w:szCs w:val="24"/>
          <w:lang w:val="en-GB"/>
        </w:rPr>
        <w:t>Do not store above 30</w:t>
      </w:r>
      <w:r w:rsidR="008F2ECE">
        <w:rPr>
          <w:sz w:val="24"/>
          <w:szCs w:val="24"/>
          <w:lang w:val="en-GB"/>
        </w:rPr>
        <w:t xml:space="preserve"> </w:t>
      </w:r>
      <w:r w:rsidRPr="00B4737D">
        <w:rPr>
          <w:sz w:val="24"/>
          <w:szCs w:val="24"/>
          <w:lang w:val="en-GB"/>
        </w:rPr>
        <w:t>°C.</w:t>
      </w:r>
      <w:r w:rsidRPr="00B4737D">
        <w:rPr>
          <w:iCs/>
          <w:sz w:val="24"/>
          <w:szCs w:val="24"/>
          <w:lang w:val="en-GB"/>
        </w:rPr>
        <w:t xml:space="preserve"> Store in the original package to protect from moisture.</w:t>
      </w:r>
    </w:p>
    <w:p w14:paraId="5585EAAA" w14:textId="77777777" w:rsidR="007C5D2A" w:rsidRPr="001C1AA7" w:rsidRDefault="007C5D2A" w:rsidP="003E0341">
      <w:pPr>
        <w:tabs>
          <w:tab w:val="left" w:pos="851"/>
        </w:tabs>
        <w:ind w:left="851"/>
        <w:rPr>
          <w:sz w:val="24"/>
          <w:szCs w:val="24"/>
          <w:lang w:val="en-GB"/>
        </w:rPr>
      </w:pPr>
    </w:p>
    <w:p w14:paraId="0D885DEB" w14:textId="77777777" w:rsidR="007C5D2A" w:rsidRPr="001C1AA7" w:rsidRDefault="007C5D2A" w:rsidP="007C5D2A">
      <w:pPr>
        <w:ind w:left="851" w:hanging="851"/>
        <w:rPr>
          <w:b/>
          <w:sz w:val="24"/>
          <w:szCs w:val="24"/>
          <w:lang w:val="en-GB"/>
        </w:rPr>
      </w:pPr>
      <w:r w:rsidRPr="001C1AA7">
        <w:rPr>
          <w:b/>
          <w:sz w:val="24"/>
          <w:szCs w:val="24"/>
          <w:lang w:val="en-GB"/>
        </w:rPr>
        <w:t>6.5</w:t>
      </w:r>
      <w:r w:rsidRPr="001C1AA7">
        <w:rPr>
          <w:b/>
          <w:sz w:val="24"/>
          <w:szCs w:val="24"/>
          <w:lang w:val="en-GB"/>
        </w:rPr>
        <w:tab/>
        <w:t>Nature and contents of container</w:t>
      </w:r>
    </w:p>
    <w:p w14:paraId="2F91BC60" w14:textId="77777777" w:rsidR="00B4737D" w:rsidRPr="00B4737D" w:rsidRDefault="00B4737D" w:rsidP="00725A13">
      <w:pPr>
        <w:ind w:left="851"/>
        <w:rPr>
          <w:sz w:val="24"/>
          <w:szCs w:val="24"/>
          <w:lang w:val="en-GB"/>
        </w:rPr>
      </w:pPr>
      <w:bookmarkStart w:id="6" w:name="_Hlk176180645"/>
      <w:r w:rsidRPr="00B4737D">
        <w:rPr>
          <w:sz w:val="24"/>
          <w:szCs w:val="24"/>
          <w:lang w:val="en-GB"/>
        </w:rPr>
        <w:t>Opaque white HDPE bottle of 60 hard capsules.</w:t>
      </w:r>
    </w:p>
    <w:p w14:paraId="04F47623" w14:textId="792B3542" w:rsidR="00B4737D" w:rsidRPr="00B4737D" w:rsidRDefault="00B4737D" w:rsidP="00725A13">
      <w:pPr>
        <w:ind w:left="851"/>
        <w:rPr>
          <w:sz w:val="24"/>
          <w:szCs w:val="24"/>
          <w:lang w:val="en-GB"/>
        </w:rPr>
      </w:pPr>
      <w:r w:rsidRPr="00B4737D">
        <w:rPr>
          <w:sz w:val="24"/>
          <w:szCs w:val="24"/>
          <w:lang w:val="en-GB"/>
        </w:rPr>
        <w:lastRenderedPageBreak/>
        <w:t>Transparent PVC-PVDC/Aluminium blisters perforated or not. Cartons of 14, 14</w:t>
      </w:r>
      <w:r w:rsidR="00B46CF9">
        <w:rPr>
          <w:sz w:val="24"/>
          <w:szCs w:val="24"/>
          <w:lang w:val="en-GB"/>
        </w:rPr>
        <w:t>×</w:t>
      </w:r>
      <w:r w:rsidRPr="00B4737D">
        <w:rPr>
          <w:sz w:val="24"/>
          <w:szCs w:val="24"/>
          <w:lang w:val="en-GB"/>
        </w:rPr>
        <w:t>1, 20, 20</w:t>
      </w:r>
      <w:r w:rsidR="00B46CF9">
        <w:rPr>
          <w:sz w:val="24"/>
          <w:szCs w:val="24"/>
          <w:lang w:val="en-GB"/>
        </w:rPr>
        <w:t>×</w:t>
      </w:r>
      <w:r w:rsidRPr="00B4737D">
        <w:rPr>
          <w:sz w:val="24"/>
          <w:szCs w:val="24"/>
          <w:lang w:val="en-GB"/>
        </w:rPr>
        <w:t>1, 28, 28</w:t>
      </w:r>
      <w:r w:rsidR="00B46CF9">
        <w:rPr>
          <w:sz w:val="24"/>
          <w:szCs w:val="24"/>
          <w:lang w:val="en-GB"/>
        </w:rPr>
        <w:t>×</w:t>
      </w:r>
      <w:r w:rsidRPr="00B4737D">
        <w:rPr>
          <w:sz w:val="24"/>
          <w:szCs w:val="24"/>
          <w:lang w:val="en-GB"/>
        </w:rPr>
        <w:t>1, 56, 56</w:t>
      </w:r>
      <w:r w:rsidR="00B46CF9">
        <w:rPr>
          <w:sz w:val="24"/>
          <w:szCs w:val="24"/>
          <w:lang w:val="en-GB"/>
        </w:rPr>
        <w:t>×</w:t>
      </w:r>
      <w:r w:rsidRPr="00B4737D">
        <w:rPr>
          <w:sz w:val="24"/>
          <w:szCs w:val="24"/>
          <w:lang w:val="en-GB"/>
        </w:rPr>
        <w:t>1, 60, 60</w:t>
      </w:r>
      <w:r w:rsidR="00B46CF9">
        <w:rPr>
          <w:sz w:val="24"/>
          <w:szCs w:val="24"/>
          <w:lang w:val="en-GB"/>
        </w:rPr>
        <w:t>×</w:t>
      </w:r>
      <w:r w:rsidRPr="00B4737D">
        <w:rPr>
          <w:sz w:val="24"/>
          <w:szCs w:val="24"/>
          <w:lang w:val="en-GB"/>
        </w:rPr>
        <w:t>1, 100, 100</w:t>
      </w:r>
      <w:r w:rsidR="00B46CF9">
        <w:rPr>
          <w:sz w:val="24"/>
          <w:szCs w:val="24"/>
          <w:lang w:val="en-GB"/>
        </w:rPr>
        <w:t>×</w:t>
      </w:r>
      <w:r w:rsidRPr="00B4737D">
        <w:rPr>
          <w:sz w:val="24"/>
          <w:szCs w:val="24"/>
          <w:lang w:val="en-GB"/>
        </w:rPr>
        <w:t>1,168, 168</w:t>
      </w:r>
      <w:r w:rsidR="00B46CF9">
        <w:rPr>
          <w:sz w:val="24"/>
          <w:szCs w:val="24"/>
          <w:lang w:val="en-GB"/>
        </w:rPr>
        <w:t>×</w:t>
      </w:r>
      <w:r w:rsidRPr="00B4737D">
        <w:rPr>
          <w:sz w:val="24"/>
          <w:szCs w:val="24"/>
          <w:lang w:val="en-GB"/>
        </w:rPr>
        <w:t>1, 200 and 200</w:t>
      </w:r>
      <w:r w:rsidR="00B46CF9">
        <w:rPr>
          <w:sz w:val="24"/>
          <w:szCs w:val="24"/>
          <w:lang w:val="en-GB"/>
        </w:rPr>
        <w:t>×</w:t>
      </w:r>
      <w:r w:rsidRPr="00B4737D">
        <w:rPr>
          <w:sz w:val="24"/>
          <w:szCs w:val="24"/>
          <w:lang w:val="en-GB"/>
        </w:rPr>
        <w:t>1 hard capsules.</w:t>
      </w:r>
    </w:p>
    <w:bookmarkEnd w:id="6"/>
    <w:p w14:paraId="3164C63A" w14:textId="77777777" w:rsidR="00B4737D" w:rsidRPr="00B4737D" w:rsidRDefault="00B4737D" w:rsidP="00725A13">
      <w:pPr>
        <w:ind w:left="851"/>
        <w:rPr>
          <w:sz w:val="24"/>
          <w:szCs w:val="24"/>
          <w:lang w:val="en-GB"/>
        </w:rPr>
      </w:pPr>
      <w:r w:rsidRPr="00B4737D">
        <w:rPr>
          <w:sz w:val="24"/>
          <w:szCs w:val="24"/>
          <w:lang w:val="en-GB"/>
        </w:rPr>
        <w:t>Not all pack sizes may be marketed.</w:t>
      </w:r>
    </w:p>
    <w:p w14:paraId="47C0A0DE" w14:textId="77777777" w:rsidR="007C5D2A" w:rsidRPr="001C1AA7" w:rsidRDefault="007C5D2A" w:rsidP="003E0341">
      <w:pPr>
        <w:tabs>
          <w:tab w:val="left" w:pos="851"/>
        </w:tabs>
        <w:ind w:left="851"/>
        <w:rPr>
          <w:sz w:val="24"/>
          <w:szCs w:val="24"/>
          <w:lang w:val="en-GB"/>
        </w:rPr>
      </w:pPr>
    </w:p>
    <w:p w14:paraId="43E83618" w14:textId="77777777" w:rsidR="007C5D2A" w:rsidRPr="001C1AA7" w:rsidRDefault="007C5D2A" w:rsidP="007C5D2A">
      <w:pPr>
        <w:ind w:left="851" w:hanging="851"/>
        <w:rPr>
          <w:b/>
          <w:sz w:val="24"/>
          <w:szCs w:val="24"/>
          <w:lang w:val="en-GB"/>
        </w:rPr>
      </w:pPr>
      <w:r w:rsidRPr="001C1AA7">
        <w:rPr>
          <w:b/>
          <w:sz w:val="24"/>
          <w:szCs w:val="24"/>
          <w:lang w:val="en-GB"/>
        </w:rPr>
        <w:t>6.6</w:t>
      </w:r>
      <w:r w:rsidRPr="001C1AA7">
        <w:rPr>
          <w:b/>
          <w:sz w:val="24"/>
          <w:szCs w:val="24"/>
          <w:lang w:val="en-GB"/>
        </w:rPr>
        <w:tab/>
        <w:t>Special precautions for disposal and other handling</w:t>
      </w:r>
    </w:p>
    <w:p w14:paraId="00701C9D" w14:textId="77777777" w:rsidR="00B4737D" w:rsidRPr="00B4737D" w:rsidRDefault="00B4737D" w:rsidP="00B4737D">
      <w:pPr>
        <w:tabs>
          <w:tab w:val="left" w:pos="851"/>
        </w:tabs>
        <w:ind w:left="851"/>
        <w:rPr>
          <w:bCs/>
          <w:iCs/>
          <w:sz w:val="24"/>
          <w:szCs w:val="24"/>
          <w:lang w:val="en-GB"/>
        </w:rPr>
      </w:pPr>
      <w:r w:rsidRPr="00B4737D">
        <w:rPr>
          <w:bCs/>
          <w:iCs/>
          <w:sz w:val="24"/>
          <w:szCs w:val="24"/>
          <w:lang w:val="en-GB"/>
        </w:rPr>
        <w:t>Instructions for the preparation and administration through nasogastric tube (NG):</w:t>
      </w:r>
    </w:p>
    <w:p w14:paraId="680668E8" w14:textId="77777777" w:rsidR="00B4737D" w:rsidRPr="00B4737D" w:rsidRDefault="00B4737D" w:rsidP="00725A13">
      <w:pPr>
        <w:numPr>
          <w:ilvl w:val="0"/>
          <w:numId w:val="9"/>
        </w:numPr>
        <w:ind w:left="1276" w:hanging="425"/>
        <w:rPr>
          <w:iCs/>
          <w:sz w:val="24"/>
          <w:szCs w:val="24"/>
          <w:lang w:val="en-GB"/>
        </w:rPr>
      </w:pPr>
      <w:r w:rsidRPr="00B4737D">
        <w:rPr>
          <w:iCs/>
          <w:sz w:val="24"/>
          <w:szCs w:val="24"/>
          <w:lang w:val="en-GB"/>
        </w:rPr>
        <w:t xml:space="preserve">Prepare the NG tube (polyurethane, silicone or polyvinylchloride tube </w:t>
      </w:r>
      <w:r w:rsidRPr="00B4737D">
        <w:rPr>
          <w:sz w:val="24"/>
          <w:szCs w:val="24"/>
          <w:lang w:val="en-GB"/>
        </w:rPr>
        <w:t>from size 8 Fr to 14 Fr, up to 110 cm).</w:t>
      </w:r>
    </w:p>
    <w:p w14:paraId="58F37D20" w14:textId="77777777" w:rsidR="00B4737D" w:rsidRPr="00B4737D" w:rsidRDefault="00B4737D" w:rsidP="00725A13">
      <w:pPr>
        <w:numPr>
          <w:ilvl w:val="0"/>
          <w:numId w:val="9"/>
        </w:numPr>
        <w:ind w:left="1276" w:hanging="425"/>
        <w:rPr>
          <w:iCs/>
          <w:sz w:val="24"/>
          <w:szCs w:val="24"/>
          <w:lang w:val="en-GB"/>
        </w:rPr>
      </w:pPr>
      <w:r w:rsidRPr="00B4737D">
        <w:rPr>
          <w:iCs/>
          <w:sz w:val="24"/>
          <w:szCs w:val="24"/>
          <w:lang w:val="en-GB"/>
        </w:rPr>
        <w:t>Open the capsule and transfer the pellets into a clean container with 60 mL of water (or 5% glucose in water).</w:t>
      </w:r>
    </w:p>
    <w:p w14:paraId="101408B3" w14:textId="77777777" w:rsidR="00B4737D" w:rsidRPr="00B4737D" w:rsidRDefault="00B4737D" w:rsidP="00725A13">
      <w:pPr>
        <w:numPr>
          <w:ilvl w:val="0"/>
          <w:numId w:val="9"/>
        </w:numPr>
        <w:ind w:left="1276" w:hanging="425"/>
        <w:rPr>
          <w:sz w:val="24"/>
          <w:szCs w:val="24"/>
          <w:lang w:val="en-GB"/>
        </w:rPr>
      </w:pPr>
      <w:r w:rsidRPr="00B4737D">
        <w:rPr>
          <w:iCs/>
          <w:sz w:val="24"/>
          <w:szCs w:val="24"/>
          <w:lang w:val="en-GB"/>
        </w:rPr>
        <w:t>Transfer the suspension into a syringe.</w:t>
      </w:r>
      <w:bookmarkStart w:id="7" w:name="_Hlk208328320"/>
      <w:r w:rsidRPr="00B4737D">
        <w:rPr>
          <w:sz w:val="24"/>
          <w:szCs w:val="24"/>
          <w:lang w:val="en-GB"/>
        </w:rPr>
        <w:t xml:space="preserve"> If sedimentation occurs, gently rotate or swirl the syringe for at least 5 seconds to re-suspend the pellets prior to administration. Do not shake vigorously.</w:t>
      </w:r>
      <w:bookmarkEnd w:id="7"/>
    </w:p>
    <w:p w14:paraId="6B9E66DC" w14:textId="77777777" w:rsidR="00B4737D" w:rsidRPr="00B4737D" w:rsidRDefault="00B4737D" w:rsidP="00725A13">
      <w:pPr>
        <w:numPr>
          <w:ilvl w:val="0"/>
          <w:numId w:val="9"/>
        </w:numPr>
        <w:ind w:left="1276" w:hanging="425"/>
        <w:rPr>
          <w:iCs/>
          <w:sz w:val="24"/>
          <w:szCs w:val="24"/>
          <w:lang w:val="en-GB"/>
        </w:rPr>
      </w:pPr>
      <w:r w:rsidRPr="00B4737D">
        <w:rPr>
          <w:iCs/>
          <w:sz w:val="24"/>
          <w:szCs w:val="24"/>
          <w:lang w:val="en-GB"/>
        </w:rPr>
        <w:t>Insert the syringe plunger and rotate gently before pushing the suspension through the NG tube.</w:t>
      </w:r>
    </w:p>
    <w:p w14:paraId="36DCE9BA" w14:textId="77777777" w:rsidR="00B4737D" w:rsidRPr="00B4737D" w:rsidRDefault="00B4737D" w:rsidP="00725A13">
      <w:pPr>
        <w:numPr>
          <w:ilvl w:val="0"/>
          <w:numId w:val="9"/>
        </w:numPr>
        <w:ind w:left="1276" w:hanging="425"/>
        <w:rPr>
          <w:iCs/>
          <w:sz w:val="24"/>
          <w:szCs w:val="24"/>
          <w:lang w:val="en-GB"/>
        </w:rPr>
      </w:pPr>
      <w:r w:rsidRPr="00B4737D">
        <w:rPr>
          <w:iCs/>
          <w:sz w:val="24"/>
          <w:szCs w:val="24"/>
          <w:lang w:val="en-GB"/>
        </w:rPr>
        <w:t>Flush the syringe with additional amount of water until no granules remain in the syringe (at least 15 mL).</w:t>
      </w:r>
    </w:p>
    <w:p w14:paraId="53FF5C4F" w14:textId="77777777" w:rsidR="00B4737D" w:rsidRPr="00B4737D" w:rsidRDefault="00B4737D" w:rsidP="00725A13">
      <w:pPr>
        <w:ind w:left="851"/>
        <w:rPr>
          <w:sz w:val="24"/>
          <w:szCs w:val="24"/>
          <w:lang w:val="en-GB"/>
        </w:rPr>
      </w:pPr>
    </w:p>
    <w:p w14:paraId="06853771" w14:textId="77777777" w:rsidR="00B4737D" w:rsidRPr="00B4737D" w:rsidRDefault="00B4737D" w:rsidP="00725A13">
      <w:pPr>
        <w:ind w:left="851"/>
        <w:rPr>
          <w:sz w:val="24"/>
          <w:szCs w:val="24"/>
          <w:lang w:val="en-GB"/>
        </w:rPr>
      </w:pPr>
      <w:r w:rsidRPr="00B4737D">
        <w:rPr>
          <w:sz w:val="24"/>
          <w:szCs w:val="24"/>
          <w:lang w:val="en-GB"/>
        </w:rPr>
        <w:t>Any unused medicinal product or waste material should be disposed of in accordance with local requirements.</w:t>
      </w:r>
    </w:p>
    <w:p w14:paraId="6EC49243" w14:textId="77777777" w:rsidR="007C5D2A" w:rsidRPr="001C1AA7" w:rsidRDefault="007C5D2A" w:rsidP="00AB4376">
      <w:pPr>
        <w:tabs>
          <w:tab w:val="left" w:pos="851"/>
        </w:tabs>
        <w:ind w:left="851"/>
        <w:rPr>
          <w:sz w:val="24"/>
          <w:szCs w:val="24"/>
          <w:lang w:val="en-GB"/>
        </w:rPr>
      </w:pPr>
    </w:p>
    <w:p w14:paraId="062C0556" w14:textId="77777777" w:rsidR="007C5D2A" w:rsidRPr="001C1AA7" w:rsidRDefault="007C5D2A" w:rsidP="007C5D2A">
      <w:pPr>
        <w:tabs>
          <w:tab w:val="left" w:pos="851"/>
        </w:tabs>
        <w:ind w:left="851" w:hanging="851"/>
        <w:jc w:val="both"/>
        <w:rPr>
          <w:b/>
          <w:sz w:val="24"/>
          <w:szCs w:val="24"/>
          <w:lang w:val="en-GB"/>
        </w:rPr>
      </w:pPr>
      <w:r w:rsidRPr="001C1AA7">
        <w:rPr>
          <w:b/>
          <w:sz w:val="24"/>
          <w:szCs w:val="24"/>
          <w:lang w:val="en-GB"/>
        </w:rPr>
        <w:t>7.</w:t>
      </w:r>
      <w:r w:rsidRPr="001C1AA7">
        <w:rPr>
          <w:b/>
          <w:sz w:val="24"/>
          <w:szCs w:val="24"/>
          <w:lang w:val="en-GB"/>
        </w:rPr>
        <w:tab/>
        <w:t>MARKETING AUTHORISATION HOLDER</w:t>
      </w:r>
    </w:p>
    <w:p w14:paraId="1EE394F8" w14:textId="77777777" w:rsidR="00B4737D" w:rsidRPr="001C1AA7" w:rsidRDefault="00B4737D" w:rsidP="00725A13">
      <w:pPr>
        <w:ind w:left="851"/>
        <w:jc w:val="both"/>
        <w:rPr>
          <w:sz w:val="24"/>
          <w:szCs w:val="24"/>
          <w:lang w:val="en-GB"/>
        </w:rPr>
      </w:pPr>
      <w:r w:rsidRPr="001C1AA7">
        <w:rPr>
          <w:sz w:val="24"/>
          <w:szCs w:val="24"/>
          <w:lang w:val="en-GB"/>
        </w:rPr>
        <w:t>Laboratoires S.M.B.</w:t>
      </w:r>
    </w:p>
    <w:p w14:paraId="1BD6A6E4" w14:textId="77777777" w:rsidR="00B4737D" w:rsidRPr="001C1AA7" w:rsidRDefault="00B4737D" w:rsidP="00725A13">
      <w:pPr>
        <w:ind w:left="851"/>
        <w:jc w:val="both"/>
        <w:rPr>
          <w:sz w:val="24"/>
          <w:szCs w:val="24"/>
          <w:lang w:val="en-GB"/>
        </w:rPr>
      </w:pPr>
      <w:r w:rsidRPr="001C1AA7">
        <w:rPr>
          <w:sz w:val="24"/>
          <w:szCs w:val="24"/>
          <w:lang w:val="en-GB"/>
        </w:rPr>
        <w:t>Rue De La Pastorale 26-28</w:t>
      </w:r>
    </w:p>
    <w:p w14:paraId="14CD4688" w14:textId="77777777" w:rsidR="00B4737D" w:rsidRPr="001C1AA7" w:rsidRDefault="00B4737D" w:rsidP="00725A13">
      <w:pPr>
        <w:ind w:left="851"/>
        <w:jc w:val="both"/>
        <w:rPr>
          <w:sz w:val="24"/>
          <w:szCs w:val="24"/>
          <w:lang w:val="en-GB"/>
        </w:rPr>
      </w:pPr>
      <w:r w:rsidRPr="001C1AA7">
        <w:rPr>
          <w:sz w:val="24"/>
          <w:szCs w:val="24"/>
          <w:lang w:val="en-GB"/>
        </w:rPr>
        <w:t>1080 Molenbeek-Saint-Jean</w:t>
      </w:r>
    </w:p>
    <w:p w14:paraId="221790BF" w14:textId="77777777" w:rsidR="00B4737D" w:rsidRPr="001C1AA7" w:rsidRDefault="00B4737D" w:rsidP="00725A13">
      <w:pPr>
        <w:ind w:left="851"/>
        <w:jc w:val="both"/>
        <w:rPr>
          <w:sz w:val="24"/>
          <w:szCs w:val="24"/>
          <w:lang w:val="en-GB"/>
        </w:rPr>
      </w:pPr>
      <w:r w:rsidRPr="001C1AA7">
        <w:rPr>
          <w:sz w:val="24"/>
          <w:szCs w:val="24"/>
          <w:lang w:val="en-GB"/>
        </w:rPr>
        <w:t>Belgium</w:t>
      </w:r>
    </w:p>
    <w:p w14:paraId="4BA3FFAE" w14:textId="77777777" w:rsidR="008A24F6" w:rsidRPr="001C1AA7" w:rsidRDefault="008A24F6" w:rsidP="003E0341">
      <w:pPr>
        <w:tabs>
          <w:tab w:val="left" w:pos="851"/>
        </w:tabs>
        <w:ind w:left="851"/>
        <w:jc w:val="both"/>
        <w:rPr>
          <w:sz w:val="24"/>
          <w:szCs w:val="24"/>
          <w:lang w:val="en-GB"/>
        </w:rPr>
      </w:pPr>
    </w:p>
    <w:p w14:paraId="6D949A76" w14:textId="77777777" w:rsidR="007C5D2A" w:rsidRPr="001C1AA7" w:rsidRDefault="007C5D2A" w:rsidP="007C5D2A">
      <w:pPr>
        <w:ind w:left="851" w:hanging="851"/>
        <w:jc w:val="both"/>
        <w:rPr>
          <w:b/>
          <w:sz w:val="24"/>
          <w:szCs w:val="24"/>
          <w:lang w:val="en-GB"/>
        </w:rPr>
      </w:pPr>
      <w:r w:rsidRPr="001C1AA7">
        <w:rPr>
          <w:b/>
          <w:sz w:val="24"/>
          <w:szCs w:val="24"/>
          <w:lang w:val="en-GB"/>
        </w:rPr>
        <w:t>8.</w:t>
      </w:r>
      <w:r w:rsidRPr="001C1AA7">
        <w:rPr>
          <w:b/>
          <w:sz w:val="24"/>
          <w:szCs w:val="24"/>
          <w:lang w:val="en-GB"/>
        </w:rPr>
        <w:tab/>
        <w:t>MARKETING AUTHORISATION NUMBER(S)</w:t>
      </w:r>
    </w:p>
    <w:p w14:paraId="78F6A26A" w14:textId="21CDCC5B" w:rsidR="007C5D2A" w:rsidRPr="001C1AA7" w:rsidRDefault="00B4737D" w:rsidP="00A85D26">
      <w:pPr>
        <w:tabs>
          <w:tab w:val="left" w:pos="851"/>
        </w:tabs>
        <w:ind w:left="851"/>
        <w:jc w:val="both"/>
        <w:rPr>
          <w:sz w:val="24"/>
          <w:szCs w:val="24"/>
          <w:lang w:val="en-GB"/>
        </w:rPr>
      </w:pPr>
      <w:r w:rsidRPr="001C1AA7">
        <w:rPr>
          <w:sz w:val="24"/>
          <w:szCs w:val="24"/>
          <w:lang w:val="en-GB"/>
        </w:rPr>
        <w:t>72665</w:t>
      </w:r>
    </w:p>
    <w:p w14:paraId="28C1BEF6" w14:textId="77777777" w:rsidR="007C5D2A" w:rsidRPr="001C1AA7" w:rsidRDefault="007C5D2A" w:rsidP="00180A12">
      <w:pPr>
        <w:tabs>
          <w:tab w:val="left" w:pos="851"/>
        </w:tabs>
        <w:ind w:left="851"/>
        <w:jc w:val="both"/>
        <w:rPr>
          <w:sz w:val="24"/>
          <w:szCs w:val="24"/>
          <w:lang w:val="en-GB"/>
        </w:rPr>
      </w:pPr>
    </w:p>
    <w:p w14:paraId="2BC79FFC" w14:textId="77777777" w:rsidR="007C5D2A" w:rsidRPr="001C1AA7" w:rsidRDefault="007C5D2A" w:rsidP="007C5D2A">
      <w:pPr>
        <w:tabs>
          <w:tab w:val="left" w:pos="851"/>
        </w:tabs>
        <w:jc w:val="both"/>
        <w:rPr>
          <w:sz w:val="24"/>
          <w:szCs w:val="24"/>
          <w:lang w:val="en-GB"/>
        </w:rPr>
      </w:pPr>
      <w:r w:rsidRPr="001C1AA7">
        <w:rPr>
          <w:b/>
          <w:sz w:val="24"/>
          <w:szCs w:val="24"/>
          <w:lang w:val="en-GB"/>
        </w:rPr>
        <w:t>9.</w:t>
      </w:r>
      <w:r w:rsidRPr="001C1AA7">
        <w:rPr>
          <w:b/>
          <w:sz w:val="24"/>
          <w:szCs w:val="24"/>
          <w:lang w:val="en-GB"/>
        </w:rPr>
        <w:tab/>
        <w:t>DATE OF FIRST AUTHORISATION</w:t>
      </w:r>
    </w:p>
    <w:p w14:paraId="24515E5D" w14:textId="63F922C0" w:rsidR="007C5D2A" w:rsidRPr="001C1AA7" w:rsidRDefault="00A23483" w:rsidP="00A85D26">
      <w:pPr>
        <w:ind w:left="851"/>
        <w:jc w:val="both"/>
        <w:rPr>
          <w:sz w:val="24"/>
          <w:szCs w:val="24"/>
          <w:lang w:val="en-GB"/>
        </w:rPr>
      </w:pPr>
      <w:r>
        <w:rPr>
          <w:sz w:val="24"/>
          <w:szCs w:val="24"/>
          <w:lang w:val="en-GB"/>
        </w:rPr>
        <w:t>20 March 2026</w:t>
      </w:r>
    </w:p>
    <w:p w14:paraId="609DEB20" w14:textId="77777777" w:rsidR="007C5D2A" w:rsidRPr="001C1AA7" w:rsidRDefault="007C5D2A" w:rsidP="003E0341">
      <w:pPr>
        <w:tabs>
          <w:tab w:val="left" w:pos="851"/>
        </w:tabs>
        <w:ind w:left="851"/>
        <w:jc w:val="both"/>
        <w:rPr>
          <w:sz w:val="24"/>
          <w:szCs w:val="24"/>
          <w:lang w:val="en-GB"/>
        </w:rPr>
      </w:pPr>
    </w:p>
    <w:p w14:paraId="2552268F" w14:textId="77777777" w:rsidR="007C5D2A" w:rsidRPr="001C1AA7" w:rsidRDefault="007C5D2A" w:rsidP="007C5D2A">
      <w:pPr>
        <w:tabs>
          <w:tab w:val="left" w:pos="851"/>
        </w:tabs>
        <w:jc w:val="both"/>
        <w:rPr>
          <w:sz w:val="24"/>
          <w:szCs w:val="24"/>
          <w:lang w:val="en-GB"/>
        </w:rPr>
      </w:pPr>
      <w:r w:rsidRPr="001C1AA7">
        <w:rPr>
          <w:b/>
          <w:sz w:val="24"/>
          <w:szCs w:val="24"/>
          <w:lang w:val="en-GB"/>
        </w:rPr>
        <w:t>10.</w:t>
      </w:r>
      <w:r w:rsidRPr="001C1AA7">
        <w:rPr>
          <w:b/>
          <w:sz w:val="24"/>
          <w:szCs w:val="24"/>
          <w:lang w:val="en-GB"/>
        </w:rPr>
        <w:tab/>
        <w:t>DATE OF REVISION OF THE TEXT</w:t>
      </w:r>
    </w:p>
    <w:p w14:paraId="5B9E000F" w14:textId="14AD314D" w:rsidR="007C5D2A" w:rsidRPr="001C1AA7" w:rsidRDefault="00B4737D" w:rsidP="003E0341">
      <w:pPr>
        <w:tabs>
          <w:tab w:val="left" w:pos="851"/>
        </w:tabs>
        <w:ind w:left="851"/>
        <w:jc w:val="both"/>
        <w:rPr>
          <w:sz w:val="24"/>
          <w:szCs w:val="24"/>
          <w:lang w:val="en-GB"/>
        </w:rPr>
      </w:pPr>
      <w:r w:rsidRPr="001C1AA7">
        <w:rPr>
          <w:sz w:val="24"/>
          <w:szCs w:val="24"/>
          <w:lang w:val="en-GB"/>
        </w:rPr>
        <w:t>-</w:t>
      </w:r>
    </w:p>
    <w:sectPr w:rsidR="007C5D2A" w:rsidRPr="001C1AA7"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62DE" w14:textId="77777777" w:rsidR="002270FA" w:rsidRDefault="002270FA">
      <w:r>
        <w:separator/>
      </w:r>
    </w:p>
  </w:endnote>
  <w:endnote w:type="continuationSeparator" w:id="0">
    <w:p w14:paraId="54C47296" w14:textId="77777777" w:rsidR="002270FA" w:rsidRDefault="002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BD93"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69E" w14:textId="77777777" w:rsidR="00864538" w:rsidRDefault="00864538">
    <w:pPr>
      <w:pStyle w:val="Sidefod"/>
      <w:pBdr>
        <w:bottom w:val="single" w:sz="6" w:space="1" w:color="auto"/>
      </w:pBdr>
    </w:pPr>
  </w:p>
  <w:p w14:paraId="7D6C3AEE" w14:textId="77777777" w:rsidR="00864538" w:rsidRDefault="00864538">
    <w:pPr>
      <w:pStyle w:val="Sidefod"/>
      <w:tabs>
        <w:tab w:val="clear" w:pos="4819"/>
        <w:tab w:val="left" w:pos="8647"/>
      </w:tabs>
      <w:rPr>
        <w:i/>
        <w:snapToGrid w:val="0"/>
        <w:sz w:val="18"/>
      </w:rPr>
    </w:pPr>
  </w:p>
  <w:p w14:paraId="3C1DAD01" w14:textId="11DD1C67"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BB2CEC">
      <w:rPr>
        <w:i/>
        <w:noProof/>
        <w:snapToGrid w:val="0"/>
        <w:sz w:val="18"/>
      </w:rPr>
      <w:t>Apixlets, hårde kapsler 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87C6" w14:textId="77777777" w:rsidR="00864538" w:rsidRDefault="00864538">
    <w:pPr>
      <w:pStyle w:val="Sidefod"/>
      <w:pBdr>
        <w:bottom w:val="single" w:sz="6" w:space="1" w:color="auto"/>
      </w:pBdr>
      <w:tabs>
        <w:tab w:val="clear" w:pos="4819"/>
        <w:tab w:val="left" w:pos="8789"/>
      </w:tabs>
      <w:rPr>
        <w:i/>
        <w:snapToGrid w:val="0"/>
        <w:sz w:val="18"/>
      </w:rPr>
    </w:pPr>
  </w:p>
  <w:p w14:paraId="32C185AE" w14:textId="77777777" w:rsidR="00864538" w:rsidRDefault="00864538">
    <w:pPr>
      <w:pStyle w:val="Sidefod"/>
      <w:tabs>
        <w:tab w:val="clear" w:pos="4819"/>
        <w:tab w:val="left" w:pos="8789"/>
      </w:tabs>
      <w:rPr>
        <w:i/>
        <w:snapToGrid w:val="0"/>
        <w:sz w:val="18"/>
      </w:rPr>
    </w:pPr>
  </w:p>
  <w:p w14:paraId="45323A61" w14:textId="4AC00D18"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BB2CEC">
      <w:rPr>
        <w:i/>
        <w:noProof/>
        <w:snapToGrid w:val="0"/>
        <w:sz w:val="18"/>
      </w:rPr>
      <w:t>Apixlets, hårde kapsler 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973E" w14:textId="77777777" w:rsidR="002270FA" w:rsidRDefault="002270FA">
      <w:r>
        <w:separator/>
      </w:r>
    </w:p>
  </w:footnote>
  <w:footnote w:type="continuationSeparator" w:id="0">
    <w:p w14:paraId="497AF8B0" w14:textId="77777777" w:rsidR="002270FA" w:rsidRDefault="0022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2AE8"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3C8E"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7CF2"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5DB6103"/>
    <w:multiLevelType w:val="hybridMultilevel"/>
    <w:tmpl w:val="B9B039F8"/>
    <w:lvl w:ilvl="0" w:tplc="FFFFFFFF">
      <w:start w:val="1"/>
      <w:numFmt w:val="bullet"/>
      <w:lvlText w:val="-"/>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09897C80"/>
    <w:multiLevelType w:val="hybridMultilevel"/>
    <w:tmpl w:val="0796577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D66889"/>
    <w:multiLevelType w:val="hybridMultilevel"/>
    <w:tmpl w:val="4F2C9DEA"/>
    <w:lvl w:ilvl="0" w:tplc="FFFFFFFF">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40E7306A"/>
    <w:multiLevelType w:val="hybridMultilevel"/>
    <w:tmpl w:val="2410C86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49370D45"/>
    <w:multiLevelType w:val="hybridMultilevel"/>
    <w:tmpl w:val="522233BC"/>
    <w:lvl w:ilvl="0" w:tplc="E3E4201C">
      <w:start w:val="3"/>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535E7B9B"/>
    <w:multiLevelType w:val="hybridMultilevel"/>
    <w:tmpl w:val="8BE2F260"/>
    <w:lvl w:ilvl="0" w:tplc="FFFFFFFF">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5E92505E"/>
    <w:multiLevelType w:val="hybridMultilevel"/>
    <w:tmpl w:val="CDE09A7E"/>
    <w:lvl w:ilvl="0" w:tplc="FFFFFFFF">
      <w:start w:val="1"/>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1" w15:restartNumberingAfterBreak="0">
    <w:nsid w:val="71A81C34"/>
    <w:multiLevelType w:val="hybridMultilevel"/>
    <w:tmpl w:val="4A7027A8"/>
    <w:lvl w:ilvl="0" w:tplc="A7169874">
      <w:numFmt w:val="bullet"/>
      <w:lvlText w:val="•"/>
      <w:lvlJc w:val="left"/>
      <w:pPr>
        <w:ind w:left="360" w:hanging="360"/>
      </w:pPr>
      <w:rPr>
        <w:rFonts w:ascii="Times New Roman" w:eastAsia="Times New Roman"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num w:numId="1" w16cid:durableId="954601931">
    <w:abstractNumId w:val="4"/>
  </w:num>
  <w:num w:numId="2" w16cid:durableId="362943524">
    <w:abstractNumId w:val="0"/>
  </w:num>
  <w:num w:numId="3" w16cid:durableId="212080882">
    <w:abstractNumId w:val="10"/>
  </w:num>
  <w:num w:numId="4" w16cid:durableId="164564041">
    <w:abstractNumId w:val="1"/>
  </w:num>
  <w:num w:numId="5" w16cid:durableId="86122100">
    <w:abstractNumId w:val="8"/>
  </w:num>
  <w:num w:numId="6" w16cid:durableId="755975227">
    <w:abstractNumId w:val="9"/>
  </w:num>
  <w:num w:numId="7" w16cid:durableId="1501888775">
    <w:abstractNumId w:val="11"/>
  </w:num>
  <w:num w:numId="8" w16cid:durableId="2082096599">
    <w:abstractNumId w:val="5"/>
  </w:num>
  <w:num w:numId="9" w16cid:durableId="1066880454">
    <w:abstractNumId w:val="7"/>
  </w:num>
  <w:num w:numId="10" w16cid:durableId="340402756">
    <w:abstractNumId w:val="6"/>
  </w:num>
  <w:num w:numId="11" w16cid:durableId="730269813">
    <w:abstractNumId w:val="5"/>
  </w:num>
  <w:num w:numId="12" w16cid:durableId="1906329106">
    <w:abstractNumId w:val="2"/>
  </w:num>
  <w:num w:numId="13" w16cid:durableId="1251430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FA"/>
    <w:rsid w:val="00056601"/>
    <w:rsid w:val="000C3846"/>
    <w:rsid w:val="000C6218"/>
    <w:rsid w:val="000D3C9D"/>
    <w:rsid w:val="000F0D47"/>
    <w:rsid w:val="001242DE"/>
    <w:rsid w:val="00180A12"/>
    <w:rsid w:val="001C1AA7"/>
    <w:rsid w:val="00214331"/>
    <w:rsid w:val="00214CF4"/>
    <w:rsid w:val="002270FA"/>
    <w:rsid w:val="00281F03"/>
    <w:rsid w:val="0029458A"/>
    <w:rsid w:val="002A1587"/>
    <w:rsid w:val="002B27C5"/>
    <w:rsid w:val="002B5F7B"/>
    <w:rsid w:val="002F6D9C"/>
    <w:rsid w:val="00303008"/>
    <w:rsid w:val="00373B55"/>
    <w:rsid w:val="003A32A5"/>
    <w:rsid w:val="003D727E"/>
    <w:rsid w:val="003E0341"/>
    <w:rsid w:val="003E3402"/>
    <w:rsid w:val="003F4736"/>
    <w:rsid w:val="00401B49"/>
    <w:rsid w:val="0042292D"/>
    <w:rsid w:val="00437D5B"/>
    <w:rsid w:val="00440254"/>
    <w:rsid w:val="004860D3"/>
    <w:rsid w:val="004A3BF4"/>
    <w:rsid w:val="004A5DB3"/>
    <w:rsid w:val="004C2A26"/>
    <w:rsid w:val="005152D9"/>
    <w:rsid w:val="00533AD4"/>
    <w:rsid w:val="00534849"/>
    <w:rsid w:val="00560102"/>
    <w:rsid w:val="00562EA1"/>
    <w:rsid w:val="005A498B"/>
    <w:rsid w:val="00617BB8"/>
    <w:rsid w:val="006207FF"/>
    <w:rsid w:val="00680052"/>
    <w:rsid w:val="00683267"/>
    <w:rsid w:val="006844E9"/>
    <w:rsid w:val="006B3847"/>
    <w:rsid w:val="00725A13"/>
    <w:rsid w:val="00726D90"/>
    <w:rsid w:val="0075453D"/>
    <w:rsid w:val="007A4CC6"/>
    <w:rsid w:val="007C3623"/>
    <w:rsid w:val="007C5D2A"/>
    <w:rsid w:val="007F1E00"/>
    <w:rsid w:val="00827444"/>
    <w:rsid w:val="008400E3"/>
    <w:rsid w:val="00864538"/>
    <w:rsid w:val="00873B4F"/>
    <w:rsid w:val="008A24F6"/>
    <w:rsid w:val="008E51AE"/>
    <w:rsid w:val="008F2ECE"/>
    <w:rsid w:val="008F2F8C"/>
    <w:rsid w:val="009257ED"/>
    <w:rsid w:val="009925C9"/>
    <w:rsid w:val="00A12881"/>
    <w:rsid w:val="00A179D0"/>
    <w:rsid w:val="00A23483"/>
    <w:rsid w:val="00A358A3"/>
    <w:rsid w:val="00A46747"/>
    <w:rsid w:val="00A80446"/>
    <w:rsid w:val="00A85D26"/>
    <w:rsid w:val="00A9153A"/>
    <w:rsid w:val="00AB4376"/>
    <w:rsid w:val="00AC033C"/>
    <w:rsid w:val="00AD2E36"/>
    <w:rsid w:val="00B45DC5"/>
    <w:rsid w:val="00B46CF9"/>
    <w:rsid w:val="00B4737D"/>
    <w:rsid w:val="00BB2CEC"/>
    <w:rsid w:val="00BD07DC"/>
    <w:rsid w:val="00BD3490"/>
    <w:rsid w:val="00C26226"/>
    <w:rsid w:val="00C3571D"/>
    <w:rsid w:val="00C54F0B"/>
    <w:rsid w:val="00C82621"/>
    <w:rsid w:val="00CB1423"/>
    <w:rsid w:val="00D02508"/>
    <w:rsid w:val="00D438C9"/>
    <w:rsid w:val="00D778CC"/>
    <w:rsid w:val="00D82FE9"/>
    <w:rsid w:val="00D97B77"/>
    <w:rsid w:val="00DB6A85"/>
    <w:rsid w:val="00DC45BC"/>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6F93C"/>
  <w15:chartTrackingRefBased/>
  <w15:docId w15:val="{56EFBB77-0C18-4EEC-A187-D6059C96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rsid w:val="00B4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4737D"/>
    <w:rPr>
      <w:color w:val="0563C1" w:themeColor="hyperlink"/>
      <w:u w:val="single"/>
    </w:rPr>
  </w:style>
  <w:style w:type="character" w:styleId="Ulstomtale">
    <w:name w:val="Unresolved Mention"/>
    <w:basedOn w:val="Standardskrifttypeiafsnit"/>
    <w:uiPriority w:val="99"/>
    <w:semiHidden/>
    <w:unhideWhenUsed/>
    <w:rsid w:val="00B4737D"/>
    <w:rPr>
      <w:color w:val="605E5C"/>
      <w:shd w:val="clear" w:color="auto" w:fill="E1DFDD"/>
    </w:rPr>
  </w:style>
  <w:style w:type="paragraph" w:styleId="Listeafsnit">
    <w:name w:val="List Paragraph"/>
    <w:basedOn w:val="Normal"/>
    <w:uiPriority w:val="34"/>
    <w:qFormat/>
    <w:rsid w:val="00DC4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
      <w:bodyDiv w:val="1"/>
      <w:marLeft w:val="0"/>
      <w:marRight w:val="0"/>
      <w:marTop w:val="0"/>
      <w:marBottom w:val="0"/>
      <w:divBdr>
        <w:top w:val="none" w:sz="0" w:space="0" w:color="auto"/>
        <w:left w:val="none" w:sz="0" w:space="0" w:color="auto"/>
        <w:bottom w:val="none" w:sz="0" w:space="0" w:color="auto"/>
        <w:right w:val="none" w:sz="0" w:space="0" w:color="auto"/>
      </w:divBdr>
    </w:div>
    <w:div w:id="16322640">
      <w:bodyDiv w:val="1"/>
      <w:marLeft w:val="0"/>
      <w:marRight w:val="0"/>
      <w:marTop w:val="0"/>
      <w:marBottom w:val="0"/>
      <w:divBdr>
        <w:top w:val="none" w:sz="0" w:space="0" w:color="auto"/>
        <w:left w:val="none" w:sz="0" w:space="0" w:color="auto"/>
        <w:bottom w:val="none" w:sz="0" w:space="0" w:color="auto"/>
        <w:right w:val="none" w:sz="0" w:space="0" w:color="auto"/>
      </w:divBdr>
    </w:div>
    <w:div w:id="62266592">
      <w:bodyDiv w:val="1"/>
      <w:marLeft w:val="0"/>
      <w:marRight w:val="0"/>
      <w:marTop w:val="0"/>
      <w:marBottom w:val="0"/>
      <w:divBdr>
        <w:top w:val="none" w:sz="0" w:space="0" w:color="auto"/>
        <w:left w:val="none" w:sz="0" w:space="0" w:color="auto"/>
        <w:bottom w:val="none" w:sz="0" w:space="0" w:color="auto"/>
        <w:right w:val="none" w:sz="0" w:space="0" w:color="auto"/>
      </w:divBdr>
    </w:div>
    <w:div w:id="179048510">
      <w:bodyDiv w:val="1"/>
      <w:marLeft w:val="0"/>
      <w:marRight w:val="0"/>
      <w:marTop w:val="0"/>
      <w:marBottom w:val="0"/>
      <w:divBdr>
        <w:top w:val="none" w:sz="0" w:space="0" w:color="auto"/>
        <w:left w:val="none" w:sz="0" w:space="0" w:color="auto"/>
        <w:bottom w:val="none" w:sz="0" w:space="0" w:color="auto"/>
        <w:right w:val="none" w:sz="0" w:space="0" w:color="auto"/>
      </w:divBdr>
    </w:div>
    <w:div w:id="234097822">
      <w:bodyDiv w:val="1"/>
      <w:marLeft w:val="0"/>
      <w:marRight w:val="0"/>
      <w:marTop w:val="0"/>
      <w:marBottom w:val="0"/>
      <w:divBdr>
        <w:top w:val="none" w:sz="0" w:space="0" w:color="auto"/>
        <w:left w:val="none" w:sz="0" w:space="0" w:color="auto"/>
        <w:bottom w:val="none" w:sz="0" w:space="0" w:color="auto"/>
        <w:right w:val="none" w:sz="0" w:space="0" w:color="auto"/>
      </w:divBdr>
    </w:div>
    <w:div w:id="269313737">
      <w:bodyDiv w:val="1"/>
      <w:marLeft w:val="0"/>
      <w:marRight w:val="0"/>
      <w:marTop w:val="0"/>
      <w:marBottom w:val="0"/>
      <w:divBdr>
        <w:top w:val="none" w:sz="0" w:space="0" w:color="auto"/>
        <w:left w:val="none" w:sz="0" w:space="0" w:color="auto"/>
        <w:bottom w:val="none" w:sz="0" w:space="0" w:color="auto"/>
        <w:right w:val="none" w:sz="0" w:space="0" w:color="auto"/>
      </w:divBdr>
    </w:div>
    <w:div w:id="289166940">
      <w:bodyDiv w:val="1"/>
      <w:marLeft w:val="0"/>
      <w:marRight w:val="0"/>
      <w:marTop w:val="0"/>
      <w:marBottom w:val="0"/>
      <w:divBdr>
        <w:top w:val="none" w:sz="0" w:space="0" w:color="auto"/>
        <w:left w:val="none" w:sz="0" w:space="0" w:color="auto"/>
        <w:bottom w:val="none" w:sz="0" w:space="0" w:color="auto"/>
        <w:right w:val="none" w:sz="0" w:space="0" w:color="auto"/>
      </w:divBdr>
    </w:div>
    <w:div w:id="304626130">
      <w:bodyDiv w:val="1"/>
      <w:marLeft w:val="0"/>
      <w:marRight w:val="0"/>
      <w:marTop w:val="0"/>
      <w:marBottom w:val="0"/>
      <w:divBdr>
        <w:top w:val="none" w:sz="0" w:space="0" w:color="auto"/>
        <w:left w:val="none" w:sz="0" w:space="0" w:color="auto"/>
        <w:bottom w:val="none" w:sz="0" w:space="0" w:color="auto"/>
        <w:right w:val="none" w:sz="0" w:space="0" w:color="auto"/>
      </w:divBdr>
    </w:div>
    <w:div w:id="357702150">
      <w:bodyDiv w:val="1"/>
      <w:marLeft w:val="0"/>
      <w:marRight w:val="0"/>
      <w:marTop w:val="0"/>
      <w:marBottom w:val="0"/>
      <w:divBdr>
        <w:top w:val="none" w:sz="0" w:space="0" w:color="auto"/>
        <w:left w:val="none" w:sz="0" w:space="0" w:color="auto"/>
        <w:bottom w:val="none" w:sz="0" w:space="0" w:color="auto"/>
        <w:right w:val="none" w:sz="0" w:space="0" w:color="auto"/>
      </w:divBdr>
    </w:div>
    <w:div w:id="357967467">
      <w:bodyDiv w:val="1"/>
      <w:marLeft w:val="0"/>
      <w:marRight w:val="0"/>
      <w:marTop w:val="0"/>
      <w:marBottom w:val="0"/>
      <w:divBdr>
        <w:top w:val="none" w:sz="0" w:space="0" w:color="auto"/>
        <w:left w:val="none" w:sz="0" w:space="0" w:color="auto"/>
        <w:bottom w:val="none" w:sz="0" w:space="0" w:color="auto"/>
        <w:right w:val="none" w:sz="0" w:space="0" w:color="auto"/>
      </w:divBdr>
    </w:div>
    <w:div w:id="370301580">
      <w:bodyDiv w:val="1"/>
      <w:marLeft w:val="0"/>
      <w:marRight w:val="0"/>
      <w:marTop w:val="0"/>
      <w:marBottom w:val="0"/>
      <w:divBdr>
        <w:top w:val="none" w:sz="0" w:space="0" w:color="auto"/>
        <w:left w:val="none" w:sz="0" w:space="0" w:color="auto"/>
        <w:bottom w:val="none" w:sz="0" w:space="0" w:color="auto"/>
        <w:right w:val="none" w:sz="0" w:space="0" w:color="auto"/>
      </w:divBdr>
    </w:div>
    <w:div w:id="434181034">
      <w:bodyDiv w:val="1"/>
      <w:marLeft w:val="0"/>
      <w:marRight w:val="0"/>
      <w:marTop w:val="0"/>
      <w:marBottom w:val="0"/>
      <w:divBdr>
        <w:top w:val="none" w:sz="0" w:space="0" w:color="auto"/>
        <w:left w:val="none" w:sz="0" w:space="0" w:color="auto"/>
        <w:bottom w:val="none" w:sz="0" w:space="0" w:color="auto"/>
        <w:right w:val="none" w:sz="0" w:space="0" w:color="auto"/>
      </w:divBdr>
    </w:div>
    <w:div w:id="485434702">
      <w:bodyDiv w:val="1"/>
      <w:marLeft w:val="0"/>
      <w:marRight w:val="0"/>
      <w:marTop w:val="0"/>
      <w:marBottom w:val="0"/>
      <w:divBdr>
        <w:top w:val="none" w:sz="0" w:space="0" w:color="auto"/>
        <w:left w:val="none" w:sz="0" w:space="0" w:color="auto"/>
        <w:bottom w:val="none" w:sz="0" w:space="0" w:color="auto"/>
        <w:right w:val="none" w:sz="0" w:space="0" w:color="auto"/>
      </w:divBdr>
    </w:div>
    <w:div w:id="519511348">
      <w:bodyDiv w:val="1"/>
      <w:marLeft w:val="0"/>
      <w:marRight w:val="0"/>
      <w:marTop w:val="0"/>
      <w:marBottom w:val="0"/>
      <w:divBdr>
        <w:top w:val="none" w:sz="0" w:space="0" w:color="auto"/>
        <w:left w:val="none" w:sz="0" w:space="0" w:color="auto"/>
        <w:bottom w:val="none" w:sz="0" w:space="0" w:color="auto"/>
        <w:right w:val="none" w:sz="0" w:space="0" w:color="auto"/>
      </w:divBdr>
    </w:div>
    <w:div w:id="651374996">
      <w:bodyDiv w:val="1"/>
      <w:marLeft w:val="0"/>
      <w:marRight w:val="0"/>
      <w:marTop w:val="0"/>
      <w:marBottom w:val="0"/>
      <w:divBdr>
        <w:top w:val="none" w:sz="0" w:space="0" w:color="auto"/>
        <w:left w:val="none" w:sz="0" w:space="0" w:color="auto"/>
        <w:bottom w:val="none" w:sz="0" w:space="0" w:color="auto"/>
        <w:right w:val="none" w:sz="0" w:space="0" w:color="auto"/>
      </w:divBdr>
    </w:div>
    <w:div w:id="655690381">
      <w:bodyDiv w:val="1"/>
      <w:marLeft w:val="0"/>
      <w:marRight w:val="0"/>
      <w:marTop w:val="0"/>
      <w:marBottom w:val="0"/>
      <w:divBdr>
        <w:top w:val="none" w:sz="0" w:space="0" w:color="auto"/>
        <w:left w:val="none" w:sz="0" w:space="0" w:color="auto"/>
        <w:bottom w:val="none" w:sz="0" w:space="0" w:color="auto"/>
        <w:right w:val="none" w:sz="0" w:space="0" w:color="auto"/>
      </w:divBdr>
    </w:div>
    <w:div w:id="661857519">
      <w:bodyDiv w:val="1"/>
      <w:marLeft w:val="0"/>
      <w:marRight w:val="0"/>
      <w:marTop w:val="0"/>
      <w:marBottom w:val="0"/>
      <w:divBdr>
        <w:top w:val="none" w:sz="0" w:space="0" w:color="auto"/>
        <w:left w:val="none" w:sz="0" w:space="0" w:color="auto"/>
        <w:bottom w:val="none" w:sz="0" w:space="0" w:color="auto"/>
        <w:right w:val="none" w:sz="0" w:space="0" w:color="auto"/>
      </w:divBdr>
    </w:div>
    <w:div w:id="718407734">
      <w:bodyDiv w:val="1"/>
      <w:marLeft w:val="0"/>
      <w:marRight w:val="0"/>
      <w:marTop w:val="0"/>
      <w:marBottom w:val="0"/>
      <w:divBdr>
        <w:top w:val="none" w:sz="0" w:space="0" w:color="auto"/>
        <w:left w:val="none" w:sz="0" w:space="0" w:color="auto"/>
        <w:bottom w:val="none" w:sz="0" w:space="0" w:color="auto"/>
        <w:right w:val="none" w:sz="0" w:space="0" w:color="auto"/>
      </w:divBdr>
    </w:div>
    <w:div w:id="736442857">
      <w:bodyDiv w:val="1"/>
      <w:marLeft w:val="0"/>
      <w:marRight w:val="0"/>
      <w:marTop w:val="0"/>
      <w:marBottom w:val="0"/>
      <w:divBdr>
        <w:top w:val="none" w:sz="0" w:space="0" w:color="auto"/>
        <w:left w:val="none" w:sz="0" w:space="0" w:color="auto"/>
        <w:bottom w:val="none" w:sz="0" w:space="0" w:color="auto"/>
        <w:right w:val="none" w:sz="0" w:space="0" w:color="auto"/>
      </w:divBdr>
    </w:div>
    <w:div w:id="746609314">
      <w:bodyDiv w:val="1"/>
      <w:marLeft w:val="0"/>
      <w:marRight w:val="0"/>
      <w:marTop w:val="0"/>
      <w:marBottom w:val="0"/>
      <w:divBdr>
        <w:top w:val="none" w:sz="0" w:space="0" w:color="auto"/>
        <w:left w:val="none" w:sz="0" w:space="0" w:color="auto"/>
        <w:bottom w:val="none" w:sz="0" w:space="0" w:color="auto"/>
        <w:right w:val="none" w:sz="0" w:space="0" w:color="auto"/>
      </w:divBdr>
    </w:div>
    <w:div w:id="775904639">
      <w:bodyDiv w:val="1"/>
      <w:marLeft w:val="0"/>
      <w:marRight w:val="0"/>
      <w:marTop w:val="0"/>
      <w:marBottom w:val="0"/>
      <w:divBdr>
        <w:top w:val="none" w:sz="0" w:space="0" w:color="auto"/>
        <w:left w:val="none" w:sz="0" w:space="0" w:color="auto"/>
        <w:bottom w:val="none" w:sz="0" w:space="0" w:color="auto"/>
        <w:right w:val="none" w:sz="0" w:space="0" w:color="auto"/>
      </w:divBdr>
    </w:div>
    <w:div w:id="820660324">
      <w:bodyDiv w:val="1"/>
      <w:marLeft w:val="0"/>
      <w:marRight w:val="0"/>
      <w:marTop w:val="0"/>
      <w:marBottom w:val="0"/>
      <w:divBdr>
        <w:top w:val="none" w:sz="0" w:space="0" w:color="auto"/>
        <w:left w:val="none" w:sz="0" w:space="0" w:color="auto"/>
        <w:bottom w:val="none" w:sz="0" w:space="0" w:color="auto"/>
        <w:right w:val="none" w:sz="0" w:space="0" w:color="auto"/>
      </w:divBdr>
    </w:div>
    <w:div w:id="845243124">
      <w:bodyDiv w:val="1"/>
      <w:marLeft w:val="0"/>
      <w:marRight w:val="0"/>
      <w:marTop w:val="0"/>
      <w:marBottom w:val="0"/>
      <w:divBdr>
        <w:top w:val="none" w:sz="0" w:space="0" w:color="auto"/>
        <w:left w:val="none" w:sz="0" w:space="0" w:color="auto"/>
        <w:bottom w:val="none" w:sz="0" w:space="0" w:color="auto"/>
        <w:right w:val="none" w:sz="0" w:space="0" w:color="auto"/>
      </w:divBdr>
    </w:div>
    <w:div w:id="1100950975">
      <w:bodyDiv w:val="1"/>
      <w:marLeft w:val="0"/>
      <w:marRight w:val="0"/>
      <w:marTop w:val="0"/>
      <w:marBottom w:val="0"/>
      <w:divBdr>
        <w:top w:val="none" w:sz="0" w:space="0" w:color="auto"/>
        <w:left w:val="none" w:sz="0" w:space="0" w:color="auto"/>
        <w:bottom w:val="none" w:sz="0" w:space="0" w:color="auto"/>
        <w:right w:val="none" w:sz="0" w:space="0" w:color="auto"/>
      </w:divBdr>
    </w:div>
    <w:div w:id="1118137382">
      <w:bodyDiv w:val="1"/>
      <w:marLeft w:val="0"/>
      <w:marRight w:val="0"/>
      <w:marTop w:val="0"/>
      <w:marBottom w:val="0"/>
      <w:divBdr>
        <w:top w:val="none" w:sz="0" w:space="0" w:color="auto"/>
        <w:left w:val="none" w:sz="0" w:space="0" w:color="auto"/>
        <w:bottom w:val="none" w:sz="0" w:space="0" w:color="auto"/>
        <w:right w:val="none" w:sz="0" w:space="0" w:color="auto"/>
      </w:divBdr>
    </w:div>
    <w:div w:id="1129977987">
      <w:bodyDiv w:val="1"/>
      <w:marLeft w:val="0"/>
      <w:marRight w:val="0"/>
      <w:marTop w:val="0"/>
      <w:marBottom w:val="0"/>
      <w:divBdr>
        <w:top w:val="none" w:sz="0" w:space="0" w:color="auto"/>
        <w:left w:val="none" w:sz="0" w:space="0" w:color="auto"/>
        <w:bottom w:val="none" w:sz="0" w:space="0" w:color="auto"/>
        <w:right w:val="none" w:sz="0" w:space="0" w:color="auto"/>
      </w:divBdr>
    </w:div>
    <w:div w:id="1131825385">
      <w:bodyDiv w:val="1"/>
      <w:marLeft w:val="0"/>
      <w:marRight w:val="0"/>
      <w:marTop w:val="0"/>
      <w:marBottom w:val="0"/>
      <w:divBdr>
        <w:top w:val="none" w:sz="0" w:space="0" w:color="auto"/>
        <w:left w:val="none" w:sz="0" w:space="0" w:color="auto"/>
        <w:bottom w:val="none" w:sz="0" w:space="0" w:color="auto"/>
        <w:right w:val="none" w:sz="0" w:space="0" w:color="auto"/>
      </w:divBdr>
    </w:div>
    <w:div w:id="1147742512">
      <w:bodyDiv w:val="1"/>
      <w:marLeft w:val="0"/>
      <w:marRight w:val="0"/>
      <w:marTop w:val="0"/>
      <w:marBottom w:val="0"/>
      <w:divBdr>
        <w:top w:val="none" w:sz="0" w:space="0" w:color="auto"/>
        <w:left w:val="none" w:sz="0" w:space="0" w:color="auto"/>
        <w:bottom w:val="none" w:sz="0" w:space="0" w:color="auto"/>
        <w:right w:val="none" w:sz="0" w:space="0" w:color="auto"/>
      </w:divBdr>
    </w:div>
    <w:div w:id="1152062002">
      <w:bodyDiv w:val="1"/>
      <w:marLeft w:val="0"/>
      <w:marRight w:val="0"/>
      <w:marTop w:val="0"/>
      <w:marBottom w:val="0"/>
      <w:divBdr>
        <w:top w:val="none" w:sz="0" w:space="0" w:color="auto"/>
        <w:left w:val="none" w:sz="0" w:space="0" w:color="auto"/>
        <w:bottom w:val="none" w:sz="0" w:space="0" w:color="auto"/>
        <w:right w:val="none" w:sz="0" w:space="0" w:color="auto"/>
      </w:divBdr>
    </w:div>
    <w:div w:id="1175874688">
      <w:bodyDiv w:val="1"/>
      <w:marLeft w:val="0"/>
      <w:marRight w:val="0"/>
      <w:marTop w:val="0"/>
      <w:marBottom w:val="0"/>
      <w:divBdr>
        <w:top w:val="none" w:sz="0" w:space="0" w:color="auto"/>
        <w:left w:val="none" w:sz="0" w:space="0" w:color="auto"/>
        <w:bottom w:val="none" w:sz="0" w:space="0" w:color="auto"/>
        <w:right w:val="none" w:sz="0" w:space="0" w:color="auto"/>
      </w:divBdr>
    </w:div>
    <w:div w:id="1250575501">
      <w:bodyDiv w:val="1"/>
      <w:marLeft w:val="0"/>
      <w:marRight w:val="0"/>
      <w:marTop w:val="0"/>
      <w:marBottom w:val="0"/>
      <w:divBdr>
        <w:top w:val="none" w:sz="0" w:space="0" w:color="auto"/>
        <w:left w:val="none" w:sz="0" w:space="0" w:color="auto"/>
        <w:bottom w:val="none" w:sz="0" w:space="0" w:color="auto"/>
        <w:right w:val="none" w:sz="0" w:space="0" w:color="auto"/>
      </w:divBdr>
    </w:div>
    <w:div w:id="1306936204">
      <w:bodyDiv w:val="1"/>
      <w:marLeft w:val="0"/>
      <w:marRight w:val="0"/>
      <w:marTop w:val="0"/>
      <w:marBottom w:val="0"/>
      <w:divBdr>
        <w:top w:val="none" w:sz="0" w:space="0" w:color="auto"/>
        <w:left w:val="none" w:sz="0" w:space="0" w:color="auto"/>
        <w:bottom w:val="none" w:sz="0" w:space="0" w:color="auto"/>
        <w:right w:val="none" w:sz="0" w:space="0" w:color="auto"/>
      </w:divBdr>
    </w:div>
    <w:div w:id="1441218970">
      <w:bodyDiv w:val="1"/>
      <w:marLeft w:val="0"/>
      <w:marRight w:val="0"/>
      <w:marTop w:val="0"/>
      <w:marBottom w:val="0"/>
      <w:divBdr>
        <w:top w:val="none" w:sz="0" w:space="0" w:color="auto"/>
        <w:left w:val="none" w:sz="0" w:space="0" w:color="auto"/>
        <w:bottom w:val="none" w:sz="0" w:space="0" w:color="auto"/>
        <w:right w:val="none" w:sz="0" w:space="0" w:color="auto"/>
      </w:divBdr>
    </w:div>
    <w:div w:id="1458067859">
      <w:bodyDiv w:val="1"/>
      <w:marLeft w:val="0"/>
      <w:marRight w:val="0"/>
      <w:marTop w:val="0"/>
      <w:marBottom w:val="0"/>
      <w:divBdr>
        <w:top w:val="none" w:sz="0" w:space="0" w:color="auto"/>
        <w:left w:val="none" w:sz="0" w:space="0" w:color="auto"/>
        <w:bottom w:val="none" w:sz="0" w:space="0" w:color="auto"/>
        <w:right w:val="none" w:sz="0" w:space="0" w:color="auto"/>
      </w:divBdr>
    </w:div>
    <w:div w:id="1525942248">
      <w:bodyDiv w:val="1"/>
      <w:marLeft w:val="0"/>
      <w:marRight w:val="0"/>
      <w:marTop w:val="0"/>
      <w:marBottom w:val="0"/>
      <w:divBdr>
        <w:top w:val="none" w:sz="0" w:space="0" w:color="auto"/>
        <w:left w:val="none" w:sz="0" w:space="0" w:color="auto"/>
        <w:bottom w:val="none" w:sz="0" w:space="0" w:color="auto"/>
        <w:right w:val="none" w:sz="0" w:space="0" w:color="auto"/>
      </w:divBdr>
    </w:div>
    <w:div w:id="1528132399">
      <w:bodyDiv w:val="1"/>
      <w:marLeft w:val="0"/>
      <w:marRight w:val="0"/>
      <w:marTop w:val="0"/>
      <w:marBottom w:val="0"/>
      <w:divBdr>
        <w:top w:val="none" w:sz="0" w:space="0" w:color="auto"/>
        <w:left w:val="none" w:sz="0" w:space="0" w:color="auto"/>
        <w:bottom w:val="none" w:sz="0" w:space="0" w:color="auto"/>
        <w:right w:val="none" w:sz="0" w:space="0" w:color="auto"/>
      </w:divBdr>
    </w:div>
    <w:div w:id="1533179941">
      <w:bodyDiv w:val="1"/>
      <w:marLeft w:val="0"/>
      <w:marRight w:val="0"/>
      <w:marTop w:val="0"/>
      <w:marBottom w:val="0"/>
      <w:divBdr>
        <w:top w:val="none" w:sz="0" w:space="0" w:color="auto"/>
        <w:left w:val="none" w:sz="0" w:space="0" w:color="auto"/>
        <w:bottom w:val="none" w:sz="0" w:space="0" w:color="auto"/>
        <w:right w:val="none" w:sz="0" w:space="0" w:color="auto"/>
      </w:divBdr>
    </w:div>
    <w:div w:id="1548180186">
      <w:bodyDiv w:val="1"/>
      <w:marLeft w:val="0"/>
      <w:marRight w:val="0"/>
      <w:marTop w:val="0"/>
      <w:marBottom w:val="0"/>
      <w:divBdr>
        <w:top w:val="none" w:sz="0" w:space="0" w:color="auto"/>
        <w:left w:val="none" w:sz="0" w:space="0" w:color="auto"/>
        <w:bottom w:val="none" w:sz="0" w:space="0" w:color="auto"/>
        <w:right w:val="none" w:sz="0" w:space="0" w:color="auto"/>
      </w:divBdr>
    </w:div>
    <w:div w:id="1567032302">
      <w:bodyDiv w:val="1"/>
      <w:marLeft w:val="0"/>
      <w:marRight w:val="0"/>
      <w:marTop w:val="0"/>
      <w:marBottom w:val="0"/>
      <w:divBdr>
        <w:top w:val="none" w:sz="0" w:space="0" w:color="auto"/>
        <w:left w:val="none" w:sz="0" w:space="0" w:color="auto"/>
        <w:bottom w:val="none" w:sz="0" w:space="0" w:color="auto"/>
        <w:right w:val="none" w:sz="0" w:space="0" w:color="auto"/>
      </w:divBdr>
    </w:div>
    <w:div w:id="1577396303">
      <w:bodyDiv w:val="1"/>
      <w:marLeft w:val="0"/>
      <w:marRight w:val="0"/>
      <w:marTop w:val="0"/>
      <w:marBottom w:val="0"/>
      <w:divBdr>
        <w:top w:val="none" w:sz="0" w:space="0" w:color="auto"/>
        <w:left w:val="none" w:sz="0" w:space="0" w:color="auto"/>
        <w:bottom w:val="none" w:sz="0" w:space="0" w:color="auto"/>
        <w:right w:val="none" w:sz="0" w:space="0" w:color="auto"/>
      </w:divBdr>
    </w:div>
    <w:div w:id="1584297481">
      <w:bodyDiv w:val="1"/>
      <w:marLeft w:val="0"/>
      <w:marRight w:val="0"/>
      <w:marTop w:val="0"/>
      <w:marBottom w:val="0"/>
      <w:divBdr>
        <w:top w:val="none" w:sz="0" w:space="0" w:color="auto"/>
        <w:left w:val="none" w:sz="0" w:space="0" w:color="auto"/>
        <w:bottom w:val="none" w:sz="0" w:space="0" w:color="auto"/>
        <w:right w:val="none" w:sz="0" w:space="0" w:color="auto"/>
      </w:divBdr>
    </w:div>
    <w:div w:id="1611668701">
      <w:bodyDiv w:val="1"/>
      <w:marLeft w:val="0"/>
      <w:marRight w:val="0"/>
      <w:marTop w:val="0"/>
      <w:marBottom w:val="0"/>
      <w:divBdr>
        <w:top w:val="none" w:sz="0" w:space="0" w:color="auto"/>
        <w:left w:val="none" w:sz="0" w:space="0" w:color="auto"/>
        <w:bottom w:val="none" w:sz="0" w:space="0" w:color="auto"/>
        <w:right w:val="none" w:sz="0" w:space="0" w:color="auto"/>
      </w:divBdr>
    </w:div>
    <w:div w:id="1621759036">
      <w:bodyDiv w:val="1"/>
      <w:marLeft w:val="0"/>
      <w:marRight w:val="0"/>
      <w:marTop w:val="0"/>
      <w:marBottom w:val="0"/>
      <w:divBdr>
        <w:top w:val="none" w:sz="0" w:space="0" w:color="auto"/>
        <w:left w:val="none" w:sz="0" w:space="0" w:color="auto"/>
        <w:bottom w:val="none" w:sz="0" w:space="0" w:color="auto"/>
        <w:right w:val="none" w:sz="0" w:space="0" w:color="auto"/>
      </w:divBdr>
    </w:div>
    <w:div w:id="1651055155">
      <w:bodyDiv w:val="1"/>
      <w:marLeft w:val="0"/>
      <w:marRight w:val="0"/>
      <w:marTop w:val="0"/>
      <w:marBottom w:val="0"/>
      <w:divBdr>
        <w:top w:val="none" w:sz="0" w:space="0" w:color="auto"/>
        <w:left w:val="none" w:sz="0" w:space="0" w:color="auto"/>
        <w:bottom w:val="none" w:sz="0" w:space="0" w:color="auto"/>
        <w:right w:val="none" w:sz="0" w:space="0" w:color="auto"/>
      </w:divBdr>
    </w:div>
    <w:div w:id="1683363262">
      <w:bodyDiv w:val="1"/>
      <w:marLeft w:val="0"/>
      <w:marRight w:val="0"/>
      <w:marTop w:val="0"/>
      <w:marBottom w:val="0"/>
      <w:divBdr>
        <w:top w:val="none" w:sz="0" w:space="0" w:color="auto"/>
        <w:left w:val="none" w:sz="0" w:space="0" w:color="auto"/>
        <w:bottom w:val="none" w:sz="0" w:space="0" w:color="auto"/>
        <w:right w:val="none" w:sz="0" w:space="0" w:color="auto"/>
      </w:divBdr>
    </w:div>
    <w:div w:id="1694307613">
      <w:bodyDiv w:val="1"/>
      <w:marLeft w:val="0"/>
      <w:marRight w:val="0"/>
      <w:marTop w:val="0"/>
      <w:marBottom w:val="0"/>
      <w:divBdr>
        <w:top w:val="none" w:sz="0" w:space="0" w:color="auto"/>
        <w:left w:val="none" w:sz="0" w:space="0" w:color="auto"/>
        <w:bottom w:val="none" w:sz="0" w:space="0" w:color="auto"/>
        <w:right w:val="none" w:sz="0" w:space="0" w:color="auto"/>
      </w:divBdr>
    </w:div>
    <w:div w:id="1863473446">
      <w:bodyDiv w:val="1"/>
      <w:marLeft w:val="0"/>
      <w:marRight w:val="0"/>
      <w:marTop w:val="0"/>
      <w:marBottom w:val="0"/>
      <w:divBdr>
        <w:top w:val="none" w:sz="0" w:space="0" w:color="auto"/>
        <w:left w:val="none" w:sz="0" w:space="0" w:color="auto"/>
        <w:bottom w:val="none" w:sz="0" w:space="0" w:color="auto"/>
        <w:right w:val="none" w:sz="0" w:space="0" w:color="auto"/>
      </w:divBdr>
    </w:div>
    <w:div w:id="1895189164">
      <w:bodyDiv w:val="1"/>
      <w:marLeft w:val="0"/>
      <w:marRight w:val="0"/>
      <w:marTop w:val="0"/>
      <w:marBottom w:val="0"/>
      <w:divBdr>
        <w:top w:val="none" w:sz="0" w:space="0" w:color="auto"/>
        <w:left w:val="none" w:sz="0" w:space="0" w:color="auto"/>
        <w:bottom w:val="none" w:sz="0" w:space="0" w:color="auto"/>
        <w:right w:val="none" w:sz="0" w:space="0" w:color="auto"/>
      </w:divBdr>
    </w:div>
    <w:div w:id="1948543009">
      <w:bodyDiv w:val="1"/>
      <w:marLeft w:val="0"/>
      <w:marRight w:val="0"/>
      <w:marTop w:val="0"/>
      <w:marBottom w:val="0"/>
      <w:divBdr>
        <w:top w:val="none" w:sz="0" w:space="0" w:color="auto"/>
        <w:left w:val="none" w:sz="0" w:space="0" w:color="auto"/>
        <w:bottom w:val="none" w:sz="0" w:space="0" w:color="auto"/>
        <w:right w:val="none" w:sz="0" w:space="0" w:color="auto"/>
      </w:divBdr>
    </w:div>
    <w:div w:id="1999914533">
      <w:bodyDiv w:val="1"/>
      <w:marLeft w:val="0"/>
      <w:marRight w:val="0"/>
      <w:marTop w:val="0"/>
      <w:marBottom w:val="0"/>
      <w:divBdr>
        <w:top w:val="none" w:sz="0" w:space="0" w:color="auto"/>
        <w:left w:val="none" w:sz="0" w:space="0" w:color="auto"/>
        <w:bottom w:val="none" w:sz="0" w:space="0" w:color="auto"/>
        <w:right w:val="none" w:sz="0" w:space="0" w:color="auto"/>
      </w:divBdr>
    </w:div>
    <w:div w:id="2002002313">
      <w:bodyDiv w:val="1"/>
      <w:marLeft w:val="0"/>
      <w:marRight w:val="0"/>
      <w:marTop w:val="0"/>
      <w:marBottom w:val="0"/>
      <w:divBdr>
        <w:top w:val="none" w:sz="0" w:space="0" w:color="auto"/>
        <w:left w:val="none" w:sz="0" w:space="0" w:color="auto"/>
        <w:bottom w:val="none" w:sz="0" w:space="0" w:color="auto"/>
        <w:right w:val="none" w:sz="0" w:space="0" w:color="auto"/>
      </w:divBdr>
    </w:div>
    <w:div w:id="2016883662">
      <w:bodyDiv w:val="1"/>
      <w:marLeft w:val="0"/>
      <w:marRight w:val="0"/>
      <w:marTop w:val="0"/>
      <w:marBottom w:val="0"/>
      <w:divBdr>
        <w:top w:val="none" w:sz="0" w:space="0" w:color="auto"/>
        <w:left w:val="none" w:sz="0" w:space="0" w:color="auto"/>
        <w:bottom w:val="none" w:sz="0" w:space="0" w:color="auto"/>
        <w:right w:val="none" w:sz="0" w:space="0" w:color="auto"/>
      </w:divBdr>
    </w:div>
    <w:div w:id="2085713200">
      <w:bodyDiv w:val="1"/>
      <w:marLeft w:val="0"/>
      <w:marRight w:val="0"/>
      <w:marTop w:val="0"/>
      <w:marBottom w:val="0"/>
      <w:divBdr>
        <w:top w:val="none" w:sz="0" w:space="0" w:color="auto"/>
        <w:left w:val="none" w:sz="0" w:space="0" w:color="auto"/>
        <w:bottom w:val="none" w:sz="0" w:space="0" w:color="auto"/>
        <w:right w:val="none" w:sz="0" w:space="0" w:color="auto"/>
      </w:divBdr>
    </w:div>
    <w:div w:id="20977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63</TotalTime>
  <Pages>35</Pages>
  <Words>13834</Words>
  <Characters>77142</Characters>
  <Application>Microsoft Office Word</Application>
  <DocSecurity>0</DocSecurity>
  <Lines>642</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2024102742, MT</dc:description>
  <cp:lastModifiedBy>Gitte Jørgensen</cp:lastModifiedBy>
  <cp:revision>11</cp:revision>
  <cp:lastPrinted>2006-02-24T09:31:00Z</cp:lastPrinted>
  <dcterms:created xsi:type="dcterms:W3CDTF">2026-03-18T07:35:00Z</dcterms:created>
  <dcterms:modified xsi:type="dcterms:W3CDTF">2026-03-20T13:39:00Z</dcterms:modified>
</cp:coreProperties>
</file>