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BDE" w:rsidRPr="00C84483" w:rsidRDefault="00E46BDE" w:rsidP="00E46BDE">
      <w:pPr>
        <w:rPr>
          <w:sz w:val="24"/>
          <w:szCs w:val="24"/>
        </w:rPr>
      </w:pPr>
      <w:bookmarkStart w:id="0" w:name="_GoBack"/>
      <w:bookmarkEnd w:id="0"/>
      <w:r>
        <w:rPr>
          <w:b/>
          <w:noProof/>
          <w:lang w:eastAsia="da-DK"/>
        </w:rPr>
        <w:drawing>
          <wp:inline distT="0" distB="0" distL="0" distR="0" wp14:anchorId="245C3029" wp14:editId="7FB05973">
            <wp:extent cx="2470150" cy="685800"/>
            <wp:effectExtent l="0" t="0" r="635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685800"/>
                    </a:xfrm>
                    <a:prstGeom prst="rect">
                      <a:avLst/>
                    </a:prstGeom>
                    <a:noFill/>
                    <a:ln>
                      <a:noFill/>
                    </a:ln>
                  </pic:spPr>
                </pic:pic>
              </a:graphicData>
            </a:graphic>
          </wp:inline>
        </w:drawing>
      </w:r>
    </w:p>
    <w:p w:rsidR="00E46BDE" w:rsidRPr="00C84483" w:rsidRDefault="00E46BDE" w:rsidP="00E46BDE">
      <w:pPr>
        <w:pStyle w:val="Titel"/>
        <w:tabs>
          <w:tab w:val="right" w:pos="9356"/>
        </w:tabs>
        <w:jc w:val="left"/>
        <w:rPr>
          <w:b w:val="0"/>
          <w:szCs w:val="24"/>
          <w:lang w:eastAsia="en-US"/>
        </w:rPr>
      </w:pPr>
    </w:p>
    <w:p w:rsidR="00E46BDE" w:rsidRPr="00C84483" w:rsidRDefault="00E46BDE" w:rsidP="00E46BDE">
      <w:pPr>
        <w:pStyle w:val="Titel"/>
        <w:tabs>
          <w:tab w:val="right" w:pos="9356"/>
        </w:tabs>
        <w:jc w:val="left"/>
        <w:rPr>
          <w:b w:val="0"/>
          <w:szCs w:val="24"/>
          <w:lang w:eastAsia="en-US"/>
        </w:rPr>
      </w:pPr>
      <w:r w:rsidRPr="00C84483">
        <w:rPr>
          <w:b w:val="0"/>
          <w:szCs w:val="24"/>
          <w:lang w:eastAsia="en-US"/>
        </w:rPr>
        <w:tab/>
      </w:r>
      <w:r w:rsidR="00F72337">
        <w:rPr>
          <w:szCs w:val="24"/>
        </w:rPr>
        <w:t>17</w:t>
      </w:r>
      <w:r>
        <w:rPr>
          <w:szCs w:val="24"/>
        </w:rPr>
        <w:t xml:space="preserve">. </w:t>
      </w:r>
      <w:r w:rsidR="00F72337">
        <w:rPr>
          <w:szCs w:val="24"/>
        </w:rPr>
        <w:t>novem</w:t>
      </w:r>
      <w:r>
        <w:rPr>
          <w:szCs w:val="24"/>
        </w:rPr>
        <w:t>ber 20</w:t>
      </w:r>
      <w:r w:rsidR="00F72337">
        <w:rPr>
          <w:szCs w:val="24"/>
        </w:rPr>
        <w:t>23</w:t>
      </w:r>
    </w:p>
    <w:p w:rsidR="00E46BDE" w:rsidRPr="00C84483" w:rsidRDefault="00E46BDE" w:rsidP="00E46BDE">
      <w:pPr>
        <w:pStyle w:val="Titel"/>
        <w:tabs>
          <w:tab w:val="left" w:pos="8222"/>
        </w:tabs>
        <w:jc w:val="left"/>
        <w:rPr>
          <w:b w:val="0"/>
          <w:szCs w:val="24"/>
        </w:rPr>
      </w:pPr>
    </w:p>
    <w:p w:rsidR="00E46BDE" w:rsidRPr="00C84483" w:rsidRDefault="00E46BDE" w:rsidP="00E46BDE">
      <w:pPr>
        <w:pStyle w:val="Titel"/>
        <w:jc w:val="left"/>
        <w:rPr>
          <w:b w:val="0"/>
          <w:szCs w:val="24"/>
        </w:rPr>
      </w:pPr>
    </w:p>
    <w:p w:rsidR="00E46BDE" w:rsidRPr="00C84483" w:rsidRDefault="00E46BDE" w:rsidP="00E46BDE">
      <w:pPr>
        <w:pStyle w:val="Titel"/>
        <w:jc w:val="left"/>
        <w:rPr>
          <w:b w:val="0"/>
          <w:szCs w:val="24"/>
        </w:rPr>
      </w:pPr>
    </w:p>
    <w:p w:rsidR="00E46BDE" w:rsidRPr="00C84483" w:rsidRDefault="00E46BDE" w:rsidP="00E46BDE">
      <w:pPr>
        <w:jc w:val="center"/>
        <w:rPr>
          <w:b/>
          <w:sz w:val="24"/>
          <w:szCs w:val="24"/>
        </w:rPr>
      </w:pPr>
      <w:r w:rsidRPr="00C84483">
        <w:rPr>
          <w:b/>
          <w:sz w:val="24"/>
          <w:szCs w:val="24"/>
        </w:rPr>
        <w:t>PRODUKTRESUMÉ</w:t>
      </w:r>
    </w:p>
    <w:p w:rsidR="00E46BDE" w:rsidRPr="00C84483" w:rsidRDefault="00E46BDE" w:rsidP="00E46BDE">
      <w:pPr>
        <w:jc w:val="center"/>
        <w:rPr>
          <w:b/>
          <w:sz w:val="24"/>
          <w:szCs w:val="24"/>
        </w:rPr>
      </w:pPr>
    </w:p>
    <w:p w:rsidR="00E46BDE" w:rsidRPr="00C84483" w:rsidRDefault="00E46BDE" w:rsidP="00E46BDE">
      <w:pPr>
        <w:jc w:val="center"/>
        <w:rPr>
          <w:b/>
          <w:sz w:val="24"/>
          <w:szCs w:val="24"/>
        </w:rPr>
      </w:pPr>
      <w:r w:rsidRPr="00C84483">
        <w:rPr>
          <w:b/>
          <w:sz w:val="24"/>
          <w:szCs w:val="24"/>
        </w:rPr>
        <w:t>for</w:t>
      </w:r>
    </w:p>
    <w:p w:rsidR="00E46BDE" w:rsidRPr="00C84483" w:rsidRDefault="00E46BDE" w:rsidP="00E46BDE">
      <w:pPr>
        <w:jc w:val="center"/>
        <w:rPr>
          <w:b/>
          <w:sz w:val="24"/>
          <w:szCs w:val="24"/>
        </w:rPr>
      </w:pPr>
    </w:p>
    <w:p w:rsidR="00E46BDE" w:rsidRPr="00C84483" w:rsidRDefault="00E46BDE" w:rsidP="00E46BDE">
      <w:pPr>
        <w:jc w:val="center"/>
        <w:rPr>
          <w:b/>
          <w:sz w:val="24"/>
          <w:szCs w:val="24"/>
        </w:rPr>
      </w:pPr>
      <w:proofErr w:type="spellStart"/>
      <w:r>
        <w:rPr>
          <w:b/>
          <w:sz w:val="24"/>
          <w:szCs w:val="24"/>
        </w:rPr>
        <w:t>Apotel</w:t>
      </w:r>
      <w:proofErr w:type="spellEnd"/>
      <w:r>
        <w:rPr>
          <w:b/>
          <w:sz w:val="24"/>
          <w:szCs w:val="24"/>
        </w:rPr>
        <w:t>, infusionsvæske, opløsning</w:t>
      </w:r>
    </w:p>
    <w:p w:rsidR="00E46BDE" w:rsidRPr="00C84483" w:rsidRDefault="00E46BDE" w:rsidP="00E46BDE">
      <w:pPr>
        <w:jc w:val="both"/>
        <w:rPr>
          <w:sz w:val="24"/>
          <w:szCs w:val="24"/>
        </w:rPr>
      </w:pPr>
    </w:p>
    <w:p w:rsidR="00E46BDE" w:rsidRPr="008A3919" w:rsidRDefault="00E46BDE" w:rsidP="00E46BDE">
      <w:pPr>
        <w:ind w:left="851" w:hanging="851"/>
        <w:jc w:val="both"/>
        <w:rPr>
          <w:sz w:val="24"/>
          <w:szCs w:val="24"/>
        </w:rPr>
      </w:pPr>
    </w:p>
    <w:p w:rsidR="00E46BDE" w:rsidRPr="008A3919" w:rsidRDefault="00E46BDE" w:rsidP="00E46BDE">
      <w:pPr>
        <w:ind w:left="851" w:hanging="851"/>
        <w:rPr>
          <w:b/>
          <w:sz w:val="24"/>
          <w:szCs w:val="24"/>
        </w:rPr>
      </w:pPr>
      <w:r w:rsidRPr="008A3919">
        <w:rPr>
          <w:b/>
          <w:sz w:val="24"/>
          <w:szCs w:val="24"/>
        </w:rPr>
        <w:t>0.</w:t>
      </w:r>
      <w:r w:rsidRPr="008A3919">
        <w:rPr>
          <w:b/>
          <w:sz w:val="24"/>
          <w:szCs w:val="24"/>
        </w:rPr>
        <w:tab/>
        <w:t>D.SP.NR.</w:t>
      </w:r>
    </w:p>
    <w:p w:rsidR="00E46BDE" w:rsidRPr="008A3919" w:rsidRDefault="00E46BDE" w:rsidP="00E46BDE">
      <w:pPr>
        <w:ind w:left="851" w:hanging="851"/>
        <w:rPr>
          <w:sz w:val="24"/>
          <w:szCs w:val="24"/>
        </w:rPr>
      </w:pPr>
      <w:r w:rsidRPr="008A3919">
        <w:rPr>
          <w:sz w:val="24"/>
          <w:szCs w:val="24"/>
        </w:rPr>
        <w:tab/>
        <w:t>29502</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1.</w:t>
      </w:r>
      <w:r w:rsidRPr="008A3919">
        <w:rPr>
          <w:b/>
          <w:sz w:val="24"/>
          <w:szCs w:val="24"/>
        </w:rPr>
        <w:tab/>
        <w:t>LÆGEMIDLETS NAVN</w:t>
      </w:r>
    </w:p>
    <w:p w:rsidR="00E46BDE" w:rsidRPr="008A3919" w:rsidRDefault="00E46BDE" w:rsidP="00E46BDE">
      <w:pPr>
        <w:ind w:left="851" w:hanging="851"/>
        <w:rPr>
          <w:sz w:val="24"/>
          <w:szCs w:val="24"/>
        </w:rPr>
      </w:pPr>
      <w:r w:rsidRPr="008A3919">
        <w:rPr>
          <w:sz w:val="24"/>
          <w:szCs w:val="24"/>
        </w:rPr>
        <w:tab/>
      </w:r>
      <w:proofErr w:type="spellStart"/>
      <w:r w:rsidRPr="008A3919">
        <w:rPr>
          <w:sz w:val="24"/>
          <w:szCs w:val="24"/>
        </w:rPr>
        <w:t>Apotel</w:t>
      </w:r>
      <w:proofErr w:type="spellEnd"/>
    </w:p>
    <w:p w:rsidR="00E46BDE" w:rsidRPr="008A3919" w:rsidRDefault="00E46BDE" w:rsidP="00E46BDE">
      <w:pPr>
        <w:ind w:left="851" w:hanging="851"/>
        <w:rPr>
          <w:sz w:val="24"/>
          <w:szCs w:val="24"/>
        </w:rPr>
      </w:pPr>
      <w:r w:rsidRPr="008A3919">
        <w:rPr>
          <w:sz w:val="24"/>
          <w:szCs w:val="24"/>
        </w:rPr>
        <w:tab/>
      </w:r>
    </w:p>
    <w:p w:rsidR="00E46BDE" w:rsidRPr="008A3919" w:rsidRDefault="00E46BDE" w:rsidP="00E46BDE">
      <w:pPr>
        <w:ind w:left="851" w:hanging="851"/>
        <w:rPr>
          <w:b/>
          <w:sz w:val="24"/>
          <w:szCs w:val="24"/>
        </w:rPr>
      </w:pPr>
      <w:r w:rsidRPr="008A3919">
        <w:rPr>
          <w:b/>
          <w:sz w:val="24"/>
          <w:szCs w:val="24"/>
        </w:rPr>
        <w:t>2.</w:t>
      </w:r>
      <w:r w:rsidRPr="008A3919">
        <w:rPr>
          <w:b/>
          <w:sz w:val="24"/>
          <w:szCs w:val="24"/>
        </w:rPr>
        <w:tab/>
        <w:t>KVALITATIV OG KVANTITATIV SAMMENSÆTNING</w:t>
      </w:r>
    </w:p>
    <w:p w:rsidR="00E46BDE" w:rsidRPr="008A3919" w:rsidRDefault="00E46BDE" w:rsidP="00E46BDE">
      <w:pPr>
        <w:ind w:firstLine="851"/>
        <w:rPr>
          <w:sz w:val="24"/>
          <w:szCs w:val="24"/>
          <w:lang w:eastAsia="da-DK"/>
        </w:rPr>
      </w:pPr>
      <w:r w:rsidRPr="008A3919">
        <w:rPr>
          <w:sz w:val="24"/>
          <w:szCs w:val="24"/>
        </w:rPr>
        <w:t>1 ml infusionsvæske, opløsning indeholder 10 mg paracetamol.</w:t>
      </w:r>
    </w:p>
    <w:p w:rsidR="00E46BDE" w:rsidRPr="008A3919" w:rsidRDefault="00E46BDE" w:rsidP="00E46BDE">
      <w:pPr>
        <w:ind w:firstLine="851"/>
        <w:rPr>
          <w:sz w:val="24"/>
          <w:szCs w:val="24"/>
        </w:rPr>
      </w:pPr>
      <w:bookmarkStart w:id="1" w:name="OLE_LINK2"/>
      <w:bookmarkStart w:id="2" w:name="OLE_LINK1"/>
      <w:r w:rsidRPr="008A3919">
        <w:rPr>
          <w:sz w:val="24"/>
          <w:szCs w:val="24"/>
        </w:rPr>
        <w:t>1 pose med 100 ml infusionsvæske, opløsning indeholder 1000 mg paracetamol</w:t>
      </w:r>
      <w:bookmarkEnd w:id="1"/>
      <w:bookmarkEnd w:id="2"/>
      <w:r w:rsidRPr="008A3919">
        <w:rPr>
          <w:sz w:val="24"/>
          <w:szCs w:val="24"/>
        </w:rPr>
        <w:t>.</w:t>
      </w:r>
    </w:p>
    <w:p w:rsidR="00E46BDE" w:rsidRDefault="00E46BDE" w:rsidP="00E46BDE">
      <w:pPr>
        <w:rPr>
          <w:sz w:val="24"/>
          <w:szCs w:val="24"/>
        </w:rPr>
      </w:pPr>
    </w:p>
    <w:p w:rsidR="00E46BDE" w:rsidRPr="008A3919" w:rsidRDefault="00E46BDE" w:rsidP="00E46BDE">
      <w:pPr>
        <w:ind w:firstLine="851"/>
        <w:rPr>
          <w:sz w:val="24"/>
          <w:szCs w:val="24"/>
        </w:rPr>
      </w:pPr>
      <w:r w:rsidRPr="008A3919">
        <w:rPr>
          <w:sz w:val="24"/>
          <w:szCs w:val="24"/>
        </w:rPr>
        <w:t>Hjælpestof(fer), som behandleren skal være opmærksom på: Natrium 250 mg/100 ml.</w:t>
      </w:r>
    </w:p>
    <w:p w:rsidR="00E46BDE" w:rsidRDefault="00E46BDE" w:rsidP="00E46BDE">
      <w:pPr>
        <w:rPr>
          <w:sz w:val="24"/>
          <w:szCs w:val="24"/>
        </w:rPr>
      </w:pPr>
    </w:p>
    <w:p w:rsidR="00E46BDE" w:rsidRPr="008A3919" w:rsidRDefault="00E46BDE" w:rsidP="00E46BDE">
      <w:pPr>
        <w:ind w:firstLine="851"/>
        <w:rPr>
          <w:sz w:val="24"/>
          <w:szCs w:val="24"/>
        </w:rPr>
      </w:pPr>
      <w:r w:rsidRPr="008A3919">
        <w:rPr>
          <w:sz w:val="24"/>
          <w:szCs w:val="24"/>
        </w:rPr>
        <w:t>Alle hjælpestoffer er anført under pkt. 6.1.</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3.</w:t>
      </w:r>
      <w:r w:rsidRPr="008A3919">
        <w:rPr>
          <w:b/>
          <w:sz w:val="24"/>
          <w:szCs w:val="24"/>
        </w:rPr>
        <w:tab/>
        <w:t>LÆGEMIDDELFORM</w:t>
      </w:r>
    </w:p>
    <w:p w:rsidR="00E46BDE" w:rsidRPr="008A3919" w:rsidRDefault="00E46BDE" w:rsidP="00E46BDE">
      <w:pPr>
        <w:ind w:left="851"/>
        <w:rPr>
          <w:sz w:val="24"/>
          <w:szCs w:val="24"/>
          <w:lang w:eastAsia="da-DK"/>
        </w:rPr>
      </w:pPr>
      <w:r w:rsidRPr="008A3919">
        <w:rPr>
          <w:sz w:val="24"/>
          <w:szCs w:val="24"/>
        </w:rPr>
        <w:t>Infusionsvæske, opløsning.</w:t>
      </w:r>
    </w:p>
    <w:p w:rsidR="00E46BDE" w:rsidRPr="008A3919" w:rsidRDefault="00E46BDE" w:rsidP="00E46BDE">
      <w:pPr>
        <w:ind w:firstLine="851"/>
        <w:rPr>
          <w:sz w:val="24"/>
          <w:szCs w:val="24"/>
        </w:rPr>
      </w:pPr>
      <w:r>
        <w:rPr>
          <w:sz w:val="24"/>
          <w:szCs w:val="24"/>
        </w:rPr>
        <w:t>O</w:t>
      </w:r>
      <w:r w:rsidRPr="008A3919">
        <w:rPr>
          <w:sz w:val="24"/>
          <w:szCs w:val="24"/>
        </w:rPr>
        <w:t>pløsningen er klar og farveløs til let gullig.</w:t>
      </w:r>
    </w:p>
    <w:p w:rsidR="00E46BDE" w:rsidRPr="008A3919" w:rsidRDefault="00E46BDE" w:rsidP="00E46BDE">
      <w:pPr>
        <w:ind w:left="851"/>
        <w:rPr>
          <w:sz w:val="24"/>
          <w:szCs w:val="24"/>
        </w:rPr>
      </w:pPr>
      <w:r w:rsidRPr="008A3919">
        <w:rPr>
          <w:color w:val="000000"/>
          <w:sz w:val="24"/>
          <w:szCs w:val="24"/>
        </w:rPr>
        <w:t>pH: 4,5-6,0 under holdbarhedsperioden</w:t>
      </w:r>
    </w:p>
    <w:p w:rsidR="00E46BDE" w:rsidRPr="008A3919" w:rsidRDefault="00E46BDE" w:rsidP="00E46BDE">
      <w:pPr>
        <w:ind w:left="851"/>
        <w:rPr>
          <w:sz w:val="24"/>
          <w:szCs w:val="24"/>
        </w:rPr>
      </w:pPr>
      <w:proofErr w:type="spellStart"/>
      <w:r w:rsidRPr="008A3919">
        <w:rPr>
          <w:color w:val="000000"/>
          <w:sz w:val="24"/>
          <w:szCs w:val="24"/>
        </w:rPr>
        <w:t>Osmolaritet</w:t>
      </w:r>
      <w:proofErr w:type="spellEnd"/>
      <w:r w:rsidRPr="008A3919">
        <w:rPr>
          <w:color w:val="000000"/>
          <w:sz w:val="24"/>
          <w:szCs w:val="24"/>
        </w:rPr>
        <w:t xml:space="preserve">: ca. 290 </w:t>
      </w:r>
      <w:proofErr w:type="spellStart"/>
      <w:r w:rsidRPr="008A3919">
        <w:rPr>
          <w:color w:val="000000"/>
          <w:sz w:val="24"/>
          <w:szCs w:val="24"/>
        </w:rPr>
        <w:t>mOsmol</w:t>
      </w:r>
      <w:proofErr w:type="spellEnd"/>
      <w:r w:rsidRPr="008A3919">
        <w:rPr>
          <w:color w:val="000000"/>
          <w:sz w:val="24"/>
          <w:szCs w:val="24"/>
        </w:rPr>
        <w:t>/l</w:t>
      </w:r>
    </w:p>
    <w:p w:rsidR="00E46BDE" w:rsidRPr="008A3919" w:rsidRDefault="00E46BDE" w:rsidP="00E46BDE">
      <w:pPr>
        <w:ind w:left="851" w:hanging="851"/>
        <w:rPr>
          <w:sz w:val="24"/>
          <w:szCs w:val="24"/>
        </w:rPr>
      </w:pP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4.</w:t>
      </w:r>
      <w:r w:rsidRPr="008A3919">
        <w:rPr>
          <w:b/>
          <w:sz w:val="24"/>
          <w:szCs w:val="24"/>
        </w:rPr>
        <w:tab/>
        <w:t>KLINISKE OPLYSNINGER</w:t>
      </w:r>
    </w:p>
    <w:p w:rsidR="00E46BDE" w:rsidRPr="008A3919" w:rsidRDefault="00E46BDE" w:rsidP="00E46BDE">
      <w:pPr>
        <w:ind w:left="851" w:hanging="851"/>
        <w:rPr>
          <w:b/>
          <w:sz w:val="24"/>
          <w:szCs w:val="24"/>
        </w:rPr>
      </w:pPr>
    </w:p>
    <w:p w:rsidR="00E46BDE" w:rsidRPr="008A3919" w:rsidRDefault="00E46BDE" w:rsidP="00E46BDE">
      <w:pPr>
        <w:ind w:left="851" w:hanging="851"/>
        <w:rPr>
          <w:b/>
          <w:sz w:val="24"/>
          <w:szCs w:val="24"/>
          <w:u w:val="single"/>
        </w:rPr>
      </w:pPr>
      <w:r w:rsidRPr="008A3919">
        <w:rPr>
          <w:b/>
          <w:sz w:val="24"/>
          <w:szCs w:val="24"/>
        </w:rPr>
        <w:t>4.1</w:t>
      </w:r>
      <w:r w:rsidRPr="008A3919">
        <w:rPr>
          <w:b/>
          <w:sz w:val="24"/>
          <w:szCs w:val="24"/>
        </w:rPr>
        <w:tab/>
        <w:t>Terapeutiske indikationer</w:t>
      </w:r>
    </w:p>
    <w:p w:rsidR="00E46BDE" w:rsidRPr="008A3919" w:rsidRDefault="00E46BDE" w:rsidP="00E46BDE">
      <w:pPr>
        <w:ind w:left="851"/>
        <w:rPr>
          <w:sz w:val="24"/>
          <w:szCs w:val="24"/>
          <w:lang w:eastAsia="da-DK"/>
        </w:rPr>
      </w:pPr>
      <w:proofErr w:type="spellStart"/>
      <w:r>
        <w:rPr>
          <w:i/>
        </w:rPr>
        <w:t>Apotel</w:t>
      </w:r>
      <w:proofErr w:type="spellEnd"/>
      <w:r>
        <w:t xml:space="preserve"> er</w:t>
      </w:r>
      <w:r w:rsidRPr="008A3919">
        <w:rPr>
          <w:sz w:val="24"/>
          <w:szCs w:val="24"/>
        </w:rPr>
        <w:t xml:space="preserve"> indiceret til kortvarig behandling af moderate smerter, specielt efter kirurgi, samt til kortvarig behandling af feber, når intravenøs administration er klinisk berettiget ved et akut behov for behandling af smerter eller </w:t>
      </w:r>
      <w:proofErr w:type="spellStart"/>
      <w:r w:rsidRPr="008A3919">
        <w:rPr>
          <w:sz w:val="24"/>
          <w:szCs w:val="24"/>
        </w:rPr>
        <w:t>hypertermi</w:t>
      </w:r>
      <w:proofErr w:type="spellEnd"/>
      <w:r w:rsidRPr="008A3919">
        <w:rPr>
          <w:sz w:val="24"/>
          <w:szCs w:val="24"/>
        </w:rPr>
        <w:t xml:space="preserve">, og/eller når anden indgivelsesform ikke er mulig.  </w:t>
      </w:r>
    </w:p>
    <w:p w:rsidR="00E46BDE" w:rsidRDefault="00E46BDE" w:rsidP="00E46BDE">
      <w:pPr>
        <w:ind w:left="851" w:hanging="851"/>
        <w:rPr>
          <w:sz w:val="24"/>
          <w:szCs w:val="24"/>
        </w:rPr>
      </w:pPr>
    </w:p>
    <w:p w:rsidR="00E46BDE" w:rsidRDefault="00E46BDE" w:rsidP="00E46BDE">
      <w:pPr>
        <w:pStyle w:val="Normalindrykning"/>
        <w:ind w:left="851"/>
        <w:rPr>
          <w:szCs w:val="24"/>
        </w:rPr>
      </w:pPr>
      <w:proofErr w:type="spellStart"/>
      <w:r>
        <w:rPr>
          <w:i/>
        </w:rPr>
        <w:t>Apotel</w:t>
      </w:r>
      <w:proofErr w:type="spellEnd"/>
      <w:r>
        <w:rPr>
          <w:i/>
        </w:rPr>
        <w:t xml:space="preserve"> er indiceret til voksne, unge og børn, der vejer mere end 33 kg.</w:t>
      </w:r>
    </w:p>
    <w:p w:rsidR="00E46BDE" w:rsidRPr="008A3919" w:rsidRDefault="00E46BDE" w:rsidP="00E46BDE">
      <w:pPr>
        <w:ind w:left="851" w:hanging="851"/>
        <w:rPr>
          <w:b/>
          <w:sz w:val="24"/>
          <w:szCs w:val="24"/>
        </w:rPr>
      </w:pPr>
      <w:r w:rsidRPr="008A3919">
        <w:rPr>
          <w:b/>
          <w:sz w:val="24"/>
          <w:szCs w:val="24"/>
        </w:rPr>
        <w:t>4.2</w:t>
      </w:r>
      <w:r w:rsidRPr="008A3919">
        <w:rPr>
          <w:b/>
          <w:sz w:val="24"/>
          <w:szCs w:val="24"/>
        </w:rPr>
        <w:tab/>
        <w:t xml:space="preserve">Dosering og </w:t>
      </w:r>
      <w:r w:rsidR="00F72337">
        <w:rPr>
          <w:b/>
          <w:sz w:val="24"/>
          <w:szCs w:val="24"/>
        </w:rPr>
        <w:t>administration</w:t>
      </w:r>
    </w:p>
    <w:p w:rsidR="00E46BDE" w:rsidRPr="008A3919" w:rsidRDefault="00E46BDE" w:rsidP="00E46BDE">
      <w:pPr>
        <w:ind w:firstLine="851"/>
        <w:rPr>
          <w:sz w:val="24"/>
          <w:szCs w:val="24"/>
          <w:lang w:eastAsia="da-DK"/>
        </w:rPr>
      </w:pPr>
      <w:r w:rsidRPr="008A3919">
        <w:rPr>
          <w:sz w:val="24"/>
          <w:szCs w:val="24"/>
        </w:rPr>
        <w:t>Intravenøs anvendelse.</w:t>
      </w:r>
    </w:p>
    <w:p w:rsidR="00E46BDE" w:rsidRPr="008A3919" w:rsidRDefault="00E46BDE" w:rsidP="00E46BDE">
      <w:pPr>
        <w:ind w:firstLine="851"/>
        <w:rPr>
          <w:sz w:val="24"/>
          <w:szCs w:val="24"/>
        </w:rPr>
      </w:pPr>
      <w:r w:rsidRPr="008A3919">
        <w:rPr>
          <w:sz w:val="24"/>
          <w:szCs w:val="24"/>
        </w:rPr>
        <w:t>100 ml posen må kun benyttes til voksne, unge og børn, der vejer mere end 33 kg.</w:t>
      </w:r>
    </w:p>
    <w:p w:rsidR="00E46BDE" w:rsidRPr="008A3919" w:rsidRDefault="00E46BDE" w:rsidP="00E46BDE">
      <w:pPr>
        <w:rPr>
          <w:b/>
          <w:sz w:val="24"/>
          <w:szCs w:val="24"/>
          <w:u w:val="single"/>
        </w:rPr>
      </w:pPr>
    </w:p>
    <w:p w:rsidR="00E46BDE" w:rsidRPr="008A3919" w:rsidRDefault="00E46BDE" w:rsidP="00E46BDE">
      <w:pPr>
        <w:ind w:firstLine="851"/>
        <w:rPr>
          <w:b/>
          <w:bCs/>
          <w:sz w:val="24"/>
          <w:szCs w:val="24"/>
          <w:u w:val="single"/>
        </w:rPr>
      </w:pPr>
      <w:r w:rsidRPr="008A3919">
        <w:rPr>
          <w:b/>
          <w:sz w:val="24"/>
          <w:szCs w:val="24"/>
          <w:u w:val="single"/>
        </w:rPr>
        <w:lastRenderedPageBreak/>
        <w:t>Dosering</w:t>
      </w:r>
    </w:p>
    <w:p w:rsidR="00E46BDE" w:rsidRDefault="00E46BDE" w:rsidP="00E46BDE">
      <w:pPr>
        <w:ind w:firstLine="851"/>
        <w:rPr>
          <w:sz w:val="24"/>
          <w:szCs w:val="24"/>
        </w:rPr>
      </w:pPr>
      <w:r w:rsidRPr="008A3919">
        <w:rPr>
          <w:sz w:val="24"/>
          <w:szCs w:val="24"/>
        </w:rPr>
        <w:t>Dosering er baseret på patientvægt (se doseringsskemaet herunder)</w:t>
      </w:r>
    </w:p>
    <w:p w:rsidR="00E46BDE" w:rsidRPr="008A3919" w:rsidRDefault="00E46BDE" w:rsidP="00E46BDE">
      <w:pPr>
        <w:ind w:firstLine="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716"/>
        <w:gridCol w:w="2155"/>
        <w:gridCol w:w="2207"/>
        <w:gridCol w:w="1727"/>
      </w:tblGrid>
      <w:tr w:rsidR="00E46BDE" w:rsidRPr="008A3919" w:rsidTr="003B4BCE">
        <w:trPr>
          <w:cantSplit/>
        </w:trPr>
        <w:tc>
          <w:tcPr>
            <w:tcW w:w="946"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Patientvægt</w:t>
            </w:r>
          </w:p>
        </w:tc>
        <w:tc>
          <w:tcPr>
            <w:tcW w:w="891"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Dosis pr. indgivelse</w:t>
            </w:r>
          </w:p>
        </w:tc>
        <w:tc>
          <w:tcPr>
            <w:tcW w:w="1119"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Mængde pr. administration</w:t>
            </w:r>
          </w:p>
        </w:tc>
        <w:tc>
          <w:tcPr>
            <w:tcW w:w="1146"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6D031E">
              <w:rPr>
                <w:b/>
                <w:sz w:val="24"/>
                <w:szCs w:val="24"/>
              </w:rPr>
              <w:t xml:space="preserve">Maksimal volumen af </w:t>
            </w:r>
            <w:proofErr w:type="spellStart"/>
            <w:r w:rsidRPr="006D031E">
              <w:rPr>
                <w:b/>
                <w:i/>
                <w:sz w:val="24"/>
                <w:szCs w:val="24"/>
              </w:rPr>
              <w:t>Apotel</w:t>
            </w:r>
            <w:proofErr w:type="spellEnd"/>
            <w:r w:rsidRPr="006D031E">
              <w:rPr>
                <w:b/>
                <w:i/>
                <w:sz w:val="24"/>
                <w:szCs w:val="24"/>
              </w:rPr>
              <w:t xml:space="preserve"> </w:t>
            </w:r>
            <w:r w:rsidRPr="006D031E">
              <w:rPr>
                <w:b/>
                <w:sz w:val="24"/>
                <w:szCs w:val="24"/>
              </w:rPr>
              <w:t xml:space="preserve">pr. </w:t>
            </w:r>
            <w:r w:rsidRPr="008A3919">
              <w:rPr>
                <w:b/>
                <w:sz w:val="24"/>
                <w:szCs w:val="24"/>
              </w:rPr>
              <w:t>administration baseret på gruppens øvre vægtgrænse (ml)**</w:t>
            </w:r>
          </w:p>
        </w:tc>
        <w:tc>
          <w:tcPr>
            <w:tcW w:w="89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Maksimal daglig dosis*</w:t>
            </w:r>
          </w:p>
        </w:tc>
      </w:tr>
      <w:tr w:rsidR="00E46BDE" w:rsidRPr="008A3919" w:rsidTr="003B4BCE">
        <w:trPr>
          <w:cantSplit/>
        </w:trPr>
        <w:tc>
          <w:tcPr>
            <w:tcW w:w="946"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&gt; 33 kg til ≤ 50 kg</w:t>
            </w:r>
          </w:p>
        </w:tc>
        <w:tc>
          <w:tcPr>
            <w:tcW w:w="891"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15 mg/kg</w:t>
            </w:r>
          </w:p>
        </w:tc>
        <w:tc>
          <w:tcPr>
            <w:tcW w:w="1119"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1,5 ml/kg</w:t>
            </w:r>
          </w:p>
        </w:tc>
        <w:tc>
          <w:tcPr>
            <w:tcW w:w="1146"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75 ml</w:t>
            </w:r>
          </w:p>
        </w:tc>
        <w:tc>
          <w:tcPr>
            <w:tcW w:w="89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60 mg/kg, dog højst 3 g</w:t>
            </w:r>
          </w:p>
        </w:tc>
      </w:tr>
      <w:tr w:rsidR="00E46BDE" w:rsidRPr="008A3919" w:rsidTr="003B4BCE">
        <w:trPr>
          <w:cantSplit/>
        </w:trPr>
        <w:tc>
          <w:tcPr>
            <w:tcW w:w="946"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 xml:space="preserve">&gt; 50 kg med yderligere risikofaktorer for </w:t>
            </w:r>
            <w:proofErr w:type="spellStart"/>
            <w:r w:rsidRPr="008A3919">
              <w:rPr>
                <w:b/>
                <w:sz w:val="24"/>
                <w:szCs w:val="24"/>
              </w:rPr>
              <w:t>hepato</w:t>
            </w:r>
            <w:r>
              <w:rPr>
                <w:b/>
                <w:sz w:val="24"/>
                <w:szCs w:val="24"/>
              </w:rPr>
              <w:softHyphen/>
              <w:t>toksici</w:t>
            </w:r>
            <w:r w:rsidRPr="008A3919">
              <w:rPr>
                <w:b/>
                <w:sz w:val="24"/>
                <w:szCs w:val="24"/>
              </w:rPr>
              <w:t>tet</w:t>
            </w:r>
            <w:proofErr w:type="spellEnd"/>
          </w:p>
        </w:tc>
        <w:tc>
          <w:tcPr>
            <w:tcW w:w="891"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 g</w:t>
            </w:r>
          </w:p>
        </w:tc>
        <w:tc>
          <w:tcPr>
            <w:tcW w:w="1119"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100 ml</w:t>
            </w:r>
          </w:p>
        </w:tc>
        <w:tc>
          <w:tcPr>
            <w:tcW w:w="1146"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100 ml</w:t>
            </w:r>
          </w:p>
        </w:tc>
        <w:tc>
          <w:tcPr>
            <w:tcW w:w="89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3 g</w:t>
            </w:r>
          </w:p>
        </w:tc>
      </w:tr>
      <w:tr w:rsidR="00E46BDE" w:rsidRPr="008A3919" w:rsidTr="003B4BCE">
        <w:trPr>
          <w:cantSplit/>
        </w:trPr>
        <w:tc>
          <w:tcPr>
            <w:tcW w:w="946"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 xml:space="preserve">&gt; 50 kg og ingen yderligere risikofaktorer for </w:t>
            </w:r>
            <w:proofErr w:type="spellStart"/>
            <w:r w:rsidRPr="008A3919">
              <w:rPr>
                <w:b/>
                <w:sz w:val="24"/>
                <w:szCs w:val="24"/>
              </w:rPr>
              <w:t>hepato</w:t>
            </w:r>
            <w:r>
              <w:rPr>
                <w:b/>
                <w:sz w:val="24"/>
                <w:szCs w:val="24"/>
              </w:rPr>
              <w:softHyphen/>
            </w:r>
            <w:r w:rsidRPr="008A3919">
              <w:rPr>
                <w:b/>
                <w:sz w:val="24"/>
                <w:szCs w:val="24"/>
              </w:rPr>
              <w:t>toksicitet</w:t>
            </w:r>
            <w:proofErr w:type="spellEnd"/>
          </w:p>
        </w:tc>
        <w:tc>
          <w:tcPr>
            <w:tcW w:w="891"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 g</w:t>
            </w:r>
          </w:p>
        </w:tc>
        <w:tc>
          <w:tcPr>
            <w:tcW w:w="1119"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100 ml</w:t>
            </w:r>
          </w:p>
        </w:tc>
        <w:tc>
          <w:tcPr>
            <w:tcW w:w="1146"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100 ml</w:t>
            </w:r>
          </w:p>
        </w:tc>
        <w:tc>
          <w:tcPr>
            <w:tcW w:w="89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4 g</w:t>
            </w:r>
          </w:p>
        </w:tc>
      </w:tr>
    </w:tbl>
    <w:p w:rsidR="00E46BDE" w:rsidRPr="008A3919" w:rsidRDefault="00E46BDE" w:rsidP="00E46BDE">
      <w:pPr>
        <w:rPr>
          <w:sz w:val="24"/>
          <w:szCs w:val="24"/>
        </w:rPr>
      </w:pPr>
      <w:r w:rsidRPr="008A3919">
        <w:rPr>
          <w:sz w:val="24"/>
          <w:szCs w:val="24"/>
        </w:rPr>
        <w:t>*Maksimal daglig dosis: Den maksimale daglige dosis, som vist i skemaet ovenfor, gælder patienter, der ikke anvender andre lægemidler, der indeholder paracetamol, og bør justeres tilsvarende ved at tage disse lægemidler i betragtning.</w:t>
      </w:r>
    </w:p>
    <w:p w:rsidR="00E46BDE" w:rsidRPr="008A3919" w:rsidRDefault="00E46BDE" w:rsidP="00E46BDE">
      <w:pPr>
        <w:rPr>
          <w:sz w:val="24"/>
          <w:szCs w:val="24"/>
        </w:rPr>
      </w:pPr>
      <w:r w:rsidRPr="008A3919">
        <w:rPr>
          <w:sz w:val="24"/>
          <w:szCs w:val="24"/>
        </w:rPr>
        <w:t>**Patienter med en lavere kropsvægt har brug for en mindre mængde.</w:t>
      </w:r>
    </w:p>
    <w:p w:rsidR="00E46BDE" w:rsidRPr="008A3919" w:rsidRDefault="00E46BDE" w:rsidP="00E46BDE">
      <w:pPr>
        <w:rPr>
          <w:sz w:val="24"/>
          <w:szCs w:val="24"/>
        </w:rPr>
      </w:pPr>
    </w:p>
    <w:p w:rsidR="00E46BDE" w:rsidRPr="008A3919" w:rsidRDefault="00E46BDE" w:rsidP="00E46BDE">
      <w:pPr>
        <w:ind w:left="851"/>
        <w:rPr>
          <w:sz w:val="24"/>
          <w:szCs w:val="24"/>
        </w:rPr>
      </w:pPr>
      <w:r w:rsidRPr="008A3919">
        <w:rPr>
          <w:sz w:val="24"/>
          <w:szCs w:val="24"/>
        </w:rPr>
        <w:t>Minimumsintervallet mellem hver administration skal være 4 timer.</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Minimumsintervallet mellem hver administration hos patienter med svært nedsat nyrefunktion skal være 6 timer.</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Der må ikke gives mere end 4 doser inden for 24 timer.</w:t>
      </w:r>
    </w:p>
    <w:p w:rsidR="00E46BDE" w:rsidRPr="008A3919" w:rsidRDefault="00E46BDE" w:rsidP="00E46BDE">
      <w:pPr>
        <w:ind w:left="851"/>
        <w:rPr>
          <w:i/>
          <w:sz w:val="24"/>
          <w:szCs w:val="24"/>
          <w:u w:val="single"/>
        </w:rPr>
      </w:pPr>
    </w:p>
    <w:p w:rsidR="00E46BDE" w:rsidRPr="008A3919" w:rsidRDefault="00E46BDE" w:rsidP="00E46BDE">
      <w:pPr>
        <w:ind w:left="851"/>
        <w:rPr>
          <w:sz w:val="24"/>
          <w:szCs w:val="24"/>
        </w:rPr>
      </w:pPr>
      <w:r w:rsidRPr="008A3919">
        <w:rPr>
          <w:i/>
          <w:sz w:val="24"/>
          <w:szCs w:val="24"/>
          <w:u w:val="single"/>
        </w:rPr>
        <w:t>Svær nyreinsufficiens:</w:t>
      </w:r>
    </w:p>
    <w:p w:rsidR="00E46BDE" w:rsidRPr="008A3919" w:rsidRDefault="00E46BDE" w:rsidP="00E46BDE">
      <w:pPr>
        <w:ind w:left="851"/>
        <w:rPr>
          <w:sz w:val="24"/>
          <w:szCs w:val="24"/>
        </w:rPr>
      </w:pPr>
      <w:r w:rsidRPr="008A3919">
        <w:rPr>
          <w:sz w:val="24"/>
          <w:szCs w:val="24"/>
        </w:rPr>
        <w:t>Når der gives paracetamol til patienter med svært nedsat nyrefunktion (</w:t>
      </w:r>
      <w:proofErr w:type="spellStart"/>
      <w:r w:rsidRPr="008A3919">
        <w:rPr>
          <w:sz w:val="24"/>
          <w:szCs w:val="24"/>
        </w:rPr>
        <w:t>kreatininclearance</w:t>
      </w:r>
      <w:proofErr w:type="spellEnd"/>
      <w:r w:rsidRPr="008A3919">
        <w:rPr>
          <w:sz w:val="24"/>
          <w:szCs w:val="24"/>
        </w:rPr>
        <w:t xml:space="preserve"> ≤ 30 ml/min), anbefales det at øge minimumsintervallet mellem hver administration til 6 timer (se pkt. 5.2).</w:t>
      </w:r>
    </w:p>
    <w:p w:rsidR="00E46BDE" w:rsidRPr="008A3919" w:rsidRDefault="00E46BDE" w:rsidP="00E46BDE">
      <w:pPr>
        <w:ind w:left="851"/>
        <w:rPr>
          <w:i/>
          <w:sz w:val="24"/>
          <w:szCs w:val="24"/>
          <w:u w:val="single"/>
        </w:rPr>
      </w:pPr>
    </w:p>
    <w:p w:rsidR="00E46BDE" w:rsidRPr="008A3919" w:rsidRDefault="00E46BDE" w:rsidP="00E46BDE">
      <w:pPr>
        <w:ind w:left="851"/>
        <w:rPr>
          <w:sz w:val="24"/>
          <w:szCs w:val="24"/>
        </w:rPr>
      </w:pPr>
      <w:r w:rsidRPr="008A3919">
        <w:rPr>
          <w:i/>
          <w:sz w:val="24"/>
          <w:szCs w:val="24"/>
          <w:u w:val="single"/>
        </w:rPr>
        <w:t xml:space="preserve">Hos voksne med </w:t>
      </w:r>
      <w:proofErr w:type="spellStart"/>
      <w:r w:rsidRPr="008A3919">
        <w:rPr>
          <w:i/>
          <w:sz w:val="24"/>
          <w:szCs w:val="24"/>
          <w:u w:val="single"/>
        </w:rPr>
        <w:t>hepatocellulær</w:t>
      </w:r>
      <w:proofErr w:type="spellEnd"/>
      <w:r w:rsidRPr="008A3919">
        <w:rPr>
          <w:i/>
          <w:sz w:val="24"/>
          <w:szCs w:val="24"/>
          <w:u w:val="single"/>
        </w:rPr>
        <w:t xml:space="preserve"> insufficiens, kronisk alkoholisme, kronisk fejlernæring (små reserver af </w:t>
      </w:r>
      <w:proofErr w:type="spellStart"/>
      <w:r w:rsidRPr="008A3919">
        <w:rPr>
          <w:i/>
          <w:sz w:val="24"/>
          <w:szCs w:val="24"/>
          <w:u w:val="single"/>
        </w:rPr>
        <w:t>hepatisk</w:t>
      </w:r>
      <w:proofErr w:type="spellEnd"/>
      <w:r w:rsidRPr="008A3919">
        <w:rPr>
          <w:i/>
          <w:sz w:val="24"/>
          <w:szCs w:val="24"/>
          <w:u w:val="single"/>
        </w:rPr>
        <w:t xml:space="preserve"> </w:t>
      </w:r>
      <w:proofErr w:type="spellStart"/>
      <w:r w:rsidRPr="008A3919">
        <w:rPr>
          <w:i/>
          <w:sz w:val="24"/>
          <w:szCs w:val="24"/>
          <w:u w:val="single"/>
        </w:rPr>
        <w:t>glutathion</w:t>
      </w:r>
      <w:proofErr w:type="spellEnd"/>
      <w:r w:rsidRPr="008A3919">
        <w:rPr>
          <w:i/>
          <w:sz w:val="24"/>
          <w:szCs w:val="24"/>
          <w:u w:val="single"/>
        </w:rPr>
        <w:t>), dehydrering:</w:t>
      </w:r>
    </w:p>
    <w:p w:rsidR="00E46BDE" w:rsidRPr="008A3919" w:rsidRDefault="00E46BDE" w:rsidP="00E46BDE">
      <w:pPr>
        <w:ind w:left="851"/>
        <w:rPr>
          <w:sz w:val="24"/>
          <w:szCs w:val="24"/>
        </w:rPr>
      </w:pPr>
      <w:r w:rsidRPr="008A3919">
        <w:rPr>
          <w:sz w:val="24"/>
          <w:szCs w:val="24"/>
        </w:rPr>
        <w:t>Den maksimale daglige dosis må ikke overstige 3 g (se pkt. 4.4).</w:t>
      </w:r>
    </w:p>
    <w:p w:rsidR="00E46BDE" w:rsidRPr="008A3919" w:rsidRDefault="00E46BDE" w:rsidP="00E46BDE">
      <w:pPr>
        <w:rPr>
          <w:b/>
          <w:sz w:val="24"/>
          <w:szCs w:val="24"/>
          <w:u w:val="single"/>
        </w:rPr>
      </w:pPr>
    </w:p>
    <w:p w:rsidR="00E46BDE" w:rsidRPr="008A3919" w:rsidRDefault="00E46BDE" w:rsidP="00E46BDE">
      <w:pPr>
        <w:ind w:firstLine="851"/>
        <w:rPr>
          <w:sz w:val="24"/>
          <w:szCs w:val="24"/>
        </w:rPr>
      </w:pPr>
      <w:r w:rsidRPr="008A3919">
        <w:rPr>
          <w:b/>
          <w:sz w:val="24"/>
          <w:szCs w:val="24"/>
          <w:u w:val="single"/>
        </w:rPr>
        <w:t>Administration</w:t>
      </w:r>
    </w:p>
    <w:tbl>
      <w:tblPr>
        <w:tblW w:w="91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46BDE" w:rsidRPr="008A3919" w:rsidTr="003B4BCE">
        <w:tc>
          <w:tcPr>
            <w:tcW w:w="9134"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Ved ordination og administration skal der udvises forsigtighed for at undgå doseringsfejl forårsaget af forveksling mellem milligram (mg) og milliliter (ml). Forveksling kan resultere i utilsigtet overdosering og død. Det skal sikres, at den rigtige dosis kommunikeres og dispenseres. Ved ordinationen skal den totale dosis anføres i både mg og volumen. Det skal sikres at dosis afmåles og administreres nøjagtigt.</w:t>
            </w:r>
          </w:p>
        </w:tc>
      </w:tr>
    </w:tbl>
    <w:p w:rsidR="00E46BDE" w:rsidRPr="008A3919" w:rsidRDefault="00E46BDE" w:rsidP="00E46BDE">
      <w:pPr>
        <w:rPr>
          <w:sz w:val="24"/>
          <w:szCs w:val="24"/>
        </w:rPr>
      </w:pPr>
    </w:p>
    <w:p w:rsidR="00E46BDE" w:rsidRPr="008A3919" w:rsidRDefault="00E46BDE" w:rsidP="00E46BDE">
      <w:pPr>
        <w:ind w:firstLine="851"/>
        <w:rPr>
          <w:sz w:val="24"/>
          <w:szCs w:val="24"/>
        </w:rPr>
      </w:pPr>
      <w:r w:rsidRPr="008A3919">
        <w:rPr>
          <w:sz w:val="24"/>
          <w:szCs w:val="24"/>
        </w:rPr>
        <w:t>Paracetamol-opløsningen skal administreres som en intravenøs infusion over 15 minutter.</w:t>
      </w:r>
    </w:p>
    <w:p w:rsidR="00E46BDE" w:rsidRPr="008A3919" w:rsidRDefault="00E46BDE" w:rsidP="00E46BDE">
      <w:pPr>
        <w:ind w:left="851" w:hanging="851"/>
        <w:rPr>
          <w:b/>
          <w:sz w:val="24"/>
          <w:szCs w:val="24"/>
        </w:rPr>
      </w:pPr>
      <w:r>
        <w:rPr>
          <w:sz w:val="24"/>
          <w:szCs w:val="24"/>
        </w:rPr>
        <w:br w:type="page"/>
      </w:r>
      <w:r w:rsidRPr="008A3919">
        <w:rPr>
          <w:b/>
          <w:sz w:val="24"/>
          <w:szCs w:val="24"/>
        </w:rPr>
        <w:lastRenderedPageBreak/>
        <w:t>4.3</w:t>
      </w:r>
      <w:r w:rsidRPr="008A3919">
        <w:rPr>
          <w:b/>
          <w:sz w:val="24"/>
          <w:szCs w:val="24"/>
        </w:rPr>
        <w:tab/>
        <w:t>Kontraindikationer</w:t>
      </w:r>
    </w:p>
    <w:p w:rsidR="00E46BDE" w:rsidRPr="008A3919" w:rsidRDefault="00E46BDE" w:rsidP="00E46BDE">
      <w:pPr>
        <w:numPr>
          <w:ilvl w:val="0"/>
          <w:numId w:val="6"/>
        </w:numPr>
        <w:ind w:left="1276" w:hanging="425"/>
        <w:rPr>
          <w:sz w:val="24"/>
          <w:szCs w:val="24"/>
        </w:rPr>
      </w:pPr>
      <w:r>
        <w:t xml:space="preserve">Overfølsomhed over for det aktive stof, paracetamol, </w:t>
      </w:r>
      <w:proofErr w:type="spellStart"/>
      <w:r>
        <w:t>propacetamolhydrochlorid</w:t>
      </w:r>
      <w:proofErr w:type="spellEnd"/>
      <w:r>
        <w:t xml:space="preserve"> (prodrug til paracetamol) eller over for et eller flere af hjælpestofferne anført i pkt. 6.1.</w:t>
      </w:r>
    </w:p>
    <w:p w:rsidR="00E46BDE" w:rsidRPr="008A3919" w:rsidRDefault="00E46BDE" w:rsidP="00E46BDE">
      <w:pPr>
        <w:numPr>
          <w:ilvl w:val="0"/>
          <w:numId w:val="6"/>
        </w:numPr>
        <w:ind w:left="1276" w:hanging="425"/>
        <w:rPr>
          <w:sz w:val="24"/>
          <w:szCs w:val="24"/>
        </w:rPr>
      </w:pPr>
      <w:r>
        <w:rPr>
          <w:sz w:val="24"/>
          <w:szCs w:val="24"/>
        </w:rPr>
        <w:t>V</w:t>
      </w:r>
      <w:r w:rsidRPr="008A3919">
        <w:rPr>
          <w:sz w:val="24"/>
          <w:szCs w:val="24"/>
        </w:rPr>
        <w:t xml:space="preserve">ed svær </w:t>
      </w:r>
      <w:proofErr w:type="spellStart"/>
      <w:r w:rsidRPr="008A3919">
        <w:rPr>
          <w:sz w:val="24"/>
          <w:szCs w:val="24"/>
        </w:rPr>
        <w:t>hepatocellulær</w:t>
      </w:r>
      <w:proofErr w:type="spellEnd"/>
      <w:r w:rsidRPr="008A3919">
        <w:rPr>
          <w:sz w:val="24"/>
          <w:szCs w:val="24"/>
        </w:rPr>
        <w:t xml:space="preserve"> insufficiens.</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4.4</w:t>
      </w:r>
      <w:r w:rsidRPr="008A3919">
        <w:rPr>
          <w:b/>
          <w:sz w:val="24"/>
          <w:szCs w:val="24"/>
        </w:rPr>
        <w:tab/>
        <w:t>Særlige advarsler og forsigtighedsregler vedrørende brugen</w:t>
      </w:r>
    </w:p>
    <w:p w:rsidR="00E46BDE" w:rsidRPr="008A3919" w:rsidRDefault="00E46BDE" w:rsidP="00E46BDE">
      <w:pPr>
        <w:rPr>
          <w:sz w:val="24"/>
          <w:szCs w:val="24"/>
        </w:rPr>
      </w:pPr>
    </w:p>
    <w:p w:rsidR="00E46BDE" w:rsidRPr="008A3919" w:rsidRDefault="00E46BDE" w:rsidP="00E46BDE">
      <w:pPr>
        <w:ind w:firstLine="851"/>
        <w:rPr>
          <w:b/>
          <w:sz w:val="24"/>
          <w:szCs w:val="24"/>
          <w:lang w:eastAsia="da-DK"/>
        </w:rPr>
      </w:pPr>
      <w:r w:rsidRPr="008A3919">
        <w:rPr>
          <w:b/>
          <w:sz w:val="24"/>
          <w:szCs w:val="24"/>
        </w:rPr>
        <w:t>Advarsler</w:t>
      </w:r>
    </w:p>
    <w:p w:rsidR="00E46BDE" w:rsidRPr="008A3919" w:rsidRDefault="00E46BDE" w:rsidP="00E46BDE">
      <w:pPr>
        <w:rPr>
          <w:sz w:val="24"/>
          <w:szCs w:val="24"/>
        </w:rPr>
      </w:pPr>
    </w:p>
    <w:tbl>
      <w:tblPr>
        <w:tblStyle w:val="Tabel-Gitter"/>
        <w:tblW w:w="9214" w:type="dxa"/>
        <w:tblInd w:w="959" w:type="dxa"/>
        <w:tblLook w:val="04A0" w:firstRow="1" w:lastRow="0" w:firstColumn="1" w:lastColumn="0" w:noHBand="0" w:noVBand="1"/>
      </w:tblPr>
      <w:tblGrid>
        <w:gridCol w:w="9214"/>
      </w:tblGrid>
      <w:tr w:rsidR="00E46BDE" w:rsidRPr="008A3919" w:rsidTr="003B4BCE">
        <w:tc>
          <w:tcPr>
            <w:tcW w:w="9214" w:type="dxa"/>
          </w:tcPr>
          <w:p w:rsidR="00E46BDE" w:rsidRPr="008A3919" w:rsidRDefault="00E46BDE" w:rsidP="003B4BCE">
            <w:pPr>
              <w:rPr>
                <w:sz w:val="24"/>
                <w:szCs w:val="24"/>
              </w:rPr>
            </w:pPr>
            <w:r w:rsidRPr="008A3919">
              <w:rPr>
                <w:sz w:val="24"/>
                <w:szCs w:val="24"/>
              </w:rPr>
              <w:t>RISIKO FOR MEDICINERINGSFEJL</w:t>
            </w:r>
          </w:p>
          <w:p w:rsidR="00E46BDE" w:rsidRPr="008A3919" w:rsidRDefault="00E46BDE" w:rsidP="003B4BCE">
            <w:pPr>
              <w:rPr>
                <w:sz w:val="24"/>
                <w:szCs w:val="24"/>
              </w:rPr>
            </w:pPr>
            <w:r w:rsidRPr="008A3919">
              <w:rPr>
                <w:sz w:val="24"/>
                <w:szCs w:val="24"/>
              </w:rPr>
              <w:t>Vær opmærksom på risikoen for doseringsfejl forårsaget af forveksling mellem milligram (mg) og milliliter (ml). Forveksling kan resultere i utilsigtet overdosering og død (se pkt. 4.2).</w:t>
            </w:r>
          </w:p>
        </w:tc>
      </w:tr>
    </w:tbl>
    <w:p w:rsidR="00E46BDE" w:rsidRPr="008A3919" w:rsidRDefault="00E46BDE" w:rsidP="00E46BDE">
      <w:pPr>
        <w:rPr>
          <w:sz w:val="24"/>
          <w:szCs w:val="24"/>
        </w:rPr>
      </w:pPr>
    </w:p>
    <w:p w:rsidR="00E46BDE" w:rsidRPr="008A3919" w:rsidRDefault="00E46BDE" w:rsidP="00E46BDE">
      <w:pPr>
        <w:ind w:left="851"/>
        <w:rPr>
          <w:sz w:val="24"/>
          <w:szCs w:val="24"/>
        </w:rPr>
      </w:pPr>
      <w:r w:rsidRPr="008A3919">
        <w:rPr>
          <w:sz w:val="24"/>
          <w:szCs w:val="24"/>
        </w:rPr>
        <w:t>Det anbefales at anvende en passende analgetisk oral behandling, så snart denne administrationsform er mulig.</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 xml:space="preserve">For at undgå risiko for overdosering bør det kontrolleres, at anden behandling hverken indeholder paracetamol eller </w:t>
      </w:r>
      <w:proofErr w:type="spellStart"/>
      <w:r w:rsidRPr="008A3919">
        <w:rPr>
          <w:sz w:val="24"/>
          <w:szCs w:val="24"/>
        </w:rPr>
        <w:t>propacetamol</w:t>
      </w:r>
      <w:proofErr w:type="spellEnd"/>
      <w:r w:rsidRPr="008A3919">
        <w:rPr>
          <w:sz w:val="24"/>
          <w:szCs w:val="24"/>
        </w:rPr>
        <w:t>.</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 xml:space="preserve">Doser, der er større end de anbefalede, kan medføre risiko for meget alvorlige leverskader. Kliniske tegn og symptomer på leverskade (herunder fulminant hepatitis, leversvigt, </w:t>
      </w:r>
      <w:proofErr w:type="spellStart"/>
      <w:r w:rsidRPr="008A3919">
        <w:rPr>
          <w:sz w:val="24"/>
          <w:szCs w:val="24"/>
        </w:rPr>
        <w:t>kolestatisk</w:t>
      </w:r>
      <w:proofErr w:type="spellEnd"/>
      <w:r w:rsidRPr="008A3919">
        <w:rPr>
          <w:sz w:val="24"/>
          <w:szCs w:val="24"/>
        </w:rPr>
        <w:t xml:space="preserve"> hepatitis, </w:t>
      </w:r>
      <w:proofErr w:type="spellStart"/>
      <w:r w:rsidRPr="008A3919">
        <w:rPr>
          <w:sz w:val="24"/>
          <w:szCs w:val="24"/>
        </w:rPr>
        <w:t>cytolytisk</w:t>
      </w:r>
      <w:proofErr w:type="spellEnd"/>
      <w:r w:rsidRPr="008A3919">
        <w:rPr>
          <w:sz w:val="24"/>
          <w:szCs w:val="24"/>
        </w:rPr>
        <w:t xml:space="preserve"> hepatitis) ses sædvanligvis først to dage efter administration af lægemidlet, og når sædvanligvis et maksimum 4-6 dage efter administration. Behandling med </w:t>
      </w:r>
      <w:proofErr w:type="spellStart"/>
      <w:r w:rsidRPr="008A3919">
        <w:rPr>
          <w:sz w:val="24"/>
          <w:szCs w:val="24"/>
        </w:rPr>
        <w:t>antidot</w:t>
      </w:r>
      <w:proofErr w:type="spellEnd"/>
      <w:r w:rsidRPr="008A3919">
        <w:rPr>
          <w:sz w:val="24"/>
          <w:szCs w:val="24"/>
        </w:rPr>
        <w:t xml:space="preserve"> skal gives hurtigst muligt (se pkt. 4.9). Forsigtighedsregler vedrørende brugen</w:t>
      </w:r>
    </w:p>
    <w:p w:rsidR="00E46BDE" w:rsidRPr="008A3919" w:rsidRDefault="00E46BDE" w:rsidP="00E46BDE">
      <w:pPr>
        <w:rPr>
          <w:sz w:val="24"/>
          <w:szCs w:val="24"/>
        </w:rPr>
      </w:pPr>
    </w:p>
    <w:p w:rsidR="00E46BDE" w:rsidRPr="008A3919" w:rsidRDefault="00E46BDE" w:rsidP="00E46BDE">
      <w:pPr>
        <w:ind w:left="851"/>
        <w:rPr>
          <w:sz w:val="24"/>
          <w:szCs w:val="24"/>
        </w:rPr>
      </w:pPr>
      <w:r w:rsidRPr="008A3919">
        <w:rPr>
          <w:sz w:val="24"/>
          <w:szCs w:val="24"/>
        </w:rPr>
        <w:t>Paracetamol skal anvendes med forsigtighed i tilfælde af:</w:t>
      </w:r>
    </w:p>
    <w:p w:rsidR="00E46BDE" w:rsidRPr="008A3919" w:rsidRDefault="00E46BDE" w:rsidP="00E46BDE">
      <w:pPr>
        <w:numPr>
          <w:ilvl w:val="0"/>
          <w:numId w:val="7"/>
        </w:numPr>
        <w:ind w:left="1276" w:hanging="425"/>
        <w:rPr>
          <w:sz w:val="24"/>
          <w:szCs w:val="24"/>
        </w:rPr>
      </w:pPr>
      <w:proofErr w:type="spellStart"/>
      <w:r w:rsidRPr="008A3919">
        <w:rPr>
          <w:sz w:val="24"/>
          <w:szCs w:val="24"/>
        </w:rPr>
        <w:t>hepatocellulær</w:t>
      </w:r>
      <w:proofErr w:type="spellEnd"/>
      <w:r w:rsidRPr="008A3919">
        <w:rPr>
          <w:sz w:val="24"/>
          <w:szCs w:val="24"/>
        </w:rPr>
        <w:t xml:space="preserve"> insufficiens</w:t>
      </w:r>
    </w:p>
    <w:p w:rsidR="00E46BDE" w:rsidRPr="008A3919" w:rsidRDefault="00E46BDE" w:rsidP="00E46BDE">
      <w:pPr>
        <w:numPr>
          <w:ilvl w:val="0"/>
          <w:numId w:val="7"/>
        </w:numPr>
        <w:ind w:left="1276" w:hanging="425"/>
        <w:rPr>
          <w:sz w:val="24"/>
          <w:szCs w:val="24"/>
        </w:rPr>
      </w:pPr>
      <w:r w:rsidRPr="008A3919">
        <w:rPr>
          <w:sz w:val="24"/>
          <w:szCs w:val="24"/>
        </w:rPr>
        <w:t>svær nyreinsufficiens (</w:t>
      </w:r>
      <w:proofErr w:type="spellStart"/>
      <w:r w:rsidRPr="008A3919">
        <w:rPr>
          <w:sz w:val="24"/>
          <w:szCs w:val="24"/>
        </w:rPr>
        <w:t>kreatininclearance</w:t>
      </w:r>
      <w:proofErr w:type="spellEnd"/>
      <w:r w:rsidRPr="008A3919">
        <w:rPr>
          <w:sz w:val="24"/>
          <w:szCs w:val="24"/>
        </w:rPr>
        <w:t xml:space="preserve"> ≤ 30 ml/min) (se pkt. 4.2 og pkt. 5.2)</w:t>
      </w:r>
    </w:p>
    <w:p w:rsidR="00E46BDE" w:rsidRPr="008A3919" w:rsidRDefault="00E46BDE" w:rsidP="00E46BDE">
      <w:pPr>
        <w:numPr>
          <w:ilvl w:val="0"/>
          <w:numId w:val="7"/>
        </w:numPr>
        <w:ind w:left="1276" w:hanging="425"/>
        <w:rPr>
          <w:sz w:val="24"/>
          <w:szCs w:val="24"/>
        </w:rPr>
      </w:pPr>
      <w:r w:rsidRPr="008A3919">
        <w:rPr>
          <w:sz w:val="24"/>
          <w:szCs w:val="24"/>
        </w:rPr>
        <w:t>kronisk alkoholisme</w:t>
      </w:r>
    </w:p>
    <w:p w:rsidR="00E46BDE" w:rsidRPr="008A3919" w:rsidRDefault="00E46BDE" w:rsidP="00E46BDE">
      <w:pPr>
        <w:numPr>
          <w:ilvl w:val="0"/>
          <w:numId w:val="7"/>
        </w:numPr>
        <w:ind w:left="1276" w:hanging="425"/>
        <w:rPr>
          <w:sz w:val="24"/>
          <w:szCs w:val="24"/>
        </w:rPr>
      </w:pPr>
      <w:r w:rsidRPr="008A3919">
        <w:rPr>
          <w:sz w:val="24"/>
          <w:szCs w:val="24"/>
        </w:rPr>
        <w:t xml:space="preserve">kronisk </w:t>
      </w:r>
      <w:proofErr w:type="spellStart"/>
      <w:r w:rsidRPr="008A3919">
        <w:rPr>
          <w:sz w:val="24"/>
          <w:szCs w:val="24"/>
        </w:rPr>
        <w:t>malnutrition</w:t>
      </w:r>
      <w:proofErr w:type="spellEnd"/>
      <w:r w:rsidRPr="008A3919">
        <w:rPr>
          <w:sz w:val="24"/>
          <w:szCs w:val="24"/>
        </w:rPr>
        <w:t xml:space="preserve"> (små reserver af </w:t>
      </w:r>
      <w:proofErr w:type="spellStart"/>
      <w:r w:rsidRPr="008A3919">
        <w:rPr>
          <w:sz w:val="24"/>
          <w:szCs w:val="24"/>
        </w:rPr>
        <w:t>hepatisk</w:t>
      </w:r>
      <w:proofErr w:type="spellEnd"/>
      <w:r w:rsidRPr="008A3919">
        <w:rPr>
          <w:sz w:val="24"/>
          <w:szCs w:val="24"/>
        </w:rPr>
        <w:t xml:space="preserve"> </w:t>
      </w:r>
      <w:proofErr w:type="spellStart"/>
      <w:r w:rsidRPr="008A3919">
        <w:rPr>
          <w:sz w:val="24"/>
          <w:szCs w:val="24"/>
        </w:rPr>
        <w:t>glutation</w:t>
      </w:r>
      <w:proofErr w:type="spellEnd"/>
      <w:r w:rsidRPr="008A3919">
        <w:rPr>
          <w:sz w:val="24"/>
          <w:szCs w:val="24"/>
        </w:rPr>
        <w:t>)</w:t>
      </w:r>
    </w:p>
    <w:p w:rsidR="00E46BDE" w:rsidRDefault="00E46BDE" w:rsidP="00E46BDE">
      <w:pPr>
        <w:numPr>
          <w:ilvl w:val="0"/>
          <w:numId w:val="7"/>
        </w:numPr>
        <w:ind w:left="1276" w:hanging="425"/>
        <w:rPr>
          <w:sz w:val="24"/>
          <w:szCs w:val="24"/>
        </w:rPr>
      </w:pPr>
      <w:r w:rsidRPr="008A3919">
        <w:rPr>
          <w:sz w:val="24"/>
          <w:szCs w:val="24"/>
        </w:rPr>
        <w:t>dehydrering.</w:t>
      </w:r>
    </w:p>
    <w:p w:rsidR="00F72337" w:rsidRPr="00F72337" w:rsidRDefault="00F72337" w:rsidP="00F72337">
      <w:pPr>
        <w:ind w:left="851"/>
        <w:rPr>
          <w:sz w:val="24"/>
          <w:szCs w:val="24"/>
        </w:rPr>
      </w:pPr>
      <w:r w:rsidRPr="00F72337">
        <w:rPr>
          <w:rStyle w:val="KommentartekstTegn"/>
          <w:sz w:val="24"/>
          <w:szCs w:val="24"/>
        </w:rPr>
        <w:t xml:space="preserve">Forsigtighed tilrådes, når paracetamol gives samtidigt med </w:t>
      </w:r>
      <w:proofErr w:type="spellStart"/>
      <w:r w:rsidRPr="00F72337">
        <w:rPr>
          <w:rStyle w:val="KommentartekstTegn"/>
          <w:sz w:val="24"/>
          <w:szCs w:val="24"/>
        </w:rPr>
        <w:t>flucloxacillin</w:t>
      </w:r>
      <w:proofErr w:type="spellEnd"/>
      <w:r w:rsidRPr="00F72337">
        <w:rPr>
          <w:rStyle w:val="KommentartekstTegn"/>
          <w:sz w:val="24"/>
          <w:szCs w:val="24"/>
        </w:rPr>
        <w:t xml:space="preserve"> på grund af den forhøjede risiko for metabolisk </w:t>
      </w:r>
      <w:proofErr w:type="spellStart"/>
      <w:r w:rsidRPr="00F72337">
        <w:rPr>
          <w:rStyle w:val="KommentartekstTegn"/>
          <w:sz w:val="24"/>
          <w:szCs w:val="24"/>
        </w:rPr>
        <w:t>acidose</w:t>
      </w:r>
      <w:proofErr w:type="spellEnd"/>
      <w:r w:rsidRPr="00F72337">
        <w:rPr>
          <w:rStyle w:val="KommentartekstTegn"/>
          <w:sz w:val="24"/>
          <w:szCs w:val="24"/>
        </w:rPr>
        <w:t xml:space="preserve"> med højt anion-</w:t>
      </w:r>
      <w:proofErr w:type="spellStart"/>
      <w:r w:rsidRPr="00F72337">
        <w:rPr>
          <w:rStyle w:val="KommentartekstTegn"/>
          <w:sz w:val="24"/>
          <w:szCs w:val="24"/>
        </w:rPr>
        <w:t>gap</w:t>
      </w:r>
      <w:proofErr w:type="spellEnd"/>
      <w:r w:rsidRPr="00F72337">
        <w:rPr>
          <w:rStyle w:val="KommentartekstTegn"/>
          <w:sz w:val="24"/>
          <w:szCs w:val="24"/>
        </w:rPr>
        <w:t xml:space="preserve"> (HAGMA), særligt for patienter med svært nedsat nyrefunktion, sepsis, fejlernæring og andre kilder til </w:t>
      </w:r>
      <w:proofErr w:type="spellStart"/>
      <w:r w:rsidRPr="00F72337">
        <w:rPr>
          <w:rStyle w:val="KommentartekstTegn"/>
          <w:sz w:val="24"/>
          <w:szCs w:val="24"/>
        </w:rPr>
        <w:t>glutathionmangel</w:t>
      </w:r>
      <w:proofErr w:type="spellEnd"/>
      <w:r w:rsidRPr="00F72337">
        <w:rPr>
          <w:rStyle w:val="KommentartekstTegn"/>
          <w:sz w:val="24"/>
          <w:szCs w:val="24"/>
        </w:rPr>
        <w:t xml:space="preserve"> (f.eks. kronisk alkoholisme), så vel som for dem, der anvender maksimale daglige doser af paracetamol. Tæt monitorering anbefales herunder måling af 5-oxoprolin i urinen</w:t>
      </w:r>
      <w:r>
        <w:rPr>
          <w:rStyle w:val="KommentartekstTegn"/>
          <w:sz w:val="24"/>
          <w:szCs w:val="24"/>
        </w:rPr>
        <w:t>.</w:t>
      </w:r>
    </w:p>
    <w:p w:rsidR="00E46BDE" w:rsidRPr="008A3919" w:rsidRDefault="00E46BDE" w:rsidP="00E46BDE">
      <w:pPr>
        <w:rPr>
          <w:sz w:val="24"/>
          <w:szCs w:val="24"/>
        </w:rPr>
      </w:pPr>
    </w:p>
    <w:p w:rsidR="00E46BDE" w:rsidRPr="008A3919" w:rsidRDefault="00E46BDE" w:rsidP="00E46BDE">
      <w:pPr>
        <w:ind w:left="851"/>
        <w:rPr>
          <w:sz w:val="24"/>
          <w:szCs w:val="24"/>
        </w:rPr>
      </w:pPr>
      <w:r w:rsidRPr="008A3919">
        <w:rPr>
          <w:sz w:val="24"/>
          <w:szCs w:val="24"/>
        </w:rPr>
        <w:t xml:space="preserve">Dette lægemiddel indeholder ca. 10,9 mmol (eller 250 mg) natrium pr. 100 ml af </w:t>
      </w:r>
      <w:proofErr w:type="spellStart"/>
      <w:r>
        <w:rPr>
          <w:i/>
        </w:rPr>
        <w:t>Apotel</w:t>
      </w:r>
      <w:proofErr w:type="spellEnd"/>
      <w:r w:rsidRPr="008A3919">
        <w:rPr>
          <w:sz w:val="24"/>
          <w:szCs w:val="24"/>
        </w:rPr>
        <w:t>. Det skal der tages hensyn til for patienter, som er på natriumfattig diæt.</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4.5</w:t>
      </w:r>
      <w:r w:rsidRPr="008A3919">
        <w:rPr>
          <w:b/>
          <w:sz w:val="24"/>
          <w:szCs w:val="24"/>
        </w:rPr>
        <w:tab/>
        <w:t>Interaktion med andre lægemidler og andre former for interaktion</w:t>
      </w:r>
    </w:p>
    <w:p w:rsidR="00E46BDE" w:rsidRPr="008A3919" w:rsidRDefault="00E46BDE" w:rsidP="00E46BDE">
      <w:pPr>
        <w:numPr>
          <w:ilvl w:val="0"/>
          <w:numId w:val="9"/>
        </w:numPr>
        <w:ind w:left="1276" w:hanging="425"/>
        <w:rPr>
          <w:sz w:val="24"/>
          <w:szCs w:val="24"/>
          <w:lang w:eastAsia="da-DK"/>
        </w:rPr>
      </w:pPr>
      <w:proofErr w:type="spellStart"/>
      <w:r w:rsidRPr="008A3919">
        <w:rPr>
          <w:sz w:val="24"/>
          <w:szCs w:val="24"/>
        </w:rPr>
        <w:t>Probenecid</w:t>
      </w:r>
      <w:proofErr w:type="spellEnd"/>
      <w:r w:rsidRPr="008A3919">
        <w:rPr>
          <w:sz w:val="24"/>
          <w:szCs w:val="24"/>
        </w:rPr>
        <w:t xml:space="preserve"> forårsager næsten en dobbelt reduktion af </w:t>
      </w:r>
      <w:proofErr w:type="spellStart"/>
      <w:r w:rsidRPr="008A3919">
        <w:rPr>
          <w:sz w:val="24"/>
          <w:szCs w:val="24"/>
        </w:rPr>
        <w:t>clearance</w:t>
      </w:r>
      <w:proofErr w:type="spellEnd"/>
      <w:r w:rsidRPr="008A3919">
        <w:rPr>
          <w:sz w:val="24"/>
          <w:szCs w:val="24"/>
        </w:rPr>
        <w:t xml:space="preserve"> af paracetamol ved at hæmme dets konjugation med </w:t>
      </w:r>
      <w:proofErr w:type="spellStart"/>
      <w:r w:rsidRPr="008A3919">
        <w:rPr>
          <w:sz w:val="24"/>
          <w:szCs w:val="24"/>
        </w:rPr>
        <w:t>glukoronsyre</w:t>
      </w:r>
      <w:proofErr w:type="spellEnd"/>
      <w:r w:rsidRPr="008A3919">
        <w:rPr>
          <w:sz w:val="24"/>
          <w:szCs w:val="24"/>
        </w:rPr>
        <w:t xml:space="preserve">. Der skal overvejes en dosisreduktion af paracetamol ved samtidig behandling med </w:t>
      </w:r>
      <w:proofErr w:type="spellStart"/>
      <w:r w:rsidRPr="008A3919">
        <w:rPr>
          <w:sz w:val="24"/>
          <w:szCs w:val="24"/>
        </w:rPr>
        <w:t>probenecid</w:t>
      </w:r>
      <w:proofErr w:type="spellEnd"/>
      <w:r w:rsidRPr="008A3919">
        <w:rPr>
          <w:sz w:val="24"/>
          <w:szCs w:val="24"/>
        </w:rPr>
        <w:t>.</w:t>
      </w:r>
    </w:p>
    <w:p w:rsidR="00E46BDE" w:rsidRPr="008A3919" w:rsidRDefault="00E46BDE" w:rsidP="00E46BDE">
      <w:pPr>
        <w:ind w:left="1276" w:hanging="425"/>
        <w:rPr>
          <w:sz w:val="24"/>
          <w:szCs w:val="24"/>
          <w:lang w:eastAsia="da-DK"/>
        </w:rPr>
      </w:pPr>
    </w:p>
    <w:p w:rsidR="00E46BDE" w:rsidRPr="008A3919" w:rsidRDefault="00E46BDE" w:rsidP="00E46BDE">
      <w:pPr>
        <w:numPr>
          <w:ilvl w:val="0"/>
          <w:numId w:val="8"/>
        </w:numPr>
        <w:ind w:left="1276" w:hanging="425"/>
        <w:rPr>
          <w:sz w:val="24"/>
          <w:szCs w:val="24"/>
        </w:rPr>
      </w:pPr>
      <w:r w:rsidRPr="008A3919">
        <w:rPr>
          <w:sz w:val="24"/>
          <w:szCs w:val="24"/>
        </w:rPr>
        <w:t>Salicylamid kan forlænge eliminationshalveringstiden for paracetamol.</w:t>
      </w:r>
    </w:p>
    <w:p w:rsidR="00E46BDE" w:rsidRPr="008A3919" w:rsidRDefault="00E46BDE" w:rsidP="00E46BDE">
      <w:pPr>
        <w:ind w:left="1276" w:hanging="425"/>
        <w:rPr>
          <w:sz w:val="24"/>
          <w:szCs w:val="24"/>
        </w:rPr>
      </w:pPr>
    </w:p>
    <w:p w:rsidR="00E46BDE" w:rsidRPr="008A3919" w:rsidRDefault="00E46BDE" w:rsidP="00E46BDE">
      <w:pPr>
        <w:numPr>
          <w:ilvl w:val="0"/>
          <w:numId w:val="8"/>
        </w:numPr>
        <w:ind w:left="1276" w:hanging="425"/>
        <w:rPr>
          <w:sz w:val="24"/>
          <w:szCs w:val="24"/>
        </w:rPr>
      </w:pPr>
      <w:r w:rsidRPr="008A3919">
        <w:rPr>
          <w:sz w:val="24"/>
          <w:szCs w:val="24"/>
        </w:rPr>
        <w:lastRenderedPageBreak/>
        <w:t>Der skal udvises forsigtighed ved samtidig indtagelse af enzyminducerende stoffer (se pkt. 4.9).</w:t>
      </w:r>
    </w:p>
    <w:p w:rsidR="00E46BDE" w:rsidRPr="008A3919" w:rsidRDefault="00E46BDE" w:rsidP="00E46BDE">
      <w:pPr>
        <w:ind w:left="1276" w:hanging="425"/>
        <w:rPr>
          <w:sz w:val="24"/>
          <w:szCs w:val="24"/>
        </w:rPr>
      </w:pPr>
    </w:p>
    <w:p w:rsidR="00E46BDE" w:rsidRDefault="00E46BDE" w:rsidP="00E46BDE">
      <w:pPr>
        <w:numPr>
          <w:ilvl w:val="0"/>
          <w:numId w:val="8"/>
        </w:numPr>
        <w:ind w:left="1276" w:hanging="425"/>
        <w:rPr>
          <w:sz w:val="24"/>
          <w:szCs w:val="24"/>
        </w:rPr>
      </w:pPr>
      <w:r w:rsidRPr="008A3919">
        <w:rPr>
          <w:sz w:val="24"/>
          <w:szCs w:val="24"/>
        </w:rPr>
        <w:t xml:space="preserve">Samtidig brug af paracetamol (4 g </w:t>
      </w:r>
      <w:r>
        <w:rPr>
          <w:sz w:val="24"/>
          <w:szCs w:val="24"/>
        </w:rPr>
        <w:t>daglig</w:t>
      </w:r>
      <w:r w:rsidRPr="008A3919">
        <w:rPr>
          <w:sz w:val="24"/>
          <w:szCs w:val="24"/>
        </w:rPr>
        <w:t xml:space="preserve"> i mindst 4 dage) og orale </w:t>
      </w:r>
      <w:proofErr w:type="spellStart"/>
      <w:r w:rsidRPr="008A3919">
        <w:rPr>
          <w:sz w:val="24"/>
          <w:szCs w:val="24"/>
        </w:rPr>
        <w:t>antikoagulantia</w:t>
      </w:r>
      <w:proofErr w:type="spellEnd"/>
      <w:r w:rsidRPr="008A3919">
        <w:rPr>
          <w:sz w:val="24"/>
          <w:szCs w:val="24"/>
        </w:rPr>
        <w:t xml:space="preserve"> kan medføre mindre udsving i INR-værdier. Hvis dette er tilfældet, bør monitorering af INR-værdier øges under kombinationsbehandlingen samt i 1 uge efter </w:t>
      </w:r>
      <w:proofErr w:type="spellStart"/>
      <w:r w:rsidRPr="008A3919">
        <w:rPr>
          <w:sz w:val="24"/>
          <w:szCs w:val="24"/>
        </w:rPr>
        <w:t>seponering</w:t>
      </w:r>
      <w:proofErr w:type="spellEnd"/>
      <w:r w:rsidRPr="008A3919">
        <w:rPr>
          <w:sz w:val="24"/>
          <w:szCs w:val="24"/>
        </w:rPr>
        <w:t xml:space="preserve"> af paracetamol.</w:t>
      </w:r>
    </w:p>
    <w:p w:rsidR="00F72337" w:rsidRDefault="00F72337" w:rsidP="00F72337">
      <w:pPr>
        <w:pStyle w:val="Listeafsnit"/>
        <w:rPr>
          <w:sz w:val="24"/>
          <w:szCs w:val="24"/>
        </w:rPr>
      </w:pPr>
    </w:p>
    <w:p w:rsidR="00F72337" w:rsidRPr="00F72337" w:rsidRDefault="00F72337" w:rsidP="00E46BDE">
      <w:pPr>
        <w:numPr>
          <w:ilvl w:val="0"/>
          <w:numId w:val="8"/>
        </w:numPr>
        <w:ind w:left="1276" w:hanging="425"/>
        <w:rPr>
          <w:sz w:val="28"/>
          <w:szCs w:val="24"/>
        </w:rPr>
      </w:pPr>
      <w:r w:rsidRPr="00F72337">
        <w:rPr>
          <w:rStyle w:val="KommentartekstTegn"/>
          <w:sz w:val="24"/>
        </w:rPr>
        <w:t>Der bør udvises</w:t>
      </w:r>
      <w:r w:rsidRPr="00F72337">
        <w:rPr>
          <w:sz w:val="24"/>
        </w:rPr>
        <w:t xml:space="preserve"> </w:t>
      </w:r>
      <w:r w:rsidRPr="00F72337">
        <w:rPr>
          <w:rStyle w:val="KommentartekstTegn"/>
          <w:sz w:val="24"/>
        </w:rPr>
        <w:t xml:space="preserve">forsigtighed, når paracetamol anvendes samtidig med </w:t>
      </w:r>
      <w:proofErr w:type="spellStart"/>
      <w:r w:rsidRPr="00F72337">
        <w:rPr>
          <w:rStyle w:val="KommentartekstTegn"/>
          <w:sz w:val="24"/>
        </w:rPr>
        <w:t>flucloxacillin</w:t>
      </w:r>
      <w:proofErr w:type="spellEnd"/>
      <w:r w:rsidRPr="00F72337">
        <w:rPr>
          <w:rStyle w:val="KommentartekstTegn"/>
          <w:sz w:val="24"/>
        </w:rPr>
        <w:t xml:space="preserve">, idet samtidig brug kan være forbundet med metabolisk </w:t>
      </w:r>
      <w:proofErr w:type="spellStart"/>
      <w:r w:rsidRPr="00F72337">
        <w:rPr>
          <w:rStyle w:val="KommentartekstTegn"/>
          <w:sz w:val="24"/>
        </w:rPr>
        <w:t>acidose</w:t>
      </w:r>
      <w:proofErr w:type="spellEnd"/>
      <w:r w:rsidRPr="00F72337">
        <w:rPr>
          <w:rStyle w:val="KommentartekstTegn"/>
          <w:sz w:val="24"/>
        </w:rPr>
        <w:t xml:space="preserve"> med høj anion-</w:t>
      </w:r>
      <w:proofErr w:type="spellStart"/>
      <w:r w:rsidRPr="00F72337">
        <w:rPr>
          <w:rStyle w:val="KommentartekstTegn"/>
          <w:sz w:val="24"/>
        </w:rPr>
        <w:t>gap</w:t>
      </w:r>
      <w:proofErr w:type="spellEnd"/>
      <w:r w:rsidRPr="00F72337">
        <w:rPr>
          <w:rStyle w:val="KommentartekstTegn"/>
          <w:sz w:val="24"/>
        </w:rPr>
        <w:t>, særligt hos patienter med risikofaktorer (se afsnit 4.4).</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4.6</w:t>
      </w:r>
      <w:r w:rsidRPr="008A3919">
        <w:rPr>
          <w:b/>
          <w:sz w:val="24"/>
          <w:szCs w:val="24"/>
        </w:rPr>
        <w:tab/>
      </w:r>
      <w:r w:rsidR="00F72337">
        <w:rPr>
          <w:b/>
          <w:sz w:val="24"/>
          <w:szCs w:val="24"/>
        </w:rPr>
        <w:t>Fertilitet, g</w:t>
      </w:r>
      <w:r w:rsidRPr="008A3919">
        <w:rPr>
          <w:b/>
          <w:sz w:val="24"/>
          <w:szCs w:val="24"/>
        </w:rPr>
        <w:t>raviditet og amning</w:t>
      </w:r>
    </w:p>
    <w:p w:rsidR="00E46BDE" w:rsidRPr="008A3919" w:rsidRDefault="00E46BDE" w:rsidP="00E46BDE">
      <w:pPr>
        <w:ind w:left="851"/>
        <w:rPr>
          <w:b/>
          <w:sz w:val="24"/>
          <w:szCs w:val="24"/>
          <w:lang w:eastAsia="da-DK"/>
        </w:rPr>
      </w:pPr>
      <w:r w:rsidRPr="008A3919">
        <w:rPr>
          <w:b/>
          <w:sz w:val="24"/>
          <w:szCs w:val="24"/>
        </w:rPr>
        <w:t>Graviditet</w:t>
      </w:r>
    </w:p>
    <w:p w:rsidR="00E46BDE" w:rsidRDefault="00E46BDE" w:rsidP="00E46BDE">
      <w:pPr>
        <w:pStyle w:val="Normalindrykning"/>
        <w:spacing w:after="0" w:line="240" w:lineRule="auto"/>
        <w:ind w:left="851"/>
      </w:pPr>
      <w:r>
        <w:t xml:space="preserve">En stor mængde data for gravide kvinder peger hverken på risiko for misdannelser eller toksicitet hos fosteret/den nyfødte. Epidemiologiske studier af den neurologiske udvikling hos børn, der eksponeres for paracetamol i uterus, viser </w:t>
      </w:r>
      <w:proofErr w:type="spellStart"/>
      <w:r>
        <w:t>inkonklusive</w:t>
      </w:r>
      <w:proofErr w:type="spellEnd"/>
      <w:r>
        <w:t xml:space="preserve"> resultater. Paracetamol kan anvendes under graviditet, hvis det er klinisk indiceret, men bør tages i den laveste effektive dosis, så kort tid som muligt og med lavest mulige hyppighed.</w:t>
      </w:r>
    </w:p>
    <w:p w:rsidR="00E46BDE" w:rsidRDefault="00E46BDE" w:rsidP="00E46BDE">
      <w:pPr>
        <w:pStyle w:val="Normalindrykning"/>
        <w:spacing w:after="0" w:line="240" w:lineRule="auto"/>
        <w:ind w:left="851"/>
      </w:pPr>
      <w:r>
        <w:t xml:space="preserve"> </w:t>
      </w:r>
    </w:p>
    <w:p w:rsidR="00E46BDE" w:rsidRDefault="00E46BDE" w:rsidP="00E46BDE">
      <w:pPr>
        <w:pStyle w:val="Normalindrykning"/>
        <w:spacing w:after="0" w:line="240" w:lineRule="auto"/>
        <w:ind w:left="851"/>
        <w:rPr>
          <w:b/>
          <w:szCs w:val="24"/>
        </w:rPr>
      </w:pPr>
      <w:r>
        <w:rPr>
          <w:b/>
        </w:rPr>
        <w:t>Amning</w:t>
      </w:r>
    </w:p>
    <w:p w:rsidR="00E46BDE" w:rsidRPr="008A3919" w:rsidRDefault="00E46BDE" w:rsidP="00E46BDE">
      <w:pPr>
        <w:ind w:left="851"/>
        <w:rPr>
          <w:sz w:val="24"/>
          <w:szCs w:val="24"/>
        </w:rPr>
      </w:pPr>
      <w:r>
        <w:t xml:space="preserve">Efter oral administration udskilles paracetamol i modermælk i små mængder. Der er ikke rapporteret bivirkninger fra børn, der bliver ammet. </w:t>
      </w:r>
      <w:proofErr w:type="spellStart"/>
      <w:r>
        <w:rPr>
          <w:i/>
        </w:rPr>
        <w:t>Apotel</w:t>
      </w:r>
      <w:proofErr w:type="spellEnd"/>
      <w:r>
        <w:t xml:space="preserve"> kan således anvendes til ammende kvinder.</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4.7</w:t>
      </w:r>
      <w:r w:rsidRPr="008A3919">
        <w:rPr>
          <w:b/>
          <w:sz w:val="24"/>
          <w:szCs w:val="24"/>
        </w:rPr>
        <w:tab/>
        <w:t xml:space="preserve">Virkning på evnen til at føre motorkøretøj </w:t>
      </w:r>
      <w:r w:rsidR="00F72337">
        <w:rPr>
          <w:b/>
          <w:sz w:val="24"/>
          <w:szCs w:val="24"/>
        </w:rPr>
        <w:t>og</w:t>
      </w:r>
      <w:r w:rsidRPr="008A3919">
        <w:rPr>
          <w:b/>
          <w:sz w:val="24"/>
          <w:szCs w:val="24"/>
        </w:rPr>
        <w:t xml:space="preserve"> betjene maskiner</w:t>
      </w:r>
    </w:p>
    <w:p w:rsidR="00E46BDE" w:rsidRPr="008A3919" w:rsidRDefault="00E46BDE" w:rsidP="00E46BDE">
      <w:pPr>
        <w:ind w:firstLine="851"/>
        <w:rPr>
          <w:sz w:val="24"/>
          <w:szCs w:val="24"/>
          <w:lang w:eastAsia="da-DK"/>
        </w:rPr>
      </w:pPr>
      <w:r w:rsidRPr="008A3919">
        <w:rPr>
          <w:sz w:val="24"/>
          <w:szCs w:val="24"/>
        </w:rPr>
        <w:t>Ikke mærkning</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4.8</w:t>
      </w:r>
      <w:r w:rsidRPr="008A3919">
        <w:rPr>
          <w:b/>
          <w:sz w:val="24"/>
          <w:szCs w:val="24"/>
        </w:rPr>
        <w:tab/>
        <w:t>Bivirkninger</w:t>
      </w:r>
    </w:p>
    <w:p w:rsidR="00E46BDE" w:rsidRDefault="00E46BDE" w:rsidP="00E46BDE">
      <w:pPr>
        <w:ind w:left="851"/>
        <w:rPr>
          <w:sz w:val="24"/>
          <w:szCs w:val="24"/>
        </w:rPr>
      </w:pPr>
      <w:r w:rsidRPr="008A3919">
        <w:rPr>
          <w:sz w:val="24"/>
          <w:szCs w:val="24"/>
        </w:rPr>
        <w:t>Som for alle lægemidler, der indeholder paracetamol, er bivirkningsreaktioner sjældne (&gt;1/10.000, &lt;1/1.000) eller meget sjældne (&lt;1/10.000), og de beskrives nedenfor:</w:t>
      </w:r>
    </w:p>
    <w:p w:rsidR="00E46BDE" w:rsidRPr="008A3919" w:rsidRDefault="00E46BDE" w:rsidP="00E46BDE">
      <w:pPr>
        <w:ind w:left="851"/>
        <w:rPr>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3210"/>
        <w:gridCol w:w="3208"/>
      </w:tblGrid>
      <w:tr w:rsidR="00E46BDE" w:rsidRPr="008A3919" w:rsidTr="003B4BCE">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Systemorganklasse</w:t>
            </w:r>
          </w:p>
        </w:tc>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Sjælden</w:t>
            </w:r>
          </w:p>
          <w:p w:rsidR="00E46BDE" w:rsidRPr="008A3919" w:rsidRDefault="00E46BDE" w:rsidP="003B4BCE">
            <w:pPr>
              <w:rPr>
                <w:sz w:val="24"/>
                <w:szCs w:val="24"/>
              </w:rPr>
            </w:pPr>
            <w:r w:rsidRPr="008A3919">
              <w:rPr>
                <w:b/>
                <w:sz w:val="24"/>
                <w:szCs w:val="24"/>
              </w:rPr>
              <w:t>&gt;1/10.000, &lt;1/1.000</w:t>
            </w:r>
          </w:p>
        </w:tc>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Meget sjælden</w:t>
            </w:r>
          </w:p>
          <w:p w:rsidR="00E46BDE" w:rsidRPr="008A3919" w:rsidRDefault="00E46BDE" w:rsidP="003B4BCE">
            <w:pPr>
              <w:rPr>
                <w:sz w:val="24"/>
                <w:szCs w:val="24"/>
              </w:rPr>
            </w:pPr>
            <w:r w:rsidRPr="008A3919">
              <w:rPr>
                <w:b/>
                <w:sz w:val="24"/>
                <w:szCs w:val="24"/>
              </w:rPr>
              <w:t>&lt;1/10.000</w:t>
            </w:r>
          </w:p>
        </w:tc>
      </w:tr>
      <w:tr w:rsidR="00E46BDE" w:rsidRPr="008A3919" w:rsidTr="003B4BCE">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Almene symptomer og reaktioner ved administrationsstedet</w:t>
            </w:r>
          </w:p>
        </w:tc>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Utilpashed</w:t>
            </w:r>
          </w:p>
        </w:tc>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Overfølsomhedsreaktion</w:t>
            </w:r>
          </w:p>
        </w:tc>
      </w:tr>
      <w:tr w:rsidR="00E46BDE" w:rsidRPr="008A3919" w:rsidTr="003B4BCE">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Hjertesygdomme</w:t>
            </w:r>
          </w:p>
        </w:tc>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Hypotension</w:t>
            </w:r>
          </w:p>
        </w:tc>
        <w:tc>
          <w:tcPr>
            <w:tcW w:w="1667" w:type="pct"/>
            <w:tcBorders>
              <w:top w:val="single" w:sz="4" w:space="0" w:color="auto"/>
              <w:left w:val="single" w:sz="4" w:space="0" w:color="auto"/>
              <w:bottom w:val="single" w:sz="4" w:space="0" w:color="auto"/>
              <w:right w:val="single" w:sz="4" w:space="0" w:color="auto"/>
            </w:tcBorders>
          </w:tcPr>
          <w:p w:rsidR="00E46BDE" w:rsidRPr="008A3919" w:rsidRDefault="00E46BDE" w:rsidP="003B4BCE">
            <w:pPr>
              <w:rPr>
                <w:sz w:val="24"/>
                <w:szCs w:val="24"/>
              </w:rPr>
            </w:pPr>
          </w:p>
        </w:tc>
      </w:tr>
      <w:tr w:rsidR="00E46BDE" w:rsidRPr="008A3919" w:rsidTr="003B4BCE">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Lever og galdeveje</w:t>
            </w:r>
          </w:p>
        </w:tc>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 xml:space="preserve">Forhøjede </w:t>
            </w:r>
            <w:proofErr w:type="spellStart"/>
            <w:r w:rsidRPr="008A3919">
              <w:rPr>
                <w:sz w:val="24"/>
                <w:szCs w:val="24"/>
              </w:rPr>
              <w:t>levertransaminaser</w:t>
            </w:r>
            <w:proofErr w:type="spellEnd"/>
          </w:p>
        </w:tc>
        <w:tc>
          <w:tcPr>
            <w:tcW w:w="1667" w:type="pct"/>
            <w:tcBorders>
              <w:top w:val="single" w:sz="4" w:space="0" w:color="auto"/>
              <w:left w:val="single" w:sz="4" w:space="0" w:color="auto"/>
              <w:bottom w:val="single" w:sz="4" w:space="0" w:color="auto"/>
              <w:right w:val="single" w:sz="4" w:space="0" w:color="auto"/>
            </w:tcBorders>
          </w:tcPr>
          <w:p w:rsidR="00E46BDE" w:rsidRPr="008A3919" w:rsidRDefault="00E46BDE" w:rsidP="003B4BCE">
            <w:pPr>
              <w:rPr>
                <w:sz w:val="24"/>
                <w:szCs w:val="24"/>
              </w:rPr>
            </w:pPr>
          </w:p>
        </w:tc>
      </w:tr>
      <w:tr w:rsidR="00E46BDE" w:rsidRPr="008A3919" w:rsidTr="003B4BCE">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b/>
                <w:sz w:val="24"/>
                <w:szCs w:val="24"/>
              </w:rPr>
              <w:t>Blod og lymfesystem</w:t>
            </w:r>
          </w:p>
        </w:tc>
        <w:tc>
          <w:tcPr>
            <w:tcW w:w="1667" w:type="pct"/>
            <w:tcBorders>
              <w:top w:val="single" w:sz="4" w:space="0" w:color="auto"/>
              <w:left w:val="single" w:sz="4" w:space="0" w:color="auto"/>
              <w:bottom w:val="single" w:sz="4" w:space="0" w:color="auto"/>
              <w:right w:val="single" w:sz="4" w:space="0" w:color="auto"/>
            </w:tcBorders>
          </w:tcPr>
          <w:p w:rsidR="00E46BDE" w:rsidRPr="008A3919" w:rsidRDefault="00E46BDE" w:rsidP="003B4BCE">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proofErr w:type="spellStart"/>
            <w:r w:rsidRPr="008A3919">
              <w:rPr>
                <w:sz w:val="24"/>
                <w:szCs w:val="24"/>
              </w:rPr>
              <w:t>Trombocytopeni</w:t>
            </w:r>
            <w:proofErr w:type="spellEnd"/>
          </w:p>
          <w:p w:rsidR="00E46BDE" w:rsidRPr="008A3919" w:rsidRDefault="00E46BDE" w:rsidP="003B4BCE">
            <w:pPr>
              <w:rPr>
                <w:sz w:val="24"/>
                <w:szCs w:val="24"/>
              </w:rPr>
            </w:pPr>
            <w:proofErr w:type="spellStart"/>
            <w:r w:rsidRPr="008A3919">
              <w:rPr>
                <w:sz w:val="24"/>
                <w:szCs w:val="24"/>
              </w:rPr>
              <w:t>Leukopeni</w:t>
            </w:r>
            <w:proofErr w:type="spellEnd"/>
          </w:p>
          <w:p w:rsidR="00E46BDE" w:rsidRPr="008A3919" w:rsidRDefault="00E46BDE" w:rsidP="003B4BCE">
            <w:pPr>
              <w:rPr>
                <w:sz w:val="24"/>
                <w:szCs w:val="24"/>
              </w:rPr>
            </w:pPr>
            <w:proofErr w:type="spellStart"/>
            <w:r w:rsidRPr="008A3919">
              <w:rPr>
                <w:sz w:val="24"/>
                <w:szCs w:val="24"/>
              </w:rPr>
              <w:t>Neutropeni</w:t>
            </w:r>
            <w:proofErr w:type="spellEnd"/>
          </w:p>
        </w:tc>
      </w:tr>
    </w:tbl>
    <w:p w:rsidR="00E46BDE" w:rsidRPr="008A3919" w:rsidRDefault="00E46BDE" w:rsidP="00E46BDE">
      <w:pPr>
        <w:rPr>
          <w:sz w:val="24"/>
          <w:szCs w:val="24"/>
        </w:rPr>
      </w:pPr>
    </w:p>
    <w:p w:rsidR="00E46BDE" w:rsidRPr="008A3919" w:rsidRDefault="00E46BDE" w:rsidP="00E46BDE">
      <w:pPr>
        <w:ind w:left="851"/>
        <w:rPr>
          <w:sz w:val="24"/>
          <w:szCs w:val="24"/>
        </w:rPr>
      </w:pPr>
      <w:r w:rsidRPr="008A3919">
        <w:rPr>
          <w:sz w:val="24"/>
          <w:szCs w:val="24"/>
        </w:rPr>
        <w:t>Hyppige bivirkninger på injektionsstedet er blevet indberettet under kliniske forsøg (smerter og en brændende fornemmelse).</w:t>
      </w:r>
    </w:p>
    <w:p w:rsidR="00E46BDE" w:rsidRDefault="00E46BDE" w:rsidP="00E46BDE">
      <w:pPr>
        <w:ind w:left="851"/>
        <w:rPr>
          <w:sz w:val="24"/>
          <w:szCs w:val="24"/>
        </w:rPr>
      </w:pPr>
    </w:p>
    <w:p w:rsidR="00E46BDE" w:rsidRDefault="00E46BDE" w:rsidP="00E46BDE">
      <w:pPr>
        <w:pStyle w:val="Normalindrykning"/>
        <w:spacing w:after="0" w:line="240" w:lineRule="auto"/>
        <w:ind w:left="851"/>
      </w:pPr>
      <w:r>
        <w:t>Meget sjældne tilfælde af alvorlige hudreaktioner er rapporteret.</w:t>
      </w:r>
    </w:p>
    <w:p w:rsidR="00E46BDE" w:rsidRDefault="00E46BDE" w:rsidP="00E46BDE">
      <w:pPr>
        <w:pStyle w:val="Normalindrykning"/>
        <w:spacing w:after="0" w:line="240" w:lineRule="auto"/>
        <w:ind w:left="851"/>
        <w:rPr>
          <w:szCs w:val="24"/>
        </w:rPr>
      </w:pPr>
    </w:p>
    <w:p w:rsidR="00E46BDE" w:rsidRDefault="00E46BDE" w:rsidP="00E46BDE">
      <w:pPr>
        <w:pStyle w:val="Normalindrykning"/>
        <w:spacing w:after="0" w:line="240" w:lineRule="auto"/>
        <w:ind w:left="851"/>
        <w:rPr>
          <w:szCs w:val="24"/>
        </w:rPr>
      </w:pPr>
      <w:r>
        <w:t xml:space="preserve">Meget sjældne tilfælde af overfølsomhedsreaktioner varierende fra simpelt hududslæt eller </w:t>
      </w:r>
      <w:proofErr w:type="spellStart"/>
      <w:r>
        <w:t>urticaria</w:t>
      </w:r>
      <w:proofErr w:type="spellEnd"/>
      <w:r>
        <w:t xml:space="preserve"> til </w:t>
      </w:r>
      <w:proofErr w:type="spellStart"/>
      <w:r>
        <w:t>anafylaktisk</w:t>
      </w:r>
      <w:proofErr w:type="spellEnd"/>
      <w:r>
        <w:t xml:space="preserve"> </w:t>
      </w:r>
      <w:proofErr w:type="spellStart"/>
      <w:r>
        <w:t>shock</w:t>
      </w:r>
      <w:proofErr w:type="spellEnd"/>
      <w:r>
        <w:t xml:space="preserve"> er rapporteret og kræver behandlingsophør.</w:t>
      </w:r>
    </w:p>
    <w:p w:rsidR="00E46BDE" w:rsidRDefault="00E46BDE" w:rsidP="00E46BDE">
      <w:pPr>
        <w:pStyle w:val="Normalindrykning"/>
        <w:spacing w:after="0" w:line="240" w:lineRule="auto"/>
        <w:ind w:left="851"/>
      </w:pPr>
      <w:r>
        <w:t xml:space="preserve">Der har været indberetninger om </w:t>
      </w:r>
      <w:proofErr w:type="spellStart"/>
      <w:r>
        <w:t>erytem</w:t>
      </w:r>
      <w:proofErr w:type="spellEnd"/>
      <w:r>
        <w:t xml:space="preserve">, rødmen, </w:t>
      </w:r>
      <w:proofErr w:type="spellStart"/>
      <w:r>
        <w:t>pruritus</w:t>
      </w:r>
      <w:proofErr w:type="spellEnd"/>
      <w:r>
        <w:t xml:space="preserve"> og </w:t>
      </w:r>
      <w:proofErr w:type="spellStart"/>
      <w:r>
        <w:t>takykardi</w:t>
      </w:r>
      <w:proofErr w:type="spellEnd"/>
      <w:r>
        <w:t>.</w:t>
      </w:r>
    </w:p>
    <w:p w:rsidR="00E46BDE" w:rsidRDefault="00E46BDE" w:rsidP="00E46BDE">
      <w:pPr>
        <w:pStyle w:val="Normalindrykning"/>
        <w:spacing w:after="0" w:line="240" w:lineRule="auto"/>
        <w:ind w:left="851"/>
        <w:rPr>
          <w:szCs w:val="24"/>
        </w:rPr>
      </w:pPr>
    </w:p>
    <w:p w:rsidR="00E46BDE" w:rsidRPr="003709D1" w:rsidRDefault="00E46BDE" w:rsidP="00E46BDE">
      <w:pPr>
        <w:autoSpaceDE w:val="0"/>
        <w:autoSpaceDN w:val="0"/>
        <w:adjustRightInd w:val="0"/>
        <w:ind w:left="851"/>
        <w:jc w:val="both"/>
        <w:rPr>
          <w:sz w:val="24"/>
          <w:szCs w:val="24"/>
          <w:u w:val="single"/>
        </w:rPr>
      </w:pPr>
      <w:r w:rsidRPr="003709D1">
        <w:rPr>
          <w:sz w:val="24"/>
          <w:szCs w:val="24"/>
          <w:u w:val="single"/>
        </w:rPr>
        <w:t>Indberetning af formodede bivirkninger</w:t>
      </w:r>
    </w:p>
    <w:p w:rsidR="00E46BDE" w:rsidRPr="000825DB" w:rsidRDefault="00E46BDE" w:rsidP="00E46BDE">
      <w:pPr>
        <w:autoSpaceDE w:val="0"/>
        <w:autoSpaceDN w:val="0"/>
        <w:adjustRightInd w:val="0"/>
        <w:ind w:left="851"/>
        <w:rPr>
          <w:sz w:val="24"/>
          <w:szCs w:val="24"/>
        </w:rPr>
      </w:pPr>
      <w:r w:rsidRPr="000825DB">
        <w:rPr>
          <w:sz w:val="24"/>
          <w:szCs w:val="24"/>
        </w:rPr>
        <w:t xml:space="preserve">Når lægemidlet er godkendt, er indberetning af </w:t>
      </w:r>
      <w:r>
        <w:rPr>
          <w:sz w:val="24"/>
          <w:szCs w:val="24"/>
        </w:rPr>
        <w:t>formodede</w:t>
      </w:r>
      <w:r w:rsidRPr="000825DB">
        <w:rPr>
          <w:sz w:val="24"/>
          <w:szCs w:val="24"/>
        </w:rPr>
        <w:t xml:space="preserve"> bivirkninger vigtig. Det muliggør løbende overvågning af benefit/</w:t>
      </w:r>
      <w:proofErr w:type="spellStart"/>
      <w:r w:rsidRPr="000825DB">
        <w:rPr>
          <w:sz w:val="24"/>
          <w:szCs w:val="24"/>
        </w:rPr>
        <w:t>risk</w:t>
      </w:r>
      <w:proofErr w:type="spellEnd"/>
      <w:r w:rsidRPr="000825DB">
        <w:rPr>
          <w:sz w:val="24"/>
          <w:szCs w:val="24"/>
        </w:rPr>
        <w:t xml:space="preserve">-forholdet for lægemidlet. Læger og sundhedspersonale anmodes om at indberette alle </w:t>
      </w:r>
      <w:r>
        <w:rPr>
          <w:sz w:val="24"/>
          <w:szCs w:val="24"/>
        </w:rPr>
        <w:t>formodede</w:t>
      </w:r>
      <w:r w:rsidRPr="000825DB">
        <w:rPr>
          <w:sz w:val="24"/>
          <w:szCs w:val="24"/>
        </w:rPr>
        <w:t xml:space="preserve"> bivirkninger via:</w:t>
      </w:r>
    </w:p>
    <w:p w:rsidR="00E46BDE" w:rsidRPr="000825DB" w:rsidRDefault="00E46BDE" w:rsidP="00E46BDE">
      <w:pPr>
        <w:autoSpaceDE w:val="0"/>
        <w:autoSpaceDN w:val="0"/>
        <w:adjustRightInd w:val="0"/>
        <w:ind w:left="851"/>
        <w:jc w:val="both"/>
        <w:rPr>
          <w:sz w:val="24"/>
          <w:szCs w:val="24"/>
        </w:rPr>
      </w:pPr>
      <w:r w:rsidRPr="000825DB">
        <w:rPr>
          <w:sz w:val="24"/>
          <w:szCs w:val="24"/>
        </w:rPr>
        <w:t xml:space="preserve">Lægemiddelstyrelsen </w:t>
      </w:r>
    </w:p>
    <w:p w:rsidR="00E46BDE" w:rsidRPr="000825DB" w:rsidRDefault="00E46BDE" w:rsidP="00E46BDE">
      <w:pPr>
        <w:autoSpaceDE w:val="0"/>
        <w:autoSpaceDN w:val="0"/>
        <w:adjustRightInd w:val="0"/>
        <w:ind w:left="851"/>
        <w:jc w:val="both"/>
        <w:rPr>
          <w:sz w:val="24"/>
          <w:szCs w:val="24"/>
        </w:rPr>
      </w:pPr>
      <w:r w:rsidRPr="000825DB">
        <w:rPr>
          <w:sz w:val="24"/>
          <w:szCs w:val="24"/>
        </w:rPr>
        <w:t>Axel Heides Gade 1</w:t>
      </w:r>
    </w:p>
    <w:p w:rsidR="00E46BDE" w:rsidRPr="000825DB" w:rsidRDefault="00E46BDE" w:rsidP="00E46BDE">
      <w:pPr>
        <w:autoSpaceDE w:val="0"/>
        <w:autoSpaceDN w:val="0"/>
        <w:adjustRightInd w:val="0"/>
        <w:ind w:left="851"/>
        <w:jc w:val="both"/>
        <w:rPr>
          <w:sz w:val="24"/>
          <w:szCs w:val="24"/>
        </w:rPr>
      </w:pPr>
      <w:r w:rsidRPr="000825DB">
        <w:rPr>
          <w:sz w:val="24"/>
          <w:szCs w:val="24"/>
        </w:rPr>
        <w:t>DK-2300 København S</w:t>
      </w:r>
    </w:p>
    <w:p w:rsidR="00E46BDE" w:rsidRPr="00BC1A30" w:rsidRDefault="00E46BDE" w:rsidP="00E46BDE">
      <w:pPr>
        <w:autoSpaceDE w:val="0"/>
        <w:autoSpaceDN w:val="0"/>
        <w:adjustRightInd w:val="0"/>
        <w:ind w:left="851"/>
        <w:jc w:val="both"/>
        <w:rPr>
          <w:sz w:val="24"/>
          <w:szCs w:val="24"/>
        </w:rPr>
      </w:pPr>
      <w:r w:rsidRPr="00BC1A30">
        <w:rPr>
          <w:sz w:val="24"/>
          <w:szCs w:val="24"/>
        </w:rPr>
        <w:t>Websted: www.meldenbivirkning.dk</w:t>
      </w:r>
    </w:p>
    <w:p w:rsidR="00E46BDE" w:rsidRPr="00BC1A30" w:rsidRDefault="00E46BDE" w:rsidP="00E46BDE">
      <w:pPr>
        <w:pStyle w:val="Sidehoved"/>
        <w:tabs>
          <w:tab w:val="clear" w:pos="4819"/>
          <w:tab w:val="clear" w:pos="9638"/>
        </w:tabs>
        <w:ind w:left="851"/>
        <w:rPr>
          <w:szCs w:val="24"/>
        </w:rPr>
      </w:pPr>
    </w:p>
    <w:p w:rsidR="00E46BDE" w:rsidRPr="0006261D" w:rsidRDefault="00E46BDE" w:rsidP="00E46BDE">
      <w:pPr>
        <w:ind w:left="851" w:hanging="851"/>
        <w:rPr>
          <w:b/>
          <w:sz w:val="24"/>
          <w:szCs w:val="24"/>
        </w:rPr>
      </w:pPr>
      <w:r w:rsidRPr="0006261D">
        <w:rPr>
          <w:b/>
          <w:sz w:val="24"/>
          <w:szCs w:val="24"/>
        </w:rPr>
        <w:t>4.9</w:t>
      </w:r>
      <w:r w:rsidRPr="0006261D">
        <w:rPr>
          <w:b/>
          <w:sz w:val="24"/>
          <w:szCs w:val="24"/>
        </w:rPr>
        <w:tab/>
        <w:t>Overdosering</w:t>
      </w:r>
    </w:p>
    <w:p w:rsidR="00E46BDE" w:rsidRPr="008A3919" w:rsidRDefault="00E46BDE" w:rsidP="00E46BDE">
      <w:pPr>
        <w:ind w:left="851"/>
        <w:rPr>
          <w:sz w:val="24"/>
          <w:szCs w:val="24"/>
          <w:lang w:eastAsia="da-DK"/>
        </w:rPr>
      </w:pPr>
      <w:r w:rsidRPr="008A3919">
        <w:rPr>
          <w:sz w:val="24"/>
          <w:szCs w:val="24"/>
        </w:rPr>
        <w:t xml:space="preserve">Der er risiko for leverskade (herunder fulminant hepatitis, leversvigt, </w:t>
      </w:r>
      <w:proofErr w:type="spellStart"/>
      <w:r w:rsidRPr="008A3919">
        <w:rPr>
          <w:sz w:val="24"/>
          <w:szCs w:val="24"/>
        </w:rPr>
        <w:t>cholestatisk</w:t>
      </w:r>
      <w:proofErr w:type="spellEnd"/>
      <w:r w:rsidRPr="008A3919">
        <w:rPr>
          <w:sz w:val="24"/>
          <w:szCs w:val="24"/>
        </w:rPr>
        <w:t xml:space="preserve"> hepatitis, </w:t>
      </w:r>
      <w:proofErr w:type="spellStart"/>
      <w:r w:rsidRPr="008A3919">
        <w:rPr>
          <w:sz w:val="24"/>
          <w:szCs w:val="24"/>
        </w:rPr>
        <w:t>cytolytisk</w:t>
      </w:r>
      <w:proofErr w:type="spellEnd"/>
      <w:r w:rsidRPr="008A3919">
        <w:rPr>
          <w:sz w:val="24"/>
          <w:szCs w:val="24"/>
        </w:rPr>
        <w:t xml:space="preserve"> hepatitis), specielt hos ældre individer, hos små børn, hos patienter med leversygdom, i tilfælde af kronisk alkoholisme, hos patienter med kronisk fejlernæring samt hos patienter, der får enzyminduktorer.</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Overdosering kan i disse tilfælde være fatal.</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 xml:space="preserve">Symptomer optræder generelt inden for de første 24 timer og omfatter: kvalme, opkastning, manglende appetit, bleghed og </w:t>
      </w:r>
      <w:proofErr w:type="spellStart"/>
      <w:r w:rsidRPr="008A3919">
        <w:rPr>
          <w:sz w:val="24"/>
          <w:szCs w:val="24"/>
        </w:rPr>
        <w:t>abdominalsmerter</w:t>
      </w:r>
      <w:proofErr w:type="spellEnd"/>
      <w:r w:rsidRPr="008A3919">
        <w:rPr>
          <w:sz w:val="24"/>
          <w:szCs w:val="24"/>
        </w:rPr>
        <w:t xml:space="preserve">. </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 xml:space="preserve">En overdosis, 7,5 g paracetamol eller derover i en enkelt administration hos voksne og 140 mg/kg legemsvægt i en enkelt administration hos børn forårsager </w:t>
      </w:r>
      <w:proofErr w:type="spellStart"/>
      <w:r w:rsidRPr="008A3919">
        <w:rPr>
          <w:sz w:val="24"/>
          <w:szCs w:val="24"/>
        </w:rPr>
        <w:t>hepatisk</w:t>
      </w:r>
      <w:proofErr w:type="spellEnd"/>
      <w:r w:rsidRPr="008A3919">
        <w:rPr>
          <w:sz w:val="24"/>
          <w:szCs w:val="24"/>
        </w:rPr>
        <w:t xml:space="preserve"> </w:t>
      </w:r>
      <w:proofErr w:type="spellStart"/>
      <w:r w:rsidRPr="008A3919">
        <w:rPr>
          <w:sz w:val="24"/>
          <w:szCs w:val="24"/>
        </w:rPr>
        <w:t>cytolyse</w:t>
      </w:r>
      <w:proofErr w:type="spellEnd"/>
      <w:r w:rsidRPr="008A3919">
        <w:rPr>
          <w:sz w:val="24"/>
          <w:szCs w:val="24"/>
        </w:rPr>
        <w:t xml:space="preserve">, som sandsynligvis vil medføre komplet og irreversibel nekrose, som resulterer i </w:t>
      </w:r>
      <w:proofErr w:type="spellStart"/>
      <w:r w:rsidRPr="008A3919">
        <w:rPr>
          <w:sz w:val="24"/>
          <w:szCs w:val="24"/>
        </w:rPr>
        <w:t>hepatocellulær</w:t>
      </w:r>
      <w:proofErr w:type="spellEnd"/>
      <w:r w:rsidRPr="008A3919">
        <w:rPr>
          <w:sz w:val="24"/>
          <w:szCs w:val="24"/>
        </w:rPr>
        <w:t xml:space="preserve"> insufficiens, metabolisk </w:t>
      </w:r>
      <w:proofErr w:type="spellStart"/>
      <w:r w:rsidRPr="008A3919">
        <w:rPr>
          <w:sz w:val="24"/>
          <w:szCs w:val="24"/>
        </w:rPr>
        <w:t>acidose</w:t>
      </w:r>
      <w:proofErr w:type="spellEnd"/>
      <w:r w:rsidRPr="008A3919">
        <w:rPr>
          <w:sz w:val="24"/>
          <w:szCs w:val="24"/>
        </w:rPr>
        <w:t xml:space="preserve"> samt encefalopati, der kan forårsage koma og død. </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 xml:space="preserve">Der observeres stigning af </w:t>
      </w:r>
      <w:proofErr w:type="spellStart"/>
      <w:r w:rsidRPr="008A3919">
        <w:rPr>
          <w:sz w:val="24"/>
          <w:szCs w:val="24"/>
        </w:rPr>
        <w:t>levertransaminaser</w:t>
      </w:r>
      <w:proofErr w:type="spellEnd"/>
      <w:r w:rsidRPr="008A3919">
        <w:rPr>
          <w:sz w:val="24"/>
          <w:szCs w:val="24"/>
        </w:rPr>
        <w:t xml:space="preserve"> (ASAT, ALAT), </w:t>
      </w:r>
      <w:proofErr w:type="spellStart"/>
      <w:r w:rsidRPr="008A3919">
        <w:rPr>
          <w:sz w:val="24"/>
          <w:szCs w:val="24"/>
        </w:rPr>
        <w:t>laktatdehydrogenase</w:t>
      </w:r>
      <w:proofErr w:type="spellEnd"/>
      <w:r w:rsidRPr="008A3919">
        <w:rPr>
          <w:sz w:val="24"/>
          <w:szCs w:val="24"/>
        </w:rPr>
        <w:t xml:space="preserve"> og bilirubin samtidig med fald i </w:t>
      </w:r>
      <w:proofErr w:type="spellStart"/>
      <w:r w:rsidRPr="008A3919">
        <w:rPr>
          <w:sz w:val="24"/>
          <w:szCs w:val="24"/>
        </w:rPr>
        <w:t>protrombinværdi</w:t>
      </w:r>
      <w:proofErr w:type="spellEnd"/>
      <w:r w:rsidRPr="008A3919">
        <w:rPr>
          <w:sz w:val="24"/>
          <w:szCs w:val="24"/>
        </w:rPr>
        <w:t>, som kan optræde 12-48 timer efter administration.</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Kliniske symptomer på leverbeskadigelse er sædvanligvis evidente efter to dage og når et maksimum efter 4-6 dage.</w:t>
      </w:r>
    </w:p>
    <w:p w:rsidR="00E46BDE" w:rsidRPr="008A3919" w:rsidRDefault="00E46BDE" w:rsidP="00E46BDE">
      <w:pPr>
        <w:rPr>
          <w:b/>
          <w:sz w:val="24"/>
          <w:szCs w:val="24"/>
          <w:u w:val="single"/>
        </w:rPr>
      </w:pPr>
    </w:p>
    <w:p w:rsidR="00E46BDE" w:rsidRPr="008A3919" w:rsidRDefault="00E46BDE" w:rsidP="00E46BDE">
      <w:pPr>
        <w:ind w:left="851"/>
        <w:rPr>
          <w:b/>
          <w:sz w:val="24"/>
          <w:szCs w:val="24"/>
        </w:rPr>
      </w:pPr>
      <w:r w:rsidRPr="008A3919">
        <w:rPr>
          <w:b/>
          <w:sz w:val="24"/>
          <w:szCs w:val="24"/>
          <w:u w:val="single"/>
        </w:rPr>
        <w:t>Akutte forholdsregler</w:t>
      </w:r>
    </w:p>
    <w:p w:rsidR="00E46BDE" w:rsidRPr="008A3919" w:rsidRDefault="00E46BDE" w:rsidP="00E46BDE">
      <w:pPr>
        <w:numPr>
          <w:ilvl w:val="0"/>
          <w:numId w:val="10"/>
        </w:numPr>
        <w:ind w:left="1276" w:hanging="425"/>
        <w:rPr>
          <w:sz w:val="24"/>
          <w:szCs w:val="24"/>
        </w:rPr>
      </w:pPr>
      <w:r w:rsidRPr="008A3919">
        <w:rPr>
          <w:sz w:val="24"/>
          <w:szCs w:val="24"/>
        </w:rPr>
        <w:t>Øjeblikkelig hospitalsindlæggelse.</w:t>
      </w:r>
    </w:p>
    <w:p w:rsidR="00E46BDE" w:rsidRPr="008A3919" w:rsidRDefault="00E46BDE" w:rsidP="00E46BDE">
      <w:pPr>
        <w:numPr>
          <w:ilvl w:val="0"/>
          <w:numId w:val="10"/>
        </w:numPr>
        <w:ind w:left="1276" w:hanging="425"/>
        <w:rPr>
          <w:sz w:val="24"/>
          <w:szCs w:val="24"/>
        </w:rPr>
      </w:pPr>
      <w:r w:rsidRPr="008A3919">
        <w:rPr>
          <w:sz w:val="24"/>
          <w:szCs w:val="24"/>
        </w:rPr>
        <w:t>Inden der påbegyndes behandling, skal der tages en blodprøve hurtigst muligt efter overdoseringen med henblik på plasma-paracetamol-analyse.</w:t>
      </w:r>
    </w:p>
    <w:p w:rsidR="00E46BDE" w:rsidRPr="008A3919" w:rsidRDefault="00E46BDE" w:rsidP="00E46BDE">
      <w:pPr>
        <w:numPr>
          <w:ilvl w:val="0"/>
          <w:numId w:val="10"/>
        </w:numPr>
        <w:ind w:left="1276" w:hanging="425"/>
        <w:rPr>
          <w:sz w:val="24"/>
          <w:szCs w:val="24"/>
        </w:rPr>
      </w:pPr>
      <w:r w:rsidRPr="008A3919">
        <w:rPr>
          <w:sz w:val="24"/>
          <w:szCs w:val="24"/>
        </w:rPr>
        <w:t xml:space="preserve">Behandlingen omfatter administration af </w:t>
      </w:r>
      <w:proofErr w:type="spellStart"/>
      <w:r w:rsidRPr="008A3919">
        <w:rPr>
          <w:sz w:val="24"/>
          <w:szCs w:val="24"/>
        </w:rPr>
        <w:t>antidot</w:t>
      </w:r>
      <w:proofErr w:type="spellEnd"/>
      <w:r w:rsidRPr="008A3919">
        <w:rPr>
          <w:sz w:val="24"/>
          <w:szCs w:val="24"/>
        </w:rPr>
        <w:t xml:space="preserve"> N-</w:t>
      </w:r>
      <w:proofErr w:type="spellStart"/>
      <w:r w:rsidRPr="008A3919">
        <w:rPr>
          <w:sz w:val="24"/>
          <w:szCs w:val="24"/>
        </w:rPr>
        <w:t>acetylcystein</w:t>
      </w:r>
      <w:proofErr w:type="spellEnd"/>
      <w:r w:rsidRPr="008A3919">
        <w:rPr>
          <w:sz w:val="24"/>
          <w:szCs w:val="24"/>
        </w:rPr>
        <w:t xml:space="preserve"> (NAC), enten intravenøst eller oralt, om muligt inden den 10. time. NAC kan dog give nogen grad af beskyttelse også efter 10 timer, men i så fald skal der gives forlænget behandling.</w:t>
      </w:r>
    </w:p>
    <w:p w:rsidR="00E46BDE" w:rsidRPr="008A3919" w:rsidRDefault="00E46BDE" w:rsidP="00E46BDE">
      <w:pPr>
        <w:numPr>
          <w:ilvl w:val="0"/>
          <w:numId w:val="10"/>
        </w:numPr>
        <w:ind w:left="1276" w:hanging="425"/>
        <w:rPr>
          <w:sz w:val="24"/>
          <w:szCs w:val="24"/>
        </w:rPr>
      </w:pPr>
      <w:r w:rsidRPr="008A3919">
        <w:rPr>
          <w:sz w:val="24"/>
          <w:szCs w:val="24"/>
        </w:rPr>
        <w:t>Symptomatisk behandling.</w:t>
      </w:r>
    </w:p>
    <w:p w:rsidR="00E46BDE" w:rsidRPr="008A3919" w:rsidRDefault="00E46BDE" w:rsidP="00E46BDE">
      <w:pPr>
        <w:numPr>
          <w:ilvl w:val="0"/>
          <w:numId w:val="10"/>
        </w:numPr>
        <w:ind w:left="1276" w:hanging="425"/>
        <w:rPr>
          <w:sz w:val="24"/>
          <w:szCs w:val="24"/>
        </w:rPr>
      </w:pPr>
      <w:r w:rsidRPr="008A3919">
        <w:rPr>
          <w:sz w:val="24"/>
          <w:szCs w:val="24"/>
        </w:rPr>
        <w:t xml:space="preserve">Der skal tages leverprøver ved påbegyndelse af behandlingen, og de skal gentages hver 24. time. I de fleste tilfælde vil </w:t>
      </w:r>
      <w:proofErr w:type="spellStart"/>
      <w:r w:rsidRPr="008A3919">
        <w:rPr>
          <w:sz w:val="24"/>
          <w:szCs w:val="24"/>
        </w:rPr>
        <w:t>levertransaminaser</w:t>
      </w:r>
      <w:proofErr w:type="spellEnd"/>
      <w:r w:rsidRPr="008A3919">
        <w:rPr>
          <w:sz w:val="24"/>
          <w:szCs w:val="24"/>
        </w:rPr>
        <w:t xml:space="preserve"> normaliseres i løbet af 1-2 uger med fuld restituering af leverfunktionen. I meget svære tilfælde kan det dog være nødvendigt at foretage levertransplantation.</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4.10</w:t>
      </w:r>
      <w:r w:rsidRPr="008A3919">
        <w:rPr>
          <w:b/>
          <w:sz w:val="24"/>
          <w:szCs w:val="24"/>
        </w:rPr>
        <w:tab/>
        <w:t>Udlevering</w:t>
      </w:r>
    </w:p>
    <w:p w:rsidR="00E46BDE" w:rsidRPr="008A3919" w:rsidRDefault="00E46BDE" w:rsidP="00E46BDE">
      <w:pPr>
        <w:ind w:left="851" w:hanging="851"/>
        <w:rPr>
          <w:sz w:val="24"/>
          <w:szCs w:val="24"/>
        </w:rPr>
      </w:pPr>
      <w:r w:rsidRPr="008A3919">
        <w:rPr>
          <w:sz w:val="24"/>
          <w:szCs w:val="24"/>
        </w:rPr>
        <w:tab/>
        <w:t>B</w:t>
      </w:r>
    </w:p>
    <w:p w:rsidR="00E46BDE" w:rsidRPr="008A3919" w:rsidRDefault="00E46BDE" w:rsidP="00E46BDE">
      <w:pPr>
        <w:ind w:left="851" w:hanging="851"/>
        <w:rPr>
          <w:sz w:val="24"/>
          <w:szCs w:val="24"/>
        </w:rPr>
      </w:pP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5.</w:t>
      </w:r>
      <w:r w:rsidRPr="008A3919">
        <w:rPr>
          <w:b/>
          <w:sz w:val="24"/>
          <w:szCs w:val="24"/>
        </w:rPr>
        <w:tab/>
        <w:t>FARMAKOLOGISKE EGENSKABER</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5.1</w:t>
      </w:r>
      <w:r w:rsidRPr="008A3919">
        <w:rPr>
          <w:b/>
          <w:sz w:val="24"/>
          <w:szCs w:val="24"/>
        </w:rPr>
        <w:tab/>
      </w:r>
      <w:proofErr w:type="spellStart"/>
      <w:r w:rsidRPr="008A3919">
        <w:rPr>
          <w:b/>
          <w:sz w:val="24"/>
          <w:szCs w:val="24"/>
        </w:rPr>
        <w:t>Farmakodynamiske</w:t>
      </w:r>
      <w:proofErr w:type="spellEnd"/>
      <w:r w:rsidRPr="008A3919">
        <w:rPr>
          <w:b/>
          <w:sz w:val="24"/>
          <w:szCs w:val="24"/>
        </w:rPr>
        <w:t xml:space="preserve"> egenskaber</w:t>
      </w:r>
    </w:p>
    <w:p w:rsidR="00F72337" w:rsidRDefault="00F72337" w:rsidP="00E46BDE">
      <w:pPr>
        <w:ind w:left="851"/>
        <w:rPr>
          <w:sz w:val="24"/>
          <w:szCs w:val="24"/>
        </w:rPr>
      </w:pPr>
      <w:proofErr w:type="spellStart"/>
      <w:r>
        <w:rPr>
          <w:sz w:val="24"/>
          <w:szCs w:val="24"/>
        </w:rPr>
        <w:t>Farmakoterapeutisk</w:t>
      </w:r>
      <w:proofErr w:type="spellEnd"/>
      <w:r>
        <w:rPr>
          <w:sz w:val="24"/>
          <w:szCs w:val="24"/>
        </w:rPr>
        <w:t xml:space="preserve"> klassifikation: </w:t>
      </w:r>
      <w:r w:rsidRPr="008A3919">
        <w:rPr>
          <w:sz w:val="24"/>
          <w:szCs w:val="24"/>
        </w:rPr>
        <w:t xml:space="preserve">Andre </w:t>
      </w:r>
      <w:proofErr w:type="spellStart"/>
      <w:r w:rsidRPr="008A3919">
        <w:rPr>
          <w:sz w:val="24"/>
          <w:szCs w:val="24"/>
        </w:rPr>
        <w:t>analgetica</w:t>
      </w:r>
      <w:proofErr w:type="spellEnd"/>
      <w:r w:rsidRPr="008A3919">
        <w:rPr>
          <w:sz w:val="24"/>
          <w:szCs w:val="24"/>
        </w:rPr>
        <w:t xml:space="preserve"> og </w:t>
      </w:r>
      <w:proofErr w:type="spellStart"/>
      <w:r w:rsidRPr="008A3919">
        <w:rPr>
          <w:sz w:val="24"/>
          <w:szCs w:val="24"/>
        </w:rPr>
        <w:t>antipyretica</w:t>
      </w:r>
      <w:proofErr w:type="spellEnd"/>
      <w:r w:rsidRPr="008A3919">
        <w:rPr>
          <w:sz w:val="24"/>
          <w:szCs w:val="24"/>
        </w:rPr>
        <w:t>; Anilider.</w:t>
      </w:r>
    </w:p>
    <w:p w:rsidR="00F72337" w:rsidRDefault="00F72337" w:rsidP="00E46BDE">
      <w:pPr>
        <w:ind w:left="851"/>
        <w:rPr>
          <w:sz w:val="24"/>
          <w:szCs w:val="24"/>
        </w:rPr>
      </w:pPr>
      <w:r w:rsidRPr="008A3919">
        <w:rPr>
          <w:sz w:val="24"/>
          <w:szCs w:val="24"/>
        </w:rPr>
        <w:t>ATC-kode: N02BE01.</w:t>
      </w:r>
    </w:p>
    <w:p w:rsidR="00F72337" w:rsidRDefault="00F72337" w:rsidP="00E46BDE">
      <w:pPr>
        <w:ind w:left="851"/>
        <w:rPr>
          <w:sz w:val="24"/>
          <w:szCs w:val="24"/>
        </w:rPr>
      </w:pPr>
    </w:p>
    <w:p w:rsidR="00E46BDE" w:rsidRPr="008A3919" w:rsidRDefault="00E46BDE" w:rsidP="00E46BDE">
      <w:pPr>
        <w:ind w:left="851"/>
        <w:rPr>
          <w:sz w:val="24"/>
          <w:szCs w:val="24"/>
          <w:lang w:eastAsia="da-DK"/>
        </w:rPr>
      </w:pPr>
      <w:r w:rsidRPr="008A3919">
        <w:rPr>
          <w:sz w:val="24"/>
          <w:szCs w:val="24"/>
        </w:rPr>
        <w:t xml:space="preserve">De nøjagtige mekanismer af de analgetiske og </w:t>
      </w:r>
      <w:proofErr w:type="spellStart"/>
      <w:r w:rsidRPr="008A3919">
        <w:rPr>
          <w:sz w:val="24"/>
          <w:szCs w:val="24"/>
        </w:rPr>
        <w:t>antipyretiske</w:t>
      </w:r>
      <w:proofErr w:type="spellEnd"/>
      <w:r w:rsidRPr="008A3919">
        <w:rPr>
          <w:sz w:val="24"/>
          <w:szCs w:val="24"/>
        </w:rPr>
        <w:t xml:space="preserve"> egenskaber af paracetamol er endnu ikke fastslået; de kan omfatte både central og perifer virkning.</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Paracetamol</w:t>
      </w:r>
      <w:r w:rsidRPr="008A3919">
        <w:rPr>
          <w:i/>
          <w:sz w:val="24"/>
          <w:szCs w:val="24"/>
        </w:rPr>
        <w:t xml:space="preserve"> </w:t>
      </w:r>
      <w:r w:rsidRPr="008A3919">
        <w:rPr>
          <w:sz w:val="24"/>
          <w:szCs w:val="24"/>
        </w:rPr>
        <w:t>giver begyndende smertelindring inden for 5-10 minutter efter start af administration. Peak analgetisk effekt opnås i løbet af en 1 time, og varigheden er almindeligvis 4-6 timer.</w:t>
      </w:r>
    </w:p>
    <w:p w:rsidR="00E46BDE" w:rsidRPr="008A3919" w:rsidRDefault="00E46BDE" w:rsidP="00E46BDE">
      <w:pPr>
        <w:ind w:left="851"/>
        <w:rPr>
          <w:sz w:val="24"/>
          <w:szCs w:val="24"/>
        </w:rPr>
      </w:pPr>
    </w:p>
    <w:p w:rsidR="00E46BDE" w:rsidRPr="008A3919" w:rsidRDefault="00E46BDE" w:rsidP="00E46BDE">
      <w:pPr>
        <w:ind w:left="851"/>
        <w:rPr>
          <w:sz w:val="24"/>
          <w:szCs w:val="24"/>
        </w:rPr>
      </w:pPr>
      <w:r w:rsidRPr="008A3919">
        <w:rPr>
          <w:sz w:val="24"/>
          <w:szCs w:val="24"/>
        </w:rPr>
        <w:t>Paracetamol</w:t>
      </w:r>
      <w:r w:rsidRPr="008A3919">
        <w:rPr>
          <w:i/>
          <w:sz w:val="24"/>
          <w:szCs w:val="24"/>
        </w:rPr>
        <w:t xml:space="preserve"> </w:t>
      </w:r>
      <w:r w:rsidRPr="008A3919">
        <w:rPr>
          <w:sz w:val="24"/>
          <w:szCs w:val="24"/>
        </w:rPr>
        <w:t xml:space="preserve">nedsætter feber inden for 30 minutter efter start af administration, og den </w:t>
      </w:r>
      <w:proofErr w:type="spellStart"/>
      <w:r w:rsidRPr="008A3919">
        <w:rPr>
          <w:sz w:val="24"/>
          <w:szCs w:val="24"/>
        </w:rPr>
        <w:t>antipyretiske</w:t>
      </w:r>
      <w:proofErr w:type="spellEnd"/>
      <w:r w:rsidRPr="008A3919">
        <w:rPr>
          <w:sz w:val="24"/>
          <w:szCs w:val="24"/>
        </w:rPr>
        <w:t xml:space="preserve"> effekt varer i mindst 6 timer.</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5.2</w:t>
      </w:r>
      <w:r w:rsidRPr="008A3919">
        <w:rPr>
          <w:b/>
          <w:sz w:val="24"/>
          <w:szCs w:val="24"/>
        </w:rPr>
        <w:tab/>
      </w:r>
      <w:proofErr w:type="spellStart"/>
      <w:r w:rsidRPr="008A3919">
        <w:rPr>
          <w:b/>
          <w:sz w:val="24"/>
          <w:szCs w:val="24"/>
        </w:rPr>
        <w:t>Farmakokinetiske</w:t>
      </w:r>
      <w:proofErr w:type="spellEnd"/>
      <w:r w:rsidRPr="008A3919">
        <w:rPr>
          <w:b/>
          <w:sz w:val="24"/>
          <w:szCs w:val="24"/>
        </w:rPr>
        <w:t xml:space="preserve"> egenskaber</w:t>
      </w:r>
    </w:p>
    <w:p w:rsidR="00E46BDE" w:rsidRPr="008A3919" w:rsidRDefault="00E46BDE" w:rsidP="00E46BDE">
      <w:pPr>
        <w:rPr>
          <w:sz w:val="24"/>
          <w:szCs w:val="24"/>
        </w:rPr>
      </w:pPr>
    </w:p>
    <w:p w:rsidR="00E46BDE" w:rsidRPr="008A3919" w:rsidRDefault="00E46BDE" w:rsidP="00E46BDE">
      <w:pPr>
        <w:ind w:left="851"/>
        <w:rPr>
          <w:b/>
          <w:sz w:val="24"/>
          <w:szCs w:val="24"/>
          <w:u w:val="single"/>
          <w:lang w:eastAsia="da-DK"/>
        </w:rPr>
      </w:pPr>
      <w:r w:rsidRPr="008A3919">
        <w:rPr>
          <w:b/>
          <w:sz w:val="24"/>
          <w:szCs w:val="24"/>
          <w:u w:val="single"/>
        </w:rPr>
        <w:t>Voksne</w:t>
      </w:r>
    </w:p>
    <w:p w:rsidR="00E46BDE" w:rsidRPr="008A3919" w:rsidRDefault="00E46BDE" w:rsidP="00E46BDE">
      <w:pPr>
        <w:ind w:left="851"/>
        <w:rPr>
          <w:b/>
          <w:sz w:val="24"/>
          <w:szCs w:val="24"/>
        </w:rPr>
      </w:pPr>
      <w:r w:rsidRPr="008A3919">
        <w:rPr>
          <w:b/>
          <w:sz w:val="24"/>
          <w:szCs w:val="24"/>
        </w:rPr>
        <w:t>Absorption</w:t>
      </w:r>
    </w:p>
    <w:p w:rsidR="00E46BDE" w:rsidRPr="008A3919" w:rsidRDefault="00E46BDE" w:rsidP="00E46BDE">
      <w:pPr>
        <w:ind w:left="851"/>
        <w:rPr>
          <w:sz w:val="24"/>
          <w:szCs w:val="24"/>
        </w:rPr>
      </w:pPr>
      <w:r w:rsidRPr="008A3919">
        <w:rPr>
          <w:sz w:val="24"/>
          <w:szCs w:val="24"/>
        </w:rPr>
        <w:t>Farmakokinetikken ved paracetamol er lineær op til 2 g efter enkelt administration og efter gentagne administrationer i løbet af 24 timer.</w:t>
      </w:r>
    </w:p>
    <w:p w:rsidR="00E46BDE" w:rsidRPr="008A3919" w:rsidRDefault="00E46BDE" w:rsidP="00E46BDE">
      <w:pPr>
        <w:ind w:left="851"/>
        <w:rPr>
          <w:sz w:val="24"/>
          <w:szCs w:val="24"/>
        </w:rPr>
      </w:pPr>
      <w:r w:rsidRPr="008A3919">
        <w:rPr>
          <w:sz w:val="24"/>
          <w:szCs w:val="24"/>
        </w:rPr>
        <w:t xml:space="preserve">Paracetamols biotilgængelighed efter infusion af 500 mg og 1 g paracetamol er den samme som er observeret efter infusion af 1 g og 2 g </w:t>
      </w:r>
      <w:proofErr w:type="spellStart"/>
      <w:r w:rsidRPr="008A3919">
        <w:rPr>
          <w:sz w:val="24"/>
          <w:szCs w:val="24"/>
        </w:rPr>
        <w:t>propacetamol</w:t>
      </w:r>
      <w:proofErr w:type="spellEnd"/>
      <w:r w:rsidRPr="008A3919">
        <w:rPr>
          <w:sz w:val="24"/>
          <w:szCs w:val="24"/>
        </w:rPr>
        <w:t xml:space="preserve"> (svarende til henholdsvis 500 mg og 1 g paracetamol). Den maksimale plasmakoncentration (</w:t>
      </w:r>
      <w:proofErr w:type="spellStart"/>
      <w:r w:rsidRPr="008A3919">
        <w:rPr>
          <w:sz w:val="24"/>
          <w:szCs w:val="24"/>
        </w:rPr>
        <w:t>C</w:t>
      </w:r>
      <w:r w:rsidRPr="00E341F6">
        <w:rPr>
          <w:sz w:val="24"/>
          <w:szCs w:val="24"/>
          <w:vertAlign w:val="subscript"/>
        </w:rPr>
        <w:t>max</w:t>
      </w:r>
      <w:proofErr w:type="spellEnd"/>
      <w:r w:rsidRPr="008A3919">
        <w:rPr>
          <w:sz w:val="24"/>
          <w:szCs w:val="24"/>
        </w:rPr>
        <w:t xml:space="preserve">) af paracetamol observeret ved afslutning af en 15 minutters intravenøs infusion af 500 mg og 1 g paracetamol er henholdsvis ca. 15 </w:t>
      </w:r>
      <w:proofErr w:type="spellStart"/>
      <w:r w:rsidRPr="008A3919">
        <w:rPr>
          <w:sz w:val="24"/>
          <w:szCs w:val="24"/>
        </w:rPr>
        <w:t>μg</w:t>
      </w:r>
      <w:proofErr w:type="spellEnd"/>
      <w:r w:rsidRPr="008A3919">
        <w:rPr>
          <w:sz w:val="24"/>
          <w:szCs w:val="24"/>
        </w:rPr>
        <w:t xml:space="preserve">/ml og 30 </w:t>
      </w:r>
      <w:proofErr w:type="spellStart"/>
      <w:r w:rsidRPr="008A3919">
        <w:rPr>
          <w:sz w:val="24"/>
          <w:szCs w:val="24"/>
        </w:rPr>
        <w:t>μg</w:t>
      </w:r>
      <w:proofErr w:type="spellEnd"/>
      <w:r w:rsidRPr="008A3919">
        <w:rPr>
          <w:sz w:val="24"/>
          <w:szCs w:val="24"/>
        </w:rPr>
        <w:t>/ml.</w:t>
      </w:r>
    </w:p>
    <w:p w:rsidR="00E46BDE" w:rsidRPr="008A3919" w:rsidRDefault="00E46BDE" w:rsidP="00E46BDE">
      <w:pPr>
        <w:ind w:left="851"/>
        <w:rPr>
          <w:sz w:val="24"/>
          <w:szCs w:val="24"/>
        </w:rPr>
      </w:pPr>
    </w:p>
    <w:p w:rsidR="00E46BDE" w:rsidRPr="008A3919" w:rsidRDefault="00E46BDE" w:rsidP="00E46BDE">
      <w:pPr>
        <w:ind w:left="851"/>
        <w:rPr>
          <w:b/>
          <w:sz w:val="24"/>
          <w:szCs w:val="24"/>
        </w:rPr>
      </w:pPr>
      <w:r w:rsidRPr="008A3919">
        <w:rPr>
          <w:b/>
          <w:sz w:val="24"/>
          <w:szCs w:val="24"/>
        </w:rPr>
        <w:t>Fordeling</w:t>
      </w:r>
    </w:p>
    <w:p w:rsidR="00E46BDE" w:rsidRPr="008A3919" w:rsidRDefault="00E46BDE" w:rsidP="00E46BDE">
      <w:pPr>
        <w:ind w:left="851"/>
        <w:rPr>
          <w:sz w:val="24"/>
          <w:szCs w:val="24"/>
        </w:rPr>
      </w:pPr>
      <w:r w:rsidRPr="008A3919">
        <w:rPr>
          <w:sz w:val="24"/>
          <w:szCs w:val="24"/>
        </w:rPr>
        <w:t>Distributionsvolumen af paracetamol er ca. 1 l/kg.</w:t>
      </w:r>
    </w:p>
    <w:p w:rsidR="00E46BDE" w:rsidRPr="008A3919" w:rsidRDefault="00E46BDE" w:rsidP="00E46BDE">
      <w:pPr>
        <w:ind w:left="851"/>
        <w:rPr>
          <w:sz w:val="24"/>
          <w:szCs w:val="24"/>
        </w:rPr>
      </w:pPr>
      <w:r w:rsidRPr="008A3919">
        <w:rPr>
          <w:sz w:val="24"/>
          <w:szCs w:val="24"/>
        </w:rPr>
        <w:t>Paracetamol bindes ikke i høj grad til plasmaproteiner.</w:t>
      </w:r>
    </w:p>
    <w:p w:rsidR="00E46BDE" w:rsidRPr="008A3919" w:rsidRDefault="00E46BDE" w:rsidP="00E46BDE">
      <w:pPr>
        <w:ind w:left="851"/>
        <w:rPr>
          <w:sz w:val="24"/>
          <w:szCs w:val="24"/>
        </w:rPr>
      </w:pPr>
      <w:r w:rsidRPr="008A3919">
        <w:rPr>
          <w:sz w:val="24"/>
          <w:szCs w:val="24"/>
        </w:rPr>
        <w:t xml:space="preserve">Efter infusion af 1 g paracetamol blev der observeret signifikante koncentrationer af paracetamol (ca.1,5 </w:t>
      </w:r>
      <w:proofErr w:type="spellStart"/>
      <w:r w:rsidRPr="008A3919">
        <w:rPr>
          <w:sz w:val="24"/>
          <w:szCs w:val="24"/>
        </w:rPr>
        <w:t>μg</w:t>
      </w:r>
      <w:proofErr w:type="spellEnd"/>
      <w:r w:rsidRPr="008A3919">
        <w:rPr>
          <w:sz w:val="24"/>
          <w:szCs w:val="24"/>
        </w:rPr>
        <w:t>/ml) i cerebrospinalvæske beregnet fra det 20. minut efter infusion.</w:t>
      </w:r>
    </w:p>
    <w:p w:rsidR="00E46BDE" w:rsidRPr="008A3919" w:rsidRDefault="00E46BDE" w:rsidP="00E46BDE">
      <w:pPr>
        <w:ind w:left="851"/>
        <w:rPr>
          <w:sz w:val="24"/>
          <w:szCs w:val="24"/>
        </w:rPr>
      </w:pPr>
    </w:p>
    <w:p w:rsidR="00E46BDE" w:rsidRPr="008A3919" w:rsidRDefault="00E46BDE" w:rsidP="00E46BDE">
      <w:pPr>
        <w:ind w:left="851"/>
        <w:rPr>
          <w:b/>
          <w:sz w:val="24"/>
          <w:szCs w:val="24"/>
        </w:rPr>
      </w:pPr>
      <w:r w:rsidRPr="008A3919">
        <w:rPr>
          <w:b/>
          <w:sz w:val="24"/>
          <w:szCs w:val="24"/>
        </w:rPr>
        <w:t>Metabolisme</w:t>
      </w:r>
    </w:p>
    <w:p w:rsidR="00E46BDE" w:rsidRPr="008A3919" w:rsidRDefault="00E46BDE" w:rsidP="00E46BDE">
      <w:pPr>
        <w:ind w:left="851"/>
        <w:rPr>
          <w:sz w:val="24"/>
          <w:szCs w:val="24"/>
        </w:rPr>
      </w:pPr>
      <w:r w:rsidRPr="008A3919">
        <w:rPr>
          <w:sz w:val="24"/>
          <w:szCs w:val="24"/>
        </w:rPr>
        <w:t xml:space="preserve">Paracetamol </w:t>
      </w:r>
      <w:proofErr w:type="spellStart"/>
      <w:r w:rsidRPr="008A3919">
        <w:rPr>
          <w:sz w:val="24"/>
          <w:szCs w:val="24"/>
        </w:rPr>
        <w:t>metaboliseres</w:t>
      </w:r>
      <w:proofErr w:type="spellEnd"/>
      <w:r w:rsidRPr="008A3919">
        <w:rPr>
          <w:sz w:val="24"/>
          <w:szCs w:val="24"/>
        </w:rPr>
        <w:t xml:space="preserve"> hovedsageligt i leveren og følger to store </w:t>
      </w:r>
      <w:proofErr w:type="spellStart"/>
      <w:r w:rsidRPr="008A3919">
        <w:rPr>
          <w:sz w:val="24"/>
          <w:szCs w:val="24"/>
        </w:rPr>
        <w:t>hepatiske</w:t>
      </w:r>
      <w:proofErr w:type="spellEnd"/>
      <w:r w:rsidRPr="008A3919">
        <w:rPr>
          <w:sz w:val="24"/>
          <w:szCs w:val="24"/>
        </w:rPr>
        <w:t xml:space="preserve"> stier: </w:t>
      </w:r>
      <w:proofErr w:type="spellStart"/>
      <w:r w:rsidRPr="008A3919">
        <w:rPr>
          <w:sz w:val="24"/>
          <w:szCs w:val="24"/>
        </w:rPr>
        <w:t>glucuronsyrekonjugation</w:t>
      </w:r>
      <w:proofErr w:type="spellEnd"/>
      <w:r w:rsidRPr="008A3919">
        <w:rPr>
          <w:sz w:val="24"/>
          <w:szCs w:val="24"/>
        </w:rPr>
        <w:t xml:space="preserve"> og svovlsyrekonjugation. Sidstnævnte mættes hurtigt ved doser, der overstiger terapeutiske doser. En lille del (&lt; 4 %) </w:t>
      </w:r>
      <w:proofErr w:type="spellStart"/>
      <w:r w:rsidRPr="008A3919">
        <w:rPr>
          <w:sz w:val="24"/>
          <w:szCs w:val="24"/>
        </w:rPr>
        <w:t>metaboliseres</w:t>
      </w:r>
      <w:proofErr w:type="spellEnd"/>
      <w:r w:rsidRPr="008A3919">
        <w:rPr>
          <w:sz w:val="24"/>
          <w:szCs w:val="24"/>
        </w:rPr>
        <w:t xml:space="preserve"> ved </w:t>
      </w:r>
      <w:proofErr w:type="spellStart"/>
      <w:r w:rsidRPr="008A3919">
        <w:rPr>
          <w:sz w:val="24"/>
          <w:szCs w:val="24"/>
        </w:rPr>
        <w:t>cytokrom</w:t>
      </w:r>
      <w:proofErr w:type="spellEnd"/>
      <w:r w:rsidRPr="008A3919">
        <w:rPr>
          <w:sz w:val="24"/>
          <w:szCs w:val="24"/>
        </w:rPr>
        <w:t xml:space="preserve"> P450 til et reaktivt </w:t>
      </w:r>
      <w:proofErr w:type="spellStart"/>
      <w:r w:rsidRPr="008A3919">
        <w:rPr>
          <w:sz w:val="24"/>
          <w:szCs w:val="24"/>
        </w:rPr>
        <w:t>intermediat</w:t>
      </w:r>
      <w:proofErr w:type="spellEnd"/>
      <w:r w:rsidRPr="008A3919">
        <w:rPr>
          <w:sz w:val="24"/>
          <w:szCs w:val="24"/>
        </w:rPr>
        <w:t xml:space="preserve"> (N-acetyl-</w:t>
      </w:r>
      <w:proofErr w:type="spellStart"/>
      <w:r w:rsidRPr="008A3919">
        <w:rPr>
          <w:sz w:val="24"/>
          <w:szCs w:val="24"/>
        </w:rPr>
        <w:t>benzoquinon</w:t>
      </w:r>
      <w:proofErr w:type="spellEnd"/>
      <w:r w:rsidRPr="008A3919">
        <w:rPr>
          <w:sz w:val="24"/>
          <w:szCs w:val="24"/>
        </w:rPr>
        <w:t>-</w:t>
      </w:r>
      <w:proofErr w:type="spellStart"/>
      <w:r w:rsidRPr="008A3919">
        <w:rPr>
          <w:sz w:val="24"/>
          <w:szCs w:val="24"/>
        </w:rPr>
        <w:t>imin</w:t>
      </w:r>
      <w:proofErr w:type="spellEnd"/>
      <w:r w:rsidRPr="008A3919">
        <w:rPr>
          <w:sz w:val="24"/>
          <w:szCs w:val="24"/>
        </w:rPr>
        <w:t xml:space="preserve">), der under normale anvendelsesforhold afgiftes hurtigt af reduceret </w:t>
      </w:r>
      <w:proofErr w:type="spellStart"/>
      <w:r w:rsidRPr="008A3919">
        <w:rPr>
          <w:sz w:val="24"/>
          <w:szCs w:val="24"/>
        </w:rPr>
        <w:t>glutation</w:t>
      </w:r>
      <w:proofErr w:type="spellEnd"/>
      <w:r w:rsidRPr="008A3919">
        <w:rPr>
          <w:sz w:val="24"/>
          <w:szCs w:val="24"/>
        </w:rPr>
        <w:t xml:space="preserve"> og udskilles i urinen efter konjugation med </w:t>
      </w:r>
      <w:proofErr w:type="spellStart"/>
      <w:r w:rsidRPr="008A3919">
        <w:rPr>
          <w:sz w:val="24"/>
          <w:szCs w:val="24"/>
        </w:rPr>
        <w:t>cystein</w:t>
      </w:r>
      <w:proofErr w:type="spellEnd"/>
      <w:r w:rsidRPr="008A3919">
        <w:rPr>
          <w:sz w:val="24"/>
          <w:szCs w:val="24"/>
        </w:rPr>
        <w:t xml:space="preserve"> og </w:t>
      </w:r>
      <w:proofErr w:type="spellStart"/>
      <w:r w:rsidRPr="008A3919">
        <w:rPr>
          <w:sz w:val="24"/>
          <w:szCs w:val="24"/>
        </w:rPr>
        <w:t>mercaptosyre</w:t>
      </w:r>
      <w:proofErr w:type="spellEnd"/>
      <w:r w:rsidRPr="008A3919">
        <w:rPr>
          <w:sz w:val="24"/>
          <w:szCs w:val="24"/>
        </w:rPr>
        <w:t>.</w:t>
      </w:r>
    </w:p>
    <w:p w:rsidR="00E46BDE" w:rsidRPr="008A3919" w:rsidRDefault="00E46BDE" w:rsidP="00E46BDE">
      <w:pPr>
        <w:ind w:left="851"/>
        <w:rPr>
          <w:sz w:val="24"/>
          <w:szCs w:val="24"/>
        </w:rPr>
      </w:pPr>
      <w:r w:rsidRPr="008A3919">
        <w:rPr>
          <w:sz w:val="24"/>
          <w:szCs w:val="24"/>
        </w:rPr>
        <w:t>Dog øges mængden af denne toksiske metabolit ved massiv overdosering.</w:t>
      </w:r>
    </w:p>
    <w:p w:rsidR="00E46BDE" w:rsidRPr="008A3919" w:rsidRDefault="00E46BDE" w:rsidP="00E46BDE">
      <w:pPr>
        <w:ind w:left="851"/>
        <w:rPr>
          <w:sz w:val="24"/>
          <w:szCs w:val="24"/>
        </w:rPr>
      </w:pPr>
    </w:p>
    <w:p w:rsidR="00E46BDE" w:rsidRPr="008A3919" w:rsidRDefault="00E46BDE" w:rsidP="00E46BDE">
      <w:pPr>
        <w:ind w:left="851"/>
        <w:rPr>
          <w:b/>
          <w:sz w:val="24"/>
          <w:szCs w:val="24"/>
        </w:rPr>
      </w:pPr>
      <w:r w:rsidRPr="008A3919">
        <w:rPr>
          <w:b/>
          <w:sz w:val="24"/>
          <w:szCs w:val="24"/>
        </w:rPr>
        <w:t>Elimination</w:t>
      </w:r>
    </w:p>
    <w:p w:rsidR="00E46BDE" w:rsidRPr="008A3919" w:rsidRDefault="00E46BDE" w:rsidP="00E46BDE">
      <w:pPr>
        <w:ind w:left="851"/>
        <w:rPr>
          <w:sz w:val="24"/>
          <w:szCs w:val="24"/>
        </w:rPr>
      </w:pPr>
      <w:r w:rsidRPr="008A3919">
        <w:rPr>
          <w:sz w:val="24"/>
          <w:szCs w:val="24"/>
        </w:rPr>
        <w:t xml:space="preserve">Paracetamol-metabolitter udskilles hovedsageligt i urinen. 90 % af den administrerede dosis udskilles inden for 24 timer, hovedsageligt som </w:t>
      </w:r>
      <w:proofErr w:type="spellStart"/>
      <w:r w:rsidRPr="008A3919">
        <w:rPr>
          <w:sz w:val="24"/>
          <w:szCs w:val="24"/>
        </w:rPr>
        <w:t>glucuronidkonjugater</w:t>
      </w:r>
      <w:proofErr w:type="spellEnd"/>
      <w:r w:rsidRPr="008A3919">
        <w:rPr>
          <w:sz w:val="24"/>
          <w:szCs w:val="24"/>
        </w:rPr>
        <w:t xml:space="preserve"> (60-80 %) og som </w:t>
      </w:r>
      <w:proofErr w:type="spellStart"/>
      <w:r w:rsidRPr="008A3919">
        <w:rPr>
          <w:sz w:val="24"/>
          <w:szCs w:val="24"/>
        </w:rPr>
        <w:t>sulfatkonjugater</w:t>
      </w:r>
      <w:proofErr w:type="spellEnd"/>
      <w:r w:rsidRPr="008A3919">
        <w:rPr>
          <w:sz w:val="24"/>
          <w:szCs w:val="24"/>
        </w:rPr>
        <w:t xml:space="preserve"> (20-30 %). &lt;5 % udskilles uforandret. </w:t>
      </w:r>
    </w:p>
    <w:p w:rsidR="00E46BDE" w:rsidRPr="008A3919" w:rsidRDefault="00E46BDE" w:rsidP="00E46BDE">
      <w:pPr>
        <w:ind w:left="851"/>
        <w:rPr>
          <w:sz w:val="24"/>
          <w:szCs w:val="24"/>
        </w:rPr>
      </w:pPr>
      <w:r w:rsidRPr="008A3919">
        <w:rPr>
          <w:sz w:val="24"/>
          <w:szCs w:val="24"/>
        </w:rPr>
        <w:t xml:space="preserve">Plasmahalveringstiden er 2,7 timer, og den totale </w:t>
      </w:r>
      <w:proofErr w:type="spellStart"/>
      <w:r w:rsidRPr="008A3919">
        <w:rPr>
          <w:sz w:val="24"/>
          <w:szCs w:val="24"/>
        </w:rPr>
        <w:t>kropsclearance</w:t>
      </w:r>
      <w:proofErr w:type="spellEnd"/>
      <w:r w:rsidRPr="008A3919">
        <w:rPr>
          <w:sz w:val="24"/>
          <w:szCs w:val="24"/>
        </w:rPr>
        <w:t xml:space="preserve"> er 18 l/time.</w:t>
      </w:r>
    </w:p>
    <w:p w:rsidR="00E46BDE" w:rsidRPr="008A3919" w:rsidRDefault="00E46BDE" w:rsidP="00E46BDE">
      <w:pPr>
        <w:ind w:left="851"/>
        <w:rPr>
          <w:sz w:val="24"/>
          <w:szCs w:val="24"/>
        </w:rPr>
      </w:pPr>
    </w:p>
    <w:p w:rsidR="00E46BDE" w:rsidRPr="008A3919" w:rsidRDefault="00E46BDE" w:rsidP="00E46BDE">
      <w:pPr>
        <w:ind w:left="851"/>
        <w:rPr>
          <w:b/>
          <w:sz w:val="24"/>
          <w:szCs w:val="24"/>
          <w:u w:val="single"/>
        </w:rPr>
      </w:pPr>
      <w:r w:rsidRPr="008A3919">
        <w:rPr>
          <w:b/>
          <w:sz w:val="24"/>
          <w:szCs w:val="24"/>
          <w:u w:val="single"/>
        </w:rPr>
        <w:t>Fuldbårne nyfødte, spædbørn og børn</w:t>
      </w:r>
    </w:p>
    <w:p w:rsidR="00E46BDE" w:rsidRPr="008A3919" w:rsidRDefault="00E46BDE" w:rsidP="00E46BDE">
      <w:pPr>
        <w:ind w:left="851"/>
        <w:rPr>
          <w:sz w:val="24"/>
          <w:szCs w:val="24"/>
        </w:rPr>
      </w:pPr>
      <w:r w:rsidRPr="008A3919">
        <w:rPr>
          <w:sz w:val="24"/>
          <w:szCs w:val="24"/>
        </w:rPr>
        <w:t xml:space="preserve">De </w:t>
      </w:r>
      <w:proofErr w:type="spellStart"/>
      <w:r w:rsidRPr="008A3919">
        <w:rPr>
          <w:sz w:val="24"/>
          <w:szCs w:val="24"/>
        </w:rPr>
        <w:t>farmakokinetiske</w:t>
      </w:r>
      <w:proofErr w:type="spellEnd"/>
      <w:r w:rsidRPr="008A3919">
        <w:rPr>
          <w:sz w:val="24"/>
          <w:szCs w:val="24"/>
        </w:rPr>
        <w:t xml:space="preserve"> parametre for paracetamol, der er observeret hos spædbørn og børn, er de samme som dem, der er observeret hos voksne, med undtagelse af </w:t>
      </w:r>
      <w:r w:rsidRPr="008A3919">
        <w:rPr>
          <w:sz w:val="24"/>
          <w:szCs w:val="24"/>
        </w:rPr>
        <w:lastRenderedPageBreak/>
        <w:t xml:space="preserve">plasmahalveringstiden, der er lidt kortere (1,5 til 2 timer), end hos voksne. Hos nyfødte er plasmahalveringstiden længere end hos spædbørn, dvs. ca. 3,5 timer. Nyfødte, spædbørn og børn på op til 10 år udskiller signifikant færre </w:t>
      </w:r>
      <w:proofErr w:type="spellStart"/>
      <w:r w:rsidRPr="008A3919">
        <w:rPr>
          <w:sz w:val="24"/>
          <w:szCs w:val="24"/>
        </w:rPr>
        <w:t>glucuronidkonjugater</w:t>
      </w:r>
      <w:proofErr w:type="spellEnd"/>
      <w:r w:rsidRPr="008A3919">
        <w:rPr>
          <w:sz w:val="24"/>
          <w:szCs w:val="24"/>
        </w:rPr>
        <w:t xml:space="preserve"> og flere </w:t>
      </w:r>
      <w:proofErr w:type="spellStart"/>
      <w:r w:rsidRPr="008A3919">
        <w:rPr>
          <w:sz w:val="24"/>
          <w:szCs w:val="24"/>
        </w:rPr>
        <w:t>sulfatkonjugater</w:t>
      </w:r>
      <w:proofErr w:type="spellEnd"/>
      <w:r w:rsidRPr="008A3919">
        <w:rPr>
          <w:sz w:val="24"/>
          <w:szCs w:val="24"/>
        </w:rPr>
        <w:t xml:space="preserve"> end voksne.</w:t>
      </w:r>
    </w:p>
    <w:p w:rsidR="00E46BDE" w:rsidRPr="008A3919" w:rsidRDefault="00E46BDE" w:rsidP="00E46BDE">
      <w:pPr>
        <w:rPr>
          <w:sz w:val="24"/>
          <w:szCs w:val="24"/>
        </w:rPr>
      </w:pPr>
    </w:p>
    <w:p w:rsidR="00E46BDE" w:rsidRPr="008A3919" w:rsidRDefault="00E46BDE" w:rsidP="00E46BDE">
      <w:pPr>
        <w:keepNext/>
        <w:ind w:left="851"/>
        <w:rPr>
          <w:sz w:val="24"/>
          <w:szCs w:val="24"/>
        </w:rPr>
      </w:pPr>
      <w:r w:rsidRPr="008A3919">
        <w:rPr>
          <w:i/>
          <w:sz w:val="24"/>
          <w:szCs w:val="24"/>
        </w:rPr>
        <w:t xml:space="preserve">Tabel. </w:t>
      </w:r>
      <w:proofErr w:type="spellStart"/>
      <w:r w:rsidRPr="008A3919">
        <w:rPr>
          <w:i/>
          <w:sz w:val="24"/>
          <w:szCs w:val="24"/>
        </w:rPr>
        <w:t>Farmakokinetiske</w:t>
      </w:r>
      <w:proofErr w:type="spellEnd"/>
      <w:r w:rsidRPr="008A3919">
        <w:rPr>
          <w:i/>
          <w:sz w:val="24"/>
          <w:szCs w:val="24"/>
        </w:rPr>
        <w:t xml:space="preserve"> værdier som en funktion af alder (standardiseret </w:t>
      </w:r>
      <w:proofErr w:type="spellStart"/>
      <w:r w:rsidRPr="008A3919">
        <w:rPr>
          <w:i/>
          <w:sz w:val="24"/>
          <w:szCs w:val="24"/>
        </w:rPr>
        <w:t>clearance</w:t>
      </w:r>
      <w:proofErr w:type="spellEnd"/>
      <w:r w:rsidRPr="008A3919">
        <w:rPr>
          <w:i/>
          <w:sz w:val="24"/>
          <w:szCs w:val="24"/>
        </w:rPr>
        <w:t xml:space="preserve">*, </w:t>
      </w:r>
      <w:proofErr w:type="spellStart"/>
      <w:r w:rsidRPr="008A3919">
        <w:rPr>
          <w:i/>
          <w:sz w:val="24"/>
          <w:szCs w:val="24"/>
        </w:rPr>
        <w:t>CL</w:t>
      </w:r>
      <w:r w:rsidRPr="008A3919">
        <w:rPr>
          <w:i/>
          <w:sz w:val="24"/>
          <w:szCs w:val="24"/>
          <w:vertAlign w:val="subscript"/>
        </w:rPr>
        <w:t>std</w:t>
      </w:r>
      <w:proofErr w:type="spellEnd"/>
      <w:r w:rsidRPr="008A3919">
        <w:rPr>
          <w:i/>
          <w:sz w:val="24"/>
          <w:szCs w:val="24"/>
        </w:rPr>
        <w:t>/</w:t>
      </w:r>
      <w:proofErr w:type="spellStart"/>
      <w:r w:rsidRPr="008A3919">
        <w:rPr>
          <w:i/>
          <w:sz w:val="24"/>
          <w:szCs w:val="24"/>
        </w:rPr>
        <w:t>F</w:t>
      </w:r>
      <w:r w:rsidRPr="008A3919">
        <w:rPr>
          <w:i/>
          <w:sz w:val="24"/>
          <w:szCs w:val="24"/>
          <w:vertAlign w:val="subscript"/>
        </w:rPr>
        <w:t>oral</w:t>
      </w:r>
      <w:proofErr w:type="spellEnd"/>
      <w:r w:rsidRPr="008A3919">
        <w:rPr>
          <w:i/>
          <w:sz w:val="24"/>
          <w:szCs w:val="24"/>
        </w:rPr>
        <w:t xml:space="preserve"> (l.t</w:t>
      </w:r>
      <w:r w:rsidRPr="008A3919">
        <w:rPr>
          <w:i/>
          <w:sz w:val="24"/>
          <w:szCs w:val="24"/>
          <w:vertAlign w:val="superscript"/>
        </w:rPr>
        <w:t>-1</w:t>
      </w:r>
      <w:r w:rsidRPr="008A3919">
        <w:rPr>
          <w:i/>
          <w:sz w:val="24"/>
          <w:szCs w:val="24"/>
        </w:rPr>
        <w:t xml:space="preserve"> 70 kg</w:t>
      </w:r>
      <w:r w:rsidRPr="008A3919">
        <w:rPr>
          <w:i/>
          <w:sz w:val="24"/>
          <w:szCs w:val="24"/>
          <w:vertAlign w:val="superscript"/>
        </w:rPr>
        <w:t>-1</w:t>
      </w:r>
      <w:r w:rsidRPr="008A3919">
        <w:rPr>
          <w:i/>
          <w:sz w:val="24"/>
          <w:szCs w:val="24"/>
        </w:rPr>
        <w:t>) er anført herunder.</w:t>
      </w:r>
    </w:p>
    <w:tbl>
      <w:tblPr>
        <w:tblW w:w="82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268"/>
        <w:gridCol w:w="3336"/>
      </w:tblGrid>
      <w:tr w:rsidR="00E46BDE" w:rsidRPr="008A3919" w:rsidTr="003B4BCE">
        <w:tc>
          <w:tcPr>
            <w:tcW w:w="2693"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keepNext/>
              <w:rPr>
                <w:sz w:val="24"/>
                <w:szCs w:val="24"/>
              </w:rPr>
            </w:pPr>
            <w:r w:rsidRPr="008A3919">
              <w:rPr>
                <w:sz w:val="24"/>
                <w:szCs w:val="24"/>
              </w:rPr>
              <w:t xml:space="preserve">Alder </w:t>
            </w:r>
          </w:p>
        </w:tc>
        <w:tc>
          <w:tcPr>
            <w:tcW w:w="2268"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keepNext/>
              <w:rPr>
                <w:sz w:val="24"/>
                <w:szCs w:val="24"/>
              </w:rPr>
            </w:pPr>
            <w:r w:rsidRPr="008A3919">
              <w:rPr>
                <w:sz w:val="24"/>
                <w:szCs w:val="24"/>
              </w:rPr>
              <w:t>Vægt (kg)</w:t>
            </w:r>
          </w:p>
        </w:tc>
        <w:tc>
          <w:tcPr>
            <w:tcW w:w="3336"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keepNext/>
              <w:rPr>
                <w:sz w:val="24"/>
                <w:szCs w:val="24"/>
              </w:rPr>
            </w:pPr>
            <w:proofErr w:type="spellStart"/>
            <w:r w:rsidRPr="008A3919">
              <w:rPr>
                <w:sz w:val="24"/>
                <w:szCs w:val="24"/>
              </w:rPr>
              <w:t>CL</w:t>
            </w:r>
            <w:r w:rsidRPr="008A3919">
              <w:rPr>
                <w:sz w:val="24"/>
                <w:szCs w:val="24"/>
                <w:vertAlign w:val="subscript"/>
              </w:rPr>
              <w:t>std</w:t>
            </w:r>
            <w:proofErr w:type="spellEnd"/>
            <w:r w:rsidRPr="008A3919">
              <w:rPr>
                <w:sz w:val="24"/>
                <w:szCs w:val="24"/>
              </w:rPr>
              <w:t>/</w:t>
            </w:r>
            <w:proofErr w:type="spellStart"/>
            <w:r w:rsidRPr="008A3919">
              <w:rPr>
                <w:sz w:val="24"/>
                <w:szCs w:val="24"/>
              </w:rPr>
              <w:t>F</w:t>
            </w:r>
            <w:r w:rsidRPr="008A3919">
              <w:rPr>
                <w:sz w:val="24"/>
                <w:szCs w:val="24"/>
                <w:vertAlign w:val="subscript"/>
              </w:rPr>
              <w:t>oral</w:t>
            </w:r>
            <w:proofErr w:type="spellEnd"/>
            <w:r w:rsidRPr="008A3919">
              <w:rPr>
                <w:sz w:val="24"/>
                <w:szCs w:val="24"/>
                <w:vertAlign w:val="subscript"/>
              </w:rPr>
              <w:t xml:space="preserve"> </w:t>
            </w:r>
            <w:r w:rsidRPr="008A3919">
              <w:rPr>
                <w:sz w:val="24"/>
                <w:szCs w:val="24"/>
              </w:rPr>
              <w:t>(l.t</w:t>
            </w:r>
            <w:r w:rsidRPr="008A3919">
              <w:rPr>
                <w:sz w:val="24"/>
                <w:szCs w:val="24"/>
                <w:vertAlign w:val="superscript"/>
              </w:rPr>
              <w:t>-1</w:t>
            </w:r>
            <w:r w:rsidRPr="008A3919">
              <w:rPr>
                <w:sz w:val="24"/>
                <w:szCs w:val="24"/>
              </w:rPr>
              <w:t xml:space="preserve"> 70 kg</w:t>
            </w:r>
            <w:r w:rsidRPr="008A3919">
              <w:rPr>
                <w:sz w:val="24"/>
                <w:szCs w:val="24"/>
                <w:vertAlign w:val="superscript"/>
              </w:rPr>
              <w:t>-1</w:t>
            </w:r>
            <w:r w:rsidRPr="008A3919">
              <w:rPr>
                <w:sz w:val="24"/>
                <w:szCs w:val="24"/>
              </w:rPr>
              <w:t>)</w:t>
            </w:r>
          </w:p>
        </w:tc>
      </w:tr>
      <w:tr w:rsidR="00E46BDE" w:rsidRPr="008A3919" w:rsidTr="003B4BCE">
        <w:tc>
          <w:tcPr>
            <w:tcW w:w="2693"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40 ugers graviditet</w:t>
            </w:r>
          </w:p>
        </w:tc>
        <w:tc>
          <w:tcPr>
            <w:tcW w:w="2268"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3,3</w:t>
            </w:r>
          </w:p>
        </w:tc>
        <w:tc>
          <w:tcPr>
            <w:tcW w:w="3336"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5,9</w:t>
            </w:r>
          </w:p>
        </w:tc>
      </w:tr>
      <w:tr w:rsidR="00E46BDE" w:rsidRPr="008A3919" w:rsidTr="003B4BCE">
        <w:tc>
          <w:tcPr>
            <w:tcW w:w="2693"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 xml:space="preserve">3 måneder </w:t>
            </w:r>
          </w:p>
        </w:tc>
        <w:tc>
          <w:tcPr>
            <w:tcW w:w="2268"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6</w:t>
            </w:r>
          </w:p>
        </w:tc>
        <w:tc>
          <w:tcPr>
            <w:tcW w:w="3336"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8,8</w:t>
            </w:r>
          </w:p>
        </w:tc>
      </w:tr>
      <w:tr w:rsidR="00E46BDE" w:rsidRPr="008A3919" w:rsidTr="003B4BCE">
        <w:tc>
          <w:tcPr>
            <w:tcW w:w="2693"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 xml:space="preserve">6 måneder </w:t>
            </w:r>
          </w:p>
        </w:tc>
        <w:tc>
          <w:tcPr>
            <w:tcW w:w="2268"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7,5</w:t>
            </w:r>
          </w:p>
        </w:tc>
        <w:tc>
          <w:tcPr>
            <w:tcW w:w="3336"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11,1</w:t>
            </w:r>
          </w:p>
        </w:tc>
      </w:tr>
      <w:tr w:rsidR="00E46BDE" w:rsidRPr="008A3919" w:rsidTr="003B4BCE">
        <w:tc>
          <w:tcPr>
            <w:tcW w:w="2693"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 xml:space="preserve">1 år </w:t>
            </w:r>
          </w:p>
        </w:tc>
        <w:tc>
          <w:tcPr>
            <w:tcW w:w="2268"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10</w:t>
            </w:r>
          </w:p>
        </w:tc>
        <w:tc>
          <w:tcPr>
            <w:tcW w:w="3336"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13,6</w:t>
            </w:r>
          </w:p>
        </w:tc>
      </w:tr>
      <w:tr w:rsidR="00E46BDE" w:rsidRPr="008A3919" w:rsidTr="003B4BCE">
        <w:tc>
          <w:tcPr>
            <w:tcW w:w="2693"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 xml:space="preserve">2 år </w:t>
            </w:r>
          </w:p>
        </w:tc>
        <w:tc>
          <w:tcPr>
            <w:tcW w:w="2268"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12</w:t>
            </w:r>
          </w:p>
        </w:tc>
        <w:tc>
          <w:tcPr>
            <w:tcW w:w="3336"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15,6</w:t>
            </w:r>
          </w:p>
        </w:tc>
      </w:tr>
      <w:tr w:rsidR="00E46BDE" w:rsidRPr="008A3919" w:rsidTr="003B4BCE">
        <w:tc>
          <w:tcPr>
            <w:tcW w:w="2693"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 xml:space="preserve">5 år </w:t>
            </w:r>
          </w:p>
        </w:tc>
        <w:tc>
          <w:tcPr>
            <w:tcW w:w="2268"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20</w:t>
            </w:r>
          </w:p>
        </w:tc>
        <w:tc>
          <w:tcPr>
            <w:tcW w:w="3336"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16,3</w:t>
            </w:r>
          </w:p>
        </w:tc>
      </w:tr>
      <w:tr w:rsidR="00E46BDE" w:rsidRPr="008A3919" w:rsidTr="003B4BCE">
        <w:tc>
          <w:tcPr>
            <w:tcW w:w="2693"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 xml:space="preserve">8 år </w:t>
            </w:r>
          </w:p>
        </w:tc>
        <w:tc>
          <w:tcPr>
            <w:tcW w:w="2268"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25</w:t>
            </w:r>
          </w:p>
        </w:tc>
        <w:tc>
          <w:tcPr>
            <w:tcW w:w="3336" w:type="dxa"/>
            <w:tcBorders>
              <w:top w:val="single" w:sz="4" w:space="0" w:color="auto"/>
              <w:left w:val="single" w:sz="4" w:space="0" w:color="auto"/>
              <w:bottom w:val="single" w:sz="4" w:space="0" w:color="auto"/>
              <w:right w:val="single" w:sz="4" w:space="0" w:color="auto"/>
            </w:tcBorders>
            <w:hideMark/>
          </w:tcPr>
          <w:p w:rsidR="00E46BDE" w:rsidRPr="008A3919" w:rsidRDefault="00E46BDE" w:rsidP="003B4BCE">
            <w:pPr>
              <w:rPr>
                <w:sz w:val="24"/>
                <w:szCs w:val="24"/>
              </w:rPr>
            </w:pPr>
            <w:r w:rsidRPr="008A3919">
              <w:rPr>
                <w:sz w:val="24"/>
                <w:szCs w:val="24"/>
              </w:rPr>
              <w:t>16,3</w:t>
            </w:r>
          </w:p>
        </w:tc>
      </w:tr>
    </w:tbl>
    <w:p w:rsidR="00E46BDE" w:rsidRPr="008A3919" w:rsidRDefault="00E46BDE" w:rsidP="00E46BDE">
      <w:pPr>
        <w:ind w:firstLine="851"/>
        <w:rPr>
          <w:sz w:val="24"/>
          <w:szCs w:val="24"/>
        </w:rPr>
      </w:pPr>
      <w:r w:rsidRPr="008A3919">
        <w:rPr>
          <w:sz w:val="24"/>
          <w:szCs w:val="24"/>
        </w:rPr>
        <w:t>*</w:t>
      </w:r>
      <w:proofErr w:type="spellStart"/>
      <w:r w:rsidRPr="008A3919">
        <w:rPr>
          <w:sz w:val="24"/>
          <w:szCs w:val="24"/>
        </w:rPr>
        <w:t>CL</w:t>
      </w:r>
      <w:r w:rsidRPr="008A3919">
        <w:rPr>
          <w:sz w:val="24"/>
          <w:szCs w:val="24"/>
          <w:vertAlign w:val="subscript"/>
        </w:rPr>
        <w:t>std</w:t>
      </w:r>
      <w:proofErr w:type="spellEnd"/>
      <w:r w:rsidRPr="008A3919">
        <w:rPr>
          <w:sz w:val="24"/>
          <w:szCs w:val="24"/>
        </w:rPr>
        <w:t xml:space="preserve"> er populationsestimeringen for CL</w:t>
      </w:r>
    </w:p>
    <w:p w:rsidR="00E46BDE" w:rsidRPr="008A3919" w:rsidRDefault="00E46BDE" w:rsidP="00E46BDE">
      <w:pPr>
        <w:rPr>
          <w:sz w:val="24"/>
          <w:szCs w:val="24"/>
        </w:rPr>
      </w:pPr>
    </w:p>
    <w:p w:rsidR="00E46BDE" w:rsidRPr="008A3919" w:rsidRDefault="00E46BDE" w:rsidP="00E46BDE">
      <w:pPr>
        <w:ind w:left="851"/>
        <w:rPr>
          <w:b/>
          <w:sz w:val="24"/>
          <w:szCs w:val="24"/>
          <w:u w:val="single"/>
        </w:rPr>
      </w:pPr>
      <w:r w:rsidRPr="008A3919">
        <w:rPr>
          <w:b/>
          <w:sz w:val="24"/>
          <w:szCs w:val="24"/>
          <w:u w:val="single"/>
        </w:rPr>
        <w:t>Særlige populationer</w:t>
      </w:r>
    </w:p>
    <w:p w:rsidR="00E46BDE" w:rsidRDefault="00E46BDE" w:rsidP="00E46BDE">
      <w:pPr>
        <w:ind w:left="851"/>
        <w:rPr>
          <w:i/>
          <w:sz w:val="24"/>
          <w:szCs w:val="24"/>
          <w:u w:val="single"/>
        </w:rPr>
      </w:pPr>
    </w:p>
    <w:p w:rsidR="00E46BDE" w:rsidRPr="008A3919" w:rsidRDefault="00E46BDE" w:rsidP="00E46BDE">
      <w:pPr>
        <w:ind w:left="851"/>
        <w:rPr>
          <w:sz w:val="24"/>
          <w:szCs w:val="24"/>
          <w:u w:val="single"/>
        </w:rPr>
      </w:pPr>
      <w:r w:rsidRPr="008A3919">
        <w:rPr>
          <w:i/>
          <w:sz w:val="24"/>
          <w:szCs w:val="24"/>
          <w:u w:val="single"/>
        </w:rPr>
        <w:t>Nedsat nyrefunktion</w:t>
      </w:r>
    </w:p>
    <w:p w:rsidR="00E46BDE" w:rsidRPr="008A3919" w:rsidRDefault="00E46BDE" w:rsidP="00E46BDE">
      <w:pPr>
        <w:ind w:left="851"/>
        <w:rPr>
          <w:i/>
          <w:sz w:val="24"/>
          <w:szCs w:val="24"/>
        </w:rPr>
      </w:pPr>
      <w:r w:rsidRPr="008A3919">
        <w:rPr>
          <w:sz w:val="24"/>
          <w:szCs w:val="24"/>
        </w:rPr>
        <w:t>I tilfælde af svær nyrefunktionsnedsættelse (</w:t>
      </w:r>
      <w:proofErr w:type="spellStart"/>
      <w:r w:rsidRPr="008A3919">
        <w:rPr>
          <w:sz w:val="24"/>
          <w:szCs w:val="24"/>
        </w:rPr>
        <w:t>kreatininclearance</w:t>
      </w:r>
      <w:proofErr w:type="spellEnd"/>
      <w:r w:rsidRPr="008A3919">
        <w:rPr>
          <w:sz w:val="24"/>
          <w:szCs w:val="24"/>
        </w:rPr>
        <w:t xml:space="preserve"> 10-30 ml/min) er udskillelsen af paracetamol en anelse forsinket, udskillelseshalveringstiden ligger i intervallet 2-5,3 timer. For </w:t>
      </w:r>
      <w:proofErr w:type="spellStart"/>
      <w:r w:rsidRPr="008A3919">
        <w:rPr>
          <w:sz w:val="24"/>
          <w:szCs w:val="24"/>
        </w:rPr>
        <w:t>glucuronid</w:t>
      </w:r>
      <w:proofErr w:type="spellEnd"/>
      <w:r w:rsidRPr="008A3919">
        <w:rPr>
          <w:sz w:val="24"/>
          <w:szCs w:val="24"/>
        </w:rPr>
        <w:t xml:space="preserve">- og </w:t>
      </w:r>
      <w:proofErr w:type="spellStart"/>
      <w:r w:rsidRPr="008A3919">
        <w:rPr>
          <w:sz w:val="24"/>
          <w:szCs w:val="24"/>
        </w:rPr>
        <w:t>sulfatkonjugater</w:t>
      </w:r>
      <w:proofErr w:type="spellEnd"/>
      <w:r w:rsidRPr="008A3919">
        <w:rPr>
          <w:sz w:val="24"/>
          <w:szCs w:val="24"/>
        </w:rPr>
        <w:t xml:space="preserve"> er udskillelsesraten 3 gange langsommere hos individer med svær nyrefunktionsnedsættelse end hos raske individer. Det anbefales derfor ved administration af paracetamol til patienter med svær nyrefunktionsnedsættelse (</w:t>
      </w:r>
      <w:proofErr w:type="spellStart"/>
      <w:r w:rsidRPr="008A3919">
        <w:rPr>
          <w:sz w:val="24"/>
          <w:szCs w:val="24"/>
        </w:rPr>
        <w:t>kreatininclearance</w:t>
      </w:r>
      <w:proofErr w:type="spellEnd"/>
      <w:r w:rsidRPr="008A3919">
        <w:rPr>
          <w:sz w:val="24"/>
          <w:szCs w:val="24"/>
        </w:rPr>
        <w:t xml:space="preserve"> ≤ 30 ml/min) at øge minimumsintervallet mellem hver administration til 6 timer (se pkt. 4.2).</w:t>
      </w:r>
    </w:p>
    <w:p w:rsidR="00E46BDE" w:rsidRPr="008A3919" w:rsidRDefault="00E46BDE" w:rsidP="00E46BDE">
      <w:pPr>
        <w:ind w:left="851"/>
        <w:rPr>
          <w:i/>
          <w:sz w:val="24"/>
          <w:szCs w:val="24"/>
        </w:rPr>
      </w:pPr>
    </w:p>
    <w:p w:rsidR="00E46BDE" w:rsidRPr="008A3919" w:rsidRDefault="00E46BDE" w:rsidP="00E46BDE">
      <w:pPr>
        <w:ind w:left="851"/>
        <w:rPr>
          <w:sz w:val="24"/>
          <w:szCs w:val="24"/>
          <w:u w:val="single"/>
        </w:rPr>
      </w:pPr>
      <w:r w:rsidRPr="008A3919">
        <w:rPr>
          <w:i/>
          <w:sz w:val="24"/>
          <w:szCs w:val="24"/>
          <w:u w:val="single"/>
        </w:rPr>
        <w:t>Ældre forsøgspersoner</w:t>
      </w:r>
    </w:p>
    <w:p w:rsidR="00E46BDE" w:rsidRPr="008A3919" w:rsidRDefault="00E46BDE" w:rsidP="00E46BDE">
      <w:pPr>
        <w:ind w:left="851"/>
        <w:rPr>
          <w:sz w:val="24"/>
          <w:szCs w:val="24"/>
        </w:rPr>
      </w:pPr>
      <w:r w:rsidRPr="008A3919">
        <w:rPr>
          <w:sz w:val="24"/>
          <w:szCs w:val="24"/>
        </w:rPr>
        <w:t>Farmakokinetik og metabolisme for paracetamol er ikke ændret hos ældre individer. Der kræves ingen dosisjustering til denne gruppe.</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5.3</w:t>
      </w:r>
      <w:r w:rsidRPr="008A3919">
        <w:rPr>
          <w:b/>
          <w:sz w:val="24"/>
          <w:szCs w:val="24"/>
        </w:rPr>
        <w:tab/>
      </w:r>
      <w:r w:rsidR="00F72337">
        <w:rPr>
          <w:b/>
          <w:sz w:val="24"/>
          <w:szCs w:val="24"/>
        </w:rPr>
        <w:t>Non-</w:t>
      </w:r>
      <w:r w:rsidRPr="008A3919">
        <w:rPr>
          <w:b/>
          <w:sz w:val="24"/>
          <w:szCs w:val="24"/>
        </w:rPr>
        <w:t>kliniske sikkerhedsdata</w:t>
      </w:r>
    </w:p>
    <w:p w:rsidR="00E46BDE" w:rsidRDefault="00E46BDE" w:rsidP="00E46BDE">
      <w:pPr>
        <w:ind w:left="851"/>
        <w:rPr>
          <w:sz w:val="24"/>
          <w:szCs w:val="24"/>
        </w:rPr>
      </w:pPr>
      <w:r w:rsidRPr="00B21762">
        <w:rPr>
          <w:sz w:val="24"/>
          <w:szCs w:val="24"/>
        </w:rPr>
        <w:t>Der foreligger ikke konventionelle studier, hvor man har anvendt aktuelt anerkendte standarder for evaluering af reproduktions- og udviklingstoksicitet.</w:t>
      </w:r>
    </w:p>
    <w:p w:rsidR="00E46BDE" w:rsidRPr="008A3919" w:rsidRDefault="00E46BDE" w:rsidP="00E46BDE">
      <w:pPr>
        <w:ind w:left="851"/>
        <w:rPr>
          <w:sz w:val="24"/>
          <w:szCs w:val="24"/>
          <w:lang w:eastAsia="da-DK"/>
        </w:rPr>
      </w:pPr>
      <w:r w:rsidRPr="008A3919">
        <w:rPr>
          <w:sz w:val="24"/>
          <w:szCs w:val="24"/>
        </w:rPr>
        <w:t>Prækliniske data påviser ikke nogen speciel fare for mennesker ud over information i andre afsnit af produktresuméet.</w:t>
      </w:r>
    </w:p>
    <w:p w:rsidR="00E46BDE" w:rsidRPr="008A3919" w:rsidRDefault="00E46BDE" w:rsidP="00E46BDE">
      <w:pPr>
        <w:ind w:firstLine="851"/>
        <w:rPr>
          <w:sz w:val="24"/>
          <w:szCs w:val="24"/>
        </w:rPr>
      </w:pPr>
      <w:r w:rsidRPr="008A3919">
        <w:rPr>
          <w:sz w:val="24"/>
          <w:szCs w:val="24"/>
        </w:rPr>
        <w:t>Studier af lokal tolerance af paracetamol</w:t>
      </w:r>
      <w:r w:rsidRPr="008A3919">
        <w:rPr>
          <w:i/>
          <w:sz w:val="24"/>
          <w:szCs w:val="24"/>
        </w:rPr>
        <w:t xml:space="preserve"> </w:t>
      </w:r>
      <w:r w:rsidRPr="008A3919">
        <w:rPr>
          <w:sz w:val="24"/>
          <w:szCs w:val="24"/>
        </w:rPr>
        <w:t>hos rotter og kaniner viste god tolerance.</w:t>
      </w:r>
    </w:p>
    <w:p w:rsidR="00E46BDE" w:rsidRPr="008A3919" w:rsidRDefault="00E46BDE" w:rsidP="00E46BDE">
      <w:pPr>
        <w:ind w:firstLine="851"/>
        <w:rPr>
          <w:sz w:val="24"/>
          <w:szCs w:val="24"/>
        </w:rPr>
      </w:pPr>
      <w:r w:rsidRPr="008A3919">
        <w:rPr>
          <w:sz w:val="24"/>
          <w:szCs w:val="24"/>
        </w:rPr>
        <w:t>Fravær af forsinket kontakthypersensitivitet er blevet afprøvet på marsvin.</w:t>
      </w:r>
    </w:p>
    <w:p w:rsidR="00E46BDE" w:rsidRPr="008A3919" w:rsidRDefault="00E46BDE" w:rsidP="00E46BDE">
      <w:pPr>
        <w:ind w:left="851" w:hanging="851"/>
        <w:rPr>
          <w:sz w:val="24"/>
          <w:szCs w:val="24"/>
        </w:rPr>
      </w:pP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6.</w:t>
      </w:r>
      <w:r w:rsidRPr="008A3919">
        <w:rPr>
          <w:b/>
          <w:sz w:val="24"/>
          <w:szCs w:val="24"/>
        </w:rPr>
        <w:tab/>
        <w:t>FARMACEUTISKE OPLYSNINGER</w:t>
      </w:r>
    </w:p>
    <w:p w:rsidR="00E46BDE" w:rsidRPr="008A3919" w:rsidRDefault="00E46BDE" w:rsidP="00E46BDE">
      <w:pPr>
        <w:ind w:left="851" w:hanging="851"/>
        <w:rPr>
          <w:b/>
          <w:sz w:val="24"/>
          <w:szCs w:val="24"/>
        </w:rPr>
      </w:pPr>
    </w:p>
    <w:p w:rsidR="00E46BDE" w:rsidRPr="008A3919" w:rsidRDefault="00E46BDE" w:rsidP="00E46BDE">
      <w:pPr>
        <w:ind w:left="851" w:hanging="851"/>
        <w:rPr>
          <w:b/>
          <w:sz w:val="24"/>
          <w:szCs w:val="24"/>
        </w:rPr>
      </w:pPr>
      <w:r w:rsidRPr="008A3919">
        <w:rPr>
          <w:b/>
          <w:sz w:val="24"/>
          <w:szCs w:val="24"/>
        </w:rPr>
        <w:t>6.1</w:t>
      </w:r>
      <w:r w:rsidRPr="008A3919">
        <w:rPr>
          <w:b/>
          <w:sz w:val="24"/>
          <w:szCs w:val="24"/>
        </w:rPr>
        <w:tab/>
        <w:t>Hjælpestoffer</w:t>
      </w:r>
    </w:p>
    <w:p w:rsidR="00E46BDE" w:rsidRPr="008A3919" w:rsidRDefault="00E46BDE" w:rsidP="00E46BDE">
      <w:pPr>
        <w:ind w:left="851"/>
        <w:rPr>
          <w:sz w:val="24"/>
          <w:szCs w:val="24"/>
          <w:lang w:eastAsia="da-DK"/>
        </w:rPr>
      </w:pPr>
      <w:proofErr w:type="spellStart"/>
      <w:r w:rsidRPr="008A3919">
        <w:rPr>
          <w:sz w:val="24"/>
          <w:szCs w:val="24"/>
        </w:rPr>
        <w:t>Hydroxypropylbetadex</w:t>
      </w:r>
      <w:proofErr w:type="spellEnd"/>
    </w:p>
    <w:p w:rsidR="00E46BDE" w:rsidRPr="008A3919" w:rsidRDefault="00E46BDE" w:rsidP="00E46BDE">
      <w:pPr>
        <w:ind w:left="851"/>
        <w:rPr>
          <w:sz w:val="24"/>
          <w:szCs w:val="24"/>
        </w:rPr>
      </w:pPr>
      <w:proofErr w:type="spellStart"/>
      <w:r w:rsidRPr="008A3919">
        <w:rPr>
          <w:sz w:val="24"/>
          <w:szCs w:val="24"/>
        </w:rPr>
        <w:t>Dinatriumedetat</w:t>
      </w:r>
      <w:proofErr w:type="spellEnd"/>
      <w:r w:rsidRPr="008A3919">
        <w:rPr>
          <w:sz w:val="24"/>
          <w:szCs w:val="24"/>
        </w:rPr>
        <w:t xml:space="preserve"> </w:t>
      </w:r>
    </w:p>
    <w:p w:rsidR="00E46BDE" w:rsidRPr="008A3919" w:rsidRDefault="00E46BDE" w:rsidP="00E46BDE">
      <w:pPr>
        <w:ind w:left="851"/>
        <w:rPr>
          <w:sz w:val="24"/>
          <w:szCs w:val="24"/>
        </w:rPr>
      </w:pPr>
      <w:proofErr w:type="spellStart"/>
      <w:r w:rsidRPr="008A3919">
        <w:rPr>
          <w:sz w:val="24"/>
          <w:szCs w:val="24"/>
        </w:rPr>
        <w:t>Natriumchlorid</w:t>
      </w:r>
      <w:proofErr w:type="spellEnd"/>
    </w:p>
    <w:p w:rsidR="00E46BDE" w:rsidRPr="008A3919" w:rsidRDefault="00E46BDE" w:rsidP="00E46BDE">
      <w:pPr>
        <w:ind w:left="851"/>
        <w:rPr>
          <w:sz w:val="24"/>
          <w:szCs w:val="24"/>
        </w:rPr>
      </w:pPr>
      <w:proofErr w:type="spellStart"/>
      <w:r w:rsidRPr="008A3919">
        <w:rPr>
          <w:sz w:val="24"/>
          <w:szCs w:val="24"/>
        </w:rPr>
        <w:t>Natriumdihydrogenphosphatdihydrat</w:t>
      </w:r>
      <w:proofErr w:type="spellEnd"/>
      <w:r w:rsidRPr="008A3919">
        <w:rPr>
          <w:sz w:val="24"/>
          <w:szCs w:val="24"/>
        </w:rPr>
        <w:t xml:space="preserve"> (pH-justering, E339)</w:t>
      </w:r>
    </w:p>
    <w:p w:rsidR="00E46BDE" w:rsidRPr="008A3919" w:rsidRDefault="00E46BDE" w:rsidP="00E46BDE">
      <w:pPr>
        <w:ind w:left="851"/>
        <w:rPr>
          <w:sz w:val="24"/>
          <w:szCs w:val="24"/>
        </w:rPr>
      </w:pPr>
      <w:proofErr w:type="spellStart"/>
      <w:r w:rsidRPr="008A3919">
        <w:rPr>
          <w:sz w:val="24"/>
          <w:szCs w:val="24"/>
        </w:rPr>
        <w:t>Dinatriumhydrogenphosphatdihydrat</w:t>
      </w:r>
      <w:proofErr w:type="spellEnd"/>
      <w:r w:rsidRPr="008A3919">
        <w:rPr>
          <w:sz w:val="24"/>
          <w:szCs w:val="24"/>
        </w:rPr>
        <w:t xml:space="preserve"> (pH-justering, E339) </w:t>
      </w:r>
    </w:p>
    <w:p w:rsidR="00E46BDE" w:rsidRPr="008A3919" w:rsidRDefault="00E46BDE" w:rsidP="00E46BDE">
      <w:pPr>
        <w:ind w:left="851"/>
        <w:rPr>
          <w:sz w:val="24"/>
          <w:szCs w:val="24"/>
        </w:rPr>
      </w:pPr>
      <w:r w:rsidRPr="008A3919">
        <w:rPr>
          <w:sz w:val="24"/>
          <w:szCs w:val="24"/>
        </w:rPr>
        <w:t>Vand til injektionsvæsker</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lastRenderedPageBreak/>
        <w:t>6.2</w:t>
      </w:r>
      <w:r w:rsidRPr="008A3919">
        <w:rPr>
          <w:b/>
          <w:sz w:val="24"/>
          <w:szCs w:val="24"/>
        </w:rPr>
        <w:tab/>
        <w:t>Uforligeligheder</w:t>
      </w:r>
    </w:p>
    <w:p w:rsidR="00E46BDE" w:rsidRPr="006259C0" w:rsidRDefault="00E46BDE" w:rsidP="00E46BDE">
      <w:pPr>
        <w:ind w:firstLine="851"/>
        <w:rPr>
          <w:sz w:val="24"/>
          <w:szCs w:val="24"/>
          <w:lang w:eastAsia="da-DK"/>
        </w:rPr>
      </w:pPr>
      <w:r w:rsidRPr="006259C0">
        <w:rPr>
          <w:sz w:val="24"/>
          <w:szCs w:val="24"/>
        </w:rPr>
        <w:t>Dette lægemiddel må ikke blandes med andre lægemidler.</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6.3</w:t>
      </w:r>
      <w:r w:rsidRPr="008A3919">
        <w:rPr>
          <w:b/>
          <w:sz w:val="24"/>
          <w:szCs w:val="24"/>
        </w:rPr>
        <w:tab/>
        <w:t>Opbevaringstid</w:t>
      </w:r>
    </w:p>
    <w:p w:rsidR="00E46BDE" w:rsidRPr="008A3919" w:rsidRDefault="00E46BDE" w:rsidP="00E46BDE">
      <w:pPr>
        <w:ind w:firstLine="851"/>
        <w:rPr>
          <w:sz w:val="24"/>
          <w:szCs w:val="24"/>
          <w:lang w:eastAsia="da-DK"/>
        </w:rPr>
      </w:pPr>
      <w:r w:rsidRPr="008A3919">
        <w:rPr>
          <w:sz w:val="24"/>
          <w:szCs w:val="24"/>
        </w:rPr>
        <w:t>2 år.</w:t>
      </w:r>
    </w:p>
    <w:p w:rsidR="00E46BDE" w:rsidRPr="008A3919" w:rsidRDefault="00E46BDE" w:rsidP="00E46BDE">
      <w:pPr>
        <w:ind w:left="851"/>
        <w:rPr>
          <w:sz w:val="24"/>
          <w:szCs w:val="24"/>
        </w:rPr>
      </w:pPr>
      <w:r w:rsidRPr="008A3919">
        <w:rPr>
          <w:sz w:val="24"/>
          <w:szCs w:val="24"/>
        </w:rPr>
        <w:t>Kemisk og fysisk stabilitet efter åbning er dokumenteret i 24 timer ved 25 °C uden overfolie.</w:t>
      </w:r>
    </w:p>
    <w:p w:rsidR="00E46BDE" w:rsidRPr="008A3919" w:rsidRDefault="00E46BDE" w:rsidP="00E46BDE">
      <w:pPr>
        <w:ind w:left="851"/>
        <w:rPr>
          <w:sz w:val="24"/>
          <w:szCs w:val="24"/>
        </w:rPr>
      </w:pPr>
      <w:r w:rsidRPr="008A3919">
        <w:rPr>
          <w:sz w:val="24"/>
          <w:szCs w:val="24"/>
        </w:rPr>
        <w:t>Fra et mikrobiologisk synspunkt bør produktet anvendes med det samme, medmindre åbningsmetoden udelukker risiko for mikrobiel kontaminering. Hvis opløsningen ikke anvendes med det samme, er brugeren ansvarlig for opbevaringstider og -betingelser efter åbning.</w:t>
      </w:r>
      <w:r w:rsidRPr="008A3919">
        <w:rPr>
          <w:color w:val="333333"/>
          <w:sz w:val="24"/>
          <w:szCs w:val="24"/>
        </w:rPr>
        <w:t xml:space="preserve"> </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6.4</w:t>
      </w:r>
      <w:r w:rsidRPr="008A3919">
        <w:rPr>
          <w:b/>
          <w:sz w:val="24"/>
          <w:szCs w:val="24"/>
        </w:rPr>
        <w:tab/>
        <w:t>Særlige opbevaringsforhold</w:t>
      </w:r>
    </w:p>
    <w:p w:rsidR="00E46BDE" w:rsidRPr="008A3919" w:rsidRDefault="00E46BDE" w:rsidP="00E46BDE">
      <w:pPr>
        <w:ind w:left="851"/>
        <w:rPr>
          <w:sz w:val="24"/>
          <w:szCs w:val="24"/>
          <w:lang w:eastAsia="da-DK"/>
        </w:rPr>
      </w:pPr>
      <w:r w:rsidRPr="008A3919">
        <w:rPr>
          <w:sz w:val="24"/>
          <w:szCs w:val="24"/>
        </w:rPr>
        <w:t>Der er ingen særlige krav vedrørende opbevaringstemperaturer for dette lægemiddel. Må ikke opbevares i køleskab eller nedfryses.</w:t>
      </w:r>
    </w:p>
    <w:p w:rsidR="00E46BDE" w:rsidRPr="008A3919" w:rsidRDefault="00E46BDE" w:rsidP="00E46BDE">
      <w:pPr>
        <w:ind w:firstLine="851"/>
        <w:rPr>
          <w:sz w:val="24"/>
          <w:szCs w:val="24"/>
        </w:rPr>
      </w:pPr>
      <w:r w:rsidRPr="008A3919">
        <w:rPr>
          <w:sz w:val="24"/>
          <w:szCs w:val="24"/>
        </w:rPr>
        <w:t>Opbevar poserne i den ydre pakning for at beskytte lægemidlet mod lys.</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6.5</w:t>
      </w:r>
      <w:r w:rsidRPr="008A3919">
        <w:rPr>
          <w:b/>
          <w:sz w:val="24"/>
          <w:szCs w:val="24"/>
        </w:rPr>
        <w:tab/>
        <w:t>Emballagetype og pakningsstørrelser</w:t>
      </w:r>
    </w:p>
    <w:p w:rsidR="00E46BDE" w:rsidRDefault="00E46BDE" w:rsidP="00E46BDE">
      <w:pPr>
        <w:ind w:left="851"/>
        <w:rPr>
          <w:sz w:val="24"/>
          <w:szCs w:val="24"/>
        </w:rPr>
      </w:pPr>
      <w:r w:rsidRPr="008A3919">
        <w:rPr>
          <w:sz w:val="24"/>
          <w:szCs w:val="24"/>
        </w:rPr>
        <w:t xml:space="preserve">100 ml polypropylenposer, der er forsynet med et infusionssted bestående af et rør, der er baseret på </w:t>
      </w:r>
      <w:proofErr w:type="spellStart"/>
      <w:r w:rsidRPr="008A3919">
        <w:rPr>
          <w:sz w:val="24"/>
          <w:szCs w:val="24"/>
        </w:rPr>
        <w:t>polyolefinblok</w:t>
      </w:r>
      <w:proofErr w:type="spellEnd"/>
      <w:r w:rsidRPr="008A3919">
        <w:rPr>
          <w:sz w:val="24"/>
          <w:szCs w:val="24"/>
        </w:rPr>
        <w:t>-/</w:t>
      </w:r>
      <w:proofErr w:type="spellStart"/>
      <w:r w:rsidRPr="008A3919">
        <w:rPr>
          <w:sz w:val="24"/>
          <w:szCs w:val="24"/>
        </w:rPr>
        <w:t>styrenblokcopolymer</w:t>
      </w:r>
      <w:proofErr w:type="spellEnd"/>
      <w:r w:rsidRPr="008A3919">
        <w:rPr>
          <w:sz w:val="24"/>
          <w:szCs w:val="24"/>
        </w:rPr>
        <w:t xml:space="preserve">. Røret er forseglet med en </w:t>
      </w:r>
      <w:proofErr w:type="spellStart"/>
      <w:r w:rsidRPr="008A3919">
        <w:rPr>
          <w:sz w:val="24"/>
          <w:szCs w:val="24"/>
        </w:rPr>
        <w:t>chlorbutyl</w:t>
      </w:r>
      <w:proofErr w:type="spellEnd"/>
      <w:r w:rsidRPr="008A3919">
        <w:rPr>
          <w:sz w:val="24"/>
          <w:szCs w:val="24"/>
        </w:rPr>
        <w:t>-g</w:t>
      </w:r>
      <w:r>
        <w:rPr>
          <w:sz w:val="24"/>
          <w:szCs w:val="24"/>
        </w:rPr>
        <w:t>ummiprop og en aluminiumshætte.</w:t>
      </w:r>
    </w:p>
    <w:p w:rsidR="00E46BDE" w:rsidRDefault="00E46BDE" w:rsidP="00E46BDE">
      <w:pPr>
        <w:ind w:left="851"/>
        <w:rPr>
          <w:sz w:val="24"/>
          <w:szCs w:val="24"/>
        </w:rPr>
      </w:pPr>
      <w:r w:rsidRPr="008A3919">
        <w:rPr>
          <w:sz w:val="24"/>
          <w:szCs w:val="24"/>
        </w:rPr>
        <w:t xml:space="preserve">Poserne er indpakket i aluminiumsfolie, metalliseret film eller en </w:t>
      </w:r>
      <w:proofErr w:type="spellStart"/>
      <w:r w:rsidRPr="008A3919">
        <w:rPr>
          <w:sz w:val="24"/>
          <w:szCs w:val="24"/>
        </w:rPr>
        <w:t>polyethylenbaseret</w:t>
      </w:r>
      <w:proofErr w:type="spellEnd"/>
      <w:r w:rsidRPr="008A3919">
        <w:rPr>
          <w:sz w:val="24"/>
          <w:szCs w:val="24"/>
        </w:rPr>
        <w:t xml:space="preserve"> flerlagsfilm.</w:t>
      </w:r>
    </w:p>
    <w:p w:rsidR="00E46BDE" w:rsidRDefault="00E46BDE" w:rsidP="00E46BDE">
      <w:pPr>
        <w:pStyle w:val="Normalindrykning"/>
        <w:spacing w:after="0" w:line="240" w:lineRule="auto"/>
        <w:ind w:left="851"/>
        <w:rPr>
          <w:szCs w:val="24"/>
        </w:rPr>
      </w:pPr>
      <w:r>
        <w:t>Pakninger med 1</w:t>
      </w:r>
      <w:r>
        <w:rPr>
          <w:szCs w:val="24"/>
        </w:rPr>
        <w:t xml:space="preserve"> </w:t>
      </w:r>
      <w:r>
        <w:t>x 100 ml, 10 x 100 ml, 20 x 100 ml, 50 x 100 ml.</w:t>
      </w:r>
    </w:p>
    <w:p w:rsidR="00E46BDE" w:rsidRPr="008A3919" w:rsidRDefault="00E46BDE" w:rsidP="00E46BDE">
      <w:pPr>
        <w:ind w:firstLine="851"/>
        <w:rPr>
          <w:sz w:val="24"/>
          <w:szCs w:val="24"/>
        </w:rPr>
      </w:pPr>
      <w:r w:rsidRPr="008A3919">
        <w:rPr>
          <w:sz w:val="24"/>
          <w:szCs w:val="24"/>
        </w:rPr>
        <w:t>Ikke alle pakningsstørrelser er nødvendigvis markedsført.</w:t>
      </w:r>
    </w:p>
    <w:p w:rsidR="00E46BDE" w:rsidRPr="008A3919" w:rsidRDefault="00E46BDE" w:rsidP="00E46BDE">
      <w:pPr>
        <w:rPr>
          <w:sz w:val="24"/>
          <w:szCs w:val="24"/>
        </w:rPr>
      </w:pPr>
    </w:p>
    <w:p w:rsidR="00E46BDE" w:rsidRPr="008A3919" w:rsidRDefault="00E46BDE" w:rsidP="00E46BDE">
      <w:pPr>
        <w:ind w:left="851" w:hanging="851"/>
        <w:rPr>
          <w:b/>
          <w:sz w:val="24"/>
          <w:szCs w:val="24"/>
        </w:rPr>
      </w:pPr>
      <w:r w:rsidRPr="008A3919">
        <w:rPr>
          <w:b/>
          <w:sz w:val="24"/>
          <w:szCs w:val="24"/>
        </w:rPr>
        <w:t>6.6</w:t>
      </w:r>
      <w:r w:rsidRPr="008A3919">
        <w:rPr>
          <w:b/>
          <w:sz w:val="24"/>
          <w:szCs w:val="24"/>
        </w:rPr>
        <w:tab/>
        <w:t xml:space="preserve">Regler for </w:t>
      </w:r>
      <w:r w:rsidR="00F72337">
        <w:rPr>
          <w:b/>
          <w:sz w:val="24"/>
          <w:szCs w:val="24"/>
        </w:rPr>
        <w:t>bortskaffelse</w:t>
      </w:r>
      <w:r w:rsidRPr="008A3919">
        <w:rPr>
          <w:b/>
          <w:sz w:val="24"/>
          <w:szCs w:val="24"/>
        </w:rPr>
        <w:t xml:space="preserve"> og anden håndtering</w:t>
      </w:r>
    </w:p>
    <w:p w:rsidR="00E46BDE" w:rsidRPr="006259C0" w:rsidRDefault="00E46BDE" w:rsidP="00E46BDE">
      <w:pPr>
        <w:ind w:left="851"/>
        <w:rPr>
          <w:sz w:val="24"/>
          <w:szCs w:val="24"/>
        </w:rPr>
      </w:pPr>
      <w:r w:rsidRPr="006259C0">
        <w:rPr>
          <w:sz w:val="24"/>
          <w:szCs w:val="24"/>
        </w:rPr>
        <w:t>Inden administration skal produktet inspiceres visuelt for partikler og misfarvning. Kun til engangsbrug. Ikke anvendt lægemiddel samt affald heraf skal bortskaffes i henhold til lokale retningslinjer.</w:t>
      </w:r>
    </w:p>
    <w:p w:rsidR="00E46BDE" w:rsidRPr="008A3919" w:rsidRDefault="00E46BDE" w:rsidP="00E46BDE">
      <w:pPr>
        <w:ind w:left="851"/>
        <w:rPr>
          <w:sz w:val="24"/>
          <w:szCs w:val="24"/>
        </w:rPr>
      </w:pPr>
      <w:r w:rsidRPr="008A3919">
        <w:rPr>
          <w:sz w:val="24"/>
          <w:szCs w:val="24"/>
        </w:rPr>
        <w:t>Steriliseringsprocessen kan medføre fugt mellem posen og den ydre emballage. Dette påvirker ikke infusionsvæskens kvalitet.</w:t>
      </w:r>
    </w:p>
    <w:p w:rsidR="00E46BDE" w:rsidRPr="008A3919" w:rsidRDefault="00E46BDE" w:rsidP="00E46BDE">
      <w:pPr>
        <w:ind w:left="851" w:hanging="851"/>
        <w:jc w:val="both"/>
        <w:rPr>
          <w:sz w:val="24"/>
          <w:szCs w:val="24"/>
        </w:rPr>
      </w:pPr>
    </w:p>
    <w:p w:rsidR="00E46BDE" w:rsidRPr="008A3919" w:rsidRDefault="00E46BDE" w:rsidP="00E46BDE">
      <w:pPr>
        <w:ind w:left="851" w:hanging="851"/>
        <w:rPr>
          <w:b/>
          <w:sz w:val="24"/>
          <w:szCs w:val="24"/>
        </w:rPr>
      </w:pPr>
      <w:r w:rsidRPr="008A3919">
        <w:rPr>
          <w:b/>
          <w:sz w:val="24"/>
          <w:szCs w:val="24"/>
        </w:rPr>
        <w:t>7.</w:t>
      </w:r>
      <w:r w:rsidRPr="008A3919">
        <w:rPr>
          <w:b/>
          <w:sz w:val="24"/>
          <w:szCs w:val="24"/>
        </w:rPr>
        <w:tab/>
        <w:t>INDEHAVER AF MARKEDSFØRINGSTILLADELSEN</w:t>
      </w:r>
    </w:p>
    <w:p w:rsidR="00E46BDE" w:rsidRPr="008A3919" w:rsidRDefault="00E46BDE" w:rsidP="00E46BDE">
      <w:pPr>
        <w:ind w:firstLine="851"/>
        <w:rPr>
          <w:sz w:val="24"/>
          <w:szCs w:val="24"/>
          <w:lang w:eastAsia="da-DK"/>
        </w:rPr>
      </w:pPr>
      <w:r w:rsidRPr="008A3919">
        <w:rPr>
          <w:sz w:val="24"/>
          <w:szCs w:val="24"/>
        </w:rPr>
        <w:t xml:space="preserve">Uni-Pharma </w:t>
      </w:r>
      <w:proofErr w:type="spellStart"/>
      <w:r w:rsidRPr="008A3919">
        <w:rPr>
          <w:sz w:val="24"/>
          <w:szCs w:val="24"/>
        </w:rPr>
        <w:t>Kleon</w:t>
      </w:r>
      <w:proofErr w:type="spellEnd"/>
      <w:r w:rsidRPr="008A3919">
        <w:rPr>
          <w:sz w:val="24"/>
          <w:szCs w:val="24"/>
        </w:rPr>
        <w:t xml:space="preserve"> </w:t>
      </w:r>
      <w:proofErr w:type="spellStart"/>
      <w:r w:rsidRPr="008A3919">
        <w:rPr>
          <w:sz w:val="24"/>
          <w:szCs w:val="24"/>
        </w:rPr>
        <w:t>Tsetis</w:t>
      </w:r>
      <w:proofErr w:type="spellEnd"/>
      <w:r w:rsidRPr="008A3919">
        <w:rPr>
          <w:sz w:val="24"/>
          <w:szCs w:val="24"/>
        </w:rPr>
        <w:t xml:space="preserve"> </w:t>
      </w:r>
      <w:proofErr w:type="spellStart"/>
      <w:r w:rsidRPr="008A3919">
        <w:rPr>
          <w:sz w:val="24"/>
          <w:szCs w:val="24"/>
        </w:rPr>
        <w:t>Pharmaceutical</w:t>
      </w:r>
      <w:proofErr w:type="spellEnd"/>
      <w:r w:rsidRPr="008A3919">
        <w:rPr>
          <w:sz w:val="24"/>
          <w:szCs w:val="24"/>
        </w:rPr>
        <w:t xml:space="preserve"> Laboratories S.A.</w:t>
      </w:r>
    </w:p>
    <w:p w:rsidR="00E46BDE" w:rsidRPr="00716075" w:rsidRDefault="00E46BDE" w:rsidP="00E46BDE">
      <w:pPr>
        <w:ind w:firstLine="851"/>
        <w:rPr>
          <w:sz w:val="24"/>
          <w:szCs w:val="24"/>
        </w:rPr>
      </w:pPr>
      <w:r w:rsidRPr="00716075">
        <w:rPr>
          <w:sz w:val="24"/>
          <w:szCs w:val="24"/>
        </w:rPr>
        <w:t xml:space="preserve">14. km National Road 1 </w:t>
      </w:r>
    </w:p>
    <w:p w:rsidR="00E46BDE" w:rsidRPr="00716075" w:rsidRDefault="00E46BDE" w:rsidP="00E46BDE">
      <w:pPr>
        <w:ind w:firstLine="851"/>
        <w:rPr>
          <w:sz w:val="24"/>
          <w:szCs w:val="24"/>
        </w:rPr>
      </w:pPr>
      <w:r w:rsidRPr="00716075">
        <w:rPr>
          <w:sz w:val="24"/>
          <w:szCs w:val="24"/>
        </w:rPr>
        <w:t xml:space="preserve">GR-145 64 </w:t>
      </w:r>
      <w:proofErr w:type="spellStart"/>
      <w:r w:rsidRPr="00716075">
        <w:rPr>
          <w:sz w:val="24"/>
          <w:szCs w:val="24"/>
        </w:rPr>
        <w:t>Kifissia</w:t>
      </w:r>
      <w:proofErr w:type="spellEnd"/>
    </w:p>
    <w:p w:rsidR="00E46BDE" w:rsidRPr="008A3919" w:rsidRDefault="00E46BDE" w:rsidP="00E46BDE">
      <w:pPr>
        <w:ind w:firstLine="851"/>
        <w:rPr>
          <w:sz w:val="24"/>
          <w:szCs w:val="24"/>
        </w:rPr>
      </w:pPr>
      <w:r w:rsidRPr="008A3919">
        <w:rPr>
          <w:sz w:val="24"/>
          <w:szCs w:val="24"/>
        </w:rPr>
        <w:t>Grækenland</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8.</w:t>
      </w:r>
      <w:r w:rsidRPr="008A3919">
        <w:rPr>
          <w:b/>
          <w:sz w:val="24"/>
          <w:szCs w:val="24"/>
        </w:rPr>
        <w:tab/>
        <w:t>MARKEDSFØRINGSTILLADELSESNUMMER (</w:t>
      </w:r>
      <w:r w:rsidR="00F72337">
        <w:rPr>
          <w:b/>
          <w:sz w:val="24"/>
          <w:szCs w:val="24"/>
        </w:rPr>
        <w:t>-</w:t>
      </w:r>
      <w:r w:rsidRPr="008A3919">
        <w:rPr>
          <w:b/>
          <w:sz w:val="24"/>
          <w:szCs w:val="24"/>
        </w:rPr>
        <w:t>NUMRE)</w:t>
      </w:r>
    </w:p>
    <w:p w:rsidR="00E46BDE" w:rsidRPr="008A3919" w:rsidRDefault="00E46BDE" w:rsidP="00E46BDE">
      <w:pPr>
        <w:ind w:left="851" w:hanging="851"/>
        <w:rPr>
          <w:sz w:val="24"/>
          <w:szCs w:val="24"/>
        </w:rPr>
      </w:pPr>
      <w:r w:rsidRPr="008A3919">
        <w:rPr>
          <w:sz w:val="24"/>
          <w:szCs w:val="24"/>
        </w:rPr>
        <w:tab/>
        <w:t>54977</w:t>
      </w:r>
    </w:p>
    <w:p w:rsidR="00E46BDE" w:rsidRPr="008A3919" w:rsidRDefault="00E46BDE" w:rsidP="00E46BDE">
      <w:pPr>
        <w:ind w:left="851" w:hanging="851"/>
        <w:jc w:val="both"/>
        <w:rPr>
          <w:sz w:val="24"/>
          <w:szCs w:val="24"/>
        </w:rPr>
      </w:pPr>
    </w:p>
    <w:p w:rsidR="00E46BDE" w:rsidRPr="008A3919" w:rsidRDefault="00E46BDE" w:rsidP="00E46BDE">
      <w:pPr>
        <w:ind w:left="851" w:hanging="851"/>
        <w:rPr>
          <w:b/>
          <w:sz w:val="24"/>
          <w:szCs w:val="24"/>
        </w:rPr>
      </w:pPr>
      <w:r w:rsidRPr="008A3919">
        <w:rPr>
          <w:b/>
          <w:sz w:val="24"/>
          <w:szCs w:val="24"/>
        </w:rPr>
        <w:t>9.</w:t>
      </w:r>
      <w:r w:rsidRPr="008A3919">
        <w:rPr>
          <w:b/>
          <w:sz w:val="24"/>
          <w:szCs w:val="24"/>
        </w:rPr>
        <w:tab/>
        <w:t>DATO FOR FØRSTE MARKEDSFØRINGSTILLADELSE</w:t>
      </w:r>
    </w:p>
    <w:p w:rsidR="00E46BDE" w:rsidRPr="008A3919" w:rsidRDefault="00E46BDE" w:rsidP="00E46BDE">
      <w:pPr>
        <w:ind w:left="851" w:hanging="851"/>
        <w:rPr>
          <w:sz w:val="24"/>
          <w:szCs w:val="24"/>
        </w:rPr>
      </w:pPr>
      <w:r w:rsidRPr="008A3919">
        <w:rPr>
          <w:sz w:val="24"/>
          <w:szCs w:val="24"/>
        </w:rPr>
        <w:tab/>
        <w:t>18. maj 2015</w:t>
      </w:r>
    </w:p>
    <w:p w:rsidR="00E46BDE" w:rsidRPr="008A3919" w:rsidRDefault="00E46BDE" w:rsidP="00E46BDE">
      <w:pPr>
        <w:ind w:left="851" w:hanging="851"/>
        <w:rPr>
          <w:sz w:val="24"/>
          <w:szCs w:val="24"/>
        </w:rPr>
      </w:pPr>
    </w:p>
    <w:p w:rsidR="00E46BDE" w:rsidRPr="008A3919" w:rsidRDefault="00E46BDE" w:rsidP="00E46BDE">
      <w:pPr>
        <w:ind w:left="851" w:hanging="851"/>
        <w:rPr>
          <w:b/>
          <w:sz w:val="24"/>
          <w:szCs w:val="24"/>
        </w:rPr>
      </w:pPr>
      <w:r w:rsidRPr="008A3919">
        <w:rPr>
          <w:b/>
          <w:sz w:val="24"/>
          <w:szCs w:val="24"/>
        </w:rPr>
        <w:t>10.</w:t>
      </w:r>
      <w:r w:rsidRPr="008A3919">
        <w:rPr>
          <w:b/>
          <w:sz w:val="24"/>
          <w:szCs w:val="24"/>
        </w:rPr>
        <w:tab/>
        <w:t>DATO FOR ÆNDRING AF TEKSTEN</w:t>
      </w:r>
    </w:p>
    <w:p w:rsidR="00E46BDE" w:rsidRPr="008A3919" w:rsidRDefault="00E46BDE" w:rsidP="00E46BDE">
      <w:pPr>
        <w:ind w:left="851" w:hanging="851"/>
        <w:rPr>
          <w:sz w:val="24"/>
          <w:szCs w:val="24"/>
        </w:rPr>
      </w:pPr>
      <w:r w:rsidRPr="008A3919">
        <w:rPr>
          <w:sz w:val="24"/>
          <w:szCs w:val="24"/>
        </w:rPr>
        <w:tab/>
      </w:r>
      <w:r w:rsidR="00F72337">
        <w:rPr>
          <w:szCs w:val="24"/>
        </w:rPr>
        <w:t>17</w:t>
      </w:r>
      <w:r w:rsidRPr="00A92388">
        <w:rPr>
          <w:szCs w:val="24"/>
        </w:rPr>
        <w:t xml:space="preserve">. </w:t>
      </w:r>
      <w:r w:rsidR="00F72337">
        <w:rPr>
          <w:szCs w:val="24"/>
        </w:rPr>
        <w:t>novem</w:t>
      </w:r>
      <w:r w:rsidRPr="00A92388">
        <w:rPr>
          <w:szCs w:val="24"/>
        </w:rPr>
        <w:t>ber 20</w:t>
      </w:r>
      <w:r w:rsidR="00F72337">
        <w:rPr>
          <w:szCs w:val="24"/>
        </w:rPr>
        <w:t>23</w:t>
      </w:r>
    </w:p>
    <w:p w:rsidR="00E46BDE" w:rsidRPr="008B33AD" w:rsidRDefault="00E46BDE" w:rsidP="00E46BDE"/>
    <w:p w:rsidR="00E46BDE" w:rsidRPr="005F01FD" w:rsidRDefault="00E46BDE" w:rsidP="00E46BDE"/>
    <w:p w:rsidR="009260DE" w:rsidRPr="00E46BDE" w:rsidRDefault="009260DE" w:rsidP="00E46BDE"/>
    <w:sectPr w:rsidR="009260DE" w:rsidRPr="00E46BD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DE" w:rsidRDefault="00E46BDE">
      <w:r>
        <w:separator/>
      </w:r>
    </w:p>
  </w:endnote>
  <w:endnote w:type="continuationSeparator" w:id="0">
    <w:p w:rsidR="00E46BDE" w:rsidRDefault="00E4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46BDE">
      <w:rPr>
        <w:i/>
        <w:noProof/>
        <w:sz w:val="18"/>
        <w:szCs w:val="18"/>
      </w:rPr>
      <w:t>Dokument357</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DE" w:rsidRDefault="00E46BDE">
      <w:r>
        <w:separator/>
      </w:r>
    </w:p>
  </w:footnote>
  <w:footnote w:type="continuationSeparator" w:id="0">
    <w:p w:rsidR="00E46BDE" w:rsidRDefault="00E46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E42D57"/>
    <w:multiLevelType w:val="hybridMultilevel"/>
    <w:tmpl w:val="1A3E2B8C"/>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0F6981"/>
    <w:multiLevelType w:val="hybridMultilevel"/>
    <w:tmpl w:val="9D4CE5D6"/>
    <w:lvl w:ilvl="0" w:tplc="FFFFFFFF">
      <w:start w:val="1"/>
      <w:numFmt w:val="bullet"/>
      <w:lvlText w:val="-"/>
      <w:lvlJc w:val="left"/>
      <w:pPr>
        <w:ind w:left="1440" w:hanging="360"/>
      </w:p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8E16D1"/>
    <w:multiLevelType w:val="hybridMultilevel"/>
    <w:tmpl w:val="FF12237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DA40FB5"/>
    <w:multiLevelType w:val="hybridMultilevel"/>
    <w:tmpl w:val="81B0DBF0"/>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0E23CB7"/>
    <w:multiLevelType w:val="hybridMultilevel"/>
    <w:tmpl w:val="D22C785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35B4DDB"/>
    <w:multiLevelType w:val="hybridMultilevel"/>
    <w:tmpl w:val="0A0483F0"/>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DE"/>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1184E"/>
    <w:rsid w:val="00B003BF"/>
    <w:rsid w:val="00B373D7"/>
    <w:rsid w:val="00BC1A30"/>
    <w:rsid w:val="00C36276"/>
    <w:rsid w:val="00C42586"/>
    <w:rsid w:val="00C60CCD"/>
    <w:rsid w:val="00C84483"/>
    <w:rsid w:val="00C95551"/>
    <w:rsid w:val="00CB20D7"/>
    <w:rsid w:val="00CF2B42"/>
    <w:rsid w:val="00D020B0"/>
    <w:rsid w:val="00D11748"/>
    <w:rsid w:val="00D366CF"/>
    <w:rsid w:val="00E108AA"/>
    <w:rsid w:val="00E31812"/>
    <w:rsid w:val="00E3749A"/>
    <w:rsid w:val="00E46BDE"/>
    <w:rsid w:val="00E7437F"/>
    <w:rsid w:val="00E865B8"/>
    <w:rsid w:val="00EC0B9B"/>
    <w:rsid w:val="00ED5E9F"/>
    <w:rsid w:val="00F66D4F"/>
    <w:rsid w:val="00F7233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86B626-22C9-4F0F-8C73-DBB258C1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nhideWhenUsed/>
    <w:rsid w:val="00E46BDE"/>
    <w:pPr>
      <w:spacing w:after="120" w:line="360" w:lineRule="auto"/>
      <w:ind w:left="720"/>
      <w:jc w:val="both"/>
    </w:pPr>
    <w:rPr>
      <w:sz w:val="24"/>
      <w:lang w:eastAsia="da-DK"/>
    </w:rPr>
  </w:style>
  <w:style w:type="table" w:styleId="Tabel-Gitter">
    <w:name w:val="Table Grid"/>
    <w:basedOn w:val="Tabel-Normal"/>
    <w:uiPriority w:val="59"/>
    <w:rsid w:val="00E4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2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2262</Words>
  <Characters>14466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2022052020 pkt. 4.4, 4.5 samt QRD</dc:description>
  <cp:lastModifiedBy>Helle Søndersted</cp:lastModifiedBy>
  <cp:revision>2</cp:revision>
  <cp:lastPrinted>2012-08-22T08:53:00Z</cp:lastPrinted>
  <dcterms:created xsi:type="dcterms:W3CDTF">2023-11-17T12:17:00Z</dcterms:created>
  <dcterms:modified xsi:type="dcterms:W3CDTF">2023-11-17T12:17:00Z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