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F6110">
        <w:rPr>
          <w:szCs w:val="24"/>
        </w:rPr>
        <w:t>15. februar 2019</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A1C3A" w:rsidP="009260DE">
      <w:pPr>
        <w:jc w:val="center"/>
        <w:rPr>
          <w:b/>
          <w:sz w:val="24"/>
          <w:szCs w:val="24"/>
        </w:rPr>
      </w:pPr>
      <w:r>
        <w:rPr>
          <w:b/>
          <w:sz w:val="24"/>
          <w:szCs w:val="24"/>
        </w:rPr>
        <w:t>Aprepitant "Stada", hårde 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D1B7A" w:rsidP="009260DE">
      <w:pPr>
        <w:tabs>
          <w:tab w:val="left" w:pos="851"/>
        </w:tabs>
        <w:ind w:left="851"/>
        <w:rPr>
          <w:sz w:val="24"/>
          <w:szCs w:val="24"/>
        </w:rPr>
      </w:pPr>
      <w:r>
        <w:rPr>
          <w:sz w:val="24"/>
          <w:szCs w:val="24"/>
        </w:rPr>
        <w:t>30828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D1B7A" w:rsidP="009260DE">
      <w:pPr>
        <w:tabs>
          <w:tab w:val="left" w:pos="851"/>
        </w:tabs>
        <w:ind w:left="851"/>
        <w:rPr>
          <w:sz w:val="24"/>
          <w:szCs w:val="24"/>
        </w:rPr>
      </w:pPr>
      <w:r>
        <w:rPr>
          <w:sz w:val="24"/>
          <w:szCs w:val="24"/>
        </w:rPr>
        <w:t>Aprepitant "Stada"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74810" w:rsidRPr="00374810" w:rsidRDefault="00374810" w:rsidP="00374810">
      <w:pPr>
        <w:tabs>
          <w:tab w:val="left" w:pos="851"/>
        </w:tabs>
        <w:ind w:left="851"/>
        <w:rPr>
          <w:sz w:val="24"/>
          <w:szCs w:val="24"/>
        </w:rPr>
      </w:pPr>
      <w:r w:rsidRPr="00374810">
        <w:rPr>
          <w:sz w:val="24"/>
          <w:szCs w:val="24"/>
        </w:rPr>
        <w:t xml:space="preserve">Hver 125 mg kapsel indeholder 125 mg aprepitant. </w:t>
      </w:r>
    </w:p>
    <w:p w:rsidR="00374810" w:rsidRPr="00374810" w:rsidRDefault="00374810" w:rsidP="00374810">
      <w:pPr>
        <w:tabs>
          <w:tab w:val="left" w:pos="851"/>
        </w:tabs>
        <w:ind w:left="851"/>
        <w:rPr>
          <w:sz w:val="24"/>
          <w:szCs w:val="24"/>
        </w:rPr>
      </w:pPr>
      <w:r w:rsidRPr="00374810">
        <w:rPr>
          <w:sz w:val="24"/>
          <w:szCs w:val="24"/>
        </w:rPr>
        <w:t xml:space="preserve">Hver 80 mg kapsel indeholder 80 mg aprepitant. </w:t>
      </w:r>
    </w:p>
    <w:p w:rsidR="00374810" w:rsidRPr="00374810" w:rsidRDefault="00374810" w:rsidP="00374810">
      <w:pPr>
        <w:tabs>
          <w:tab w:val="left" w:pos="851"/>
        </w:tabs>
        <w:ind w:left="851"/>
        <w:rPr>
          <w:sz w:val="24"/>
          <w:szCs w:val="24"/>
        </w:rPr>
      </w:pPr>
    </w:p>
    <w:p w:rsidR="00374810" w:rsidRPr="00374810" w:rsidRDefault="00374810" w:rsidP="00374810">
      <w:pPr>
        <w:tabs>
          <w:tab w:val="left" w:pos="851"/>
        </w:tabs>
        <w:ind w:left="851"/>
        <w:rPr>
          <w:sz w:val="24"/>
          <w:szCs w:val="24"/>
          <w:u w:val="single"/>
        </w:rPr>
      </w:pPr>
      <w:r w:rsidRPr="00374810">
        <w:rPr>
          <w:sz w:val="24"/>
          <w:szCs w:val="24"/>
          <w:u w:val="single"/>
        </w:rPr>
        <w:t xml:space="preserve">Hjælpestof, som behandleren skal være opmærksom på </w:t>
      </w:r>
    </w:p>
    <w:p w:rsidR="00374810" w:rsidRPr="00374810" w:rsidRDefault="00374810" w:rsidP="00374810">
      <w:pPr>
        <w:tabs>
          <w:tab w:val="left" w:pos="851"/>
        </w:tabs>
        <w:ind w:left="851"/>
        <w:rPr>
          <w:sz w:val="24"/>
          <w:szCs w:val="24"/>
        </w:rPr>
      </w:pPr>
      <w:r w:rsidRPr="00374810">
        <w:rPr>
          <w:sz w:val="24"/>
          <w:szCs w:val="24"/>
        </w:rPr>
        <w:t>Hver 125 mg kapsel indeholder 125 mg saccharose og 0,00026 mmol (0,006 mg) natrium.</w:t>
      </w:r>
    </w:p>
    <w:p w:rsidR="00374810" w:rsidRPr="00374810" w:rsidRDefault="00374810" w:rsidP="00374810">
      <w:pPr>
        <w:tabs>
          <w:tab w:val="left" w:pos="851"/>
        </w:tabs>
        <w:ind w:left="851"/>
        <w:rPr>
          <w:sz w:val="24"/>
          <w:szCs w:val="24"/>
        </w:rPr>
      </w:pPr>
      <w:r w:rsidRPr="00374810">
        <w:rPr>
          <w:sz w:val="24"/>
          <w:szCs w:val="24"/>
        </w:rPr>
        <w:t>Hver 80 mg kapsel indeholder 80 mg saccharose og 0,00022 mmol (0,005 mg) natrium.</w:t>
      </w:r>
    </w:p>
    <w:p w:rsidR="00374810" w:rsidRPr="00374810" w:rsidRDefault="00374810" w:rsidP="00374810">
      <w:pPr>
        <w:tabs>
          <w:tab w:val="left" w:pos="851"/>
        </w:tabs>
        <w:ind w:left="851"/>
        <w:rPr>
          <w:sz w:val="24"/>
          <w:szCs w:val="24"/>
        </w:rPr>
      </w:pPr>
    </w:p>
    <w:p w:rsidR="00374810" w:rsidRPr="00374810" w:rsidRDefault="00374810" w:rsidP="00374810">
      <w:pPr>
        <w:tabs>
          <w:tab w:val="left" w:pos="851"/>
        </w:tabs>
        <w:ind w:left="851"/>
        <w:rPr>
          <w:sz w:val="24"/>
          <w:szCs w:val="24"/>
        </w:rPr>
      </w:pPr>
      <w:r w:rsidRPr="00374810">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74810" w:rsidRPr="00374810" w:rsidRDefault="00374810" w:rsidP="00374810">
      <w:pPr>
        <w:tabs>
          <w:tab w:val="left" w:pos="851"/>
        </w:tabs>
        <w:ind w:left="851"/>
        <w:rPr>
          <w:sz w:val="24"/>
          <w:szCs w:val="24"/>
        </w:rPr>
      </w:pPr>
      <w:r>
        <w:rPr>
          <w:sz w:val="24"/>
          <w:szCs w:val="24"/>
        </w:rPr>
        <w:t>Hårde kapsler</w:t>
      </w:r>
      <w:r w:rsidRPr="00374810">
        <w:rPr>
          <w:sz w:val="24"/>
          <w:szCs w:val="24"/>
        </w:rPr>
        <w:t xml:space="preserve"> </w:t>
      </w:r>
    </w:p>
    <w:p w:rsidR="00374810" w:rsidRPr="00374810" w:rsidRDefault="00374810" w:rsidP="00374810">
      <w:pPr>
        <w:tabs>
          <w:tab w:val="left" w:pos="851"/>
        </w:tabs>
        <w:ind w:left="851"/>
        <w:rPr>
          <w:sz w:val="24"/>
          <w:szCs w:val="24"/>
        </w:rPr>
      </w:pPr>
    </w:p>
    <w:p w:rsidR="00BA36A7" w:rsidRPr="00BA36A7" w:rsidRDefault="00374810" w:rsidP="00374810">
      <w:pPr>
        <w:tabs>
          <w:tab w:val="left" w:pos="851"/>
        </w:tabs>
        <w:ind w:left="851"/>
        <w:rPr>
          <w:sz w:val="24"/>
          <w:szCs w:val="24"/>
          <w:u w:val="single"/>
        </w:rPr>
      </w:pPr>
      <w:r w:rsidRPr="00BA36A7">
        <w:rPr>
          <w:sz w:val="24"/>
          <w:szCs w:val="24"/>
          <w:u w:val="single"/>
        </w:rPr>
        <w:t>125 mg</w:t>
      </w:r>
    </w:p>
    <w:p w:rsidR="00374810" w:rsidRPr="00374810" w:rsidRDefault="00BA36A7" w:rsidP="00374810">
      <w:pPr>
        <w:tabs>
          <w:tab w:val="left" w:pos="851"/>
        </w:tabs>
        <w:ind w:left="851"/>
        <w:rPr>
          <w:sz w:val="24"/>
          <w:szCs w:val="24"/>
        </w:rPr>
      </w:pPr>
      <w:r>
        <w:rPr>
          <w:sz w:val="24"/>
          <w:szCs w:val="24"/>
        </w:rPr>
        <w:t>U</w:t>
      </w:r>
      <w:r w:rsidR="00374810" w:rsidRPr="00374810">
        <w:rPr>
          <w:sz w:val="24"/>
          <w:szCs w:val="24"/>
        </w:rPr>
        <w:t>gennemsigtige</w:t>
      </w:r>
      <w:r>
        <w:rPr>
          <w:sz w:val="24"/>
          <w:szCs w:val="24"/>
        </w:rPr>
        <w:t>,</w:t>
      </w:r>
      <w:r w:rsidR="00374810" w:rsidRPr="00374810">
        <w:rPr>
          <w:sz w:val="24"/>
          <w:szCs w:val="24"/>
        </w:rPr>
        <w:t xml:space="preserve"> hårde gelatinekapsler af størrelse nr 1, med lyserød overdel og hvid underdel med "125 mg" præget med sort blæk på underdelen. </w:t>
      </w:r>
    </w:p>
    <w:p w:rsidR="00374810" w:rsidRPr="00374810" w:rsidRDefault="00374810" w:rsidP="00374810">
      <w:pPr>
        <w:tabs>
          <w:tab w:val="left" w:pos="851"/>
        </w:tabs>
        <w:ind w:left="851"/>
        <w:rPr>
          <w:sz w:val="24"/>
          <w:szCs w:val="24"/>
        </w:rPr>
      </w:pPr>
    </w:p>
    <w:p w:rsidR="00BA36A7" w:rsidRPr="00BA36A7" w:rsidRDefault="00BA36A7" w:rsidP="00374810">
      <w:pPr>
        <w:tabs>
          <w:tab w:val="left" w:pos="851"/>
        </w:tabs>
        <w:ind w:left="851"/>
        <w:rPr>
          <w:sz w:val="24"/>
          <w:szCs w:val="24"/>
          <w:u w:val="single"/>
        </w:rPr>
      </w:pPr>
      <w:r w:rsidRPr="00BA36A7">
        <w:rPr>
          <w:sz w:val="24"/>
          <w:szCs w:val="24"/>
          <w:u w:val="single"/>
        </w:rPr>
        <w:t>80 mg</w:t>
      </w:r>
    </w:p>
    <w:p w:rsidR="00374810" w:rsidRPr="00374810" w:rsidRDefault="00BA36A7" w:rsidP="00374810">
      <w:pPr>
        <w:tabs>
          <w:tab w:val="left" w:pos="851"/>
        </w:tabs>
        <w:ind w:left="851"/>
        <w:rPr>
          <w:sz w:val="24"/>
          <w:szCs w:val="24"/>
        </w:rPr>
      </w:pPr>
      <w:r>
        <w:rPr>
          <w:sz w:val="24"/>
          <w:szCs w:val="24"/>
        </w:rPr>
        <w:t>U</w:t>
      </w:r>
      <w:r w:rsidR="00374810" w:rsidRPr="00374810">
        <w:rPr>
          <w:sz w:val="24"/>
          <w:szCs w:val="24"/>
        </w:rPr>
        <w:t>gennemsigtige</w:t>
      </w:r>
      <w:r>
        <w:rPr>
          <w:sz w:val="24"/>
          <w:szCs w:val="24"/>
        </w:rPr>
        <w:t>,</w:t>
      </w:r>
      <w:r w:rsidR="00374810" w:rsidRPr="00374810">
        <w:rPr>
          <w:sz w:val="24"/>
          <w:szCs w:val="24"/>
        </w:rPr>
        <w:t xml:space="preserve"> hårde gelatinekapsler af størrelse nr 2, med hvid overdel og hvid underdel med "80 mg" præget med sort blæk på underdelen.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B7C48" w:rsidRPr="004B7C48" w:rsidRDefault="004B7C48" w:rsidP="004B7C48">
      <w:pPr>
        <w:tabs>
          <w:tab w:val="left" w:pos="851"/>
        </w:tabs>
        <w:ind w:left="851"/>
        <w:rPr>
          <w:sz w:val="24"/>
          <w:szCs w:val="24"/>
        </w:rPr>
      </w:pPr>
      <w:r w:rsidRPr="004B7C48">
        <w:rPr>
          <w:sz w:val="24"/>
          <w:szCs w:val="24"/>
        </w:rPr>
        <w:t xml:space="preserve">Forebyggelse af kvalme og opkastning i forbindelse med højemetogen og moderat emetogen cancerkemoterapi hos voksne og unge fra 12-års alderen. </w:t>
      </w:r>
    </w:p>
    <w:p w:rsidR="004B7C48" w:rsidRPr="004B7C48" w:rsidRDefault="004B7C48" w:rsidP="004B7C48">
      <w:pPr>
        <w:tabs>
          <w:tab w:val="left" w:pos="851"/>
        </w:tabs>
        <w:ind w:left="851"/>
        <w:rPr>
          <w:sz w:val="24"/>
          <w:szCs w:val="24"/>
        </w:rPr>
      </w:pPr>
    </w:p>
    <w:p w:rsidR="004B7C48" w:rsidRPr="004B7C48" w:rsidRDefault="004B7C48" w:rsidP="004B7C48">
      <w:pPr>
        <w:tabs>
          <w:tab w:val="left" w:pos="851"/>
        </w:tabs>
        <w:ind w:left="851"/>
        <w:rPr>
          <w:sz w:val="24"/>
          <w:szCs w:val="24"/>
        </w:rPr>
      </w:pPr>
      <w:r w:rsidRPr="004B7C48">
        <w:rPr>
          <w:sz w:val="24"/>
          <w:szCs w:val="24"/>
        </w:rPr>
        <w:lastRenderedPageBreak/>
        <w:t>Aprepitant "Stada" 125 mg+80 mg gives som en del af en kombinationsbehandling (se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FA3128" w:rsidRDefault="00FA3128" w:rsidP="008E6D73">
      <w:pPr>
        <w:tabs>
          <w:tab w:val="left" w:pos="851"/>
        </w:tabs>
        <w:ind w:left="851"/>
        <w:rPr>
          <w:sz w:val="24"/>
          <w:szCs w:val="24"/>
          <w:u w:val="single"/>
        </w:rPr>
      </w:pPr>
    </w:p>
    <w:p w:rsidR="008E6D73" w:rsidRPr="00FA3128" w:rsidRDefault="008E6D73" w:rsidP="008E6D73">
      <w:pPr>
        <w:tabs>
          <w:tab w:val="left" w:pos="851"/>
        </w:tabs>
        <w:ind w:left="851"/>
        <w:rPr>
          <w:b/>
          <w:sz w:val="24"/>
          <w:szCs w:val="24"/>
          <w:u w:val="single"/>
        </w:rPr>
      </w:pPr>
      <w:r w:rsidRPr="00FA3128">
        <w:rPr>
          <w:b/>
          <w:sz w:val="24"/>
          <w:szCs w:val="24"/>
          <w:u w:val="single"/>
        </w:rPr>
        <w:t>Dosering</w:t>
      </w:r>
    </w:p>
    <w:p w:rsidR="008E6D73" w:rsidRPr="008E6D73" w:rsidRDefault="008E6D73" w:rsidP="008E6D73">
      <w:pPr>
        <w:tabs>
          <w:tab w:val="left" w:pos="851"/>
        </w:tabs>
        <w:ind w:left="851"/>
        <w:rPr>
          <w:sz w:val="24"/>
          <w:szCs w:val="24"/>
        </w:rPr>
      </w:pPr>
    </w:p>
    <w:p w:rsidR="00FA3128" w:rsidRPr="00FA3128" w:rsidRDefault="00FA3128" w:rsidP="008E6D73">
      <w:pPr>
        <w:tabs>
          <w:tab w:val="left" w:pos="851"/>
        </w:tabs>
        <w:ind w:left="851"/>
        <w:rPr>
          <w:sz w:val="24"/>
          <w:szCs w:val="24"/>
          <w:u w:val="single"/>
        </w:rPr>
      </w:pPr>
      <w:r w:rsidRPr="00FA3128">
        <w:rPr>
          <w:sz w:val="24"/>
          <w:szCs w:val="24"/>
          <w:u w:val="single"/>
        </w:rPr>
        <w:t>Voksne</w:t>
      </w:r>
    </w:p>
    <w:p w:rsidR="00FA3128" w:rsidRDefault="00FA3128" w:rsidP="008E6D73">
      <w:pPr>
        <w:tabs>
          <w:tab w:val="left" w:pos="851"/>
        </w:tabs>
        <w:ind w:left="851"/>
        <w:rPr>
          <w:sz w:val="24"/>
          <w:szCs w:val="24"/>
        </w:rPr>
      </w:pPr>
    </w:p>
    <w:p w:rsidR="008E6D73" w:rsidRPr="008E6D73" w:rsidRDefault="00FA3128" w:rsidP="008E6D73">
      <w:pPr>
        <w:tabs>
          <w:tab w:val="left" w:pos="851"/>
        </w:tabs>
        <w:ind w:left="851"/>
        <w:rPr>
          <w:sz w:val="24"/>
          <w:szCs w:val="24"/>
        </w:rPr>
      </w:pPr>
      <w:r>
        <w:rPr>
          <w:sz w:val="24"/>
          <w:szCs w:val="24"/>
        </w:rPr>
        <w:t>A</w:t>
      </w:r>
      <w:r w:rsidR="008E6D73" w:rsidRPr="008E6D73">
        <w:rPr>
          <w:sz w:val="24"/>
          <w:szCs w:val="24"/>
        </w:rPr>
        <w:t xml:space="preserve">prepitant "Stada" gives i 3 dage som del af et behandlingsregime, som også omfatter et kortikosteroid samt en 5-HT3-antagonist. </w:t>
      </w:r>
    </w:p>
    <w:p w:rsidR="008E6D73" w:rsidRPr="008E6D73" w:rsidRDefault="008E6D73" w:rsidP="008E6D73">
      <w:pPr>
        <w:tabs>
          <w:tab w:val="left" w:pos="851"/>
        </w:tabs>
        <w:ind w:left="851"/>
        <w:rPr>
          <w:sz w:val="24"/>
          <w:szCs w:val="24"/>
        </w:rPr>
      </w:pPr>
      <w:r w:rsidRPr="008E6D73">
        <w:rPr>
          <w:sz w:val="24"/>
          <w:szCs w:val="24"/>
        </w:rPr>
        <w:t xml:space="preserve">Den anbefalede dosis er 125 mg oralt </w:t>
      </w:r>
      <w:r w:rsidR="00FA3128">
        <w:rPr>
          <w:sz w:val="24"/>
          <w:szCs w:val="24"/>
        </w:rPr>
        <w:t>en</w:t>
      </w:r>
      <w:r w:rsidRPr="008E6D73">
        <w:rPr>
          <w:sz w:val="24"/>
          <w:szCs w:val="24"/>
        </w:rPr>
        <w:t xml:space="preserve"> gang </w:t>
      </w:r>
      <w:r w:rsidR="00FA3128">
        <w:rPr>
          <w:sz w:val="24"/>
          <w:szCs w:val="24"/>
        </w:rPr>
        <w:t>daglig</w:t>
      </w:r>
      <w:r w:rsidRPr="008E6D73">
        <w:rPr>
          <w:sz w:val="24"/>
          <w:szCs w:val="24"/>
        </w:rPr>
        <w:t xml:space="preserve"> en time før start af kemoterapi på dag 1 og 80 mg oralt </w:t>
      </w:r>
      <w:r w:rsidR="00FA3128">
        <w:rPr>
          <w:sz w:val="24"/>
          <w:szCs w:val="24"/>
        </w:rPr>
        <w:t>en</w:t>
      </w:r>
      <w:r w:rsidRPr="008E6D73">
        <w:rPr>
          <w:sz w:val="24"/>
          <w:szCs w:val="24"/>
        </w:rPr>
        <w:t xml:space="preserve"> gang </w:t>
      </w:r>
      <w:r w:rsidR="00FA3128">
        <w:rPr>
          <w:sz w:val="24"/>
          <w:szCs w:val="24"/>
        </w:rPr>
        <w:t>daglig</w:t>
      </w:r>
      <w:r w:rsidRPr="008E6D73">
        <w:rPr>
          <w:sz w:val="24"/>
          <w:szCs w:val="24"/>
        </w:rPr>
        <w:t xml:space="preserve"> på dag 2 og 3 om morgenen. </w:t>
      </w:r>
    </w:p>
    <w:p w:rsidR="008E6D73" w:rsidRPr="008E6D73" w:rsidRDefault="008E6D73" w:rsidP="008E6D73">
      <w:pPr>
        <w:tabs>
          <w:tab w:val="left" w:pos="851"/>
        </w:tabs>
        <w:ind w:left="851"/>
        <w:rPr>
          <w:sz w:val="24"/>
          <w:szCs w:val="24"/>
        </w:rPr>
      </w:pPr>
    </w:p>
    <w:p w:rsidR="008E6D73" w:rsidRDefault="008E6D73" w:rsidP="008E6D73">
      <w:pPr>
        <w:tabs>
          <w:tab w:val="left" w:pos="851"/>
        </w:tabs>
        <w:ind w:left="851"/>
        <w:rPr>
          <w:sz w:val="24"/>
          <w:szCs w:val="24"/>
        </w:rPr>
      </w:pPr>
      <w:r w:rsidRPr="008E6D73">
        <w:rPr>
          <w:sz w:val="24"/>
          <w:szCs w:val="24"/>
        </w:rPr>
        <w:t>Følgende behandlingsregimer anbefales hos voksne til forebyggelse af kvalme og opkastning i forbindelse med moderat emetogen cancerkemoterapi:</w:t>
      </w:r>
    </w:p>
    <w:p w:rsidR="00E00130" w:rsidRDefault="00E00130" w:rsidP="008E6D73">
      <w:pPr>
        <w:tabs>
          <w:tab w:val="left" w:pos="851"/>
        </w:tabs>
        <w:ind w:left="851"/>
        <w:rPr>
          <w:sz w:val="24"/>
          <w:szCs w:val="24"/>
        </w:rPr>
      </w:pPr>
    </w:p>
    <w:p w:rsidR="00E00130" w:rsidRPr="00E00130" w:rsidRDefault="00E00130" w:rsidP="00E00130">
      <w:pPr>
        <w:tabs>
          <w:tab w:val="left" w:pos="851"/>
        </w:tabs>
        <w:ind w:left="851"/>
        <w:rPr>
          <w:i/>
          <w:sz w:val="24"/>
          <w:szCs w:val="24"/>
        </w:rPr>
      </w:pPr>
      <w:r w:rsidRPr="00E00130">
        <w:rPr>
          <w:i/>
          <w:sz w:val="24"/>
          <w:szCs w:val="24"/>
        </w:rPr>
        <w:t>Højemetogen kemoterapi-behandlingsregime</w:t>
      </w:r>
    </w:p>
    <w:p w:rsidR="009260DE" w:rsidRDefault="009260DE" w:rsidP="009260DE">
      <w:pPr>
        <w:tabs>
          <w:tab w:val="left" w:pos="851"/>
        </w:tabs>
        <w:ind w:left="851"/>
        <w:rPr>
          <w:sz w:val="24"/>
          <w:szCs w:val="24"/>
        </w:rPr>
      </w:pPr>
    </w:p>
    <w:tbl>
      <w:tblPr>
        <w:tblW w:w="936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120"/>
        <w:gridCol w:w="1746"/>
        <w:gridCol w:w="1824"/>
        <w:gridCol w:w="1824"/>
      </w:tblGrid>
      <w:tr w:rsidR="008E6D73" w:rsidRPr="009A512B" w:rsidTr="009A512B">
        <w:tc>
          <w:tcPr>
            <w:tcW w:w="1850" w:type="dxa"/>
            <w:shd w:val="clear" w:color="auto" w:fill="auto"/>
          </w:tcPr>
          <w:p w:rsidR="008E6D73" w:rsidRPr="009A512B" w:rsidRDefault="008E6D73" w:rsidP="009A512B">
            <w:pPr>
              <w:rPr>
                <w:sz w:val="22"/>
                <w:szCs w:val="22"/>
              </w:rPr>
            </w:pPr>
          </w:p>
        </w:tc>
        <w:tc>
          <w:tcPr>
            <w:tcW w:w="2120" w:type="dxa"/>
            <w:shd w:val="clear" w:color="auto" w:fill="auto"/>
          </w:tcPr>
          <w:p w:rsidR="008E6D73" w:rsidRPr="009A512B" w:rsidRDefault="008E6D73" w:rsidP="009A512B">
            <w:pPr>
              <w:rPr>
                <w:sz w:val="22"/>
                <w:szCs w:val="22"/>
              </w:rPr>
            </w:pPr>
            <w:r w:rsidRPr="009A512B">
              <w:rPr>
                <w:sz w:val="22"/>
                <w:szCs w:val="22"/>
              </w:rPr>
              <w:t>Dag 1</w:t>
            </w:r>
          </w:p>
        </w:tc>
        <w:tc>
          <w:tcPr>
            <w:tcW w:w="1746" w:type="dxa"/>
            <w:shd w:val="clear" w:color="auto" w:fill="auto"/>
          </w:tcPr>
          <w:p w:rsidR="008E6D73" w:rsidRPr="009A512B" w:rsidRDefault="008E6D73" w:rsidP="009A512B">
            <w:pPr>
              <w:rPr>
                <w:sz w:val="22"/>
                <w:szCs w:val="22"/>
              </w:rPr>
            </w:pPr>
            <w:r w:rsidRPr="009A512B">
              <w:rPr>
                <w:sz w:val="22"/>
                <w:szCs w:val="22"/>
              </w:rPr>
              <w:t>Dag 2</w:t>
            </w:r>
          </w:p>
        </w:tc>
        <w:tc>
          <w:tcPr>
            <w:tcW w:w="1824" w:type="dxa"/>
            <w:shd w:val="clear" w:color="auto" w:fill="auto"/>
          </w:tcPr>
          <w:p w:rsidR="008E6D73" w:rsidRPr="009A512B" w:rsidRDefault="008E6D73" w:rsidP="009A512B">
            <w:pPr>
              <w:rPr>
                <w:sz w:val="22"/>
                <w:szCs w:val="22"/>
              </w:rPr>
            </w:pPr>
            <w:r w:rsidRPr="009A512B">
              <w:rPr>
                <w:sz w:val="22"/>
                <w:szCs w:val="22"/>
              </w:rPr>
              <w:t>Dag 3</w:t>
            </w:r>
          </w:p>
        </w:tc>
        <w:tc>
          <w:tcPr>
            <w:tcW w:w="1824" w:type="dxa"/>
            <w:shd w:val="clear" w:color="auto" w:fill="auto"/>
          </w:tcPr>
          <w:p w:rsidR="008E6D73" w:rsidRPr="009A512B" w:rsidRDefault="008E6D73" w:rsidP="009A512B">
            <w:pPr>
              <w:rPr>
                <w:sz w:val="22"/>
                <w:szCs w:val="22"/>
              </w:rPr>
            </w:pPr>
            <w:r w:rsidRPr="009A512B">
              <w:rPr>
                <w:sz w:val="22"/>
                <w:szCs w:val="22"/>
              </w:rPr>
              <w:t>Dag 4</w:t>
            </w:r>
          </w:p>
        </w:tc>
      </w:tr>
      <w:tr w:rsidR="008E6D73" w:rsidRPr="009A512B" w:rsidTr="009A512B">
        <w:tc>
          <w:tcPr>
            <w:tcW w:w="1850" w:type="dxa"/>
            <w:shd w:val="clear" w:color="auto" w:fill="auto"/>
          </w:tcPr>
          <w:p w:rsidR="008E6D73" w:rsidRPr="009A512B" w:rsidRDefault="008E6D73" w:rsidP="009A512B">
            <w:pPr>
              <w:rPr>
                <w:sz w:val="22"/>
                <w:szCs w:val="22"/>
              </w:rPr>
            </w:pPr>
            <w:r w:rsidRPr="009A512B">
              <w:rPr>
                <w:sz w:val="22"/>
                <w:szCs w:val="22"/>
              </w:rPr>
              <w:t>Aprepitant "Stada"</w:t>
            </w:r>
          </w:p>
        </w:tc>
        <w:tc>
          <w:tcPr>
            <w:tcW w:w="2120" w:type="dxa"/>
            <w:shd w:val="clear" w:color="auto" w:fill="auto"/>
          </w:tcPr>
          <w:p w:rsidR="008E6D73" w:rsidRPr="009A512B" w:rsidRDefault="008E6D73" w:rsidP="009A512B">
            <w:pPr>
              <w:rPr>
                <w:sz w:val="22"/>
                <w:szCs w:val="22"/>
              </w:rPr>
            </w:pPr>
            <w:r w:rsidRPr="009A512B">
              <w:rPr>
                <w:sz w:val="22"/>
                <w:szCs w:val="22"/>
              </w:rPr>
              <w:t>125 mg oralt</w:t>
            </w:r>
          </w:p>
        </w:tc>
        <w:tc>
          <w:tcPr>
            <w:tcW w:w="1746" w:type="dxa"/>
            <w:shd w:val="clear" w:color="auto" w:fill="auto"/>
          </w:tcPr>
          <w:p w:rsidR="008E6D73" w:rsidRPr="009A512B" w:rsidRDefault="008E6D73" w:rsidP="009A512B">
            <w:pPr>
              <w:rPr>
                <w:sz w:val="22"/>
                <w:szCs w:val="22"/>
              </w:rPr>
            </w:pPr>
            <w:r w:rsidRPr="009A512B">
              <w:rPr>
                <w:sz w:val="22"/>
                <w:szCs w:val="22"/>
              </w:rPr>
              <w:t>80 mg oralt</w:t>
            </w:r>
          </w:p>
        </w:tc>
        <w:tc>
          <w:tcPr>
            <w:tcW w:w="1824" w:type="dxa"/>
            <w:shd w:val="clear" w:color="auto" w:fill="auto"/>
          </w:tcPr>
          <w:p w:rsidR="008E6D73" w:rsidRPr="009A512B" w:rsidRDefault="008E6D73" w:rsidP="009A512B">
            <w:pPr>
              <w:rPr>
                <w:sz w:val="22"/>
                <w:szCs w:val="22"/>
              </w:rPr>
            </w:pPr>
            <w:r w:rsidRPr="009A512B">
              <w:rPr>
                <w:sz w:val="22"/>
                <w:szCs w:val="22"/>
              </w:rPr>
              <w:t>80 mg oralt</w:t>
            </w:r>
          </w:p>
        </w:tc>
        <w:tc>
          <w:tcPr>
            <w:tcW w:w="1824" w:type="dxa"/>
            <w:shd w:val="clear" w:color="auto" w:fill="auto"/>
          </w:tcPr>
          <w:p w:rsidR="008E6D73" w:rsidRPr="009A512B" w:rsidRDefault="008E6D73" w:rsidP="009A512B">
            <w:pPr>
              <w:rPr>
                <w:sz w:val="22"/>
                <w:szCs w:val="22"/>
              </w:rPr>
            </w:pPr>
            <w:r w:rsidRPr="009A512B">
              <w:rPr>
                <w:sz w:val="22"/>
                <w:szCs w:val="22"/>
              </w:rPr>
              <w:t>ingen</w:t>
            </w:r>
          </w:p>
        </w:tc>
      </w:tr>
      <w:tr w:rsidR="008E6D73" w:rsidRPr="009A512B" w:rsidTr="009A512B">
        <w:tc>
          <w:tcPr>
            <w:tcW w:w="1850" w:type="dxa"/>
            <w:shd w:val="clear" w:color="auto" w:fill="auto"/>
          </w:tcPr>
          <w:p w:rsidR="008E6D73" w:rsidRPr="009A512B" w:rsidRDefault="008E6D73" w:rsidP="009A512B">
            <w:pPr>
              <w:rPr>
                <w:sz w:val="22"/>
                <w:szCs w:val="22"/>
              </w:rPr>
            </w:pPr>
            <w:r w:rsidRPr="009A512B">
              <w:rPr>
                <w:sz w:val="22"/>
                <w:szCs w:val="22"/>
              </w:rPr>
              <w:t>Dexamethasone</w:t>
            </w:r>
          </w:p>
        </w:tc>
        <w:tc>
          <w:tcPr>
            <w:tcW w:w="2120" w:type="dxa"/>
            <w:shd w:val="clear" w:color="auto" w:fill="auto"/>
          </w:tcPr>
          <w:p w:rsidR="008E6D73" w:rsidRPr="009A512B" w:rsidRDefault="008E6D73" w:rsidP="009A512B">
            <w:pPr>
              <w:rPr>
                <w:sz w:val="22"/>
                <w:szCs w:val="22"/>
              </w:rPr>
            </w:pPr>
            <w:r w:rsidRPr="009A512B">
              <w:rPr>
                <w:sz w:val="22"/>
                <w:szCs w:val="22"/>
              </w:rPr>
              <w:t>12 mg oralt</w:t>
            </w:r>
          </w:p>
        </w:tc>
        <w:tc>
          <w:tcPr>
            <w:tcW w:w="1746" w:type="dxa"/>
            <w:shd w:val="clear" w:color="auto" w:fill="auto"/>
          </w:tcPr>
          <w:p w:rsidR="008E6D73" w:rsidRPr="009A512B" w:rsidRDefault="008E6D73" w:rsidP="009A512B">
            <w:pPr>
              <w:rPr>
                <w:sz w:val="22"/>
                <w:szCs w:val="22"/>
              </w:rPr>
            </w:pPr>
            <w:r w:rsidRPr="009A512B">
              <w:rPr>
                <w:sz w:val="22"/>
                <w:szCs w:val="22"/>
              </w:rPr>
              <w:t>8 mg oralt</w:t>
            </w:r>
          </w:p>
        </w:tc>
        <w:tc>
          <w:tcPr>
            <w:tcW w:w="1824" w:type="dxa"/>
            <w:shd w:val="clear" w:color="auto" w:fill="auto"/>
          </w:tcPr>
          <w:p w:rsidR="008E6D73" w:rsidRPr="009A512B" w:rsidRDefault="008E6D73" w:rsidP="009A512B">
            <w:pPr>
              <w:rPr>
                <w:sz w:val="22"/>
                <w:szCs w:val="22"/>
              </w:rPr>
            </w:pPr>
            <w:r w:rsidRPr="009A512B">
              <w:rPr>
                <w:sz w:val="22"/>
                <w:szCs w:val="22"/>
              </w:rPr>
              <w:t>8 mg oralt</w:t>
            </w:r>
          </w:p>
        </w:tc>
        <w:tc>
          <w:tcPr>
            <w:tcW w:w="1824" w:type="dxa"/>
            <w:shd w:val="clear" w:color="auto" w:fill="auto"/>
          </w:tcPr>
          <w:p w:rsidR="008E6D73" w:rsidRPr="009A512B" w:rsidRDefault="008E6D73" w:rsidP="009A512B">
            <w:pPr>
              <w:rPr>
                <w:sz w:val="22"/>
                <w:szCs w:val="22"/>
              </w:rPr>
            </w:pPr>
            <w:r w:rsidRPr="009A512B">
              <w:rPr>
                <w:sz w:val="22"/>
                <w:szCs w:val="22"/>
              </w:rPr>
              <w:t>8 mg oralt</w:t>
            </w:r>
          </w:p>
        </w:tc>
      </w:tr>
      <w:tr w:rsidR="008E6D73" w:rsidRPr="009A512B" w:rsidTr="009A512B">
        <w:tc>
          <w:tcPr>
            <w:tcW w:w="1850" w:type="dxa"/>
            <w:shd w:val="clear" w:color="auto" w:fill="auto"/>
          </w:tcPr>
          <w:p w:rsidR="008E6D73" w:rsidRPr="009A512B" w:rsidRDefault="008E6D73" w:rsidP="009A512B">
            <w:pPr>
              <w:rPr>
                <w:sz w:val="22"/>
                <w:szCs w:val="22"/>
              </w:rPr>
            </w:pPr>
            <w:r w:rsidRPr="009A512B">
              <w:rPr>
                <w:sz w:val="22"/>
                <w:szCs w:val="22"/>
              </w:rPr>
              <w:t>5-HT</w:t>
            </w:r>
            <w:r w:rsidRPr="009A512B">
              <w:rPr>
                <w:sz w:val="22"/>
                <w:szCs w:val="22"/>
                <w:vertAlign w:val="subscript"/>
              </w:rPr>
              <w:t>3</w:t>
            </w:r>
            <w:r w:rsidRPr="009A512B">
              <w:rPr>
                <w:sz w:val="22"/>
                <w:szCs w:val="22"/>
              </w:rPr>
              <w:t xml:space="preserve"> antagonister</w:t>
            </w:r>
          </w:p>
        </w:tc>
        <w:tc>
          <w:tcPr>
            <w:tcW w:w="2120" w:type="dxa"/>
            <w:shd w:val="clear" w:color="auto" w:fill="auto"/>
          </w:tcPr>
          <w:p w:rsidR="008E6D73" w:rsidRPr="009A512B" w:rsidRDefault="008E6D73" w:rsidP="009A512B">
            <w:pPr>
              <w:rPr>
                <w:sz w:val="22"/>
                <w:szCs w:val="22"/>
              </w:rPr>
            </w:pPr>
            <w:r w:rsidRPr="009A512B">
              <w:rPr>
                <w:sz w:val="22"/>
                <w:szCs w:val="22"/>
              </w:rPr>
              <w:t>Standarddosering af 5-HT3-antagonister. Se produktinformatione n for den valgte 5- HT3-antagonist for information om hensigtsmæssig dosering</w:t>
            </w:r>
          </w:p>
        </w:tc>
        <w:tc>
          <w:tcPr>
            <w:tcW w:w="1746" w:type="dxa"/>
            <w:shd w:val="clear" w:color="auto" w:fill="auto"/>
          </w:tcPr>
          <w:p w:rsidR="008E6D73" w:rsidRPr="009A512B" w:rsidRDefault="008E6D73" w:rsidP="009A512B">
            <w:pPr>
              <w:rPr>
                <w:sz w:val="22"/>
                <w:szCs w:val="22"/>
              </w:rPr>
            </w:pPr>
            <w:r w:rsidRPr="009A512B">
              <w:rPr>
                <w:sz w:val="22"/>
                <w:szCs w:val="22"/>
              </w:rPr>
              <w:t>Ingen</w:t>
            </w:r>
          </w:p>
        </w:tc>
        <w:tc>
          <w:tcPr>
            <w:tcW w:w="1824" w:type="dxa"/>
            <w:shd w:val="clear" w:color="auto" w:fill="auto"/>
          </w:tcPr>
          <w:p w:rsidR="008E6D73" w:rsidRPr="009A512B" w:rsidRDefault="008E6D73" w:rsidP="009A512B">
            <w:pPr>
              <w:rPr>
                <w:sz w:val="22"/>
                <w:szCs w:val="22"/>
              </w:rPr>
            </w:pPr>
            <w:r w:rsidRPr="009A512B">
              <w:rPr>
                <w:sz w:val="22"/>
                <w:szCs w:val="22"/>
              </w:rPr>
              <w:t>Ingen</w:t>
            </w:r>
          </w:p>
        </w:tc>
        <w:tc>
          <w:tcPr>
            <w:tcW w:w="1824" w:type="dxa"/>
            <w:shd w:val="clear" w:color="auto" w:fill="auto"/>
          </w:tcPr>
          <w:p w:rsidR="008E6D73" w:rsidRPr="009A512B" w:rsidRDefault="008E6D73" w:rsidP="009A512B">
            <w:pPr>
              <w:rPr>
                <w:sz w:val="22"/>
                <w:szCs w:val="22"/>
              </w:rPr>
            </w:pPr>
            <w:r w:rsidRPr="009A512B">
              <w:rPr>
                <w:sz w:val="22"/>
                <w:szCs w:val="22"/>
              </w:rPr>
              <w:t>Ingen</w:t>
            </w:r>
          </w:p>
        </w:tc>
      </w:tr>
    </w:tbl>
    <w:p w:rsidR="008E6D73" w:rsidRDefault="008E6D73" w:rsidP="009260DE">
      <w:pPr>
        <w:tabs>
          <w:tab w:val="left" w:pos="851"/>
        </w:tabs>
        <w:ind w:left="851"/>
        <w:rPr>
          <w:sz w:val="24"/>
          <w:szCs w:val="24"/>
        </w:rPr>
      </w:pPr>
    </w:p>
    <w:p w:rsidR="008E6D73" w:rsidRPr="008E6D73" w:rsidRDefault="008E6D73" w:rsidP="008E6D73">
      <w:pPr>
        <w:tabs>
          <w:tab w:val="left" w:pos="851"/>
        </w:tabs>
        <w:ind w:left="851"/>
        <w:rPr>
          <w:sz w:val="24"/>
          <w:szCs w:val="24"/>
        </w:rPr>
      </w:pPr>
      <w:r w:rsidRPr="008E6D73">
        <w:rPr>
          <w:b/>
          <w:sz w:val="24"/>
          <w:szCs w:val="24"/>
        </w:rPr>
        <w:t>Dexamethason</w:t>
      </w:r>
      <w:r w:rsidRPr="008E6D73">
        <w:rPr>
          <w:sz w:val="24"/>
          <w:szCs w:val="24"/>
        </w:rPr>
        <w:t xml:space="preserve"> skal indgives 30 minutter før kemoterapibehandling på dag 1 og om morgenen på dag 2 til 4. Dexamethasondosis tager højde for lægemiddelinteraktioner.</w:t>
      </w:r>
    </w:p>
    <w:p w:rsidR="008E6D73" w:rsidRPr="008E6D73" w:rsidRDefault="008E6D73" w:rsidP="008E6D73">
      <w:pPr>
        <w:tabs>
          <w:tab w:val="left" w:pos="851"/>
        </w:tabs>
        <w:ind w:left="851"/>
        <w:rPr>
          <w:sz w:val="24"/>
          <w:szCs w:val="24"/>
        </w:rPr>
      </w:pPr>
    </w:p>
    <w:p w:rsidR="008E6D73" w:rsidRPr="008E6D73" w:rsidRDefault="008E6D73" w:rsidP="008E6D73">
      <w:pPr>
        <w:tabs>
          <w:tab w:val="left" w:pos="851"/>
        </w:tabs>
        <w:ind w:left="851"/>
        <w:rPr>
          <w:i/>
          <w:sz w:val="24"/>
          <w:szCs w:val="24"/>
        </w:rPr>
      </w:pPr>
      <w:r w:rsidRPr="008E6D73">
        <w:rPr>
          <w:i/>
          <w:sz w:val="24"/>
          <w:szCs w:val="24"/>
        </w:rPr>
        <w:t>Moderat emetogen kemoterapi-behandlingsregime</w:t>
      </w:r>
    </w:p>
    <w:p w:rsidR="008E6D73" w:rsidRDefault="008E6D73" w:rsidP="009260DE">
      <w:pPr>
        <w:tabs>
          <w:tab w:val="left" w:pos="851"/>
        </w:tabs>
        <w:ind w:left="851"/>
        <w:rPr>
          <w:sz w:val="24"/>
          <w:szCs w:val="24"/>
        </w:rPr>
      </w:pPr>
    </w:p>
    <w:tbl>
      <w:tblPr>
        <w:tblW w:w="928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0"/>
        <w:gridCol w:w="2320"/>
        <w:gridCol w:w="2320"/>
      </w:tblGrid>
      <w:tr w:rsidR="00E00130" w:rsidRPr="00997597" w:rsidTr="009A512B">
        <w:tc>
          <w:tcPr>
            <w:tcW w:w="2321" w:type="dxa"/>
            <w:shd w:val="clear" w:color="auto" w:fill="auto"/>
          </w:tcPr>
          <w:p w:rsidR="00E00130" w:rsidRPr="009A512B" w:rsidRDefault="00E00130" w:rsidP="00A64291">
            <w:pPr>
              <w:rPr>
                <w:sz w:val="22"/>
                <w:szCs w:val="22"/>
                <w:u w:val="single"/>
              </w:rPr>
            </w:pPr>
          </w:p>
        </w:tc>
        <w:tc>
          <w:tcPr>
            <w:tcW w:w="2320" w:type="dxa"/>
            <w:shd w:val="clear" w:color="auto" w:fill="auto"/>
          </w:tcPr>
          <w:p w:rsidR="00E00130" w:rsidRPr="009A512B" w:rsidRDefault="00E00130" w:rsidP="00A64291">
            <w:pPr>
              <w:jc w:val="center"/>
              <w:rPr>
                <w:sz w:val="22"/>
                <w:szCs w:val="22"/>
              </w:rPr>
            </w:pPr>
            <w:r w:rsidRPr="009A512B">
              <w:rPr>
                <w:sz w:val="22"/>
                <w:szCs w:val="22"/>
              </w:rPr>
              <w:t>Dag 1</w:t>
            </w:r>
          </w:p>
        </w:tc>
        <w:tc>
          <w:tcPr>
            <w:tcW w:w="2320" w:type="dxa"/>
            <w:shd w:val="clear" w:color="auto" w:fill="auto"/>
          </w:tcPr>
          <w:p w:rsidR="00E00130" w:rsidRPr="009A512B" w:rsidRDefault="00E00130" w:rsidP="00A64291">
            <w:pPr>
              <w:jc w:val="center"/>
              <w:rPr>
                <w:sz w:val="22"/>
                <w:szCs w:val="22"/>
              </w:rPr>
            </w:pPr>
            <w:r w:rsidRPr="009A512B">
              <w:rPr>
                <w:sz w:val="22"/>
                <w:szCs w:val="22"/>
              </w:rPr>
              <w:t>Dag 2</w:t>
            </w:r>
          </w:p>
        </w:tc>
        <w:tc>
          <w:tcPr>
            <w:tcW w:w="2320" w:type="dxa"/>
            <w:shd w:val="clear" w:color="auto" w:fill="auto"/>
          </w:tcPr>
          <w:p w:rsidR="00E00130" w:rsidRPr="009A512B" w:rsidRDefault="00E00130" w:rsidP="00A64291">
            <w:pPr>
              <w:jc w:val="center"/>
              <w:rPr>
                <w:sz w:val="22"/>
                <w:szCs w:val="22"/>
              </w:rPr>
            </w:pPr>
            <w:r w:rsidRPr="009A512B">
              <w:rPr>
                <w:sz w:val="22"/>
                <w:szCs w:val="22"/>
              </w:rPr>
              <w:t>Dag 3</w:t>
            </w:r>
          </w:p>
        </w:tc>
      </w:tr>
      <w:tr w:rsidR="00E00130" w:rsidRPr="00997597" w:rsidTr="009A512B">
        <w:tc>
          <w:tcPr>
            <w:tcW w:w="2321" w:type="dxa"/>
            <w:shd w:val="clear" w:color="auto" w:fill="auto"/>
          </w:tcPr>
          <w:p w:rsidR="00E00130" w:rsidRPr="009A512B" w:rsidRDefault="00E00130" w:rsidP="00A64291">
            <w:pPr>
              <w:jc w:val="center"/>
              <w:rPr>
                <w:sz w:val="22"/>
                <w:szCs w:val="22"/>
              </w:rPr>
            </w:pPr>
            <w:r w:rsidRPr="009A512B">
              <w:rPr>
                <w:sz w:val="22"/>
                <w:szCs w:val="22"/>
              </w:rPr>
              <w:t>Aprepitant "Stada"</w:t>
            </w:r>
          </w:p>
        </w:tc>
        <w:tc>
          <w:tcPr>
            <w:tcW w:w="2320" w:type="dxa"/>
            <w:shd w:val="clear" w:color="auto" w:fill="auto"/>
          </w:tcPr>
          <w:p w:rsidR="00E00130" w:rsidRPr="009A512B" w:rsidRDefault="00E00130" w:rsidP="00A64291">
            <w:pPr>
              <w:jc w:val="center"/>
              <w:rPr>
                <w:sz w:val="22"/>
                <w:szCs w:val="22"/>
              </w:rPr>
            </w:pPr>
            <w:r w:rsidRPr="009A512B">
              <w:rPr>
                <w:sz w:val="22"/>
                <w:szCs w:val="22"/>
              </w:rPr>
              <w:t>125 mg oralt</w:t>
            </w:r>
          </w:p>
        </w:tc>
        <w:tc>
          <w:tcPr>
            <w:tcW w:w="2320" w:type="dxa"/>
            <w:shd w:val="clear" w:color="auto" w:fill="auto"/>
          </w:tcPr>
          <w:p w:rsidR="00E00130" w:rsidRPr="009A512B" w:rsidRDefault="00E00130" w:rsidP="00A64291">
            <w:pPr>
              <w:jc w:val="center"/>
              <w:rPr>
                <w:sz w:val="22"/>
                <w:szCs w:val="22"/>
              </w:rPr>
            </w:pPr>
            <w:r w:rsidRPr="009A512B">
              <w:rPr>
                <w:sz w:val="22"/>
                <w:szCs w:val="22"/>
              </w:rPr>
              <w:t>80 mg oralt</w:t>
            </w:r>
          </w:p>
        </w:tc>
        <w:tc>
          <w:tcPr>
            <w:tcW w:w="2320" w:type="dxa"/>
            <w:shd w:val="clear" w:color="auto" w:fill="auto"/>
          </w:tcPr>
          <w:p w:rsidR="00E00130" w:rsidRPr="009A512B" w:rsidRDefault="00E00130" w:rsidP="00A64291">
            <w:pPr>
              <w:jc w:val="center"/>
              <w:rPr>
                <w:sz w:val="22"/>
                <w:szCs w:val="22"/>
              </w:rPr>
            </w:pPr>
            <w:r w:rsidRPr="009A512B">
              <w:rPr>
                <w:sz w:val="22"/>
                <w:szCs w:val="22"/>
              </w:rPr>
              <w:t>80 mg oralt</w:t>
            </w:r>
          </w:p>
        </w:tc>
      </w:tr>
      <w:tr w:rsidR="00E00130" w:rsidRPr="00997597" w:rsidTr="009A512B">
        <w:tc>
          <w:tcPr>
            <w:tcW w:w="2321" w:type="dxa"/>
            <w:shd w:val="clear" w:color="auto" w:fill="auto"/>
          </w:tcPr>
          <w:p w:rsidR="00E00130" w:rsidRPr="009A512B" w:rsidRDefault="00E00130" w:rsidP="00A64291">
            <w:pPr>
              <w:jc w:val="center"/>
              <w:rPr>
                <w:sz w:val="22"/>
                <w:szCs w:val="22"/>
              </w:rPr>
            </w:pPr>
            <w:r w:rsidRPr="009A512B">
              <w:rPr>
                <w:sz w:val="22"/>
                <w:szCs w:val="22"/>
              </w:rPr>
              <w:t>Dexamethasone</w:t>
            </w:r>
          </w:p>
        </w:tc>
        <w:tc>
          <w:tcPr>
            <w:tcW w:w="2320" w:type="dxa"/>
            <w:shd w:val="clear" w:color="auto" w:fill="auto"/>
          </w:tcPr>
          <w:p w:rsidR="00E00130" w:rsidRPr="009A512B" w:rsidRDefault="00E00130" w:rsidP="00A64291">
            <w:pPr>
              <w:jc w:val="center"/>
              <w:rPr>
                <w:sz w:val="22"/>
                <w:szCs w:val="22"/>
              </w:rPr>
            </w:pPr>
            <w:r w:rsidRPr="009A512B">
              <w:rPr>
                <w:sz w:val="22"/>
                <w:szCs w:val="22"/>
              </w:rPr>
              <w:t>12 mg oralt</w:t>
            </w:r>
          </w:p>
        </w:tc>
        <w:tc>
          <w:tcPr>
            <w:tcW w:w="2320" w:type="dxa"/>
            <w:shd w:val="clear" w:color="auto" w:fill="auto"/>
          </w:tcPr>
          <w:p w:rsidR="00E00130" w:rsidRPr="009A512B" w:rsidRDefault="00E00130" w:rsidP="00A64291">
            <w:pPr>
              <w:jc w:val="center"/>
              <w:rPr>
                <w:sz w:val="22"/>
                <w:szCs w:val="22"/>
              </w:rPr>
            </w:pPr>
            <w:r w:rsidRPr="009A512B">
              <w:rPr>
                <w:sz w:val="22"/>
                <w:szCs w:val="22"/>
              </w:rPr>
              <w:t xml:space="preserve">Ingen </w:t>
            </w:r>
          </w:p>
        </w:tc>
        <w:tc>
          <w:tcPr>
            <w:tcW w:w="2320" w:type="dxa"/>
            <w:shd w:val="clear" w:color="auto" w:fill="auto"/>
          </w:tcPr>
          <w:p w:rsidR="00E00130" w:rsidRPr="009A512B" w:rsidRDefault="00E00130" w:rsidP="00A64291">
            <w:pPr>
              <w:jc w:val="center"/>
              <w:rPr>
                <w:sz w:val="22"/>
                <w:szCs w:val="22"/>
              </w:rPr>
            </w:pPr>
            <w:r w:rsidRPr="009A512B">
              <w:rPr>
                <w:sz w:val="22"/>
                <w:szCs w:val="22"/>
              </w:rPr>
              <w:t>Ingen</w:t>
            </w:r>
          </w:p>
        </w:tc>
      </w:tr>
      <w:tr w:rsidR="00E00130" w:rsidRPr="00997597" w:rsidTr="009A512B">
        <w:tc>
          <w:tcPr>
            <w:tcW w:w="2321" w:type="dxa"/>
            <w:shd w:val="clear" w:color="auto" w:fill="auto"/>
          </w:tcPr>
          <w:p w:rsidR="00E00130" w:rsidRPr="009A512B" w:rsidRDefault="00E00130" w:rsidP="00A64291">
            <w:pPr>
              <w:jc w:val="center"/>
              <w:rPr>
                <w:sz w:val="22"/>
                <w:szCs w:val="22"/>
              </w:rPr>
            </w:pPr>
            <w:r w:rsidRPr="009A512B">
              <w:rPr>
                <w:sz w:val="22"/>
                <w:szCs w:val="22"/>
              </w:rPr>
              <w:t>5-HT</w:t>
            </w:r>
            <w:r w:rsidRPr="009A512B">
              <w:rPr>
                <w:sz w:val="22"/>
                <w:szCs w:val="22"/>
                <w:vertAlign w:val="subscript"/>
              </w:rPr>
              <w:t>3</w:t>
            </w:r>
            <w:r w:rsidRPr="009A512B">
              <w:rPr>
                <w:sz w:val="22"/>
                <w:szCs w:val="22"/>
              </w:rPr>
              <w:t xml:space="preserve"> antagonister</w:t>
            </w:r>
          </w:p>
        </w:tc>
        <w:tc>
          <w:tcPr>
            <w:tcW w:w="2320" w:type="dxa"/>
            <w:shd w:val="clear" w:color="auto" w:fill="auto"/>
          </w:tcPr>
          <w:p w:rsidR="00E00130" w:rsidRPr="009A512B" w:rsidRDefault="00E00130" w:rsidP="00A64291">
            <w:pPr>
              <w:rPr>
                <w:sz w:val="22"/>
                <w:szCs w:val="22"/>
              </w:rPr>
            </w:pPr>
            <w:r w:rsidRPr="009A512B">
              <w:rPr>
                <w:sz w:val="22"/>
                <w:szCs w:val="22"/>
              </w:rPr>
              <w:t>Standarddosering af 5-HT3-antagonister. Se produktinformationen for den valgte 5-HT3- antagonist for information om hensigtsmæssig dosering</w:t>
            </w:r>
          </w:p>
        </w:tc>
        <w:tc>
          <w:tcPr>
            <w:tcW w:w="2320" w:type="dxa"/>
            <w:shd w:val="clear" w:color="auto" w:fill="auto"/>
          </w:tcPr>
          <w:p w:rsidR="00E00130" w:rsidRPr="009A512B" w:rsidRDefault="00E00130" w:rsidP="00A64291">
            <w:pPr>
              <w:jc w:val="center"/>
              <w:rPr>
                <w:sz w:val="22"/>
                <w:szCs w:val="22"/>
              </w:rPr>
            </w:pPr>
            <w:r w:rsidRPr="009A512B">
              <w:rPr>
                <w:sz w:val="22"/>
                <w:szCs w:val="22"/>
              </w:rPr>
              <w:t xml:space="preserve">Ingen </w:t>
            </w:r>
          </w:p>
        </w:tc>
        <w:tc>
          <w:tcPr>
            <w:tcW w:w="2320" w:type="dxa"/>
            <w:shd w:val="clear" w:color="auto" w:fill="auto"/>
          </w:tcPr>
          <w:p w:rsidR="00E00130" w:rsidRPr="009A512B" w:rsidRDefault="00E00130" w:rsidP="00A64291">
            <w:pPr>
              <w:jc w:val="center"/>
              <w:rPr>
                <w:sz w:val="22"/>
                <w:szCs w:val="22"/>
              </w:rPr>
            </w:pPr>
            <w:r w:rsidRPr="009A512B">
              <w:rPr>
                <w:sz w:val="22"/>
                <w:szCs w:val="22"/>
              </w:rPr>
              <w:t xml:space="preserve">Ingen </w:t>
            </w:r>
          </w:p>
        </w:tc>
      </w:tr>
    </w:tbl>
    <w:p w:rsidR="008E6D73" w:rsidRDefault="008E6D73" w:rsidP="009260DE">
      <w:pPr>
        <w:tabs>
          <w:tab w:val="left" w:pos="851"/>
        </w:tabs>
        <w:ind w:left="851"/>
        <w:rPr>
          <w:sz w:val="24"/>
          <w:szCs w:val="24"/>
        </w:rPr>
      </w:pPr>
    </w:p>
    <w:p w:rsidR="00E00130" w:rsidRPr="00E00130" w:rsidRDefault="00E00130" w:rsidP="00E00130">
      <w:pPr>
        <w:tabs>
          <w:tab w:val="left" w:pos="851"/>
        </w:tabs>
        <w:ind w:left="851"/>
        <w:rPr>
          <w:sz w:val="24"/>
          <w:szCs w:val="24"/>
        </w:rPr>
      </w:pPr>
      <w:r w:rsidRPr="00E00130">
        <w:rPr>
          <w:b/>
          <w:sz w:val="24"/>
          <w:szCs w:val="24"/>
        </w:rPr>
        <w:t>Dexamethason</w:t>
      </w:r>
      <w:r w:rsidRPr="00E00130">
        <w:rPr>
          <w:sz w:val="24"/>
          <w:szCs w:val="24"/>
        </w:rPr>
        <w:t xml:space="preserve"> skal indgives 30 minutter før kemoterapibehandling på dag 1. Dexamethasondosis tager højde for lægemiddelinteraktioner.</w:t>
      </w:r>
    </w:p>
    <w:p w:rsidR="00E00130" w:rsidRPr="00E00130" w:rsidRDefault="00E00130" w:rsidP="00E00130">
      <w:pPr>
        <w:tabs>
          <w:tab w:val="left" w:pos="851"/>
        </w:tabs>
        <w:ind w:left="851"/>
        <w:rPr>
          <w:sz w:val="24"/>
          <w:szCs w:val="24"/>
        </w:rPr>
      </w:pPr>
    </w:p>
    <w:p w:rsidR="00E00130" w:rsidRPr="00E00130" w:rsidRDefault="00E00130" w:rsidP="00E00130">
      <w:pPr>
        <w:tabs>
          <w:tab w:val="left" w:pos="851"/>
        </w:tabs>
        <w:ind w:left="851"/>
        <w:rPr>
          <w:sz w:val="24"/>
          <w:szCs w:val="24"/>
          <w:u w:val="single"/>
        </w:rPr>
      </w:pPr>
      <w:r w:rsidRPr="00E00130">
        <w:rPr>
          <w:sz w:val="24"/>
          <w:szCs w:val="24"/>
          <w:u w:val="single"/>
        </w:rPr>
        <w:lastRenderedPageBreak/>
        <w:t xml:space="preserve">Pædiatrisk population </w:t>
      </w:r>
    </w:p>
    <w:p w:rsidR="00E00130" w:rsidRPr="00E00130" w:rsidRDefault="00E00130" w:rsidP="00E00130">
      <w:pPr>
        <w:tabs>
          <w:tab w:val="left" w:pos="851"/>
        </w:tabs>
        <w:ind w:left="851"/>
        <w:rPr>
          <w:sz w:val="24"/>
          <w:szCs w:val="24"/>
        </w:rPr>
      </w:pPr>
      <w:r w:rsidRPr="00E00130">
        <w:rPr>
          <w:sz w:val="24"/>
          <w:szCs w:val="24"/>
        </w:rPr>
        <w:t xml:space="preserve">Unge (i alderen 12-17 år) </w:t>
      </w:r>
    </w:p>
    <w:p w:rsidR="00E00130" w:rsidRPr="00E00130" w:rsidRDefault="00E00130" w:rsidP="00E00130">
      <w:pPr>
        <w:tabs>
          <w:tab w:val="left" w:pos="851"/>
        </w:tabs>
        <w:ind w:left="851"/>
        <w:rPr>
          <w:sz w:val="24"/>
          <w:szCs w:val="24"/>
        </w:rPr>
      </w:pPr>
      <w:r w:rsidRPr="00E00130">
        <w:rPr>
          <w:sz w:val="24"/>
          <w:szCs w:val="24"/>
        </w:rPr>
        <w:t xml:space="preserve">Aprepitant "Stada" gives i 3 dage som en del af et behandlingsregime, som inkluderer en 5-HT3-antagonist. Den anbefalede dosis for kapsler af Aprepitant "Stada" er 125 mg oralt på dag 1 og 80 mg oralt på dag 2 og 3. Aprepitant "Stada" administreres oralt 1 time før kemoterapi på dag 1, 2 og 3. Hvis der ikke gives kemoterapi på dag 2 og 3, skal Aprepitant "Stada" administreres om morgenen. Se produktresuméet (SmPC) for den valgte 5- HT3-antagonist for information om hensigtsmæssig dosering. Hvis et kortikosteroid, såsom dexamethason, administreres sammen med Aprepitant "Stada", skal kortikosteroiddosis administreres ved 50 % af den sædvanlige dosis (se pkt. 4.5 og 5.1). </w:t>
      </w:r>
    </w:p>
    <w:p w:rsidR="00E00130" w:rsidRPr="00E00130" w:rsidRDefault="00E00130" w:rsidP="00E00130">
      <w:pPr>
        <w:tabs>
          <w:tab w:val="left" w:pos="851"/>
        </w:tabs>
        <w:ind w:left="851"/>
        <w:rPr>
          <w:sz w:val="24"/>
          <w:szCs w:val="24"/>
        </w:rPr>
      </w:pPr>
    </w:p>
    <w:p w:rsidR="00E00130" w:rsidRPr="00E00130" w:rsidRDefault="00E00130" w:rsidP="00E00130">
      <w:pPr>
        <w:tabs>
          <w:tab w:val="left" w:pos="851"/>
        </w:tabs>
        <w:ind w:left="851"/>
        <w:rPr>
          <w:sz w:val="24"/>
          <w:szCs w:val="24"/>
        </w:rPr>
      </w:pPr>
      <w:r w:rsidRPr="00E00130">
        <w:rPr>
          <w:sz w:val="24"/>
          <w:szCs w:val="24"/>
        </w:rPr>
        <w:t xml:space="preserve">Sikkerheden og virkningen af 80 mg + 125 mg kapslen er ikke klarlagt hos børn under 12 år. Der foreligger ingen data. </w:t>
      </w:r>
    </w:p>
    <w:p w:rsidR="00E00130" w:rsidRPr="00E00130" w:rsidRDefault="00E00130" w:rsidP="00E00130">
      <w:pPr>
        <w:tabs>
          <w:tab w:val="left" w:pos="851"/>
        </w:tabs>
        <w:ind w:left="851"/>
        <w:rPr>
          <w:sz w:val="24"/>
          <w:szCs w:val="24"/>
        </w:rPr>
      </w:pPr>
    </w:p>
    <w:p w:rsidR="00E00130" w:rsidRPr="00E00130" w:rsidRDefault="00E00130" w:rsidP="00E00130">
      <w:pPr>
        <w:tabs>
          <w:tab w:val="left" w:pos="851"/>
        </w:tabs>
        <w:ind w:left="851"/>
        <w:rPr>
          <w:sz w:val="24"/>
          <w:szCs w:val="24"/>
          <w:u w:val="single"/>
        </w:rPr>
      </w:pPr>
      <w:r w:rsidRPr="00E00130">
        <w:rPr>
          <w:sz w:val="24"/>
          <w:szCs w:val="24"/>
          <w:u w:val="single"/>
        </w:rPr>
        <w:t xml:space="preserve">Generelt </w:t>
      </w:r>
    </w:p>
    <w:p w:rsidR="00E00130" w:rsidRPr="00E00130" w:rsidRDefault="00E00130" w:rsidP="00E00130">
      <w:pPr>
        <w:tabs>
          <w:tab w:val="left" w:pos="851"/>
        </w:tabs>
        <w:ind w:left="851"/>
        <w:rPr>
          <w:sz w:val="24"/>
          <w:szCs w:val="24"/>
        </w:rPr>
      </w:pPr>
      <w:r w:rsidRPr="00E00130">
        <w:rPr>
          <w:sz w:val="24"/>
          <w:szCs w:val="24"/>
        </w:rPr>
        <w:t>Data om virkningsgraden for kombinationen med andre kortikosteroider og 5-HT3 antagonister er begrænsede. For yderligere oplysninger om administration sammen med kortikosteroider se pkt. 4.5. Se SmPC for co-administrering af 5-HT3-antagonister.</w:t>
      </w:r>
    </w:p>
    <w:p w:rsidR="00E00130" w:rsidRPr="00E00130" w:rsidRDefault="00E00130" w:rsidP="00E00130">
      <w:pPr>
        <w:tabs>
          <w:tab w:val="left" w:pos="851"/>
        </w:tabs>
        <w:ind w:left="851"/>
        <w:rPr>
          <w:sz w:val="24"/>
          <w:szCs w:val="24"/>
        </w:rPr>
      </w:pPr>
    </w:p>
    <w:p w:rsidR="00E00130" w:rsidRPr="00E00130" w:rsidRDefault="00E00130" w:rsidP="00E00130">
      <w:pPr>
        <w:tabs>
          <w:tab w:val="left" w:pos="851"/>
        </w:tabs>
        <w:ind w:left="851"/>
        <w:rPr>
          <w:sz w:val="24"/>
          <w:szCs w:val="24"/>
          <w:u w:val="single"/>
        </w:rPr>
      </w:pPr>
      <w:r w:rsidRPr="00E00130">
        <w:rPr>
          <w:sz w:val="24"/>
          <w:szCs w:val="24"/>
          <w:u w:val="single"/>
        </w:rPr>
        <w:t xml:space="preserve">Særlige populationer </w:t>
      </w:r>
    </w:p>
    <w:p w:rsidR="001C231A" w:rsidRDefault="001C231A" w:rsidP="00E00130">
      <w:pPr>
        <w:tabs>
          <w:tab w:val="left" w:pos="851"/>
        </w:tabs>
        <w:ind w:left="851"/>
        <w:rPr>
          <w:sz w:val="24"/>
          <w:szCs w:val="24"/>
        </w:rPr>
      </w:pPr>
    </w:p>
    <w:p w:rsidR="00E00130" w:rsidRPr="001C231A" w:rsidRDefault="00E00130" w:rsidP="00E00130">
      <w:pPr>
        <w:tabs>
          <w:tab w:val="left" w:pos="851"/>
        </w:tabs>
        <w:ind w:left="851"/>
        <w:rPr>
          <w:i/>
          <w:sz w:val="24"/>
          <w:szCs w:val="24"/>
        </w:rPr>
      </w:pPr>
      <w:r w:rsidRPr="001C231A">
        <w:rPr>
          <w:i/>
          <w:sz w:val="24"/>
          <w:szCs w:val="24"/>
        </w:rPr>
        <w:t xml:space="preserve">Ældre (≥ 65 år) </w:t>
      </w:r>
    </w:p>
    <w:p w:rsidR="00E00130" w:rsidRPr="00E00130" w:rsidRDefault="00E00130" w:rsidP="00E00130">
      <w:pPr>
        <w:tabs>
          <w:tab w:val="left" w:pos="851"/>
        </w:tabs>
        <w:ind w:left="851"/>
        <w:rPr>
          <w:sz w:val="24"/>
          <w:szCs w:val="24"/>
        </w:rPr>
      </w:pPr>
      <w:r w:rsidRPr="00E00130">
        <w:rPr>
          <w:sz w:val="24"/>
          <w:szCs w:val="24"/>
        </w:rPr>
        <w:t>Dosisjustering er ikke nødvendig hos ældre (se pkt. 5.2).</w:t>
      </w:r>
    </w:p>
    <w:p w:rsidR="00E00130" w:rsidRPr="00E00130" w:rsidRDefault="00E00130" w:rsidP="00E00130">
      <w:pPr>
        <w:tabs>
          <w:tab w:val="left" w:pos="851"/>
        </w:tabs>
        <w:ind w:left="851"/>
        <w:rPr>
          <w:sz w:val="24"/>
          <w:szCs w:val="24"/>
        </w:rPr>
      </w:pPr>
    </w:p>
    <w:p w:rsidR="00E00130" w:rsidRPr="001C231A" w:rsidRDefault="00E00130" w:rsidP="00E00130">
      <w:pPr>
        <w:tabs>
          <w:tab w:val="left" w:pos="851"/>
        </w:tabs>
        <w:ind w:left="851"/>
        <w:rPr>
          <w:i/>
          <w:sz w:val="24"/>
          <w:szCs w:val="24"/>
        </w:rPr>
      </w:pPr>
      <w:r w:rsidRPr="001C231A">
        <w:rPr>
          <w:i/>
          <w:sz w:val="24"/>
          <w:szCs w:val="24"/>
        </w:rPr>
        <w:t xml:space="preserve">Køn </w:t>
      </w:r>
    </w:p>
    <w:p w:rsidR="00E00130" w:rsidRPr="00E00130" w:rsidRDefault="00E00130" w:rsidP="00E00130">
      <w:pPr>
        <w:tabs>
          <w:tab w:val="left" w:pos="851"/>
        </w:tabs>
        <w:ind w:left="851"/>
        <w:rPr>
          <w:sz w:val="24"/>
          <w:szCs w:val="24"/>
        </w:rPr>
      </w:pPr>
      <w:r w:rsidRPr="00E00130">
        <w:rPr>
          <w:sz w:val="24"/>
          <w:szCs w:val="24"/>
        </w:rPr>
        <w:t xml:space="preserve">Dosisjustering er ikke nødvendig på baggrund af køn (se pkt. 5.2). </w:t>
      </w:r>
    </w:p>
    <w:p w:rsidR="00E00130" w:rsidRPr="00E00130" w:rsidRDefault="00E00130" w:rsidP="00E00130">
      <w:pPr>
        <w:tabs>
          <w:tab w:val="left" w:pos="851"/>
        </w:tabs>
        <w:ind w:left="851"/>
        <w:rPr>
          <w:sz w:val="24"/>
          <w:szCs w:val="24"/>
        </w:rPr>
      </w:pPr>
    </w:p>
    <w:p w:rsidR="00E00130" w:rsidRPr="001C231A" w:rsidRDefault="00E00130" w:rsidP="00E00130">
      <w:pPr>
        <w:tabs>
          <w:tab w:val="left" w:pos="851"/>
        </w:tabs>
        <w:ind w:left="851"/>
        <w:rPr>
          <w:i/>
          <w:sz w:val="24"/>
          <w:szCs w:val="24"/>
        </w:rPr>
      </w:pPr>
      <w:r w:rsidRPr="001C231A">
        <w:rPr>
          <w:i/>
          <w:sz w:val="24"/>
          <w:szCs w:val="24"/>
        </w:rPr>
        <w:t xml:space="preserve">Nedsat nyrefunktion </w:t>
      </w:r>
    </w:p>
    <w:p w:rsidR="00E00130" w:rsidRPr="00E00130" w:rsidRDefault="00E00130" w:rsidP="00E00130">
      <w:pPr>
        <w:tabs>
          <w:tab w:val="left" w:pos="851"/>
        </w:tabs>
        <w:ind w:left="851"/>
        <w:rPr>
          <w:sz w:val="24"/>
          <w:szCs w:val="24"/>
        </w:rPr>
      </w:pPr>
      <w:r w:rsidRPr="00E00130">
        <w:rPr>
          <w:sz w:val="24"/>
          <w:szCs w:val="24"/>
        </w:rPr>
        <w:t xml:space="preserve">Dosisjustering er ikke nødvendig til patienter med nedsat nyrefunktion eller til hæmodialysepatienter i det sene stadie (end stage) af nyresygdom (se pkt. 5.2). </w:t>
      </w:r>
    </w:p>
    <w:p w:rsidR="00E00130" w:rsidRPr="00E00130" w:rsidRDefault="00E00130" w:rsidP="00E00130">
      <w:pPr>
        <w:tabs>
          <w:tab w:val="left" w:pos="851"/>
        </w:tabs>
        <w:ind w:left="851"/>
        <w:rPr>
          <w:sz w:val="24"/>
          <w:szCs w:val="24"/>
        </w:rPr>
      </w:pPr>
    </w:p>
    <w:p w:rsidR="00E00130" w:rsidRPr="001C231A" w:rsidRDefault="00E00130" w:rsidP="00E00130">
      <w:pPr>
        <w:tabs>
          <w:tab w:val="left" w:pos="851"/>
        </w:tabs>
        <w:ind w:left="851"/>
        <w:rPr>
          <w:i/>
          <w:sz w:val="24"/>
          <w:szCs w:val="24"/>
        </w:rPr>
      </w:pPr>
      <w:r w:rsidRPr="001C231A">
        <w:rPr>
          <w:i/>
          <w:sz w:val="24"/>
          <w:szCs w:val="24"/>
        </w:rPr>
        <w:t xml:space="preserve">Nedsat leverfunktion </w:t>
      </w:r>
    </w:p>
    <w:p w:rsidR="00E00130" w:rsidRPr="00E00130" w:rsidRDefault="00E00130" w:rsidP="00E00130">
      <w:pPr>
        <w:tabs>
          <w:tab w:val="left" w:pos="851"/>
        </w:tabs>
        <w:ind w:left="851"/>
        <w:rPr>
          <w:sz w:val="24"/>
          <w:szCs w:val="24"/>
        </w:rPr>
      </w:pPr>
      <w:r w:rsidRPr="00E00130">
        <w:rPr>
          <w:sz w:val="24"/>
          <w:szCs w:val="24"/>
        </w:rPr>
        <w:t xml:space="preserve">Dosisjustering er ikke nødvendig til patienter med let nedsat leverfunktion. Der foreligger begrænsede data for patienter med moderat nedsat leverfunktion og ingen data for patienter med svært nedsat leverfunktion. </w:t>
      </w:r>
    </w:p>
    <w:p w:rsidR="00E00130" w:rsidRPr="00E00130" w:rsidRDefault="00E00130" w:rsidP="00E00130">
      <w:pPr>
        <w:tabs>
          <w:tab w:val="left" w:pos="851"/>
        </w:tabs>
        <w:ind w:left="851"/>
        <w:rPr>
          <w:sz w:val="24"/>
          <w:szCs w:val="24"/>
        </w:rPr>
      </w:pPr>
      <w:r w:rsidRPr="00E00130">
        <w:rPr>
          <w:sz w:val="24"/>
          <w:szCs w:val="24"/>
        </w:rPr>
        <w:t xml:space="preserve">Aprepitant bør anvendes med forsigtighed hos disse patienter (se pkt. 4.4 og 5.2). </w:t>
      </w:r>
    </w:p>
    <w:p w:rsidR="00E00130" w:rsidRPr="00E00130" w:rsidRDefault="00E00130" w:rsidP="00E00130">
      <w:pPr>
        <w:tabs>
          <w:tab w:val="left" w:pos="851"/>
        </w:tabs>
        <w:ind w:left="851"/>
        <w:rPr>
          <w:sz w:val="24"/>
          <w:szCs w:val="24"/>
        </w:rPr>
      </w:pPr>
    </w:p>
    <w:p w:rsidR="00E00130" w:rsidRPr="001C231A" w:rsidRDefault="00E00130" w:rsidP="00E00130">
      <w:pPr>
        <w:tabs>
          <w:tab w:val="left" w:pos="851"/>
        </w:tabs>
        <w:ind w:left="851"/>
        <w:rPr>
          <w:b/>
          <w:sz w:val="24"/>
          <w:szCs w:val="24"/>
        </w:rPr>
      </w:pPr>
      <w:r w:rsidRPr="001C231A">
        <w:rPr>
          <w:b/>
          <w:sz w:val="24"/>
          <w:szCs w:val="24"/>
        </w:rPr>
        <w:t xml:space="preserve">Administration </w:t>
      </w:r>
    </w:p>
    <w:p w:rsidR="00E00130" w:rsidRPr="00E00130" w:rsidRDefault="00E00130" w:rsidP="00E00130">
      <w:pPr>
        <w:tabs>
          <w:tab w:val="left" w:pos="851"/>
        </w:tabs>
        <w:ind w:left="851"/>
        <w:rPr>
          <w:sz w:val="24"/>
          <w:szCs w:val="24"/>
        </w:rPr>
      </w:pPr>
      <w:r w:rsidRPr="00E00130">
        <w:rPr>
          <w:sz w:val="24"/>
          <w:szCs w:val="24"/>
        </w:rPr>
        <w:t>Oral anvendelse</w:t>
      </w:r>
      <w:r w:rsidR="001C231A">
        <w:rPr>
          <w:sz w:val="24"/>
          <w:szCs w:val="24"/>
        </w:rPr>
        <w:t>.</w:t>
      </w:r>
    </w:p>
    <w:p w:rsidR="00E00130" w:rsidRPr="00E00130" w:rsidRDefault="00E00130" w:rsidP="00E00130">
      <w:pPr>
        <w:tabs>
          <w:tab w:val="left" w:pos="851"/>
        </w:tabs>
        <w:ind w:left="851"/>
        <w:rPr>
          <w:sz w:val="24"/>
          <w:szCs w:val="24"/>
        </w:rPr>
      </w:pPr>
      <w:r w:rsidRPr="00E00130">
        <w:rPr>
          <w:sz w:val="24"/>
          <w:szCs w:val="24"/>
        </w:rPr>
        <w:t xml:space="preserve">Den hårde kapsel bør sluges hel. </w:t>
      </w:r>
    </w:p>
    <w:p w:rsidR="00E00130" w:rsidRPr="00E00130" w:rsidRDefault="00E00130" w:rsidP="00E00130">
      <w:pPr>
        <w:tabs>
          <w:tab w:val="left" w:pos="851"/>
        </w:tabs>
        <w:ind w:left="851"/>
        <w:rPr>
          <w:sz w:val="24"/>
          <w:szCs w:val="24"/>
        </w:rPr>
      </w:pPr>
      <w:r w:rsidRPr="00E00130">
        <w:rPr>
          <w:sz w:val="24"/>
          <w:szCs w:val="24"/>
        </w:rPr>
        <w:t>Aprepitant "Stada" kan indtages med eller uden mad.</w:t>
      </w:r>
    </w:p>
    <w:p w:rsidR="00E00130" w:rsidRPr="00E00130" w:rsidRDefault="00E00130" w:rsidP="00E0013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00130" w:rsidRPr="00E00130" w:rsidRDefault="00E00130" w:rsidP="00E00130">
      <w:pPr>
        <w:tabs>
          <w:tab w:val="left" w:pos="851"/>
        </w:tabs>
        <w:ind w:left="851"/>
        <w:rPr>
          <w:sz w:val="24"/>
          <w:szCs w:val="24"/>
        </w:rPr>
      </w:pPr>
      <w:r w:rsidRPr="00E00130">
        <w:rPr>
          <w:sz w:val="24"/>
          <w:szCs w:val="24"/>
        </w:rPr>
        <w:t>Overfølsomhed over for det aktive stof eller over for et eller flere af hjælpestofferne anført i pkt. 6.1.</w:t>
      </w:r>
    </w:p>
    <w:p w:rsidR="00E00130" w:rsidRPr="00E00130" w:rsidRDefault="00E00130" w:rsidP="00E00130">
      <w:pPr>
        <w:tabs>
          <w:tab w:val="left" w:pos="851"/>
        </w:tabs>
        <w:ind w:left="851"/>
        <w:rPr>
          <w:sz w:val="24"/>
          <w:szCs w:val="24"/>
        </w:rPr>
      </w:pPr>
    </w:p>
    <w:p w:rsidR="009260DE" w:rsidRPr="00C84483" w:rsidRDefault="00E00130" w:rsidP="001C231A">
      <w:pPr>
        <w:tabs>
          <w:tab w:val="left" w:pos="851"/>
        </w:tabs>
        <w:ind w:left="851"/>
        <w:rPr>
          <w:sz w:val="24"/>
          <w:szCs w:val="24"/>
        </w:rPr>
      </w:pPr>
      <w:r w:rsidRPr="00E00130">
        <w:rPr>
          <w:sz w:val="24"/>
          <w:szCs w:val="24"/>
        </w:rPr>
        <w:t>Samtidig administration af pimozid, terfenadin, astemizol eller cisaprid (se pkt. 4.5).</w:t>
      </w:r>
    </w:p>
    <w:p w:rsidR="001C231A" w:rsidRDefault="001C231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92891" w:rsidRPr="00A92891" w:rsidRDefault="00A92891" w:rsidP="00A92891">
      <w:pPr>
        <w:tabs>
          <w:tab w:val="left" w:pos="851"/>
        </w:tabs>
        <w:ind w:left="851"/>
        <w:rPr>
          <w:sz w:val="24"/>
          <w:szCs w:val="24"/>
        </w:rPr>
      </w:pPr>
    </w:p>
    <w:p w:rsidR="00A92891" w:rsidRPr="00A92891" w:rsidRDefault="00A92891" w:rsidP="00A92891">
      <w:pPr>
        <w:tabs>
          <w:tab w:val="left" w:pos="851"/>
        </w:tabs>
        <w:ind w:left="851"/>
        <w:rPr>
          <w:sz w:val="24"/>
          <w:szCs w:val="24"/>
          <w:u w:val="single"/>
        </w:rPr>
      </w:pPr>
      <w:r w:rsidRPr="00A92891">
        <w:rPr>
          <w:sz w:val="24"/>
          <w:szCs w:val="24"/>
          <w:u w:val="single"/>
        </w:rPr>
        <w:t xml:space="preserve">Patienter med moderat til svært nedsat leverfunktion </w:t>
      </w:r>
    </w:p>
    <w:p w:rsidR="00A92891" w:rsidRPr="00A92891" w:rsidRDefault="00A92891" w:rsidP="00A92891">
      <w:pPr>
        <w:tabs>
          <w:tab w:val="left" w:pos="851"/>
        </w:tabs>
        <w:ind w:left="851"/>
        <w:rPr>
          <w:sz w:val="24"/>
          <w:szCs w:val="24"/>
        </w:rPr>
      </w:pPr>
      <w:r w:rsidRPr="00A92891">
        <w:rPr>
          <w:sz w:val="24"/>
          <w:szCs w:val="24"/>
        </w:rPr>
        <w:t>Der foreligger begrænsede data for patienter med moderat nedsat leverfunktion og ingen data for patienter med svært nedsat leverfunktion. Aprepitant "Stada" bør derfor anvendes med forsigtighed til disse patienter (se pkt. 5.2).</w:t>
      </w:r>
    </w:p>
    <w:p w:rsidR="00A92891" w:rsidRPr="00A92891" w:rsidRDefault="00A92891" w:rsidP="00A92891">
      <w:pPr>
        <w:tabs>
          <w:tab w:val="left" w:pos="851"/>
        </w:tabs>
        <w:ind w:left="851"/>
        <w:rPr>
          <w:sz w:val="24"/>
          <w:szCs w:val="24"/>
        </w:rPr>
      </w:pPr>
    </w:p>
    <w:p w:rsidR="00A92891" w:rsidRPr="001C231A" w:rsidRDefault="00A92891" w:rsidP="00A92891">
      <w:pPr>
        <w:tabs>
          <w:tab w:val="left" w:pos="851"/>
        </w:tabs>
        <w:ind w:left="851"/>
        <w:rPr>
          <w:sz w:val="24"/>
          <w:szCs w:val="24"/>
          <w:u w:val="single"/>
        </w:rPr>
      </w:pPr>
      <w:r w:rsidRPr="001C231A">
        <w:rPr>
          <w:sz w:val="24"/>
          <w:szCs w:val="24"/>
          <w:u w:val="single"/>
        </w:rPr>
        <w:t xml:space="preserve">CYP3A4-interaktioner </w:t>
      </w:r>
    </w:p>
    <w:p w:rsidR="00A92891" w:rsidRPr="00A92891" w:rsidRDefault="00A92891" w:rsidP="00A92891">
      <w:pPr>
        <w:tabs>
          <w:tab w:val="left" w:pos="851"/>
        </w:tabs>
        <w:ind w:left="851"/>
        <w:rPr>
          <w:sz w:val="24"/>
          <w:szCs w:val="24"/>
        </w:rPr>
      </w:pPr>
      <w:r w:rsidRPr="00A92891">
        <w:rPr>
          <w:sz w:val="24"/>
          <w:szCs w:val="24"/>
        </w:rPr>
        <w:t>Aprepitant "Stada" bør anvendes med forsigtighed til patienter, som er i samtidig oral behandling med aktive substanser, der primært metaboliseres gennem CYP3A4 og som har et smalt terapeutisk virkningsområde såsom ciclosporin, tacrolimus, sirolimus, everolimus, alfentanil, sekalealkaloidderivater, fentanyl og quinidin (se pkt. 4.5). Endvidere bør der udvises særlig forsigtighed ved samtidig behandling med irinotecan, idet kombinationen kan resultere i øget toksicitet.</w:t>
      </w:r>
    </w:p>
    <w:p w:rsidR="00A92891" w:rsidRPr="00A92891" w:rsidRDefault="00A92891" w:rsidP="00A92891">
      <w:pPr>
        <w:tabs>
          <w:tab w:val="left" w:pos="851"/>
        </w:tabs>
        <w:ind w:left="851"/>
        <w:rPr>
          <w:sz w:val="24"/>
          <w:szCs w:val="24"/>
        </w:rPr>
      </w:pPr>
    </w:p>
    <w:p w:rsidR="00A92891" w:rsidRPr="00A92891" w:rsidRDefault="00A92891" w:rsidP="00A92891">
      <w:pPr>
        <w:tabs>
          <w:tab w:val="left" w:pos="851"/>
        </w:tabs>
        <w:ind w:left="851"/>
        <w:rPr>
          <w:sz w:val="24"/>
          <w:szCs w:val="24"/>
          <w:u w:val="single"/>
        </w:rPr>
      </w:pPr>
      <w:r w:rsidRPr="00A92891">
        <w:rPr>
          <w:sz w:val="24"/>
          <w:szCs w:val="24"/>
          <w:u w:val="single"/>
        </w:rPr>
        <w:t xml:space="preserve">Samtidig administration med warfarin (et CYP2C9-substrat) </w:t>
      </w:r>
    </w:p>
    <w:p w:rsidR="00A92891" w:rsidRPr="00A92891" w:rsidRDefault="00A92891" w:rsidP="00A92891">
      <w:pPr>
        <w:tabs>
          <w:tab w:val="left" w:pos="851"/>
        </w:tabs>
        <w:ind w:left="851"/>
        <w:rPr>
          <w:sz w:val="24"/>
          <w:szCs w:val="24"/>
        </w:rPr>
      </w:pPr>
      <w:r w:rsidRPr="00A92891">
        <w:rPr>
          <w:sz w:val="24"/>
          <w:szCs w:val="24"/>
        </w:rPr>
        <w:t xml:space="preserve">Hos patienter i kronisk warfarinbehandling bør International Normaliseret Ratio (INR) overvåges nøje under behandling med Aprepitant "Stada" og i 14 dage efter hvert 3-dages behandlingsregime med Aprepitant "Stada" (se pkt. 4.5). </w:t>
      </w:r>
    </w:p>
    <w:p w:rsidR="00A92891" w:rsidRPr="00A92891" w:rsidRDefault="00A92891" w:rsidP="00A92891">
      <w:pPr>
        <w:tabs>
          <w:tab w:val="left" w:pos="851"/>
        </w:tabs>
        <w:ind w:left="851"/>
        <w:rPr>
          <w:sz w:val="24"/>
          <w:szCs w:val="24"/>
        </w:rPr>
      </w:pPr>
    </w:p>
    <w:p w:rsidR="00A92891" w:rsidRPr="00A92891" w:rsidRDefault="00A92891" w:rsidP="00A92891">
      <w:pPr>
        <w:tabs>
          <w:tab w:val="left" w:pos="851"/>
        </w:tabs>
        <w:ind w:left="851"/>
        <w:rPr>
          <w:sz w:val="24"/>
          <w:szCs w:val="24"/>
          <w:u w:val="single"/>
        </w:rPr>
      </w:pPr>
      <w:r w:rsidRPr="00A92891">
        <w:rPr>
          <w:sz w:val="24"/>
          <w:szCs w:val="24"/>
          <w:u w:val="single"/>
        </w:rPr>
        <w:t xml:space="preserve">Samtidig administration af hormonale kontraceptiva </w:t>
      </w:r>
    </w:p>
    <w:p w:rsidR="00A92891" w:rsidRPr="00A92891" w:rsidRDefault="00A92891" w:rsidP="00A92891">
      <w:pPr>
        <w:tabs>
          <w:tab w:val="left" w:pos="851"/>
        </w:tabs>
        <w:ind w:left="851"/>
        <w:rPr>
          <w:sz w:val="24"/>
          <w:szCs w:val="24"/>
        </w:rPr>
      </w:pPr>
      <w:r w:rsidRPr="00A92891">
        <w:rPr>
          <w:sz w:val="24"/>
          <w:szCs w:val="24"/>
        </w:rPr>
        <w:t xml:space="preserve">Effekten af hormonale kontraceptiva kan være nedsat i op til 28 dage efter administration af Aprepitant "Stada". Alternative ikke-hormonale back-up kontraceptionsmetoder bør anvendes under behandling med Aprepitant "Stada" og i 2 måneder efter den sidste dosis Aprepitant "Stada" (se pkt. 4.5). </w:t>
      </w:r>
    </w:p>
    <w:p w:rsidR="00A92891" w:rsidRPr="00A92891" w:rsidRDefault="00A92891" w:rsidP="00A92891">
      <w:pPr>
        <w:tabs>
          <w:tab w:val="left" w:pos="851"/>
        </w:tabs>
        <w:ind w:left="851"/>
        <w:rPr>
          <w:sz w:val="24"/>
          <w:szCs w:val="24"/>
        </w:rPr>
      </w:pPr>
    </w:p>
    <w:p w:rsidR="00A92891" w:rsidRPr="00A92891" w:rsidRDefault="00A92891" w:rsidP="00A92891">
      <w:pPr>
        <w:tabs>
          <w:tab w:val="left" w:pos="851"/>
        </w:tabs>
        <w:ind w:left="851"/>
        <w:rPr>
          <w:sz w:val="24"/>
          <w:szCs w:val="24"/>
          <w:u w:val="single"/>
        </w:rPr>
      </w:pPr>
      <w:r w:rsidRPr="00A92891">
        <w:rPr>
          <w:sz w:val="24"/>
          <w:szCs w:val="24"/>
          <w:u w:val="single"/>
        </w:rPr>
        <w:t xml:space="preserve">Hjælpestoffer </w:t>
      </w:r>
    </w:p>
    <w:p w:rsidR="00A92891" w:rsidRPr="00A92891" w:rsidRDefault="00A92891" w:rsidP="00A92891">
      <w:pPr>
        <w:tabs>
          <w:tab w:val="left" w:pos="851"/>
        </w:tabs>
        <w:ind w:left="851"/>
        <w:rPr>
          <w:sz w:val="24"/>
          <w:szCs w:val="24"/>
        </w:rPr>
      </w:pPr>
      <w:r w:rsidRPr="00A92891">
        <w:rPr>
          <w:sz w:val="24"/>
          <w:szCs w:val="24"/>
        </w:rPr>
        <w:t>Aprepitant "Stada" indeholder saccharose og bør ikke anvendes til patienter med arvelig fructoseintolerans, glucose-galactosemalabsorption eller sucrase-isomaltasemangel.</w:t>
      </w:r>
    </w:p>
    <w:p w:rsidR="00A92891" w:rsidRPr="00A92891" w:rsidRDefault="00A92891" w:rsidP="00A92891">
      <w:pPr>
        <w:tabs>
          <w:tab w:val="left" w:pos="851"/>
        </w:tabs>
        <w:ind w:left="851"/>
        <w:rPr>
          <w:sz w:val="24"/>
          <w:szCs w:val="24"/>
        </w:rPr>
      </w:pPr>
    </w:p>
    <w:p w:rsidR="00A92891" w:rsidRPr="00A92891" w:rsidRDefault="00A92891" w:rsidP="00A92891">
      <w:pPr>
        <w:tabs>
          <w:tab w:val="left" w:pos="851"/>
        </w:tabs>
        <w:ind w:left="851"/>
        <w:rPr>
          <w:sz w:val="24"/>
          <w:szCs w:val="24"/>
        </w:rPr>
      </w:pPr>
      <w:r w:rsidRPr="00A92891">
        <w:rPr>
          <w:sz w:val="24"/>
          <w:szCs w:val="24"/>
        </w:rPr>
        <w:t>Aprepitant "Stada" indeholder mindre end 1 mmol (23 mg) natrium pr. kapsel, dvs. de</w:t>
      </w:r>
      <w:r w:rsidR="001C231A">
        <w:rPr>
          <w:sz w:val="24"/>
          <w:szCs w:val="24"/>
        </w:rPr>
        <w:t>t</w:t>
      </w:r>
      <w:r w:rsidRPr="00A92891">
        <w:rPr>
          <w:sz w:val="24"/>
          <w:szCs w:val="24"/>
        </w:rPr>
        <w:t xml:space="preserve"> er i det væsentlige natrium-fri</w:t>
      </w:r>
      <w:r w:rsidR="001C231A">
        <w:rPr>
          <w:sz w:val="24"/>
          <w:szCs w:val="24"/>
        </w:rPr>
        <w:t>t</w:t>
      </w:r>
      <w:r w:rsidRPr="00A92891">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34947" w:rsidRPr="00E34947" w:rsidRDefault="00E34947" w:rsidP="00E34947">
      <w:pPr>
        <w:tabs>
          <w:tab w:val="left" w:pos="851"/>
        </w:tabs>
        <w:ind w:left="851"/>
        <w:rPr>
          <w:sz w:val="24"/>
          <w:szCs w:val="24"/>
        </w:rPr>
      </w:pPr>
      <w:r w:rsidRPr="00E34947">
        <w:rPr>
          <w:sz w:val="24"/>
          <w:szCs w:val="24"/>
        </w:rPr>
        <w:t>Aprepitant (125 mg+80  mg) er et substrat, en moderat hæmmer, samt inducer af CYP3A4. Aprepitant inducerer også CYP2C9. CYP3A4 hæmmes under behandling med Aprepitant "Stada". Efter afsluttet behandling forårsager Aprepitant "Stada" en forbigående mild induktion af CYP2C9, CYP3A4 samt glukuronidering. Aprepitant ser ikke ud til at interagere med transportstoffet P-glykoprotein, som den udeblevne interaktion mellem aprepitant og digoxin viser.</w:t>
      </w:r>
    </w:p>
    <w:p w:rsidR="00E34947" w:rsidRPr="00E34947" w:rsidRDefault="00E34947" w:rsidP="00E34947">
      <w:pPr>
        <w:tabs>
          <w:tab w:val="left" w:pos="851"/>
        </w:tabs>
        <w:ind w:left="851"/>
        <w:rPr>
          <w:sz w:val="24"/>
          <w:szCs w:val="24"/>
        </w:rPr>
      </w:pPr>
    </w:p>
    <w:p w:rsidR="00E34947" w:rsidRPr="00BD71D4" w:rsidRDefault="00E34947" w:rsidP="00E34947">
      <w:pPr>
        <w:tabs>
          <w:tab w:val="left" w:pos="851"/>
        </w:tabs>
        <w:ind w:left="851"/>
        <w:rPr>
          <w:b/>
          <w:sz w:val="24"/>
          <w:szCs w:val="24"/>
        </w:rPr>
      </w:pPr>
      <w:r w:rsidRPr="00BD71D4">
        <w:rPr>
          <w:b/>
          <w:sz w:val="24"/>
          <w:szCs w:val="24"/>
        </w:rPr>
        <w:t>Aprepitants effekt på andre ak</w:t>
      </w:r>
      <w:r w:rsidR="00BD71D4" w:rsidRPr="00BD71D4">
        <w:rPr>
          <w:b/>
          <w:sz w:val="24"/>
          <w:szCs w:val="24"/>
        </w:rPr>
        <w:t>tive substansers farmakokinetik</w:t>
      </w:r>
    </w:p>
    <w:p w:rsidR="00BD71D4" w:rsidRPr="00E34947" w:rsidRDefault="00BD71D4" w:rsidP="00E34947">
      <w:pPr>
        <w:tabs>
          <w:tab w:val="left" w:pos="851"/>
        </w:tabs>
        <w:ind w:left="851"/>
        <w:rPr>
          <w:sz w:val="24"/>
          <w:szCs w:val="24"/>
          <w:u w:val="single"/>
        </w:rPr>
      </w:pPr>
    </w:p>
    <w:p w:rsidR="00E34947" w:rsidRPr="00BD71D4" w:rsidRDefault="00E34947" w:rsidP="00E34947">
      <w:pPr>
        <w:tabs>
          <w:tab w:val="left" w:pos="851"/>
        </w:tabs>
        <w:ind w:left="851"/>
        <w:rPr>
          <w:sz w:val="24"/>
          <w:szCs w:val="24"/>
          <w:u w:val="single"/>
        </w:rPr>
      </w:pPr>
      <w:r w:rsidRPr="00BD71D4">
        <w:rPr>
          <w:sz w:val="24"/>
          <w:szCs w:val="24"/>
          <w:u w:val="single"/>
        </w:rPr>
        <w:t xml:space="preserve">CYP3A4-hæmning </w:t>
      </w:r>
    </w:p>
    <w:p w:rsidR="00E34947" w:rsidRPr="00E34947" w:rsidRDefault="00E34947" w:rsidP="00E34947">
      <w:pPr>
        <w:tabs>
          <w:tab w:val="left" w:pos="851"/>
        </w:tabs>
        <w:ind w:left="851"/>
        <w:rPr>
          <w:sz w:val="24"/>
          <w:szCs w:val="24"/>
        </w:rPr>
      </w:pPr>
      <w:r w:rsidRPr="00E34947">
        <w:rPr>
          <w:sz w:val="24"/>
          <w:szCs w:val="24"/>
        </w:rPr>
        <w:t xml:space="preserve">Som en moderat hæmmer af CYP3A4 kan aprepitant (125 mg+80  mg) øge plasmakoncentrationen af samtidigt oralt administrerede aktive substanser, som metaboliseres gennem CYP3A4. Den totale eksponering for oralt administrerede CYP3A4-substrater kan øges op til ca. 3 gange under 3-dages behandlingen med Aprepitant "Stada". Virkningen af aprepitant på plasmakoncentrationen af intravenøst administrerede CYP3A4-substrater forventes at være mindre. Aprepitant "Stada" må ikke anvendes </w:t>
      </w:r>
      <w:r w:rsidRPr="00E34947">
        <w:rPr>
          <w:sz w:val="24"/>
          <w:szCs w:val="24"/>
        </w:rPr>
        <w:lastRenderedPageBreak/>
        <w:t>samtidigt med pimozid, terfenadin, astemizol eller cisaprid (se pkt. 4.3). Aprepitants hæmning af CYP3A4 kan resultere i forhøjet plasmakoncentration af disse aktive substanser, hvilket kan medføre potentielt alvorlige eller livstruende reaktioner. Det tilrådes at udvise forsigtighed ved samtidig administration af Aprepitant "Stada" og orale aktive substanser, der primært metaboliseres gennem CYP3A4, og som har et smalt terapeutisk virkningsområde såsom ciclosporin, tacrolimus, sirolimus, everolimus, alfentanil, diergotamin, ergotamin, fentanyl og quinidin (se pkt. 4.4).</w:t>
      </w:r>
    </w:p>
    <w:p w:rsidR="00E34947" w:rsidRPr="00E34947" w:rsidRDefault="00E34947" w:rsidP="00E34947">
      <w:pPr>
        <w:tabs>
          <w:tab w:val="left" w:pos="851"/>
        </w:tabs>
        <w:ind w:left="851"/>
        <w:rPr>
          <w:sz w:val="24"/>
          <w:szCs w:val="24"/>
        </w:rPr>
      </w:pPr>
    </w:p>
    <w:p w:rsidR="00E34947" w:rsidRPr="00BD71D4" w:rsidRDefault="00E34947" w:rsidP="00E34947">
      <w:pPr>
        <w:tabs>
          <w:tab w:val="left" w:pos="851"/>
        </w:tabs>
        <w:ind w:left="851"/>
        <w:rPr>
          <w:sz w:val="24"/>
          <w:szCs w:val="24"/>
          <w:u w:val="single"/>
        </w:rPr>
      </w:pPr>
      <w:r w:rsidRPr="00BD71D4">
        <w:rPr>
          <w:sz w:val="24"/>
          <w:szCs w:val="24"/>
          <w:u w:val="single"/>
        </w:rPr>
        <w:t xml:space="preserve">Kortikosteroider </w:t>
      </w:r>
    </w:p>
    <w:p w:rsidR="00BD71D4" w:rsidRDefault="00BD71D4" w:rsidP="00E34947">
      <w:pPr>
        <w:tabs>
          <w:tab w:val="left" w:pos="851"/>
        </w:tabs>
        <w:ind w:left="851"/>
        <w:rPr>
          <w:sz w:val="24"/>
          <w:szCs w:val="24"/>
        </w:rPr>
      </w:pPr>
    </w:p>
    <w:p w:rsidR="00E34947" w:rsidRPr="00BD71D4" w:rsidRDefault="00BD71D4" w:rsidP="00E34947">
      <w:pPr>
        <w:tabs>
          <w:tab w:val="left" w:pos="851"/>
        </w:tabs>
        <w:ind w:left="851"/>
        <w:rPr>
          <w:i/>
          <w:sz w:val="24"/>
          <w:szCs w:val="24"/>
        </w:rPr>
      </w:pPr>
      <w:r>
        <w:rPr>
          <w:i/>
          <w:sz w:val="24"/>
          <w:szCs w:val="24"/>
        </w:rPr>
        <w:t>Dexamethason</w:t>
      </w:r>
    </w:p>
    <w:p w:rsidR="00E34947" w:rsidRPr="00E34947" w:rsidRDefault="00E34947" w:rsidP="00E34947">
      <w:pPr>
        <w:tabs>
          <w:tab w:val="left" w:pos="851"/>
        </w:tabs>
        <w:ind w:left="851"/>
        <w:rPr>
          <w:sz w:val="24"/>
          <w:szCs w:val="24"/>
        </w:rPr>
      </w:pPr>
      <w:r w:rsidRPr="00E34947">
        <w:rPr>
          <w:sz w:val="24"/>
          <w:szCs w:val="24"/>
        </w:rPr>
        <w:t xml:space="preserve">Den normale orale dexamethasondosis bør reduceres med ca. 50 %, når den samtidig administreres med Aprepitant "Stada" 125 mg/80 mg dosisregime. Dexamethasondosis blev i kliniske undersøgelser for kvalme og opkastning forårsaget af kemoterapi valgt for at tage højde for lægemiddelinteraktioner (se pkt. 4.2). Når aprepitant blev administreret som et behandlingsregime med 125 mg indgivet samtidig med 20 mg dexamethason oralt på dag 1, og aprepitant indgivet som 80 mg/dag med dexamethason 8 mg indgivet samtidig oralt på dag 2 til 5, forhøjedes AUC for dexamethason, et CYP3A4-substrat, 2,2 gange på dag 1 og 5. </w:t>
      </w:r>
    </w:p>
    <w:p w:rsidR="00E34947" w:rsidRPr="00E34947" w:rsidRDefault="00E34947" w:rsidP="00E34947">
      <w:pPr>
        <w:tabs>
          <w:tab w:val="left" w:pos="851"/>
        </w:tabs>
        <w:ind w:left="851"/>
        <w:rPr>
          <w:sz w:val="24"/>
          <w:szCs w:val="24"/>
        </w:rPr>
      </w:pPr>
    </w:p>
    <w:p w:rsidR="00E34947" w:rsidRPr="00E34947" w:rsidRDefault="00BD71D4" w:rsidP="00E34947">
      <w:pPr>
        <w:tabs>
          <w:tab w:val="left" w:pos="851"/>
        </w:tabs>
        <w:ind w:left="851"/>
        <w:rPr>
          <w:i/>
          <w:sz w:val="24"/>
          <w:szCs w:val="24"/>
        </w:rPr>
      </w:pPr>
      <w:r>
        <w:rPr>
          <w:i/>
          <w:sz w:val="24"/>
          <w:szCs w:val="24"/>
        </w:rPr>
        <w:t>Methylprednisolon</w:t>
      </w:r>
    </w:p>
    <w:p w:rsidR="00E34947" w:rsidRPr="00E34947" w:rsidRDefault="00E34947" w:rsidP="00E34947">
      <w:pPr>
        <w:tabs>
          <w:tab w:val="left" w:pos="851"/>
        </w:tabs>
        <w:ind w:left="851"/>
        <w:rPr>
          <w:sz w:val="24"/>
          <w:szCs w:val="24"/>
        </w:rPr>
      </w:pPr>
      <w:r w:rsidRPr="00E34947">
        <w:rPr>
          <w:sz w:val="24"/>
          <w:szCs w:val="24"/>
        </w:rPr>
        <w:t xml:space="preserve">Den normale intravenøse methylprednisolondosis bør reduceres med ca. 25 %, og den normale orale methylprednisolondosis bør reduceres med ca. 50 %, når de administreres samtidig med Aprepitant "Stada" 125 mg+80  mg dosisregime. Når aprepitant blev administreret som et behandlingsregime med 125 mg på dag 1 og 80 mg/dag på dag 2 og 3 sammen med methylprednisolon 125 mg intravenøst på dag 1 og 40 mg oralt på dag 2 og 3, øgedes AUC for methylprednisolon, et CYP3A4- substrat, 1,3 gange på dag 1 og 2,5 gange på dag 3. </w:t>
      </w:r>
    </w:p>
    <w:p w:rsidR="00E34947" w:rsidRPr="00E34947" w:rsidRDefault="00E34947" w:rsidP="00E34947">
      <w:pPr>
        <w:tabs>
          <w:tab w:val="left" w:pos="851"/>
        </w:tabs>
        <w:ind w:left="851"/>
        <w:rPr>
          <w:sz w:val="24"/>
          <w:szCs w:val="24"/>
        </w:rPr>
      </w:pPr>
      <w:r w:rsidRPr="00E34947">
        <w:rPr>
          <w:sz w:val="24"/>
          <w:szCs w:val="24"/>
        </w:rPr>
        <w:t>På grund af aprepitants inducerende virkning på CYP3A4 kan AUC for methylprednisolon, ved kontinuerlig administration af methylprednisolon, mindskes i op til 2 uger efter behandlingsstart med aprepitant. Denne virkning forventes at være mere udtalt for oralt administreret methylprednisolon.</w:t>
      </w:r>
    </w:p>
    <w:p w:rsidR="00E34947" w:rsidRPr="00E34947" w:rsidRDefault="00E34947" w:rsidP="00E34947">
      <w:pPr>
        <w:tabs>
          <w:tab w:val="left" w:pos="851"/>
        </w:tabs>
        <w:ind w:left="851"/>
        <w:rPr>
          <w:sz w:val="24"/>
          <w:szCs w:val="24"/>
        </w:rPr>
      </w:pPr>
    </w:p>
    <w:p w:rsidR="00E34947" w:rsidRPr="00BD71D4" w:rsidRDefault="00BD71D4" w:rsidP="00E34947">
      <w:pPr>
        <w:tabs>
          <w:tab w:val="left" w:pos="851"/>
        </w:tabs>
        <w:ind w:left="851"/>
        <w:rPr>
          <w:sz w:val="24"/>
          <w:szCs w:val="24"/>
          <w:u w:val="single"/>
        </w:rPr>
      </w:pPr>
      <w:r w:rsidRPr="00BD71D4">
        <w:rPr>
          <w:sz w:val="24"/>
          <w:szCs w:val="24"/>
          <w:u w:val="single"/>
        </w:rPr>
        <w:t>Kemoterapeutika</w:t>
      </w:r>
    </w:p>
    <w:p w:rsidR="00E34947" w:rsidRPr="00E34947" w:rsidRDefault="00E34947" w:rsidP="00E34947">
      <w:pPr>
        <w:tabs>
          <w:tab w:val="left" w:pos="851"/>
        </w:tabs>
        <w:ind w:left="851"/>
        <w:rPr>
          <w:sz w:val="24"/>
          <w:szCs w:val="24"/>
        </w:rPr>
      </w:pPr>
      <w:r w:rsidRPr="00E34947">
        <w:rPr>
          <w:sz w:val="24"/>
          <w:szCs w:val="24"/>
        </w:rPr>
        <w:t>Når aprepitant, i farmakokinetiske undersøgelser, blev givet som et regimen på 125 mg på dag 1 og 80 mg/dag på dag 2 og 3, påvirkede det ikke doxetaxels farmakokinetik, når dette blev administreret intravenøst på dag 1 eller vinorelbin, når dette blev administreret intravenøst på dag 1 eller dag 8. Da effekten af aprepitant på oralt administrerede CYP3A4-substraters farmakokinetik er større end aprepitants effekt på intravenøst administrerede CYP3A4-substraters farmakokinetik, kan interaktion med oralt administrerede kemoterapeutika, som metaboliseres primært eller delvist af CYP3A4 (fx etoposid, vinorelbin) ikke udelukkes. Forsigtighed tilrådes og yderligere monitorering kan være nødvendig hos patienter, som får lægemidler, der primært eller delvist metaboliseres af CYP3A4 (se pkt. 4.4). Efter markedsføring er der rapporteret om neurotoksicitet, der er en potentiel bivirkning af ifosfamid, efter samtidig administration af aprepitant og ifosfamid.</w:t>
      </w:r>
    </w:p>
    <w:p w:rsidR="00E34947" w:rsidRPr="00E34947" w:rsidRDefault="00E34947" w:rsidP="00E34947">
      <w:pPr>
        <w:tabs>
          <w:tab w:val="left" w:pos="851"/>
        </w:tabs>
        <w:ind w:left="851"/>
        <w:rPr>
          <w:sz w:val="24"/>
          <w:szCs w:val="24"/>
        </w:rPr>
      </w:pPr>
    </w:p>
    <w:p w:rsidR="00E34947" w:rsidRPr="00BD71D4" w:rsidRDefault="00E34947" w:rsidP="00E34947">
      <w:pPr>
        <w:tabs>
          <w:tab w:val="left" w:pos="851"/>
        </w:tabs>
        <w:ind w:left="851"/>
        <w:rPr>
          <w:sz w:val="24"/>
          <w:szCs w:val="24"/>
          <w:u w:val="single"/>
        </w:rPr>
      </w:pPr>
      <w:r w:rsidRPr="00BD71D4">
        <w:rPr>
          <w:sz w:val="24"/>
          <w:szCs w:val="24"/>
          <w:u w:val="single"/>
        </w:rPr>
        <w:t xml:space="preserve">Immunsuppressiva </w:t>
      </w:r>
    </w:p>
    <w:p w:rsidR="00E34947" w:rsidRPr="00E34947" w:rsidRDefault="00E34947" w:rsidP="00E34947">
      <w:pPr>
        <w:tabs>
          <w:tab w:val="left" w:pos="851"/>
        </w:tabs>
        <w:ind w:left="851"/>
        <w:rPr>
          <w:sz w:val="24"/>
          <w:szCs w:val="24"/>
        </w:rPr>
      </w:pPr>
      <w:r w:rsidRPr="00E34947">
        <w:rPr>
          <w:sz w:val="24"/>
          <w:szCs w:val="24"/>
        </w:rPr>
        <w:t xml:space="preserve">Under det 3-dages CINV-regimen forventes en forbigående moderat stigning efterfulgt af et let fald i eksponeringen af immunsuppressiva, der metaboliseres af CYP3A4 (fx ciclosporin, tacrolimus, everolimus og sirolimus). På grund af 3-dages regimets korte </w:t>
      </w:r>
      <w:r w:rsidRPr="00E34947">
        <w:rPr>
          <w:sz w:val="24"/>
          <w:szCs w:val="24"/>
        </w:rPr>
        <w:lastRenderedPageBreak/>
        <w:t>varighed og de tidsbestemte begrænsede ændringer i eksponeringen frarådes dosisreduktion af immunsuppressiva i de 3 dage, hvor Aprepitant "Stada" også administreres.</w:t>
      </w:r>
    </w:p>
    <w:p w:rsidR="00E34947" w:rsidRPr="00E34947" w:rsidRDefault="00E34947" w:rsidP="00E34947">
      <w:pPr>
        <w:tabs>
          <w:tab w:val="left" w:pos="851"/>
        </w:tabs>
        <w:ind w:left="851"/>
        <w:rPr>
          <w:sz w:val="24"/>
          <w:szCs w:val="24"/>
        </w:rPr>
      </w:pPr>
    </w:p>
    <w:p w:rsidR="00E34947" w:rsidRPr="00BD71D4" w:rsidRDefault="00E34947" w:rsidP="00E34947">
      <w:pPr>
        <w:tabs>
          <w:tab w:val="left" w:pos="851"/>
        </w:tabs>
        <w:ind w:left="851"/>
        <w:rPr>
          <w:sz w:val="24"/>
          <w:szCs w:val="24"/>
          <w:u w:val="single"/>
        </w:rPr>
      </w:pPr>
      <w:r w:rsidRPr="00BD71D4">
        <w:rPr>
          <w:sz w:val="24"/>
          <w:szCs w:val="24"/>
          <w:u w:val="single"/>
        </w:rPr>
        <w:t xml:space="preserve">Midazolam </w:t>
      </w:r>
    </w:p>
    <w:p w:rsidR="00E34947" w:rsidRPr="00E34947" w:rsidRDefault="00E34947" w:rsidP="00E34947">
      <w:pPr>
        <w:tabs>
          <w:tab w:val="left" w:pos="851"/>
        </w:tabs>
        <w:ind w:left="851"/>
        <w:rPr>
          <w:sz w:val="24"/>
          <w:szCs w:val="24"/>
        </w:rPr>
      </w:pPr>
      <w:r w:rsidRPr="00E34947">
        <w:rPr>
          <w:sz w:val="24"/>
          <w:szCs w:val="24"/>
        </w:rPr>
        <w:t>Ved samtidig administration af Aprepitant "Stada" (125 mg+80  mg) og midazolam eller andre benzodiazepiner som metaboliseres via CYP3A4 (alprazolam, triazolam) bør muligheden for forhøjede plasmakoncentrationer af midazolam eller andre benzodiazepiner overvejes.</w:t>
      </w:r>
    </w:p>
    <w:p w:rsidR="00E34947" w:rsidRPr="00E34947" w:rsidRDefault="00E34947" w:rsidP="00E34947">
      <w:pPr>
        <w:tabs>
          <w:tab w:val="left" w:pos="851"/>
        </w:tabs>
        <w:ind w:left="851"/>
        <w:rPr>
          <w:sz w:val="24"/>
          <w:szCs w:val="24"/>
        </w:rPr>
      </w:pPr>
    </w:p>
    <w:p w:rsidR="00E34947" w:rsidRPr="00E34947" w:rsidRDefault="00E34947" w:rsidP="00E34947">
      <w:pPr>
        <w:tabs>
          <w:tab w:val="left" w:pos="851"/>
        </w:tabs>
        <w:ind w:left="851"/>
        <w:rPr>
          <w:sz w:val="24"/>
          <w:szCs w:val="24"/>
        </w:rPr>
      </w:pPr>
      <w:r w:rsidRPr="00E34947">
        <w:rPr>
          <w:sz w:val="24"/>
          <w:szCs w:val="24"/>
        </w:rPr>
        <w:t>Aprepitant forhøjede AUC for midazolam, et følsomt CYP3A4-substrat, 2,3 gange på dag 1 og 3,3 gange på dag 5, når en oral enkeltdosis midazolam 2 mg administreredes samtidig på dag 1 og dag 5 med et aprepitant behandlingsregime på 125 mg på dag 1 og 80 mg/dag på dag 2-5.</w:t>
      </w:r>
    </w:p>
    <w:p w:rsidR="00E34947" w:rsidRPr="00E34947" w:rsidRDefault="00E34947" w:rsidP="00E34947">
      <w:pPr>
        <w:tabs>
          <w:tab w:val="left" w:pos="851"/>
        </w:tabs>
        <w:ind w:left="851"/>
        <w:rPr>
          <w:sz w:val="24"/>
          <w:szCs w:val="24"/>
        </w:rPr>
      </w:pPr>
    </w:p>
    <w:p w:rsidR="00E34947" w:rsidRPr="00E34947" w:rsidRDefault="00E34947" w:rsidP="00E34947">
      <w:pPr>
        <w:tabs>
          <w:tab w:val="left" w:pos="851"/>
        </w:tabs>
        <w:ind w:left="851"/>
        <w:rPr>
          <w:sz w:val="24"/>
          <w:szCs w:val="24"/>
        </w:rPr>
      </w:pPr>
      <w:r w:rsidRPr="00E34947">
        <w:rPr>
          <w:sz w:val="24"/>
          <w:szCs w:val="24"/>
        </w:rPr>
        <w:t>I en anden undersøgelse med intravenøs administration af midazolam blev aprepitant givet som 125 mg på dag 1 og 80 mg/dag på dag 2 og 3, og midazolam 2 mg blev indgivet intravenøst inden administration af 3 dages aprepitant -behandlingsregime og på dag 4, 8 og 15. aprepitant øgede AUC for midazolam med 25 % på dag 4 og nedsatte AUC for midazolam med 19 % på dag 8 og 4 % på dag 15. Disse effekter vurderedes ikke at være klinisk vigtige</w:t>
      </w:r>
    </w:p>
    <w:p w:rsidR="00E34947" w:rsidRPr="00E34947" w:rsidRDefault="00E34947" w:rsidP="00E34947">
      <w:pPr>
        <w:tabs>
          <w:tab w:val="left" w:pos="851"/>
        </w:tabs>
        <w:ind w:left="851"/>
        <w:rPr>
          <w:sz w:val="24"/>
          <w:szCs w:val="24"/>
        </w:rPr>
      </w:pPr>
    </w:p>
    <w:p w:rsidR="00E34947" w:rsidRPr="00E34947" w:rsidRDefault="00E34947" w:rsidP="00E34947">
      <w:pPr>
        <w:tabs>
          <w:tab w:val="left" w:pos="851"/>
        </w:tabs>
        <w:ind w:left="851"/>
        <w:rPr>
          <w:sz w:val="24"/>
          <w:szCs w:val="24"/>
        </w:rPr>
      </w:pPr>
      <w:r w:rsidRPr="00E34947">
        <w:rPr>
          <w:sz w:val="24"/>
          <w:szCs w:val="24"/>
        </w:rPr>
        <w:t>I en tredje undersøgelse med intravenøs og oral administration af midazolam blev aprepitant givet som 125 mg på dag 1 og 80 mg/dag på dag 2 og 3 sammen med ondansetron 32 mg på dag 1, dexamethason 12 mg på dag 1 og 8 mg på dag 2-4. Denne kombination (dvs. aprepitant, ondansetron og dexamethason) sænkede AUC for oral midazolam 16 % på dag 6, 9 % på dag 8, 7 % på dag 15 og 17 % på dag 22. Disse effekter vurderedes ikke at være klinisk vigtige.</w:t>
      </w:r>
    </w:p>
    <w:p w:rsidR="00E34947" w:rsidRPr="00E34947" w:rsidRDefault="00E34947" w:rsidP="00E34947">
      <w:pPr>
        <w:tabs>
          <w:tab w:val="left" w:pos="851"/>
        </w:tabs>
        <w:ind w:left="851"/>
        <w:rPr>
          <w:sz w:val="24"/>
          <w:szCs w:val="24"/>
        </w:rPr>
      </w:pPr>
    </w:p>
    <w:p w:rsidR="00E34947" w:rsidRPr="00E34947" w:rsidRDefault="00E34947" w:rsidP="00E34947">
      <w:pPr>
        <w:tabs>
          <w:tab w:val="left" w:pos="851"/>
        </w:tabs>
        <w:ind w:left="851"/>
        <w:rPr>
          <w:sz w:val="24"/>
          <w:szCs w:val="24"/>
        </w:rPr>
      </w:pPr>
      <w:r w:rsidRPr="00E34947">
        <w:rPr>
          <w:sz w:val="24"/>
          <w:szCs w:val="24"/>
        </w:rPr>
        <w:t>En supplerende undersøgelse blev udført med intravenøs administration af midazolam og aprepitant. Intravenøs midazolam 2 mg blev givet 1 time efter oral administation af en enkelt dosis aprepitant 125 mg. Plasma AUC for midazolam øgedes 1,5 gange. Denne virkning blev ikke anset for at være klinisk signifikant.</w:t>
      </w:r>
    </w:p>
    <w:p w:rsidR="00E34947" w:rsidRPr="00E34947" w:rsidRDefault="00E34947" w:rsidP="00E34947">
      <w:pPr>
        <w:tabs>
          <w:tab w:val="left" w:pos="851"/>
        </w:tabs>
        <w:ind w:left="851"/>
        <w:rPr>
          <w:sz w:val="24"/>
          <w:szCs w:val="24"/>
        </w:rPr>
      </w:pPr>
    </w:p>
    <w:p w:rsidR="00E34947" w:rsidRPr="00BD71D4" w:rsidRDefault="00E34947" w:rsidP="00E34947">
      <w:pPr>
        <w:tabs>
          <w:tab w:val="left" w:pos="851"/>
        </w:tabs>
        <w:ind w:left="851"/>
        <w:rPr>
          <w:sz w:val="24"/>
          <w:szCs w:val="24"/>
          <w:u w:val="single"/>
        </w:rPr>
      </w:pPr>
      <w:r w:rsidRPr="00BD71D4">
        <w:rPr>
          <w:sz w:val="24"/>
          <w:szCs w:val="24"/>
          <w:u w:val="single"/>
        </w:rPr>
        <w:t xml:space="preserve">Induktion </w:t>
      </w:r>
    </w:p>
    <w:p w:rsidR="00E34947" w:rsidRPr="00E34947" w:rsidRDefault="00E34947" w:rsidP="00E34947">
      <w:pPr>
        <w:tabs>
          <w:tab w:val="left" w:pos="851"/>
        </w:tabs>
        <w:ind w:left="851"/>
        <w:rPr>
          <w:sz w:val="24"/>
          <w:szCs w:val="24"/>
        </w:rPr>
      </w:pPr>
      <w:r w:rsidRPr="00E34947">
        <w:rPr>
          <w:sz w:val="24"/>
          <w:szCs w:val="24"/>
        </w:rPr>
        <w:t>Som en mild inducer af CYP2C9, CYP3A4 og glukuronidering kan aprepitant nedsætte plasmakoncentrationen af substrater, der er elimineret på denne måde inden for to uger efter behandlingsstart. Denne virkning viser sig eventuelt først efter afslutning af en 3-dages behandling med Aprepitant "Stada". For CYP2C9 og CYP3A4-substrater er induktionen forbigående, og maksimal effekt opnås efter 3-5 dage efter afslutning af 3-dages Aprepitant "Stada" behandling. Effekten opretholdes i nogle få dage, aftager derefter langsomt og er uden klinisk signifikans to uger efter afslutning af Aprepitant "Stada" behandling. Mild induktion af glukuronidering ses også med 80 mg oral aprepitant givet i 7 dage. Der mangler data vedrørende effekt på CYP2C8 og CYP2C19. Der bør udvises forsigtighed, når warfarin, acenocoumarol, tolbutamid, phenytoin eller andre aktive substanser, som vides at blive metaboliseret af CYP2C9, administreres i denne periode.</w:t>
      </w:r>
    </w:p>
    <w:p w:rsidR="00E34947" w:rsidRPr="00E34947" w:rsidRDefault="00E34947" w:rsidP="00E34947">
      <w:pPr>
        <w:tabs>
          <w:tab w:val="left" w:pos="851"/>
        </w:tabs>
        <w:ind w:left="851"/>
        <w:rPr>
          <w:sz w:val="24"/>
          <w:szCs w:val="24"/>
        </w:rPr>
      </w:pPr>
    </w:p>
    <w:p w:rsidR="00E34947" w:rsidRPr="00BD71D4" w:rsidRDefault="00E34947" w:rsidP="00E34947">
      <w:pPr>
        <w:tabs>
          <w:tab w:val="left" w:pos="851"/>
        </w:tabs>
        <w:ind w:left="851"/>
        <w:rPr>
          <w:sz w:val="24"/>
          <w:szCs w:val="24"/>
          <w:u w:val="single"/>
        </w:rPr>
      </w:pPr>
      <w:r w:rsidRPr="00BD71D4">
        <w:rPr>
          <w:sz w:val="24"/>
          <w:szCs w:val="24"/>
          <w:u w:val="single"/>
        </w:rPr>
        <w:t xml:space="preserve">Warfarin </w:t>
      </w:r>
    </w:p>
    <w:p w:rsidR="00E34947" w:rsidRPr="00E34947" w:rsidRDefault="00E34947" w:rsidP="00E34947">
      <w:pPr>
        <w:tabs>
          <w:tab w:val="left" w:pos="851"/>
        </w:tabs>
        <w:ind w:left="851"/>
        <w:rPr>
          <w:sz w:val="24"/>
          <w:szCs w:val="24"/>
        </w:rPr>
      </w:pPr>
      <w:r w:rsidRPr="00E34947">
        <w:rPr>
          <w:sz w:val="24"/>
          <w:szCs w:val="24"/>
        </w:rPr>
        <w:t xml:space="preserve">Hos patienter i kronisk warfarinbehandling bør prothrombintiden (INR) overvåges nøje under behandling med Aprepitant "Stada" og i 2 uger efter hvert 3 dages behandlingsregime med Aprepitant "Stada" til kvalme og opkastning forårsaget af </w:t>
      </w:r>
      <w:r w:rsidRPr="00E34947">
        <w:rPr>
          <w:sz w:val="24"/>
          <w:szCs w:val="24"/>
        </w:rPr>
        <w:lastRenderedPageBreak/>
        <w:t>kemoterapi (se pkt. 4.4). Når en enkelt dosis Aprepitant "Stada" 125 mg administreredes på dag 1 og 80 mg/dag på dag 2 og 3 til raske personer, som var stabiliseret på kronisk warfarinbehandling, var der ikke virkning af aprepitant på plasma AUC for R(+) eller S(-)warfarin bestemt på dag 3; der var imidlertid et 34 % fald i S(-)warfarins (et CYP2C9 substrat) dalkoncentration fulgt af et 14 % fald i INR 5 dage efter afsluttet behandling med aprepitant.</w:t>
      </w:r>
    </w:p>
    <w:p w:rsidR="00E34947" w:rsidRPr="00E34947" w:rsidRDefault="00E34947" w:rsidP="00E34947">
      <w:pPr>
        <w:tabs>
          <w:tab w:val="left" w:pos="851"/>
        </w:tabs>
        <w:ind w:left="851"/>
        <w:rPr>
          <w:i/>
          <w:sz w:val="24"/>
          <w:szCs w:val="24"/>
        </w:rPr>
      </w:pPr>
    </w:p>
    <w:p w:rsidR="00E34947" w:rsidRPr="00BD71D4" w:rsidRDefault="00E34947" w:rsidP="00E34947">
      <w:pPr>
        <w:tabs>
          <w:tab w:val="left" w:pos="851"/>
        </w:tabs>
        <w:ind w:left="851"/>
        <w:rPr>
          <w:sz w:val="24"/>
          <w:szCs w:val="24"/>
          <w:u w:val="single"/>
        </w:rPr>
      </w:pPr>
      <w:r w:rsidRPr="00BD71D4">
        <w:rPr>
          <w:sz w:val="24"/>
          <w:szCs w:val="24"/>
          <w:u w:val="single"/>
        </w:rPr>
        <w:t xml:space="preserve">Tolbutamid </w:t>
      </w:r>
    </w:p>
    <w:p w:rsidR="00E34947" w:rsidRPr="00E34947" w:rsidRDefault="00E34947" w:rsidP="00E34947">
      <w:pPr>
        <w:tabs>
          <w:tab w:val="left" w:pos="851"/>
        </w:tabs>
        <w:ind w:left="851"/>
        <w:rPr>
          <w:sz w:val="24"/>
          <w:szCs w:val="24"/>
        </w:rPr>
      </w:pPr>
      <w:r w:rsidRPr="00E34947">
        <w:rPr>
          <w:sz w:val="24"/>
          <w:szCs w:val="24"/>
        </w:rPr>
        <w:t>Når aprepitant administreret som 125 mg på dag 1 og 80 mg/dag på dag 2 og 3, faldt AUC af tolbutamid (et CYP2C9 substrat) med 23 % på dag 4, 28 % på dag 8 og 15 % på dag 15, når en enkelt dosis tolbutamid 500 mg blev indgivet oralt inden administration af 3 dages behandlingsregimen og på dag 4, 8 og 15.</w:t>
      </w:r>
    </w:p>
    <w:p w:rsidR="00E34947" w:rsidRPr="00E34947" w:rsidRDefault="00E34947" w:rsidP="00E34947">
      <w:pPr>
        <w:tabs>
          <w:tab w:val="left" w:pos="851"/>
        </w:tabs>
        <w:ind w:left="851"/>
        <w:rPr>
          <w:sz w:val="24"/>
          <w:szCs w:val="24"/>
          <w:u w:val="single"/>
        </w:rPr>
      </w:pPr>
    </w:p>
    <w:p w:rsidR="00E34947" w:rsidRPr="00BD71D4" w:rsidRDefault="00E34947" w:rsidP="00E34947">
      <w:pPr>
        <w:tabs>
          <w:tab w:val="left" w:pos="851"/>
        </w:tabs>
        <w:ind w:left="851"/>
        <w:rPr>
          <w:sz w:val="24"/>
          <w:szCs w:val="24"/>
          <w:u w:val="single"/>
        </w:rPr>
      </w:pPr>
      <w:r w:rsidRPr="00BD71D4">
        <w:rPr>
          <w:sz w:val="24"/>
          <w:szCs w:val="24"/>
          <w:u w:val="single"/>
        </w:rPr>
        <w:t xml:space="preserve">Hormonale kontraceptiva </w:t>
      </w:r>
    </w:p>
    <w:p w:rsidR="00E34947" w:rsidRPr="00E34947" w:rsidRDefault="00E34947" w:rsidP="00E34947">
      <w:pPr>
        <w:tabs>
          <w:tab w:val="left" w:pos="851"/>
        </w:tabs>
        <w:ind w:left="851"/>
        <w:rPr>
          <w:sz w:val="24"/>
          <w:szCs w:val="24"/>
        </w:rPr>
      </w:pPr>
      <w:r w:rsidRPr="00E34947">
        <w:rPr>
          <w:sz w:val="24"/>
          <w:szCs w:val="24"/>
        </w:rPr>
        <w:t>Virkningen af hormonale kontraceptiva kan være nedsat i op til 28 dage efter administration af Aprepitant "Stada". Der bør anvendes alternative ikke-hormonale back-up kontraceptionsmetoder under behandling med Aprepitant "Stada" og i 2 måneder efter den sidste dosis Aprepitant "Stada".</w:t>
      </w:r>
    </w:p>
    <w:p w:rsidR="00E34947" w:rsidRPr="00E34947" w:rsidRDefault="00E34947" w:rsidP="00E34947">
      <w:pPr>
        <w:tabs>
          <w:tab w:val="left" w:pos="851"/>
        </w:tabs>
        <w:ind w:left="851"/>
        <w:rPr>
          <w:sz w:val="24"/>
          <w:szCs w:val="24"/>
        </w:rPr>
      </w:pPr>
    </w:p>
    <w:p w:rsidR="00E34947" w:rsidRPr="00E34947" w:rsidRDefault="00E34947" w:rsidP="00E34947">
      <w:pPr>
        <w:tabs>
          <w:tab w:val="left" w:pos="851"/>
        </w:tabs>
        <w:ind w:left="851"/>
        <w:rPr>
          <w:sz w:val="24"/>
          <w:szCs w:val="24"/>
        </w:rPr>
      </w:pPr>
      <w:r w:rsidRPr="00E34947">
        <w:rPr>
          <w:sz w:val="24"/>
          <w:szCs w:val="24"/>
        </w:rPr>
        <w:t>I en klinisk undersøgelse blev der i 21 dage givet enkelte doser oral kontraception, indeholdende ethinyløstradiol og norethindron. aprepitant blev samtidigt givet som 125 mg på dag 8 og som 80 mg /dag på dag 9 og 10 sammen med ondansetron 32 mg intravenøst på dag 8 og oral dexamethason givet som 12 mg på dag 8 og som 8 mg/dag på dag 9, 10 og 11. I dette studie var der fra dag 9 til og med dag 21 op til 64 % fald i dalkoncentrationen for etinyløstradiol og et fald på op til 60 % i dalkoncentrationen for norethindron.</w:t>
      </w:r>
    </w:p>
    <w:p w:rsidR="00E34947" w:rsidRPr="00E34947" w:rsidRDefault="00E34947" w:rsidP="00E34947">
      <w:pPr>
        <w:tabs>
          <w:tab w:val="left" w:pos="851"/>
        </w:tabs>
        <w:ind w:left="851"/>
        <w:rPr>
          <w:sz w:val="24"/>
          <w:szCs w:val="24"/>
        </w:rPr>
      </w:pPr>
    </w:p>
    <w:p w:rsidR="00E34947" w:rsidRPr="00BD71D4" w:rsidRDefault="00E34947" w:rsidP="00E34947">
      <w:pPr>
        <w:tabs>
          <w:tab w:val="left" w:pos="851"/>
        </w:tabs>
        <w:ind w:left="851"/>
        <w:rPr>
          <w:sz w:val="24"/>
          <w:szCs w:val="24"/>
          <w:u w:val="single"/>
        </w:rPr>
      </w:pPr>
      <w:r w:rsidRPr="00BD71D4">
        <w:rPr>
          <w:sz w:val="24"/>
          <w:szCs w:val="24"/>
          <w:u w:val="single"/>
        </w:rPr>
        <w:t xml:space="preserve">5-HT3 -antagonister </w:t>
      </w:r>
    </w:p>
    <w:p w:rsidR="00E34947" w:rsidRPr="00E34947" w:rsidRDefault="00E34947" w:rsidP="00E34947">
      <w:pPr>
        <w:tabs>
          <w:tab w:val="left" w:pos="851"/>
        </w:tabs>
        <w:ind w:left="851"/>
        <w:rPr>
          <w:sz w:val="24"/>
          <w:szCs w:val="24"/>
        </w:rPr>
      </w:pPr>
      <w:r w:rsidRPr="00E34947">
        <w:rPr>
          <w:sz w:val="24"/>
          <w:szCs w:val="24"/>
        </w:rPr>
        <w:t>I kliniske interaktionsundersøgelser havde aprepitant ingen vigtig klinisk virkning på farmakokinetikken for ondansetron, granisetron eller hydrodolasetron (dolasetrons aktive metabolit).</w:t>
      </w:r>
    </w:p>
    <w:p w:rsidR="00E34947" w:rsidRPr="00E34947" w:rsidRDefault="00E34947" w:rsidP="00E34947">
      <w:pPr>
        <w:tabs>
          <w:tab w:val="left" w:pos="851"/>
        </w:tabs>
        <w:ind w:left="851"/>
        <w:rPr>
          <w:sz w:val="24"/>
          <w:szCs w:val="24"/>
        </w:rPr>
      </w:pPr>
    </w:p>
    <w:p w:rsidR="00E34947" w:rsidRPr="00BD71D4" w:rsidRDefault="00E34947" w:rsidP="00E34947">
      <w:pPr>
        <w:tabs>
          <w:tab w:val="left" w:pos="851"/>
        </w:tabs>
        <w:ind w:left="851"/>
        <w:rPr>
          <w:b/>
          <w:sz w:val="24"/>
          <w:szCs w:val="24"/>
        </w:rPr>
      </w:pPr>
      <w:r w:rsidRPr="00BD71D4">
        <w:rPr>
          <w:b/>
          <w:sz w:val="24"/>
          <w:szCs w:val="24"/>
        </w:rPr>
        <w:t xml:space="preserve">Andre lægemidlers virkning på aprepitants farmakokinetik </w:t>
      </w:r>
    </w:p>
    <w:p w:rsidR="0001790C" w:rsidRDefault="0001790C" w:rsidP="00E34947">
      <w:pPr>
        <w:tabs>
          <w:tab w:val="left" w:pos="851"/>
        </w:tabs>
        <w:ind w:left="851"/>
        <w:rPr>
          <w:sz w:val="24"/>
          <w:szCs w:val="24"/>
        </w:rPr>
      </w:pPr>
    </w:p>
    <w:p w:rsidR="00E34947" w:rsidRPr="00E34947" w:rsidRDefault="00E34947" w:rsidP="00E34947">
      <w:pPr>
        <w:tabs>
          <w:tab w:val="left" w:pos="851"/>
        </w:tabs>
        <w:ind w:left="851"/>
        <w:rPr>
          <w:sz w:val="24"/>
          <w:szCs w:val="24"/>
        </w:rPr>
      </w:pPr>
      <w:r w:rsidRPr="00E34947">
        <w:rPr>
          <w:sz w:val="24"/>
          <w:szCs w:val="24"/>
        </w:rPr>
        <w:t>Samtidig administration af Aprepitant "Stada" og aktive substanser, som hæmmer CYP3A4-aktivitet (fx ketoconazol, itraconazol, voriconazol, posaconazol, clarithromycin, telithromycin, nefazodon og proteasehæmmere), bør kun ske med stor forsigtighed, idet kombinationen forventes at resultere i mange gange forhøjede plasmakoncentrationer af aprepitant (se pkt. 4.4).</w:t>
      </w:r>
    </w:p>
    <w:p w:rsidR="00E34947" w:rsidRPr="00E34947" w:rsidRDefault="00E34947" w:rsidP="00E34947">
      <w:pPr>
        <w:tabs>
          <w:tab w:val="left" w:pos="851"/>
        </w:tabs>
        <w:ind w:left="851"/>
        <w:rPr>
          <w:sz w:val="24"/>
          <w:szCs w:val="24"/>
        </w:rPr>
      </w:pPr>
    </w:p>
    <w:p w:rsidR="00E34947" w:rsidRPr="00E34947" w:rsidRDefault="00E34947" w:rsidP="00E34947">
      <w:pPr>
        <w:tabs>
          <w:tab w:val="left" w:pos="851"/>
        </w:tabs>
        <w:ind w:left="851"/>
        <w:rPr>
          <w:sz w:val="24"/>
          <w:szCs w:val="24"/>
        </w:rPr>
      </w:pPr>
      <w:r w:rsidRPr="00E34947">
        <w:rPr>
          <w:sz w:val="24"/>
          <w:szCs w:val="24"/>
        </w:rPr>
        <w:t xml:space="preserve">Samtidig administration af Aprepitant "Stada" og lægemidler, som er stærke inducere af CYP3A4-aktivitet (fx rifampicin, phenytoin, carbamazepin, phenobarbital), bør undgås, idet kombinationen resulterer i reducerede plasmakoncentrationer af aprepitant. Dette kan nedsætte virkningen af Aprepitant "Stada". </w:t>
      </w:r>
    </w:p>
    <w:p w:rsidR="00E34947" w:rsidRPr="00E34947" w:rsidRDefault="00E34947" w:rsidP="00E34947">
      <w:pPr>
        <w:tabs>
          <w:tab w:val="left" w:pos="851"/>
        </w:tabs>
        <w:ind w:left="851"/>
        <w:rPr>
          <w:sz w:val="24"/>
          <w:szCs w:val="24"/>
        </w:rPr>
      </w:pPr>
    </w:p>
    <w:p w:rsidR="00E34947" w:rsidRPr="00E34947" w:rsidRDefault="00E34947" w:rsidP="00E34947">
      <w:pPr>
        <w:tabs>
          <w:tab w:val="left" w:pos="851"/>
        </w:tabs>
        <w:ind w:left="851"/>
        <w:rPr>
          <w:sz w:val="24"/>
          <w:szCs w:val="24"/>
        </w:rPr>
      </w:pPr>
      <w:r w:rsidRPr="00E34947">
        <w:rPr>
          <w:sz w:val="24"/>
          <w:szCs w:val="24"/>
        </w:rPr>
        <w:t>Aprepitant "Stada" og naturlægemidler med perikon (</w:t>
      </w:r>
      <w:r w:rsidRPr="00E34947">
        <w:rPr>
          <w:i/>
          <w:sz w:val="24"/>
          <w:szCs w:val="24"/>
        </w:rPr>
        <w:t>Hypericum perforatum</w:t>
      </w:r>
      <w:r w:rsidRPr="00E34947">
        <w:rPr>
          <w:sz w:val="24"/>
          <w:szCs w:val="24"/>
        </w:rPr>
        <w:t>), bør ikke administreres samtidigt.</w:t>
      </w:r>
    </w:p>
    <w:p w:rsidR="00E34947" w:rsidRPr="00E34947" w:rsidRDefault="00E34947" w:rsidP="00E34947">
      <w:pPr>
        <w:tabs>
          <w:tab w:val="left" w:pos="851"/>
        </w:tabs>
        <w:ind w:left="851"/>
        <w:rPr>
          <w:sz w:val="24"/>
          <w:szCs w:val="24"/>
        </w:rPr>
      </w:pPr>
    </w:p>
    <w:p w:rsidR="00E34947" w:rsidRPr="0001790C" w:rsidRDefault="00E34947" w:rsidP="00E34947">
      <w:pPr>
        <w:tabs>
          <w:tab w:val="left" w:pos="851"/>
        </w:tabs>
        <w:ind w:left="851"/>
        <w:rPr>
          <w:sz w:val="24"/>
          <w:szCs w:val="24"/>
          <w:u w:val="single"/>
        </w:rPr>
      </w:pPr>
      <w:r w:rsidRPr="0001790C">
        <w:rPr>
          <w:sz w:val="24"/>
          <w:szCs w:val="24"/>
          <w:u w:val="single"/>
        </w:rPr>
        <w:t xml:space="preserve">Ketoconazol </w:t>
      </w:r>
    </w:p>
    <w:p w:rsidR="00E34947" w:rsidRPr="00E34947" w:rsidRDefault="00E34947" w:rsidP="00E34947">
      <w:pPr>
        <w:tabs>
          <w:tab w:val="left" w:pos="851"/>
        </w:tabs>
        <w:ind w:left="851"/>
        <w:rPr>
          <w:sz w:val="24"/>
          <w:szCs w:val="24"/>
        </w:rPr>
      </w:pPr>
      <w:r w:rsidRPr="00E34947">
        <w:rPr>
          <w:sz w:val="24"/>
          <w:szCs w:val="24"/>
        </w:rPr>
        <w:t xml:space="preserve">Når en enkelt 125 mg dosis af aprepitant administreredes på dag 5 af et 10-dages behandlingsregime med 400 mg/dag ketoconazol, der er en stærk CYP3A4-hæmmer, </w:t>
      </w:r>
      <w:r w:rsidRPr="00E34947">
        <w:rPr>
          <w:sz w:val="24"/>
          <w:szCs w:val="24"/>
        </w:rPr>
        <w:lastRenderedPageBreak/>
        <w:t>øgedes AUC for aprepitant ca. 5 gange og aprepitants gennemsnitshalveringstid øgedes ca. 3 gange.</w:t>
      </w:r>
    </w:p>
    <w:p w:rsidR="00E34947" w:rsidRPr="00E34947" w:rsidRDefault="00E34947" w:rsidP="00E34947">
      <w:pPr>
        <w:tabs>
          <w:tab w:val="left" w:pos="851"/>
        </w:tabs>
        <w:ind w:left="851"/>
        <w:rPr>
          <w:sz w:val="24"/>
          <w:szCs w:val="24"/>
        </w:rPr>
      </w:pPr>
    </w:p>
    <w:p w:rsidR="00E34947" w:rsidRPr="0001790C" w:rsidRDefault="00E34947" w:rsidP="00E34947">
      <w:pPr>
        <w:tabs>
          <w:tab w:val="left" w:pos="851"/>
        </w:tabs>
        <w:ind w:left="851"/>
        <w:rPr>
          <w:sz w:val="24"/>
          <w:szCs w:val="24"/>
          <w:u w:val="single"/>
        </w:rPr>
      </w:pPr>
      <w:r w:rsidRPr="0001790C">
        <w:rPr>
          <w:sz w:val="24"/>
          <w:szCs w:val="24"/>
          <w:u w:val="single"/>
        </w:rPr>
        <w:t xml:space="preserve">Rifampicin </w:t>
      </w:r>
    </w:p>
    <w:p w:rsidR="00E34947" w:rsidRPr="00E34947" w:rsidRDefault="00E34947" w:rsidP="00E34947">
      <w:pPr>
        <w:tabs>
          <w:tab w:val="left" w:pos="851"/>
        </w:tabs>
        <w:ind w:left="851"/>
        <w:rPr>
          <w:sz w:val="24"/>
          <w:szCs w:val="24"/>
        </w:rPr>
      </w:pPr>
      <w:r w:rsidRPr="00E34947">
        <w:rPr>
          <w:sz w:val="24"/>
          <w:szCs w:val="24"/>
        </w:rPr>
        <w:t>Når en enkelt 375 mg dosis af aprepitant administreredes på dag 9 i et 14-dages behandlingsregime med 600 mg/dag rifampicin, der er en stærk CYP3A4-inducer, faldt AUC for aprepitant med 91 % og gennemsnitshalveringstiden faldt med 68 %.</w:t>
      </w:r>
    </w:p>
    <w:p w:rsidR="00E34947" w:rsidRPr="00E34947" w:rsidRDefault="00E34947" w:rsidP="00E34947">
      <w:pPr>
        <w:tabs>
          <w:tab w:val="left" w:pos="851"/>
        </w:tabs>
        <w:ind w:left="851"/>
        <w:rPr>
          <w:sz w:val="24"/>
          <w:szCs w:val="24"/>
        </w:rPr>
      </w:pPr>
    </w:p>
    <w:p w:rsidR="00E34947" w:rsidRPr="0001790C" w:rsidRDefault="00E34947" w:rsidP="00E34947">
      <w:pPr>
        <w:tabs>
          <w:tab w:val="left" w:pos="851"/>
        </w:tabs>
        <w:ind w:left="851"/>
        <w:rPr>
          <w:b/>
          <w:sz w:val="24"/>
          <w:szCs w:val="24"/>
        </w:rPr>
      </w:pPr>
      <w:r w:rsidRPr="0001790C">
        <w:rPr>
          <w:b/>
          <w:sz w:val="24"/>
          <w:szCs w:val="24"/>
        </w:rPr>
        <w:t xml:space="preserve">Pædiatrisk population </w:t>
      </w:r>
    </w:p>
    <w:p w:rsidR="00E34947" w:rsidRPr="00E34947" w:rsidRDefault="00E34947" w:rsidP="00E34947">
      <w:pPr>
        <w:tabs>
          <w:tab w:val="left" w:pos="851"/>
        </w:tabs>
        <w:ind w:left="851"/>
        <w:rPr>
          <w:sz w:val="24"/>
          <w:szCs w:val="24"/>
        </w:rPr>
      </w:pPr>
      <w:r w:rsidRPr="00E34947">
        <w:rPr>
          <w:sz w:val="24"/>
          <w:szCs w:val="24"/>
        </w:rPr>
        <w:t>Interaktionsstudier er kun udført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846499" w:rsidRPr="00846499" w:rsidRDefault="00846499" w:rsidP="00846499">
      <w:pPr>
        <w:tabs>
          <w:tab w:val="left" w:pos="851"/>
        </w:tabs>
        <w:ind w:left="851"/>
        <w:rPr>
          <w:i/>
          <w:sz w:val="24"/>
          <w:szCs w:val="24"/>
        </w:rPr>
      </w:pPr>
    </w:p>
    <w:p w:rsidR="00846499" w:rsidRPr="00E54521" w:rsidRDefault="00846499" w:rsidP="00846499">
      <w:pPr>
        <w:tabs>
          <w:tab w:val="left" w:pos="851"/>
        </w:tabs>
        <w:ind w:left="851"/>
        <w:rPr>
          <w:sz w:val="24"/>
          <w:szCs w:val="24"/>
          <w:u w:val="single"/>
        </w:rPr>
      </w:pPr>
      <w:r w:rsidRPr="00E54521">
        <w:rPr>
          <w:sz w:val="24"/>
          <w:szCs w:val="24"/>
          <w:u w:val="single"/>
        </w:rPr>
        <w:t xml:space="preserve">Kontraception hos mænd og kvinder </w:t>
      </w:r>
    </w:p>
    <w:p w:rsidR="00846499" w:rsidRPr="00846499" w:rsidRDefault="00846499" w:rsidP="00846499">
      <w:pPr>
        <w:tabs>
          <w:tab w:val="left" w:pos="851"/>
        </w:tabs>
        <w:ind w:left="851"/>
        <w:rPr>
          <w:sz w:val="24"/>
          <w:szCs w:val="24"/>
        </w:rPr>
      </w:pPr>
      <w:r w:rsidRPr="00846499">
        <w:rPr>
          <w:sz w:val="24"/>
          <w:szCs w:val="24"/>
        </w:rPr>
        <w:t>Virkningen af hormonale kontraceptiva kan være nedsat under behandling og i 28 dage efter administration af Aprepitant "Stada". Alternative ikke-hormonale back-up kontraceptionsmetoder bør anvendes under behandling med Aprepitant "Stada" og i 2 måneder efter den sidste Aprepitant "Stada"-dosis (se pkt. 4.4 og 4.5).</w:t>
      </w:r>
    </w:p>
    <w:p w:rsidR="00846499" w:rsidRPr="00846499" w:rsidRDefault="00846499" w:rsidP="00846499">
      <w:pPr>
        <w:tabs>
          <w:tab w:val="left" w:pos="851"/>
        </w:tabs>
        <w:ind w:left="851"/>
        <w:rPr>
          <w:sz w:val="24"/>
          <w:szCs w:val="24"/>
        </w:rPr>
      </w:pPr>
    </w:p>
    <w:p w:rsidR="00846499" w:rsidRPr="00846499" w:rsidRDefault="00E54521" w:rsidP="00846499">
      <w:pPr>
        <w:tabs>
          <w:tab w:val="left" w:pos="851"/>
        </w:tabs>
        <w:ind w:left="851"/>
        <w:rPr>
          <w:sz w:val="24"/>
          <w:szCs w:val="24"/>
          <w:u w:val="single"/>
        </w:rPr>
      </w:pPr>
      <w:r>
        <w:rPr>
          <w:sz w:val="24"/>
          <w:szCs w:val="24"/>
          <w:u w:val="single"/>
        </w:rPr>
        <w:t>Graviditet</w:t>
      </w:r>
    </w:p>
    <w:p w:rsidR="00846499" w:rsidRPr="00846499" w:rsidRDefault="00846499" w:rsidP="00846499">
      <w:pPr>
        <w:tabs>
          <w:tab w:val="left" w:pos="851"/>
        </w:tabs>
        <w:ind w:left="851"/>
        <w:rPr>
          <w:sz w:val="24"/>
          <w:szCs w:val="24"/>
        </w:rPr>
      </w:pPr>
      <w:r w:rsidRPr="00846499">
        <w:rPr>
          <w:sz w:val="24"/>
          <w:szCs w:val="24"/>
        </w:rPr>
        <w:t>Der er for aprepitant ingen kliniske data vedrørende eksponerede graviditeter. Risikoen for reproduktionstoksicitet på grund af aprepitant er ikke tilstrækkeligt belyst, idet der i dyreundersøgelser ikke kunne opnås resultater for eksponering over terapeutiske doser til mennesker med 125 mg+80  mg dosering. Disse undersøgelser indikerer hverken direkte eller indirekte skadelige virkninger med hensyn til graviditet, embryonal-/føtaludvikling, fødsel eller postnatal udvikling (se pkt. 5.3). Den mulige virkning på reproduktion af forandringer i neurokininregulering er ikke kendt. Aprepitant "Stada" bør ikke anvendes under graviditet, med mindre det er klart nødvendigt.</w:t>
      </w:r>
    </w:p>
    <w:p w:rsidR="00846499" w:rsidRPr="00846499" w:rsidRDefault="00846499" w:rsidP="00846499">
      <w:pPr>
        <w:tabs>
          <w:tab w:val="left" w:pos="851"/>
        </w:tabs>
        <w:ind w:left="851"/>
        <w:rPr>
          <w:sz w:val="24"/>
          <w:szCs w:val="24"/>
        </w:rPr>
      </w:pPr>
    </w:p>
    <w:p w:rsidR="00846499" w:rsidRPr="00846499" w:rsidRDefault="00E54521" w:rsidP="00846499">
      <w:pPr>
        <w:tabs>
          <w:tab w:val="left" w:pos="851"/>
        </w:tabs>
        <w:ind w:left="851"/>
        <w:rPr>
          <w:sz w:val="24"/>
          <w:szCs w:val="24"/>
          <w:u w:val="single"/>
        </w:rPr>
      </w:pPr>
      <w:r>
        <w:rPr>
          <w:sz w:val="24"/>
          <w:szCs w:val="24"/>
          <w:u w:val="single"/>
        </w:rPr>
        <w:t>Amning</w:t>
      </w:r>
    </w:p>
    <w:p w:rsidR="00846499" w:rsidRPr="00846499" w:rsidRDefault="00846499" w:rsidP="00846499">
      <w:pPr>
        <w:tabs>
          <w:tab w:val="left" w:pos="851"/>
        </w:tabs>
        <w:ind w:left="851"/>
        <w:rPr>
          <w:sz w:val="24"/>
          <w:szCs w:val="24"/>
        </w:rPr>
      </w:pPr>
      <w:r w:rsidRPr="00846499">
        <w:rPr>
          <w:sz w:val="24"/>
          <w:szCs w:val="24"/>
        </w:rPr>
        <w:t>Aprepitant udskilles i mælken hos diegivende rotter. Det vides ikke, om aprepitant udskilles i human modermælk. Derfor bør man ikke amme under behandling med Aprepitant "Stada".</w:t>
      </w:r>
    </w:p>
    <w:p w:rsidR="00846499" w:rsidRPr="00846499" w:rsidRDefault="00846499" w:rsidP="00846499">
      <w:pPr>
        <w:tabs>
          <w:tab w:val="left" w:pos="851"/>
        </w:tabs>
        <w:ind w:left="851"/>
        <w:rPr>
          <w:sz w:val="24"/>
          <w:szCs w:val="24"/>
        </w:rPr>
      </w:pPr>
    </w:p>
    <w:p w:rsidR="00846499" w:rsidRPr="00846499" w:rsidRDefault="00E54521" w:rsidP="00846499">
      <w:pPr>
        <w:tabs>
          <w:tab w:val="left" w:pos="851"/>
        </w:tabs>
        <w:ind w:left="851"/>
        <w:rPr>
          <w:sz w:val="24"/>
          <w:szCs w:val="24"/>
          <w:u w:val="single"/>
        </w:rPr>
      </w:pPr>
      <w:r>
        <w:rPr>
          <w:sz w:val="24"/>
          <w:szCs w:val="24"/>
          <w:u w:val="single"/>
        </w:rPr>
        <w:t>Fertilitet</w:t>
      </w:r>
    </w:p>
    <w:p w:rsidR="00846499" w:rsidRPr="00846499" w:rsidRDefault="00846499" w:rsidP="00846499">
      <w:pPr>
        <w:tabs>
          <w:tab w:val="left" w:pos="851"/>
        </w:tabs>
        <w:ind w:left="851"/>
        <w:rPr>
          <w:sz w:val="24"/>
          <w:szCs w:val="24"/>
        </w:rPr>
      </w:pPr>
      <w:r w:rsidRPr="00846499">
        <w:rPr>
          <w:sz w:val="24"/>
          <w:szCs w:val="24"/>
        </w:rPr>
        <w:t>Risikoen for indvirkning af aprepitant på fertilitet er ikke tilstrækkeligt belyst, idet der i dyreforsøg ikke kunne opnås resultater for eksponering over terapeutiske doser til mennesker. Disse fertilitetsstudier viste ingen direkte eller indirekte skadelige virkninger med hensyn til parringsaktivitet, fertilitet, embryonal-/føtaludvikling eller sædkvalitet og motilitet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846499" w:rsidRPr="00846499" w:rsidRDefault="00846499" w:rsidP="00846499">
      <w:pPr>
        <w:tabs>
          <w:tab w:val="left" w:pos="851"/>
        </w:tabs>
        <w:ind w:left="851"/>
        <w:rPr>
          <w:sz w:val="24"/>
          <w:szCs w:val="24"/>
        </w:rPr>
      </w:pPr>
      <w:r w:rsidRPr="00846499">
        <w:rPr>
          <w:sz w:val="24"/>
          <w:szCs w:val="24"/>
        </w:rPr>
        <w:t>Ikke mærkning</w:t>
      </w:r>
    </w:p>
    <w:p w:rsidR="00846499" w:rsidRPr="00846499" w:rsidRDefault="00846499" w:rsidP="00846499">
      <w:pPr>
        <w:tabs>
          <w:tab w:val="left" w:pos="851"/>
        </w:tabs>
        <w:ind w:left="851"/>
        <w:rPr>
          <w:sz w:val="24"/>
          <w:szCs w:val="24"/>
        </w:rPr>
      </w:pPr>
      <w:r w:rsidRPr="00846499">
        <w:rPr>
          <w:sz w:val="24"/>
          <w:szCs w:val="24"/>
        </w:rPr>
        <w:t>Aprepitant "Stada" kan have en mindre indvirkning på evnen til at køre bil, cykle og betjene maskiner. Svimmelhed og træthed kan forekomme efter administration af Aprepitant "Stada" (se pkt. 4.8).</w:t>
      </w:r>
    </w:p>
    <w:p w:rsidR="00E54521" w:rsidRDefault="00E5452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846499" w:rsidRPr="00846499" w:rsidRDefault="00846499" w:rsidP="00846499">
      <w:pPr>
        <w:pStyle w:val="Sidehoved"/>
        <w:tabs>
          <w:tab w:val="left" w:pos="851"/>
        </w:tabs>
        <w:ind w:left="851"/>
        <w:rPr>
          <w:szCs w:val="24"/>
        </w:rPr>
      </w:pPr>
    </w:p>
    <w:p w:rsidR="00846499" w:rsidRPr="00846499" w:rsidRDefault="00846499" w:rsidP="00846499">
      <w:pPr>
        <w:pStyle w:val="Sidehoved"/>
        <w:tabs>
          <w:tab w:val="left" w:pos="851"/>
        </w:tabs>
        <w:ind w:left="851"/>
        <w:rPr>
          <w:szCs w:val="24"/>
          <w:u w:val="single"/>
        </w:rPr>
      </w:pPr>
      <w:r w:rsidRPr="00846499">
        <w:rPr>
          <w:szCs w:val="24"/>
          <w:u w:val="single"/>
        </w:rPr>
        <w:t xml:space="preserve">Opsummering af sikkerhedsprofilen </w:t>
      </w:r>
    </w:p>
    <w:p w:rsidR="00846499" w:rsidRPr="00846499" w:rsidRDefault="00846499" w:rsidP="00846499">
      <w:pPr>
        <w:pStyle w:val="Sidehoved"/>
        <w:tabs>
          <w:tab w:val="left" w:pos="851"/>
        </w:tabs>
        <w:ind w:left="851"/>
        <w:rPr>
          <w:szCs w:val="24"/>
        </w:rPr>
      </w:pPr>
      <w:r w:rsidRPr="00846499">
        <w:rPr>
          <w:szCs w:val="24"/>
        </w:rPr>
        <w:t>Sikkerhedsprofilen for aprepitant blev undersøgt hos ca. 6.500 voksne i flere end 50 studier og 184 børn og unge i 2 betydningsfulde kliniske studier med pædiatriske patienter.</w:t>
      </w:r>
    </w:p>
    <w:p w:rsidR="00846499" w:rsidRPr="00846499" w:rsidRDefault="00846499" w:rsidP="00846499">
      <w:pPr>
        <w:pStyle w:val="Sidehoved"/>
        <w:tabs>
          <w:tab w:val="left" w:pos="851"/>
        </w:tabs>
        <w:ind w:left="851"/>
        <w:rPr>
          <w:szCs w:val="24"/>
        </w:rPr>
      </w:pPr>
    </w:p>
    <w:p w:rsidR="00846499" w:rsidRPr="00846499" w:rsidRDefault="00846499" w:rsidP="00846499">
      <w:pPr>
        <w:pStyle w:val="Sidehoved"/>
        <w:tabs>
          <w:tab w:val="left" w:pos="851"/>
        </w:tabs>
        <w:ind w:left="851"/>
        <w:rPr>
          <w:szCs w:val="24"/>
        </w:rPr>
      </w:pPr>
      <w:r w:rsidRPr="00846499">
        <w:rPr>
          <w:szCs w:val="24"/>
        </w:rPr>
        <w:t>De almindeligste bivirkninger, som blev rapporteret med større incidens hos voksne behandlet med aprepitant end hos voksne i standardbehandling med Højemetogen kemoterapibehandling (HEC) var: Hikke (4,6 % mod 2,9 %), forhøjet alanin aminotransferase (ALAT) (2,8 % mod 1,1 %), dyspepsi (2,6% mod 2,0%), obstipation (2,4 % mod 2,0 %), hovedpine (2,0 % mod 1,8 %) og nedsat appetit (2,0 % mod 0,5 %). Den mest almindelige bivirkning, som blev rapporteret med største incidens hos patienter behandlet med aprepitant, end patienter i standardbehandling med Moderat emetogen kemoterapibehandling (MEC) var træthed (1,4 % mod 0,9 %).</w:t>
      </w:r>
    </w:p>
    <w:p w:rsidR="00846499" w:rsidRPr="00846499" w:rsidRDefault="00846499" w:rsidP="00846499">
      <w:pPr>
        <w:pStyle w:val="Sidehoved"/>
        <w:tabs>
          <w:tab w:val="left" w:pos="851"/>
        </w:tabs>
        <w:ind w:left="851"/>
        <w:rPr>
          <w:szCs w:val="24"/>
        </w:rPr>
      </w:pPr>
    </w:p>
    <w:p w:rsidR="00846499" w:rsidRPr="00846499" w:rsidRDefault="00846499" w:rsidP="00846499">
      <w:pPr>
        <w:pStyle w:val="Sidehoved"/>
        <w:tabs>
          <w:tab w:val="left" w:pos="851"/>
        </w:tabs>
        <w:ind w:left="851"/>
        <w:rPr>
          <w:szCs w:val="24"/>
        </w:rPr>
      </w:pPr>
      <w:r w:rsidRPr="00846499">
        <w:rPr>
          <w:szCs w:val="24"/>
        </w:rPr>
        <w:t>De hyppigst forekomne bivirkninger, som blev rapporteret med højere incidens hos pædiatriske patienter i aprepitantbehandling end ved kontrolbehandling hos de pædiatriske patienter, mens de fik emetogen cancerkemoterapi, var hikke (3,3 % versus 0,0 %) og ansigtsrødme (1,1 % versus 0,0 %).</w:t>
      </w:r>
    </w:p>
    <w:p w:rsidR="00846499" w:rsidRPr="00846499" w:rsidRDefault="00846499" w:rsidP="00846499">
      <w:pPr>
        <w:pStyle w:val="Sidehoved"/>
        <w:tabs>
          <w:tab w:val="left" w:pos="851"/>
        </w:tabs>
        <w:ind w:left="851"/>
        <w:rPr>
          <w:szCs w:val="24"/>
        </w:rPr>
      </w:pPr>
    </w:p>
    <w:p w:rsidR="00846499" w:rsidRPr="00846499" w:rsidRDefault="00846499" w:rsidP="00846499">
      <w:pPr>
        <w:pStyle w:val="Sidehoved"/>
        <w:tabs>
          <w:tab w:val="left" w:pos="851"/>
        </w:tabs>
        <w:ind w:left="851"/>
        <w:rPr>
          <w:szCs w:val="24"/>
          <w:u w:val="single"/>
        </w:rPr>
      </w:pPr>
      <w:r w:rsidRPr="00846499">
        <w:rPr>
          <w:szCs w:val="24"/>
          <w:u w:val="single"/>
        </w:rPr>
        <w:t xml:space="preserve">Bivirkningstabel </w:t>
      </w:r>
    </w:p>
    <w:p w:rsidR="00846499" w:rsidRPr="00846499" w:rsidRDefault="00846499" w:rsidP="00846499">
      <w:pPr>
        <w:pStyle w:val="Sidehoved"/>
        <w:tabs>
          <w:tab w:val="left" w:pos="851"/>
        </w:tabs>
        <w:ind w:left="851"/>
        <w:rPr>
          <w:szCs w:val="24"/>
        </w:rPr>
      </w:pPr>
      <w:r w:rsidRPr="00846499">
        <w:rPr>
          <w:szCs w:val="24"/>
        </w:rPr>
        <w:t>Følgende bivirkninger blev observeret i en poolet analyse af HEC- og MEC-studier med en højere incidens med aprepitant end med standardbehandling hos voksne eller pædiatriske patienter eller ved anvendelse efter markedsføring. Frekvenskategorierne, der er angivet i tabellen, er baseret på studier med voksne; de frekvenser, som blev observeret i studierne med pædiatriske patienter, var sammelignelige eller lavere, medmindre det er angivet i tabellen. Nogle mindre almindelige bivirkninger i den voksne population blev ikke observeret i de pædiatriske studier.</w:t>
      </w:r>
    </w:p>
    <w:p w:rsidR="00846499" w:rsidRPr="00846499" w:rsidRDefault="00846499" w:rsidP="00846499">
      <w:pPr>
        <w:pStyle w:val="Sidehoved"/>
        <w:tabs>
          <w:tab w:val="left" w:pos="851"/>
        </w:tabs>
        <w:ind w:left="851"/>
        <w:rPr>
          <w:szCs w:val="24"/>
        </w:rPr>
      </w:pPr>
    </w:p>
    <w:p w:rsidR="00846499" w:rsidRPr="00846499" w:rsidRDefault="00846499" w:rsidP="00846499">
      <w:pPr>
        <w:pStyle w:val="Sidehoved"/>
        <w:tabs>
          <w:tab w:val="left" w:pos="851"/>
        </w:tabs>
        <w:ind w:left="851"/>
        <w:rPr>
          <w:szCs w:val="24"/>
        </w:rPr>
      </w:pPr>
      <w:r w:rsidRPr="00846499">
        <w:rPr>
          <w:szCs w:val="24"/>
        </w:rPr>
        <w:t>Frekvenser defineres som: Meget almindelig (≥1/10); Almindelig (≥1/100 til &lt; 1/10): Ikke almindelig (≥1/1.000 til &lt; 1/100); Sjælden (≥1/10.000 til &lt; 1/1.000) og Meget sjælden (&lt; 1/10.000), ikke kendt (kan ikke estimeres ud fra forhåndenværende data).</w:t>
      </w:r>
    </w:p>
    <w:p w:rsidR="009260DE" w:rsidRDefault="009260DE" w:rsidP="009260DE">
      <w:pPr>
        <w:pStyle w:val="Sidehoved"/>
        <w:tabs>
          <w:tab w:val="left" w:pos="851"/>
        </w:tabs>
        <w:ind w:left="851"/>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875"/>
        <w:gridCol w:w="2001"/>
      </w:tblGrid>
      <w:tr w:rsidR="00846499" w:rsidRPr="0043433B" w:rsidTr="00A64291">
        <w:trPr>
          <w:jc w:val="center"/>
        </w:trPr>
        <w:tc>
          <w:tcPr>
            <w:tcW w:w="2757" w:type="dxa"/>
            <w:shd w:val="clear" w:color="auto" w:fill="auto"/>
          </w:tcPr>
          <w:p w:rsidR="00846499" w:rsidRDefault="00846499" w:rsidP="00A64291">
            <w:pPr>
              <w:rPr>
                <w:b/>
              </w:rPr>
            </w:pPr>
            <w:r w:rsidRPr="00552277">
              <w:rPr>
                <w:b/>
              </w:rPr>
              <w:t>Syste</w:t>
            </w:r>
            <w:r w:rsidR="00594BA9">
              <w:rPr>
                <w:b/>
              </w:rPr>
              <w:t>morganklasse</w:t>
            </w:r>
          </w:p>
          <w:p w:rsidR="0009432E" w:rsidRPr="00552277" w:rsidRDefault="0009432E" w:rsidP="00A64291">
            <w:pPr>
              <w:rPr>
                <w:b/>
              </w:rPr>
            </w:pPr>
          </w:p>
        </w:tc>
        <w:tc>
          <w:tcPr>
            <w:tcW w:w="3875" w:type="dxa"/>
            <w:shd w:val="clear" w:color="auto" w:fill="auto"/>
          </w:tcPr>
          <w:p w:rsidR="00846499" w:rsidRPr="00552277" w:rsidRDefault="00846499" w:rsidP="0009432E">
            <w:pPr>
              <w:rPr>
                <w:b/>
              </w:rPr>
            </w:pPr>
            <w:r w:rsidRPr="00552277">
              <w:rPr>
                <w:b/>
              </w:rPr>
              <w:t>Bivirkning</w:t>
            </w:r>
          </w:p>
        </w:tc>
        <w:tc>
          <w:tcPr>
            <w:tcW w:w="2001" w:type="dxa"/>
            <w:shd w:val="clear" w:color="auto" w:fill="auto"/>
          </w:tcPr>
          <w:p w:rsidR="00846499" w:rsidRPr="00552277" w:rsidRDefault="00846499" w:rsidP="0009432E">
            <w:pPr>
              <w:rPr>
                <w:b/>
              </w:rPr>
            </w:pPr>
            <w:r w:rsidRPr="00552277">
              <w:rPr>
                <w:b/>
              </w:rPr>
              <w:t>Frekvens</w:t>
            </w:r>
          </w:p>
        </w:tc>
      </w:tr>
      <w:tr w:rsidR="00846499" w:rsidRPr="0043433B" w:rsidTr="00A64291">
        <w:trPr>
          <w:jc w:val="center"/>
        </w:trPr>
        <w:tc>
          <w:tcPr>
            <w:tcW w:w="2757" w:type="dxa"/>
            <w:shd w:val="clear" w:color="auto" w:fill="auto"/>
          </w:tcPr>
          <w:p w:rsidR="00846499" w:rsidRPr="0043433B" w:rsidRDefault="00846499" w:rsidP="00A64291">
            <w:pPr>
              <w:rPr>
                <w:szCs w:val="22"/>
              </w:rPr>
            </w:pPr>
            <w:r>
              <w:t>Infektioner og parasitære sygdomme</w:t>
            </w:r>
          </w:p>
        </w:tc>
        <w:tc>
          <w:tcPr>
            <w:tcW w:w="3875" w:type="dxa"/>
            <w:shd w:val="clear" w:color="auto" w:fill="auto"/>
          </w:tcPr>
          <w:p w:rsidR="00846499" w:rsidRPr="0043433B" w:rsidRDefault="00846499" w:rsidP="00A64291">
            <w:pPr>
              <w:rPr>
                <w:szCs w:val="22"/>
              </w:rPr>
            </w:pPr>
            <w:r>
              <w:t>Candidiasis, stafylokokinfektion</w:t>
            </w:r>
          </w:p>
        </w:tc>
        <w:tc>
          <w:tcPr>
            <w:tcW w:w="2001" w:type="dxa"/>
            <w:shd w:val="clear" w:color="auto" w:fill="auto"/>
          </w:tcPr>
          <w:p w:rsidR="00846499" w:rsidRPr="0043433B" w:rsidRDefault="00846499" w:rsidP="0009432E">
            <w:pPr>
              <w:rPr>
                <w:szCs w:val="22"/>
              </w:rPr>
            </w:pPr>
            <w:r>
              <w:t>Sjælden</w:t>
            </w:r>
          </w:p>
        </w:tc>
      </w:tr>
      <w:tr w:rsidR="00846499" w:rsidRPr="0043433B" w:rsidTr="00A64291">
        <w:trPr>
          <w:jc w:val="center"/>
        </w:trPr>
        <w:tc>
          <w:tcPr>
            <w:tcW w:w="2757" w:type="dxa"/>
            <w:shd w:val="clear" w:color="auto" w:fill="auto"/>
          </w:tcPr>
          <w:p w:rsidR="00846499" w:rsidRPr="00552277" w:rsidRDefault="00846499" w:rsidP="00A64291">
            <w:pPr>
              <w:rPr>
                <w:szCs w:val="22"/>
                <w:lang w:val="en-US"/>
              </w:rPr>
            </w:pPr>
            <w:r>
              <w:t>Blod og lymfesystem</w:t>
            </w:r>
          </w:p>
        </w:tc>
        <w:tc>
          <w:tcPr>
            <w:tcW w:w="3875" w:type="dxa"/>
            <w:shd w:val="clear" w:color="auto" w:fill="auto"/>
          </w:tcPr>
          <w:p w:rsidR="00846499" w:rsidRPr="0043433B" w:rsidRDefault="00846499" w:rsidP="00A64291">
            <w:pPr>
              <w:rPr>
                <w:szCs w:val="22"/>
              </w:rPr>
            </w:pPr>
            <w:r>
              <w:t>Febril neutropeni, anæmi</w:t>
            </w:r>
          </w:p>
        </w:tc>
        <w:tc>
          <w:tcPr>
            <w:tcW w:w="2001" w:type="dxa"/>
            <w:shd w:val="clear" w:color="auto" w:fill="auto"/>
          </w:tcPr>
          <w:p w:rsidR="00846499" w:rsidRPr="0043433B" w:rsidRDefault="00846499" w:rsidP="0009432E">
            <w:pPr>
              <w:rPr>
                <w:szCs w:val="22"/>
              </w:rPr>
            </w:pPr>
            <w:r>
              <w:t>Ikke almindelig</w:t>
            </w:r>
          </w:p>
        </w:tc>
      </w:tr>
      <w:tr w:rsidR="00846499" w:rsidRPr="0043433B" w:rsidTr="00A64291">
        <w:trPr>
          <w:jc w:val="center"/>
        </w:trPr>
        <w:tc>
          <w:tcPr>
            <w:tcW w:w="2757" w:type="dxa"/>
            <w:shd w:val="clear" w:color="auto" w:fill="auto"/>
          </w:tcPr>
          <w:p w:rsidR="00846499" w:rsidRPr="0043433B" w:rsidRDefault="00846499" w:rsidP="00A64291">
            <w:pPr>
              <w:rPr>
                <w:szCs w:val="22"/>
              </w:rPr>
            </w:pPr>
            <w:r>
              <w:t>Immunsystemet</w:t>
            </w:r>
          </w:p>
        </w:tc>
        <w:tc>
          <w:tcPr>
            <w:tcW w:w="3875" w:type="dxa"/>
            <w:shd w:val="clear" w:color="auto" w:fill="auto"/>
          </w:tcPr>
          <w:p w:rsidR="00846499" w:rsidRPr="00552277" w:rsidRDefault="00846499" w:rsidP="00A64291">
            <w:pPr>
              <w:rPr>
                <w:szCs w:val="22"/>
                <w:lang w:val="en-US"/>
              </w:rPr>
            </w:pPr>
            <w:r>
              <w:t>Overfølsomhedsreaktioner inklusive anafylaktiske reaktioner</w:t>
            </w:r>
          </w:p>
        </w:tc>
        <w:tc>
          <w:tcPr>
            <w:tcW w:w="2001" w:type="dxa"/>
            <w:shd w:val="clear" w:color="auto" w:fill="auto"/>
          </w:tcPr>
          <w:p w:rsidR="00846499" w:rsidRPr="0043433B" w:rsidRDefault="00846499" w:rsidP="0009432E">
            <w:pPr>
              <w:rPr>
                <w:szCs w:val="22"/>
              </w:rPr>
            </w:pPr>
            <w:r>
              <w:t>Ikke kendt</w:t>
            </w:r>
          </w:p>
        </w:tc>
      </w:tr>
      <w:tr w:rsidR="00846499" w:rsidRPr="0043433B" w:rsidTr="00A64291">
        <w:trPr>
          <w:jc w:val="center"/>
        </w:trPr>
        <w:tc>
          <w:tcPr>
            <w:tcW w:w="2757" w:type="dxa"/>
            <w:vMerge w:val="restart"/>
            <w:shd w:val="clear" w:color="auto" w:fill="auto"/>
          </w:tcPr>
          <w:p w:rsidR="00846499" w:rsidRPr="0043433B" w:rsidRDefault="00846499" w:rsidP="00A64291">
            <w:pPr>
              <w:rPr>
                <w:szCs w:val="22"/>
              </w:rPr>
            </w:pPr>
            <w:r>
              <w:t>Metabolisme og ernæring</w:t>
            </w:r>
          </w:p>
        </w:tc>
        <w:tc>
          <w:tcPr>
            <w:tcW w:w="3875" w:type="dxa"/>
            <w:shd w:val="clear" w:color="auto" w:fill="auto"/>
          </w:tcPr>
          <w:p w:rsidR="00846499" w:rsidRPr="0043433B" w:rsidRDefault="00846499" w:rsidP="00A64291">
            <w:pPr>
              <w:rPr>
                <w:szCs w:val="22"/>
              </w:rPr>
            </w:pPr>
            <w:r>
              <w:t>Nedsat appetit</w:t>
            </w:r>
          </w:p>
        </w:tc>
        <w:tc>
          <w:tcPr>
            <w:tcW w:w="2001" w:type="dxa"/>
            <w:shd w:val="clear" w:color="auto" w:fill="auto"/>
          </w:tcPr>
          <w:p w:rsidR="00846499" w:rsidRPr="0043433B" w:rsidRDefault="00846499" w:rsidP="0009432E">
            <w:pPr>
              <w:rPr>
                <w:szCs w:val="22"/>
              </w:rPr>
            </w:pPr>
            <w:r>
              <w:t>Almindelig</w:t>
            </w:r>
          </w:p>
        </w:tc>
      </w:tr>
      <w:tr w:rsidR="00846499" w:rsidRPr="0043433B" w:rsidTr="00A64291">
        <w:trPr>
          <w:jc w:val="center"/>
        </w:trPr>
        <w:tc>
          <w:tcPr>
            <w:tcW w:w="2757" w:type="dxa"/>
            <w:vMerge/>
            <w:shd w:val="clear" w:color="auto" w:fill="auto"/>
          </w:tcPr>
          <w:p w:rsidR="00846499" w:rsidRPr="00A950B3" w:rsidRDefault="00846499" w:rsidP="00A64291">
            <w:pPr>
              <w:rPr>
                <w:szCs w:val="22"/>
              </w:rPr>
            </w:pPr>
          </w:p>
        </w:tc>
        <w:tc>
          <w:tcPr>
            <w:tcW w:w="3875" w:type="dxa"/>
            <w:shd w:val="clear" w:color="auto" w:fill="auto"/>
          </w:tcPr>
          <w:p w:rsidR="00846499" w:rsidRPr="0043433B" w:rsidRDefault="00846499" w:rsidP="00A64291">
            <w:pPr>
              <w:rPr>
                <w:szCs w:val="22"/>
              </w:rPr>
            </w:pPr>
            <w:r>
              <w:t>Polydipsi</w:t>
            </w:r>
          </w:p>
        </w:tc>
        <w:tc>
          <w:tcPr>
            <w:tcW w:w="2001" w:type="dxa"/>
            <w:shd w:val="clear" w:color="auto" w:fill="auto"/>
          </w:tcPr>
          <w:p w:rsidR="00846499" w:rsidRPr="0043433B" w:rsidRDefault="00846499" w:rsidP="0009432E">
            <w:pPr>
              <w:rPr>
                <w:szCs w:val="22"/>
              </w:rPr>
            </w:pPr>
            <w:r>
              <w:t>Sjælden</w:t>
            </w:r>
          </w:p>
        </w:tc>
      </w:tr>
      <w:tr w:rsidR="00846499" w:rsidRPr="0043433B" w:rsidTr="00A64291">
        <w:trPr>
          <w:jc w:val="center"/>
        </w:trPr>
        <w:tc>
          <w:tcPr>
            <w:tcW w:w="2757" w:type="dxa"/>
            <w:vMerge w:val="restart"/>
            <w:shd w:val="clear" w:color="auto" w:fill="auto"/>
          </w:tcPr>
          <w:p w:rsidR="00846499" w:rsidRPr="0043433B" w:rsidRDefault="00846499" w:rsidP="00A64291">
            <w:pPr>
              <w:rPr>
                <w:szCs w:val="22"/>
              </w:rPr>
            </w:pPr>
            <w:r>
              <w:t>Psykiske forstyrrelser</w:t>
            </w:r>
          </w:p>
        </w:tc>
        <w:tc>
          <w:tcPr>
            <w:tcW w:w="3875" w:type="dxa"/>
            <w:shd w:val="clear" w:color="auto" w:fill="auto"/>
          </w:tcPr>
          <w:p w:rsidR="00846499" w:rsidRPr="0043433B" w:rsidRDefault="00846499" w:rsidP="00A64291">
            <w:pPr>
              <w:rPr>
                <w:szCs w:val="22"/>
              </w:rPr>
            </w:pPr>
            <w:r>
              <w:rPr>
                <w:szCs w:val="22"/>
              </w:rPr>
              <w:t>Angst</w:t>
            </w:r>
          </w:p>
        </w:tc>
        <w:tc>
          <w:tcPr>
            <w:tcW w:w="2001" w:type="dxa"/>
            <w:shd w:val="clear" w:color="auto" w:fill="auto"/>
          </w:tcPr>
          <w:p w:rsidR="00846499" w:rsidRPr="0043433B" w:rsidRDefault="00846499" w:rsidP="0009432E">
            <w:pPr>
              <w:rPr>
                <w:szCs w:val="22"/>
              </w:rPr>
            </w:pPr>
            <w:r>
              <w:rPr>
                <w:szCs w:val="22"/>
              </w:rPr>
              <w:t xml:space="preserve">Ikke kendt </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43433B" w:rsidRDefault="00846499" w:rsidP="00A64291">
            <w:pPr>
              <w:rPr>
                <w:szCs w:val="22"/>
              </w:rPr>
            </w:pPr>
            <w:r>
              <w:t>Desorientering, euforisk stemning</w:t>
            </w:r>
          </w:p>
        </w:tc>
        <w:tc>
          <w:tcPr>
            <w:tcW w:w="2001" w:type="dxa"/>
            <w:shd w:val="clear" w:color="auto" w:fill="auto"/>
          </w:tcPr>
          <w:p w:rsidR="00846499" w:rsidRPr="0043433B" w:rsidRDefault="00846499" w:rsidP="0009432E">
            <w:pPr>
              <w:rPr>
                <w:szCs w:val="22"/>
              </w:rPr>
            </w:pPr>
            <w:r>
              <w:rPr>
                <w:szCs w:val="22"/>
              </w:rPr>
              <w:t>Sjælden</w:t>
            </w:r>
          </w:p>
        </w:tc>
      </w:tr>
      <w:tr w:rsidR="00846499" w:rsidRPr="0043433B" w:rsidTr="00A64291">
        <w:trPr>
          <w:jc w:val="center"/>
        </w:trPr>
        <w:tc>
          <w:tcPr>
            <w:tcW w:w="2757" w:type="dxa"/>
            <w:vMerge w:val="restart"/>
            <w:shd w:val="clear" w:color="auto" w:fill="auto"/>
          </w:tcPr>
          <w:p w:rsidR="00846499" w:rsidRPr="0043433B" w:rsidRDefault="00846499" w:rsidP="00A64291">
            <w:pPr>
              <w:rPr>
                <w:szCs w:val="22"/>
              </w:rPr>
            </w:pPr>
            <w:r>
              <w:t>Nervesystemet</w:t>
            </w:r>
          </w:p>
        </w:tc>
        <w:tc>
          <w:tcPr>
            <w:tcW w:w="3875" w:type="dxa"/>
            <w:shd w:val="clear" w:color="auto" w:fill="auto"/>
          </w:tcPr>
          <w:p w:rsidR="00846499" w:rsidRPr="0043433B" w:rsidRDefault="00846499" w:rsidP="00A64291">
            <w:pPr>
              <w:rPr>
                <w:szCs w:val="22"/>
              </w:rPr>
            </w:pPr>
            <w:r>
              <w:t>Hovedpine</w:t>
            </w:r>
          </w:p>
        </w:tc>
        <w:tc>
          <w:tcPr>
            <w:tcW w:w="2001" w:type="dxa"/>
            <w:shd w:val="clear" w:color="auto" w:fill="auto"/>
          </w:tcPr>
          <w:p w:rsidR="00846499" w:rsidRPr="0043433B" w:rsidRDefault="00846499" w:rsidP="0009432E">
            <w:pPr>
              <w:rPr>
                <w:szCs w:val="22"/>
              </w:rPr>
            </w:pPr>
            <w:r>
              <w:rPr>
                <w:szCs w:val="22"/>
              </w:rPr>
              <w:t>Almindelig</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43433B" w:rsidRDefault="00846499" w:rsidP="00A64291">
            <w:pPr>
              <w:rPr>
                <w:szCs w:val="22"/>
              </w:rPr>
            </w:pPr>
            <w:r>
              <w:rPr>
                <w:szCs w:val="22"/>
              </w:rPr>
              <w:t>Svimmelhed, døsighed</w:t>
            </w:r>
          </w:p>
        </w:tc>
        <w:tc>
          <w:tcPr>
            <w:tcW w:w="2001" w:type="dxa"/>
            <w:shd w:val="clear" w:color="auto" w:fill="auto"/>
          </w:tcPr>
          <w:p w:rsidR="00846499" w:rsidRPr="0043433B" w:rsidRDefault="00846499" w:rsidP="0009432E">
            <w:pPr>
              <w:rPr>
                <w:szCs w:val="22"/>
              </w:rPr>
            </w:pPr>
            <w:r>
              <w:rPr>
                <w:szCs w:val="22"/>
              </w:rPr>
              <w:t>Ikke almindelig</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43433B" w:rsidRDefault="00846499" w:rsidP="00A64291">
            <w:pPr>
              <w:rPr>
                <w:szCs w:val="22"/>
              </w:rPr>
            </w:pPr>
            <w:r>
              <w:t>Kognitiv forstyrrelse, letargi, dysgeusi</w:t>
            </w:r>
          </w:p>
        </w:tc>
        <w:tc>
          <w:tcPr>
            <w:tcW w:w="2001" w:type="dxa"/>
            <w:shd w:val="clear" w:color="auto" w:fill="auto"/>
          </w:tcPr>
          <w:p w:rsidR="00846499" w:rsidRPr="0043433B" w:rsidRDefault="00846499" w:rsidP="0009432E">
            <w:pPr>
              <w:rPr>
                <w:szCs w:val="22"/>
              </w:rPr>
            </w:pPr>
            <w:r>
              <w:rPr>
                <w:szCs w:val="22"/>
              </w:rPr>
              <w:t>Sjælden</w:t>
            </w:r>
          </w:p>
        </w:tc>
      </w:tr>
      <w:tr w:rsidR="00846499" w:rsidRPr="0043433B" w:rsidTr="00A64291">
        <w:trPr>
          <w:jc w:val="center"/>
        </w:trPr>
        <w:tc>
          <w:tcPr>
            <w:tcW w:w="2757" w:type="dxa"/>
            <w:shd w:val="clear" w:color="auto" w:fill="auto"/>
          </w:tcPr>
          <w:p w:rsidR="00846499" w:rsidRPr="0043433B" w:rsidRDefault="00846499" w:rsidP="00A64291">
            <w:pPr>
              <w:rPr>
                <w:szCs w:val="22"/>
              </w:rPr>
            </w:pPr>
            <w:r>
              <w:rPr>
                <w:szCs w:val="22"/>
              </w:rPr>
              <w:t>Øjne</w:t>
            </w:r>
          </w:p>
        </w:tc>
        <w:tc>
          <w:tcPr>
            <w:tcW w:w="3875" w:type="dxa"/>
            <w:shd w:val="clear" w:color="auto" w:fill="auto"/>
          </w:tcPr>
          <w:p w:rsidR="00846499" w:rsidRPr="0043433B" w:rsidRDefault="00846499" w:rsidP="00A64291">
            <w:pPr>
              <w:tabs>
                <w:tab w:val="left" w:pos="2972"/>
              </w:tabs>
              <w:rPr>
                <w:szCs w:val="22"/>
              </w:rPr>
            </w:pPr>
            <w:r>
              <w:t>Conjunctivitis</w:t>
            </w:r>
          </w:p>
        </w:tc>
        <w:tc>
          <w:tcPr>
            <w:tcW w:w="2001" w:type="dxa"/>
            <w:shd w:val="clear" w:color="auto" w:fill="auto"/>
          </w:tcPr>
          <w:p w:rsidR="00846499" w:rsidRPr="0043433B" w:rsidRDefault="00846499" w:rsidP="0009432E">
            <w:pPr>
              <w:rPr>
                <w:szCs w:val="22"/>
              </w:rPr>
            </w:pPr>
            <w:r>
              <w:rPr>
                <w:szCs w:val="22"/>
              </w:rPr>
              <w:t>Sjælden</w:t>
            </w:r>
          </w:p>
        </w:tc>
      </w:tr>
      <w:tr w:rsidR="00846499" w:rsidRPr="0043433B" w:rsidTr="00A64291">
        <w:trPr>
          <w:jc w:val="center"/>
        </w:trPr>
        <w:tc>
          <w:tcPr>
            <w:tcW w:w="2757" w:type="dxa"/>
            <w:shd w:val="clear" w:color="auto" w:fill="auto"/>
          </w:tcPr>
          <w:p w:rsidR="00846499" w:rsidRPr="0043433B" w:rsidRDefault="00846499" w:rsidP="00A64291">
            <w:pPr>
              <w:rPr>
                <w:szCs w:val="22"/>
              </w:rPr>
            </w:pPr>
            <w:r>
              <w:t>Øre og labyrint</w:t>
            </w:r>
          </w:p>
        </w:tc>
        <w:tc>
          <w:tcPr>
            <w:tcW w:w="3875" w:type="dxa"/>
            <w:shd w:val="clear" w:color="auto" w:fill="auto"/>
          </w:tcPr>
          <w:p w:rsidR="00846499" w:rsidRPr="00A54110" w:rsidRDefault="00846499" w:rsidP="00A64291">
            <w:pPr>
              <w:rPr>
                <w:szCs w:val="22"/>
              </w:rPr>
            </w:pPr>
            <w:r>
              <w:t>Tinnitus</w:t>
            </w:r>
          </w:p>
        </w:tc>
        <w:tc>
          <w:tcPr>
            <w:tcW w:w="2001" w:type="dxa"/>
            <w:shd w:val="clear" w:color="auto" w:fill="auto"/>
          </w:tcPr>
          <w:p w:rsidR="00846499" w:rsidRPr="00A54110" w:rsidRDefault="00846499" w:rsidP="0009432E">
            <w:pPr>
              <w:rPr>
                <w:szCs w:val="22"/>
              </w:rPr>
            </w:pPr>
            <w:r>
              <w:rPr>
                <w:szCs w:val="22"/>
              </w:rPr>
              <w:t>Sjælden</w:t>
            </w:r>
          </w:p>
        </w:tc>
      </w:tr>
      <w:tr w:rsidR="00846499" w:rsidRPr="0043433B" w:rsidTr="00A64291">
        <w:trPr>
          <w:jc w:val="center"/>
        </w:trPr>
        <w:tc>
          <w:tcPr>
            <w:tcW w:w="2757" w:type="dxa"/>
            <w:vMerge w:val="restart"/>
            <w:shd w:val="clear" w:color="auto" w:fill="auto"/>
          </w:tcPr>
          <w:p w:rsidR="00846499" w:rsidRPr="0043433B" w:rsidRDefault="00846499" w:rsidP="00A64291">
            <w:pPr>
              <w:rPr>
                <w:szCs w:val="22"/>
              </w:rPr>
            </w:pPr>
            <w:r>
              <w:t>Hjerte</w:t>
            </w:r>
          </w:p>
        </w:tc>
        <w:tc>
          <w:tcPr>
            <w:tcW w:w="3875" w:type="dxa"/>
            <w:shd w:val="clear" w:color="auto" w:fill="auto"/>
          </w:tcPr>
          <w:p w:rsidR="00846499" w:rsidRPr="0043433B" w:rsidRDefault="00846499" w:rsidP="00A64291">
            <w:pPr>
              <w:rPr>
                <w:szCs w:val="22"/>
              </w:rPr>
            </w:pPr>
            <w:r>
              <w:t>Palpitationer</w:t>
            </w:r>
          </w:p>
        </w:tc>
        <w:tc>
          <w:tcPr>
            <w:tcW w:w="2001" w:type="dxa"/>
            <w:shd w:val="clear" w:color="auto" w:fill="auto"/>
          </w:tcPr>
          <w:p w:rsidR="00846499" w:rsidRPr="0043433B" w:rsidRDefault="00846499" w:rsidP="0009432E">
            <w:pPr>
              <w:rPr>
                <w:szCs w:val="22"/>
              </w:rPr>
            </w:pPr>
            <w:r>
              <w:rPr>
                <w:szCs w:val="22"/>
              </w:rPr>
              <w:t>Ikke almindelig</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43433B" w:rsidRDefault="00846499" w:rsidP="00A64291">
            <w:pPr>
              <w:rPr>
                <w:szCs w:val="22"/>
              </w:rPr>
            </w:pPr>
            <w:r>
              <w:t>Bradykardi, kardiovaskulær sygdom</w:t>
            </w:r>
          </w:p>
        </w:tc>
        <w:tc>
          <w:tcPr>
            <w:tcW w:w="2001" w:type="dxa"/>
            <w:shd w:val="clear" w:color="auto" w:fill="auto"/>
          </w:tcPr>
          <w:p w:rsidR="00846499" w:rsidRPr="0043433B" w:rsidRDefault="00846499" w:rsidP="0009432E">
            <w:pPr>
              <w:rPr>
                <w:szCs w:val="22"/>
              </w:rPr>
            </w:pPr>
            <w:r>
              <w:t>Sjælden</w:t>
            </w:r>
          </w:p>
        </w:tc>
      </w:tr>
      <w:tr w:rsidR="00846499" w:rsidRPr="0043433B" w:rsidTr="00A64291">
        <w:trPr>
          <w:jc w:val="center"/>
        </w:trPr>
        <w:tc>
          <w:tcPr>
            <w:tcW w:w="2757" w:type="dxa"/>
            <w:shd w:val="clear" w:color="auto" w:fill="auto"/>
          </w:tcPr>
          <w:p w:rsidR="00846499" w:rsidRPr="0043433B" w:rsidRDefault="00846499" w:rsidP="00A64291">
            <w:pPr>
              <w:rPr>
                <w:szCs w:val="22"/>
              </w:rPr>
            </w:pPr>
            <w:r>
              <w:t>Vaskulære sygdomme</w:t>
            </w:r>
          </w:p>
        </w:tc>
        <w:tc>
          <w:tcPr>
            <w:tcW w:w="3875" w:type="dxa"/>
            <w:shd w:val="clear" w:color="auto" w:fill="auto"/>
          </w:tcPr>
          <w:p w:rsidR="00846499" w:rsidRPr="0043433B" w:rsidRDefault="00846499" w:rsidP="00A64291">
            <w:pPr>
              <w:rPr>
                <w:szCs w:val="22"/>
              </w:rPr>
            </w:pPr>
            <w:r>
              <w:t>Hedeture/ansigtsrødme</w:t>
            </w:r>
          </w:p>
        </w:tc>
        <w:tc>
          <w:tcPr>
            <w:tcW w:w="2001" w:type="dxa"/>
            <w:shd w:val="clear" w:color="auto" w:fill="auto"/>
          </w:tcPr>
          <w:p w:rsidR="00846499" w:rsidRPr="0043433B" w:rsidRDefault="00846499" w:rsidP="0009432E">
            <w:pPr>
              <w:rPr>
                <w:szCs w:val="22"/>
              </w:rPr>
            </w:pPr>
            <w:r>
              <w:rPr>
                <w:szCs w:val="22"/>
              </w:rPr>
              <w:t>Ikke almindelig</w:t>
            </w:r>
          </w:p>
        </w:tc>
      </w:tr>
      <w:tr w:rsidR="00846499" w:rsidRPr="0043433B" w:rsidTr="00A64291">
        <w:trPr>
          <w:jc w:val="center"/>
        </w:trPr>
        <w:tc>
          <w:tcPr>
            <w:tcW w:w="2757" w:type="dxa"/>
            <w:vMerge w:val="restart"/>
            <w:shd w:val="clear" w:color="auto" w:fill="auto"/>
          </w:tcPr>
          <w:p w:rsidR="00846499" w:rsidRPr="00552277" w:rsidRDefault="00846499" w:rsidP="00A64291">
            <w:pPr>
              <w:rPr>
                <w:szCs w:val="22"/>
                <w:lang w:val="en-US"/>
              </w:rPr>
            </w:pPr>
            <w:r>
              <w:t>Luftveje, thorax og mediastinum</w:t>
            </w:r>
          </w:p>
        </w:tc>
        <w:tc>
          <w:tcPr>
            <w:tcW w:w="3875" w:type="dxa"/>
            <w:shd w:val="clear" w:color="auto" w:fill="auto"/>
          </w:tcPr>
          <w:p w:rsidR="00846499" w:rsidRPr="0043433B" w:rsidRDefault="00846499" w:rsidP="00A64291">
            <w:pPr>
              <w:rPr>
                <w:szCs w:val="22"/>
              </w:rPr>
            </w:pPr>
            <w:r>
              <w:rPr>
                <w:szCs w:val="22"/>
              </w:rPr>
              <w:t>Hikke</w:t>
            </w:r>
          </w:p>
        </w:tc>
        <w:tc>
          <w:tcPr>
            <w:tcW w:w="2001" w:type="dxa"/>
            <w:shd w:val="clear" w:color="auto" w:fill="auto"/>
          </w:tcPr>
          <w:p w:rsidR="00846499" w:rsidRPr="0043433B" w:rsidRDefault="00846499" w:rsidP="0009432E">
            <w:pPr>
              <w:rPr>
                <w:szCs w:val="22"/>
              </w:rPr>
            </w:pPr>
            <w:r>
              <w:t>Almindelig</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017FFE" w:rsidRDefault="00846499" w:rsidP="00A64291">
            <w:pPr>
              <w:rPr>
                <w:szCs w:val="22"/>
              </w:rPr>
            </w:pPr>
            <w:r>
              <w:t>Orofaryngeale smerter, nysen, hoste, næseflåd, halsirritation</w:t>
            </w:r>
          </w:p>
        </w:tc>
        <w:tc>
          <w:tcPr>
            <w:tcW w:w="2001" w:type="dxa"/>
            <w:shd w:val="clear" w:color="auto" w:fill="auto"/>
          </w:tcPr>
          <w:p w:rsidR="00846499" w:rsidRPr="0043433B" w:rsidRDefault="00846499" w:rsidP="0009432E">
            <w:pPr>
              <w:rPr>
                <w:szCs w:val="22"/>
              </w:rPr>
            </w:pPr>
            <w:r>
              <w:t>Sjælden</w:t>
            </w:r>
          </w:p>
        </w:tc>
      </w:tr>
      <w:tr w:rsidR="00846499" w:rsidRPr="0043433B" w:rsidTr="00A64291">
        <w:trPr>
          <w:jc w:val="center"/>
        </w:trPr>
        <w:tc>
          <w:tcPr>
            <w:tcW w:w="2757" w:type="dxa"/>
            <w:vMerge w:val="restart"/>
            <w:shd w:val="clear" w:color="auto" w:fill="auto"/>
          </w:tcPr>
          <w:p w:rsidR="00846499" w:rsidRPr="0043433B" w:rsidRDefault="00846499" w:rsidP="00A64291">
            <w:pPr>
              <w:rPr>
                <w:szCs w:val="22"/>
              </w:rPr>
            </w:pPr>
            <w:r>
              <w:t>Mave-tarmkanalen</w:t>
            </w:r>
          </w:p>
        </w:tc>
        <w:tc>
          <w:tcPr>
            <w:tcW w:w="3875" w:type="dxa"/>
            <w:shd w:val="clear" w:color="auto" w:fill="auto"/>
          </w:tcPr>
          <w:p w:rsidR="00846499" w:rsidRPr="0043433B" w:rsidRDefault="00846499" w:rsidP="00A64291">
            <w:pPr>
              <w:tabs>
                <w:tab w:val="left" w:pos="1233"/>
              </w:tabs>
              <w:rPr>
                <w:szCs w:val="22"/>
              </w:rPr>
            </w:pPr>
            <w:r>
              <w:t>Obstipation, dyspepsi</w:t>
            </w:r>
          </w:p>
        </w:tc>
        <w:tc>
          <w:tcPr>
            <w:tcW w:w="2001" w:type="dxa"/>
            <w:shd w:val="clear" w:color="auto" w:fill="auto"/>
          </w:tcPr>
          <w:p w:rsidR="00846499" w:rsidRPr="0043433B" w:rsidRDefault="00846499" w:rsidP="0009432E">
            <w:pPr>
              <w:rPr>
                <w:szCs w:val="22"/>
              </w:rPr>
            </w:pPr>
            <w:r>
              <w:t>Almindelig</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017FFE" w:rsidRDefault="00846499" w:rsidP="00A64291">
            <w:pPr>
              <w:rPr>
                <w:szCs w:val="22"/>
              </w:rPr>
            </w:pPr>
            <w:r>
              <w:t>Ructus, kvalme† , opkastning† ,gastroesophageal refluxlidelse, mavesmerter, mundtørhed, flatulens</w:t>
            </w:r>
          </w:p>
        </w:tc>
        <w:tc>
          <w:tcPr>
            <w:tcW w:w="2001" w:type="dxa"/>
            <w:shd w:val="clear" w:color="auto" w:fill="auto"/>
          </w:tcPr>
          <w:p w:rsidR="00846499" w:rsidRPr="0043433B" w:rsidRDefault="00846499" w:rsidP="0009432E">
            <w:pPr>
              <w:rPr>
                <w:szCs w:val="22"/>
              </w:rPr>
            </w:pPr>
            <w:r>
              <w:rPr>
                <w:szCs w:val="22"/>
              </w:rPr>
              <w:t>Ikke almindelig</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017FFE" w:rsidRDefault="00846499" w:rsidP="00A64291">
            <w:pPr>
              <w:rPr>
                <w:szCs w:val="22"/>
              </w:rPr>
            </w:pPr>
            <w:r>
              <w:t>Perforeret dudenalulcus, stomatitis, oppustethed, hård afføring, neutropen colitis.</w:t>
            </w:r>
          </w:p>
        </w:tc>
        <w:tc>
          <w:tcPr>
            <w:tcW w:w="2001" w:type="dxa"/>
            <w:shd w:val="clear" w:color="auto" w:fill="auto"/>
          </w:tcPr>
          <w:p w:rsidR="00846499" w:rsidRPr="0043433B" w:rsidRDefault="00846499" w:rsidP="0009432E">
            <w:pPr>
              <w:rPr>
                <w:szCs w:val="22"/>
              </w:rPr>
            </w:pPr>
            <w:r>
              <w:t>Sjælden</w:t>
            </w:r>
          </w:p>
        </w:tc>
      </w:tr>
      <w:tr w:rsidR="00846499" w:rsidRPr="0043433B" w:rsidTr="00A64291">
        <w:trPr>
          <w:jc w:val="center"/>
        </w:trPr>
        <w:tc>
          <w:tcPr>
            <w:tcW w:w="2757" w:type="dxa"/>
            <w:vMerge w:val="restart"/>
            <w:shd w:val="clear" w:color="auto" w:fill="auto"/>
          </w:tcPr>
          <w:p w:rsidR="00846499" w:rsidRPr="00017FFE" w:rsidRDefault="00846499" w:rsidP="00A64291">
            <w:pPr>
              <w:rPr>
                <w:szCs w:val="22"/>
              </w:rPr>
            </w:pPr>
            <w:r>
              <w:t>Hud og subkutane væv</w:t>
            </w:r>
          </w:p>
        </w:tc>
        <w:tc>
          <w:tcPr>
            <w:tcW w:w="3875" w:type="dxa"/>
            <w:shd w:val="clear" w:color="auto" w:fill="auto"/>
          </w:tcPr>
          <w:p w:rsidR="00846499" w:rsidRPr="0043433B" w:rsidRDefault="00846499" w:rsidP="00A64291">
            <w:pPr>
              <w:rPr>
                <w:szCs w:val="22"/>
              </w:rPr>
            </w:pPr>
            <w:r>
              <w:t>Udslæt, akne</w:t>
            </w:r>
          </w:p>
        </w:tc>
        <w:tc>
          <w:tcPr>
            <w:tcW w:w="2001" w:type="dxa"/>
            <w:shd w:val="clear" w:color="auto" w:fill="auto"/>
          </w:tcPr>
          <w:p w:rsidR="00846499" w:rsidRPr="0043433B" w:rsidRDefault="00846499" w:rsidP="0009432E">
            <w:pPr>
              <w:rPr>
                <w:szCs w:val="22"/>
              </w:rPr>
            </w:pPr>
            <w:r>
              <w:t>Ikke almindelig</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017FFE" w:rsidRDefault="00846499" w:rsidP="00A64291">
            <w:pPr>
              <w:rPr>
                <w:szCs w:val="22"/>
              </w:rPr>
            </w:pPr>
            <w:r>
              <w:t>Lysfølsomhedsreaktion, hyperhidrose, seborré, hudlæsioner, kløende udslæt, Stevens-Johnsons syndrom/toksisk epidermal nekrolyse</w:t>
            </w:r>
          </w:p>
        </w:tc>
        <w:tc>
          <w:tcPr>
            <w:tcW w:w="2001" w:type="dxa"/>
            <w:shd w:val="clear" w:color="auto" w:fill="auto"/>
          </w:tcPr>
          <w:p w:rsidR="00846499" w:rsidRPr="0043433B" w:rsidRDefault="00846499" w:rsidP="0009432E">
            <w:pPr>
              <w:rPr>
                <w:szCs w:val="22"/>
              </w:rPr>
            </w:pPr>
            <w:r>
              <w:t>Sjælden</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43433B" w:rsidRDefault="00846499" w:rsidP="00A64291">
            <w:pPr>
              <w:rPr>
                <w:szCs w:val="22"/>
              </w:rPr>
            </w:pPr>
            <w:r>
              <w:t>Pruritus, urticaria</w:t>
            </w:r>
          </w:p>
        </w:tc>
        <w:tc>
          <w:tcPr>
            <w:tcW w:w="2001" w:type="dxa"/>
            <w:shd w:val="clear" w:color="auto" w:fill="auto"/>
          </w:tcPr>
          <w:p w:rsidR="00846499" w:rsidRPr="0043433B" w:rsidRDefault="00846499" w:rsidP="0009432E">
            <w:pPr>
              <w:rPr>
                <w:szCs w:val="22"/>
              </w:rPr>
            </w:pPr>
            <w:r>
              <w:t>Ikke kendt</w:t>
            </w:r>
          </w:p>
        </w:tc>
      </w:tr>
      <w:tr w:rsidR="00846499" w:rsidRPr="0043433B" w:rsidTr="00A64291">
        <w:trPr>
          <w:jc w:val="center"/>
        </w:trPr>
        <w:tc>
          <w:tcPr>
            <w:tcW w:w="2757" w:type="dxa"/>
            <w:shd w:val="clear" w:color="auto" w:fill="auto"/>
          </w:tcPr>
          <w:p w:rsidR="00846499" w:rsidRPr="00017FFE" w:rsidRDefault="00846499" w:rsidP="00A64291">
            <w:pPr>
              <w:rPr>
                <w:szCs w:val="22"/>
              </w:rPr>
            </w:pPr>
            <w:r>
              <w:t>Knogler, led, muskler og bindevæv</w:t>
            </w:r>
          </w:p>
        </w:tc>
        <w:tc>
          <w:tcPr>
            <w:tcW w:w="3875" w:type="dxa"/>
            <w:shd w:val="clear" w:color="auto" w:fill="auto"/>
          </w:tcPr>
          <w:p w:rsidR="00846499" w:rsidRPr="0043433B" w:rsidRDefault="00846499" w:rsidP="00A64291">
            <w:pPr>
              <w:rPr>
                <w:szCs w:val="22"/>
              </w:rPr>
            </w:pPr>
            <w:r>
              <w:t>Muskelsvækkelse, muskelspasmer</w:t>
            </w:r>
          </w:p>
        </w:tc>
        <w:tc>
          <w:tcPr>
            <w:tcW w:w="2001" w:type="dxa"/>
            <w:shd w:val="clear" w:color="auto" w:fill="auto"/>
          </w:tcPr>
          <w:p w:rsidR="00846499" w:rsidRPr="0043433B" w:rsidRDefault="00846499" w:rsidP="0009432E">
            <w:pPr>
              <w:rPr>
                <w:szCs w:val="22"/>
              </w:rPr>
            </w:pPr>
            <w:r>
              <w:rPr>
                <w:szCs w:val="22"/>
              </w:rPr>
              <w:t>Sjælden</w:t>
            </w:r>
          </w:p>
        </w:tc>
      </w:tr>
      <w:tr w:rsidR="00846499" w:rsidRPr="0043433B" w:rsidTr="00A64291">
        <w:trPr>
          <w:jc w:val="center"/>
        </w:trPr>
        <w:tc>
          <w:tcPr>
            <w:tcW w:w="2757" w:type="dxa"/>
            <w:vMerge w:val="restart"/>
            <w:shd w:val="clear" w:color="auto" w:fill="auto"/>
          </w:tcPr>
          <w:p w:rsidR="00846499" w:rsidRPr="0043433B" w:rsidRDefault="00846499" w:rsidP="00A64291">
            <w:pPr>
              <w:rPr>
                <w:szCs w:val="22"/>
              </w:rPr>
            </w:pPr>
            <w:r>
              <w:rPr>
                <w:szCs w:val="22"/>
              </w:rPr>
              <w:t>Nyrer og urinveje</w:t>
            </w:r>
          </w:p>
        </w:tc>
        <w:tc>
          <w:tcPr>
            <w:tcW w:w="3875" w:type="dxa"/>
            <w:shd w:val="clear" w:color="auto" w:fill="auto"/>
          </w:tcPr>
          <w:p w:rsidR="00846499" w:rsidRPr="00017FFE" w:rsidRDefault="00846499" w:rsidP="00A64291">
            <w:pPr>
              <w:rPr>
                <w:szCs w:val="22"/>
              </w:rPr>
            </w:pPr>
            <w:r>
              <w:t>Dysuri</w:t>
            </w:r>
          </w:p>
        </w:tc>
        <w:tc>
          <w:tcPr>
            <w:tcW w:w="2001" w:type="dxa"/>
            <w:shd w:val="clear" w:color="auto" w:fill="auto"/>
          </w:tcPr>
          <w:p w:rsidR="00846499" w:rsidRPr="0043433B" w:rsidRDefault="00846499" w:rsidP="0009432E">
            <w:pPr>
              <w:rPr>
                <w:szCs w:val="22"/>
              </w:rPr>
            </w:pPr>
            <w:r>
              <w:t>Ikke almindelig</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43433B" w:rsidRDefault="00846499" w:rsidP="00A64291">
            <w:pPr>
              <w:rPr>
                <w:szCs w:val="22"/>
              </w:rPr>
            </w:pPr>
            <w:r>
              <w:t>Pollakiuria</w:t>
            </w:r>
          </w:p>
        </w:tc>
        <w:tc>
          <w:tcPr>
            <w:tcW w:w="2001" w:type="dxa"/>
            <w:shd w:val="clear" w:color="auto" w:fill="auto"/>
          </w:tcPr>
          <w:p w:rsidR="00846499" w:rsidRPr="0043433B" w:rsidRDefault="00846499" w:rsidP="0009432E">
            <w:pPr>
              <w:rPr>
                <w:szCs w:val="22"/>
              </w:rPr>
            </w:pPr>
            <w:r>
              <w:rPr>
                <w:szCs w:val="22"/>
              </w:rPr>
              <w:t>Sjælden</w:t>
            </w:r>
          </w:p>
        </w:tc>
      </w:tr>
      <w:tr w:rsidR="00846499" w:rsidRPr="0043433B" w:rsidTr="00A64291">
        <w:trPr>
          <w:jc w:val="center"/>
        </w:trPr>
        <w:tc>
          <w:tcPr>
            <w:tcW w:w="2757" w:type="dxa"/>
            <w:vMerge w:val="restart"/>
            <w:shd w:val="clear" w:color="auto" w:fill="auto"/>
          </w:tcPr>
          <w:p w:rsidR="00846499" w:rsidRPr="00017FFE" w:rsidRDefault="00846499" w:rsidP="00A64291">
            <w:pPr>
              <w:rPr>
                <w:szCs w:val="22"/>
              </w:rPr>
            </w:pPr>
            <w:r>
              <w:t>Almene symptomer og reaktioner på administrationsstedet</w:t>
            </w:r>
          </w:p>
        </w:tc>
        <w:tc>
          <w:tcPr>
            <w:tcW w:w="3875" w:type="dxa"/>
            <w:shd w:val="clear" w:color="auto" w:fill="auto"/>
          </w:tcPr>
          <w:p w:rsidR="00846499" w:rsidRPr="0043433B" w:rsidRDefault="00846499" w:rsidP="00A64291">
            <w:pPr>
              <w:rPr>
                <w:szCs w:val="22"/>
              </w:rPr>
            </w:pPr>
            <w:r>
              <w:t>Træthed</w:t>
            </w:r>
          </w:p>
        </w:tc>
        <w:tc>
          <w:tcPr>
            <w:tcW w:w="2001" w:type="dxa"/>
            <w:shd w:val="clear" w:color="auto" w:fill="auto"/>
          </w:tcPr>
          <w:p w:rsidR="00846499" w:rsidRPr="0043433B" w:rsidRDefault="00846499" w:rsidP="0009432E">
            <w:pPr>
              <w:rPr>
                <w:szCs w:val="22"/>
              </w:rPr>
            </w:pPr>
            <w:r>
              <w:t>Almindelig</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43433B" w:rsidRDefault="00846499" w:rsidP="00A64291">
            <w:pPr>
              <w:rPr>
                <w:szCs w:val="22"/>
              </w:rPr>
            </w:pPr>
            <w:r>
              <w:t>Asteni, utilpashed</w:t>
            </w:r>
          </w:p>
        </w:tc>
        <w:tc>
          <w:tcPr>
            <w:tcW w:w="2001" w:type="dxa"/>
            <w:shd w:val="clear" w:color="auto" w:fill="auto"/>
          </w:tcPr>
          <w:p w:rsidR="00846499" w:rsidRPr="0043433B" w:rsidRDefault="00846499" w:rsidP="0009432E">
            <w:pPr>
              <w:rPr>
                <w:szCs w:val="22"/>
              </w:rPr>
            </w:pPr>
            <w:r>
              <w:t>Ikke almindelig</w:t>
            </w:r>
          </w:p>
        </w:tc>
      </w:tr>
      <w:tr w:rsidR="00846499" w:rsidRPr="0043433B" w:rsidTr="00A64291">
        <w:trPr>
          <w:jc w:val="center"/>
        </w:trPr>
        <w:tc>
          <w:tcPr>
            <w:tcW w:w="2757" w:type="dxa"/>
            <w:vMerge/>
            <w:shd w:val="clear" w:color="auto" w:fill="auto"/>
          </w:tcPr>
          <w:p w:rsidR="00846499" w:rsidRPr="0043433B" w:rsidRDefault="00846499" w:rsidP="00A64291">
            <w:pPr>
              <w:rPr>
                <w:szCs w:val="22"/>
              </w:rPr>
            </w:pPr>
          </w:p>
        </w:tc>
        <w:tc>
          <w:tcPr>
            <w:tcW w:w="3875" w:type="dxa"/>
            <w:shd w:val="clear" w:color="auto" w:fill="auto"/>
          </w:tcPr>
          <w:p w:rsidR="00846499" w:rsidRPr="00017FFE" w:rsidRDefault="00846499" w:rsidP="00A64291">
            <w:pPr>
              <w:rPr>
                <w:szCs w:val="22"/>
              </w:rPr>
            </w:pPr>
            <w:r>
              <w:t>Ødemer, gener i brystet, gangforstyrrelser</w:t>
            </w:r>
          </w:p>
        </w:tc>
        <w:tc>
          <w:tcPr>
            <w:tcW w:w="2001" w:type="dxa"/>
            <w:shd w:val="clear" w:color="auto" w:fill="auto"/>
          </w:tcPr>
          <w:p w:rsidR="00846499" w:rsidRPr="0043433B" w:rsidRDefault="00846499" w:rsidP="0009432E">
            <w:pPr>
              <w:rPr>
                <w:szCs w:val="22"/>
              </w:rPr>
            </w:pPr>
            <w:r>
              <w:t>Sjælden</w:t>
            </w:r>
          </w:p>
        </w:tc>
      </w:tr>
      <w:tr w:rsidR="00846499" w:rsidRPr="0043433B" w:rsidTr="00A64291">
        <w:trPr>
          <w:jc w:val="center"/>
        </w:trPr>
        <w:tc>
          <w:tcPr>
            <w:tcW w:w="2757" w:type="dxa"/>
            <w:shd w:val="clear" w:color="auto" w:fill="auto"/>
          </w:tcPr>
          <w:p w:rsidR="00846499" w:rsidRPr="0043433B" w:rsidRDefault="00846499" w:rsidP="00A64291">
            <w:pPr>
              <w:rPr>
                <w:szCs w:val="22"/>
              </w:rPr>
            </w:pPr>
            <w:r>
              <w:t>Undersøgelser</w:t>
            </w:r>
          </w:p>
        </w:tc>
        <w:tc>
          <w:tcPr>
            <w:tcW w:w="3875" w:type="dxa"/>
            <w:shd w:val="clear" w:color="auto" w:fill="auto"/>
          </w:tcPr>
          <w:p w:rsidR="00846499" w:rsidRPr="0043433B" w:rsidRDefault="00846499" w:rsidP="00A64291">
            <w:pPr>
              <w:rPr>
                <w:szCs w:val="22"/>
              </w:rPr>
            </w:pPr>
            <w:r>
              <w:t>Stigning ALAT</w:t>
            </w:r>
          </w:p>
        </w:tc>
        <w:tc>
          <w:tcPr>
            <w:tcW w:w="2001" w:type="dxa"/>
            <w:shd w:val="clear" w:color="auto" w:fill="auto"/>
          </w:tcPr>
          <w:p w:rsidR="00846499" w:rsidRPr="0043433B" w:rsidRDefault="00846499" w:rsidP="0009432E">
            <w:pPr>
              <w:rPr>
                <w:szCs w:val="22"/>
              </w:rPr>
            </w:pPr>
            <w:r>
              <w:t>Almindelig</w:t>
            </w:r>
          </w:p>
        </w:tc>
      </w:tr>
      <w:tr w:rsidR="00846499" w:rsidRPr="0043433B" w:rsidTr="00A64291">
        <w:trPr>
          <w:jc w:val="center"/>
        </w:trPr>
        <w:tc>
          <w:tcPr>
            <w:tcW w:w="2757" w:type="dxa"/>
            <w:shd w:val="clear" w:color="auto" w:fill="auto"/>
          </w:tcPr>
          <w:p w:rsidR="00846499" w:rsidRPr="0043433B" w:rsidRDefault="00846499" w:rsidP="00A64291">
            <w:pPr>
              <w:rPr>
                <w:szCs w:val="22"/>
              </w:rPr>
            </w:pPr>
          </w:p>
        </w:tc>
        <w:tc>
          <w:tcPr>
            <w:tcW w:w="3875" w:type="dxa"/>
            <w:shd w:val="clear" w:color="auto" w:fill="auto"/>
          </w:tcPr>
          <w:p w:rsidR="00846499" w:rsidRPr="00017FFE" w:rsidRDefault="00846499" w:rsidP="00A64291">
            <w:pPr>
              <w:rPr>
                <w:szCs w:val="22"/>
              </w:rPr>
            </w:pPr>
            <w:r>
              <w:t>Stigning i ASAT, øget alkalisk fosfatase i blodet</w:t>
            </w:r>
          </w:p>
        </w:tc>
        <w:tc>
          <w:tcPr>
            <w:tcW w:w="2001" w:type="dxa"/>
            <w:shd w:val="clear" w:color="auto" w:fill="auto"/>
          </w:tcPr>
          <w:p w:rsidR="00846499" w:rsidRPr="0043433B" w:rsidRDefault="00846499" w:rsidP="0009432E">
            <w:pPr>
              <w:rPr>
                <w:szCs w:val="22"/>
              </w:rPr>
            </w:pPr>
            <w:r>
              <w:rPr>
                <w:szCs w:val="22"/>
              </w:rPr>
              <w:t>Ikke almindelig</w:t>
            </w:r>
          </w:p>
        </w:tc>
      </w:tr>
      <w:tr w:rsidR="00846499" w:rsidRPr="0043433B" w:rsidTr="00A64291">
        <w:trPr>
          <w:jc w:val="center"/>
        </w:trPr>
        <w:tc>
          <w:tcPr>
            <w:tcW w:w="2757" w:type="dxa"/>
            <w:shd w:val="clear" w:color="auto" w:fill="auto"/>
          </w:tcPr>
          <w:p w:rsidR="00846499" w:rsidRPr="0043433B" w:rsidRDefault="00846499" w:rsidP="00A64291">
            <w:pPr>
              <w:rPr>
                <w:szCs w:val="22"/>
              </w:rPr>
            </w:pPr>
          </w:p>
        </w:tc>
        <w:tc>
          <w:tcPr>
            <w:tcW w:w="3875" w:type="dxa"/>
            <w:shd w:val="clear" w:color="auto" w:fill="auto"/>
          </w:tcPr>
          <w:p w:rsidR="00846499" w:rsidRPr="00017FFE" w:rsidRDefault="00846499" w:rsidP="00A64291">
            <w:pPr>
              <w:rPr>
                <w:szCs w:val="22"/>
              </w:rPr>
            </w:pPr>
            <w:r>
              <w:t>Positiv test for røde blodlegemer i urinen, hyponatriæmi, vægttab, fald i neutrofiltal, glucose i urinen, øget urinmængde</w:t>
            </w:r>
          </w:p>
        </w:tc>
        <w:tc>
          <w:tcPr>
            <w:tcW w:w="2001" w:type="dxa"/>
            <w:shd w:val="clear" w:color="auto" w:fill="auto"/>
          </w:tcPr>
          <w:p w:rsidR="00846499" w:rsidRPr="0043433B" w:rsidRDefault="00846499" w:rsidP="0009432E">
            <w:pPr>
              <w:rPr>
                <w:szCs w:val="22"/>
              </w:rPr>
            </w:pPr>
            <w:r>
              <w:rPr>
                <w:szCs w:val="22"/>
              </w:rPr>
              <w:t>Sjælden</w:t>
            </w:r>
          </w:p>
        </w:tc>
      </w:tr>
    </w:tbl>
    <w:p w:rsidR="00846499" w:rsidRPr="0009432E" w:rsidRDefault="00846499" w:rsidP="00846499">
      <w:pPr>
        <w:pStyle w:val="Sidehoved"/>
        <w:tabs>
          <w:tab w:val="left" w:pos="851"/>
        </w:tabs>
        <w:ind w:left="851"/>
        <w:rPr>
          <w:sz w:val="22"/>
          <w:szCs w:val="22"/>
        </w:rPr>
      </w:pPr>
      <w:r w:rsidRPr="0009432E">
        <w:rPr>
          <w:sz w:val="22"/>
          <w:szCs w:val="22"/>
        </w:rPr>
        <w:t>† Kvalme og opkastning var i de første 5 dage efter kemoterapibehandling effektparametre og blev først derefter indberettet som bivirkninger.</w:t>
      </w:r>
    </w:p>
    <w:p w:rsidR="00846499" w:rsidRPr="0009432E" w:rsidRDefault="00846499" w:rsidP="00846499">
      <w:pPr>
        <w:pStyle w:val="Sidehoved"/>
        <w:tabs>
          <w:tab w:val="left" w:pos="851"/>
        </w:tabs>
        <w:ind w:left="851"/>
        <w:rPr>
          <w:sz w:val="22"/>
          <w:szCs w:val="22"/>
        </w:rPr>
      </w:pPr>
    </w:p>
    <w:p w:rsidR="00846499" w:rsidRPr="00846499" w:rsidRDefault="00846499" w:rsidP="00846499">
      <w:pPr>
        <w:pStyle w:val="Sidehoved"/>
        <w:tabs>
          <w:tab w:val="left" w:pos="851"/>
        </w:tabs>
        <w:ind w:left="851"/>
        <w:rPr>
          <w:szCs w:val="24"/>
          <w:u w:val="single"/>
        </w:rPr>
      </w:pPr>
      <w:r w:rsidRPr="00846499">
        <w:rPr>
          <w:szCs w:val="24"/>
          <w:u w:val="single"/>
        </w:rPr>
        <w:t xml:space="preserve">Beskrivelse af udvalgte bivirkninger </w:t>
      </w:r>
    </w:p>
    <w:p w:rsidR="00846499" w:rsidRPr="00846499" w:rsidRDefault="00846499" w:rsidP="00846499">
      <w:pPr>
        <w:pStyle w:val="Sidehoved"/>
        <w:tabs>
          <w:tab w:val="left" w:pos="851"/>
        </w:tabs>
        <w:ind w:left="851"/>
        <w:rPr>
          <w:szCs w:val="24"/>
        </w:rPr>
      </w:pPr>
      <w:r w:rsidRPr="00846499">
        <w:rPr>
          <w:szCs w:val="24"/>
        </w:rPr>
        <w:t xml:space="preserve">Bivirkningsprofilen hos voksne i gentagne kemoterapibehandlinger (multi-cyklus) i HEC- og MECundersøgelserne i op til 6 efterfølgende kemoterapicykler var de samme som sås i første cyklus. </w:t>
      </w:r>
    </w:p>
    <w:p w:rsidR="00846499" w:rsidRPr="00846499" w:rsidRDefault="00846499" w:rsidP="00846499">
      <w:pPr>
        <w:pStyle w:val="Sidehoved"/>
        <w:tabs>
          <w:tab w:val="left" w:pos="851"/>
        </w:tabs>
        <w:ind w:left="851"/>
        <w:rPr>
          <w:szCs w:val="24"/>
        </w:rPr>
      </w:pPr>
      <w:r w:rsidRPr="00846499">
        <w:rPr>
          <w:szCs w:val="24"/>
        </w:rPr>
        <w:t>I et supplerende aktivt kontrolleret klinisk studie med 1.169 voksne patienter, der fik aprepitant og HEC, var bivirkningsprofilen generelt den samme som i andre HEC-studier med aprepitant.</w:t>
      </w:r>
    </w:p>
    <w:p w:rsidR="00846499" w:rsidRPr="00846499" w:rsidRDefault="00846499" w:rsidP="00846499">
      <w:pPr>
        <w:pStyle w:val="Sidehoved"/>
        <w:tabs>
          <w:tab w:val="left" w:pos="851"/>
        </w:tabs>
        <w:ind w:left="851"/>
        <w:rPr>
          <w:szCs w:val="24"/>
        </w:rPr>
      </w:pPr>
    </w:p>
    <w:p w:rsidR="00846499" w:rsidRPr="00846499" w:rsidRDefault="00846499" w:rsidP="00846499">
      <w:pPr>
        <w:pStyle w:val="Sidehoved"/>
        <w:tabs>
          <w:tab w:val="left" w:pos="851"/>
        </w:tabs>
        <w:ind w:left="851"/>
        <w:rPr>
          <w:szCs w:val="24"/>
        </w:rPr>
      </w:pPr>
      <w:r w:rsidRPr="00846499">
        <w:rPr>
          <w:szCs w:val="24"/>
        </w:rPr>
        <w:t xml:space="preserve">Der blev observeret yderligere bivirkninger hos de voksne patienter, som blev behandlet med aprepitant mod postoperativ kvalme og opkastning (PONV) og med højere incidens end for ondansetron: Smerter i øvre del af abdomen, anormale øvre tarmlyde, obstipation*, dysartri, dyspnø, hypoæstesi, søvnløshed, myosis, kvalme, sensorisk forstyrrelse, mavegener, sub-ileus*, nedsat synsskarphed, hvæsende vejrtrækning. </w:t>
      </w:r>
    </w:p>
    <w:p w:rsidR="00846499" w:rsidRPr="00846499" w:rsidRDefault="00846499" w:rsidP="00846499">
      <w:pPr>
        <w:pStyle w:val="Sidehoved"/>
        <w:tabs>
          <w:tab w:val="left" w:pos="851"/>
        </w:tabs>
        <w:ind w:left="851"/>
        <w:rPr>
          <w:szCs w:val="24"/>
        </w:rPr>
      </w:pPr>
      <w:r w:rsidRPr="00846499">
        <w:rPr>
          <w:szCs w:val="24"/>
        </w:rPr>
        <w:t>*Rapporteret hos patienter, der tog en højere dosis aprepitant.</w:t>
      </w:r>
    </w:p>
    <w:p w:rsidR="0009432E" w:rsidRDefault="0009432E">
      <w:pPr>
        <w:rPr>
          <w:sz w:val="24"/>
          <w:szCs w:val="24"/>
          <w:lang w:eastAsia="da-DK"/>
        </w:rPr>
      </w:pPr>
      <w:r>
        <w:rPr>
          <w:szCs w:val="24"/>
        </w:rPr>
        <w:br w:type="page"/>
      </w:r>
    </w:p>
    <w:p w:rsidR="00846499" w:rsidRPr="00846499" w:rsidRDefault="00846499" w:rsidP="00846499">
      <w:pPr>
        <w:pStyle w:val="Sidehoved"/>
        <w:tabs>
          <w:tab w:val="left" w:pos="851"/>
        </w:tabs>
        <w:ind w:left="851"/>
        <w:rPr>
          <w:szCs w:val="24"/>
        </w:rPr>
      </w:pPr>
    </w:p>
    <w:p w:rsidR="0009432E" w:rsidRPr="008F49E1" w:rsidRDefault="0009432E"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9432E" w:rsidRPr="008F49E1" w:rsidRDefault="0009432E"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09432E" w:rsidRPr="008F49E1" w:rsidRDefault="0009432E" w:rsidP="002A1420">
      <w:pPr>
        <w:ind w:left="851"/>
        <w:rPr>
          <w:sz w:val="24"/>
          <w:szCs w:val="24"/>
          <w:lang w:eastAsia="da-DK"/>
        </w:rPr>
      </w:pPr>
    </w:p>
    <w:p w:rsidR="0009432E" w:rsidRPr="007A276A" w:rsidRDefault="0009432E" w:rsidP="002A1420">
      <w:pPr>
        <w:ind w:left="851"/>
        <w:rPr>
          <w:sz w:val="24"/>
          <w:szCs w:val="24"/>
          <w:lang w:eastAsia="da-DK"/>
        </w:rPr>
      </w:pPr>
      <w:r w:rsidRPr="007A276A">
        <w:rPr>
          <w:sz w:val="24"/>
          <w:szCs w:val="24"/>
          <w:lang w:eastAsia="da-DK"/>
        </w:rPr>
        <w:t>Lægemiddelstyrelsen</w:t>
      </w:r>
    </w:p>
    <w:p w:rsidR="0009432E" w:rsidRPr="007A276A" w:rsidRDefault="0009432E" w:rsidP="002A1420">
      <w:pPr>
        <w:ind w:left="851"/>
        <w:rPr>
          <w:sz w:val="24"/>
          <w:szCs w:val="24"/>
          <w:lang w:eastAsia="da-DK"/>
        </w:rPr>
      </w:pPr>
      <w:r w:rsidRPr="007A276A">
        <w:rPr>
          <w:sz w:val="24"/>
          <w:szCs w:val="24"/>
          <w:lang w:eastAsia="da-DK"/>
        </w:rPr>
        <w:t>Axel Heides Gade 1</w:t>
      </w:r>
    </w:p>
    <w:p w:rsidR="0009432E" w:rsidRPr="007A276A" w:rsidRDefault="0009432E" w:rsidP="002A1420">
      <w:pPr>
        <w:ind w:left="851"/>
        <w:rPr>
          <w:sz w:val="24"/>
          <w:szCs w:val="24"/>
          <w:lang w:eastAsia="da-DK"/>
        </w:rPr>
      </w:pPr>
      <w:r w:rsidRPr="007A276A">
        <w:rPr>
          <w:sz w:val="24"/>
          <w:szCs w:val="24"/>
          <w:lang w:eastAsia="da-DK"/>
        </w:rPr>
        <w:t>DK-2300 København S</w:t>
      </w:r>
    </w:p>
    <w:p w:rsidR="0009432E" w:rsidRPr="007A276A" w:rsidRDefault="0009432E" w:rsidP="002A1420">
      <w:pPr>
        <w:ind w:left="851"/>
        <w:rPr>
          <w:sz w:val="24"/>
          <w:szCs w:val="24"/>
          <w:lang w:val="en-US" w:eastAsia="da-DK"/>
        </w:rPr>
      </w:pPr>
      <w:r w:rsidRPr="007A276A">
        <w:rPr>
          <w:sz w:val="24"/>
          <w:szCs w:val="24"/>
          <w:lang w:val="en-US" w:eastAsia="da-DK"/>
        </w:rPr>
        <w:t xml:space="preserve">Websted: </w:t>
      </w:r>
      <w:r w:rsidRPr="00F42FEA">
        <w:rPr>
          <w:sz w:val="24"/>
          <w:lang w:val="en-US" w:eastAsia="da-DK"/>
        </w:rPr>
        <w:t>www.meldenbivirkning.dk</w:t>
      </w:r>
    </w:p>
    <w:p w:rsidR="0009432E" w:rsidRPr="002A1420" w:rsidRDefault="0009432E" w:rsidP="002A1420">
      <w:pPr>
        <w:ind w:left="851"/>
        <w:rPr>
          <w:color w:val="0000FF"/>
          <w:sz w:val="24"/>
          <w:u w:val="single"/>
          <w:lang w:val="en-US" w:eastAsia="da-DK"/>
        </w:rPr>
      </w:pPr>
      <w:r w:rsidRPr="00995012">
        <w:rPr>
          <w:sz w:val="24"/>
          <w:szCs w:val="24"/>
          <w:lang w:val="en-US" w:eastAsia="da-DK"/>
        </w:rPr>
        <w:t xml:space="preserve">E-mail: </w:t>
      </w:r>
      <w:r w:rsidRPr="00F57E9D">
        <w:rPr>
          <w:sz w:val="24"/>
          <w:lang w:val="en-US" w:eastAsia="da-DK"/>
        </w:rPr>
        <w:t>dkma@dkma.dk</w:t>
      </w:r>
    </w:p>
    <w:p w:rsidR="00846499" w:rsidRPr="00846499" w:rsidRDefault="00846499" w:rsidP="009260DE">
      <w:pPr>
        <w:pStyle w:val="Sidehoved"/>
        <w:tabs>
          <w:tab w:val="left" w:pos="851"/>
        </w:tabs>
        <w:ind w:left="851"/>
        <w:rPr>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768E0" w:rsidRPr="00E768E0" w:rsidRDefault="00E768E0" w:rsidP="00E768E0">
      <w:pPr>
        <w:tabs>
          <w:tab w:val="left" w:pos="851"/>
        </w:tabs>
        <w:ind w:left="851"/>
        <w:rPr>
          <w:sz w:val="24"/>
          <w:szCs w:val="24"/>
        </w:rPr>
      </w:pPr>
      <w:r w:rsidRPr="00E768E0">
        <w:rPr>
          <w:sz w:val="24"/>
          <w:szCs w:val="24"/>
        </w:rPr>
        <w:t xml:space="preserve">I tilfælde af overdosering bør Aprepitant "Stada" seponeres og almindelig understøttende behandling og overvågning iværksættes. På grund af aprepitants antiemetiske virkning vil lægemiddelinduceret opkastning sandsynligvis ikke være effektiv. </w:t>
      </w:r>
    </w:p>
    <w:p w:rsidR="00E768E0" w:rsidRPr="00E768E0" w:rsidRDefault="00E768E0" w:rsidP="00E768E0">
      <w:pPr>
        <w:tabs>
          <w:tab w:val="left" w:pos="851"/>
        </w:tabs>
        <w:ind w:left="851"/>
        <w:rPr>
          <w:sz w:val="24"/>
          <w:szCs w:val="24"/>
        </w:rPr>
      </w:pPr>
    </w:p>
    <w:p w:rsidR="00E768E0" w:rsidRPr="00E768E0" w:rsidRDefault="00E768E0" w:rsidP="00E768E0">
      <w:pPr>
        <w:tabs>
          <w:tab w:val="left" w:pos="851"/>
        </w:tabs>
        <w:ind w:left="851"/>
        <w:rPr>
          <w:sz w:val="24"/>
          <w:szCs w:val="24"/>
        </w:rPr>
      </w:pPr>
      <w:r w:rsidRPr="00E768E0">
        <w:rPr>
          <w:sz w:val="24"/>
          <w:szCs w:val="24"/>
        </w:rPr>
        <w:t>Aprepitant kan ikke fjernes ved hæmodialyse</w:t>
      </w:r>
      <w:r w:rsidR="0006336B">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8E4EF1"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8E4EF1" w:rsidRPr="008E4EF1" w:rsidRDefault="008E4EF1" w:rsidP="008E4EF1">
      <w:pPr>
        <w:tabs>
          <w:tab w:val="left" w:pos="851"/>
        </w:tabs>
        <w:ind w:left="851"/>
        <w:rPr>
          <w:b/>
          <w:sz w:val="24"/>
          <w:szCs w:val="24"/>
        </w:rPr>
      </w:pPr>
      <w:r w:rsidRPr="008E4EF1">
        <w:rPr>
          <w:sz w:val="24"/>
          <w:szCs w:val="24"/>
        </w:rPr>
        <w:t>ATC-kode: A 04 AD 12. Antiemetika og kvalmestillende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8E4EF1" w:rsidRPr="008E4EF1" w:rsidRDefault="008E4EF1" w:rsidP="008E4EF1">
      <w:pPr>
        <w:tabs>
          <w:tab w:val="left" w:pos="851"/>
        </w:tabs>
        <w:ind w:left="851"/>
        <w:rPr>
          <w:sz w:val="24"/>
          <w:szCs w:val="24"/>
        </w:rPr>
      </w:pPr>
      <w:r w:rsidRPr="008E4EF1">
        <w:rPr>
          <w:sz w:val="24"/>
          <w:szCs w:val="24"/>
        </w:rPr>
        <w:t>Aprepitant er en selektiv højaffinitets antagonist på human substans P neurokinin 1 (NK1) receptorer.</w:t>
      </w:r>
    </w:p>
    <w:p w:rsidR="008E4EF1" w:rsidRPr="008E4EF1" w:rsidRDefault="008E4EF1" w:rsidP="008E4EF1">
      <w:pPr>
        <w:tabs>
          <w:tab w:val="left" w:pos="851"/>
        </w:tabs>
        <w:ind w:left="851"/>
        <w:rPr>
          <w:sz w:val="24"/>
          <w:szCs w:val="24"/>
        </w:rPr>
      </w:pPr>
    </w:p>
    <w:p w:rsidR="008E4EF1" w:rsidRPr="008E4EF1" w:rsidRDefault="008E4EF1" w:rsidP="008E4EF1">
      <w:pPr>
        <w:tabs>
          <w:tab w:val="left" w:pos="851"/>
        </w:tabs>
        <w:ind w:left="851"/>
        <w:rPr>
          <w:sz w:val="24"/>
          <w:szCs w:val="24"/>
          <w:u w:val="single"/>
        </w:rPr>
      </w:pPr>
      <w:r w:rsidRPr="008E4EF1">
        <w:rPr>
          <w:sz w:val="24"/>
          <w:szCs w:val="24"/>
          <w:u w:val="single"/>
        </w:rPr>
        <w:t xml:space="preserve">3-dages aprepitantregime hos voksne </w:t>
      </w:r>
    </w:p>
    <w:p w:rsidR="008E4EF1" w:rsidRPr="008E4EF1" w:rsidRDefault="008E4EF1" w:rsidP="008E4EF1">
      <w:pPr>
        <w:tabs>
          <w:tab w:val="left" w:pos="851"/>
        </w:tabs>
        <w:ind w:left="851"/>
        <w:rPr>
          <w:sz w:val="24"/>
          <w:szCs w:val="24"/>
        </w:rPr>
      </w:pPr>
      <w:r w:rsidRPr="008E4EF1">
        <w:rPr>
          <w:sz w:val="24"/>
          <w:szCs w:val="24"/>
        </w:rPr>
        <w:t xml:space="preserve">I 2 randomiserede, dobbeltblindede undersøgelser omfattende totalt 1.094 voksne patienter, der fik kemoterapi, inkluderende cisplatin </w:t>
      </w:r>
      <w:r w:rsidRPr="008E4EF1">
        <w:rPr>
          <w:sz w:val="24"/>
          <w:szCs w:val="24"/>
        </w:rPr>
        <w:sym w:font="Symbol" w:char="F0B3"/>
      </w:r>
      <w:r w:rsidRPr="008E4EF1">
        <w:rPr>
          <w:sz w:val="24"/>
          <w:szCs w:val="24"/>
        </w:rPr>
        <w:t xml:space="preserve"> 70 mg/m2 , blev aprepitant i kombination med et ondansetron/dexamethason behandlingsregime (se pkt. 4.2) sammenlignet med standardbehandlingsregime (placebo plus ondansetron 32 mg intravenøst på dag 1 plus dexamethason 20 mg oralt på dag 1 og 8 mg oralt to gange </w:t>
      </w:r>
      <w:r w:rsidR="00FA3128">
        <w:rPr>
          <w:sz w:val="24"/>
          <w:szCs w:val="24"/>
        </w:rPr>
        <w:t>daglig</w:t>
      </w:r>
      <w:r w:rsidRPr="008E4EF1">
        <w:rPr>
          <w:sz w:val="24"/>
          <w:szCs w:val="24"/>
        </w:rPr>
        <w:t xml:space="preserve"> på dag 2 til 4). Selvom en intravenøs ondansetrondosis på 32 mg blev anvendt i kliniske studier, er dette ikke længere den anbefalede dosis. Se produktinformationen for den valgte 5-HT3-antagonist for information om hensigtsmæssig dosering.</w:t>
      </w:r>
    </w:p>
    <w:p w:rsidR="008E4EF1" w:rsidRPr="008E4EF1" w:rsidRDefault="008E4EF1" w:rsidP="008E4EF1">
      <w:pPr>
        <w:tabs>
          <w:tab w:val="left" w:pos="851"/>
        </w:tabs>
        <w:ind w:left="851"/>
        <w:rPr>
          <w:sz w:val="24"/>
          <w:szCs w:val="24"/>
        </w:rPr>
      </w:pPr>
    </w:p>
    <w:p w:rsidR="008E4EF1" w:rsidRPr="008E4EF1" w:rsidRDefault="008E4EF1" w:rsidP="008E4EF1">
      <w:pPr>
        <w:tabs>
          <w:tab w:val="left" w:pos="851"/>
        </w:tabs>
        <w:ind w:left="851"/>
        <w:rPr>
          <w:sz w:val="24"/>
          <w:szCs w:val="24"/>
        </w:rPr>
      </w:pPr>
      <w:r w:rsidRPr="008E4EF1">
        <w:rPr>
          <w:sz w:val="24"/>
          <w:szCs w:val="24"/>
        </w:rPr>
        <w:t>Virkningen var baseret på evaluering af følgende sammensatte mål: Komplet respons (defineret som ingen emetiske episoder og ingen brug af erstatningsterapi) primært i cyklus 1. Resultaterne evalueredes for hver enkelt undersøgelse og kombineret for begge undersøgelser.</w:t>
      </w:r>
    </w:p>
    <w:p w:rsidR="0006336B" w:rsidRDefault="0006336B">
      <w:pPr>
        <w:rPr>
          <w:sz w:val="24"/>
          <w:szCs w:val="24"/>
        </w:rPr>
      </w:pPr>
      <w:r>
        <w:rPr>
          <w:sz w:val="24"/>
          <w:szCs w:val="24"/>
        </w:rPr>
        <w:br w:type="page"/>
      </w:r>
    </w:p>
    <w:p w:rsidR="008E4EF1" w:rsidRPr="008E4EF1" w:rsidRDefault="008E4EF1" w:rsidP="008E4EF1">
      <w:pPr>
        <w:tabs>
          <w:tab w:val="left" w:pos="851"/>
        </w:tabs>
        <w:ind w:left="851"/>
        <w:rPr>
          <w:sz w:val="24"/>
          <w:szCs w:val="24"/>
        </w:rPr>
      </w:pPr>
    </w:p>
    <w:p w:rsidR="008E4EF1" w:rsidRPr="008E4EF1" w:rsidRDefault="008E4EF1" w:rsidP="008E4EF1">
      <w:pPr>
        <w:tabs>
          <w:tab w:val="left" w:pos="851"/>
        </w:tabs>
        <w:ind w:left="851"/>
        <w:rPr>
          <w:sz w:val="24"/>
          <w:szCs w:val="24"/>
        </w:rPr>
      </w:pPr>
      <w:r w:rsidRPr="008E4EF1">
        <w:rPr>
          <w:sz w:val="24"/>
          <w:szCs w:val="24"/>
        </w:rPr>
        <w:t>En opsummering af nøgleresultaterne for den kombinerede analyse kan ses i tabel 1.</w:t>
      </w:r>
    </w:p>
    <w:p w:rsidR="008E4EF1" w:rsidRPr="008E4EF1" w:rsidRDefault="008E4EF1" w:rsidP="008E4EF1">
      <w:pPr>
        <w:tabs>
          <w:tab w:val="left" w:pos="851"/>
        </w:tabs>
        <w:ind w:left="851"/>
        <w:rPr>
          <w:sz w:val="24"/>
          <w:szCs w:val="24"/>
        </w:rPr>
      </w:pPr>
    </w:p>
    <w:p w:rsidR="008E4EF1" w:rsidRPr="008E4EF1" w:rsidRDefault="008E4EF1" w:rsidP="008E4EF1">
      <w:pPr>
        <w:tabs>
          <w:tab w:val="left" w:pos="851"/>
        </w:tabs>
        <w:ind w:left="851"/>
        <w:jc w:val="center"/>
        <w:rPr>
          <w:sz w:val="24"/>
          <w:szCs w:val="24"/>
        </w:rPr>
      </w:pPr>
      <w:r w:rsidRPr="008E4EF1">
        <w:rPr>
          <w:sz w:val="24"/>
          <w:szCs w:val="24"/>
        </w:rPr>
        <w:t>Tabel 1</w:t>
      </w:r>
    </w:p>
    <w:p w:rsidR="008E4EF1" w:rsidRPr="008E4EF1" w:rsidRDefault="008E4EF1" w:rsidP="008E4EF1">
      <w:pPr>
        <w:tabs>
          <w:tab w:val="left" w:pos="851"/>
        </w:tabs>
        <w:ind w:left="851"/>
        <w:jc w:val="center"/>
        <w:rPr>
          <w:sz w:val="24"/>
          <w:szCs w:val="24"/>
        </w:rPr>
      </w:pPr>
      <w:r w:rsidRPr="008E4EF1">
        <w:rPr>
          <w:sz w:val="24"/>
          <w:szCs w:val="24"/>
        </w:rPr>
        <w:t>Procent voksne patienter, som responderer pr. behandlingsgruppe og fase - cyklus 1</w:t>
      </w:r>
    </w:p>
    <w:p w:rsidR="008E4EF1" w:rsidRPr="008E4EF1" w:rsidRDefault="008E4EF1" w:rsidP="008E4EF1">
      <w:pPr>
        <w:tabs>
          <w:tab w:val="left" w:pos="851"/>
        </w:tabs>
        <w:ind w:left="851"/>
        <w:jc w:val="center"/>
        <w:rPr>
          <w:sz w:val="24"/>
          <w:szCs w:val="24"/>
        </w:rPr>
      </w:pPr>
      <w:r w:rsidRPr="008E4EF1">
        <w:rPr>
          <w:sz w:val="24"/>
          <w:szCs w:val="24"/>
        </w:rPr>
        <w:t>Højemetogen kemoterapibehandling</w:t>
      </w:r>
    </w:p>
    <w:p w:rsidR="009260DE" w:rsidRDefault="009260DE" w:rsidP="009260DE">
      <w:pPr>
        <w:tabs>
          <w:tab w:val="left" w:pos="851"/>
        </w:tabs>
        <w:ind w:left="851"/>
        <w:rPr>
          <w:sz w:val="24"/>
          <w:szCs w:val="24"/>
        </w:rPr>
      </w:pPr>
    </w:p>
    <w:tbl>
      <w:tblPr>
        <w:tblW w:w="91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68"/>
        <w:gridCol w:w="1936"/>
        <w:gridCol w:w="1418"/>
        <w:gridCol w:w="1705"/>
      </w:tblGrid>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p>
        </w:tc>
        <w:tc>
          <w:tcPr>
            <w:tcW w:w="1868" w:type="dxa"/>
            <w:shd w:val="clear" w:color="auto" w:fill="auto"/>
          </w:tcPr>
          <w:p w:rsidR="008E4EF1" w:rsidRPr="003F58FE" w:rsidRDefault="008E4EF1" w:rsidP="00A64291">
            <w:pPr>
              <w:pStyle w:val="Brdtekst"/>
              <w:spacing w:before="95" w:line="237" w:lineRule="auto"/>
              <w:ind w:left="120"/>
              <w:rPr>
                <w:rFonts w:eastAsia="Calibri"/>
                <w:sz w:val="20"/>
                <w:szCs w:val="20"/>
              </w:rPr>
            </w:pPr>
            <w:r w:rsidRPr="003F58FE">
              <w:rPr>
                <w:rFonts w:eastAsia="Calibri"/>
                <w:sz w:val="20"/>
                <w:szCs w:val="20"/>
              </w:rPr>
              <w:t>Aprepitantregime (N= 521) †</w:t>
            </w:r>
          </w:p>
          <w:p w:rsidR="008E4EF1" w:rsidRPr="003F58FE" w:rsidRDefault="008E4EF1" w:rsidP="00A64291">
            <w:pPr>
              <w:pStyle w:val="Brdtekst"/>
              <w:spacing w:before="1"/>
              <w:ind w:left="119"/>
              <w:rPr>
                <w:rFonts w:eastAsia="Calibri"/>
                <w:sz w:val="20"/>
                <w:szCs w:val="20"/>
              </w:rPr>
            </w:pPr>
            <w:r w:rsidRPr="003F58FE">
              <w:rPr>
                <w:rFonts w:eastAsia="Calibri"/>
                <w:sz w:val="20"/>
                <w:szCs w:val="20"/>
              </w:rPr>
              <w:t>%</w:t>
            </w:r>
          </w:p>
          <w:p w:rsidR="008E4EF1" w:rsidRPr="003F58FE" w:rsidRDefault="008E4EF1" w:rsidP="00A64291">
            <w:pPr>
              <w:pStyle w:val="Brdtekst"/>
              <w:ind w:right="11"/>
              <w:rPr>
                <w:rFonts w:eastAsia="Calibri"/>
                <w:sz w:val="20"/>
                <w:szCs w:val="20"/>
              </w:rPr>
            </w:pPr>
          </w:p>
        </w:tc>
        <w:tc>
          <w:tcPr>
            <w:tcW w:w="1936" w:type="dxa"/>
            <w:shd w:val="clear" w:color="auto" w:fill="auto"/>
          </w:tcPr>
          <w:p w:rsidR="008E4EF1" w:rsidRPr="003F58FE" w:rsidRDefault="008E4EF1" w:rsidP="00A64291">
            <w:pPr>
              <w:pStyle w:val="Brdtekst"/>
              <w:spacing w:before="95" w:line="237" w:lineRule="auto"/>
              <w:ind w:left="120"/>
              <w:rPr>
                <w:rFonts w:eastAsia="Calibri"/>
                <w:sz w:val="20"/>
                <w:szCs w:val="20"/>
              </w:rPr>
            </w:pPr>
            <w:r w:rsidRPr="003F58FE">
              <w:rPr>
                <w:rFonts w:eastAsia="Calibri"/>
                <w:sz w:val="20"/>
                <w:szCs w:val="20"/>
              </w:rPr>
              <w:t>Standardbehandling (N= 524) †</w:t>
            </w:r>
          </w:p>
          <w:p w:rsidR="008E4EF1" w:rsidRPr="003F58FE" w:rsidRDefault="008E4EF1" w:rsidP="00A64291">
            <w:pPr>
              <w:pStyle w:val="Brdtekst"/>
              <w:ind w:left="120" w:right="11"/>
              <w:rPr>
                <w:rFonts w:eastAsia="Calibri"/>
                <w:sz w:val="20"/>
                <w:szCs w:val="20"/>
              </w:rPr>
            </w:pPr>
            <w:r w:rsidRPr="003F58FE">
              <w:rPr>
                <w:rFonts w:eastAsia="Calibri"/>
                <w:sz w:val="20"/>
                <w:szCs w:val="20"/>
              </w:rPr>
              <w:t>%</w:t>
            </w:r>
          </w:p>
        </w:tc>
        <w:tc>
          <w:tcPr>
            <w:tcW w:w="1418" w:type="dxa"/>
            <w:shd w:val="clear" w:color="auto" w:fill="auto"/>
          </w:tcPr>
          <w:p w:rsidR="008E4EF1" w:rsidRPr="003F58FE" w:rsidRDefault="008E4EF1" w:rsidP="00A64291">
            <w:pPr>
              <w:pStyle w:val="Brdtekst"/>
              <w:ind w:right="11"/>
              <w:jc w:val="center"/>
              <w:rPr>
                <w:rFonts w:eastAsia="Calibri"/>
                <w:sz w:val="20"/>
                <w:szCs w:val="20"/>
              </w:rPr>
            </w:pPr>
          </w:p>
          <w:p w:rsidR="008E4EF1" w:rsidRPr="003F58FE" w:rsidRDefault="008E4EF1" w:rsidP="00A64291">
            <w:pPr>
              <w:pStyle w:val="Brdtekst"/>
              <w:ind w:right="11"/>
              <w:jc w:val="center"/>
              <w:rPr>
                <w:rFonts w:eastAsia="Calibri"/>
                <w:sz w:val="20"/>
                <w:szCs w:val="20"/>
              </w:rPr>
            </w:pPr>
            <w:r w:rsidRPr="003F58FE">
              <w:rPr>
                <w:rFonts w:eastAsia="Calibri"/>
                <w:sz w:val="20"/>
                <w:szCs w:val="20"/>
              </w:rPr>
              <w:t>%</w:t>
            </w:r>
          </w:p>
        </w:tc>
        <w:tc>
          <w:tcPr>
            <w:tcW w:w="1705" w:type="dxa"/>
            <w:shd w:val="clear" w:color="auto" w:fill="auto"/>
          </w:tcPr>
          <w:p w:rsidR="008E4EF1" w:rsidRPr="003F58FE" w:rsidRDefault="008E4EF1" w:rsidP="00A64291">
            <w:pPr>
              <w:pStyle w:val="Brdtekst"/>
              <w:spacing w:before="92"/>
              <w:ind w:left="196"/>
              <w:rPr>
                <w:rFonts w:eastAsia="Calibri"/>
                <w:sz w:val="20"/>
                <w:szCs w:val="20"/>
              </w:rPr>
            </w:pPr>
            <w:r w:rsidRPr="003F58FE">
              <w:rPr>
                <w:rFonts w:eastAsia="Calibri"/>
                <w:sz w:val="20"/>
                <w:szCs w:val="20"/>
              </w:rPr>
              <w:t>Forskelle*</w:t>
            </w:r>
          </w:p>
          <w:p w:rsidR="008E4EF1" w:rsidRPr="003F58FE" w:rsidRDefault="008E4EF1" w:rsidP="00A64291">
            <w:pPr>
              <w:pStyle w:val="Brdtekst"/>
              <w:ind w:left="196"/>
              <w:rPr>
                <w:rFonts w:eastAsia="Calibri"/>
                <w:sz w:val="20"/>
                <w:szCs w:val="20"/>
              </w:rPr>
            </w:pPr>
            <w:r w:rsidRPr="003F58FE">
              <w:rPr>
                <w:rFonts w:eastAsia="Calibri"/>
                <w:sz w:val="20"/>
                <w:szCs w:val="20"/>
              </w:rPr>
              <w:t>(95% CI)</w:t>
            </w:r>
          </w:p>
          <w:p w:rsidR="008E4EF1" w:rsidRPr="003F58FE" w:rsidRDefault="008E4EF1" w:rsidP="00A64291">
            <w:pPr>
              <w:pStyle w:val="Brdtekst"/>
              <w:ind w:left="196" w:right="11"/>
              <w:rPr>
                <w:rFonts w:eastAsia="Calibri"/>
                <w:sz w:val="20"/>
                <w:szCs w:val="20"/>
              </w:rPr>
            </w:pPr>
          </w:p>
        </w:tc>
      </w:tr>
      <w:tr w:rsidR="008E4EF1" w:rsidRPr="004676B2" w:rsidTr="0006336B">
        <w:tc>
          <w:tcPr>
            <w:tcW w:w="9190" w:type="dxa"/>
            <w:gridSpan w:val="5"/>
            <w:shd w:val="clear" w:color="auto" w:fill="auto"/>
          </w:tcPr>
          <w:p w:rsidR="008E4EF1" w:rsidRPr="003F58FE" w:rsidRDefault="008E4EF1" w:rsidP="00A64291">
            <w:pPr>
              <w:pStyle w:val="Brdtekst"/>
              <w:ind w:left="29" w:right="11"/>
              <w:rPr>
                <w:rFonts w:eastAsia="Calibri"/>
                <w:sz w:val="20"/>
                <w:szCs w:val="20"/>
              </w:rPr>
            </w:pPr>
            <w:r w:rsidRPr="003F58FE">
              <w:rPr>
                <w:rFonts w:eastAsia="Calibri"/>
                <w:sz w:val="20"/>
                <w:szCs w:val="20"/>
              </w:rPr>
              <w:t>SAMMENSATTE MÅL</w:t>
            </w:r>
          </w:p>
        </w:tc>
      </w:tr>
      <w:tr w:rsidR="008E4EF1" w:rsidRPr="004676B2" w:rsidTr="0006336B">
        <w:tc>
          <w:tcPr>
            <w:tcW w:w="9190" w:type="dxa"/>
            <w:gridSpan w:val="5"/>
            <w:shd w:val="clear" w:color="auto" w:fill="auto"/>
          </w:tcPr>
          <w:p w:rsidR="008E4EF1" w:rsidRPr="003F58FE" w:rsidRDefault="008E4EF1" w:rsidP="00A64291">
            <w:pPr>
              <w:pStyle w:val="Brdtekst"/>
              <w:ind w:left="196" w:right="11"/>
              <w:rPr>
                <w:rFonts w:eastAsia="Calibri"/>
                <w:sz w:val="20"/>
                <w:szCs w:val="20"/>
              </w:rPr>
            </w:pPr>
          </w:p>
        </w:tc>
      </w:tr>
      <w:tr w:rsidR="008E4EF1" w:rsidRPr="004676B2" w:rsidTr="0006336B">
        <w:tc>
          <w:tcPr>
            <w:tcW w:w="9190" w:type="dxa"/>
            <w:gridSpan w:val="5"/>
            <w:shd w:val="clear" w:color="auto" w:fill="auto"/>
          </w:tcPr>
          <w:p w:rsidR="008E4EF1" w:rsidRPr="003F58FE" w:rsidRDefault="008E4EF1" w:rsidP="00A64291">
            <w:pPr>
              <w:pStyle w:val="Overskrift1"/>
              <w:ind w:left="29"/>
              <w:rPr>
                <w:rFonts w:eastAsia="Calibri"/>
                <w:sz w:val="20"/>
              </w:rPr>
            </w:pPr>
            <w:r w:rsidRPr="003F58FE">
              <w:rPr>
                <w:rFonts w:eastAsia="Calibri"/>
                <w:sz w:val="20"/>
              </w:rPr>
              <w:t>Komplet respons (ingen opkastning og ingen erstatningsterapi)</w:t>
            </w:r>
          </w:p>
        </w:tc>
      </w:tr>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r w:rsidRPr="003F58FE">
              <w:rPr>
                <w:rFonts w:eastAsia="Calibri"/>
                <w:sz w:val="20"/>
                <w:szCs w:val="20"/>
              </w:rPr>
              <w:t>Total (0-120 timer)</w:t>
            </w:r>
          </w:p>
        </w:tc>
        <w:tc>
          <w:tcPr>
            <w:tcW w:w="186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67,7</w:t>
            </w:r>
          </w:p>
        </w:tc>
        <w:tc>
          <w:tcPr>
            <w:tcW w:w="1936" w:type="dxa"/>
            <w:shd w:val="clear" w:color="auto" w:fill="auto"/>
          </w:tcPr>
          <w:p w:rsidR="008E4EF1" w:rsidRPr="003F58FE" w:rsidRDefault="008E4EF1" w:rsidP="00A64291">
            <w:pPr>
              <w:pStyle w:val="Brdtekst"/>
              <w:ind w:left="120" w:right="11"/>
              <w:jc w:val="center"/>
              <w:rPr>
                <w:rFonts w:eastAsia="Calibri"/>
                <w:sz w:val="20"/>
                <w:szCs w:val="20"/>
              </w:rPr>
            </w:pPr>
            <w:r w:rsidRPr="003F58FE">
              <w:rPr>
                <w:rFonts w:eastAsia="Calibri"/>
                <w:sz w:val="20"/>
                <w:szCs w:val="20"/>
              </w:rPr>
              <w:t>47,8</w:t>
            </w:r>
          </w:p>
        </w:tc>
        <w:tc>
          <w:tcPr>
            <w:tcW w:w="141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19,9</w:t>
            </w:r>
          </w:p>
        </w:tc>
        <w:tc>
          <w:tcPr>
            <w:tcW w:w="1705" w:type="dxa"/>
            <w:shd w:val="clear" w:color="auto" w:fill="auto"/>
          </w:tcPr>
          <w:p w:rsidR="008E4EF1" w:rsidRPr="003F58FE" w:rsidRDefault="008E4EF1" w:rsidP="00A64291">
            <w:pPr>
              <w:pStyle w:val="Brdtekst"/>
              <w:ind w:left="196" w:right="11"/>
              <w:jc w:val="center"/>
              <w:rPr>
                <w:rFonts w:eastAsia="Calibri"/>
                <w:sz w:val="20"/>
                <w:szCs w:val="20"/>
              </w:rPr>
            </w:pPr>
            <w:r w:rsidRPr="003F58FE">
              <w:rPr>
                <w:rFonts w:eastAsia="Calibri"/>
                <w:sz w:val="20"/>
                <w:szCs w:val="20"/>
              </w:rPr>
              <w:t>(14,0; 25,8)</w:t>
            </w:r>
          </w:p>
        </w:tc>
      </w:tr>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r w:rsidRPr="003F58FE">
              <w:rPr>
                <w:rFonts w:eastAsia="Calibri"/>
                <w:sz w:val="20"/>
                <w:szCs w:val="20"/>
              </w:rPr>
              <w:t>0-24 timer</w:t>
            </w:r>
          </w:p>
        </w:tc>
        <w:tc>
          <w:tcPr>
            <w:tcW w:w="186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86,0</w:t>
            </w:r>
          </w:p>
        </w:tc>
        <w:tc>
          <w:tcPr>
            <w:tcW w:w="1936" w:type="dxa"/>
            <w:shd w:val="clear" w:color="auto" w:fill="auto"/>
          </w:tcPr>
          <w:p w:rsidR="008E4EF1" w:rsidRPr="003F58FE" w:rsidRDefault="008E4EF1" w:rsidP="00A64291">
            <w:pPr>
              <w:pStyle w:val="Brdtekst"/>
              <w:ind w:left="120" w:right="11"/>
              <w:jc w:val="center"/>
              <w:rPr>
                <w:rFonts w:eastAsia="Calibri"/>
                <w:sz w:val="20"/>
                <w:szCs w:val="20"/>
              </w:rPr>
            </w:pPr>
            <w:r w:rsidRPr="003F58FE">
              <w:rPr>
                <w:rFonts w:eastAsia="Calibri"/>
                <w:sz w:val="20"/>
                <w:szCs w:val="20"/>
              </w:rPr>
              <w:t>73,2</w:t>
            </w:r>
          </w:p>
        </w:tc>
        <w:tc>
          <w:tcPr>
            <w:tcW w:w="141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12,7</w:t>
            </w:r>
          </w:p>
        </w:tc>
        <w:tc>
          <w:tcPr>
            <w:tcW w:w="1705" w:type="dxa"/>
            <w:shd w:val="clear" w:color="auto" w:fill="auto"/>
          </w:tcPr>
          <w:p w:rsidR="008E4EF1" w:rsidRPr="003F58FE" w:rsidRDefault="008E4EF1" w:rsidP="00A64291">
            <w:pPr>
              <w:pStyle w:val="Brdtekst"/>
              <w:ind w:left="196" w:right="11"/>
              <w:jc w:val="center"/>
              <w:rPr>
                <w:rFonts w:eastAsia="Calibri"/>
                <w:sz w:val="20"/>
                <w:szCs w:val="20"/>
              </w:rPr>
            </w:pPr>
            <w:r w:rsidRPr="003F58FE">
              <w:rPr>
                <w:rFonts w:eastAsia="Calibri"/>
                <w:sz w:val="20"/>
                <w:szCs w:val="20"/>
              </w:rPr>
              <w:t>(7,9; 17,6)</w:t>
            </w:r>
          </w:p>
        </w:tc>
      </w:tr>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r w:rsidRPr="003F58FE">
              <w:rPr>
                <w:rFonts w:eastAsia="Calibri"/>
                <w:sz w:val="20"/>
                <w:szCs w:val="20"/>
              </w:rPr>
              <w:t>25-120 timer</w:t>
            </w:r>
          </w:p>
        </w:tc>
        <w:tc>
          <w:tcPr>
            <w:tcW w:w="186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71,5</w:t>
            </w:r>
          </w:p>
        </w:tc>
        <w:tc>
          <w:tcPr>
            <w:tcW w:w="1936" w:type="dxa"/>
            <w:shd w:val="clear" w:color="auto" w:fill="auto"/>
          </w:tcPr>
          <w:p w:rsidR="008E4EF1" w:rsidRPr="003F58FE" w:rsidRDefault="008E4EF1" w:rsidP="00A64291">
            <w:pPr>
              <w:pStyle w:val="Brdtekst"/>
              <w:ind w:left="120" w:right="11"/>
              <w:jc w:val="center"/>
              <w:rPr>
                <w:rFonts w:eastAsia="Calibri"/>
                <w:sz w:val="20"/>
                <w:szCs w:val="20"/>
              </w:rPr>
            </w:pPr>
            <w:r w:rsidRPr="003F58FE">
              <w:rPr>
                <w:rFonts w:eastAsia="Calibri"/>
                <w:sz w:val="20"/>
                <w:szCs w:val="20"/>
              </w:rPr>
              <w:t>51,2</w:t>
            </w:r>
          </w:p>
        </w:tc>
        <w:tc>
          <w:tcPr>
            <w:tcW w:w="141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20,3</w:t>
            </w:r>
          </w:p>
        </w:tc>
        <w:tc>
          <w:tcPr>
            <w:tcW w:w="1705" w:type="dxa"/>
            <w:shd w:val="clear" w:color="auto" w:fill="auto"/>
          </w:tcPr>
          <w:p w:rsidR="008E4EF1" w:rsidRPr="003F58FE" w:rsidRDefault="008E4EF1" w:rsidP="00A64291">
            <w:pPr>
              <w:pStyle w:val="Brdtekst"/>
              <w:ind w:left="196" w:right="11"/>
              <w:jc w:val="center"/>
              <w:rPr>
                <w:rFonts w:eastAsia="Calibri"/>
                <w:sz w:val="20"/>
                <w:szCs w:val="20"/>
              </w:rPr>
            </w:pPr>
            <w:r w:rsidRPr="003F58FE">
              <w:rPr>
                <w:rFonts w:eastAsia="Calibri"/>
                <w:sz w:val="20"/>
                <w:szCs w:val="20"/>
              </w:rPr>
              <w:t>(14,5; 26,1)</w:t>
            </w:r>
          </w:p>
        </w:tc>
      </w:tr>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p>
        </w:tc>
        <w:tc>
          <w:tcPr>
            <w:tcW w:w="1868" w:type="dxa"/>
            <w:shd w:val="clear" w:color="auto" w:fill="auto"/>
          </w:tcPr>
          <w:p w:rsidR="008E4EF1" w:rsidRPr="003F58FE" w:rsidRDefault="008E4EF1" w:rsidP="00A64291">
            <w:pPr>
              <w:pStyle w:val="Brdtekst"/>
              <w:ind w:right="11"/>
              <w:rPr>
                <w:rFonts w:eastAsia="Calibri"/>
                <w:sz w:val="20"/>
                <w:szCs w:val="20"/>
              </w:rPr>
            </w:pPr>
          </w:p>
        </w:tc>
        <w:tc>
          <w:tcPr>
            <w:tcW w:w="1936" w:type="dxa"/>
            <w:shd w:val="clear" w:color="auto" w:fill="auto"/>
          </w:tcPr>
          <w:p w:rsidR="008E4EF1" w:rsidRPr="003F58FE" w:rsidRDefault="008E4EF1" w:rsidP="00A64291">
            <w:pPr>
              <w:pStyle w:val="Brdtekst"/>
              <w:ind w:left="120" w:right="11"/>
              <w:rPr>
                <w:rFonts w:eastAsia="Calibri"/>
                <w:sz w:val="20"/>
                <w:szCs w:val="20"/>
              </w:rPr>
            </w:pPr>
          </w:p>
        </w:tc>
        <w:tc>
          <w:tcPr>
            <w:tcW w:w="1418" w:type="dxa"/>
            <w:shd w:val="clear" w:color="auto" w:fill="auto"/>
          </w:tcPr>
          <w:p w:rsidR="008E4EF1" w:rsidRPr="003F58FE" w:rsidRDefault="008E4EF1" w:rsidP="00A64291">
            <w:pPr>
              <w:pStyle w:val="Brdtekst"/>
              <w:ind w:right="11"/>
              <w:rPr>
                <w:rFonts w:eastAsia="Calibri"/>
                <w:sz w:val="20"/>
                <w:szCs w:val="20"/>
              </w:rPr>
            </w:pPr>
          </w:p>
        </w:tc>
        <w:tc>
          <w:tcPr>
            <w:tcW w:w="1705" w:type="dxa"/>
            <w:shd w:val="clear" w:color="auto" w:fill="auto"/>
          </w:tcPr>
          <w:p w:rsidR="008E4EF1" w:rsidRPr="003F58FE" w:rsidRDefault="008E4EF1" w:rsidP="00A64291">
            <w:pPr>
              <w:pStyle w:val="Brdtekst"/>
              <w:ind w:left="196" w:right="11"/>
              <w:rPr>
                <w:rFonts w:eastAsia="Calibri"/>
                <w:sz w:val="20"/>
                <w:szCs w:val="20"/>
              </w:rPr>
            </w:pPr>
          </w:p>
        </w:tc>
      </w:tr>
      <w:tr w:rsidR="008E4EF1" w:rsidRPr="004676B2" w:rsidTr="0006336B">
        <w:tc>
          <w:tcPr>
            <w:tcW w:w="9190" w:type="dxa"/>
            <w:gridSpan w:val="5"/>
            <w:shd w:val="clear" w:color="auto" w:fill="auto"/>
          </w:tcPr>
          <w:p w:rsidR="008E4EF1" w:rsidRPr="003F58FE" w:rsidRDefault="008E4EF1" w:rsidP="00A64291">
            <w:pPr>
              <w:pStyle w:val="Brdtekst"/>
              <w:ind w:right="11"/>
              <w:rPr>
                <w:rFonts w:eastAsia="Calibri"/>
                <w:sz w:val="20"/>
                <w:szCs w:val="20"/>
              </w:rPr>
            </w:pPr>
            <w:r w:rsidRPr="003F58FE">
              <w:rPr>
                <w:rFonts w:eastAsia="Calibri"/>
                <w:sz w:val="20"/>
                <w:szCs w:val="20"/>
              </w:rPr>
              <w:t>INDIVIDUELLE MÅL</w:t>
            </w:r>
          </w:p>
        </w:tc>
      </w:tr>
      <w:tr w:rsidR="008E4EF1" w:rsidRPr="004676B2" w:rsidTr="0006336B">
        <w:tc>
          <w:tcPr>
            <w:tcW w:w="9190" w:type="dxa"/>
            <w:gridSpan w:val="5"/>
            <w:shd w:val="clear" w:color="auto" w:fill="auto"/>
          </w:tcPr>
          <w:p w:rsidR="008E4EF1" w:rsidRPr="003F58FE" w:rsidRDefault="008E4EF1" w:rsidP="00A64291">
            <w:pPr>
              <w:pStyle w:val="Brdtekst"/>
              <w:ind w:left="196" w:right="11"/>
              <w:rPr>
                <w:rFonts w:eastAsia="Calibri"/>
                <w:sz w:val="20"/>
                <w:szCs w:val="20"/>
              </w:rPr>
            </w:pPr>
          </w:p>
        </w:tc>
      </w:tr>
      <w:tr w:rsidR="008E4EF1" w:rsidRPr="004676B2" w:rsidTr="0006336B">
        <w:tc>
          <w:tcPr>
            <w:tcW w:w="9190" w:type="dxa"/>
            <w:gridSpan w:val="5"/>
            <w:shd w:val="clear" w:color="auto" w:fill="auto"/>
          </w:tcPr>
          <w:p w:rsidR="008E4EF1" w:rsidRPr="003F58FE" w:rsidRDefault="008E4EF1" w:rsidP="00A64291">
            <w:pPr>
              <w:rPr>
                <w:rFonts w:eastAsia="Calibri"/>
                <w:b/>
                <w:sz w:val="20"/>
              </w:rPr>
            </w:pPr>
            <w:r w:rsidRPr="003F58FE">
              <w:rPr>
                <w:rFonts w:eastAsia="Calibri"/>
                <w:b/>
                <w:sz w:val="20"/>
              </w:rPr>
              <w:t>Ingen opkastning (ingen opkastning uden hensyn til brug af erstatningsterapi)</w:t>
            </w:r>
          </w:p>
        </w:tc>
      </w:tr>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r w:rsidRPr="003F58FE">
              <w:rPr>
                <w:rFonts w:eastAsia="Calibri"/>
                <w:sz w:val="20"/>
                <w:szCs w:val="20"/>
              </w:rPr>
              <w:t>Total (0-120 timer)</w:t>
            </w:r>
          </w:p>
        </w:tc>
        <w:tc>
          <w:tcPr>
            <w:tcW w:w="186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71,9</w:t>
            </w:r>
          </w:p>
        </w:tc>
        <w:tc>
          <w:tcPr>
            <w:tcW w:w="1936" w:type="dxa"/>
            <w:shd w:val="clear" w:color="auto" w:fill="auto"/>
          </w:tcPr>
          <w:p w:rsidR="008E4EF1" w:rsidRPr="003F58FE" w:rsidRDefault="008E4EF1" w:rsidP="00A64291">
            <w:pPr>
              <w:pStyle w:val="Brdtekst"/>
              <w:ind w:left="120" w:right="11"/>
              <w:jc w:val="center"/>
              <w:rPr>
                <w:rFonts w:eastAsia="Calibri"/>
                <w:sz w:val="20"/>
                <w:szCs w:val="20"/>
              </w:rPr>
            </w:pPr>
            <w:r w:rsidRPr="003F58FE">
              <w:rPr>
                <w:rFonts w:eastAsia="Calibri"/>
                <w:sz w:val="20"/>
                <w:szCs w:val="20"/>
              </w:rPr>
              <w:t>49,7</w:t>
            </w:r>
          </w:p>
        </w:tc>
        <w:tc>
          <w:tcPr>
            <w:tcW w:w="141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22,2</w:t>
            </w:r>
          </w:p>
        </w:tc>
        <w:tc>
          <w:tcPr>
            <w:tcW w:w="1705" w:type="dxa"/>
            <w:shd w:val="clear" w:color="auto" w:fill="auto"/>
          </w:tcPr>
          <w:p w:rsidR="008E4EF1" w:rsidRPr="003F58FE" w:rsidRDefault="008E4EF1" w:rsidP="00A64291">
            <w:pPr>
              <w:pStyle w:val="Brdtekst"/>
              <w:ind w:left="196" w:right="11"/>
              <w:jc w:val="center"/>
              <w:rPr>
                <w:rFonts w:eastAsia="Calibri"/>
                <w:sz w:val="20"/>
                <w:szCs w:val="20"/>
              </w:rPr>
            </w:pPr>
            <w:r w:rsidRPr="003F58FE">
              <w:rPr>
                <w:rFonts w:eastAsia="Calibri"/>
                <w:sz w:val="20"/>
                <w:szCs w:val="20"/>
              </w:rPr>
              <w:t>(16,4; 28,0)</w:t>
            </w:r>
          </w:p>
        </w:tc>
      </w:tr>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r w:rsidRPr="003F58FE">
              <w:rPr>
                <w:rFonts w:eastAsia="Calibri"/>
                <w:sz w:val="20"/>
                <w:szCs w:val="20"/>
              </w:rPr>
              <w:t>0-24 timer</w:t>
            </w:r>
          </w:p>
        </w:tc>
        <w:tc>
          <w:tcPr>
            <w:tcW w:w="186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86,8</w:t>
            </w:r>
          </w:p>
        </w:tc>
        <w:tc>
          <w:tcPr>
            <w:tcW w:w="1936" w:type="dxa"/>
            <w:shd w:val="clear" w:color="auto" w:fill="auto"/>
          </w:tcPr>
          <w:p w:rsidR="008E4EF1" w:rsidRPr="003F58FE" w:rsidRDefault="008E4EF1" w:rsidP="00A64291">
            <w:pPr>
              <w:pStyle w:val="Brdtekst"/>
              <w:ind w:left="120" w:right="11"/>
              <w:jc w:val="center"/>
              <w:rPr>
                <w:rFonts w:eastAsia="Calibri"/>
                <w:sz w:val="20"/>
                <w:szCs w:val="20"/>
              </w:rPr>
            </w:pPr>
            <w:r w:rsidRPr="003F58FE">
              <w:rPr>
                <w:rFonts w:eastAsia="Calibri"/>
                <w:sz w:val="20"/>
                <w:szCs w:val="20"/>
              </w:rPr>
              <w:t>74,0</w:t>
            </w:r>
          </w:p>
        </w:tc>
        <w:tc>
          <w:tcPr>
            <w:tcW w:w="141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12,7</w:t>
            </w:r>
          </w:p>
        </w:tc>
        <w:tc>
          <w:tcPr>
            <w:tcW w:w="1705" w:type="dxa"/>
            <w:shd w:val="clear" w:color="auto" w:fill="auto"/>
          </w:tcPr>
          <w:p w:rsidR="008E4EF1" w:rsidRPr="003F58FE" w:rsidRDefault="008E4EF1" w:rsidP="00A64291">
            <w:pPr>
              <w:pStyle w:val="Brdtekst"/>
              <w:ind w:left="196" w:right="11"/>
              <w:jc w:val="center"/>
              <w:rPr>
                <w:rFonts w:eastAsia="Calibri"/>
                <w:sz w:val="20"/>
                <w:szCs w:val="20"/>
              </w:rPr>
            </w:pPr>
            <w:r w:rsidRPr="003F58FE">
              <w:rPr>
                <w:rFonts w:eastAsia="Calibri"/>
                <w:sz w:val="20"/>
                <w:szCs w:val="20"/>
              </w:rPr>
              <w:t>(8,0; 17,5)</w:t>
            </w:r>
          </w:p>
        </w:tc>
      </w:tr>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r w:rsidRPr="003F58FE">
              <w:rPr>
                <w:rFonts w:eastAsia="Calibri"/>
                <w:sz w:val="20"/>
                <w:szCs w:val="20"/>
              </w:rPr>
              <w:t>25-120 timer</w:t>
            </w:r>
          </w:p>
        </w:tc>
        <w:tc>
          <w:tcPr>
            <w:tcW w:w="186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76,2</w:t>
            </w:r>
          </w:p>
        </w:tc>
        <w:tc>
          <w:tcPr>
            <w:tcW w:w="1936" w:type="dxa"/>
            <w:shd w:val="clear" w:color="auto" w:fill="auto"/>
          </w:tcPr>
          <w:p w:rsidR="008E4EF1" w:rsidRPr="003F58FE" w:rsidRDefault="008E4EF1" w:rsidP="00A64291">
            <w:pPr>
              <w:pStyle w:val="Brdtekst"/>
              <w:ind w:left="120" w:right="11"/>
              <w:jc w:val="center"/>
              <w:rPr>
                <w:rFonts w:eastAsia="Calibri"/>
                <w:sz w:val="20"/>
                <w:szCs w:val="20"/>
              </w:rPr>
            </w:pPr>
            <w:r w:rsidRPr="003F58FE">
              <w:rPr>
                <w:rFonts w:eastAsia="Calibri"/>
                <w:sz w:val="20"/>
                <w:szCs w:val="20"/>
              </w:rPr>
              <w:t>53,5</w:t>
            </w:r>
          </w:p>
        </w:tc>
        <w:tc>
          <w:tcPr>
            <w:tcW w:w="141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22,6</w:t>
            </w:r>
          </w:p>
        </w:tc>
        <w:tc>
          <w:tcPr>
            <w:tcW w:w="1705" w:type="dxa"/>
            <w:shd w:val="clear" w:color="auto" w:fill="auto"/>
          </w:tcPr>
          <w:p w:rsidR="008E4EF1" w:rsidRPr="003F58FE" w:rsidRDefault="008E4EF1" w:rsidP="00A64291">
            <w:pPr>
              <w:pStyle w:val="Brdtekst"/>
              <w:ind w:left="196" w:right="11"/>
              <w:jc w:val="center"/>
              <w:rPr>
                <w:rFonts w:eastAsia="Calibri"/>
                <w:sz w:val="20"/>
                <w:szCs w:val="20"/>
              </w:rPr>
            </w:pPr>
            <w:r w:rsidRPr="003F58FE">
              <w:rPr>
                <w:rFonts w:eastAsia="Calibri"/>
                <w:sz w:val="20"/>
                <w:szCs w:val="20"/>
              </w:rPr>
              <w:t>(17,0; 28,2)</w:t>
            </w:r>
          </w:p>
        </w:tc>
      </w:tr>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p>
        </w:tc>
        <w:tc>
          <w:tcPr>
            <w:tcW w:w="1868" w:type="dxa"/>
            <w:shd w:val="clear" w:color="auto" w:fill="auto"/>
          </w:tcPr>
          <w:p w:rsidR="008E4EF1" w:rsidRPr="003F58FE" w:rsidRDefault="008E4EF1" w:rsidP="00A64291">
            <w:pPr>
              <w:pStyle w:val="Brdtekst"/>
              <w:ind w:right="11"/>
              <w:rPr>
                <w:rFonts w:eastAsia="Calibri"/>
                <w:sz w:val="20"/>
                <w:szCs w:val="20"/>
              </w:rPr>
            </w:pPr>
          </w:p>
        </w:tc>
        <w:tc>
          <w:tcPr>
            <w:tcW w:w="1936" w:type="dxa"/>
            <w:shd w:val="clear" w:color="auto" w:fill="auto"/>
          </w:tcPr>
          <w:p w:rsidR="008E4EF1" w:rsidRPr="003F58FE" w:rsidRDefault="008E4EF1" w:rsidP="00A64291">
            <w:pPr>
              <w:pStyle w:val="Brdtekst"/>
              <w:ind w:left="120" w:right="11"/>
              <w:rPr>
                <w:rFonts w:eastAsia="Calibri"/>
                <w:sz w:val="20"/>
                <w:szCs w:val="20"/>
              </w:rPr>
            </w:pPr>
          </w:p>
        </w:tc>
        <w:tc>
          <w:tcPr>
            <w:tcW w:w="1418" w:type="dxa"/>
            <w:shd w:val="clear" w:color="auto" w:fill="auto"/>
          </w:tcPr>
          <w:p w:rsidR="008E4EF1" w:rsidRPr="003F58FE" w:rsidRDefault="008E4EF1" w:rsidP="00A64291">
            <w:pPr>
              <w:pStyle w:val="Brdtekst"/>
              <w:ind w:right="11"/>
              <w:rPr>
                <w:rFonts w:eastAsia="Calibri"/>
                <w:sz w:val="20"/>
                <w:szCs w:val="20"/>
              </w:rPr>
            </w:pPr>
          </w:p>
        </w:tc>
        <w:tc>
          <w:tcPr>
            <w:tcW w:w="1705" w:type="dxa"/>
            <w:shd w:val="clear" w:color="auto" w:fill="auto"/>
          </w:tcPr>
          <w:p w:rsidR="008E4EF1" w:rsidRPr="003F58FE" w:rsidRDefault="008E4EF1" w:rsidP="00A64291">
            <w:pPr>
              <w:pStyle w:val="Brdtekst"/>
              <w:ind w:left="196" w:right="11"/>
              <w:rPr>
                <w:rFonts w:eastAsia="Calibri"/>
                <w:sz w:val="20"/>
                <w:szCs w:val="20"/>
              </w:rPr>
            </w:pPr>
          </w:p>
        </w:tc>
      </w:tr>
      <w:tr w:rsidR="008E4EF1" w:rsidRPr="004676B2" w:rsidTr="0006336B">
        <w:tc>
          <w:tcPr>
            <w:tcW w:w="9190" w:type="dxa"/>
            <w:gridSpan w:val="5"/>
            <w:shd w:val="clear" w:color="auto" w:fill="auto"/>
          </w:tcPr>
          <w:p w:rsidR="008E4EF1" w:rsidRPr="003F58FE" w:rsidRDefault="008E4EF1" w:rsidP="00A64291">
            <w:pPr>
              <w:pStyle w:val="Brdtekst"/>
              <w:ind w:left="29" w:right="11"/>
              <w:rPr>
                <w:rFonts w:eastAsia="Calibri"/>
                <w:b/>
                <w:sz w:val="20"/>
                <w:szCs w:val="20"/>
              </w:rPr>
            </w:pPr>
            <w:r w:rsidRPr="003F58FE">
              <w:rPr>
                <w:rFonts w:eastAsia="Calibri"/>
                <w:b/>
                <w:sz w:val="20"/>
                <w:szCs w:val="20"/>
              </w:rPr>
              <w:t>Ingen signifikant kvalme (maks. VAS &lt;25 mm på en skala fra 0-100 mm)</w:t>
            </w:r>
          </w:p>
        </w:tc>
      </w:tr>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r w:rsidRPr="003F58FE">
              <w:rPr>
                <w:rFonts w:eastAsia="Calibri"/>
                <w:sz w:val="20"/>
                <w:szCs w:val="20"/>
              </w:rPr>
              <w:t>Total (0-120 timer)</w:t>
            </w:r>
          </w:p>
        </w:tc>
        <w:tc>
          <w:tcPr>
            <w:tcW w:w="186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72,1</w:t>
            </w:r>
          </w:p>
        </w:tc>
        <w:tc>
          <w:tcPr>
            <w:tcW w:w="1936" w:type="dxa"/>
            <w:shd w:val="clear" w:color="auto" w:fill="auto"/>
          </w:tcPr>
          <w:p w:rsidR="008E4EF1" w:rsidRPr="003F58FE" w:rsidRDefault="008E4EF1" w:rsidP="00A64291">
            <w:pPr>
              <w:pStyle w:val="Brdtekst"/>
              <w:ind w:left="120" w:right="11"/>
              <w:jc w:val="center"/>
              <w:rPr>
                <w:rFonts w:eastAsia="Calibri"/>
                <w:sz w:val="20"/>
                <w:szCs w:val="20"/>
              </w:rPr>
            </w:pPr>
            <w:r w:rsidRPr="003F58FE">
              <w:rPr>
                <w:rFonts w:eastAsia="Calibri"/>
                <w:sz w:val="20"/>
                <w:szCs w:val="20"/>
              </w:rPr>
              <w:t>64,9</w:t>
            </w:r>
          </w:p>
        </w:tc>
        <w:tc>
          <w:tcPr>
            <w:tcW w:w="141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7,2</w:t>
            </w:r>
          </w:p>
        </w:tc>
        <w:tc>
          <w:tcPr>
            <w:tcW w:w="1705" w:type="dxa"/>
            <w:shd w:val="clear" w:color="auto" w:fill="auto"/>
          </w:tcPr>
          <w:p w:rsidR="008E4EF1" w:rsidRPr="003F58FE" w:rsidRDefault="008E4EF1" w:rsidP="00A64291">
            <w:pPr>
              <w:pStyle w:val="Brdtekst"/>
              <w:ind w:left="196" w:right="11"/>
              <w:jc w:val="center"/>
              <w:rPr>
                <w:rFonts w:eastAsia="Calibri"/>
                <w:sz w:val="20"/>
                <w:szCs w:val="20"/>
              </w:rPr>
            </w:pPr>
            <w:r w:rsidRPr="003F58FE">
              <w:rPr>
                <w:rFonts w:eastAsia="Calibri"/>
                <w:sz w:val="20"/>
                <w:szCs w:val="20"/>
              </w:rPr>
              <w:t>(1,6; 12,8)</w:t>
            </w:r>
          </w:p>
        </w:tc>
      </w:tr>
      <w:tr w:rsidR="008E4EF1" w:rsidRPr="004676B2" w:rsidTr="0006336B">
        <w:tc>
          <w:tcPr>
            <w:tcW w:w="2263" w:type="dxa"/>
            <w:shd w:val="clear" w:color="auto" w:fill="auto"/>
          </w:tcPr>
          <w:p w:rsidR="008E4EF1" w:rsidRPr="003F58FE" w:rsidRDefault="008E4EF1" w:rsidP="00A64291">
            <w:pPr>
              <w:pStyle w:val="Brdtekst"/>
              <w:ind w:right="11"/>
              <w:rPr>
                <w:rFonts w:eastAsia="Calibri"/>
                <w:sz w:val="20"/>
                <w:szCs w:val="20"/>
              </w:rPr>
            </w:pPr>
            <w:r w:rsidRPr="003F58FE">
              <w:rPr>
                <w:rFonts w:eastAsia="Calibri"/>
                <w:sz w:val="20"/>
                <w:szCs w:val="20"/>
              </w:rPr>
              <w:t>25-120 timer</w:t>
            </w:r>
          </w:p>
        </w:tc>
        <w:tc>
          <w:tcPr>
            <w:tcW w:w="186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74,0</w:t>
            </w:r>
          </w:p>
        </w:tc>
        <w:tc>
          <w:tcPr>
            <w:tcW w:w="1936" w:type="dxa"/>
            <w:shd w:val="clear" w:color="auto" w:fill="auto"/>
          </w:tcPr>
          <w:p w:rsidR="008E4EF1" w:rsidRPr="003F58FE" w:rsidRDefault="008E4EF1" w:rsidP="00A64291">
            <w:pPr>
              <w:pStyle w:val="Brdtekst"/>
              <w:ind w:left="120" w:right="11"/>
              <w:jc w:val="center"/>
              <w:rPr>
                <w:rFonts w:eastAsia="Calibri"/>
                <w:sz w:val="20"/>
                <w:szCs w:val="20"/>
              </w:rPr>
            </w:pPr>
            <w:r w:rsidRPr="003F58FE">
              <w:rPr>
                <w:rFonts w:eastAsia="Calibri"/>
                <w:sz w:val="20"/>
                <w:szCs w:val="20"/>
              </w:rPr>
              <w:t>66,9</w:t>
            </w:r>
          </w:p>
        </w:tc>
        <w:tc>
          <w:tcPr>
            <w:tcW w:w="1418" w:type="dxa"/>
            <w:shd w:val="clear" w:color="auto" w:fill="auto"/>
          </w:tcPr>
          <w:p w:rsidR="008E4EF1" w:rsidRPr="003F58FE" w:rsidRDefault="008E4EF1" w:rsidP="00A64291">
            <w:pPr>
              <w:pStyle w:val="Brdtekst"/>
              <w:ind w:right="11"/>
              <w:jc w:val="center"/>
              <w:rPr>
                <w:rFonts w:eastAsia="Calibri"/>
                <w:sz w:val="20"/>
                <w:szCs w:val="20"/>
              </w:rPr>
            </w:pPr>
            <w:r w:rsidRPr="003F58FE">
              <w:rPr>
                <w:rFonts w:eastAsia="Calibri"/>
                <w:sz w:val="20"/>
                <w:szCs w:val="20"/>
              </w:rPr>
              <w:t>7,1</w:t>
            </w:r>
          </w:p>
        </w:tc>
        <w:tc>
          <w:tcPr>
            <w:tcW w:w="1705" w:type="dxa"/>
            <w:shd w:val="clear" w:color="auto" w:fill="auto"/>
          </w:tcPr>
          <w:p w:rsidR="008E4EF1" w:rsidRPr="003F58FE" w:rsidRDefault="008E4EF1" w:rsidP="00A64291">
            <w:pPr>
              <w:pStyle w:val="Brdtekst"/>
              <w:ind w:left="196" w:right="11"/>
              <w:jc w:val="center"/>
              <w:rPr>
                <w:rFonts w:eastAsia="Calibri"/>
                <w:sz w:val="20"/>
                <w:szCs w:val="20"/>
              </w:rPr>
            </w:pPr>
            <w:r w:rsidRPr="003F58FE">
              <w:rPr>
                <w:rFonts w:eastAsia="Calibri"/>
                <w:sz w:val="20"/>
                <w:szCs w:val="20"/>
              </w:rPr>
              <w:t>(1,5; 12,6)</w:t>
            </w:r>
          </w:p>
        </w:tc>
      </w:tr>
    </w:tbl>
    <w:p w:rsidR="008E4EF1" w:rsidRPr="0006336B" w:rsidRDefault="008E4EF1" w:rsidP="008E4EF1">
      <w:pPr>
        <w:tabs>
          <w:tab w:val="left" w:pos="851"/>
        </w:tabs>
        <w:ind w:left="851"/>
        <w:rPr>
          <w:sz w:val="22"/>
          <w:szCs w:val="22"/>
        </w:rPr>
      </w:pPr>
      <w:r w:rsidRPr="0006336B">
        <w:rPr>
          <w:sz w:val="22"/>
          <w:szCs w:val="22"/>
        </w:rPr>
        <w:t xml:space="preserve">* Konfidensintervallerne (CI) er ikke korrigeret for køn og samtidig kemoterapibehandling, som var inkluderet i den primære analyse af odds ratio og logistiske modeller. </w:t>
      </w:r>
    </w:p>
    <w:p w:rsidR="008E4EF1" w:rsidRPr="0006336B" w:rsidRDefault="008E4EF1" w:rsidP="008E4EF1">
      <w:pPr>
        <w:tabs>
          <w:tab w:val="left" w:pos="851"/>
        </w:tabs>
        <w:ind w:left="851"/>
        <w:rPr>
          <w:sz w:val="22"/>
          <w:szCs w:val="22"/>
        </w:rPr>
      </w:pPr>
      <w:r w:rsidRPr="0006336B">
        <w:rPr>
          <w:sz w:val="22"/>
          <w:szCs w:val="22"/>
        </w:rPr>
        <w:t>† En patient i aprepitantregimet havde kun data i den akutte fase og blev ekskluderet fra analyserne fra den totale og forsinkede fase; en patient i standardregimet havde kun data i den forsinkede fase og blev ekskluderet fra analyserne fra den totale og akutte fase.</w:t>
      </w:r>
    </w:p>
    <w:p w:rsidR="00931414" w:rsidRDefault="00931414">
      <w:pPr>
        <w:rPr>
          <w:sz w:val="24"/>
          <w:szCs w:val="24"/>
        </w:rPr>
      </w:pPr>
      <w:r>
        <w:rPr>
          <w:sz w:val="24"/>
          <w:szCs w:val="24"/>
        </w:rPr>
        <w:br w:type="page"/>
      </w:r>
    </w:p>
    <w:p w:rsidR="008E4EF1" w:rsidRPr="008E4EF1" w:rsidRDefault="008E4EF1" w:rsidP="008E4EF1">
      <w:pPr>
        <w:tabs>
          <w:tab w:val="left" w:pos="851"/>
        </w:tabs>
        <w:ind w:left="851"/>
        <w:rPr>
          <w:sz w:val="24"/>
          <w:szCs w:val="24"/>
        </w:rPr>
      </w:pPr>
    </w:p>
    <w:p w:rsidR="008E4EF1" w:rsidRPr="008E4EF1" w:rsidRDefault="008E4EF1" w:rsidP="008E4EF1">
      <w:pPr>
        <w:tabs>
          <w:tab w:val="left" w:pos="851"/>
        </w:tabs>
        <w:ind w:left="851"/>
        <w:rPr>
          <w:sz w:val="24"/>
          <w:szCs w:val="24"/>
        </w:rPr>
      </w:pPr>
      <w:r w:rsidRPr="008E4EF1">
        <w:rPr>
          <w:sz w:val="24"/>
          <w:szCs w:val="24"/>
        </w:rPr>
        <w:t>Den anslåede tid indtil første opkastning i den kombinerede analyse er vist ved Kaplan-Meier plot i figur 1.</w:t>
      </w:r>
    </w:p>
    <w:p w:rsidR="008E4EF1" w:rsidRPr="008E4EF1" w:rsidRDefault="008E4EF1" w:rsidP="008E4EF1">
      <w:pPr>
        <w:tabs>
          <w:tab w:val="left" w:pos="851"/>
        </w:tabs>
        <w:ind w:left="851"/>
        <w:rPr>
          <w:sz w:val="24"/>
          <w:szCs w:val="24"/>
        </w:rPr>
      </w:pPr>
    </w:p>
    <w:p w:rsidR="008E4EF1" w:rsidRPr="008E4EF1" w:rsidRDefault="008E4EF1" w:rsidP="008E4EF1">
      <w:pPr>
        <w:tabs>
          <w:tab w:val="left" w:pos="851"/>
        </w:tabs>
        <w:ind w:left="851"/>
        <w:jc w:val="center"/>
        <w:rPr>
          <w:sz w:val="24"/>
          <w:szCs w:val="24"/>
        </w:rPr>
      </w:pPr>
      <w:r w:rsidRPr="008E4EF1">
        <w:rPr>
          <w:sz w:val="24"/>
          <w:szCs w:val="24"/>
        </w:rPr>
        <w:t>Figur 1</w:t>
      </w:r>
    </w:p>
    <w:p w:rsidR="008E4EF1" w:rsidRPr="008E4EF1" w:rsidRDefault="008E4EF1" w:rsidP="008E4EF1">
      <w:pPr>
        <w:tabs>
          <w:tab w:val="left" w:pos="851"/>
        </w:tabs>
        <w:ind w:left="851"/>
        <w:jc w:val="center"/>
        <w:rPr>
          <w:sz w:val="24"/>
          <w:szCs w:val="24"/>
        </w:rPr>
      </w:pPr>
      <w:r w:rsidRPr="008E4EF1">
        <w:rPr>
          <w:sz w:val="24"/>
          <w:szCs w:val="24"/>
        </w:rPr>
        <w:t>Procent voksne patienter, som forbliver opkastningfrie over tid - cyklus 1</w:t>
      </w:r>
    </w:p>
    <w:p w:rsidR="008E4EF1" w:rsidRDefault="008E4EF1" w:rsidP="008E4EF1">
      <w:pPr>
        <w:tabs>
          <w:tab w:val="left" w:pos="851"/>
        </w:tabs>
        <w:ind w:left="851"/>
        <w:jc w:val="center"/>
        <w:rPr>
          <w:sz w:val="24"/>
          <w:szCs w:val="24"/>
        </w:rPr>
      </w:pPr>
      <w:r w:rsidRPr="008E4EF1">
        <w:rPr>
          <w:sz w:val="24"/>
          <w:szCs w:val="24"/>
        </w:rPr>
        <w:t>Højemetogen kemoterapibehandling</w:t>
      </w:r>
    </w:p>
    <w:p w:rsidR="008E4EF1" w:rsidRDefault="008E4EF1" w:rsidP="008E4EF1">
      <w:pPr>
        <w:tabs>
          <w:tab w:val="left" w:pos="851"/>
        </w:tabs>
        <w:ind w:left="851"/>
        <w:jc w:val="center"/>
        <w:rPr>
          <w:sz w:val="24"/>
          <w:szCs w:val="24"/>
        </w:rPr>
      </w:pPr>
    </w:p>
    <w:p w:rsidR="00B30A87" w:rsidRDefault="00B30A87" w:rsidP="00B30A87">
      <w:r w:rsidRPr="00C10A44">
        <w:rPr>
          <w:noProof/>
          <w:lang w:eastAsia="da-DK"/>
        </w:rPr>
        <w:drawing>
          <wp:inline distT="0" distB="0" distL="0" distR="0">
            <wp:extent cx="4480560" cy="30022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0560" cy="3002280"/>
                    </a:xfrm>
                    <a:prstGeom prst="rect">
                      <a:avLst/>
                    </a:prstGeom>
                    <a:noFill/>
                    <a:ln>
                      <a:noFill/>
                    </a:ln>
                  </pic:spPr>
                </pic:pic>
              </a:graphicData>
            </a:graphic>
          </wp:inline>
        </w:drawing>
      </w:r>
    </w:p>
    <w:p w:rsidR="008E4EF1" w:rsidRDefault="008E4EF1" w:rsidP="008E4EF1">
      <w:pPr>
        <w:tabs>
          <w:tab w:val="left" w:pos="851"/>
        </w:tabs>
        <w:ind w:left="851"/>
        <w:rPr>
          <w:sz w:val="24"/>
          <w:szCs w:val="24"/>
        </w:rPr>
      </w:pPr>
    </w:p>
    <w:p w:rsidR="00B30A87" w:rsidRPr="008E4EF1" w:rsidRDefault="00B30A87" w:rsidP="008E4EF1">
      <w:pPr>
        <w:tabs>
          <w:tab w:val="left" w:pos="851"/>
        </w:tabs>
        <w:ind w:left="851"/>
        <w:rPr>
          <w:sz w:val="24"/>
          <w:szCs w:val="24"/>
        </w:rPr>
      </w:pPr>
    </w:p>
    <w:p w:rsidR="00B30A87" w:rsidRPr="00B30A87" w:rsidRDefault="00B30A87" w:rsidP="00B30A87">
      <w:pPr>
        <w:tabs>
          <w:tab w:val="left" w:pos="851"/>
        </w:tabs>
        <w:ind w:left="851"/>
        <w:rPr>
          <w:sz w:val="24"/>
          <w:szCs w:val="24"/>
        </w:rPr>
      </w:pPr>
      <w:r w:rsidRPr="00B30A87">
        <w:rPr>
          <w:sz w:val="24"/>
          <w:szCs w:val="24"/>
        </w:rPr>
        <w:t xml:space="preserve">Statistisk signifikante forskelle i virkning observeredes i hver af de to individuelle undersøgelser. </w:t>
      </w:r>
    </w:p>
    <w:p w:rsidR="00B30A87" w:rsidRPr="00B30A87" w:rsidRDefault="00B30A87" w:rsidP="00B30A87">
      <w:pPr>
        <w:tabs>
          <w:tab w:val="left" w:pos="851"/>
        </w:tabs>
        <w:ind w:left="851"/>
        <w:rPr>
          <w:sz w:val="24"/>
          <w:szCs w:val="24"/>
        </w:rPr>
      </w:pPr>
    </w:p>
    <w:p w:rsidR="00B30A87" w:rsidRPr="00B30A87" w:rsidRDefault="00B30A87" w:rsidP="00B30A87">
      <w:pPr>
        <w:tabs>
          <w:tab w:val="left" w:pos="851"/>
        </w:tabs>
        <w:ind w:left="851"/>
        <w:rPr>
          <w:sz w:val="24"/>
          <w:szCs w:val="24"/>
        </w:rPr>
      </w:pPr>
      <w:r w:rsidRPr="00B30A87">
        <w:rPr>
          <w:sz w:val="24"/>
          <w:szCs w:val="24"/>
        </w:rPr>
        <w:t xml:space="preserve">I samme to kliniske undersøgelser fortsatte 851 voksne patienter i gentagne kemoterapibehandlinger (multi-cyklus) og op til 5 yderligere kemoterapibehandlinger. Virkningen af aprepitant behandlingsregimet vedligeholdtes tilsyneladende i alle behandlingerne. </w:t>
      </w:r>
    </w:p>
    <w:p w:rsidR="00B30A87" w:rsidRPr="00B30A87" w:rsidRDefault="00B30A87" w:rsidP="00B30A87">
      <w:pPr>
        <w:tabs>
          <w:tab w:val="left" w:pos="851"/>
        </w:tabs>
        <w:ind w:left="851"/>
        <w:rPr>
          <w:sz w:val="24"/>
          <w:szCs w:val="24"/>
        </w:rPr>
      </w:pPr>
    </w:p>
    <w:p w:rsidR="00B30A87" w:rsidRPr="00B30A87" w:rsidRDefault="00B30A87" w:rsidP="00B30A87">
      <w:pPr>
        <w:tabs>
          <w:tab w:val="left" w:pos="851"/>
        </w:tabs>
        <w:ind w:left="851"/>
        <w:rPr>
          <w:sz w:val="24"/>
          <w:szCs w:val="24"/>
        </w:rPr>
      </w:pPr>
      <w:r w:rsidRPr="00B30A87">
        <w:rPr>
          <w:sz w:val="24"/>
          <w:szCs w:val="24"/>
        </w:rPr>
        <w:t xml:space="preserve">I en randomiseret, dobbeltblindet undersøgelse omfattende totalt 866 voksne patienter (864 kvinder, 2 mænd), der fik kemoterapi, inkluderende cyclophosphamid 750-1500 mg/m2 ; eller cyclophosphamid 500-1500 mg/m2 og doxorubicin (≤ 60 mg/m2 ) eller epirubicin (≤ 100 mg/m2 ), blev aprepitant i kombination med et ondansetron/dexamethason behandlingsregime (se pkt. 4.2) sammenlignet med standardbehand-lingsregime (placebo plus ondansetron 8 mg oralt (to gange på dag 1 og hver 12. time på dag 2 og 3) plus dexamethason 20 mg oralt på dag 1). </w:t>
      </w:r>
    </w:p>
    <w:p w:rsidR="00B30A87" w:rsidRPr="00B30A87" w:rsidRDefault="00B30A87" w:rsidP="00B30A87">
      <w:pPr>
        <w:tabs>
          <w:tab w:val="left" w:pos="851"/>
        </w:tabs>
        <w:ind w:left="851"/>
        <w:rPr>
          <w:sz w:val="24"/>
          <w:szCs w:val="24"/>
        </w:rPr>
      </w:pPr>
    </w:p>
    <w:p w:rsidR="00B30A87" w:rsidRPr="00B30A87" w:rsidRDefault="00B30A87" w:rsidP="00B30A87">
      <w:pPr>
        <w:tabs>
          <w:tab w:val="left" w:pos="851"/>
        </w:tabs>
        <w:ind w:left="851"/>
        <w:rPr>
          <w:sz w:val="24"/>
          <w:szCs w:val="24"/>
        </w:rPr>
      </w:pPr>
      <w:r w:rsidRPr="00B30A87">
        <w:rPr>
          <w:sz w:val="24"/>
          <w:szCs w:val="24"/>
        </w:rPr>
        <w:t xml:space="preserve">Virkningen var baseret på evaluering af følgende sammensatte mål: Komplet respons (defineret som ingen emetiske episoder og ingen brug af erstatningsterapi) primært i cyklus 1. </w:t>
      </w:r>
    </w:p>
    <w:p w:rsidR="00931414" w:rsidRDefault="00931414">
      <w:pPr>
        <w:rPr>
          <w:sz w:val="24"/>
          <w:szCs w:val="24"/>
        </w:rPr>
      </w:pPr>
      <w:r>
        <w:rPr>
          <w:sz w:val="24"/>
          <w:szCs w:val="24"/>
        </w:rPr>
        <w:br w:type="page"/>
      </w:r>
    </w:p>
    <w:p w:rsidR="00B30A87" w:rsidRPr="00B30A87" w:rsidRDefault="00B30A87" w:rsidP="00B30A87">
      <w:pPr>
        <w:tabs>
          <w:tab w:val="left" w:pos="851"/>
        </w:tabs>
        <w:ind w:left="851"/>
        <w:rPr>
          <w:sz w:val="24"/>
          <w:szCs w:val="24"/>
        </w:rPr>
      </w:pPr>
    </w:p>
    <w:p w:rsidR="00B30A87" w:rsidRPr="00B30A87" w:rsidRDefault="00B30A87" w:rsidP="00B30A87">
      <w:pPr>
        <w:tabs>
          <w:tab w:val="left" w:pos="851"/>
        </w:tabs>
        <w:ind w:left="851"/>
        <w:rPr>
          <w:sz w:val="24"/>
          <w:szCs w:val="24"/>
        </w:rPr>
      </w:pPr>
      <w:r w:rsidRPr="00B30A87">
        <w:rPr>
          <w:sz w:val="24"/>
          <w:szCs w:val="24"/>
        </w:rPr>
        <w:t>En opsummering af nøgleresultaterne for den kombinerede analyse kan ses i tabel 2.</w:t>
      </w:r>
    </w:p>
    <w:p w:rsidR="00B30A87" w:rsidRPr="00B30A87" w:rsidRDefault="00B30A87" w:rsidP="00B30A87">
      <w:pPr>
        <w:tabs>
          <w:tab w:val="left" w:pos="851"/>
        </w:tabs>
        <w:ind w:left="851"/>
        <w:rPr>
          <w:sz w:val="24"/>
          <w:szCs w:val="24"/>
        </w:rPr>
      </w:pPr>
    </w:p>
    <w:p w:rsidR="00B30A87" w:rsidRPr="00B30A87" w:rsidRDefault="00B30A87" w:rsidP="00B30A87">
      <w:pPr>
        <w:tabs>
          <w:tab w:val="left" w:pos="851"/>
        </w:tabs>
        <w:ind w:left="851"/>
        <w:jc w:val="center"/>
        <w:rPr>
          <w:sz w:val="24"/>
          <w:szCs w:val="24"/>
        </w:rPr>
      </w:pPr>
      <w:r w:rsidRPr="00B30A87">
        <w:rPr>
          <w:sz w:val="24"/>
          <w:szCs w:val="24"/>
        </w:rPr>
        <w:t>Tabel 2</w:t>
      </w:r>
    </w:p>
    <w:p w:rsidR="00B30A87" w:rsidRPr="00B30A87" w:rsidRDefault="00B30A87" w:rsidP="00B30A87">
      <w:pPr>
        <w:tabs>
          <w:tab w:val="left" w:pos="851"/>
        </w:tabs>
        <w:ind w:left="851"/>
        <w:jc w:val="center"/>
        <w:rPr>
          <w:sz w:val="24"/>
          <w:szCs w:val="24"/>
        </w:rPr>
      </w:pPr>
      <w:r w:rsidRPr="00B30A87">
        <w:rPr>
          <w:sz w:val="24"/>
          <w:szCs w:val="24"/>
        </w:rPr>
        <w:t>Procent voksne patienter, som responderer pr. behandlingsgruppe og fase - cyklus 1</w:t>
      </w:r>
    </w:p>
    <w:p w:rsidR="00B30A87" w:rsidRPr="00B30A87" w:rsidRDefault="00B30A87" w:rsidP="00B30A87">
      <w:pPr>
        <w:tabs>
          <w:tab w:val="left" w:pos="851"/>
        </w:tabs>
        <w:ind w:left="851"/>
        <w:jc w:val="center"/>
        <w:rPr>
          <w:sz w:val="24"/>
          <w:szCs w:val="24"/>
        </w:rPr>
      </w:pPr>
      <w:r w:rsidRPr="00B30A87">
        <w:rPr>
          <w:sz w:val="24"/>
          <w:szCs w:val="24"/>
        </w:rPr>
        <w:t>Moderat emetogen kemoterapibehandling</w:t>
      </w:r>
    </w:p>
    <w:p w:rsidR="008E4EF1" w:rsidRDefault="008E4EF1" w:rsidP="009260DE">
      <w:pPr>
        <w:tabs>
          <w:tab w:val="left" w:pos="851"/>
        </w:tabs>
        <w:ind w:left="851"/>
        <w:rPr>
          <w:sz w:val="24"/>
          <w:szCs w:val="24"/>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2028"/>
        <w:gridCol w:w="2126"/>
        <w:gridCol w:w="851"/>
        <w:gridCol w:w="1435"/>
      </w:tblGrid>
      <w:tr w:rsidR="00B30A87" w:rsidRPr="0043433B" w:rsidTr="00931414">
        <w:trPr>
          <w:jc w:val="center"/>
        </w:trPr>
        <w:tc>
          <w:tcPr>
            <w:tcW w:w="2474" w:type="dxa"/>
            <w:vMerge w:val="restart"/>
            <w:shd w:val="clear" w:color="auto" w:fill="auto"/>
            <w:vAlign w:val="center"/>
          </w:tcPr>
          <w:p w:rsidR="00B30A87" w:rsidRPr="0043433B" w:rsidRDefault="00B30A87" w:rsidP="00A64291">
            <w:pPr>
              <w:jc w:val="center"/>
              <w:rPr>
                <w:noProof/>
                <w:szCs w:val="22"/>
              </w:rPr>
            </w:pPr>
          </w:p>
        </w:tc>
        <w:tc>
          <w:tcPr>
            <w:tcW w:w="2028" w:type="dxa"/>
            <w:vAlign w:val="center"/>
          </w:tcPr>
          <w:p w:rsidR="00B30A87" w:rsidRDefault="00B30A87" w:rsidP="00A64291">
            <w:pPr>
              <w:jc w:val="center"/>
              <w:rPr>
                <w:noProof/>
                <w:szCs w:val="22"/>
              </w:rPr>
            </w:pPr>
          </w:p>
          <w:p w:rsidR="00B30A87" w:rsidRPr="006A66C2" w:rsidRDefault="00B30A87" w:rsidP="00A64291">
            <w:pPr>
              <w:jc w:val="center"/>
              <w:rPr>
                <w:noProof/>
                <w:szCs w:val="22"/>
              </w:rPr>
            </w:pPr>
            <w:r w:rsidRPr="006A66C2">
              <w:rPr>
                <w:noProof/>
                <w:szCs w:val="22"/>
              </w:rPr>
              <w:t xml:space="preserve">Aprepitant </w:t>
            </w:r>
            <w:r>
              <w:rPr>
                <w:noProof/>
                <w:szCs w:val="22"/>
              </w:rPr>
              <w:t>behandlings</w:t>
            </w:r>
            <w:r w:rsidRPr="006A66C2">
              <w:rPr>
                <w:noProof/>
                <w:szCs w:val="22"/>
              </w:rPr>
              <w:t>regime</w:t>
            </w:r>
          </w:p>
          <w:p w:rsidR="00B30A87" w:rsidRPr="006A66C2" w:rsidRDefault="00B30A87" w:rsidP="00A64291">
            <w:pPr>
              <w:jc w:val="center"/>
              <w:rPr>
                <w:noProof/>
                <w:szCs w:val="22"/>
              </w:rPr>
            </w:pPr>
            <w:r w:rsidRPr="006A66C2">
              <w:rPr>
                <w:noProof/>
                <w:szCs w:val="22"/>
              </w:rPr>
              <w:t xml:space="preserve">(N= </w:t>
            </w:r>
            <w:r>
              <w:rPr>
                <w:noProof/>
                <w:szCs w:val="22"/>
              </w:rPr>
              <w:t>433</w:t>
            </w:r>
            <w:r w:rsidRPr="006A66C2">
              <w:rPr>
                <w:noProof/>
                <w:szCs w:val="22"/>
              </w:rPr>
              <w:t xml:space="preserve">) </w:t>
            </w:r>
            <w:r w:rsidRPr="006A66C2">
              <w:rPr>
                <w:noProof/>
                <w:szCs w:val="22"/>
                <w:vertAlign w:val="superscript"/>
              </w:rPr>
              <w:t>†</w:t>
            </w:r>
          </w:p>
          <w:p w:rsidR="00B30A87" w:rsidRPr="006A66C2" w:rsidRDefault="00B30A87" w:rsidP="00A64291">
            <w:pPr>
              <w:jc w:val="center"/>
              <w:rPr>
                <w:noProof/>
                <w:szCs w:val="22"/>
              </w:rPr>
            </w:pPr>
          </w:p>
        </w:tc>
        <w:tc>
          <w:tcPr>
            <w:tcW w:w="2126" w:type="dxa"/>
            <w:vAlign w:val="center"/>
          </w:tcPr>
          <w:p w:rsidR="00B30A87" w:rsidRPr="006A66C2" w:rsidRDefault="00B30A87" w:rsidP="00A64291">
            <w:pPr>
              <w:jc w:val="center"/>
              <w:rPr>
                <w:noProof/>
                <w:szCs w:val="22"/>
              </w:rPr>
            </w:pPr>
            <w:r w:rsidRPr="006A66C2">
              <w:rPr>
                <w:noProof/>
                <w:szCs w:val="22"/>
              </w:rPr>
              <w:t xml:space="preserve">Standard </w:t>
            </w:r>
            <w:r>
              <w:rPr>
                <w:noProof/>
                <w:szCs w:val="22"/>
              </w:rPr>
              <w:t>behandling</w:t>
            </w:r>
          </w:p>
          <w:p w:rsidR="00B30A87" w:rsidRPr="006A66C2" w:rsidRDefault="00B30A87" w:rsidP="00A64291">
            <w:pPr>
              <w:jc w:val="center"/>
              <w:rPr>
                <w:noProof/>
                <w:szCs w:val="22"/>
              </w:rPr>
            </w:pPr>
            <w:r>
              <w:rPr>
                <w:noProof/>
                <w:szCs w:val="22"/>
              </w:rPr>
              <w:t>(N=4</w:t>
            </w:r>
            <w:r w:rsidRPr="006A66C2">
              <w:rPr>
                <w:noProof/>
                <w:szCs w:val="22"/>
              </w:rPr>
              <w:t>24)</w:t>
            </w:r>
          </w:p>
        </w:tc>
        <w:tc>
          <w:tcPr>
            <w:tcW w:w="2286" w:type="dxa"/>
            <w:gridSpan w:val="2"/>
            <w:shd w:val="clear" w:color="auto" w:fill="auto"/>
            <w:vAlign w:val="center"/>
          </w:tcPr>
          <w:p w:rsidR="00B30A87" w:rsidRPr="0043433B" w:rsidRDefault="00B30A87" w:rsidP="00A64291">
            <w:pPr>
              <w:jc w:val="center"/>
              <w:rPr>
                <w:noProof/>
                <w:szCs w:val="22"/>
              </w:rPr>
            </w:pPr>
            <w:r>
              <w:rPr>
                <w:noProof/>
                <w:szCs w:val="22"/>
              </w:rPr>
              <w:t xml:space="preserve">Forskelle </w:t>
            </w:r>
            <w:r w:rsidRPr="006A66C2">
              <w:rPr>
                <w:noProof/>
                <w:szCs w:val="22"/>
              </w:rPr>
              <w:t>*</w:t>
            </w:r>
          </w:p>
        </w:tc>
      </w:tr>
      <w:tr w:rsidR="00B30A87" w:rsidRPr="0043433B" w:rsidTr="00931414">
        <w:trPr>
          <w:jc w:val="center"/>
        </w:trPr>
        <w:tc>
          <w:tcPr>
            <w:tcW w:w="2474" w:type="dxa"/>
            <w:vMerge/>
            <w:shd w:val="clear" w:color="auto" w:fill="auto"/>
            <w:vAlign w:val="center"/>
          </w:tcPr>
          <w:p w:rsidR="00B30A87" w:rsidRPr="0043433B" w:rsidRDefault="00B30A87" w:rsidP="00A64291">
            <w:pPr>
              <w:rPr>
                <w:noProof/>
                <w:szCs w:val="22"/>
              </w:rPr>
            </w:pPr>
          </w:p>
        </w:tc>
        <w:tc>
          <w:tcPr>
            <w:tcW w:w="2028" w:type="dxa"/>
            <w:vAlign w:val="center"/>
          </w:tcPr>
          <w:p w:rsidR="00B30A87" w:rsidRPr="0043433B" w:rsidRDefault="00B30A87" w:rsidP="00A64291">
            <w:pPr>
              <w:jc w:val="center"/>
              <w:rPr>
                <w:noProof/>
                <w:szCs w:val="22"/>
              </w:rPr>
            </w:pPr>
            <w:r>
              <w:rPr>
                <w:noProof/>
                <w:szCs w:val="22"/>
              </w:rPr>
              <w:t>%</w:t>
            </w:r>
          </w:p>
        </w:tc>
        <w:tc>
          <w:tcPr>
            <w:tcW w:w="2126" w:type="dxa"/>
            <w:vAlign w:val="center"/>
          </w:tcPr>
          <w:p w:rsidR="00B30A87" w:rsidRPr="0043433B" w:rsidRDefault="00B30A87" w:rsidP="00A64291">
            <w:pPr>
              <w:jc w:val="center"/>
              <w:rPr>
                <w:noProof/>
                <w:szCs w:val="22"/>
              </w:rPr>
            </w:pPr>
            <w:r>
              <w:rPr>
                <w:noProof/>
                <w:szCs w:val="22"/>
              </w:rPr>
              <w:t>%</w:t>
            </w:r>
          </w:p>
        </w:tc>
        <w:tc>
          <w:tcPr>
            <w:tcW w:w="851" w:type="dxa"/>
            <w:shd w:val="clear" w:color="auto" w:fill="auto"/>
            <w:vAlign w:val="center"/>
          </w:tcPr>
          <w:p w:rsidR="00B30A87" w:rsidRPr="0043433B" w:rsidRDefault="00B30A87" w:rsidP="00A64291">
            <w:pPr>
              <w:jc w:val="center"/>
              <w:rPr>
                <w:noProof/>
                <w:szCs w:val="22"/>
              </w:rPr>
            </w:pPr>
            <w:r w:rsidRPr="0043433B">
              <w:rPr>
                <w:noProof/>
                <w:szCs w:val="22"/>
              </w:rPr>
              <w:t>%</w:t>
            </w:r>
          </w:p>
        </w:tc>
        <w:tc>
          <w:tcPr>
            <w:tcW w:w="1435" w:type="dxa"/>
            <w:shd w:val="clear" w:color="auto" w:fill="auto"/>
            <w:vAlign w:val="center"/>
          </w:tcPr>
          <w:p w:rsidR="00B30A87" w:rsidRPr="0043433B" w:rsidRDefault="00B30A87" w:rsidP="00A64291">
            <w:pPr>
              <w:jc w:val="center"/>
              <w:rPr>
                <w:noProof/>
                <w:szCs w:val="22"/>
              </w:rPr>
            </w:pPr>
            <w:r>
              <w:rPr>
                <w:noProof/>
                <w:szCs w:val="22"/>
              </w:rPr>
              <w:t>(95 % CI)</w:t>
            </w:r>
          </w:p>
        </w:tc>
      </w:tr>
      <w:tr w:rsidR="00B30A87" w:rsidRPr="0043433B" w:rsidTr="00931414">
        <w:trPr>
          <w:jc w:val="center"/>
        </w:trPr>
        <w:tc>
          <w:tcPr>
            <w:tcW w:w="8914" w:type="dxa"/>
            <w:gridSpan w:val="5"/>
            <w:shd w:val="clear" w:color="auto" w:fill="auto"/>
            <w:vAlign w:val="center"/>
          </w:tcPr>
          <w:p w:rsidR="00B30A87" w:rsidRDefault="00B30A87" w:rsidP="00A64291">
            <w:pPr>
              <w:rPr>
                <w:noProof/>
                <w:szCs w:val="22"/>
              </w:rPr>
            </w:pPr>
            <w:r>
              <w:rPr>
                <w:noProof/>
                <w:szCs w:val="22"/>
              </w:rPr>
              <w:t>SAMMENSATTE MÅL</w:t>
            </w:r>
          </w:p>
        </w:tc>
      </w:tr>
      <w:tr w:rsidR="00B30A87" w:rsidRPr="00283CA0" w:rsidTr="00931414">
        <w:trPr>
          <w:jc w:val="center"/>
        </w:trPr>
        <w:tc>
          <w:tcPr>
            <w:tcW w:w="8914" w:type="dxa"/>
            <w:gridSpan w:val="5"/>
            <w:shd w:val="clear" w:color="auto" w:fill="auto"/>
            <w:vAlign w:val="center"/>
          </w:tcPr>
          <w:p w:rsidR="00B30A87" w:rsidRPr="00283CA0" w:rsidRDefault="00B30A87" w:rsidP="00A64291">
            <w:pPr>
              <w:rPr>
                <w:noProof/>
                <w:szCs w:val="22"/>
              </w:rPr>
            </w:pPr>
            <w:r w:rsidRPr="00283CA0">
              <w:rPr>
                <w:b/>
                <w:noProof/>
                <w:szCs w:val="22"/>
              </w:rPr>
              <w:t>Komplet respons (ingen opkastning og ingern erstatningsterapi)</w:t>
            </w:r>
          </w:p>
        </w:tc>
      </w:tr>
      <w:tr w:rsidR="00B30A87" w:rsidRPr="0043433B" w:rsidTr="00931414">
        <w:trPr>
          <w:jc w:val="center"/>
        </w:trPr>
        <w:tc>
          <w:tcPr>
            <w:tcW w:w="2474" w:type="dxa"/>
            <w:shd w:val="clear" w:color="auto" w:fill="auto"/>
            <w:vAlign w:val="center"/>
          </w:tcPr>
          <w:p w:rsidR="00B30A87" w:rsidRPr="0043433B" w:rsidRDefault="00B30A87" w:rsidP="00A64291">
            <w:pPr>
              <w:rPr>
                <w:noProof/>
                <w:szCs w:val="22"/>
              </w:rPr>
            </w:pPr>
            <w:r>
              <w:rPr>
                <w:noProof/>
                <w:szCs w:val="22"/>
              </w:rPr>
              <w:t xml:space="preserve">Total </w:t>
            </w:r>
            <w:r w:rsidRPr="00C75860">
              <w:rPr>
                <w:noProof/>
                <w:szCs w:val="22"/>
              </w:rPr>
              <w:t xml:space="preserve">(0-120 </w:t>
            </w:r>
            <w:r>
              <w:rPr>
                <w:noProof/>
                <w:szCs w:val="22"/>
              </w:rPr>
              <w:t>timer</w:t>
            </w:r>
            <w:r w:rsidRPr="00C75860">
              <w:rPr>
                <w:noProof/>
                <w:szCs w:val="22"/>
              </w:rPr>
              <w:t>)</w:t>
            </w:r>
          </w:p>
        </w:tc>
        <w:tc>
          <w:tcPr>
            <w:tcW w:w="2028" w:type="dxa"/>
            <w:vAlign w:val="center"/>
          </w:tcPr>
          <w:p w:rsidR="00B30A87" w:rsidRPr="0043433B" w:rsidRDefault="00B30A87" w:rsidP="00A64291">
            <w:pPr>
              <w:jc w:val="center"/>
              <w:rPr>
                <w:noProof/>
                <w:szCs w:val="22"/>
              </w:rPr>
            </w:pPr>
            <w:r w:rsidRPr="00FA3020">
              <w:rPr>
                <w:noProof/>
                <w:szCs w:val="22"/>
              </w:rPr>
              <w:t>50.8</w:t>
            </w:r>
          </w:p>
        </w:tc>
        <w:tc>
          <w:tcPr>
            <w:tcW w:w="2126" w:type="dxa"/>
            <w:vAlign w:val="center"/>
          </w:tcPr>
          <w:p w:rsidR="00B30A87" w:rsidRPr="0043433B" w:rsidRDefault="00B30A87" w:rsidP="00A64291">
            <w:pPr>
              <w:jc w:val="center"/>
              <w:rPr>
                <w:noProof/>
                <w:szCs w:val="22"/>
              </w:rPr>
            </w:pPr>
            <w:r w:rsidRPr="00FA3020">
              <w:rPr>
                <w:noProof/>
                <w:szCs w:val="22"/>
              </w:rPr>
              <w:t>42.5</w:t>
            </w:r>
          </w:p>
        </w:tc>
        <w:tc>
          <w:tcPr>
            <w:tcW w:w="851" w:type="dxa"/>
            <w:shd w:val="clear" w:color="auto" w:fill="auto"/>
            <w:vAlign w:val="center"/>
          </w:tcPr>
          <w:p w:rsidR="00B30A87" w:rsidRPr="0043433B" w:rsidRDefault="00B30A87" w:rsidP="00A64291">
            <w:pPr>
              <w:jc w:val="center"/>
              <w:rPr>
                <w:noProof/>
                <w:szCs w:val="22"/>
              </w:rPr>
            </w:pPr>
            <w:r w:rsidRPr="00FA3020">
              <w:rPr>
                <w:noProof/>
                <w:szCs w:val="22"/>
              </w:rPr>
              <w:t>8.3</w:t>
            </w:r>
          </w:p>
        </w:tc>
        <w:tc>
          <w:tcPr>
            <w:tcW w:w="1435" w:type="dxa"/>
            <w:shd w:val="clear" w:color="auto" w:fill="auto"/>
            <w:vAlign w:val="center"/>
          </w:tcPr>
          <w:p w:rsidR="00B30A87" w:rsidRPr="0043433B" w:rsidRDefault="00B30A87" w:rsidP="00A64291">
            <w:pPr>
              <w:jc w:val="center"/>
              <w:rPr>
                <w:noProof/>
                <w:szCs w:val="22"/>
              </w:rPr>
            </w:pPr>
            <w:r w:rsidRPr="00FA3020">
              <w:rPr>
                <w:noProof/>
                <w:szCs w:val="22"/>
              </w:rPr>
              <w:t>(1.6, 15.0)</w:t>
            </w:r>
          </w:p>
        </w:tc>
      </w:tr>
      <w:tr w:rsidR="00B30A87" w:rsidRPr="0043433B" w:rsidTr="00931414">
        <w:trPr>
          <w:jc w:val="center"/>
        </w:trPr>
        <w:tc>
          <w:tcPr>
            <w:tcW w:w="2474" w:type="dxa"/>
            <w:shd w:val="clear" w:color="auto" w:fill="auto"/>
            <w:vAlign w:val="center"/>
          </w:tcPr>
          <w:p w:rsidR="00B30A87" w:rsidRPr="0043433B" w:rsidRDefault="00B30A87" w:rsidP="00A64291">
            <w:pPr>
              <w:rPr>
                <w:noProof/>
                <w:szCs w:val="22"/>
              </w:rPr>
            </w:pPr>
            <w:r w:rsidRPr="00C75860">
              <w:rPr>
                <w:noProof/>
                <w:szCs w:val="22"/>
              </w:rPr>
              <w:t xml:space="preserve">0-24 </w:t>
            </w:r>
            <w:r>
              <w:rPr>
                <w:noProof/>
                <w:szCs w:val="22"/>
              </w:rPr>
              <w:t>timer</w:t>
            </w:r>
          </w:p>
        </w:tc>
        <w:tc>
          <w:tcPr>
            <w:tcW w:w="2028" w:type="dxa"/>
            <w:vAlign w:val="center"/>
          </w:tcPr>
          <w:p w:rsidR="00B30A87" w:rsidRPr="0043433B" w:rsidRDefault="00B30A87" w:rsidP="00A64291">
            <w:pPr>
              <w:jc w:val="center"/>
              <w:rPr>
                <w:noProof/>
                <w:szCs w:val="22"/>
              </w:rPr>
            </w:pPr>
            <w:r w:rsidRPr="00FA3020">
              <w:rPr>
                <w:noProof/>
                <w:szCs w:val="22"/>
              </w:rPr>
              <w:t>75.7</w:t>
            </w:r>
          </w:p>
        </w:tc>
        <w:tc>
          <w:tcPr>
            <w:tcW w:w="2126" w:type="dxa"/>
            <w:vAlign w:val="center"/>
          </w:tcPr>
          <w:p w:rsidR="00B30A87" w:rsidRPr="0043433B" w:rsidRDefault="00B30A87" w:rsidP="00A64291">
            <w:pPr>
              <w:jc w:val="center"/>
              <w:rPr>
                <w:noProof/>
                <w:szCs w:val="22"/>
              </w:rPr>
            </w:pPr>
            <w:r w:rsidRPr="00FA3020">
              <w:rPr>
                <w:noProof/>
                <w:szCs w:val="22"/>
              </w:rPr>
              <w:t>69.0</w:t>
            </w:r>
          </w:p>
        </w:tc>
        <w:tc>
          <w:tcPr>
            <w:tcW w:w="851" w:type="dxa"/>
            <w:shd w:val="clear" w:color="auto" w:fill="auto"/>
            <w:vAlign w:val="center"/>
          </w:tcPr>
          <w:p w:rsidR="00B30A87" w:rsidRPr="0043433B" w:rsidRDefault="00B30A87" w:rsidP="00A64291">
            <w:pPr>
              <w:jc w:val="center"/>
              <w:rPr>
                <w:noProof/>
                <w:szCs w:val="22"/>
              </w:rPr>
            </w:pPr>
            <w:r w:rsidRPr="00FA3020">
              <w:rPr>
                <w:noProof/>
                <w:szCs w:val="22"/>
              </w:rPr>
              <w:t>6.7</w:t>
            </w:r>
          </w:p>
        </w:tc>
        <w:tc>
          <w:tcPr>
            <w:tcW w:w="1435" w:type="dxa"/>
            <w:shd w:val="clear" w:color="auto" w:fill="auto"/>
            <w:vAlign w:val="center"/>
          </w:tcPr>
          <w:p w:rsidR="00B30A87" w:rsidRPr="0043433B" w:rsidRDefault="00B30A87" w:rsidP="00A64291">
            <w:pPr>
              <w:jc w:val="center"/>
              <w:rPr>
                <w:noProof/>
                <w:szCs w:val="22"/>
              </w:rPr>
            </w:pPr>
            <w:r w:rsidRPr="00FA3020">
              <w:rPr>
                <w:noProof/>
                <w:szCs w:val="22"/>
              </w:rPr>
              <w:t xml:space="preserve"> (0.7, 12.7)</w:t>
            </w:r>
          </w:p>
        </w:tc>
      </w:tr>
      <w:tr w:rsidR="00B30A87" w:rsidRPr="0043433B" w:rsidTr="00931414">
        <w:trPr>
          <w:jc w:val="center"/>
        </w:trPr>
        <w:tc>
          <w:tcPr>
            <w:tcW w:w="2474" w:type="dxa"/>
            <w:shd w:val="clear" w:color="auto" w:fill="auto"/>
            <w:vAlign w:val="center"/>
          </w:tcPr>
          <w:p w:rsidR="00B30A87" w:rsidRPr="0043433B" w:rsidRDefault="00B30A87" w:rsidP="00A64291">
            <w:pPr>
              <w:rPr>
                <w:noProof/>
                <w:szCs w:val="22"/>
              </w:rPr>
            </w:pPr>
            <w:r w:rsidRPr="00C75860">
              <w:rPr>
                <w:noProof/>
                <w:szCs w:val="22"/>
              </w:rPr>
              <w:t xml:space="preserve">25-120 </w:t>
            </w:r>
            <w:r>
              <w:rPr>
                <w:noProof/>
                <w:szCs w:val="22"/>
              </w:rPr>
              <w:t>timer</w:t>
            </w:r>
          </w:p>
        </w:tc>
        <w:tc>
          <w:tcPr>
            <w:tcW w:w="2028" w:type="dxa"/>
            <w:vAlign w:val="center"/>
          </w:tcPr>
          <w:p w:rsidR="00B30A87" w:rsidRPr="0043433B" w:rsidRDefault="00B30A87" w:rsidP="00A64291">
            <w:pPr>
              <w:jc w:val="center"/>
              <w:rPr>
                <w:noProof/>
                <w:szCs w:val="22"/>
              </w:rPr>
            </w:pPr>
            <w:r w:rsidRPr="00FA3020">
              <w:rPr>
                <w:noProof/>
                <w:szCs w:val="22"/>
              </w:rPr>
              <w:t>55.4</w:t>
            </w:r>
          </w:p>
        </w:tc>
        <w:tc>
          <w:tcPr>
            <w:tcW w:w="2126" w:type="dxa"/>
            <w:vAlign w:val="center"/>
          </w:tcPr>
          <w:p w:rsidR="00B30A87" w:rsidRPr="0043433B" w:rsidRDefault="00B30A87" w:rsidP="00A64291">
            <w:pPr>
              <w:jc w:val="center"/>
              <w:rPr>
                <w:noProof/>
                <w:szCs w:val="22"/>
              </w:rPr>
            </w:pPr>
            <w:r w:rsidRPr="00FA3020">
              <w:rPr>
                <w:noProof/>
                <w:szCs w:val="22"/>
              </w:rPr>
              <w:t>49.1</w:t>
            </w:r>
          </w:p>
        </w:tc>
        <w:tc>
          <w:tcPr>
            <w:tcW w:w="851" w:type="dxa"/>
            <w:shd w:val="clear" w:color="auto" w:fill="auto"/>
            <w:vAlign w:val="center"/>
          </w:tcPr>
          <w:p w:rsidR="00B30A87" w:rsidRPr="0043433B" w:rsidRDefault="00B30A87" w:rsidP="00A64291">
            <w:pPr>
              <w:jc w:val="center"/>
              <w:rPr>
                <w:noProof/>
                <w:szCs w:val="22"/>
              </w:rPr>
            </w:pPr>
            <w:r w:rsidRPr="00FA3020">
              <w:rPr>
                <w:noProof/>
                <w:szCs w:val="22"/>
              </w:rPr>
              <w:t>6.3</w:t>
            </w:r>
          </w:p>
        </w:tc>
        <w:tc>
          <w:tcPr>
            <w:tcW w:w="1435" w:type="dxa"/>
            <w:shd w:val="clear" w:color="auto" w:fill="auto"/>
            <w:vAlign w:val="center"/>
          </w:tcPr>
          <w:p w:rsidR="00B30A87" w:rsidRPr="0043433B" w:rsidRDefault="00B30A87" w:rsidP="00A64291">
            <w:pPr>
              <w:jc w:val="center"/>
              <w:rPr>
                <w:noProof/>
                <w:szCs w:val="22"/>
              </w:rPr>
            </w:pPr>
            <w:r w:rsidRPr="00FA3020">
              <w:rPr>
                <w:noProof/>
                <w:szCs w:val="22"/>
              </w:rPr>
              <w:t>(-0.4, 13.0)</w:t>
            </w:r>
          </w:p>
        </w:tc>
      </w:tr>
      <w:tr w:rsidR="00B30A87" w:rsidRPr="0043433B" w:rsidTr="00931414">
        <w:trPr>
          <w:jc w:val="center"/>
        </w:trPr>
        <w:tc>
          <w:tcPr>
            <w:tcW w:w="8914" w:type="dxa"/>
            <w:gridSpan w:val="5"/>
            <w:shd w:val="clear" w:color="auto" w:fill="auto"/>
            <w:vAlign w:val="center"/>
          </w:tcPr>
          <w:p w:rsidR="00B30A87" w:rsidRPr="0043433B" w:rsidRDefault="00B30A87" w:rsidP="00A64291">
            <w:pPr>
              <w:rPr>
                <w:noProof/>
                <w:szCs w:val="22"/>
              </w:rPr>
            </w:pPr>
            <w:r>
              <w:rPr>
                <w:noProof/>
                <w:szCs w:val="22"/>
              </w:rPr>
              <w:t>INDIVIDUELLE MÅL</w:t>
            </w:r>
          </w:p>
        </w:tc>
      </w:tr>
      <w:tr w:rsidR="00B30A87" w:rsidRPr="00283CA0" w:rsidTr="00931414">
        <w:trPr>
          <w:jc w:val="center"/>
        </w:trPr>
        <w:tc>
          <w:tcPr>
            <w:tcW w:w="8914" w:type="dxa"/>
            <w:gridSpan w:val="5"/>
            <w:shd w:val="clear" w:color="auto" w:fill="auto"/>
            <w:vAlign w:val="center"/>
          </w:tcPr>
          <w:p w:rsidR="00B30A87" w:rsidRPr="00283CA0" w:rsidRDefault="00B30A87" w:rsidP="00A64291">
            <w:pPr>
              <w:rPr>
                <w:b/>
                <w:noProof/>
                <w:szCs w:val="22"/>
              </w:rPr>
            </w:pPr>
            <w:r w:rsidRPr="00283CA0">
              <w:rPr>
                <w:b/>
              </w:rPr>
              <w:t>Ingen opkastning (ingen opkastning episoder uden hensyn til brug af erstatningsterapi)</w:t>
            </w:r>
          </w:p>
        </w:tc>
      </w:tr>
      <w:tr w:rsidR="00B30A87" w:rsidRPr="0043433B" w:rsidTr="00931414">
        <w:trPr>
          <w:jc w:val="center"/>
        </w:trPr>
        <w:tc>
          <w:tcPr>
            <w:tcW w:w="2474" w:type="dxa"/>
            <w:shd w:val="clear" w:color="auto" w:fill="auto"/>
            <w:vAlign w:val="center"/>
          </w:tcPr>
          <w:p w:rsidR="00B30A87" w:rsidRPr="0043433B" w:rsidRDefault="00B30A87" w:rsidP="00A64291">
            <w:pPr>
              <w:rPr>
                <w:noProof/>
                <w:szCs w:val="22"/>
              </w:rPr>
            </w:pPr>
            <w:r>
              <w:rPr>
                <w:noProof/>
                <w:szCs w:val="22"/>
              </w:rPr>
              <w:t xml:space="preserve">Total </w:t>
            </w:r>
            <w:r w:rsidRPr="00C75860">
              <w:rPr>
                <w:noProof/>
                <w:szCs w:val="22"/>
              </w:rPr>
              <w:t xml:space="preserve">(0-120 </w:t>
            </w:r>
            <w:r>
              <w:rPr>
                <w:noProof/>
                <w:szCs w:val="22"/>
              </w:rPr>
              <w:t>timer</w:t>
            </w:r>
            <w:r w:rsidRPr="00C75860">
              <w:rPr>
                <w:noProof/>
                <w:szCs w:val="22"/>
              </w:rPr>
              <w:t>)</w:t>
            </w:r>
          </w:p>
        </w:tc>
        <w:tc>
          <w:tcPr>
            <w:tcW w:w="2028" w:type="dxa"/>
            <w:vAlign w:val="center"/>
          </w:tcPr>
          <w:p w:rsidR="00B30A87" w:rsidRPr="0043433B" w:rsidRDefault="00B30A87" w:rsidP="00A64291">
            <w:pPr>
              <w:jc w:val="center"/>
              <w:rPr>
                <w:noProof/>
                <w:szCs w:val="22"/>
              </w:rPr>
            </w:pPr>
            <w:r w:rsidRPr="00FA3020">
              <w:rPr>
                <w:noProof/>
                <w:szCs w:val="22"/>
              </w:rPr>
              <w:t>75.7</w:t>
            </w:r>
          </w:p>
        </w:tc>
        <w:tc>
          <w:tcPr>
            <w:tcW w:w="2126" w:type="dxa"/>
            <w:vAlign w:val="center"/>
          </w:tcPr>
          <w:p w:rsidR="00B30A87" w:rsidRPr="0043433B" w:rsidRDefault="00B30A87" w:rsidP="00A64291">
            <w:pPr>
              <w:jc w:val="center"/>
              <w:rPr>
                <w:noProof/>
                <w:szCs w:val="22"/>
              </w:rPr>
            </w:pPr>
            <w:r w:rsidRPr="00FA3020">
              <w:rPr>
                <w:noProof/>
                <w:szCs w:val="22"/>
              </w:rPr>
              <w:t>58.7</w:t>
            </w:r>
          </w:p>
        </w:tc>
        <w:tc>
          <w:tcPr>
            <w:tcW w:w="851" w:type="dxa"/>
            <w:shd w:val="clear" w:color="auto" w:fill="auto"/>
            <w:vAlign w:val="center"/>
          </w:tcPr>
          <w:p w:rsidR="00B30A87" w:rsidRPr="0043433B" w:rsidRDefault="00B30A87" w:rsidP="00A64291">
            <w:pPr>
              <w:jc w:val="center"/>
              <w:rPr>
                <w:noProof/>
                <w:szCs w:val="22"/>
              </w:rPr>
            </w:pPr>
            <w:r w:rsidRPr="00FA3020">
              <w:rPr>
                <w:noProof/>
                <w:szCs w:val="22"/>
              </w:rPr>
              <w:t>17.0</w:t>
            </w:r>
          </w:p>
        </w:tc>
        <w:tc>
          <w:tcPr>
            <w:tcW w:w="1435" w:type="dxa"/>
            <w:shd w:val="clear" w:color="auto" w:fill="auto"/>
            <w:vAlign w:val="center"/>
          </w:tcPr>
          <w:p w:rsidR="00B30A87" w:rsidRPr="0043433B" w:rsidRDefault="00B30A87" w:rsidP="00A64291">
            <w:pPr>
              <w:jc w:val="center"/>
              <w:rPr>
                <w:noProof/>
                <w:szCs w:val="22"/>
              </w:rPr>
            </w:pPr>
            <w:r w:rsidRPr="00FA3020">
              <w:rPr>
                <w:noProof/>
                <w:szCs w:val="22"/>
              </w:rPr>
              <w:t>(10.8, 23.2)</w:t>
            </w:r>
          </w:p>
        </w:tc>
      </w:tr>
      <w:tr w:rsidR="00B30A87" w:rsidRPr="0043433B" w:rsidTr="00931414">
        <w:trPr>
          <w:jc w:val="center"/>
        </w:trPr>
        <w:tc>
          <w:tcPr>
            <w:tcW w:w="2474" w:type="dxa"/>
            <w:shd w:val="clear" w:color="auto" w:fill="auto"/>
            <w:vAlign w:val="center"/>
          </w:tcPr>
          <w:p w:rsidR="00B30A87" w:rsidRPr="0043433B" w:rsidRDefault="00B30A87" w:rsidP="00A64291">
            <w:pPr>
              <w:rPr>
                <w:noProof/>
                <w:szCs w:val="22"/>
              </w:rPr>
            </w:pPr>
            <w:r w:rsidRPr="00C75860">
              <w:rPr>
                <w:noProof/>
                <w:szCs w:val="22"/>
              </w:rPr>
              <w:t xml:space="preserve">0-24 </w:t>
            </w:r>
            <w:r>
              <w:rPr>
                <w:noProof/>
                <w:szCs w:val="22"/>
              </w:rPr>
              <w:t>timer</w:t>
            </w:r>
          </w:p>
        </w:tc>
        <w:tc>
          <w:tcPr>
            <w:tcW w:w="2028" w:type="dxa"/>
            <w:vAlign w:val="center"/>
          </w:tcPr>
          <w:p w:rsidR="00B30A87" w:rsidRPr="0043433B" w:rsidRDefault="00B30A87" w:rsidP="00A64291">
            <w:pPr>
              <w:jc w:val="center"/>
              <w:rPr>
                <w:noProof/>
                <w:szCs w:val="22"/>
              </w:rPr>
            </w:pPr>
            <w:r w:rsidRPr="00FA3020">
              <w:rPr>
                <w:noProof/>
                <w:szCs w:val="22"/>
              </w:rPr>
              <w:t>87.5</w:t>
            </w:r>
          </w:p>
        </w:tc>
        <w:tc>
          <w:tcPr>
            <w:tcW w:w="2126" w:type="dxa"/>
            <w:vAlign w:val="center"/>
          </w:tcPr>
          <w:p w:rsidR="00B30A87" w:rsidRPr="0043433B" w:rsidRDefault="00B30A87" w:rsidP="00A64291">
            <w:pPr>
              <w:jc w:val="center"/>
              <w:rPr>
                <w:noProof/>
                <w:szCs w:val="22"/>
              </w:rPr>
            </w:pPr>
            <w:r w:rsidRPr="00FA3020">
              <w:rPr>
                <w:noProof/>
                <w:szCs w:val="22"/>
              </w:rPr>
              <w:t>77.3</w:t>
            </w:r>
          </w:p>
        </w:tc>
        <w:tc>
          <w:tcPr>
            <w:tcW w:w="851" w:type="dxa"/>
            <w:shd w:val="clear" w:color="auto" w:fill="auto"/>
            <w:vAlign w:val="center"/>
          </w:tcPr>
          <w:p w:rsidR="00B30A87" w:rsidRPr="0043433B" w:rsidRDefault="00B30A87" w:rsidP="00A64291">
            <w:pPr>
              <w:jc w:val="center"/>
              <w:rPr>
                <w:noProof/>
                <w:szCs w:val="22"/>
              </w:rPr>
            </w:pPr>
            <w:r w:rsidRPr="00FA3020">
              <w:rPr>
                <w:noProof/>
                <w:szCs w:val="22"/>
              </w:rPr>
              <w:t>10.2</w:t>
            </w:r>
          </w:p>
        </w:tc>
        <w:tc>
          <w:tcPr>
            <w:tcW w:w="1435" w:type="dxa"/>
            <w:shd w:val="clear" w:color="auto" w:fill="auto"/>
            <w:vAlign w:val="center"/>
          </w:tcPr>
          <w:p w:rsidR="00B30A87" w:rsidRPr="0043433B" w:rsidRDefault="00B30A87" w:rsidP="00A64291">
            <w:pPr>
              <w:jc w:val="center"/>
              <w:rPr>
                <w:noProof/>
                <w:szCs w:val="22"/>
              </w:rPr>
            </w:pPr>
            <w:r w:rsidRPr="00FA3020">
              <w:rPr>
                <w:noProof/>
                <w:szCs w:val="22"/>
              </w:rPr>
              <w:t xml:space="preserve"> (5.1, 15.3)</w:t>
            </w:r>
          </w:p>
        </w:tc>
      </w:tr>
      <w:tr w:rsidR="00B30A87" w:rsidRPr="0043433B" w:rsidTr="00931414">
        <w:trPr>
          <w:jc w:val="center"/>
        </w:trPr>
        <w:tc>
          <w:tcPr>
            <w:tcW w:w="2474" w:type="dxa"/>
            <w:shd w:val="clear" w:color="auto" w:fill="auto"/>
            <w:vAlign w:val="center"/>
          </w:tcPr>
          <w:p w:rsidR="00B30A87" w:rsidRPr="0043433B" w:rsidRDefault="00B30A87" w:rsidP="00A64291">
            <w:pPr>
              <w:rPr>
                <w:noProof/>
                <w:szCs w:val="22"/>
              </w:rPr>
            </w:pPr>
            <w:r w:rsidRPr="00C75860">
              <w:rPr>
                <w:noProof/>
                <w:szCs w:val="22"/>
              </w:rPr>
              <w:t xml:space="preserve">25-120 </w:t>
            </w:r>
            <w:r>
              <w:rPr>
                <w:noProof/>
                <w:szCs w:val="22"/>
              </w:rPr>
              <w:t>timer</w:t>
            </w:r>
          </w:p>
        </w:tc>
        <w:tc>
          <w:tcPr>
            <w:tcW w:w="2028" w:type="dxa"/>
            <w:vAlign w:val="center"/>
          </w:tcPr>
          <w:p w:rsidR="00B30A87" w:rsidRPr="0043433B" w:rsidRDefault="00B30A87" w:rsidP="00A64291">
            <w:pPr>
              <w:jc w:val="center"/>
              <w:rPr>
                <w:noProof/>
                <w:szCs w:val="22"/>
              </w:rPr>
            </w:pPr>
            <w:r w:rsidRPr="00FA3020">
              <w:rPr>
                <w:noProof/>
                <w:szCs w:val="22"/>
              </w:rPr>
              <w:t>80.8</w:t>
            </w:r>
          </w:p>
        </w:tc>
        <w:tc>
          <w:tcPr>
            <w:tcW w:w="2126" w:type="dxa"/>
            <w:vAlign w:val="center"/>
          </w:tcPr>
          <w:p w:rsidR="00B30A87" w:rsidRPr="0043433B" w:rsidRDefault="00B30A87" w:rsidP="00A64291">
            <w:pPr>
              <w:jc w:val="center"/>
              <w:rPr>
                <w:noProof/>
                <w:szCs w:val="22"/>
              </w:rPr>
            </w:pPr>
            <w:r w:rsidRPr="00FA3020">
              <w:rPr>
                <w:noProof/>
                <w:szCs w:val="22"/>
              </w:rPr>
              <w:t>69.1</w:t>
            </w:r>
          </w:p>
        </w:tc>
        <w:tc>
          <w:tcPr>
            <w:tcW w:w="851" w:type="dxa"/>
            <w:shd w:val="clear" w:color="auto" w:fill="auto"/>
            <w:vAlign w:val="center"/>
          </w:tcPr>
          <w:p w:rsidR="00B30A87" w:rsidRPr="0043433B" w:rsidRDefault="00B30A87" w:rsidP="00A64291">
            <w:pPr>
              <w:jc w:val="center"/>
              <w:rPr>
                <w:noProof/>
                <w:szCs w:val="22"/>
              </w:rPr>
            </w:pPr>
            <w:r w:rsidRPr="00FA3020">
              <w:rPr>
                <w:noProof/>
                <w:szCs w:val="22"/>
              </w:rPr>
              <w:t>11.7</w:t>
            </w:r>
          </w:p>
        </w:tc>
        <w:tc>
          <w:tcPr>
            <w:tcW w:w="1435" w:type="dxa"/>
            <w:shd w:val="clear" w:color="auto" w:fill="auto"/>
            <w:vAlign w:val="center"/>
          </w:tcPr>
          <w:p w:rsidR="00B30A87" w:rsidRPr="0043433B" w:rsidRDefault="00B30A87" w:rsidP="00A64291">
            <w:pPr>
              <w:jc w:val="center"/>
              <w:rPr>
                <w:noProof/>
                <w:szCs w:val="22"/>
              </w:rPr>
            </w:pPr>
            <w:r w:rsidRPr="00FA3020">
              <w:rPr>
                <w:noProof/>
                <w:szCs w:val="22"/>
              </w:rPr>
              <w:t xml:space="preserve"> (5.9, 17.5)</w:t>
            </w:r>
          </w:p>
        </w:tc>
      </w:tr>
      <w:tr w:rsidR="00B30A87" w:rsidRPr="00283CA0" w:rsidTr="00931414">
        <w:trPr>
          <w:jc w:val="center"/>
        </w:trPr>
        <w:tc>
          <w:tcPr>
            <w:tcW w:w="8914" w:type="dxa"/>
            <w:gridSpan w:val="5"/>
            <w:shd w:val="clear" w:color="auto" w:fill="auto"/>
            <w:vAlign w:val="center"/>
          </w:tcPr>
          <w:p w:rsidR="00B30A87" w:rsidRPr="00283CA0" w:rsidRDefault="00B30A87" w:rsidP="00A64291">
            <w:pPr>
              <w:rPr>
                <w:b/>
                <w:noProof/>
                <w:szCs w:val="22"/>
              </w:rPr>
            </w:pPr>
            <w:r w:rsidRPr="00283CA0">
              <w:rPr>
                <w:b/>
              </w:rPr>
              <w:t>Ingen signifikant kvalme (maks. VAS &lt; 25 mm på en skala fra 0-100 mm)</w:t>
            </w:r>
          </w:p>
        </w:tc>
      </w:tr>
      <w:tr w:rsidR="00B30A87" w:rsidRPr="0043433B" w:rsidTr="00931414">
        <w:trPr>
          <w:jc w:val="center"/>
        </w:trPr>
        <w:tc>
          <w:tcPr>
            <w:tcW w:w="2474" w:type="dxa"/>
            <w:shd w:val="clear" w:color="auto" w:fill="auto"/>
            <w:vAlign w:val="center"/>
          </w:tcPr>
          <w:p w:rsidR="00B30A87" w:rsidRPr="00BD68D5" w:rsidRDefault="00B30A87" w:rsidP="00A64291">
            <w:pPr>
              <w:rPr>
                <w:noProof/>
                <w:szCs w:val="22"/>
              </w:rPr>
            </w:pPr>
            <w:r>
              <w:rPr>
                <w:noProof/>
                <w:szCs w:val="22"/>
              </w:rPr>
              <w:t>Total</w:t>
            </w:r>
            <w:r w:rsidRPr="00BD68D5">
              <w:rPr>
                <w:noProof/>
                <w:szCs w:val="22"/>
              </w:rPr>
              <w:t xml:space="preserve"> (0-120 </w:t>
            </w:r>
            <w:r>
              <w:rPr>
                <w:noProof/>
                <w:szCs w:val="22"/>
              </w:rPr>
              <w:t>timer</w:t>
            </w:r>
            <w:r w:rsidRPr="00BD68D5">
              <w:rPr>
                <w:noProof/>
                <w:szCs w:val="22"/>
              </w:rPr>
              <w:t>)</w:t>
            </w:r>
          </w:p>
        </w:tc>
        <w:tc>
          <w:tcPr>
            <w:tcW w:w="2028" w:type="dxa"/>
            <w:vAlign w:val="center"/>
          </w:tcPr>
          <w:p w:rsidR="00B30A87" w:rsidRPr="0043433B" w:rsidRDefault="00B30A87" w:rsidP="00A64291">
            <w:pPr>
              <w:jc w:val="center"/>
              <w:rPr>
                <w:noProof/>
                <w:szCs w:val="22"/>
              </w:rPr>
            </w:pPr>
            <w:r w:rsidRPr="00AC1974">
              <w:rPr>
                <w:noProof/>
                <w:szCs w:val="22"/>
              </w:rPr>
              <w:t>60.9</w:t>
            </w:r>
          </w:p>
        </w:tc>
        <w:tc>
          <w:tcPr>
            <w:tcW w:w="2126" w:type="dxa"/>
            <w:vAlign w:val="center"/>
          </w:tcPr>
          <w:p w:rsidR="00B30A87" w:rsidRPr="0043433B" w:rsidRDefault="00B30A87" w:rsidP="00A64291">
            <w:pPr>
              <w:jc w:val="center"/>
              <w:rPr>
                <w:noProof/>
                <w:szCs w:val="22"/>
              </w:rPr>
            </w:pPr>
            <w:r w:rsidRPr="00AC1974">
              <w:rPr>
                <w:noProof/>
                <w:szCs w:val="22"/>
              </w:rPr>
              <w:t>55.7</w:t>
            </w:r>
          </w:p>
        </w:tc>
        <w:tc>
          <w:tcPr>
            <w:tcW w:w="851" w:type="dxa"/>
            <w:shd w:val="clear" w:color="auto" w:fill="auto"/>
            <w:vAlign w:val="center"/>
          </w:tcPr>
          <w:p w:rsidR="00B30A87" w:rsidRPr="0043433B" w:rsidRDefault="00B30A87" w:rsidP="00A64291">
            <w:pPr>
              <w:jc w:val="center"/>
              <w:rPr>
                <w:noProof/>
                <w:szCs w:val="22"/>
              </w:rPr>
            </w:pPr>
            <w:r w:rsidRPr="00AC1974">
              <w:rPr>
                <w:noProof/>
                <w:szCs w:val="22"/>
              </w:rPr>
              <w:t>5.3</w:t>
            </w:r>
          </w:p>
        </w:tc>
        <w:tc>
          <w:tcPr>
            <w:tcW w:w="1435" w:type="dxa"/>
            <w:shd w:val="clear" w:color="auto" w:fill="auto"/>
            <w:vAlign w:val="center"/>
          </w:tcPr>
          <w:p w:rsidR="00B30A87" w:rsidRPr="0043433B" w:rsidRDefault="00B30A87" w:rsidP="00A64291">
            <w:pPr>
              <w:jc w:val="center"/>
              <w:rPr>
                <w:noProof/>
                <w:szCs w:val="22"/>
              </w:rPr>
            </w:pPr>
            <w:r w:rsidRPr="00AC1974">
              <w:rPr>
                <w:noProof/>
                <w:szCs w:val="22"/>
              </w:rPr>
              <w:t>(-1.3, 11.9)</w:t>
            </w:r>
          </w:p>
        </w:tc>
      </w:tr>
      <w:tr w:rsidR="00B30A87" w:rsidRPr="0043433B" w:rsidTr="00931414">
        <w:trPr>
          <w:jc w:val="center"/>
        </w:trPr>
        <w:tc>
          <w:tcPr>
            <w:tcW w:w="2474" w:type="dxa"/>
            <w:shd w:val="clear" w:color="auto" w:fill="auto"/>
            <w:vAlign w:val="center"/>
          </w:tcPr>
          <w:p w:rsidR="00B30A87" w:rsidRPr="00BD68D5" w:rsidRDefault="00B30A87" w:rsidP="00A64291">
            <w:pPr>
              <w:rPr>
                <w:noProof/>
                <w:szCs w:val="22"/>
              </w:rPr>
            </w:pPr>
            <w:r w:rsidRPr="00FA3020">
              <w:rPr>
                <w:noProof/>
                <w:szCs w:val="22"/>
              </w:rPr>
              <w:t xml:space="preserve">0-24 </w:t>
            </w:r>
            <w:r>
              <w:rPr>
                <w:noProof/>
                <w:szCs w:val="22"/>
              </w:rPr>
              <w:t>timer</w:t>
            </w:r>
          </w:p>
        </w:tc>
        <w:tc>
          <w:tcPr>
            <w:tcW w:w="2028" w:type="dxa"/>
            <w:vAlign w:val="center"/>
          </w:tcPr>
          <w:p w:rsidR="00B30A87" w:rsidRPr="0043433B" w:rsidRDefault="00B30A87" w:rsidP="00A64291">
            <w:pPr>
              <w:jc w:val="center"/>
              <w:rPr>
                <w:noProof/>
                <w:szCs w:val="22"/>
              </w:rPr>
            </w:pPr>
            <w:r w:rsidRPr="00AC1974">
              <w:rPr>
                <w:noProof/>
                <w:szCs w:val="22"/>
              </w:rPr>
              <w:t>79.5</w:t>
            </w:r>
          </w:p>
        </w:tc>
        <w:tc>
          <w:tcPr>
            <w:tcW w:w="2126" w:type="dxa"/>
            <w:vAlign w:val="center"/>
          </w:tcPr>
          <w:p w:rsidR="00B30A87" w:rsidRPr="0043433B" w:rsidRDefault="00B30A87" w:rsidP="00A64291">
            <w:pPr>
              <w:jc w:val="center"/>
              <w:rPr>
                <w:noProof/>
                <w:szCs w:val="22"/>
              </w:rPr>
            </w:pPr>
            <w:r w:rsidRPr="00AC1974">
              <w:rPr>
                <w:noProof/>
                <w:szCs w:val="22"/>
              </w:rPr>
              <w:t>78.3</w:t>
            </w:r>
          </w:p>
        </w:tc>
        <w:tc>
          <w:tcPr>
            <w:tcW w:w="851" w:type="dxa"/>
            <w:shd w:val="clear" w:color="auto" w:fill="auto"/>
            <w:vAlign w:val="center"/>
          </w:tcPr>
          <w:p w:rsidR="00B30A87" w:rsidRPr="0043433B" w:rsidRDefault="00B30A87" w:rsidP="00A64291">
            <w:pPr>
              <w:jc w:val="center"/>
              <w:rPr>
                <w:noProof/>
                <w:szCs w:val="22"/>
              </w:rPr>
            </w:pPr>
            <w:r w:rsidRPr="00AC1974">
              <w:rPr>
                <w:noProof/>
                <w:szCs w:val="22"/>
              </w:rPr>
              <w:t>1.3</w:t>
            </w:r>
          </w:p>
        </w:tc>
        <w:tc>
          <w:tcPr>
            <w:tcW w:w="1435" w:type="dxa"/>
            <w:shd w:val="clear" w:color="auto" w:fill="auto"/>
            <w:vAlign w:val="center"/>
          </w:tcPr>
          <w:p w:rsidR="00B30A87" w:rsidRPr="0043433B" w:rsidRDefault="00B30A87" w:rsidP="00A64291">
            <w:pPr>
              <w:jc w:val="center"/>
              <w:rPr>
                <w:noProof/>
                <w:szCs w:val="22"/>
              </w:rPr>
            </w:pPr>
            <w:r w:rsidRPr="00AC1974">
              <w:rPr>
                <w:noProof/>
                <w:szCs w:val="22"/>
              </w:rPr>
              <w:t>(-4.2, 6.8)</w:t>
            </w:r>
          </w:p>
        </w:tc>
      </w:tr>
      <w:tr w:rsidR="00B30A87" w:rsidRPr="0043433B" w:rsidTr="00931414">
        <w:trPr>
          <w:jc w:val="center"/>
        </w:trPr>
        <w:tc>
          <w:tcPr>
            <w:tcW w:w="2474" w:type="dxa"/>
            <w:shd w:val="clear" w:color="auto" w:fill="auto"/>
            <w:vAlign w:val="center"/>
          </w:tcPr>
          <w:p w:rsidR="00B30A87" w:rsidRPr="00BD68D5" w:rsidRDefault="00B30A87" w:rsidP="00A64291">
            <w:pPr>
              <w:rPr>
                <w:noProof/>
                <w:szCs w:val="22"/>
              </w:rPr>
            </w:pPr>
            <w:r w:rsidRPr="00BD68D5">
              <w:rPr>
                <w:noProof/>
                <w:szCs w:val="22"/>
              </w:rPr>
              <w:t xml:space="preserve">25-120 </w:t>
            </w:r>
            <w:r>
              <w:rPr>
                <w:noProof/>
                <w:szCs w:val="22"/>
              </w:rPr>
              <w:t>timer</w:t>
            </w:r>
          </w:p>
        </w:tc>
        <w:tc>
          <w:tcPr>
            <w:tcW w:w="2028" w:type="dxa"/>
            <w:vAlign w:val="center"/>
          </w:tcPr>
          <w:p w:rsidR="00B30A87" w:rsidRPr="00BD68D5" w:rsidRDefault="00B30A87" w:rsidP="00A64291">
            <w:pPr>
              <w:jc w:val="center"/>
              <w:rPr>
                <w:noProof/>
                <w:szCs w:val="22"/>
              </w:rPr>
            </w:pPr>
            <w:r w:rsidRPr="00AC1974">
              <w:rPr>
                <w:noProof/>
                <w:szCs w:val="22"/>
              </w:rPr>
              <w:t>65.3</w:t>
            </w:r>
          </w:p>
        </w:tc>
        <w:tc>
          <w:tcPr>
            <w:tcW w:w="2126" w:type="dxa"/>
            <w:vAlign w:val="center"/>
          </w:tcPr>
          <w:p w:rsidR="00B30A87" w:rsidRPr="00BD68D5" w:rsidRDefault="00B30A87" w:rsidP="00A64291">
            <w:pPr>
              <w:jc w:val="center"/>
              <w:rPr>
                <w:noProof/>
                <w:szCs w:val="22"/>
              </w:rPr>
            </w:pPr>
            <w:r w:rsidRPr="00AC1974">
              <w:rPr>
                <w:noProof/>
                <w:szCs w:val="22"/>
              </w:rPr>
              <w:t>61.5</w:t>
            </w:r>
          </w:p>
        </w:tc>
        <w:tc>
          <w:tcPr>
            <w:tcW w:w="851" w:type="dxa"/>
            <w:shd w:val="clear" w:color="auto" w:fill="auto"/>
            <w:vAlign w:val="center"/>
          </w:tcPr>
          <w:p w:rsidR="00B30A87" w:rsidRPr="00BD68D5" w:rsidRDefault="00B30A87" w:rsidP="00A64291">
            <w:pPr>
              <w:jc w:val="center"/>
              <w:rPr>
                <w:noProof/>
                <w:szCs w:val="22"/>
              </w:rPr>
            </w:pPr>
            <w:r w:rsidRPr="00AC1974">
              <w:rPr>
                <w:noProof/>
                <w:szCs w:val="22"/>
              </w:rPr>
              <w:t>3.9</w:t>
            </w:r>
          </w:p>
        </w:tc>
        <w:tc>
          <w:tcPr>
            <w:tcW w:w="1435" w:type="dxa"/>
            <w:shd w:val="clear" w:color="auto" w:fill="auto"/>
            <w:vAlign w:val="center"/>
          </w:tcPr>
          <w:p w:rsidR="00B30A87" w:rsidRPr="00BD68D5" w:rsidRDefault="00B30A87" w:rsidP="00A64291">
            <w:pPr>
              <w:jc w:val="center"/>
              <w:rPr>
                <w:noProof/>
                <w:szCs w:val="22"/>
              </w:rPr>
            </w:pPr>
            <w:r w:rsidRPr="00AC1974">
              <w:rPr>
                <w:noProof/>
                <w:szCs w:val="22"/>
              </w:rPr>
              <w:t xml:space="preserve"> (-2.6, 10.3)</w:t>
            </w:r>
          </w:p>
        </w:tc>
      </w:tr>
    </w:tbl>
    <w:p w:rsidR="00B30A87" w:rsidRPr="00931414" w:rsidRDefault="00B30A87" w:rsidP="00B30A87">
      <w:pPr>
        <w:tabs>
          <w:tab w:val="left" w:pos="851"/>
        </w:tabs>
        <w:ind w:left="851"/>
        <w:rPr>
          <w:sz w:val="22"/>
          <w:szCs w:val="22"/>
        </w:rPr>
      </w:pPr>
      <w:r w:rsidRPr="00931414">
        <w:rPr>
          <w:sz w:val="22"/>
          <w:szCs w:val="22"/>
        </w:rPr>
        <w:t xml:space="preserve">* Konfidensintervallerne (CI) er ikke korrigeret for køn (&lt; 55 år, ≥ 55 år) og investigatorgruppe, som var inkluderet i den primære analyse af odds ratio og logistiske modeller. </w:t>
      </w:r>
    </w:p>
    <w:p w:rsidR="00B30A87" w:rsidRPr="00931414" w:rsidRDefault="00B30A87" w:rsidP="00B30A87">
      <w:pPr>
        <w:tabs>
          <w:tab w:val="left" w:pos="851"/>
        </w:tabs>
        <w:ind w:left="851"/>
        <w:rPr>
          <w:sz w:val="22"/>
          <w:szCs w:val="22"/>
        </w:rPr>
      </w:pPr>
      <w:r w:rsidRPr="00931414">
        <w:rPr>
          <w:sz w:val="22"/>
          <w:szCs w:val="22"/>
        </w:rPr>
        <w:t>† En patient i aprepitantregimet havde kun data i den akutte fase og blev ekskluderet fra analyserne fra den totale og forsinkede fase.</w:t>
      </w:r>
    </w:p>
    <w:p w:rsidR="00B30A87" w:rsidRPr="00B30A87" w:rsidRDefault="00B30A87" w:rsidP="00B30A87">
      <w:pPr>
        <w:tabs>
          <w:tab w:val="left" w:pos="851"/>
        </w:tabs>
        <w:ind w:left="851"/>
        <w:rPr>
          <w:sz w:val="24"/>
          <w:szCs w:val="24"/>
        </w:rPr>
      </w:pPr>
    </w:p>
    <w:p w:rsidR="00B30A87" w:rsidRPr="00B30A87" w:rsidRDefault="00B30A87" w:rsidP="00B30A87">
      <w:pPr>
        <w:tabs>
          <w:tab w:val="left" w:pos="851"/>
        </w:tabs>
        <w:ind w:left="851"/>
        <w:rPr>
          <w:sz w:val="24"/>
          <w:szCs w:val="24"/>
        </w:rPr>
      </w:pPr>
      <w:r w:rsidRPr="00B30A87">
        <w:rPr>
          <w:sz w:val="24"/>
          <w:szCs w:val="24"/>
        </w:rPr>
        <w:t xml:space="preserve">I samme kliniske undersøgelse fortsatte 744 voksne patienter i gentagne kemoterapibehandlinger (multi-cyklus) og op til 3 yderligere kemoterapibehandlinger. Virkningen af aprepitant behandlingsregimet vedligeholdtes tilsyneladende i alle behandlingerne. </w:t>
      </w:r>
    </w:p>
    <w:p w:rsidR="00B30A87" w:rsidRPr="00B30A87" w:rsidRDefault="00B30A87" w:rsidP="00B30A87">
      <w:pPr>
        <w:tabs>
          <w:tab w:val="left" w:pos="851"/>
        </w:tabs>
        <w:ind w:left="851"/>
        <w:rPr>
          <w:sz w:val="24"/>
          <w:szCs w:val="24"/>
        </w:rPr>
      </w:pPr>
    </w:p>
    <w:p w:rsidR="00B30A87" w:rsidRPr="00B30A87" w:rsidRDefault="00B30A87" w:rsidP="00B30A87">
      <w:pPr>
        <w:tabs>
          <w:tab w:val="left" w:pos="851"/>
        </w:tabs>
        <w:ind w:left="851"/>
        <w:rPr>
          <w:sz w:val="24"/>
          <w:szCs w:val="24"/>
        </w:rPr>
      </w:pPr>
      <w:r w:rsidRPr="00B30A87">
        <w:rPr>
          <w:sz w:val="24"/>
          <w:szCs w:val="24"/>
        </w:rPr>
        <w:t>I en anden randomiseret, dobbeltblindet, klinisk multicenterundersøgelse med parallelle grupper blev aprepitantregimet sammenlignet med standardbehandling hos 848 voksne patienter (652 kvinder, 196 mænd), som fik et kemoterapiregime, der inkluderede i.v.behandling med oxaliplatin, carboplatin, epirubicin, idarubicin, ifosfamid, irinotecan, daunorubicin, doxorubicin, intravenøst cyclophosphamid (&lt;1.500 mg/m</w:t>
      </w:r>
      <w:r w:rsidRPr="00B30A87">
        <w:rPr>
          <w:sz w:val="24"/>
          <w:szCs w:val="24"/>
          <w:vertAlign w:val="superscript"/>
        </w:rPr>
        <w:t>2</w:t>
      </w:r>
      <w:r w:rsidRPr="00B30A87">
        <w:rPr>
          <w:sz w:val="24"/>
          <w:szCs w:val="24"/>
        </w:rPr>
        <w:t>); eller intravenøst cytarabin (1 g/m</w:t>
      </w:r>
      <w:r w:rsidRPr="00B30A87">
        <w:rPr>
          <w:sz w:val="24"/>
          <w:szCs w:val="24"/>
          <w:vertAlign w:val="superscript"/>
        </w:rPr>
        <w:t>2</w:t>
      </w:r>
      <w:r w:rsidRPr="00B30A87">
        <w:rPr>
          <w:sz w:val="24"/>
          <w:szCs w:val="24"/>
        </w:rPr>
        <w:t xml:space="preserve">). De patienter, der fik aprepitantregimet, fik kemoterapi for forskellige tumortyper, herunder 52% med brystcancer, 21% med gastrointestinal cancer, herunder kolorektal cancer, 13% med lungecancer og 6% med gynækologisk cancer. Aprepitantregimet i kombination med et ondansetron/dexamethason-regime (se pkt. 4.2) blev sammenlignet med standardbehandlingen (placebo i kombination med ondansetron 8 mg oralt (to gange på dag 1 og hver 12. time på dag 2 og 3) plus dexamethason 20 mg oralt på dag 1). </w:t>
      </w:r>
    </w:p>
    <w:p w:rsidR="00B30A87" w:rsidRPr="00B30A87" w:rsidRDefault="00B30A87" w:rsidP="00B30A87">
      <w:pPr>
        <w:tabs>
          <w:tab w:val="left" w:pos="851"/>
        </w:tabs>
        <w:ind w:left="851"/>
        <w:rPr>
          <w:sz w:val="24"/>
          <w:szCs w:val="24"/>
        </w:rPr>
      </w:pPr>
    </w:p>
    <w:p w:rsidR="00B30A87" w:rsidRPr="00B30A87" w:rsidRDefault="00B30A87" w:rsidP="00B30A87">
      <w:pPr>
        <w:tabs>
          <w:tab w:val="left" w:pos="851"/>
        </w:tabs>
        <w:ind w:left="851"/>
        <w:rPr>
          <w:sz w:val="24"/>
          <w:szCs w:val="24"/>
        </w:rPr>
      </w:pPr>
      <w:r w:rsidRPr="00B30A87">
        <w:rPr>
          <w:sz w:val="24"/>
          <w:szCs w:val="24"/>
        </w:rPr>
        <w:t xml:space="preserve">Virkningen var baseret på vurderingen af følgende primære og vigtige sekundære endepunkter: Ingen opkastning i hele perioden (0-120 timer efter kemoterapi), vurdering af </w:t>
      </w:r>
      <w:r w:rsidRPr="00B30A87">
        <w:rPr>
          <w:sz w:val="24"/>
          <w:szCs w:val="24"/>
        </w:rPr>
        <w:lastRenderedPageBreak/>
        <w:t>sikkerhed og tolerabilitet af aprepitantregimet mht. kvalme og opkastning i forbindelse med kemoterapi (CINV) samt komplet respons (defineret som ingen opkastning og ingen anvendelse af erstatningsterapi) i hele perioden (0- 120 timer efter kemoterapi). Desuden vurderedes "no significant nausea" i hele perioden (0-120 timer efter kemoterapi) som et eksplorativt endepunkt, og i de akutte og forsinkede faser som en post-hoc analyse.</w:t>
      </w:r>
    </w:p>
    <w:p w:rsidR="00B30A87" w:rsidRPr="00B30A87" w:rsidRDefault="00B30A87" w:rsidP="00B30A87">
      <w:pPr>
        <w:tabs>
          <w:tab w:val="left" w:pos="851"/>
        </w:tabs>
        <w:ind w:left="851"/>
        <w:rPr>
          <w:sz w:val="24"/>
          <w:szCs w:val="24"/>
        </w:rPr>
      </w:pPr>
    </w:p>
    <w:p w:rsidR="00B30A87" w:rsidRPr="00B30A87" w:rsidRDefault="00B30A87" w:rsidP="00B30A87">
      <w:pPr>
        <w:tabs>
          <w:tab w:val="left" w:pos="851"/>
        </w:tabs>
        <w:ind w:left="851"/>
        <w:rPr>
          <w:sz w:val="24"/>
          <w:szCs w:val="24"/>
        </w:rPr>
      </w:pPr>
      <w:r w:rsidRPr="00B30A87">
        <w:rPr>
          <w:sz w:val="24"/>
          <w:szCs w:val="24"/>
        </w:rPr>
        <w:t>En opsummering af nøgleresultaterne fra undersøgelserne fremgår af tabel 3.</w:t>
      </w:r>
    </w:p>
    <w:p w:rsidR="00B30A87" w:rsidRPr="00B30A87" w:rsidRDefault="00B30A87" w:rsidP="00B30A87">
      <w:pPr>
        <w:tabs>
          <w:tab w:val="left" w:pos="851"/>
        </w:tabs>
        <w:ind w:left="851"/>
        <w:rPr>
          <w:sz w:val="24"/>
          <w:szCs w:val="24"/>
        </w:rPr>
      </w:pPr>
    </w:p>
    <w:p w:rsidR="00B30A87" w:rsidRPr="00B30A87" w:rsidRDefault="00B30A87" w:rsidP="00552D36">
      <w:pPr>
        <w:tabs>
          <w:tab w:val="left" w:pos="851"/>
        </w:tabs>
        <w:ind w:left="851"/>
        <w:jc w:val="center"/>
        <w:rPr>
          <w:sz w:val="24"/>
          <w:szCs w:val="24"/>
        </w:rPr>
      </w:pPr>
      <w:r w:rsidRPr="00B30A87">
        <w:rPr>
          <w:sz w:val="24"/>
          <w:szCs w:val="24"/>
        </w:rPr>
        <w:t>Tabel 3</w:t>
      </w:r>
    </w:p>
    <w:p w:rsidR="00B30A87" w:rsidRPr="00B30A87" w:rsidRDefault="00B30A87" w:rsidP="00552D36">
      <w:pPr>
        <w:tabs>
          <w:tab w:val="left" w:pos="851"/>
        </w:tabs>
        <w:ind w:left="851"/>
        <w:jc w:val="center"/>
        <w:rPr>
          <w:sz w:val="24"/>
          <w:szCs w:val="24"/>
        </w:rPr>
      </w:pPr>
      <w:r w:rsidRPr="00B30A87">
        <w:rPr>
          <w:sz w:val="24"/>
          <w:szCs w:val="24"/>
        </w:rPr>
        <w:t>Procent voksne patienter, som responderer pr. behandlingsgruppe og-fase i undersøgelse 2 – cyklus 1</w:t>
      </w:r>
    </w:p>
    <w:p w:rsidR="00B30A87" w:rsidRDefault="00B30A87" w:rsidP="00552D36">
      <w:pPr>
        <w:tabs>
          <w:tab w:val="left" w:pos="851"/>
        </w:tabs>
        <w:ind w:left="851"/>
        <w:jc w:val="center"/>
        <w:rPr>
          <w:sz w:val="24"/>
          <w:szCs w:val="24"/>
        </w:rPr>
      </w:pPr>
      <w:r w:rsidRPr="00B30A87">
        <w:rPr>
          <w:sz w:val="24"/>
          <w:szCs w:val="24"/>
        </w:rPr>
        <w:t>Moderat emetogen kemoterapi</w:t>
      </w:r>
    </w:p>
    <w:p w:rsidR="00552D36" w:rsidRDefault="00552D36" w:rsidP="00552D36">
      <w:pPr>
        <w:tabs>
          <w:tab w:val="left" w:pos="851"/>
        </w:tabs>
        <w:ind w:left="851"/>
        <w:jc w:val="center"/>
        <w:rPr>
          <w:sz w:val="24"/>
          <w:szCs w:val="24"/>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2028"/>
        <w:gridCol w:w="2126"/>
        <w:gridCol w:w="851"/>
        <w:gridCol w:w="1435"/>
      </w:tblGrid>
      <w:tr w:rsidR="00552D36" w:rsidRPr="0043433B" w:rsidTr="00931414">
        <w:trPr>
          <w:jc w:val="center"/>
        </w:trPr>
        <w:tc>
          <w:tcPr>
            <w:tcW w:w="2474" w:type="dxa"/>
            <w:vMerge w:val="restart"/>
            <w:shd w:val="clear" w:color="auto" w:fill="auto"/>
            <w:vAlign w:val="center"/>
          </w:tcPr>
          <w:p w:rsidR="00552D36" w:rsidRPr="0043433B" w:rsidRDefault="00552D36" w:rsidP="00A64291">
            <w:pPr>
              <w:jc w:val="center"/>
              <w:rPr>
                <w:noProof/>
                <w:szCs w:val="22"/>
              </w:rPr>
            </w:pPr>
          </w:p>
        </w:tc>
        <w:tc>
          <w:tcPr>
            <w:tcW w:w="2028" w:type="dxa"/>
            <w:vAlign w:val="center"/>
          </w:tcPr>
          <w:p w:rsidR="00552D36" w:rsidRDefault="00552D36" w:rsidP="00A64291">
            <w:pPr>
              <w:jc w:val="center"/>
              <w:rPr>
                <w:noProof/>
                <w:szCs w:val="22"/>
              </w:rPr>
            </w:pPr>
          </w:p>
          <w:p w:rsidR="00552D36" w:rsidRPr="006A66C2" w:rsidRDefault="00552D36" w:rsidP="00A64291">
            <w:pPr>
              <w:jc w:val="center"/>
              <w:rPr>
                <w:noProof/>
                <w:szCs w:val="22"/>
              </w:rPr>
            </w:pPr>
            <w:r w:rsidRPr="006A66C2">
              <w:rPr>
                <w:noProof/>
                <w:szCs w:val="22"/>
              </w:rPr>
              <w:t xml:space="preserve">Aprepitant </w:t>
            </w:r>
            <w:r>
              <w:rPr>
                <w:noProof/>
                <w:szCs w:val="22"/>
              </w:rPr>
              <w:t>behandlings</w:t>
            </w:r>
            <w:r w:rsidRPr="006A66C2">
              <w:rPr>
                <w:noProof/>
                <w:szCs w:val="22"/>
              </w:rPr>
              <w:t>regime</w:t>
            </w:r>
          </w:p>
          <w:p w:rsidR="00552D36" w:rsidRPr="006A66C2" w:rsidRDefault="00552D36" w:rsidP="00A64291">
            <w:pPr>
              <w:jc w:val="center"/>
              <w:rPr>
                <w:noProof/>
                <w:szCs w:val="22"/>
              </w:rPr>
            </w:pPr>
            <w:r w:rsidRPr="006A66C2">
              <w:rPr>
                <w:noProof/>
                <w:szCs w:val="22"/>
              </w:rPr>
              <w:t xml:space="preserve">(N= </w:t>
            </w:r>
            <w:r>
              <w:rPr>
                <w:noProof/>
                <w:szCs w:val="22"/>
              </w:rPr>
              <w:t>425</w:t>
            </w:r>
            <w:r w:rsidRPr="006A66C2">
              <w:rPr>
                <w:noProof/>
                <w:szCs w:val="22"/>
              </w:rPr>
              <w:t xml:space="preserve">) </w:t>
            </w:r>
          </w:p>
          <w:p w:rsidR="00552D36" w:rsidRPr="006A66C2" w:rsidRDefault="00552D36" w:rsidP="00A64291">
            <w:pPr>
              <w:jc w:val="center"/>
              <w:rPr>
                <w:noProof/>
                <w:szCs w:val="22"/>
              </w:rPr>
            </w:pPr>
          </w:p>
        </w:tc>
        <w:tc>
          <w:tcPr>
            <w:tcW w:w="2126" w:type="dxa"/>
            <w:vAlign w:val="center"/>
          </w:tcPr>
          <w:p w:rsidR="00552D36" w:rsidRPr="006A66C2" w:rsidRDefault="00552D36" w:rsidP="00A64291">
            <w:pPr>
              <w:jc w:val="center"/>
              <w:rPr>
                <w:noProof/>
                <w:szCs w:val="22"/>
              </w:rPr>
            </w:pPr>
            <w:r w:rsidRPr="006A66C2">
              <w:rPr>
                <w:noProof/>
                <w:szCs w:val="22"/>
              </w:rPr>
              <w:t xml:space="preserve">Standard </w:t>
            </w:r>
            <w:r>
              <w:rPr>
                <w:noProof/>
                <w:szCs w:val="22"/>
              </w:rPr>
              <w:t>behandling</w:t>
            </w:r>
          </w:p>
          <w:p w:rsidR="00552D36" w:rsidRPr="006A66C2" w:rsidRDefault="00552D36" w:rsidP="00A64291">
            <w:pPr>
              <w:jc w:val="center"/>
              <w:rPr>
                <w:noProof/>
                <w:szCs w:val="22"/>
              </w:rPr>
            </w:pPr>
            <w:r>
              <w:rPr>
                <w:noProof/>
                <w:szCs w:val="22"/>
              </w:rPr>
              <w:t>(N=406</w:t>
            </w:r>
            <w:r w:rsidRPr="006A66C2">
              <w:rPr>
                <w:noProof/>
                <w:szCs w:val="22"/>
              </w:rPr>
              <w:t xml:space="preserve">) </w:t>
            </w:r>
          </w:p>
        </w:tc>
        <w:tc>
          <w:tcPr>
            <w:tcW w:w="2286" w:type="dxa"/>
            <w:gridSpan w:val="2"/>
            <w:shd w:val="clear" w:color="auto" w:fill="auto"/>
            <w:vAlign w:val="center"/>
          </w:tcPr>
          <w:p w:rsidR="00552D36" w:rsidRPr="0043433B" w:rsidRDefault="00552D36" w:rsidP="00A64291">
            <w:pPr>
              <w:jc w:val="center"/>
              <w:rPr>
                <w:noProof/>
                <w:szCs w:val="22"/>
              </w:rPr>
            </w:pPr>
            <w:r>
              <w:rPr>
                <w:noProof/>
                <w:szCs w:val="22"/>
              </w:rPr>
              <w:t>Forskelle</w:t>
            </w:r>
            <w:r w:rsidRPr="006A66C2">
              <w:rPr>
                <w:noProof/>
                <w:szCs w:val="22"/>
              </w:rPr>
              <w:t>*</w:t>
            </w:r>
          </w:p>
        </w:tc>
      </w:tr>
      <w:tr w:rsidR="00552D36" w:rsidRPr="0043433B" w:rsidTr="00931414">
        <w:trPr>
          <w:jc w:val="center"/>
        </w:trPr>
        <w:tc>
          <w:tcPr>
            <w:tcW w:w="2474" w:type="dxa"/>
            <w:vMerge/>
            <w:shd w:val="clear" w:color="auto" w:fill="auto"/>
            <w:vAlign w:val="center"/>
          </w:tcPr>
          <w:p w:rsidR="00552D36" w:rsidRPr="0043433B" w:rsidRDefault="00552D36" w:rsidP="00A64291">
            <w:pPr>
              <w:rPr>
                <w:noProof/>
                <w:szCs w:val="22"/>
              </w:rPr>
            </w:pPr>
          </w:p>
        </w:tc>
        <w:tc>
          <w:tcPr>
            <w:tcW w:w="2028" w:type="dxa"/>
            <w:vAlign w:val="center"/>
          </w:tcPr>
          <w:p w:rsidR="00552D36" w:rsidRPr="0043433B" w:rsidRDefault="00552D36" w:rsidP="00A64291">
            <w:pPr>
              <w:jc w:val="center"/>
              <w:rPr>
                <w:noProof/>
                <w:szCs w:val="22"/>
              </w:rPr>
            </w:pPr>
            <w:r>
              <w:rPr>
                <w:noProof/>
                <w:szCs w:val="22"/>
              </w:rPr>
              <w:t>%</w:t>
            </w:r>
          </w:p>
        </w:tc>
        <w:tc>
          <w:tcPr>
            <w:tcW w:w="2126" w:type="dxa"/>
            <w:vAlign w:val="center"/>
          </w:tcPr>
          <w:p w:rsidR="00552D36" w:rsidRPr="0043433B" w:rsidRDefault="00552D36" w:rsidP="00A64291">
            <w:pPr>
              <w:jc w:val="center"/>
              <w:rPr>
                <w:noProof/>
                <w:szCs w:val="22"/>
              </w:rPr>
            </w:pPr>
            <w:r>
              <w:rPr>
                <w:noProof/>
                <w:szCs w:val="22"/>
              </w:rPr>
              <w:t>%</w:t>
            </w:r>
          </w:p>
        </w:tc>
        <w:tc>
          <w:tcPr>
            <w:tcW w:w="851" w:type="dxa"/>
            <w:shd w:val="clear" w:color="auto" w:fill="auto"/>
            <w:vAlign w:val="center"/>
          </w:tcPr>
          <w:p w:rsidR="00552D36" w:rsidRPr="0043433B" w:rsidRDefault="00552D36" w:rsidP="00A64291">
            <w:pPr>
              <w:jc w:val="center"/>
              <w:rPr>
                <w:noProof/>
                <w:szCs w:val="22"/>
              </w:rPr>
            </w:pPr>
            <w:r w:rsidRPr="0043433B">
              <w:rPr>
                <w:noProof/>
                <w:szCs w:val="22"/>
              </w:rPr>
              <w:t>%</w:t>
            </w:r>
          </w:p>
        </w:tc>
        <w:tc>
          <w:tcPr>
            <w:tcW w:w="1435" w:type="dxa"/>
            <w:shd w:val="clear" w:color="auto" w:fill="auto"/>
            <w:vAlign w:val="center"/>
          </w:tcPr>
          <w:p w:rsidR="00552D36" w:rsidRPr="0043433B" w:rsidRDefault="00552D36" w:rsidP="00A64291">
            <w:pPr>
              <w:jc w:val="center"/>
              <w:rPr>
                <w:noProof/>
                <w:szCs w:val="22"/>
              </w:rPr>
            </w:pPr>
            <w:r>
              <w:rPr>
                <w:noProof/>
                <w:szCs w:val="22"/>
              </w:rPr>
              <w:t>(95 % CI)</w:t>
            </w:r>
          </w:p>
        </w:tc>
      </w:tr>
      <w:tr w:rsidR="00552D36" w:rsidRPr="001238EC" w:rsidTr="00931414">
        <w:trPr>
          <w:jc w:val="center"/>
        </w:trPr>
        <w:tc>
          <w:tcPr>
            <w:tcW w:w="8914" w:type="dxa"/>
            <w:gridSpan w:val="5"/>
            <w:shd w:val="clear" w:color="auto" w:fill="auto"/>
            <w:vAlign w:val="center"/>
          </w:tcPr>
          <w:p w:rsidR="00552D36" w:rsidRPr="001238EC" w:rsidRDefault="00552D36" w:rsidP="00A64291">
            <w:pPr>
              <w:rPr>
                <w:b/>
                <w:noProof/>
                <w:szCs w:val="22"/>
              </w:rPr>
            </w:pPr>
            <w:r w:rsidRPr="001238EC">
              <w:rPr>
                <w:b/>
              </w:rPr>
              <w:t>Komplet Respons (ingen opkastning og ingen erstatningsterapi)</w:t>
            </w:r>
          </w:p>
        </w:tc>
      </w:tr>
      <w:tr w:rsidR="00552D36" w:rsidRPr="0043433B" w:rsidTr="00931414">
        <w:trPr>
          <w:jc w:val="center"/>
        </w:trPr>
        <w:tc>
          <w:tcPr>
            <w:tcW w:w="2474" w:type="dxa"/>
            <w:shd w:val="clear" w:color="auto" w:fill="auto"/>
            <w:vAlign w:val="center"/>
          </w:tcPr>
          <w:p w:rsidR="00552D36" w:rsidRPr="0043433B" w:rsidRDefault="00552D36" w:rsidP="00A64291">
            <w:pPr>
              <w:rPr>
                <w:noProof/>
                <w:szCs w:val="22"/>
              </w:rPr>
            </w:pPr>
            <w:r>
              <w:rPr>
                <w:noProof/>
                <w:szCs w:val="22"/>
              </w:rPr>
              <w:t>Total</w:t>
            </w:r>
            <w:r w:rsidRPr="00C75860">
              <w:rPr>
                <w:noProof/>
                <w:szCs w:val="22"/>
              </w:rPr>
              <w:t xml:space="preserve"> (0-120 </w:t>
            </w:r>
            <w:r>
              <w:rPr>
                <w:noProof/>
                <w:szCs w:val="22"/>
              </w:rPr>
              <w:t>timer</w:t>
            </w:r>
            <w:r w:rsidRPr="00C75860">
              <w:rPr>
                <w:noProof/>
                <w:szCs w:val="22"/>
              </w:rPr>
              <w:t>)</w:t>
            </w:r>
          </w:p>
        </w:tc>
        <w:tc>
          <w:tcPr>
            <w:tcW w:w="2028" w:type="dxa"/>
            <w:vAlign w:val="center"/>
          </w:tcPr>
          <w:p w:rsidR="00552D36" w:rsidRPr="0043433B" w:rsidRDefault="00552D36" w:rsidP="00A64291">
            <w:pPr>
              <w:jc w:val="center"/>
              <w:rPr>
                <w:noProof/>
                <w:szCs w:val="22"/>
              </w:rPr>
            </w:pPr>
            <w:r w:rsidRPr="004D19CD">
              <w:rPr>
                <w:noProof/>
                <w:szCs w:val="22"/>
              </w:rPr>
              <w:t>68.7</w:t>
            </w:r>
          </w:p>
        </w:tc>
        <w:tc>
          <w:tcPr>
            <w:tcW w:w="2126" w:type="dxa"/>
            <w:vAlign w:val="center"/>
          </w:tcPr>
          <w:p w:rsidR="00552D36" w:rsidRPr="0043433B" w:rsidRDefault="00552D36" w:rsidP="00A64291">
            <w:pPr>
              <w:jc w:val="center"/>
              <w:rPr>
                <w:noProof/>
                <w:szCs w:val="22"/>
              </w:rPr>
            </w:pPr>
            <w:r w:rsidRPr="004D19CD">
              <w:rPr>
                <w:noProof/>
                <w:szCs w:val="22"/>
              </w:rPr>
              <w:t>56.3</w:t>
            </w:r>
          </w:p>
        </w:tc>
        <w:tc>
          <w:tcPr>
            <w:tcW w:w="851" w:type="dxa"/>
            <w:shd w:val="clear" w:color="auto" w:fill="auto"/>
            <w:vAlign w:val="center"/>
          </w:tcPr>
          <w:p w:rsidR="00552D36" w:rsidRPr="0043433B" w:rsidRDefault="00552D36" w:rsidP="00A64291">
            <w:pPr>
              <w:jc w:val="center"/>
              <w:rPr>
                <w:noProof/>
                <w:szCs w:val="22"/>
              </w:rPr>
            </w:pPr>
            <w:r w:rsidRPr="004D19CD">
              <w:rPr>
                <w:noProof/>
                <w:szCs w:val="22"/>
              </w:rPr>
              <w:t>12.4</w:t>
            </w:r>
          </w:p>
        </w:tc>
        <w:tc>
          <w:tcPr>
            <w:tcW w:w="1435" w:type="dxa"/>
            <w:shd w:val="clear" w:color="auto" w:fill="auto"/>
            <w:vAlign w:val="center"/>
          </w:tcPr>
          <w:p w:rsidR="00552D36" w:rsidRPr="0043433B" w:rsidRDefault="00552D36" w:rsidP="00A64291">
            <w:pPr>
              <w:jc w:val="center"/>
              <w:rPr>
                <w:noProof/>
                <w:szCs w:val="22"/>
              </w:rPr>
            </w:pPr>
            <w:r w:rsidRPr="004D19CD">
              <w:rPr>
                <w:noProof/>
                <w:szCs w:val="22"/>
              </w:rPr>
              <w:t>(5.9, 18.9)</w:t>
            </w:r>
          </w:p>
        </w:tc>
      </w:tr>
      <w:tr w:rsidR="00552D36" w:rsidRPr="0043433B" w:rsidTr="00931414">
        <w:trPr>
          <w:jc w:val="center"/>
        </w:trPr>
        <w:tc>
          <w:tcPr>
            <w:tcW w:w="2474" w:type="dxa"/>
            <w:shd w:val="clear" w:color="auto" w:fill="auto"/>
            <w:vAlign w:val="center"/>
          </w:tcPr>
          <w:p w:rsidR="00552D36" w:rsidRPr="0043433B" w:rsidRDefault="00552D36" w:rsidP="00A64291">
            <w:pPr>
              <w:rPr>
                <w:noProof/>
                <w:szCs w:val="22"/>
              </w:rPr>
            </w:pPr>
            <w:r w:rsidRPr="00C75860">
              <w:rPr>
                <w:noProof/>
                <w:szCs w:val="22"/>
              </w:rPr>
              <w:t xml:space="preserve">0-24 </w:t>
            </w:r>
            <w:r>
              <w:rPr>
                <w:noProof/>
                <w:szCs w:val="22"/>
              </w:rPr>
              <w:t>timer</w:t>
            </w:r>
          </w:p>
        </w:tc>
        <w:tc>
          <w:tcPr>
            <w:tcW w:w="2028" w:type="dxa"/>
            <w:vAlign w:val="center"/>
          </w:tcPr>
          <w:p w:rsidR="00552D36" w:rsidRPr="0043433B" w:rsidRDefault="00552D36" w:rsidP="00A64291">
            <w:pPr>
              <w:jc w:val="center"/>
              <w:rPr>
                <w:noProof/>
                <w:szCs w:val="22"/>
              </w:rPr>
            </w:pPr>
            <w:r w:rsidRPr="004D19CD">
              <w:rPr>
                <w:noProof/>
                <w:szCs w:val="22"/>
              </w:rPr>
              <w:t>89.2</w:t>
            </w:r>
          </w:p>
        </w:tc>
        <w:tc>
          <w:tcPr>
            <w:tcW w:w="2126" w:type="dxa"/>
            <w:vAlign w:val="center"/>
          </w:tcPr>
          <w:p w:rsidR="00552D36" w:rsidRPr="0043433B" w:rsidRDefault="00552D36" w:rsidP="00A64291">
            <w:pPr>
              <w:jc w:val="center"/>
              <w:rPr>
                <w:noProof/>
                <w:szCs w:val="22"/>
              </w:rPr>
            </w:pPr>
            <w:r w:rsidRPr="004D19CD">
              <w:rPr>
                <w:noProof/>
                <w:szCs w:val="22"/>
              </w:rPr>
              <w:t>80.3</w:t>
            </w:r>
          </w:p>
        </w:tc>
        <w:tc>
          <w:tcPr>
            <w:tcW w:w="851" w:type="dxa"/>
            <w:shd w:val="clear" w:color="auto" w:fill="auto"/>
            <w:vAlign w:val="center"/>
          </w:tcPr>
          <w:p w:rsidR="00552D36" w:rsidRPr="0043433B" w:rsidRDefault="00552D36" w:rsidP="00A64291">
            <w:pPr>
              <w:jc w:val="center"/>
              <w:rPr>
                <w:noProof/>
                <w:szCs w:val="22"/>
              </w:rPr>
            </w:pPr>
            <w:r w:rsidRPr="004D19CD">
              <w:rPr>
                <w:noProof/>
                <w:szCs w:val="22"/>
              </w:rPr>
              <w:t>8.9</w:t>
            </w:r>
          </w:p>
        </w:tc>
        <w:tc>
          <w:tcPr>
            <w:tcW w:w="1435" w:type="dxa"/>
            <w:shd w:val="clear" w:color="auto" w:fill="auto"/>
            <w:vAlign w:val="center"/>
          </w:tcPr>
          <w:p w:rsidR="00552D36" w:rsidRPr="0043433B" w:rsidRDefault="00552D36" w:rsidP="00A64291">
            <w:pPr>
              <w:jc w:val="center"/>
              <w:rPr>
                <w:noProof/>
                <w:szCs w:val="22"/>
              </w:rPr>
            </w:pPr>
            <w:r w:rsidRPr="004D19CD">
              <w:rPr>
                <w:noProof/>
                <w:szCs w:val="22"/>
              </w:rPr>
              <w:t xml:space="preserve"> (4.0, 13.8)</w:t>
            </w:r>
          </w:p>
        </w:tc>
      </w:tr>
      <w:tr w:rsidR="00552D36" w:rsidRPr="0043433B" w:rsidTr="00931414">
        <w:trPr>
          <w:jc w:val="center"/>
        </w:trPr>
        <w:tc>
          <w:tcPr>
            <w:tcW w:w="2474" w:type="dxa"/>
            <w:shd w:val="clear" w:color="auto" w:fill="auto"/>
            <w:vAlign w:val="center"/>
          </w:tcPr>
          <w:p w:rsidR="00552D36" w:rsidRPr="0043433B" w:rsidRDefault="00552D36" w:rsidP="00A64291">
            <w:pPr>
              <w:rPr>
                <w:noProof/>
                <w:szCs w:val="22"/>
              </w:rPr>
            </w:pPr>
            <w:r w:rsidRPr="00C75860">
              <w:rPr>
                <w:noProof/>
                <w:szCs w:val="22"/>
              </w:rPr>
              <w:t xml:space="preserve">25-120 </w:t>
            </w:r>
            <w:r>
              <w:rPr>
                <w:noProof/>
                <w:szCs w:val="22"/>
              </w:rPr>
              <w:t>timer</w:t>
            </w:r>
          </w:p>
        </w:tc>
        <w:tc>
          <w:tcPr>
            <w:tcW w:w="2028" w:type="dxa"/>
            <w:vAlign w:val="center"/>
          </w:tcPr>
          <w:p w:rsidR="00552D36" w:rsidRPr="0043433B" w:rsidRDefault="00552D36" w:rsidP="00A64291">
            <w:pPr>
              <w:jc w:val="center"/>
              <w:rPr>
                <w:noProof/>
                <w:szCs w:val="22"/>
              </w:rPr>
            </w:pPr>
            <w:r w:rsidRPr="004D19CD">
              <w:rPr>
                <w:noProof/>
                <w:szCs w:val="22"/>
              </w:rPr>
              <w:t>70.8</w:t>
            </w:r>
          </w:p>
        </w:tc>
        <w:tc>
          <w:tcPr>
            <w:tcW w:w="2126" w:type="dxa"/>
            <w:vAlign w:val="center"/>
          </w:tcPr>
          <w:p w:rsidR="00552D36" w:rsidRPr="0043433B" w:rsidRDefault="00552D36" w:rsidP="00A64291">
            <w:pPr>
              <w:jc w:val="center"/>
              <w:rPr>
                <w:noProof/>
                <w:szCs w:val="22"/>
              </w:rPr>
            </w:pPr>
            <w:r w:rsidRPr="004D19CD">
              <w:rPr>
                <w:noProof/>
                <w:szCs w:val="22"/>
              </w:rPr>
              <w:t>60.9</w:t>
            </w:r>
          </w:p>
        </w:tc>
        <w:tc>
          <w:tcPr>
            <w:tcW w:w="851" w:type="dxa"/>
            <w:shd w:val="clear" w:color="auto" w:fill="auto"/>
            <w:vAlign w:val="center"/>
          </w:tcPr>
          <w:p w:rsidR="00552D36" w:rsidRPr="0043433B" w:rsidRDefault="00552D36" w:rsidP="00A64291">
            <w:pPr>
              <w:jc w:val="center"/>
              <w:rPr>
                <w:noProof/>
                <w:szCs w:val="22"/>
              </w:rPr>
            </w:pPr>
            <w:r w:rsidRPr="004D19CD">
              <w:rPr>
                <w:noProof/>
                <w:szCs w:val="22"/>
              </w:rPr>
              <w:t>9.9</w:t>
            </w:r>
          </w:p>
        </w:tc>
        <w:tc>
          <w:tcPr>
            <w:tcW w:w="1435" w:type="dxa"/>
            <w:shd w:val="clear" w:color="auto" w:fill="auto"/>
            <w:vAlign w:val="center"/>
          </w:tcPr>
          <w:p w:rsidR="00552D36" w:rsidRPr="0043433B" w:rsidRDefault="00552D36" w:rsidP="00A64291">
            <w:pPr>
              <w:jc w:val="center"/>
              <w:rPr>
                <w:noProof/>
                <w:szCs w:val="22"/>
              </w:rPr>
            </w:pPr>
            <w:r w:rsidRPr="004D19CD">
              <w:rPr>
                <w:noProof/>
                <w:szCs w:val="22"/>
              </w:rPr>
              <w:t>(3.5, 16.3)</w:t>
            </w:r>
          </w:p>
        </w:tc>
      </w:tr>
      <w:tr w:rsidR="00552D36" w:rsidRPr="001238EC" w:rsidTr="00931414">
        <w:trPr>
          <w:jc w:val="center"/>
        </w:trPr>
        <w:tc>
          <w:tcPr>
            <w:tcW w:w="8914" w:type="dxa"/>
            <w:gridSpan w:val="5"/>
            <w:shd w:val="clear" w:color="auto" w:fill="auto"/>
            <w:vAlign w:val="center"/>
          </w:tcPr>
          <w:p w:rsidR="00552D36" w:rsidRPr="001238EC" w:rsidRDefault="00552D36" w:rsidP="00A64291">
            <w:pPr>
              <w:rPr>
                <w:b/>
                <w:noProof/>
                <w:szCs w:val="22"/>
              </w:rPr>
            </w:pPr>
            <w:r w:rsidRPr="001238EC">
              <w:rPr>
                <w:b/>
              </w:rPr>
              <w:t>Ingen opkastning (ingen opkastning episoder uden hensyn til brug af erstatningsterapi)</w:t>
            </w:r>
          </w:p>
        </w:tc>
      </w:tr>
      <w:tr w:rsidR="00552D36" w:rsidRPr="0043433B" w:rsidTr="00931414">
        <w:trPr>
          <w:jc w:val="center"/>
        </w:trPr>
        <w:tc>
          <w:tcPr>
            <w:tcW w:w="2474" w:type="dxa"/>
            <w:shd w:val="clear" w:color="auto" w:fill="auto"/>
            <w:vAlign w:val="center"/>
          </w:tcPr>
          <w:p w:rsidR="00552D36" w:rsidRPr="0043433B" w:rsidRDefault="00552D36" w:rsidP="00A64291">
            <w:pPr>
              <w:rPr>
                <w:noProof/>
                <w:szCs w:val="22"/>
              </w:rPr>
            </w:pPr>
            <w:r w:rsidRPr="00C75860">
              <w:rPr>
                <w:noProof/>
                <w:szCs w:val="22"/>
              </w:rPr>
              <w:t xml:space="preserve">Overall (0-120 </w:t>
            </w:r>
            <w:r>
              <w:rPr>
                <w:noProof/>
                <w:szCs w:val="22"/>
              </w:rPr>
              <w:t>timer</w:t>
            </w:r>
            <w:r w:rsidRPr="00C75860">
              <w:rPr>
                <w:noProof/>
                <w:szCs w:val="22"/>
              </w:rPr>
              <w:t>)</w:t>
            </w:r>
          </w:p>
        </w:tc>
        <w:tc>
          <w:tcPr>
            <w:tcW w:w="2028" w:type="dxa"/>
            <w:vAlign w:val="center"/>
          </w:tcPr>
          <w:p w:rsidR="00552D36" w:rsidRPr="0043433B" w:rsidRDefault="00552D36" w:rsidP="00A64291">
            <w:pPr>
              <w:jc w:val="center"/>
              <w:rPr>
                <w:noProof/>
                <w:szCs w:val="22"/>
              </w:rPr>
            </w:pPr>
            <w:r w:rsidRPr="004D19CD">
              <w:rPr>
                <w:noProof/>
                <w:szCs w:val="22"/>
              </w:rPr>
              <w:t>76.2</w:t>
            </w:r>
          </w:p>
        </w:tc>
        <w:tc>
          <w:tcPr>
            <w:tcW w:w="2126" w:type="dxa"/>
            <w:vAlign w:val="center"/>
          </w:tcPr>
          <w:p w:rsidR="00552D36" w:rsidRPr="0043433B" w:rsidRDefault="00552D36" w:rsidP="00A64291">
            <w:pPr>
              <w:jc w:val="center"/>
              <w:rPr>
                <w:noProof/>
                <w:szCs w:val="22"/>
              </w:rPr>
            </w:pPr>
            <w:r w:rsidRPr="004D19CD">
              <w:rPr>
                <w:noProof/>
                <w:szCs w:val="22"/>
              </w:rPr>
              <w:t>62.1</w:t>
            </w:r>
          </w:p>
        </w:tc>
        <w:tc>
          <w:tcPr>
            <w:tcW w:w="851" w:type="dxa"/>
            <w:shd w:val="clear" w:color="auto" w:fill="auto"/>
            <w:vAlign w:val="center"/>
          </w:tcPr>
          <w:p w:rsidR="00552D36" w:rsidRPr="0043433B" w:rsidRDefault="00552D36" w:rsidP="00A64291">
            <w:pPr>
              <w:jc w:val="center"/>
              <w:rPr>
                <w:noProof/>
                <w:szCs w:val="22"/>
              </w:rPr>
            </w:pPr>
            <w:r w:rsidRPr="004D19CD">
              <w:rPr>
                <w:noProof/>
                <w:szCs w:val="22"/>
              </w:rPr>
              <w:t>14.1</w:t>
            </w:r>
          </w:p>
        </w:tc>
        <w:tc>
          <w:tcPr>
            <w:tcW w:w="1435" w:type="dxa"/>
            <w:shd w:val="clear" w:color="auto" w:fill="auto"/>
            <w:vAlign w:val="center"/>
          </w:tcPr>
          <w:p w:rsidR="00552D36" w:rsidRPr="0043433B" w:rsidRDefault="00552D36" w:rsidP="00A64291">
            <w:pPr>
              <w:jc w:val="center"/>
              <w:rPr>
                <w:noProof/>
                <w:szCs w:val="22"/>
              </w:rPr>
            </w:pPr>
            <w:r w:rsidRPr="004D19CD">
              <w:rPr>
                <w:noProof/>
                <w:szCs w:val="22"/>
              </w:rPr>
              <w:t>(7.9, 20.3)</w:t>
            </w:r>
          </w:p>
        </w:tc>
      </w:tr>
      <w:tr w:rsidR="00552D36" w:rsidRPr="0043433B" w:rsidTr="00931414">
        <w:trPr>
          <w:jc w:val="center"/>
        </w:trPr>
        <w:tc>
          <w:tcPr>
            <w:tcW w:w="2474" w:type="dxa"/>
            <w:shd w:val="clear" w:color="auto" w:fill="auto"/>
            <w:vAlign w:val="center"/>
          </w:tcPr>
          <w:p w:rsidR="00552D36" w:rsidRPr="0043433B" w:rsidRDefault="00552D36" w:rsidP="00A64291">
            <w:pPr>
              <w:rPr>
                <w:noProof/>
                <w:szCs w:val="22"/>
              </w:rPr>
            </w:pPr>
            <w:r w:rsidRPr="00C75860">
              <w:rPr>
                <w:noProof/>
                <w:szCs w:val="22"/>
              </w:rPr>
              <w:t xml:space="preserve">0-24 </w:t>
            </w:r>
            <w:r>
              <w:rPr>
                <w:noProof/>
                <w:szCs w:val="22"/>
              </w:rPr>
              <w:t>timer</w:t>
            </w:r>
          </w:p>
        </w:tc>
        <w:tc>
          <w:tcPr>
            <w:tcW w:w="2028" w:type="dxa"/>
            <w:vAlign w:val="center"/>
          </w:tcPr>
          <w:p w:rsidR="00552D36" w:rsidRPr="0043433B" w:rsidRDefault="00552D36" w:rsidP="00A64291">
            <w:pPr>
              <w:jc w:val="center"/>
              <w:rPr>
                <w:noProof/>
                <w:szCs w:val="22"/>
              </w:rPr>
            </w:pPr>
            <w:r w:rsidRPr="004D19CD">
              <w:rPr>
                <w:noProof/>
                <w:szCs w:val="22"/>
              </w:rPr>
              <w:t>92.0</w:t>
            </w:r>
          </w:p>
        </w:tc>
        <w:tc>
          <w:tcPr>
            <w:tcW w:w="2126" w:type="dxa"/>
            <w:vAlign w:val="center"/>
          </w:tcPr>
          <w:p w:rsidR="00552D36" w:rsidRPr="0043433B" w:rsidRDefault="00552D36" w:rsidP="00A64291">
            <w:pPr>
              <w:jc w:val="center"/>
              <w:rPr>
                <w:noProof/>
                <w:szCs w:val="22"/>
              </w:rPr>
            </w:pPr>
            <w:r w:rsidRPr="004D19CD">
              <w:rPr>
                <w:noProof/>
                <w:szCs w:val="22"/>
              </w:rPr>
              <w:t>83.7</w:t>
            </w:r>
          </w:p>
        </w:tc>
        <w:tc>
          <w:tcPr>
            <w:tcW w:w="851" w:type="dxa"/>
            <w:shd w:val="clear" w:color="auto" w:fill="auto"/>
            <w:vAlign w:val="center"/>
          </w:tcPr>
          <w:p w:rsidR="00552D36" w:rsidRPr="0043433B" w:rsidRDefault="00552D36" w:rsidP="00A64291">
            <w:pPr>
              <w:jc w:val="center"/>
              <w:rPr>
                <w:noProof/>
                <w:szCs w:val="22"/>
              </w:rPr>
            </w:pPr>
            <w:r w:rsidRPr="004D19CD">
              <w:rPr>
                <w:noProof/>
                <w:szCs w:val="22"/>
              </w:rPr>
              <w:t>8.3</w:t>
            </w:r>
          </w:p>
        </w:tc>
        <w:tc>
          <w:tcPr>
            <w:tcW w:w="1435" w:type="dxa"/>
            <w:shd w:val="clear" w:color="auto" w:fill="auto"/>
            <w:vAlign w:val="center"/>
          </w:tcPr>
          <w:p w:rsidR="00552D36" w:rsidRPr="0043433B" w:rsidRDefault="00552D36" w:rsidP="00A64291">
            <w:pPr>
              <w:jc w:val="center"/>
              <w:rPr>
                <w:noProof/>
                <w:szCs w:val="22"/>
              </w:rPr>
            </w:pPr>
            <w:r w:rsidRPr="004D19CD">
              <w:rPr>
                <w:noProof/>
                <w:szCs w:val="22"/>
              </w:rPr>
              <w:t xml:space="preserve"> (3.9, 12.7)</w:t>
            </w:r>
          </w:p>
        </w:tc>
      </w:tr>
      <w:tr w:rsidR="00552D36" w:rsidRPr="0043433B" w:rsidTr="00931414">
        <w:trPr>
          <w:jc w:val="center"/>
        </w:trPr>
        <w:tc>
          <w:tcPr>
            <w:tcW w:w="2474" w:type="dxa"/>
            <w:shd w:val="clear" w:color="auto" w:fill="auto"/>
            <w:vAlign w:val="center"/>
          </w:tcPr>
          <w:p w:rsidR="00552D36" w:rsidRPr="0043433B" w:rsidRDefault="00552D36" w:rsidP="00A64291">
            <w:pPr>
              <w:rPr>
                <w:noProof/>
                <w:szCs w:val="22"/>
              </w:rPr>
            </w:pPr>
            <w:r w:rsidRPr="00C75860">
              <w:rPr>
                <w:noProof/>
                <w:szCs w:val="22"/>
              </w:rPr>
              <w:t xml:space="preserve">25-120 </w:t>
            </w:r>
            <w:r>
              <w:rPr>
                <w:noProof/>
                <w:szCs w:val="22"/>
              </w:rPr>
              <w:t>timer</w:t>
            </w:r>
          </w:p>
        </w:tc>
        <w:tc>
          <w:tcPr>
            <w:tcW w:w="2028" w:type="dxa"/>
            <w:vAlign w:val="center"/>
          </w:tcPr>
          <w:p w:rsidR="00552D36" w:rsidRPr="0043433B" w:rsidRDefault="00552D36" w:rsidP="00A64291">
            <w:pPr>
              <w:jc w:val="center"/>
              <w:rPr>
                <w:noProof/>
                <w:szCs w:val="22"/>
              </w:rPr>
            </w:pPr>
            <w:r w:rsidRPr="004D19CD">
              <w:rPr>
                <w:noProof/>
                <w:szCs w:val="22"/>
              </w:rPr>
              <w:t>77.9</w:t>
            </w:r>
          </w:p>
        </w:tc>
        <w:tc>
          <w:tcPr>
            <w:tcW w:w="2126" w:type="dxa"/>
            <w:vAlign w:val="center"/>
          </w:tcPr>
          <w:p w:rsidR="00552D36" w:rsidRPr="0043433B" w:rsidRDefault="00552D36" w:rsidP="00A64291">
            <w:pPr>
              <w:jc w:val="center"/>
              <w:rPr>
                <w:noProof/>
                <w:szCs w:val="22"/>
              </w:rPr>
            </w:pPr>
            <w:r w:rsidRPr="004D19CD">
              <w:rPr>
                <w:noProof/>
                <w:szCs w:val="22"/>
              </w:rPr>
              <w:t>66.8</w:t>
            </w:r>
          </w:p>
        </w:tc>
        <w:tc>
          <w:tcPr>
            <w:tcW w:w="851" w:type="dxa"/>
            <w:shd w:val="clear" w:color="auto" w:fill="auto"/>
            <w:vAlign w:val="center"/>
          </w:tcPr>
          <w:p w:rsidR="00552D36" w:rsidRPr="0043433B" w:rsidRDefault="00552D36" w:rsidP="00A64291">
            <w:pPr>
              <w:jc w:val="center"/>
              <w:rPr>
                <w:noProof/>
                <w:szCs w:val="22"/>
              </w:rPr>
            </w:pPr>
            <w:r w:rsidRPr="004D19CD">
              <w:rPr>
                <w:noProof/>
                <w:szCs w:val="22"/>
              </w:rPr>
              <w:t>11.1</w:t>
            </w:r>
          </w:p>
        </w:tc>
        <w:tc>
          <w:tcPr>
            <w:tcW w:w="1435" w:type="dxa"/>
            <w:shd w:val="clear" w:color="auto" w:fill="auto"/>
            <w:vAlign w:val="center"/>
          </w:tcPr>
          <w:p w:rsidR="00552D36" w:rsidRPr="0043433B" w:rsidRDefault="00552D36" w:rsidP="00A64291">
            <w:pPr>
              <w:jc w:val="center"/>
              <w:rPr>
                <w:noProof/>
                <w:szCs w:val="22"/>
              </w:rPr>
            </w:pPr>
            <w:r w:rsidRPr="004D19CD">
              <w:rPr>
                <w:noProof/>
                <w:szCs w:val="22"/>
              </w:rPr>
              <w:t xml:space="preserve"> (5.1, 17.1)</w:t>
            </w:r>
          </w:p>
        </w:tc>
      </w:tr>
      <w:tr w:rsidR="00552D36" w:rsidRPr="001238EC" w:rsidTr="00931414">
        <w:trPr>
          <w:jc w:val="center"/>
        </w:trPr>
        <w:tc>
          <w:tcPr>
            <w:tcW w:w="8914" w:type="dxa"/>
            <w:gridSpan w:val="5"/>
            <w:shd w:val="clear" w:color="auto" w:fill="auto"/>
            <w:vAlign w:val="center"/>
          </w:tcPr>
          <w:p w:rsidR="00552D36" w:rsidRPr="001238EC" w:rsidRDefault="00552D36" w:rsidP="00A64291">
            <w:pPr>
              <w:rPr>
                <w:b/>
                <w:noProof/>
                <w:szCs w:val="22"/>
              </w:rPr>
            </w:pPr>
            <w:r w:rsidRPr="001238EC">
              <w:rPr>
                <w:b/>
              </w:rPr>
              <w:t>Ingen signifikant kvalme (maks. VAS &lt; 25 mm på en skala fra 0-100 mm)</w:t>
            </w:r>
          </w:p>
        </w:tc>
      </w:tr>
      <w:tr w:rsidR="00552D36" w:rsidRPr="0043433B" w:rsidTr="00931414">
        <w:trPr>
          <w:jc w:val="center"/>
        </w:trPr>
        <w:tc>
          <w:tcPr>
            <w:tcW w:w="2474" w:type="dxa"/>
            <w:shd w:val="clear" w:color="auto" w:fill="auto"/>
            <w:vAlign w:val="center"/>
          </w:tcPr>
          <w:p w:rsidR="00552D36" w:rsidRPr="00BD68D5" w:rsidRDefault="00552D36" w:rsidP="00A64291">
            <w:pPr>
              <w:rPr>
                <w:noProof/>
                <w:szCs w:val="22"/>
              </w:rPr>
            </w:pPr>
            <w:r>
              <w:rPr>
                <w:noProof/>
                <w:szCs w:val="22"/>
              </w:rPr>
              <w:t>Total</w:t>
            </w:r>
            <w:r w:rsidRPr="00C75860">
              <w:rPr>
                <w:noProof/>
                <w:szCs w:val="22"/>
              </w:rPr>
              <w:t xml:space="preserve"> </w:t>
            </w:r>
            <w:r w:rsidRPr="00BD68D5">
              <w:rPr>
                <w:noProof/>
                <w:szCs w:val="22"/>
              </w:rPr>
              <w:t xml:space="preserve">(0-120 </w:t>
            </w:r>
            <w:r>
              <w:rPr>
                <w:noProof/>
                <w:szCs w:val="22"/>
              </w:rPr>
              <w:t>timer</w:t>
            </w:r>
            <w:r w:rsidRPr="00BD68D5">
              <w:rPr>
                <w:noProof/>
                <w:szCs w:val="22"/>
              </w:rPr>
              <w:t>)</w:t>
            </w:r>
          </w:p>
        </w:tc>
        <w:tc>
          <w:tcPr>
            <w:tcW w:w="2028" w:type="dxa"/>
            <w:vAlign w:val="center"/>
          </w:tcPr>
          <w:p w:rsidR="00552D36" w:rsidRPr="0043433B" w:rsidRDefault="00552D36" w:rsidP="00A64291">
            <w:pPr>
              <w:jc w:val="center"/>
              <w:rPr>
                <w:noProof/>
                <w:szCs w:val="22"/>
              </w:rPr>
            </w:pPr>
            <w:r w:rsidRPr="004D19CD">
              <w:rPr>
                <w:noProof/>
                <w:szCs w:val="22"/>
              </w:rPr>
              <w:t>73.6</w:t>
            </w:r>
          </w:p>
        </w:tc>
        <w:tc>
          <w:tcPr>
            <w:tcW w:w="2126" w:type="dxa"/>
            <w:vAlign w:val="center"/>
          </w:tcPr>
          <w:p w:rsidR="00552D36" w:rsidRPr="0043433B" w:rsidRDefault="00552D36" w:rsidP="00A64291">
            <w:pPr>
              <w:jc w:val="center"/>
              <w:rPr>
                <w:noProof/>
                <w:szCs w:val="22"/>
              </w:rPr>
            </w:pPr>
            <w:r w:rsidRPr="004D19CD">
              <w:rPr>
                <w:noProof/>
                <w:szCs w:val="22"/>
              </w:rPr>
              <w:t>66.4</w:t>
            </w:r>
          </w:p>
        </w:tc>
        <w:tc>
          <w:tcPr>
            <w:tcW w:w="851" w:type="dxa"/>
            <w:shd w:val="clear" w:color="auto" w:fill="auto"/>
            <w:vAlign w:val="center"/>
          </w:tcPr>
          <w:p w:rsidR="00552D36" w:rsidRPr="0043433B" w:rsidRDefault="00552D36" w:rsidP="00A64291">
            <w:pPr>
              <w:jc w:val="center"/>
              <w:rPr>
                <w:noProof/>
                <w:szCs w:val="22"/>
              </w:rPr>
            </w:pPr>
            <w:r w:rsidRPr="004D19CD">
              <w:rPr>
                <w:noProof/>
                <w:szCs w:val="22"/>
              </w:rPr>
              <w:t>7.2</w:t>
            </w:r>
          </w:p>
        </w:tc>
        <w:tc>
          <w:tcPr>
            <w:tcW w:w="1435" w:type="dxa"/>
            <w:shd w:val="clear" w:color="auto" w:fill="auto"/>
            <w:vAlign w:val="center"/>
          </w:tcPr>
          <w:p w:rsidR="00552D36" w:rsidRPr="0043433B" w:rsidRDefault="00552D36" w:rsidP="00A64291">
            <w:pPr>
              <w:jc w:val="center"/>
              <w:rPr>
                <w:noProof/>
                <w:szCs w:val="22"/>
              </w:rPr>
            </w:pPr>
            <w:r w:rsidRPr="004D19CD">
              <w:rPr>
                <w:noProof/>
                <w:szCs w:val="22"/>
              </w:rPr>
              <w:t>(1.0, 13.4)</w:t>
            </w:r>
          </w:p>
        </w:tc>
      </w:tr>
      <w:tr w:rsidR="00552D36" w:rsidRPr="0043433B" w:rsidTr="00931414">
        <w:trPr>
          <w:jc w:val="center"/>
        </w:trPr>
        <w:tc>
          <w:tcPr>
            <w:tcW w:w="2474" w:type="dxa"/>
            <w:shd w:val="clear" w:color="auto" w:fill="auto"/>
            <w:vAlign w:val="center"/>
          </w:tcPr>
          <w:p w:rsidR="00552D36" w:rsidRPr="00BD68D5" w:rsidRDefault="00552D36" w:rsidP="00A64291">
            <w:pPr>
              <w:rPr>
                <w:noProof/>
                <w:szCs w:val="22"/>
              </w:rPr>
            </w:pPr>
            <w:r w:rsidRPr="00FA3020">
              <w:rPr>
                <w:noProof/>
                <w:szCs w:val="22"/>
              </w:rPr>
              <w:t xml:space="preserve">0-24 </w:t>
            </w:r>
            <w:r>
              <w:rPr>
                <w:noProof/>
                <w:szCs w:val="22"/>
              </w:rPr>
              <w:t>timer</w:t>
            </w:r>
          </w:p>
        </w:tc>
        <w:tc>
          <w:tcPr>
            <w:tcW w:w="2028" w:type="dxa"/>
            <w:vAlign w:val="center"/>
          </w:tcPr>
          <w:p w:rsidR="00552D36" w:rsidRPr="0043433B" w:rsidRDefault="00552D36" w:rsidP="00A64291">
            <w:pPr>
              <w:jc w:val="center"/>
              <w:rPr>
                <w:noProof/>
                <w:szCs w:val="22"/>
              </w:rPr>
            </w:pPr>
            <w:r w:rsidRPr="004D19CD">
              <w:rPr>
                <w:noProof/>
                <w:szCs w:val="22"/>
              </w:rPr>
              <w:t>90.9</w:t>
            </w:r>
          </w:p>
        </w:tc>
        <w:tc>
          <w:tcPr>
            <w:tcW w:w="2126" w:type="dxa"/>
            <w:vAlign w:val="center"/>
          </w:tcPr>
          <w:p w:rsidR="00552D36" w:rsidRPr="0043433B" w:rsidRDefault="00552D36" w:rsidP="00A64291">
            <w:pPr>
              <w:jc w:val="center"/>
              <w:rPr>
                <w:noProof/>
                <w:szCs w:val="22"/>
              </w:rPr>
            </w:pPr>
            <w:r w:rsidRPr="004D19CD">
              <w:rPr>
                <w:noProof/>
                <w:szCs w:val="22"/>
              </w:rPr>
              <w:t>86.3</w:t>
            </w:r>
          </w:p>
        </w:tc>
        <w:tc>
          <w:tcPr>
            <w:tcW w:w="851" w:type="dxa"/>
            <w:shd w:val="clear" w:color="auto" w:fill="auto"/>
            <w:vAlign w:val="center"/>
          </w:tcPr>
          <w:p w:rsidR="00552D36" w:rsidRPr="0043433B" w:rsidRDefault="00552D36" w:rsidP="00A64291">
            <w:pPr>
              <w:jc w:val="center"/>
              <w:rPr>
                <w:noProof/>
                <w:szCs w:val="22"/>
              </w:rPr>
            </w:pPr>
            <w:r w:rsidRPr="004D19CD">
              <w:rPr>
                <w:noProof/>
                <w:szCs w:val="22"/>
              </w:rPr>
              <w:t>4.6</w:t>
            </w:r>
          </w:p>
        </w:tc>
        <w:tc>
          <w:tcPr>
            <w:tcW w:w="1435" w:type="dxa"/>
            <w:shd w:val="clear" w:color="auto" w:fill="auto"/>
            <w:vAlign w:val="center"/>
          </w:tcPr>
          <w:p w:rsidR="00552D36" w:rsidRPr="0043433B" w:rsidRDefault="00552D36" w:rsidP="00A64291">
            <w:pPr>
              <w:jc w:val="center"/>
              <w:rPr>
                <w:noProof/>
                <w:szCs w:val="22"/>
              </w:rPr>
            </w:pPr>
            <w:r w:rsidRPr="004D19CD">
              <w:rPr>
                <w:noProof/>
                <w:szCs w:val="22"/>
              </w:rPr>
              <w:t xml:space="preserve"> (0.2, 9.0)</w:t>
            </w:r>
          </w:p>
        </w:tc>
      </w:tr>
      <w:tr w:rsidR="00552D36" w:rsidRPr="0043433B" w:rsidTr="00931414">
        <w:trPr>
          <w:jc w:val="center"/>
        </w:trPr>
        <w:tc>
          <w:tcPr>
            <w:tcW w:w="2474" w:type="dxa"/>
            <w:shd w:val="clear" w:color="auto" w:fill="auto"/>
            <w:vAlign w:val="center"/>
          </w:tcPr>
          <w:p w:rsidR="00552D36" w:rsidRPr="00BD68D5" w:rsidRDefault="00552D36" w:rsidP="00A64291">
            <w:pPr>
              <w:rPr>
                <w:noProof/>
                <w:szCs w:val="22"/>
              </w:rPr>
            </w:pPr>
            <w:r w:rsidRPr="00BD68D5">
              <w:rPr>
                <w:noProof/>
                <w:szCs w:val="22"/>
              </w:rPr>
              <w:t xml:space="preserve">25-120 </w:t>
            </w:r>
            <w:r>
              <w:rPr>
                <w:noProof/>
                <w:szCs w:val="22"/>
              </w:rPr>
              <w:t>timer</w:t>
            </w:r>
          </w:p>
        </w:tc>
        <w:tc>
          <w:tcPr>
            <w:tcW w:w="2028" w:type="dxa"/>
            <w:vAlign w:val="center"/>
          </w:tcPr>
          <w:p w:rsidR="00552D36" w:rsidRPr="00BD68D5" w:rsidRDefault="00552D36" w:rsidP="00A64291">
            <w:pPr>
              <w:jc w:val="center"/>
              <w:rPr>
                <w:noProof/>
                <w:szCs w:val="22"/>
              </w:rPr>
            </w:pPr>
            <w:r w:rsidRPr="004D19CD">
              <w:rPr>
                <w:noProof/>
                <w:szCs w:val="22"/>
              </w:rPr>
              <w:t>74.9</w:t>
            </w:r>
          </w:p>
        </w:tc>
        <w:tc>
          <w:tcPr>
            <w:tcW w:w="2126" w:type="dxa"/>
            <w:vAlign w:val="center"/>
          </w:tcPr>
          <w:p w:rsidR="00552D36" w:rsidRPr="00BD68D5" w:rsidRDefault="00552D36" w:rsidP="00A64291">
            <w:pPr>
              <w:jc w:val="center"/>
              <w:rPr>
                <w:noProof/>
                <w:szCs w:val="22"/>
              </w:rPr>
            </w:pPr>
            <w:r w:rsidRPr="004D19CD">
              <w:rPr>
                <w:noProof/>
                <w:szCs w:val="22"/>
              </w:rPr>
              <w:t>69.5</w:t>
            </w:r>
          </w:p>
        </w:tc>
        <w:tc>
          <w:tcPr>
            <w:tcW w:w="851" w:type="dxa"/>
            <w:shd w:val="clear" w:color="auto" w:fill="auto"/>
            <w:vAlign w:val="center"/>
          </w:tcPr>
          <w:p w:rsidR="00552D36" w:rsidRPr="00BD68D5" w:rsidRDefault="00552D36" w:rsidP="00A64291">
            <w:pPr>
              <w:jc w:val="center"/>
              <w:rPr>
                <w:noProof/>
                <w:szCs w:val="22"/>
              </w:rPr>
            </w:pPr>
            <w:r w:rsidRPr="004D19CD">
              <w:rPr>
                <w:noProof/>
                <w:szCs w:val="22"/>
              </w:rPr>
              <w:t>5.4</w:t>
            </w:r>
          </w:p>
        </w:tc>
        <w:tc>
          <w:tcPr>
            <w:tcW w:w="1435" w:type="dxa"/>
            <w:shd w:val="clear" w:color="auto" w:fill="auto"/>
            <w:vAlign w:val="center"/>
          </w:tcPr>
          <w:p w:rsidR="00552D36" w:rsidRPr="00BD68D5" w:rsidRDefault="00552D36" w:rsidP="00A64291">
            <w:pPr>
              <w:jc w:val="center"/>
              <w:rPr>
                <w:noProof/>
                <w:szCs w:val="22"/>
              </w:rPr>
            </w:pPr>
            <w:r w:rsidRPr="004D19CD">
              <w:rPr>
                <w:noProof/>
                <w:szCs w:val="22"/>
              </w:rPr>
              <w:t xml:space="preserve"> (-0.7, 11.5)</w:t>
            </w:r>
          </w:p>
        </w:tc>
      </w:tr>
    </w:tbl>
    <w:p w:rsidR="00552D36" w:rsidRPr="00931414" w:rsidRDefault="00552D36" w:rsidP="00552D36">
      <w:pPr>
        <w:tabs>
          <w:tab w:val="left" w:pos="851"/>
        </w:tabs>
        <w:ind w:left="851"/>
        <w:rPr>
          <w:sz w:val="22"/>
          <w:szCs w:val="22"/>
        </w:rPr>
      </w:pPr>
      <w:r w:rsidRPr="00931414">
        <w:rPr>
          <w:sz w:val="22"/>
          <w:szCs w:val="22"/>
        </w:rPr>
        <w:t>*Konfidensintervallerne (CI) blev beregnet uden justering for køn og region, som blev inkluderet i den primære analyse med anvendelse af logistiske modeller.</w:t>
      </w:r>
    </w:p>
    <w:p w:rsidR="00552D36" w:rsidRPr="00552D36" w:rsidRDefault="00552D36" w:rsidP="00552D36">
      <w:pPr>
        <w:tabs>
          <w:tab w:val="left" w:pos="851"/>
        </w:tabs>
        <w:ind w:left="851"/>
        <w:rPr>
          <w:sz w:val="24"/>
          <w:szCs w:val="24"/>
        </w:rPr>
      </w:pPr>
    </w:p>
    <w:p w:rsidR="00552D36" w:rsidRPr="00552D36" w:rsidRDefault="00552D36" w:rsidP="00552D36">
      <w:pPr>
        <w:tabs>
          <w:tab w:val="left" w:pos="851"/>
        </w:tabs>
        <w:ind w:left="851"/>
        <w:rPr>
          <w:sz w:val="24"/>
          <w:szCs w:val="24"/>
        </w:rPr>
      </w:pPr>
      <w:r w:rsidRPr="00552D36">
        <w:rPr>
          <w:sz w:val="24"/>
          <w:szCs w:val="24"/>
        </w:rPr>
        <w:t>Fordelen ved aprepitant-kombinationsterapi i den totale undersøgelsespopulation var hovedsageligt drevet af de resultater, der sås hos patienter, der blev dårligt kontrolleret med standardregimet, som for eksempel hos kvinder, selvom resultaterne numerisk var bedre, når man så bort fra alder, tumortype eller køn. Komplet respons på aprepitantregimet og standardbehandlingen opnåedes hos henholdsvis 209/324 (65%) og 161/320 (50%) blandt kvinderne og hos 83/101 (82%) og 68/87 (78%) blandt mændene.</w:t>
      </w:r>
    </w:p>
    <w:p w:rsidR="00552D36" w:rsidRPr="00552D36" w:rsidRDefault="00552D36" w:rsidP="00552D36">
      <w:pPr>
        <w:tabs>
          <w:tab w:val="left" w:pos="851"/>
        </w:tabs>
        <w:ind w:left="851"/>
        <w:rPr>
          <w:sz w:val="24"/>
          <w:szCs w:val="24"/>
        </w:rPr>
      </w:pPr>
    </w:p>
    <w:p w:rsidR="00552D36" w:rsidRPr="00552D36" w:rsidRDefault="00552D36" w:rsidP="00552D36">
      <w:pPr>
        <w:tabs>
          <w:tab w:val="left" w:pos="851"/>
        </w:tabs>
        <w:ind w:left="851"/>
        <w:rPr>
          <w:sz w:val="24"/>
          <w:szCs w:val="24"/>
          <w:u w:val="single"/>
        </w:rPr>
      </w:pPr>
      <w:r w:rsidRPr="00552D36">
        <w:rPr>
          <w:sz w:val="24"/>
          <w:szCs w:val="24"/>
          <w:u w:val="single"/>
        </w:rPr>
        <w:t xml:space="preserve">Pædiatrisk population </w:t>
      </w:r>
    </w:p>
    <w:p w:rsidR="00552D36" w:rsidRPr="00552D36" w:rsidRDefault="00552D36" w:rsidP="00552D36">
      <w:pPr>
        <w:tabs>
          <w:tab w:val="left" w:pos="851"/>
        </w:tabs>
        <w:ind w:left="851"/>
        <w:rPr>
          <w:sz w:val="24"/>
          <w:szCs w:val="24"/>
        </w:rPr>
      </w:pPr>
      <w:r w:rsidRPr="00552D36">
        <w:rPr>
          <w:sz w:val="24"/>
          <w:szCs w:val="24"/>
        </w:rPr>
        <w:t xml:space="preserve">I et randomiseret, dobbeltblindet, aktivt komparatorkontrolleret klinisk studie, som inkluderede 302 børn og unge (i alderen 6 måneder til 17 år), der fik moderat emetogen eller højemetogen kemoterapi, blev aprepitantregimet sammenlignet med et kontrolregime mht. forebyggelse af CINV. Virkningen af aprepitantregimet blev evalueret i en enkelt cyklus (cyklus 1). Patienterne fik mulighed for at få ikke-blindet aprepitant i efterfølgende cyklusser (valgfrie cyklusser 2-6); virkningen blev dog ikke vurderet i disse valgfrie cyklusser. Aprepitantregimet for unge i alderen 12 til 17 år (n=47) bestod af aprepitant kapsler 125 mg oralt på dag 1 og 80 mg/dag på dag 2 og 3 i kombination med ondansetron på dag 1. Aprepitantregimet for børn i alderen 6 måneder til under 12 år (n=105) bestod af aprepitant pulver til oral suspension 3,0 mg/kg (op til 125 mg) oralt på dag 1 og 2,0 mg/kg </w:t>
      </w:r>
      <w:r w:rsidRPr="00552D36">
        <w:rPr>
          <w:sz w:val="24"/>
          <w:szCs w:val="24"/>
        </w:rPr>
        <w:lastRenderedPageBreak/>
        <w:t>(op til 80 mg) oralt på dag 2 og 3 i kombination med ondansetron på dag 1. Kontrolregimet for unge i alderen 12 til 17 år (n=48) og børn i alderen 6 måneder til under 12 år (n=102) bestod af placebo for aprepitant på dag 1, 2 og 3 i kombination med ondansetron på dag 1. Henholdsvis aprepitant eller placebo og ondansetron blev administreret 1 time og 30 minutter før initiering af kemoterapi. Brug af intravenøs dexamethason blev tilladt som en del af antiemetika-regimet for pædiatriske patienter i begge aldersgrupper efter lægens vurdering. En dosisreduktion (50 %) af dexamethason var påkrævet for pædiatriske patienter, der fik aprepitant. Ingen dosisreduktion var påkrævet for pædiatriske patienter, der fik kontrolregimet. 29 % af de pædiatriske patienter i aprepitantregimet og 28 % i kontrolregimet brugte dexamethason som en del af regimet i cyklus 1.</w:t>
      </w:r>
    </w:p>
    <w:p w:rsidR="00552D36" w:rsidRPr="00552D36" w:rsidRDefault="00552D36" w:rsidP="00552D36">
      <w:pPr>
        <w:tabs>
          <w:tab w:val="left" w:pos="851"/>
        </w:tabs>
        <w:ind w:left="851"/>
        <w:rPr>
          <w:sz w:val="24"/>
          <w:szCs w:val="24"/>
        </w:rPr>
      </w:pPr>
    </w:p>
    <w:p w:rsidR="00552D36" w:rsidRPr="00552D36" w:rsidRDefault="00552D36" w:rsidP="00552D36">
      <w:pPr>
        <w:tabs>
          <w:tab w:val="left" w:pos="851"/>
        </w:tabs>
        <w:ind w:left="851"/>
        <w:rPr>
          <w:sz w:val="24"/>
          <w:szCs w:val="24"/>
        </w:rPr>
      </w:pPr>
      <w:r w:rsidRPr="00552D36">
        <w:rPr>
          <w:sz w:val="24"/>
          <w:szCs w:val="24"/>
        </w:rPr>
        <w:t>Aprepitant antiemetiske aktivitet blev vurderet over en 5-dags (120 timer) periode efter initiering af kemoterapi på dag 1. Det primære endepunkt var komplet respons i den forsinkede fase (25 til 120 timer efter initiering af kemoterapi) i cyklus 1. En opsummering af nøgleresultaterne i studierne fremgår af tabel 4.</w:t>
      </w:r>
    </w:p>
    <w:p w:rsidR="00552D36" w:rsidRPr="00552D36" w:rsidRDefault="00552D36" w:rsidP="00552D36">
      <w:pPr>
        <w:tabs>
          <w:tab w:val="left" w:pos="851"/>
        </w:tabs>
        <w:ind w:left="851"/>
        <w:rPr>
          <w:sz w:val="24"/>
          <w:szCs w:val="24"/>
        </w:rPr>
      </w:pPr>
    </w:p>
    <w:p w:rsidR="00552D36" w:rsidRPr="00552D36" w:rsidRDefault="00552D36" w:rsidP="00552D36">
      <w:pPr>
        <w:tabs>
          <w:tab w:val="left" w:pos="851"/>
        </w:tabs>
        <w:ind w:left="851"/>
        <w:jc w:val="center"/>
        <w:rPr>
          <w:sz w:val="24"/>
          <w:szCs w:val="24"/>
        </w:rPr>
      </w:pPr>
      <w:r w:rsidRPr="00552D36">
        <w:rPr>
          <w:sz w:val="24"/>
          <w:szCs w:val="24"/>
        </w:rPr>
        <w:t>Tabel 4</w:t>
      </w:r>
    </w:p>
    <w:p w:rsidR="00552D36" w:rsidRPr="00552D36" w:rsidRDefault="00552D36" w:rsidP="00552D36">
      <w:pPr>
        <w:tabs>
          <w:tab w:val="left" w:pos="851"/>
        </w:tabs>
        <w:ind w:left="851"/>
        <w:jc w:val="center"/>
        <w:rPr>
          <w:sz w:val="24"/>
          <w:szCs w:val="24"/>
        </w:rPr>
      </w:pPr>
      <w:r w:rsidRPr="00552D36">
        <w:rPr>
          <w:sz w:val="24"/>
          <w:szCs w:val="24"/>
        </w:rPr>
        <w:t>Antal (%) pædiatriske patienter med komplet respons og ingen opkastning ud fra behandlingsgruppe og fase – cyklus 1 (Intent to treat-population)</w:t>
      </w:r>
    </w:p>
    <w:p w:rsidR="00552D36" w:rsidRPr="00552D36" w:rsidRDefault="00552D36" w:rsidP="00552D36">
      <w:pPr>
        <w:tabs>
          <w:tab w:val="left" w:pos="851"/>
        </w:tabs>
        <w:ind w:left="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3"/>
        <w:gridCol w:w="2028"/>
        <w:gridCol w:w="2126"/>
      </w:tblGrid>
      <w:tr w:rsidR="00CF6C8E" w:rsidRPr="0043433B" w:rsidTr="00A64291">
        <w:trPr>
          <w:jc w:val="center"/>
        </w:trPr>
        <w:tc>
          <w:tcPr>
            <w:tcW w:w="3553" w:type="dxa"/>
            <w:shd w:val="clear" w:color="auto" w:fill="auto"/>
            <w:vAlign w:val="center"/>
          </w:tcPr>
          <w:p w:rsidR="00CF6C8E" w:rsidRPr="00C75860" w:rsidRDefault="00CF6C8E" w:rsidP="00A64291">
            <w:pPr>
              <w:rPr>
                <w:noProof/>
                <w:szCs w:val="22"/>
              </w:rPr>
            </w:pPr>
          </w:p>
        </w:tc>
        <w:tc>
          <w:tcPr>
            <w:tcW w:w="2028" w:type="dxa"/>
            <w:vAlign w:val="center"/>
          </w:tcPr>
          <w:p w:rsidR="00CF6C8E" w:rsidRPr="006A66C2" w:rsidRDefault="00CF6C8E" w:rsidP="00A64291">
            <w:pPr>
              <w:jc w:val="center"/>
              <w:rPr>
                <w:noProof/>
                <w:szCs w:val="22"/>
              </w:rPr>
            </w:pPr>
            <w:r w:rsidRPr="006A66C2">
              <w:rPr>
                <w:noProof/>
                <w:szCs w:val="22"/>
              </w:rPr>
              <w:t>Aprepitant</w:t>
            </w:r>
            <w:r>
              <w:rPr>
                <w:noProof/>
                <w:szCs w:val="22"/>
              </w:rPr>
              <w:t>regime</w:t>
            </w:r>
          </w:p>
          <w:p w:rsidR="00CF6C8E" w:rsidRPr="004D19CD" w:rsidRDefault="00CF6C8E" w:rsidP="00A64291">
            <w:pPr>
              <w:jc w:val="center"/>
              <w:rPr>
                <w:noProof/>
                <w:szCs w:val="22"/>
              </w:rPr>
            </w:pPr>
            <w:r w:rsidRPr="004F1696">
              <w:rPr>
                <w:noProof/>
                <w:szCs w:val="22"/>
              </w:rPr>
              <w:t>n/m (%)</w:t>
            </w:r>
          </w:p>
        </w:tc>
        <w:tc>
          <w:tcPr>
            <w:tcW w:w="2126" w:type="dxa"/>
            <w:vAlign w:val="center"/>
          </w:tcPr>
          <w:p w:rsidR="00CF6C8E" w:rsidRPr="004F1696" w:rsidRDefault="00CF6C8E" w:rsidP="00A64291">
            <w:pPr>
              <w:jc w:val="center"/>
              <w:rPr>
                <w:noProof/>
                <w:szCs w:val="22"/>
              </w:rPr>
            </w:pPr>
            <w:r>
              <w:rPr>
                <w:noProof/>
                <w:szCs w:val="22"/>
              </w:rPr>
              <w:t>Kontrolregime</w:t>
            </w:r>
          </w:p>
          <w:p w:rsidR="00CF6C8E" w:rsidRPr="004D19CD" w:rsidRDefault="00CF6C8E" w:rsidP="00A64291">
            <w:pPr>
              <w:jc w:val="center"/>
              <w:rPr>
                <w:noProof/>
                <w:szCs w:val="22"/>
              </w:rPr>
            </w:pPr>
            <w:r w:rsidRPr="004F1696">
              <w:rPr>
                <w:noProof/>
                <w:szCs w:val="22"/>
              </w:rPr>
              <w:t>n/m (%)</w:t>
            </w:r>
          </w:p>
        </w:tc>
      </w:tr>
      <w:tr w:rsidR="00CF6C8E" w:rsidRPr="0043433B" w:rsidTr="00A64291">
        <w:trPr>
          <w:jc w:val="center"/>
        </w:trPr>
        <w:tc>
          <w:tcPr>
            <w:tcW w:w="7707" w:type="dxa"/>
            <w:gridSpan w:val="3"/>
            <w:shd w:val="clear" w:color="auto" w:fill="auto"/>
            <w:vAlign w:val="center"/>
          </w:tcPr>
          <w:p w:rsidR="00CF6C8E" w:rsidRPr="0043433B" w:rsidRDefault="00CF6C8E" w:rsidP="00A64291">
            <w:pPr>
              <w:rPr>
                <w:noProof/>
                <w:szCs w:val="22"/>
              </w:rPr>
            </w:pPr>
            <w:r>
              <w:rPr>
                <w:noProof/>
                <w:szCs w:val="22"/>
              </w:rPr>
              <w:t>PRIMÆRT ENDEPUNKT</w:t>
            </w:r>
          </w:p>
        </w:tc>
      </w:tr>
      <w:tr w:rsidR="00CF6C8E" w:rsidRPr="0043433B" w:rsidTr="00A64291">
        <w:trPr>
          <w:jc w:val="center"/>
        </w:trPr>
        <w:tc>
          <w:tcPr>
            <w:tcW w:w="3553" w:type="dxa"/>
            <w:shd w:val="clear" w:color="auto" w:fill="auto"/>
            <w:vAlign w:val="center"/>
          </w:tcPr>
          <w:p w:rsidR="00CF6C8E" w:rsidRPr="0043433B" w:rsidRDefault="00CF6C8E" w:rsidP="00A64291">
            <w:pPr>
              <w:rPr>
                <w:noProof/>
                <w:szCs w:val="22"/>
              </w:rPr>
            </w:pPr>
            <w:r>
              <w:rPr>
                <w:noProof/>
                <w:szCs w:val="22"/>
              </w:rPr>
              <w:t>K</w:t>
            </w:r>
            <w:r w:rsidRPr="004F1696">
              <w:rPr>
                <w:noProof/>
                <w:szCs w:val="22"/>
              </w:rPr>
              <w:t>omplet respons</w:t>
            </w:r>
            <w:r w:rsidRPr="004F1696">
              <w:rPr>
                <w:noProof/>
                <w:szCs w:val="22"/>
                <w:vertAlign w:val="superscript"/>
              </w:rPr>
              <w:t>*</w:t>
            </w:r>
            <w:r w:rsidRPr="004F1696">
              <w:rPr>
                <w:noProof/>
                <w:szCs w:val="22"/>
              </w:rPr>
              <w:t xml:space="preserve"> – </w:t>
            </w:r>
            <w:r>
              <w:rPr>
                <w:noProof/>
                <w:szCs w:val="22"/>
              </w:rPr>
              <w:t>Forsinket f</w:t>
            </w:r>
            <w:r w:rsidRPr="004F1696">
              <w:rPr>
                <w:noProof/>
                <w:szCs w:val="22"/>
              </w:rPr>
              <w:t>hase</w:t>
            </w:r>
          </w:p>
        </w:tc>
        <w:tc>
          <w:tcPr>
            <w:tcW w:w="2028" w:type="dxa"/>
            <w:vAlign w:val="center"/>
          </w:tcPr>
          <w:p w:rsidR="00CF6C8E" w:rsidRPr="0043433B" w:rsidRDefault="00CF6C8E" w:rsidP="00A64291">
            <w:pPr>
              <w:jc w:val="center"/>
              <w:rPr>
                <w:noProof/>
                <w:szCs w:val="22"/>
              </w:rPr>
            </w:pPr>
            <w:r w:rsidRPr="004F1696">
              <w:rPr>
                <w:noProof/>
                <w:szCs w:val="22"/>
              </w:rPr>
              <w:t>77/152 (50.7)</w:t>
            </w:r>
            <w:r w:rsidRPr="004F1696">
              <w:rPr>
                <w:noProof/>
                <w:szCs w:val="22"/>
                <w:vertAlign w:val="superscript"/>
              </w:rPr>
              <w:t>†</w:t>
            </w:r>
          </w:p>
        </w:tc>
        <w:tc>
          <w:tcPr>
            <w:tcW w:w="2126" w:type="dxa"/>
            <w:vAlign w:val="center"/>
          </w:tcPr>
          <w:p w:rsidR="00CF6C8E" w:rsidRPr="0043433B" w:rsidRDefault="00CF6C8E" w:rsidP="00A64291">
            <w:pPr>
              <w:jc w:val="center"/>
              <w:rPr>
                <w:noProof/>
                <w:szCs w:val="22"/>
              </w:rPr>
            </w:pPr>
            <w:r w:rsidRPr="004F1696">
              <w:rPr>
                <w:noProof/>
                <w:szCs w:val="22"/>
              </w:rPr>
              <w:t>39/150 (26.0)</w:t>
            </w:r>
          </w:p>
        </w:tc>
      </w:tr>
      <w:tr w:rsidR="00CF6C8E" w:rsidRPr="0043433B" w:rsidTr="00A64291">
        <w:trPr>
          <w:jc w:val="center"/>
        </w:trPr>
        <w:tc>
          <w:tcPr>
            <w:tcW w:w="7707" w:type="dxa"/>
            <w:gridSpan w:val="3"/>
            <w:shd w:val="clear" w:color="auto" w:fill="auto"/>
            <w:vAlign w:val="center"/>
          </w:tcPr>
          <w:p w:rsidR="00CF6C8E" w:rsidRPr="000E1662" w:rsidRDefault="00CF6C8E" w:rsidP="00A64291">
            <w:pPr>
              <w:rPr>
                <w:noProof/>
                <w:szCs w:val="22"/>
              </w:rPr>
            </w:pPr>
            <w:r w:rsidRPr="000E1662">
              <w:t>ANDRE FORUDSPECIFICEREDE ENDEPUNKTER</w:t>
            </w:r>
          </w:p>
        </w:tc>
      </w:tr>
      <w:tr w:rsidR="00CF6C8E" w:rsidRPr="0043433B" w:rsidTr="00A64291">
        <w:trPr>
          <w:jc w:val="center"/>
        </w:trPr>
        <w:tc>
          <w:tcPr>
            <w:tcW w:w="3553" w:type="dxa"/>
            <w:shd w:val="clear" w:color="auto" w:fill="auto"/>
            <w:vAlign w:val="center"/>
          </w:tcPr>
          <w:p w:rsidR="00CF6C8E" w:rsidRPr="0043433B" w:rsidRDefault="00CF6C8E" w:rsidP="00A64291">
            <w:pPr>
              <w:rPr>
                <w:noProof/>
                <w:szCs w:val="22"/>
              </w:rPr>
            </w:pPr>
            <w:r>
              <w:t>Komplet respons* – akut fase</w:t>
            </w:r>
          </w:p>
        </w:tc>
        <w:tc>
          <w:tcPr>
            <w:tcW w:w="2028" w:type="dxa"/>
            <w:vAlign w:val="center"/>
          </w:tcPr>
          <w:p w:rsidR="00CF6C8E" w:rsidRPr="0043433B" w:rsidRDefault="00CF6C8E" w:rsidP="00A64291">
            <w:pPr>
              <w:jc w:val="center"/>
              <w:rPr>
                <w:noProof/>
                <w:szCs w:val="22"/>
              </w:rPr>
            </w:pPr>
            <w:r w:rsidRPr="006F58D5">
              <w:rPr>
                <w:noProof/>
                <w:szCs w:val="22"/>
              </w:rPr>
              <w:t>101/152 (66.4)</w:t>
            </w:r>
            <w:r w:rsidRPr="006F58D5">
              <w:rPr>
                <w:noProof/>
                <w:szCs w:val="22"/>
                <w:vertAlign w:val="superscript"/>
              </w:rPr>
              <w:t>‡</w:t>
            </w:r>
          </w:p>
        </w:tc>
        <w:tc>
          <w:tcPr>
            <w:tcW w:w="2126" w:type="dxa"/>
            <w:vAlign w:val="center"/>
          </w:tcPr>
          <w:p w:rsidR="00CF6C8E" w:rsidRPr="0043433B" w:rsidRDefault="00CF6C8E" w:rsidP="00A64291">
            <w:pPr>
              <w:jc w:val="center"/>
              <w:rPr>
                <w:noProof/>
                <w:szCs w:val="22"/>
              </w:rPr>
            </w:pPr>
            <w:r w:rsidRPr="006F58D5">
              <w:rPr>
                <w:noProof/>
                <w:szCs w:val="22"/>
              </w:rPr>
              <w:t>78/150 (52.0)</w:t>
            </w:r>
          </w:p>
        </w:tc>
      </w:tr>
      <w:tr w:rsidR="00CF6C8E" w:rsidRPr="0043433B" w:rsidTr="00A64291">
        <w:trPr>
          <w:jc w:val="center"/>
        </w:trPr>
        <w:tc>
          <w:tcPr>
            <w:tcW w:w="3553" w:type="dxa"/>
            <w:shd w:val="clear" w:color="auto" w:fill="auto"/>
            <w:vAlign w:val="center"/>
          </w:tcPr>
          <w:p w:rsidR="00CF6C8E" w:rsidRPr="0043433B" w:rsidRDefault="00CF6C8E" w:rsidP="00A64291">
            <w:pPr>
              <w:rPr>
                <w:noProof/>
                <w:szCs w:val="22"/>
              </w:rPr>
            </w:pPr>
            <w:r>
              <w:t>Komplet respons* – total fase</w:t>
            </w:r>
          </w:p>
        </w:tc>
        <w:tc>
          <w:tcPr>
            <w:tcW w:w="2028" w:type="dxa"/>
            <w:vAlign w:val="center"/>
          </w:tcPr>
          <w:p w:rsidR="00CF6C8E" w:rsidRPr="0043433B" w:rsidRDefault="00CF6C8E" w:rsidP="00A64291">
            <w:pPr>
              <w:jc w:val="center"/>
              <w:rPr>
                <w:noProof/>
                <w:szCs w:val="22"/>
              </w:rPr>
            </w:pPr>
            <w:r w:rsidRPr="006F58D5">
              <w:rPr>
                <w:noProof/>
                <w:szCs w:val="22"/>
              </w:rPr>
              <w:t>61/152 (40.1)</w:t>
            </w:r>
            <w:r w:rsidRPr="006F58D5">
              <w:rPr>
                <w:noProof/>
                <w:szCs w:val="22"/>
                <w:vertAlign w:val="superscript"/>
              </w:rPr>
              <w:t>†</w:t>
            </w:r>
          </w:p>
        </w:tc>
        <w:tc>
          <w:tcPr>
            <w:tcW w:w="2126" w:type="dxa"/>
            <w:vAlign w:val="center"/>
          </w:tcPr>
          <w:p w:rsidR="00CF6C8E" w:rsidRPr="0043433B" w:rsidRDefault="00CF6C8E" w:rsidP="00A64291">
            <w:pPr>
              <w:jc w:val="center"/>
              <w:rPr>
                <w:noProof/>
                <w:szCs w:val="22"/>
              </w:rPr>
            </w:pPr>
            <w:r w:rsidRPr="006F58D5">
              <w:rPr>
                <w:noProof/>
                <w:szCs w:val="22"/>
              </w:rPr>
              <w:t>30/150 (20.0)</w:t>
            </w:r>
          </w:p>
        </w:tc>
      </w:tr>
      <w:tr w:rsidR="00CF6C8E" w:rsidRPr="0043433B" w:rsidTr="00A64291">
        <w:trPr>
          <w:jc w:val="center"/>
        </w:trPr>
        <w:tc>
          <w:tcPr>
            <w:tcW w:w="3553" w:type="dxa"/>
            <w:shd w:val="clear" w:color="auto" w:fill="auto"/>
            <w:vAlign w:val="center"/>
          </w:tcPr>
          <w:p w:rsidR="00CF6C8E" w:rsidRPr="0043433B" w:rsidRDefault="00CF6C8E" w:rsidP="00A64291">
            <w:pPr>
              <w:rPr>
                <w:noProof/>
                <w:szCs w:val="22"/>
              </w:rPr>
            </w:pPr>
            <w:r>
              <w:rPr>
                <w:noProof/>
                <w:szCs w:val="22"/>
              </w:rPr>
              <w:t>Ingen opkastning</w:t>
            </w:r>
            <w:r w:rsidRPr="006F58D5">
              <w:rPr>
                <w:noProof/>
                <w:szCs w:val="22"/>
                <w:vertAlign w:val="superscript"/>
              </w:rPr>
              <w:t>§</w:t>
            </w:r>
            <w:r w:rsidRPr="004F1696">
              <w:rPr>
                <w:noProof/>
                <w:szCs w:val="22"/>
              </w:rPr>
              <w:t xml:space="preserve"> – </w:t>
            </w:r>
            <w:r>
              <w:rPr>
                <w:noProof/>
                <w:szCs w:val="22"/>
              </w:rPr>
              <w:t>total</w:t>
            </w:r>
            <w:r w:rsidRPr="004F1696">
              <w:rPr>
                <w:noProof/>
                <w:szCs w:val="22"/>
              </w:rPr>
              <w:t xml:space="preserve"> </w:t>
            </w:r>
            <w:r>
              <w:rPr>
                <w:noProof/>
                <w:szCs w:val="22"/>
              </w:rPr>
              <w:t>f</w:t>
            </w:r>
            <w:r w:rsidRPr="004F1696">
              <w:rPr>
                <w:noProof/>
                <w:szCs w:val="22"/>
              </w:rPr>
              <w:t>ase</w:t>
            </w:r>
          </w:p>
        </w:tc>
        <w:tc>
          <w:tcPr>
            <w:tcW w:w="2028" w:type="dxa"/>
            <w:vAlign w:val="center"/>
          </w:tcPr>
          <w:p w:rsidR="00CF6C8E" w:rsidRPr="0043433B" w:rsidRDefault="00CF6C8E" w:rsidP="00A64291">
            <w:pPr>
              <w:jc w:val="center"/>
              <w:rPr>
                <w:noProof/>
                <w:szCs w:val="22"/>
              </w:rPr>
            </w:pPr>
            <w:r w:rsidRPr="006F58D5">
              <w:rPr>
                <w:noProof/>
                <w:szCs w:val="22"/>
              </w:rPr>
              <w:t>71/152 (46.7)</w:t>
            </w:r>
            <w:r w:rsidRPr="006F58D5">
              <w:rPr>
                <w:noProof/>
                <w:szCs w:val="22"/>
                <w:vertAlign w:val="superscript"/>
              </w:rPr>
              <w:t>†</w:t>
            </w:r>
          </w:p>
        </w:tc>
        <w:tc>
          <w:tcPr>
            <w:tcW w:w="2126" w:type="dxa"/>
            <w:vAlign w:val="center"/>
          </w:tcPr>
          <w:p w:rsidR="00CF6C8E" w:rsidRPr="0043433B" w:rsidRDefault="00CF6C8E" w:rsidP="00A64291">
            <w:pPr>
              <w:jc w:val="center"/>
              <w:rPr>
                <w:noProof/>
                <w:szCs w:val="22"/>
              </w:rPr>
            </w:pPr>
            <w:r w:rsidRPr="006F58D5">
              <w:rPr>
                <w:noProof/>
                <w:szCs w:val="22"/>
              </w:rPr>
              <w:t>32/150 (21.3)</w:t>
            </w:r>
          </w:p>
        </w:tc>
      </w:tr>
      <w:tr w:rsidR="00CF6C8E" w:rsidRPr="000E1662" w:rsidTr="00A64291">
        <w:trPr>
          <w:jc w:val="center"/>
        </w:trPr>
        <w:tc>
          <w:tcPr>
            <w:tcW w:w="7707" w:type="dxa"/>
            <w:gridSpan w:val="3"/>
            <w:shd w:val="clear" w:color="auto" w:fill="auto"/>
            <w:vAlign w:val="center"/>
          </w:tcPr>
          <w:p w:rsidR="00CF6C8E" w:rsidRDefault="00CF6C8E" w:rsidP="00A64291">
            <w:r>
              <w:t xml:space="preserve">*Komplet respons = Ingen opkastning eller opkastningsfornemmelser og ingen brug af erstatningsterapi. </w:t>
            </w:r>
          </w:p>
          <w:p w:rsidR="00CF6C8E" w:rsidRDefault="00CF6C8E" w:rsidP="00A64291">
            <w:r>
              <w:t>† p &lt; 0,01 ved sammenligning med kontrolregimet</w:t>
            </w:r>
          </w:p>
          <w:p w:rsidR="00CF6C8E" w:rsidRDefault="00CF6C8E" w:rsidP="00A64291">
            <w:r>
              <w:t xml:space="preserve">‡ p &lt; 0,05 ved sammenligning med kontrolregimet </w:t>
            </w:r>
          </w:p>
          <w:p w:rsidR="00CF6C8E" w:rsidRDefault="00CF6C8E" w:rsidP="00A64291">
            <w:r>
              <w:t xml:space="preserve">§ Ingen opkastning = Ingen opkastning eller opkastningsfornemmelser </w:t>
            </w:r>
          </w:p>
          <w:p w:rsidR="00CF6C8E" w:rsidRDefault="00CF6C8E" w:rsidP="00A64291">
            <w:r>
              <w:t xml:space="preserve">n/m = Antal patienter med ønsket respons/antal inkluderede patienter på dette tidspunkt. </w:t>
            </w:r>
          </w:p>
          <w:p w:rsidR="00CF6C8E" w:rsidRDefault="00CF6C8E" w:rsidP="00A64291">
            <w:r>
              <w:t xml:space="preserve">Akut fase: 0 til 24 timer efter initiering af kemoterapi. </w:t>
            </w:r>
          </w:p>
          <w:p w:rsidR="00CF6C8E" w:rsidRDefault="00CF6C8E" w:rsidP="00A64291">
            <w:r>
              <w:t xml:space="preserve">Forsinket fase: 25 til 120 timer efter initiering af kemoterapi. </w:t>
            </w:r>
          </w:p>
          <w:p w:rsidR="00CF6C8E" w:rsidRPr="000E1662" w:rsidRDefault="00CF6C8E" w:rsidP="00A64291">
            <w:pPr>
              <w:rPr>
                <w:noProof/>
                <w:szCs w:val="22"/>
              </w:rPr>
            </w:pPr>
            <w:r>
              <w:t>Total fase: 0 til 120 timer efter initiering af kemoterapi.</w:t>
            </w:r>
          </w:p>
        </w:tc>
      </w:tr>
    </w:tbl>
    <w:p w:rsidR="00552D36" w:rsidRDefault="00552D36" w:rsidP="00552D36">
      <w:pPr>
        <w:tabs>
          <w:tab w:val="left" w:pos="851"/>
        </w:tabs>
        <w:ind w:left="851"/>
        <w:rPr>
          <w:sz w:val="24"/>
          <w:szCs w:val="24"/>
        </w:rPr>
      </w:pPr>
    </w:p>
    <w:p w:rsidR="00CF6C8E" w:rsidRPr="00CF6C8E" w:rsidRDefault="00CF6C8E" w:rsidP="00CF6C8E">
      <w:pPr>
        <w:tabs>
          <w:tab w:val="left" w:pos="851"/>
        </w:tabs>
        <w:ind w:left="851"/>
        <w:rPr>
          <w:sz w:val="24"/>
          <w:szCs w:val="24"/>
        </w:rPr>
      </w:pPr>
      <w:r w:rsidRPr="00CF6C8E">
        <w:rPr>
          <w:sz w:val="24"/>
          <w:szCs w:val="24"/>
        </w:rPr>
        <w:t>Den anslåede tid til første opkastning efter initiering af kemoterapibehandling var længere med aprepitantregimet (anslået mediantid til første opkastning var 94,5 timer) sammenlignet med kontrolregimet (anslået mediantid til første opkastning var 26,0 timer) som vist i Kaplan-Meierkurverne i figur 2.</w:t>
      </w:r>
    </w:p>
    <w:p w:rsidR="00E21DFB" w:rsidRDefault="00E21DFB">
      <w:pPr>
        <w:rPr>
          <w:sz w:val="24"/>
          <w:szCs w:val="24"/>
        </w:rPr>
      </w:pPr>
      <w:r>
        <w:rPr>
          <w:sz w:val="24"/>
          <w:szCs w:val="24"/>
        </w:rPr>
        <w:br w:type="page"/>
      </w:r>
    </w:p>
    <w:p w:rsidR="00CF6C8E" w:rsidRPr="00CF6C8E" w:rsidRDefault="00CF6C8E" w:rsidP="00CF6C8E">
      <w:pPr>
        <w:tabs>
          <w:tab w:val="left" w:pos="851"/>
        </w:tabs>
        <w:ind w:left="851"/>
        <w:rPr>
          <w:sz w:val="24"/>
          <w:szCs w:val="24"/>
        </w:rPr>
      </w:pPr>
    </w:p>
    <w:p w:rsidR="00CF6C8E" w:rsidRPr="00CF6C8E" w:rsidRDefault="00CF6C8E" w:rsidP="00CF6C8E">
      <w:pPr>
        <w:tabs>
          <w:tab w:val="left" w:pos="851"/>
        </w:tabs>
        <w:ind w:left="851"/>
        <w:jc w:val="center"/>
        <w:rPr>
          <w:sz w:val="24"/>
          <w:szCs w:val="24"/>
        </w:rPr>
      </w:pPr>
      <w:r w:rsidRPr="00CF6C8E">
        <w:rPr>
          <w:sz w:val="24"/>
          <w:szCs w:val="24"/>
        </w:rPr>
        <w:t>Figur 2</w:t>
      </w:r>
    </w:p>
    <w:p w:rsidR="00CF6C8E" w:rsidRPr="00CF6C8E" w:rsidRDefault="00CF6C8E" w:rsidP="00CF6C8E">
      <w:pPr>
        <w:tabs>
          <w:tab w:val="left" w:pos="851"/>
        </w:tabs>
        <w:ind w:left="851"/>
        <w:jc w:val="center"/>
        <w:rPr>
          <w:sz w:val="24"/>
          <w:szCs w:val="24"/>
        </w:rPr>
      </w:pPr>
      <w:r w:rsidRPr="00CF6C8E">
        <w:rPr>
          <w:sz w:val="24"/>
          <w:szCs w:val="24"/>
        </w:rPr>
        <w:t>Tid til første opkastningsepisode fra start af administration af kemoterapi - pædiatriske patienter i den totale fase - cyklus 1 (Intent to treat-population)</w:t>
      </w:r>
    </w:p>
    <w:p w:rsidR="00CF6C8E" w:rsidRPr="00B30A87" w:rsidRDefault="00CF6C8E" w:rsidP="00552D36">
      <w:pPr>
        <w:tabs>
          <w:tab w:val="left" w:pos="851"/>
        </w:tabs>
        <w:ind w:left="851"/>
        <w:rPr>
          <w:sz w:val="24"/>
          <w:szCs w:val="24"/>
        </w:rPr>
      </w:pPr>
    </w:p>
    <w:p w:rsidR="00CF6C8E" w:rsidRDefault="00CF6C8E" w:rsidP="00CF6C8E"/>
    <w:p w:rsidR="00CF6C8E" w:rsidRDefault="00CF6C8E" w:rsidP="00CF6C8E">
      <w:r w:rsidRPr="00C10A44">
        <w:rPr>
          <w:noProof/>
          <w:lang w:eastAsia="da-DK"/>
        </w:rPr>
        <w:drawing>
          <wp:inline distT="0" distB="0" distL="0" distR="0">
            <wp:extent cx="3863340" cy="2575560"/>
            <wp:effectExtent l="0" t="0" r="381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2575560"/>
                    </a:xfrm>
                    <a:prstGeom prst="rect">
                      <a:avLst/>
                    </a:prstGeom>
                    <a:noFill/>
                    <a:ln>
                      <a:noFill/>
                    </a:ln>
                  </pic:spPr>
                </pic:pic>
              </a:graphicData>
            </a:graphic>
          </wp:inline>
        </w:drawing>
      </w:r>
    </w:p>
    <w:p w:rsidR="00B30A87" w:rsidRDefault="00B30A87" w:rsidP="00B30A87">
      <w:pPr>
        <w:tabs>
          <w:tab w:val="left" w:pos="851"/>
        </w:tabs>
        <w:ind w:left="851"/>
        <w:rPr>
          <w:sz w:val="24"/>
          <w:szCs w:val="24"/>
        </w:rPr>
      </w:pPr>
    </w:p>
    <w:p w:rsidR="000821C4" w:rsidRPr="000821C4" w:rsidRDefault="000821C4" w:rsidP="000821C4">
      <w:pPr>
        <w:tabs>
          <w:tab w:val="left" w:pos="851"/>
        </w:tabs>
        <w:ind w:left="851"/>
        <w:rPr>
          <w:sz w:val="24"/>
          <w:szCs w:val="24"/>
        </w:rPr>
      </w:pPr>
      <w:r w:rsidRPr="000821C4">
        <w:rPr>
          <w:sz w:val="24"/>
          <w:szCs w:val="24"/>
        </w:rPr>
        <w:t>En analyse af virkningen i subpopulationerne i cyklus 1 viste at, uanset alderskategori, køn, brug af dexamethason til antiemetika-profylakse og kemoterapiens emetogenicitet, aprepitantregimet gav bedre kontrol end kontrolregimet med hensyn til endepunkterne for komplet respons.</w:t>
      </w:r>
    </w:p>
    <w:p w:rsidR="000821C4" w:rsidRDefault="000821C4" w:rsidP="00B30A8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B59BC" w:rsidRPr="009B59BC" w:rsidRDefault="009B59BC" w:rsidP="009B59BC">
      <w:pPr>
        <w:tabs>
          <w:tab w:val="left" w:pos="851"/>
        </w:tabs>
        <w:ind w:left="851"/>
        <w:rPr>
          <w:sz w:val="24"/>
          <w:szCs w:val="24"/>
        </w:rPr>
      </w:pPr>
      <w:r w:rsidRPr="009B59BC">
        <w:rPr>
          <w:sz w:val="24"/>
          <w:szCs w:val="24"/>
        </w:rPr>
        <w:t xml:space="preserve">Aprepitant udviser nonlineær farmakokinetik. Såvel clearance som absolut biotilgængelighed falder ved øget dosis. </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u w:val="single"/>
        </w:rPr>
      </w:pPr>
      <w:r w:rsidRPr="009B59BC">
        <w:rPr>
          <w:sz w:val="24"/>
          <w:szCs w:val="24"/>
          <w:u w:val="single"/>
        </w:rPr>
        <w:t xml:space="preserve">Absorption </w:t>
      </w:r>
    </w:p>
    <w:p w:rsidR="009B59BC" w:rsidRPr="009B59BC" w:rsidRDefault="009B59BC" w:rsidP="009B59BC">
      <w:pPr>
        <w:tabs>
          <w:tab w:val="left" w:pos="851"/>
        </w:tabs>
        <w:ind w:left="851"/>
        <w:rPr>
          <w:sz w:val="24"/>
          <w:szCs w:val="24"/>
        </w:rPr>
      </w:pPr>
      <w:r w:rsidRPr="009B59BC">
        <w:rPr>
          <w:sz w:val="24"/>
          <w:szCs w:val="24"/>
        </w:rPr>
        <w:t>Den gennemsnitlige absolutte orale biotilgængelighed for aprepitant er 67 % for 80 mg kapslen og 59 % for 125 mg kapslen. Den gennemsnitlige peakplasmakoncentration (C</w:t>
      </w:r>
      <w:r w:rsidRPr="00E21DFB">
        <w:rPr>
          <w:sz w:val="24"/>
          <w:szCs w:val="24"/>
          <w:vertAlign w:val="subscript"/>
        </w:rPr>
        <w:t>max</w:t>
      </w:r>
      <w:r w:rsidRPr="009B59BC">
        <w:rPr>
          <w:sz w:val="24"/>
          <w:szCs w:val="24"/>
        </w:rPr>
        <w:t>) for aprepitant fremkom efter ca. 4 timer (t</w:t>
      </w:r>
      <w:r w:rsidRPr="00E21DFB">
        <w:rPr>
          <w:sz w:val="24"/>
          <w:szCs w:val="24"/>
          <w:vertAlign w:val="subscript"/>
        </w:rPr>
        <w:t>max</w:t>
      </w:r>
      <w:r w:rsidRPr="009B59BC">
        <w:rPr>
          <w:sz w:val="24"/>
          <w:szCs w:val="24"/>
        </w:rPr>
        <w:t xml:space="preserve">). Oral administration af kapslerne sammen med et normalt morgenmåltid på ca. 800 kilokalorier resulterede i en øgning på op til 40 % i AUC for aprepitant. Denne øgning ansås ikke for værende klinisk relevant. </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rPr>
      </w:pPr>
      <w:r w:rsidRPr="009B59BC">
        <w:rPr>
          <w:sz w:val="24"/>
          <w:szCs w:val="24"/>
        </w:rPr>
        <w:t>Farmakokinetikken for aprepitant er nonlineær i det kliniske dosisområde. For raske unge voksne var øgningen i AUC</w:t>
      </w:r>
      <w:r w:rsidRPr="009B59BC">
        <w:rPr>
          <w:sz w:val="24"/>
          <w:szCs w:val="24"/>
          <w:vertAlign w:val="subscript"/>
        </w:rPr>
        <w:t>0-</w:t>
      </w:r>
      <w:r w:rsidRPr="009B59BC">
        <w:rPr>
          <w:sz w:val="24"/>
          <w:szCs w:val="24"/>
          <w:vertAlign w:val="subscript"/>
        </w:rPr>
        <w:sym w:font="Symbol" w:char="F0A5"/>
      </w:r>
      <w:r w:rsidRPr="009B59BC">
        <w:rPr>
          <w:sz w:val="24"/>
          <w:szCs w:val="24"/>
        </w:rPr>
        <w:t xml:space="preserve"> 26 % højere end dosisproportionaliteten mellem 80 mg og 125 mg enkeltdoser administreret på fuld mave. </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rPr>
      </w:pPr>
      <w:r w:rsidRPr="009B59BC">
        <w:rPr>
          <w:sz w:val="24"/>
          <w:szCs w:val="24"/>
        </w:rPr>
        <w:t xml:space="preserve">Efter oral administration af en enkelt 125 mg dosis af aprepitant på dag 1 og 80 mg </w:t>
      </w:r>
      <w:r w:rsidR="00FA3128">
        <w:rPr>
          <w:sz w:val="24"/>
          <w:szCs w:val="24"/>
        </w:rPr>
        <w:t>en</w:t>
      </w:r>
      <w:r w:rsidRPr="009B59BC">
        <w:rPr>
          <w:sz w:val="24"/>
          <w:szCs w:val="24"/>
        </w:rPr>
        <w:t xml:space="preserve"> gang </w:t>
      </w:r>
      <w:r w:rsidR="00FA3128">
        <w:rPr>
          <w:sz w:val="24"/>
          <w:szCs w:val="24"/>
        </w:rPr>
        <w:t>daglig</w:t>
      </w:r>
      <w:r w:rsidRPr="009B59BC">
        <w:rPr>
          <w:sz w:val="24"/>
          <w:szCs w:val="24"/>
        </w:rPr>
        <w:t xml:space="preserve"> på dag 2 og 3 var AUC</w:t>
      </w:r>
      <w:r w:rsidRPr="009B59BC">
        <w:rPr>
          <w:sz w:val="24"/>
          <w:szCs w:val="24"/>
          <w:vertAlign w:val="subscript"/>
        </w:rPr>
        <w:t>0-24 timer</w:t>
      </w:r>
      <w:r w:rsidRPr="009B59BC">
        <w:rPr>
          <w:sz w:val="24"/>
          <w:szCs w:val="24"/>
        </w:rPr>
        <w:t xml:space="preserve"> (middel </w:t>
      </w:r>
      <w:r w:rsidRPr="009B59BC">
        <w:rPr>
          <w:sz w:val="24"/>
          <w:szCs w:val="24"/>
        </w:rPr>
        <w:sym w:font="Symbol" w:char="F0B1"/>
      </w:r>
      <w:r w:rsidRPr="009B59BC">
        <w:rPr>
          <w:sz w:val="24"/>
          <w:szCs w:val="24"/>
        </w:rPr>
        <w:t>SD) henholdsvis 19,6</w:t>
      </w:r>
      <w:r w:rsidRPr="009B59BC">
        <w:rPr>
          <w:sz w:val="24"/>
          <w:szCs w:val="24"/>
        </w:rPr>
        <w:sym w:font="Symbol" w:char="F0B1"/>
      </w:r>
      <w:r w:rsidRPr="009B59BC">
        <w:rPr>
          <w:sz w:val="24"/>
          <w:szCs w:val="24"/>
        </w:rPr>
        <w:t>2,5 µg∙t/ml på dag 1 og 21,2</w:t>
      </w:r>
      <w:r w:rsidRPr="009B59BC">
        <w:rPr>
          <w:sz w:val="24"/>
          <w:szCs w:val="24"/>
        </w:rPr>
        <w:sym w:font="Symbol" w:char="F0B1"/>
      </w:r>
      <w:r w:rsidRPr="009B59BC">
        <w:rPr>
          <w:sz w:val="24"/>
          <w:szCs w:val="24"/>
        </w:rPr>
        <w:t>6,3 µg∙t/ml på dag 3. Cmax var henholdsvis 1,6</w:t>
      </w:r>
      <w:r w:rsidRPr="009B59BC">
        <w:rPr>
          <w:sz w:val="24"/>
          <w:szCs w:val="24"/>
        </w:rPr>
        <w:sym w:font="Symbol" w:char="F0B1"/>
      </w:r>
      <w:r w:rsidRPr="009B59BC">
        <w:rPr>
          <w:sz w:val="24"/>
          <w:szCs w:val="24"/>
        </w:rPr>
        <w:t>0,36 µg/ml på dag 1 og 1,4</w:t>
      </w:r>
      <w:r w:rsidRPr="009B59BC">
        <w:rPr>
          <w:sz w:val="24"/>
          <w:szCs w:val="24"/>
        </w:rPr>
        <w:sym w:font="Symbol" w:char="F0B1"/>
      </w:r>
      <w:r w:rsidRPr="009B59BC">
        <w:rPr>
          <w:sz w:val="24"/>
          <w:szCs w:val="24"/>
        </w:rPr>
        <w:t xml:space="preserve">0,22 µg/ml på dag 3. </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u w:val="single"/>
        </w:rPr>
      </w:pPr>
      <w:r w:rsidRPr="009B59BC">
        <w:rPr>
          <w:sz w:val="24"/>
          <w:szCs w:val="24"/>
          <w:u w:val="single"/>
        </w:rPr>
        <w:t xml:space="preserve">Fordeling </w:t>
      </w:r>
    </w:p>
    <w:p w:rsidR="009B59BC" w:rsidRPr="009B59BC" w:rsidRDefault="009B59BC" w:rsidP="009B59BC">
      <w:pPr>
        <w:tabs>
          <w:tab w:val="left" w:pos="851"/>
        </w:tabs>
        <w:ind w:left="851"/>
        <w:rPr>
          <w:sz w:val="24"/>
          <w:szCs w:val="24"/>
        </w:rPr>
      </w:pPr>
      <w:r w:rsidRPr="009B59BC">
        <w:rPr>
          <w:sz w:val="24"/>
          <w:szCs w:val="24"/>
        </w:rPr>
        <w:t>Aprepitant er stærkt proteinbundet, med et gennemsnit på 97 %. Den geometriske gennemsnitsværdi af distributionsvolumen ved steady state (Vd</w:t>
      </w:r>
      <w:r w:rsidRPr="009B59BC">
        <w:rPr>
          <w:sz w:val="24"/>
          <w:szCs w:val="24"/>
          <w:vertAlign w:val="subscript"/>
        </w:rPr>
        <w:t>ss</w:t>
      </w:r>
      <w:r w:rsidRPr="009B59BC">
        <w:rPr>
          <w:sz w:val="24"/>
          <w:szCs w:val="24"/>
        </w:rPr>
        <w:t>) er ca. 66 liter hos mennesker.</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u w:val="single"/>
        </w:rPr>
      </w:pPr>
      <w:r w:rsidRPr="009B59BC">
        <w:rPr>
          <w:sz w:val="24"/>
          <w:szCs w:val="24"/>
          <w:u w:val="single"/>
        </w:rPr>
        <w:t xml:space="preserve">Biotransformation </w:t>
      </w:r>
    </w:p>
    <w:p w:rsidR="009B59BC" w:rsidRPr="009B59BC" w:rsidRDefault="009B59BC" w:rsidP="009B59BC">
      <w:pPr>
        <w:tabs>
          <w:tab w:val="left" w:pos="851"/>
        </w:tabs>
        <w:ind w:left="851"/>
        <w:rPr>
          <w:sz w:val="24"/>
          <w:szCs w:val="24"/>
        </w:rPr>
      </w:pPr>
      <w:r w:rsidRPr="009B59BC">
        <w:rPr>
          <w:sz w:val="24"/>
          <w:szCs w:val="24"/>
        </w:rPr>
        <w:t>Aprepitant metaboliseres i stort omfang. Hos raske, unge voksne tegner aprepitant sig for ca. 19 % af radioaktiviteten i plasma over 72 timer efter en enkelt intravenøs administreret 100 mg dosis af [14C]- fosaprepitant, der er et prodrug for aprepitant, hvilket indikerer en væsentlig tilstedeværelse af metabolitter i plasma. Der er identificeret tolv metabolitter af aprepitant i human plasma. Metabolisme af aprepitant finder hovedsagelig sted via oxidation i morfolinringen og i sidekæderne, og de resulterende metabolitter var kun svagt aktive. In vitro undersøgelser som anvendte humane levermikrosomer indikerer at aprepitant hovedsagelig metaboliseres via CYP3A4 og muligvis med mindre deltagelse via CYP1A2 og CYP2C19.</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u w:val="single"/>
        </w:rPr>
      </w:pPr>
      <w:r w:rsidRPr="009B59BC">
        <w:rPr>
          <w:sz w:val="24"/>
          <w:szCs w:val="24"/>
          <w:u w:val="single"/>
        </w:rPr>
        <w:t xml:space="preserve">Elimination </w:t>
      </w:r>
    </w:p>
    <w:p w:rsidR="009B59BC" w:rsidRPr="009B59BC" w:rsidRDefault="009B59BC" w:rsidP="009B59BC">
      <w:pPr>
        <w:tabs>
          <w:tab w:val="left" w:pos="851"/>
        </w:tabs>
        <w:ind w:left="851"/>
        <w:rPr>
          <w:sz w:val="24"/>
          <w:szCs w:val="24"/>
        </w:rPr>
      </w:pPr>
      <w:r w:rsidRPr="009B59BC">
        <w:rPr>
          <w:sz w:val="24"/>
          <w:szCs w:val="24"/>
        </w:rPr>
        <w:t xml:space="preserve">Aprepitant udskilles omdannet i urinen. Metabolitterne udskilles i urinen og via galdevejene over i fæces. Efter en enkelt intravenøs administreret 100 mg dosis af [14C]-fosaprepitant, der er et prodrug for aprepitant til raske personer genfandtes 57 % af radioaktiviteten i urinen og 45 % i fæces. </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rPr>
      </w:pPr>
      <w:r w:rsidRPr="009B59BC">
        <w:rPr>
          <w:sz w:val="24"/>
          <w:szCs w:val="24"/>
        </w:rPr>
        <w:t xml:space="preserve">Plasmaclearance af aprepitant er dosisafhængig, idet clearance faldt ved øget dosis og varierede fra ca. 60 til 72 ml/min i det terapeutiske dosisområde. Den terminale halveringstid varierede fra ca. 9 til 13 timer. </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u w:val="single"/>
        </w:rPr>
      </w:pPr>
      <w:r w:rsidRPr="009B59BC">
        <w:rPr>
          <w:sz w:val="24"/>
          <w:szCs w:val="24"/>
          <w:u w:val="single"/>
        </w:rPr>
        <w:t xml:space="preserve">Farmakokinetik hos specielle populationer </w:t>
      </w:r>
    </w:p>
    <w:p w:rsidR="00E21DFB" w:rsidRDefault="00E21DFB" w:rsidP="009B59BC">
      <w:pPr>
        <w:tabs>
          <w:tab w:val="left" w:pos="851"/>
        </w:tabs>
        <w:ind w:left="851"/>
        <w:rPr>
          <w:i/>
          <w:sz w:val="24"/>
          <w:szCs w:val="24"/>
        </w:rPr>
      </w:pPr>
    </w:p>
    <w:p w:rsidR="00E21DFB" w:rsidRDefault="009B59BC" w:rsidP="009B59BC">
      <w:pPr>
        <w:tabs>
          <w:tab w:val="left" w:pos="851"/>
        </w:tabs>
        <w:ind w:left="851"/>
        <w:rPr>
          <w:i/>
          <w:sz w:val="24"/>
          <w:szCs w:val="24"/>
        </w:rPr>
      </w:pPr>
      <w:r w:rsidRPr="009B59BC">
        <w:rPr>
          <w:i/>
          <w:sz w:val="24"/>
          <w:szCs w:val="24"/>
        </w:rPr>
        <w:t>Ældre</w:t>
      </w:r>
    </w:p>
    <w:p w:rsidR="009B59BC" w:rsidRPr="009B59BC" w:rsidRDefault="009B59BC" w:rsidP="009B59BC">
      <w:pPr>
        <w:tabs>
          <w:tab w:val="left" w:pos="851"/>
        </w:tabs>
        <w:ind w:left="851"/>
        <w:rPr>
          <w:sz w:val="24"/>
          <w:szCs w:val="24"/>
        </w:rPr>
      </w:pPr>
      <w:r w:rsidRPr="009B59BC">
        <w:rPr>
          <w:sz w:val="24"/>
          <w:szCs w:val="24"/>
        </w:rPr>
        <w:t xml:space="preserve">Efter oral administration af en enkelt 125 mg dosis af aprepitant på dag 1 og 80 mg </w:t>
      </w:r>
      <w:r w:rsidR="00FA3128">
        <w:rPr>
          <w:sz w:val="24"/>
          <w:szCs w:val="24"/>
        </w:rPr>
        <w:t>en</w:t>
      </w:r>
      <w:r w:rsidRPr="009B59BC">
        <w:rPr>
          <w:sz w:val="24"/>
          <w:szCs w:val="24"/>
        </w:rPr>
        <w:t xml:space="preserve"> gang </w:t>
      </w:r>
      <w:r w:rsidR="00FA3128">
        <w:rPr>
          <w:sz w:val="24"/>
          <w:szCs w:val="24"/>
        </w:rPr>
        <w:t>daglig</w:t>
      </w:r>
      <w:r w:rsidRPr="009B59BC">
        <w:rPr>
          <w:sz w:val="24"/>
          <w:szCs w:val="24"/>
        </w:rPr>
        <w:t xml:space="preserve"> på dag 2 til 5 er AUC</w:t>
      </w:r>
      <w:r w:rsidRPr="009B59BC">
        <w:rPr>
          <w:sz w:val="24"/>
          <w:szCs w:val="24"/>
          <w:vertAlign w:val="subscript"/>
        </w:rPr>
        <w:t xml:space="preserve">0-24 </w:t>
      </w:r>
      <w:r w:rsidRPr="009B59BC">
        <w:rPr>
          <w:sz w:val="24"/>
          <w:szCs w:val="24"/>
        </w:rPr>
        <w:t>timer for aprepitant 21 % højere på dag 1 og 36 % højere på dag 5 hos ældre (</w:t>
      </w:r>
      <w:r w:rsidRPr="009B59BC">
        <w:rPr>
          <w:sz w:val="24"/>
          <w:szCs w:val="24"/>
        </w:rPr>
        <w:sym w:font="Symbol" w:char="F0B3"/>
      </w:r>
      <w:r w:rsidRPr="009B59BC">
        <w:rPr>
          <w:sz w:val="24"/>
          <w:szCs w:val="24"/>
        </w:rPr>
        <w:t xml:space="preserve"> 65 år) set i forhold til yngre voksne. C</w:t>
      </w:r>
      <w:r w:rsidRPr="009B59BC">
        <w:rPr>
          <w:sz w:val="24"/>
          <w:szCs w:val="24"/>
          <w:vertAlign w:val="subscript"/>
        </w:rPr>
        <w:t>max</w:t>
      </w:r>
      <w:r w:rsidRPr="009B59BC">
        <w:rPr>
          <w:sz w:val="24"/>
          <w:szCs w:val="24"/>
        </w:rPr>
        <w:t xml:space="preserve"> var 10 % højere på dag 1 og 24 % højere på dag 5 hos ældre i forhold til yngre voksne. Disse forskelle anses ikke for at være klinisk relevante. </w:t>
      </w:r>
    </w:p>
    <w:p w:rsidR="009B59BC" w:rsidRPr="009B59BC" w:rsidRDefault="009B59BC" w:rsidP="009B59BC">
      <w:pPr>
        <w:tabs>
          <w:tab w:val="left" w:pos="851"/>
        </w:tabs>
        <w:ind w:left="851"/>
        <w:rPr>
          <w:sz w:val="24"/>
          <w:szCs w:val="24"/>
        </w:rPr>
      </w:pPr>
      <w:r w:rsidRPr="009B59BC">
        <w:rPr>
          <w:sz w:val="24"/>
          <w:szCs w:val="24"/>
        </w:rPr>
        <w:t xml:space="preserve">Dosisjustering af Aprepitant "Stada" er ikke nødvendig til ældre patienter. </w:t>
      </w:r>
    </w:p>
    <w:p w:rsidR="009B59BC" w:rsidRPr="009B59BC" w:rsidRDefault="009B59BC" w:rsidP="009B59BC">
      <w:pPr>
        <w:tabs>
          <w:tab w:val="left" w:pos="851"/>
        </w:tabs>
        <w:ind w:left="851"/>
        <w:rPr>
          <w:sz w:val="24"/>
          <w:szCs w:val="24"/>
        </w:rPr>
      </w:pPr>
    </w:p>
    <w:p w:rsidR="00E21DFB" w:rsidRDefault="009B59BC" w:rsidP="009B59BC">
      <w:pPr>
        <w:tabs>
          <w:tab w:val="left" w:pos="851"/>
        </w:tabs>
        <w:ind w:left="851"/>
        <w:rPr>
          <w:i/>
          <w:sz w:val="24"/>
          <w:szCs w:val="24"/>
        </w:rPr>
      </w:pPr>
      <w:r w:rsidRPr="009B59BC">
        <w:rPr>
          <w:i/>
          <w:sz w:val="24"/>
          <w:szCs w:val="24"/>
        </w:rPr>
        <w:t>Køn</w:t>
      </w:r>
    </w:p>
    <w:p w:rsidR="009B59BC" w:rsidRPr="009B59BC" w:rsidRDefault="009B59BC" w:rsidP="009B59BC">
      <w:pPr>
        <w:tabs>
          <w:tab w:val="left" w:pos="851"/>
        </w:tabs>
        <w:ind w:left="851"/>
        <w:rPr>
          <w:sz w:val="24"/>
          <w:szCs w:val="24"/>
        </w:rPr>
      </w:pPr>
      <w:r w:rsidRPr="009B59BC">
        <w:rPr>
          <w:sz w:val="24"/>
          <w:szCs w:val="24"/>
        </w:rPr>
        <w:t>Efter oral administration af en enkelt 125 mg dosis aprepitant er Cmax for aprepitant 16 % højere hos kvinder sammenlignet med mænd. Halveringstiden for aprepitant er 25 % lavere hos kvinder sammenlignet med mænd, og t</w:t>
      </w:r>
      <w:r w:rsidRPr="009B59BC">
        <w:rPr>
          <w:sz w:val="24"/>
          <w:szCs w:val="24"/>
          <w:vertAlign w:val="subscript"/>
        </w:rPr>
        <w:t>max</w:t>
      </w:r>
      <w:r w:rsidRPr="009B59BC">
        <w:rPr>
          <w:sz w:val="24"/>
          <w:szCs w:val="24"/>
        </w:rPr>
        <w:t xml:space="preserve"> ses cirka samtidig. Disse forskelle anses ikke for at være klinisk relevante. </w:t>
      </w:r>
    </w:p>
    <w:p w:rsidR="009B59BC" w:rsidRPr="009B59BC" w:rsidRDefault="009B59BC" w:rsidP="009B59BC">
      <w:pPr>
        <w:tabs>
          <w:tab w:val="left" w:pos="851"/>
        </w:tabs>
        <w:ind w:left="851"/>
        <w:rPr>
          <w:sz w:val="24"/>
          <w:szCs w:val="24"/>
        </w:rPr>
      </w:pPr>
      <w:r w:rsidRPr="009B59BC">
        <w:rPr>
          <w:sz w:val="24"/>
          <w:szCs w:val="24"/>
        </w:rPr>
        <w:t>Dosisjustering af Aprepitant "Stada" er ikke nødvendig baseret på køn.</w:t>
      </w:r>
    </w:p>
    <w:p w:rsidR="009B59BC" w:rsidRPr="009B59BC" w:rsidRDefault="009B59BC" w:rsidP="009B59BC">
      <w:pPr>
        <w:tabs>
          <w:tab w:val="left" w:pos="851"/>
        </w:tabs>
        <w:ind w:left="851"/>
        <w:rPr>
          <w:sz w:val="24"/>
          <w:szCs w:val="24"/>
        </w:rPr>
      </w:pPr>
    </w:p>
    <w:p w:rsidR="00E21DFB" w:rsidRDefault="009B59BC" w:rsidP="009B59BC">
      <w:pPr>
        <w:tabs>
          <w:tab w:val="left" w:pos="851"/>
        </w:tabs>
        <w:ind w:left="851"/>
        <w:rPr>
          <w:i/>
          <w:sz w:val="24"/>
          <w:szCs w:val="24"/>
        </w:rPr>
      </w:pPr>
      <w:r w:rsidRPr="009B59BC">
        <w:rPr>
          <w:i/>
          <w:sz w:val="24"/>
          <w:szCs w:val="24"/>
        </w:rPr>
        <w:t>Nedsat leverfunktion</w:t>
      </w:r>
    </w:p>
    <w:p w:rsidR="009B59BC" w:rsidRPr="009B59BC" w:rsidRDefault="009B59BC" w:rsidP="009B59BC">
      <w:pPr>
        <w:tabs>
          <w:tab w:val="left" w:pos="851"/>
        </w:tabs>
        <w:ind w:left="851"/>
        <w:rPr>
          <w:sz w:val="24"/>
          <w:szCs w:val="24"/>
        </w:rPr>
      </w:pPr>
      <w:r w:rsidRPr="009B59BC">
        <w:rPr>
          <w:sz w:val="24"/>
          <w:szCs w:val="24"/>
        </w:rPr>
        <w:t xml:space="preserve">Let nedsat leverfunktion (Child-Pugh klasse A) har ingen klinisk relevant indflydelse på farmakokinetikken for aprepitant. Dosisjustering er ikke nødvendig til patienter med let nedsat leverfunktion. Konklusioner vedrørende indflydelse af moderat nedsat leverfunktion (ChildPughklasse B) på farmakokinetikken for aprepitant kan ikke udledes af de tilgængelige data. Der er ingen kliniske eller farmakokinetiske data for patienter med svært nedsat leverfunktion (Child-Pugh klasse C). </w:t>
      </w:r>
    </w:p>
    <w:p w:rsidR="009B59BC" w:rsidRPr="009B59BC" w:rsidRDefault="009B59BC" w:rsidP="009B59BC">
      <w:pPr>
        <w:tabs>
          <w:tab w:val="left" w:pos="851"/>
        </w:tabs>
        <w:ind w:left="851"/>
        <w:rPr>
          <w:sz w:val="24"/>
          <w:szCs w:val="24"/>
        </w:rPr>
      </w:pPr>
    </w:p>
    <w:p w:rsidR="00E21DFB" w:rsidRDefault="009B59BC" w:rsidP="009B59BC">
      <w:pPr>
        <w:tabs>
          <w:tab w:val="left" w:pos="851"/>
        </w:tabs>
        <w:ind w:left="851"/>
        <w:rPr>
          <w:i/>
          <w:sz w:val="24"/>
          <w:szCs w:val="24"/>
        </w:rPr>
      </w:pPr>
      <w:r w:rsidRPr="009B59BC">
        <w:rPr>
          <w:i/>
          <w:sz w:val="24"/>
          <w:szCs w:val="24"/>
        </w:rPr>
        <w:t>Nedsat nyrefunktion</w:t>
      </w:r>
    </w:p>
    <w:p w:rsidR="009B59BC" w:rsidRPr="009B59BC" w:rsidRDefault="009B59BC" w:rsidP="009B59BC">
      <w:pPr>
        <w:tabs>
          <w:tab w:val="left" w:pos="851"/>
        </w:tabs>
        <w:ind w:left="851"/>
        <w:rPr>
          <w:sz w:val="24"/>
          <w:szCs w:val="24"/>
        </w:rPr>
      </w:pPr>
      <w:r w:rsidRPr="009B59BC">
        <w:rPr>
          <w:sz w:val="24"/>
          <w:szCs w:val="24"/>
        </w:rPr>
        <w:t>En enkelt 240 mg dosis af Aprepitant "Stada" blev administreret til patienter med svært nedsat nyrefunktion (CrCl &lt; 30 mL/min) og til hæmodialysepatienter i det sene stadie (end stage) af nyresygdom.</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rPr>
      </w:pPr>
      <w:r w:rsidRPr="009B59BC">
        <w:rPr>
          <w:sz w:val="24"/>
          <w:szCs w:val="24"/>
        </w:rPr>
        <w:t>Hos patienter med svært nedsat nyrefunktion faldt AUC</w:t>
      </w:r>
      <w:r w:rsidRPr="009B59BC">
        <w:rPr>
          <w:sz w:val="24"/>
          <w:szCs w:val="24"/>
          <w:vertAlign w:val="subscript"/>
        </w:rPr>
        <w:t>0-</w:t>
      </w:r>
      <w:r w:rsidRPr="009B59BC">
        <w:rPr>
          <w:sz w:val="24"/>
          <w:szCs w:val="24"/>
          <w:vertAlign w:val="subscript"/>
        </w:rPr>
        <w:sym w:font="Symbol" w:char="F0A5"/>
      </w:r>
      <w:r w:rsidRPr="009B59BC">
        <w:rPr>
          <w:sz w:val="24"/>
          <w:szCs w:val="24"/>
        </w:rPr>
        <w:t xml:space="preserve"> for total-aprepitant (ubunden og proteinbundet) med 21 % og C</w:t>
      </w:r>
      <w:r w:rsidRPr="009B59BC">
        <w:rPr>
          <w:sz w:val="24"/>
          <w:szCs w:val="24"/>
          <w:vertAlign w:val="subscript"/>
        </w:rPr>
        <w:t>max</w:t>
      </w:r>
      <w:r w:rsidRPr="009B59BC">
        <w:rPr>
          <w:sz w:val="24"/>
          <w:szCs w:val="24"/>
        </w:rPr>
        <w:t xml:space="preserve"> faldt med 32 %, set i forhold til raske personer. For hæmodialysepatienter med i det sene stadie (end stage) af nyresygdom, faldt AUC</w:t>
      </w:r>
      <w:r w:rsidRPr="009B59BC">
        <w:rPr>
          <w:sz w:val="24"/>
          <w:szCs w:val="24"/>
          <w:vertAlign w:val="subscript"/>
        </w:rPr>
        <w:t>0-</w:t>
      </w:r>
      <w:r w:rsidRPr="009B59BC">
        <w:rPr>
          <w:sz w:val="24"/>
          <w:szCs w:val="24"/>
          <w:vertAlign w:val="subscript"/>
        </w:rPr>
        <w:sym w:font="Symbol" w:char="F0A5"/>
      </w:r>
      <w:r w:rsidRPr="009B59BC">
        <w:rPr>
          <w:sz w:val="24"/>
          <w:szCs w:val="24"/>
        </w:rPr>
        <w:t xml:space="preserve"> af total-aprepitant med 42 % og C</w:t>
      </w:r>
      <w:r w:rsidRPr="009B59BC">
        <w:rPr>
          <w:sz w:val="24"/>
          <w:szCs w:val="24"/>
          <w:vertAlign w:val="subscript"/>
        </w:rPr>
        <w:t>max</w:t>
      </w:r>
      <w:r w:rsidRPr="009B59BC">
        <w:rPr>
          <w:sz w:val="24"/>
          <w:szCs w:val="24"/>
        </w:rPr>
        <w:t xml:space="preserve"> faldt med 32 %. Grundet beskedne fald i proteinbindingen for aprepitant hos patienter med nyresygdom påvirkedes AUC for det farmakologisk aktive, ubundne aprepitant ikke signifikant hos patienter med nedsat nyrefunktion sammenlignet med raske personer. Hæmodialyse påbegyndt 4 eller 48 timer efter dosering havde ingen signifikant virkning på farmakokinetikken for aprepitant; mindre end 0,2 % af dosis genfandtes i dialysatet. </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rPr>
      </w:pPr>
      <w:r w:rsidRPr="009B59BC">
        <w:rPr>
          <w:sz w:val="24"/>
          <w:szCs w:val="24"/>
        </w:rPr>
        <w:t>Dosisjustering af Aprepitant "Stada" var ikke nødvendig til patienter med nedsat nyrefunktion eller for hæmodialysepatienter med i det sene stadie (end stage) af nyresygdom.</w:t>
      </w:r>
    </w:p>
    <w:p w:rsidR="009B59BC" w:rsidRPr="009B59BC" w:rsidRDefault="009B59BC" w:rsidP="009B59BC">
      <w:pPr>
        <w:tabs>
          <w:tab w:val="left" w:pos="851"/>
        </w:tabs>
        <w:ind w:left="851"/>
        <w:rPr>
          <w:sz w:val="24"/>
          <w:szCs w:val="24"/>
        </w:rPr>
      </w:pPr>
    </w:p>
    <w:p w:rsidR="00E21DFB" w:rsidRPr="00E21DFB" w:rsidRDefault="00E21DFB" w:rsidP="009B59BC">
      <w:pPr>
        <w:tabs>
          <w:tab w:val="left" w:pos="851"/>
        </w:tabs>
        <w:ind w:left="851"/>
        <w:rPr>
          <w:i/>
          <w:sz w:val="24"/>
          <w:szCs w:val="24"/>
        </w:rPr>
      </w:pPr>
      <w:r w:rsidRPr="00E21DFB">
        <w:rPr>
          <w:i/>
          <w:sz w:val="24"/>
          <w:szCs w:val="24"/>
        </w:rPr>
        <w:t>Pædiatrisk population</w:t>
      </w:r>
    </w:p>
    <w:p w:rsidR="009B59BC" w:rsidRPr="009B59BC" w:rsidRDefault="009B59BC" w:rsidP="009B59BC">
      <w:pPr>
        <w:tabs>
          <w:tab w:val="left" w:pos="851"/>
        </w:tabs>
        <w:ind w:left="851"/>
        <w:rPr>
          <w:sz w:val="24"/>
          <w:szCs w:val="24"/>
        </w:rPr>
      </w:pPr>
      <w:r w:rsidRPr="009B59BC">
        <w:rPr>
          <w:sz w:val="24"/>
          <w:szCs w:val="24"/>
        </w:rPr>
        <w:t>Som en del af et 3-dags regime resulterede dosering af aprepitant-kapsler (125/80/80-mg) hos unge patienter (i alderen 12 til 17 år) i et AUC</w:t>
      </w:r>
      <w:r w:rsidRPr="009B59BC">
        <w:rPr>
          <w:sz w:val="24"/>
          <w:szCs w:val="24"/>
          <w:vertAlign w:val="subscript"/>
        </w:rPr>
        <w:t>0-24t</w:t>
      </w:r>
      <w:r w:rsidRPr="009B59BC">
        <w:rPr>
          <w:sz w:val="24"/>
          <w:szCs w:val="24"/>
        </w:rPr>
        <w:t xml:space="preserve"> på over 17 µg•t/ml på dag 1 med koncentrationer (C</w:t>
      </w:r>
      <w:r w:rsidRPr="009B59BC">
        <w:rPr>
          <w:sz w:val="24"/>
          <w:szCs w:val="24"/>
          <w:vertAlign w:val="subscript"/>
        </w:rPr>
        <w:t>min</w:t>
      </w:r>
      <w:r w:rsidRPr="009B59BC">
        <w:rPr>
          <w:sz w:val="24"/>
          <w:szCs w:val="24"/>
        </w:rPr>
        <w:t>) ved afslutningen af dag 2 og 3 på over 0,4 µg/ml hos størstedelen af patienterne. Den gennemsnitlige peakplasmakoncentration (C</w:t>
      </w:r>
      <w:r w:rsidRPr="009B59BC">
        <w:rPr>
          <w:sz w:val="24"/>
          <w:szCs w:val="24"/>
          <w:vertAlign w:val="subscript"/>
        </w:rPr>
        <w:t>max</w:t>
      </w:r>
      <w:r w:rsidRPr="009B59BC">
        <w:rPr>
          <w:sz w:val="24"/>
          <w:szCs w:val="24"/>
        </w:rPr>
        <w:t>) var cirka 1,3 µg/ml på dag 1, og forekom efter cirka 4 timer. Som en del af et 3-dags regime resulterede dosering af aprepitant pulver til oral suspension (3/2/2-mg/kg) hos patienter i alderen 6 måneder til under 12 år i et AUC</w:t>
      </w:r>
      <w:r w:rsidRPr="009B59BC">
        <w:rPr>
          <w:sz w:val="24"/>
          <w:szCs w:val="24"/>
          <w:vertAlign w:val="subscript"/>
        </w:rPr>
        <w:t>0-24t</w:t>
      </w:r>
      <w:r w:rsidRPr="009B59BC">
        <w:rPr>
          <w:sz w:val="24"/>
          <w:szCs w:val="24"/>
        </w:rPr>
        <w:t xml:space="preserve"> på over 17 µg•t/ml på dag 1 med koncentrationer (Cmin) ved afslutningen af dag 2 og 3 på over 0,1 µg/ml hos størstedelen af patienterne. Den gennemsnitlige peakplasmakoncentration (C</w:t>
      </w:r>
      <w:r w:rsidRPr="009B59BC">
        <w:rPr>
          <w:sz w:val="24"/>
          <w:szCs w:val="24"/>
          <w:vertAlign w:val="subscript"/>
        </w:rPr>
        <w:t>max</w:t>
      </w:r>
      <w:r w:rsidRPr="009B59BC">
        <w:rPr>
          <w:sz w:val="24"/>
          <w:szCs w:val="24"/>
        </w:rPr>
        <w:t>) var cirka 1,2 µg/ml på dag 1, og forekom efter mellem 5 og 7 timer.</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rPr>
      </w:pPr>
      <w:r w:rsidRPr="009B59BC">
        <w:rPr>
          <w:sz w:val="24"/>
          <w:szCs w:val="24"/>
        </w:rPr>
        <w:t>En farmakokinetisk populationsanalyse af aprepitant hos pædiatriske patienter (i alderen 6 måneder til og med 17 år) tyder på, at køn og race har ingen klinisk betydningsfuld effekt på aprepitants farmakokinetik.</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u w:val="single"/>
        </w:rPr>
      </w:pPr>
      <w:r w:rsidRPr="009B59BC">
        <w:rPr>
          <w:sz w:val="24"/>
          <w:szCs w:val="24"/>
          <w:u w:val="single"/>
        </w:rPr>
        <w:t xml:space="preserve">Relation mellem koncentration og effekt </w:t>
      </w:r>
    </w:p>
    <w:p w:rsidR="009B59BC" w:rsidRPr="009B59BC" w:rsidRDefault="009B59BC" w:rsidP="00E21DFB">
      <w:pPr>
        <w:tabs>
          <w:tab w:val="left" w:pos="851"/>
        </w:tabs>
        <w:ind w:left="851"/>
        <w:rPr>
          <w:sz w:val="24"/>
          <w:szCs w:val="24"/>
        </w:rPr>
      </w:pPr>
      <w:r w:rsidRPr="009B59BC">
        <w:rPr>
          <w:sz w:val="24"/>
          <w:szCs w:val="24"/>
        </w:rPr>
        <w:t>Ved brug af en høj-specifik NK</w:t>
      </w:r>
      <w:r w:rsidRPr="009B59BC">
        <w:rPr>
          <w:sz w:val="24"/>
          <w:szCs w:val="24"/>
          <w:vertAlign w:val="subscript"/>
        </w:rPr>
        <w:t>1</w:t>
      </w:r>
      <w:r w:rsidRPr="009B59BC">
        <w:rPr>
          <w:sz w:val="24"/>
          <w:szCs w:val="24"/>
        </w:rPr>
        <w:t>-receptortracer har positron emissionstomografi (PET) undersøgelser i raske unge mænd vist, at aprepitant penetrerer hjernebarrieren og sætter sig på NK</w:t>
      </w:r>
      <w:r w:rsidRPr="009B59BC">
        <w:rPr>
          <w:sz w:val="24"/>
          <w:szCs w:val="24"/>
          <w:vertAlign w:val="subscript"/>
        </w:rPr>
        <w:t>1</w:t>
      </w:r>
      <w:r w:rsidRPr="009B59BC">
        <w:rPr>
          <w:sz w:val="24"/>
          <w:szCs w:val="24"/>
        </w:rPr>
        <w:t>-receptoren på en dosis- og plasmakoncentrationsafhængig måde. Plasmakoncentrationer af aprepitant opnået efter 3- dages behandlingsregime med Aprepitant "Stada" hos voksne anses for at optage mere end 95 % af hjernens NK</w:t>
      </w:r>
      <w:r w:rsidRPr="009B59BC">
        <w:rPr>
          <w:sz w:val="24"/>
          <w:szCs w:val="24"/>
          <w:vertAlign w:val="subscript"/>
        </w:rPr>
        <w:t>1</w:t>
      </w:r>
      <w:r w:rsidRPr="009B59BC">
        <w:rPr>
          <w:sz w:val="24"/>
          <w:szCs w:val="24"/>
        </w:rPr>
        <w:t>-receptorer.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B59BC" w:rsidRPr="009B59BC" w:rsidRDefault="009B59BC" w:rsidP="009B59BC">
      <w:pPr>
        <w:tabs>
          <w:tab w:val="left" w:pos="851"/>
        </w:tabs>
        <w:ind w:left="851"/>
        <w:rPr>
          <w:sz w:val="24"/>
          <w:szCs w:val="24"/>
        </w:rPr>
      </w:pPr>
      <w:r w:rsidRPr="009B59BC">
        <w:rPr>
          <w:sz w:val="24"/>
          <w:szCs w:val="24"/>
        </w:rPr>
        <w:t>Prækliniske data viser ingen speciel risiko for mennesker vurderet ud fra konventionelle studier af toksicitet efter enkelt dosis og gentagne doser, genotoksicitet, karcinogenicitet samt reproduktions- og udviklingstoksicitet. Det bør imidlertid anføres, at systemisk eksponering til gnavere var den samme eller lavere end terapeutisk eksponering til mennesker ved 125 mg+80  mg dosering. Selvom der ikke sås bivirkninger i reproduktionsundersøgelser med humane doser, er optagelsen hos dyr ikke tilstrækkelig til at udføre en sikker risikovurdering for mennesker.</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rPr>
      </w:pPr>
      <w:r w:rsidRPr="009B59BC">
        <w:rPr>
          <w:sz w:val="24"/>
          <w:szCs w:val="24"/>
        </w:rPr>
        <w:t xml:space="preserve">I et toksicitetsstudie med unge rotter, som blev behandlet fra dag 10 til dag 63 postnatalt, førte aprepitant til en tidligere vaginalåbning hos hunner fra 250 mg/kg to gange </w:t>
      </w:r>
      <w:r w:rsidR="00FA3128">
        <w:rPr>
          <w:sz w:val="24"/>
          <w:szCs w:val="24"/>
        </w:rPr>
        <w:t>daglig</w:t>
      </w:r>
      <w:r w:rsidRPr="009B59BC">
        <w:rPr>
          <w:sz w:val="24"/>
          <w:szCs w:val="24"/>
        </w:rPr>
        <w:t xml:space="preserve"> og til en forsinket præputial separation hos hanner fra 10 mg/kg to gange </w:t>
      </w:r>
      <w:r w:rsidR="00FA3128">
        <w:rPr>
          <w:sz w:val="24"/>
          <w:szCs w:val="24"/>
        </w:rPr>
        <w:t>daglig</w:t>
      </w:r>
      <w:r w:rsidRPr="009B59BC">
        <w:rPr>
          <w:sz w:val="24"/>
          <w:szCs w:val="24"/>
        </w:rPr>
        <w:t xml:space="preserve">. Der var </w:t>
      </w:r>
      <w:r w:rsidRPr="009B59BC">
        <w:rPr>
          <w:sz w:val="24"/>
          <w:szCs w:val="24"/>
        </w:rPr>
        <w:lastRenderedPageBreak/>
        <w:t>ingen margin for klinisk 44 relevant eksponering. Der var ingen behandlingsrelateret indvirkning på parring, fertilitet eller embryonal- og fosteroverlevelse og ingen patologiske ændringer i de reproduktive organer. I et toksicitetsstudie med unge hunde, som blev behandlet fra dag 14 til dag 42 postnatalt, blev der set reduceret testikelvægt og størrelse af Leydig-celler hos hanner ved 6 mg/kg/dag, og øget uterusvægt, hypertrofi af livmoderen og livmoderhalsen og ødemer i det vaginale væv blev set hos hunner fra 4 mg/kg/dag. Der var ingen margin for klinisk relevant eksponering for aprepitant. Disse fund anses ikke for at være kliniske relevante ved kortidsbehandling i henhold til det anbefalede dosisregime.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u w:val="single"/>
        </w:rPr>
      </w:pPr>
      <w:r w:rsidRPr="009B59BC">
        <w:rPr>
          <w:sz w:val="24"/>
          <w:szCs w:val="24"/>
          <w:u w:val="single"/>
        </w:rPr>
        <w:t xml:space="preserve">Kapselindhold </w:t>
      </w:r>
    </w:p>
    <w:p w:rsidR="009B59BC" w:rsidRPr="009B59BC" w:rsidRDefault="009B59BC" w:rsidP="009B59BC">
      <w:pPr>
        <w:tabs>
          <w:tab w:val="left" w:pos="851"/>
        </w:tabs>
        <w:ind w:left="851"/>
        <w:rPr>
          <w:sz w:val="24"/>
          <w:szCs w:val="24"/>
        </w:rPr>
      </w:pPr>
      <w:r w:rsidRPr="009B59BC">
        <w:rPr>
          <w:sz w:val="24"/>
          <w:szCs w:val="24"/>
        </w:rPr>
        <w:t>Hypromellose</w:t>
      </w:r>
    </w:p>
    <w:p w:rsidR="009B59BC" w:rsidRPr="009B59BC" w:rsidRDefault="009B59BC" w:rsidP="009B59BC">
      <w:pPr>
        <w:tabs>
          <w:tab w:val="left" w:pos="851"/>
        </w:tabs>
        <w:ind w:left="851"/>
        <w:rPr>
          <w:sz w:val="24"/>
          <w:szCs w:val="24"/>
        </w:rPr>
      </w:pPr>
      <w:r w:rsidRPr="009B59BC">
        <w:rPr>
          <w:sz w:val="24"/>
          <w:szCs w:val="24"/>
        </w:rPr>
        <w:t>Poloxamer</w:t>
      </w:r>
    </w:p>
    <w:p w:rsidR="009B59BC" w:rsidRPr="009B59BC" w:rsidRDefault="009B59BC" w:rsidP="009B59BC">
      <w:pPr>
        <w:tabs>
          <w:tab w:val="left" w:pos="851"/>
        </w:tabs>
        <w:ind w:left="851"/>
        <w:rPr>
          <w:sz w:val="24"/>
          <w:szCs w:val="24"/>
        </w:rPr>
      </w:pPr>
      <w:r w:rsidRPr="009B59BC">
        <w:rPr>
          <w:sz w:val="24"/>
          <w:szCs w:val="24"/>
        </w:rPr>
        <w:t xml:space="preserve">Saccharose </w:t>
      </w:r>
    </w:p>
    <w:p w:rsidR="009B59BC" w:rsidRPr="009B59BC" w:rsidRDefault="009B59BC" w:rsidP="009B59BC">
      <w:pPr>
        <w:tabs>
          <w:tab w:val="left" w:pos="851"/>
        </w:tabs>
        <w:ind w:left="851"/>
        <w:rPr>
          <w:sz w:val="24"/>
          <w:szCs w:val="24"/>
        </w:rPr>
      </w:pPr>
      <w:r w:rsidRPr="009B59BC">
        <w:rPr>
          <w:sz w:val="24"/>
          <w:szCs w:val="24"/>
        </w:rPr>
        <w:t>Cellulose, mikrokrystallinsk</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u w:val="single"/>
        </w:rPr>
      </w:pPr>
      <w:r w:rsidRPr="009B59BC">
        <w:rPr>
          <w:sz w:val="24"/>
          <w:szCs w:val="24"/>
          <w:u w:val="single"/>
        </w:rPr>
        <w:t xml:space="preserve">Kapselskal (125 mg) </w:t>
      </w:r>
    </w:p>
    <w:p w:rsidR="009B59BC" w:rsidRPr="009B59BC" w:rsidRDefault="009B59BC" w:rsidP="009B59BC">
      <w:pPr>
        <w:tabs>
          <w:tab w:val="left" w:pos="851"/>
        </w:tabs>
        <w:ind w:left="851"/>
        <w:rPr>
          <w:sz w:val="24"/>
          <w:szCs w:val="24"/>
        </w:rPr>
      </w:pPr>
      <w:r w:rsidRPr="009B59BC">
        <w:rPr>
          <w:sz w:val="24"/>
          <w:szCs w:val="24"/>
        </w:rPr>
        <w:t>Gelatine</w:t>
      </w:r>
    </w:p>
    <w:p w:rsidR="009B59BC" w:rsidRPr="009B59BC" w:rsidRDefault="009B59BC" w:rsidP="009B59BC">
      <w:pPr>
        <w:tabs>
          <w:tab w:val="left" w:pos="851"/>
        </w:tabs>
        <w:ind w:left="851"/>
        <w:rPr>
          <w:sz w:val="24"/>
          <w:szCs w:val="24"/>
        </w:rPr>
      </w:pPr>
      <w:r w:rsidRPr="009B59BC">
        <w:rPr>
          <w:sz w:val="24"/>
          <w:szCs w:val="24"/>
        </w:rPr>
        <w:t>Natriumlaurylsulfat (E487)</w:t>
      </w:r>
    </w:p>
    <w:p w:rsidR="009B59BC" w:rsidRPr="009B59BC" w:rsidRDefault="009B59BC" w:rsidP="009B59BC">
      <w:pPr>
        <w:tabs>
          <w:tab w:val="left" w:pos="851"/>
        </w:tabs>
        <w:ind w:left="851"/>
        <w:rPr>
          <w:sz w:val="24"/>
          <w:szCs w:val="24"/>
        </w:rPr>
      </w:pPr>
      <w:r w:rsidRPr="009B59BC">
        <w:rPr>
          <w:sz w:val="24"/>
          <w:szCs w:val="24"/>
        </w:rPr>
        <w:t>Titandioxid (E171)</w:t>
      </w:r>
    </w:p>
    <w:p w:rsidR="009B59BC" w:rsidRPr="009B59BC" w:rsidRDefault="009B59BC" w:rsidP="009B59BC">
      <w:pPr>
        <w:tabs>
          <w:tab w:val="left" w:pos="851"/>
        </w:tabs>
        <w:ind w:left="851"/>
        <w:rPr>
          <w:sz w:val="24"/>
          <w:szCs w:val="24"/>
        </w:rPr>
      </w:pPr>
      <w:r w:rsidRPr="009B59BC">
        <w:rPr>
          <w:sz w:val="24"/>
          <w:szCs w:val="24"/>
        </w:rPr>
        <w:t>Rød jernoxid (E172)</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u w:val="single"/>
        </w:rPr>
      </w:pPr>
      <w:r w:rsidRPr="009B59BC">
        <w:rPr>
          <w:sz w:val="24"/>
          <w:szCs w:val="24"/>
          <w:u w:val="single"/>
        </w:rPr>
        <w:t xml:space="preserve">Kapselskal (80 mg) </w:t>
      </w:r>
    </w:p>
    <w:p w:rsidR="009B59BC" w:rsidRPr="009B59BC" w:rsidRDefault="009B59BC" w:rsidP="009B59BC">
      <w:pPr>
        <w:tabs>
          <w:tab w:val="left" w:pos="851"/>
        </w:tabs>
        <w:ind w:left="851"/>
        <w:rPr>
          <w:sz w:val="24"/>
          <w:szCs w:val="24"/>
        </w:rPr>
      </w:pPr>
      <w:r w:rsidRPr="009B59BC">
        <w:rPr>
          <w:sz w:val="24"/>
          <w:szCs w:val="24"/>
        </w:rPr>
        <w:t>Gelatine</w:t>
      </w:r>
    </w:p>
    <w:p w:rsidR="009B59BC" w:rsidRPr="009B59BC" w:rsidRDefault="009B59BC" w:rsidP="009B59BC">
      <w:pPr>
        <w:tabs>
          <w:tab w:val="left" w:pos="851"/>
        </w:tabs>
        <w:ind w:left="851"/>
        <w:rPr>
          <w:sz w:val="24"/>
          <w:szCs w:val="24"/>
        </w:rPr>
      </w:pPr>
      <w:r w:rsidRPr="009B59BC">
        <w:rPr>
          <w:sz w:val="24"/>
          <w:szCs w:val="24"/>
        </w:rPr>
        <w:t>Natriumlaurylsulfat (E487)</w:t>
      </w:r>
    </w:p>
    <w:p w:rsidR="009B59BC" w:rsidRPr="009B59BC" w:rsidRDefault="009B59BC" w:rsidP="009B59BC">
      <w:pPr>
        <w:tabs>
          <w:tab w:val="left" w:pos="851"/>
        </w:tabs>
        <w:ind w:left="851"/>
        <w:rPr>
          <w:sz w:val="24"/>
          <w:szCs w:val="24"/>
        </w:rPr>
      </w:pPr>
      <w:r w:rsidRPr="009B59BC">
        <w:rPr>
          <w:sz w:val="24"/>
          <w:szCs w:val="24"/>
        </w:rPr>
        <w:t>Titandioxid (E171)</w:t>
      </w:r>
    </w:p>
    <w:p w:rsidR="009B59BC" w:rsidRPr="009B59BC" w:rsidRDefault="009B59BC" w:rsidP="009B59BC">
      <w:pPr>
        <w:tabs>
          <w:tab w:val="left" w:pos="851"/>
        </w:tabs>
        <w:ind w:left="851"/>
        <w:rPr>
          <w:sz w:val="24"/>
          <w:szCs w:val="24"/>
        </w:rPr>
      </w:pPr>
    </w:p>
    <w:p w:rsidR="009B59BC" w:rsidRPr="009B59BC" w:rsidRDefault="009B59BC" w:rsidP="009B59BC">
      <w:pPr>
        <w:tabs>
          <w:tab w:val="left" w:pos="851"/>
        </w:tabs>
        <w:ind w:left="851"/>
        <w:rPr>
          <w:sz w:val="24"/>
          <w:szCs w:val="24"/>
          <w:u w:val="single"/>
        </w:rPr>
      </w:pPr>
      <w:r w:rsidRPr="009B59BC">
        <w:rPr>
          <w:sz w:val="24"/>
          <w:szCs w:val="24"/>
          <w:u w:val="single"/>
        </w:rPr>
        <w:t xml:space="preserve">Prægeblæk </w:t>
      </w:r>
    </w:p>
    <w:p w:rsidR="009B59BC" w:rsidRPr="009B59BC" w:rsidRDefault="00B82493" w:rsidP="009B59BC">
      <w:pPr>
        <w:tabs>
          <w:tab w:val="left" w:pos="851"/>
        </w:tabs>
        <w:ind w:left="851"/>
        <w:rPr>
          <w:sz w:val="24"/>
          <w:szCs w:val="24"/>
        </w:rPr>
      </w:pPr>
      <w:r>
        <w:rPr>
          <w:sz w:val="24"/>
          <w:szCs w:val="24"/>
        </w:rPr>
        <w:t>Shellac</w:t>
      </w:r>
    </w:p>
    <w:p w:rsidR="009B59BC" w:rsidRPr="009B59BC" w:rsidRDefault="009B59BC" w:rsidP="009B59BC">
      <w:pPr>
        <w:tabs>
          <w:tab w:val="left" w:pos="851"/>
        </w:tabs>
        <w:ind w:left="851"/>
        <w:rPr>
          <w:sz w:val="24"/>
          <w:szCs w:val="24"/>
        </w:rPr>
      </w:pPr>
      <w:r w:rsidRPr="009B59BC">
        <w:rPr>
          <w:sz w:val="24"/>
          <w:szCs w:val="24"/>
        </w:rPr>
        <w:t>Sort jernoxid (E172)</w:t>
      </w:r>
    </w:p>
    <w:p w:rsidR="009B59BC" w:rsidRPr="009B59BC" w:rsidRDefault="009B59BC" w:rsidP="009B59BC">
      <w:pPr>
        <w:tabs>
          <w:tab w:val="left" w:pos="851"/>
        </w:tabs>
        <w:ind w:left="851"/>
        <w:rPr>
          <w:sz w:val="24"/>
          <w:szCs w:val="24"/>
        </w:rPr>
      </w:pPr>
      <w:r w:rsidRPr="009B59BC">
        <w:rPr>
          <w:sz w:val="24"/>
          <w:szCs w:val="24"/>
        </w:rPr>
        <w:t>Propylenglycol (E1520)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9B59BC"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9B59BC">
        <w:rPr>
          <w:sz w:val="24"/>
          <w:szCs w:val="24"/>
        </w:rPr>
        <w:t>30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B59BC" w:rsidRPr="009B59BC" w:rsidRDefault="009B59BC" w:rsidP="009B59BC">
      <w:pPr>
        <w:tabs>
          <w:tab w:val="left" w:pos="851"/>
        </w:tabs>
        <w:ind w:left="851"/>
        <w:rPr>
          <w:sz w:val="24"/>
          <w:szCs w:val="24"/>
        </w:rPr>
      </w:pPr>
      <w:r w:rsidRPr="009B59BC">
        <w:rPr>
          <w:sz w:val="24"/>
          <w:szCs w:val="24"/>
        </w:rPr>
        <w:t>Opbevares i den original</w:t>
      </w:r>
      <w:r>
        <w:rPr>
          <w:sz w:val="24"/>
          <w:szCs w:val="24"/>
        </w:rPr>
        <w:t>e</w:t>
      </w:r>
      <w:r w:rsidRPr="009B59BC">
        <w:rPr>
          <w:sz w:val="24"/>
          <w:szCs w:val="24"/>
        </w:rPr>
        <w:t xml:space="preserve"> emballage for at beskytte mod fugt.</w:t>
      </w:r>
    </w:p>
    <w:p w:rsidR="00BD46A0" w:rsidRDefault="00BD46A0">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A64291" w:rsidRPr="00A64291" w:rsidRDefault="00A64291" w:rsidP="00A64291">
      <w:pPr>
        <w:tabs>
          <w:tab w:val="left" w:pos="851"/>
        </w:tabs>
        <w:ind w:left="851"/>
        <w:rPr>
          <w:sz w:val="24"/>
          <w:szCs w:val="24"/>
        </w:rPr>
      </w:pPr>
      <w:r w:rsidRPr="00A64291">
        <w:rPr>
          <w:sz w:val="24"/>
          <w:szCs w:val="24"/>
        </w:rPr>
        <w:t>OPA/ALU/PVC</w:t>
      </w:r>
      <w:r w:rsidR="00BD46A0">
        <w:rPr>
          <w:sz w:val="24"/>
          <w:szCs w:val="24"/>
        </w:rPr>
        <w:t>-</w:t>
      </w:r>
      <w:r w:rsidRPr="00A64291">
        <w:rPr>
          <w:sz w:val="24"/>
          <w:szCs w:val="24"/>
        </w:rPr>
        <w:t>Aluminiumfolieblister</w:t>
      </w:r>
      <w:r w:rsidR="00BD46A0">
        <w:rPr>
          <w:sz w:val="24"/>
          <w:szCs w:val="24"/>
        </w:rPr>
        <w:t>, i æske,</w:t>
      </w:r>
      <w:r w:rsidRPr="00A64291">
        <w:rPr>
          <w:sz w:val="24"/>
          <w:szCs w:val="24"/>
        </w:rPr>
        <w:t xml:space="preserve"> med en indlægsseddel.</w:t>
      </w:r>
    </w:p>
    <w:p w:rsidR="00A64291" w:rsidRPr="00A64291" w:rsidRDefault="00A64291" w:rsidP="00A64291">
      <w:pPr>
        <w:tabs>
          <w:tab w:val="left" w:pos="851"/>
        </w:tabs>
        <w:ind w:left="851"/>
        <w:rPr>
          <w:sz w:val="24"/>
          <w:szCs w:val="24"/>
        </w:rPr>
      </w:pPr>
    </w:p>
    <w:p w:rsidR="00A64291" w:rsidRPr="00C541B4" w:rsidRDefault="00BD46A0" w:rsidP="00A64291">
      <w:pPr>
        <w:tabs>
          <w:tab w:val="left" w:pos="851"/>
        </w:tabs>
        <w:ind w:left="851"/>
        <w:rPr>
          <w:sz w:val="24"/>
          <w:szCs w:val="24"/>
          <w:u w:val="single"/>
        </w:rPr>
      </w:pPr>
      <w:r w:rsidRPr="00C541B4">
        <w:rPr>
          <w:sz w:val="24"/>
          <w:szCs w:val="24"/>
          <w:u w:val="single"/>
        </w:rPr>
        <w:t>Pakningsstørrelser</w:t>
      </w:r>
    </w:p>
    <w:p w:rsidR="00BD46A0" w:rsidRDefault="00BD46A0" w:rsidP="00A64291">
      <w:pPr>
        <w:tabs>
          <w:tab w:val="left" w:pos="851"/>
        </w:tabs>
        <w:ind w:left="851"/>
        <w:rPr>
          <w:sz w:val="24"/>
          <w:szCs w:val="24"/>
        </w:rPr>
      </w:pPr>
    </w:p>
    <w:p w:rsidR="00BD46A0" w:rsidRPr="00C541B4" w:rsidRDefault="00C541B4" w:rsidP="00A64291">
      <w:pPr>
        <w:tabs>
          <w:tab w:val="left" w:pos="851"/>
        </w:tabs>
        <w:ind w:left="851"/>
        <w:rPr>
          <w:i/>
          <w:sz w:val="24"/>
          <w:szCs w:val="24"/>
        </w:rPr>
      </w:pPr>
      <w:r w:rsidRPr="00C541B4">
        <w:rPr>
          <w:i/>
          <w:sz w:val="24"/>
          <w:szCs w:val="24"/>
        </w:rPr>
        <w:t>125 mg</w:t>
      </w:r>
    </w:p>
    <w:p w:rsidR="00A64291" w:rsidRPr="00A64291" w:rsidRDefault="00F72476" w:rsidP="00C541B4">
      <w:pPr>
        <w:tabs>
          <w:tab w:val="left" w:pos="851"/>
        </w:tabs>
        <w:ind w:left="851"/>
        <w:rPr>
          <w:sz w:val="24"/>
          <w:szCs w:val="24"/>
        </w:rPr>
      </w:pPr>
      <w:r>
        <w:rPr>
          <w:sz w:val="24"/>
          <w:szCs w:val="24"/>
        </w:rPr>
        <w:t xml:space="preserve">1 og 5 blistre, hvert </w:t>
      </w:r>
      <w:r w:rsidR="0064674F">
        <w:rPr>
          <w:sz w:val="24"/>
          <w:szCs w:val="24"/>
        </w:rPr>
        <w:t xml:space="preserve">med </w:t>
      </w:r>
      <w:r w:rsidR="00A64291" w:rsidRPr="00A64291">
        <w:rPr>
          <w:sz w:val="24"/>
          <w:szCs w:val="24"/>
        </w:rPr>
        <w:t>en 125 mg kapsel</w:t>
      </w:r>
      <w:r w:rsidR="0064674F">
        <w:rPr>
          <w:sz w:val="24"/>
          <w:szCs w:val="24"/>
        </w:rPr>
        <w:t>.</w:t>
      </w:r>
    </w:p>
    <w:p w:rsidR="00A64291" w:rsidRPr="00A64291" w:rsidRDefault="00A64291" w:rsidP="00A64291">
      <w:pPr>
        <w:tabs>
          <w:tab w:val="left" w:pos="851"/>
        </w:tabs>
        <w:ind w:left="851"/>
        <w:rPr>
          <w:sz w:val="24"/>
          <w:szCs w:val="24"/>
        </w:rPr>
      </w:pPr>
    </w:p>
    <w:p w:rsidR="00A64291" w:rsidRPr="00C541B4" w:rsidRDefault="00C541B4" w:rsidP="00A64291">
      <w:pPr>
        <w:tabs>
          <w:tab w:val="left" w:pos="851"/>
        </w:tabs>
        <w:ind w:left="851"/>
        <w:rPr>
          <w:i/>
          <w:sz w:val="24"/>
          <w:szCs w:val="24"/>
        </w:rPr>
      </w:pPr>
      <w:r w:rsidRPr="00C541B4">
        <w:rPr>
          <w:i/>
          <w:sz w:val="24"/>
          <w:szCs w:val="24"/>
        </w:rPr>
        <w:t>80 mg</w:t>
      </w:r>
    </w:p>
    <w:p w:rsidR="00994A5A" w:rsidRPr="00A64291" w:rsidRDefault="00994A5A" w:rsidP="00994A5A">
      <w:pPr>
        <w:tabs>
          <w:tab w:val="left" w:pos="851"/>
        </w:tabs>
        <w:ind w:left="851"/>
        <w:rPr>
          <w:sz w:val="24"/>
          <w:szCs w:val="24"/>
        </w:rPr>
      </w:pPr>
      <w:r>
        <w:rPr>
          <w:sz w:val="24"/>
          <w:szCs w:val="24"/>
        </w:rPr>
        <w:t xml:space="preserve">1 og 5 blistre, hvert med </w:t>
      </w:r>
      <w:r w:rsidRPr="00A64291">
        <w:rPr>
          <w:sz w:val="24"/>
          <w:szCs w:val="24"/>
        </w:rPr>
        <w:t xml:space="preserve">en </w:t>
      </w:r>
      <w:r>
        <w:rPr>
          <w:sz w:val="24"/>
          <w:szCs w:val="24"/>
        </w:rPr>
        <w:t>80</w:t>
      </w:r>
      <w:r w:rsidRPr="00A64291">
        <w:rPr>
          <w:sz w:val="24"/>
          <w:szCs w:val="24"/>
        </w:rPr>
        <w:t xml:space="preserve"> mg kapsel</w:t>
      </w:r>
      <w:r>
        <w:rPr>
          <w:sz w:val="24"/>
          <w:szCs w:val="24"/>
        </w:rPr>
        <w:t>.</w:t>
      </w:r>
    </w:p>
    <w:p w:rsidR="00A64291" w:rsidRPr="00A64291" w:rsidRDefault="00A64291" w:rsidP="00C541B4">
      <w:pPr>
        <w:tabs>
          <w:tab w:val="left" w:pos="851"/>
        </w:tabs>
        <w:ind w:left="851"/>
        <w:rPr>
          <w:sz w:val="24"/>
          <w:szCs w:val="24"/>
        </w:rPr>
      </w:pPr>
      <w:r w:rsidRPr="00A64291">
        <w:rPr>
          <w:sz w:val="24"/>
          <w:szCs w:val="24"/>
        </w:rPr>
        <w:t>2-dag</w:t>
      </w:r>
      <w:r w:rsidR="001F18CA">
        <w:rPr>
          <w:sz w:val="24"/>
          <w:szCs w:val="24"/>
        </w:rPr>
        <w:t>e</w:t>
      </w:r>
      <w:r w:rsidRPr="00A64291">
        <w:rPr>
          <w:sz w:val="24"/>
          <w:szCs w:val="24"/>
        </w:rPr>
        <w:t xml:space="preserve">s behandlingspakke </w:t>
      </w:r>
      <w:r w:rsidR="00994A5A">
        <w:rPr>
          <w:sz w:val="24"/>
          <w:szCs w:val="24"/>
        </w:rPr>
        <w:t>med</w:t>
      </w:r>
      <w:r w:rsidRPr="00A64291">
        <w:rPr>
          <w:sz w:val="24"/>
          <w:szCs w:val="24"/>
        </w:rPr>
        <w:t xml:space="preserve"> to 80 mg kapsler</w:t>
      </w:r>
      <w:r w:rsidR="00994A5A">
        <w:rPr>
          <w:sz w:val="24"/>
          <w:szCs w:val="24"/>
        </w:rPr>
        <w:t>.</w:t>
      </w:r>
    </w:p>
    <w:p w:rsidR="00A64291" w:rsidRPr="00A64291" w:rsidRDefault="00A64291" w:rsidP="00A64291">
      <w:pPr>
        <w:tabs>
          <w:tab w:val="left" w:pos="851"/>
        </w:tabs>
        <w:ind w:left="851"/>
        <w:rPr>
          <w:sz w:val="24"/>
          <w:szCs w:val="24"/>
        </w:rPr>
      </w:pPr>
    </w:p>
    <w:p w:rsidR="00A64291" w:rsidRPr="00C541B4" w:rsidRDefault="00C541B4" w:rsidP="00A64291">
      <w:pPr>
        <w:tabs>
          <w:tab w:val="left" w:pos="851"/>
        </w:tabs>
        <w:ind w:left="851"/>
        <w:rPr>
          <w:i/>
          <w:sz w:val="24"/>
          <w:szCs w:val="24"/>
        </w:rPr>
      </w:pPr>
      <w:r w:rsidRPr="00C541B4">
        <w:rPr>
          <w:i/>
          <w:sz w:val="24"/>
          <w:szCs w:val="24"/>
        </w:rPr>
        <w:t>125+80 mg</w:t>
      </w:r>
    </w:p>
    <w:p w:rsidR="00A64291" w:rsidRPr="00A64291" w:rsidRDefault="00994A5A" w:rsidP="00C541B4">
      <w:pPr>
        <w:tabs>
          <w:tab w:val="left" w:pos="851"/>
        </w:tabs>
        <w:ind w:left="851"/>
        <w:rPr>
          <w:sz w:val="24"/>
          <w:szCs w:val="24"/>
        </w:rPr>
      </w:pPr>
      <w:r>
        <w:rPr>
          <w:sz w:val="24"/>
          <w:szCs w:val="24"/>
        </w:rPr>
        <w:t>3-dag</w:t>
      </w:r>
      <w:r w:rsidR="001F18CA">
        <w:rPr>
          <w:sz w:val="24"/>
          <w:szCs w:val="24"/>
        </w:rPr>
        <w:t>e</w:t>
      </w:r>
      <w:r>
        <w:rPr>
          <w:sz w:val="24"/>
          <w:szCs w:val="24"/>
        </w:rPr>
        <w:t xml:space="preserve">s behandlingspakke med </w:t>
      </w:r>
      <w:r w:rsidR="00A64291" w:rsidRPr="00A64291">
        <w:rPr>
          <w:sz w:val="24"/>
          <w:szCs w:val="24"/>
        </w:rPr>
        <w:t>en 125 mg kapsel og to 80 mg kapsler.</w:t>
      </w:r>
    </w:p>
    <w:p w:rsidR="00A64291" w:rsidRPr="00A64291" w:rsidRDefault="00A64291" w:rsidP="00A64291">
      <w:pPr>
        <w:tabs>
          <w:tab w:val="left" w:pos="851"/>
        </w:tabs>
        <w:ind w:left="851"/>
        <w:rPr>
          <w:sz w:val="24"/>
          <w:szCs w:val="24"/>
        </w:rPr>
      </w:pPr>
    </w:p>
    <w:p w:rsidR="00A64291" w:rsidRPr="00A64291" w:rsidRDefault="00A64291" w:rsidP="00A64291">
      <w:pPr>
        <w:tabs>
          <w:tab w:val="left" w:pos="851"/>
        </w:tabs>
        <w:ind w:left="851"/>
        <w:rPr>
          <w:sz w:val="24"/>
          <w:szCs w:val="24"/>
        </w:rPr>
      </w:pPr>
      <w:r w:rsidRPr="00A64291">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64291" w:rsidRPr="00A64291" w:rsidRDefault="00A64291" w:rsidP="00A64291">
      <w:pPr>
        <w:tabs>
          <w:tab w:val="left" w:pos="851"/>
        </w:tabs>
        <w:ind w:left="851"/>
        <w:jc w:val="both"/>
        <w:rPr>
          <w:sz w:val="24"/>
          <w:szCs w:val="24"/>
        </w:rPr>
      </w:pPr>
      <w:r w:rsidRPr="00A64291">
        <w:rPr>
          <w:sz w:val="24"/>
          <w:szCs w:val="24"/>
        </w:rPr>
        <w:t>Ingen særlige forholdsregler ved bortskaffelse.</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64291" w:rsidRPr="004A316D" w:rsidRDefault="00A64291" w:rsidP="00A64291">
      <w:pPr>
        <w:tabs>
          <w:tab w:val="left" w:pos="851"/>
        </w:tabs>
        <w:ind w:left="851"/>
        <w:rPr>
          <w:sz w:val="24"/>
          <w:szCs w:val="24"/>
        </w:rPr>
      </w:pPr>
      <w:r w:rsidRPr="004A316D">
        <w:rPr>
          <w:sz w:val="24"/>
          <w:szCs w:val="24"/>
        </w:rPr>
        <w:t>Stada Arzneimittel AG</w:t>
      </w:r>
    </w:p>
    <w:p w:rsidR="00A64291" w:rsidRPr="004A316D" w:rsidRDefault="00A64291" w:rsidP="00A64291">
      <w:pPr>
        <w:tabs>
          <w:tab w:val="left" w:pos="851"/>
        </w:tabs>
        <w:ind w:left="851"/>
        <w:rPr>
          <w:sz w:val="24"/>
          <w:szCs w:val="24"/>
        </w:rPr>
      </w:pPr>
      <w:r w:rsidRPr="004A316D">
        <w:rPr>
          <w:sz w:val="24"/>
          <w:szCs w:val="24"/>
        </w:rPr>
        <w:t>Stadastrasse 2-18</w:t>
      </w:r>
    </w:p>
    <w:p w:rsidR="00A64291" w:rsidRPr="004A316D" w:rsidRDefault="00A64291" w:rsidP="00A64291">
      <w:pPr>
        <w:tabs>
          <w:tab w:val="left" w:pos="851"/>
        </w:tabs>
        <w:ind w:left="851"/>
        <w:rPr>
          <w:sz w:val="24"/>
          <w:szCs w:val="24"/>
        </w:rPr>
      </w:pPr>
      <w:r w:rsidRPr="004A316D">
        <w:rPr>
          <w:sz w:val="24"/>
          <w:szCs w:val="24"/>
        </w:rPr>
        <w:t>61118 Bad Vilbel</w:t>
      </w:r>
    </w:p>
    <w:p w:rsidR="00A64291" w:rsidRPr="004A316D" w:rsidRDefault="00A64291" w:rsidP="00A64291">
      <w:pPr>
        <w:tabs>
          <w:tab w:val="left" w:pos="851"/>
        </w:tabs>
        <w:ind w:left="851"/>
        <w:rPr>
          <w:sz w:val="24"/>
          <w:szCs w:val="24"/>
        </w:rPr>
      </w:pPr>
      <w:r w:rsidRPr="004A316D">
        <w:rPr>
          <w:sz w:val="24"/>
          <w:szCs w:val="24"/>
        </w:rPr>
        <w:t>Tyskland</w:t>
      </w:r>
    </w:p>
    <w:p w:rsidR="00A64291" w:rsidRPr="00997597" w:rsidRDefault="00A64291" w:rsidP="00A64291">
      <w:pPr>
        <w:rPr>
          <w:spacing w:val="-3"/>
        </w:rPr>
      </w:pPr>
    </w:p>
    <w:p w:rsidR="00A64291" w:rsidRPr="004A316D" w:rsidRDefault="00A64291" w:rsidP="00A64291">
      <w:pPr>
        <w:widowControl w:val="0"/>
        <w:ind w:left="851"/>
        <w:rPr>
          <w:b/>
          <w:sz w:val="24"/>
          <w:szCs w:val="24"/>
        </w:rPr>
      </w:pPr>
      <w:r w:rsidRPr="004A316D">
        <w:rPr>
          <w:b/>
          <w:sz w:val="24"/>
          <w:szCs w:val="24"/>
        </w:rPr>
        <w:t>Repræsentant</w:t>
      </w:r>
    </w:p>
    <w:p w:rsidR="00A64291" w:rsidRPr="004A316D" w:rsidRDefault="00A64291" w:rsidP="00A64291">
      <w:pPr>
        <w:widowControl w:val="0"/>
        <w:ind w:left="851"/>
        <w:rPr>
          <w:sz w:val="24"/>
          <w:szCs w:val="24"/>
        </w:rPr>
      </w:pPr>
      <w:r w:rsidRPr="004A316D">
        <w:rPr>
          <w:sz w:val="24"/>
          <w:szCs w:val="24"/>
        </w:rPr>
        <w:t>S</w:t>
      </w:r>
      <w:r>
        <w:rPr>
          <w:sz w:val="24"/>
          <w:szCs w:val="24"/>
        </w:rPr>
        <w:t>tada</w:t>
      </w:r>
      <w:r w:rsidRPr="004A316D">
        <w:rPr>
          <w:sz w:val="24"/>
          <w:szCs w:val="24"/>
        </w:rPr>
        <w:t xml:space="preserve"> Nordic ApS</w:t>
      </w:r>
    </w:p>
    <w:p w:rsidR="00A64291" w:rsidRPr="004A316D" w:rsidRDefault="00A64291" w:rsidP="00A64291">
      <w:pPr>
        <w:widowControl w:val="0"/>
        <w:ind w:left="851"/>
        <w:rPr>
          <w:sz w:val="24"/>
          <w:szCs w:val="24"/>
        </w:rPr>
      </w:pPr>
      <w:r w:rsidRPr="004A316D">
        <w:rPr>
          <w:sz w:val="24"/>
          <w:szCs w:val="24"/>
        </w:rPr>
        <w:t>Marielundvej 46 A</w:t>
      </w:r>
    </w:p>
    <w:p w:rsidR="00A64291" w:rsidRPr="00C84483" w:rsidRDefault="00A64291" w:rsidP="00A64291">
      <w:pPr>
        <w:widowControl w:val="0"/>
        <w:ind w:left="851"/>
        <w:rPr>
          <w:sz w:val="24"/>
          <w:szCs w:val="24"/>
        </w:rPr>
      </w:pPr>
      <w:r w:rsidRPr="004A316D">
        <w:rPr>
          <w:sz w:val="24"/>
          <w:szCs w:val="24"/>
        </w:rPr>
        <w:t>2730 Herlev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A64291" w:rsidP="00A64291">
      <w:pPr>
        <w:tabs>
          <w:tab w:val="left" w:pos="851"/>
          <w:tab w:val="left" w:pos="2127"/>
        </w:tabs>
        <w:ind w:left="851"/>
        <w:rPr>
          <w:sz w:val="24"/>
          <w:szCs w:val="24"/>
        </w:rPr>
      </w:pPr>
      <w:r>
        <w:rPr>
          <w:sz w:val="24"/>
          <w:szCs w:val="24"/>
        </w:rPr>
        <w:t>125 mg:</w:t>
      </w:r>
      <w:r>
        <w:rPr>
          <w:sz w:val="24"/>
          <w:szCs w:val="24"/>
        </w:rPr>
        <w:tab/>
      </w:r>
      <w:r w:rsidR="005F7CEA">
        <w:rPr>
          <w:sz w:val="24"/>
          <w:szCs w:val="24"/>
        </w:rPr>
        <w:t>59789</w:t>
      </w:r>
    </w:p>
    <w:p w:rsidR="005F7CEA" w:rsidRDefault="005F7CEA" w:rsidP="00A64291">
      <w:pPr>
        <w:tabs>
          <w:tab w:val="left" w:pos="851"/>
          <w:tab w:val="left" w:pos="2127"/>
        </w:tabs>
        <w:ind w:left="851"/>
        <w:rPr>
          <w:sz w:val="24"/>
          <w:szCs w:val="24"/>
        </w:rPr>
      </w:pPr>
      <w:r>
        <w:rPr>
          <w:sz w:val="24"/>
          <w:szCs w:val="24"/>
        </w:rPr>
        <w:t>80 mg:</w:t>
      </w:r>
      <w:r>
        <w:rPr>
          <w:sz w:val="24"/>
          <w:szCs w:val="24"/>
        </w:rPr>
        <w:tab/>
        <w:t>59788</w:t>
      </w:r>
    </w:p>
    <w:p w:rsidR="005F7CEA" w:rsidRPr="00C84483" w:rsidRDefault="005F7CEA" w:rsidP="00A64291">
      <w:pPr>
        <w:tabs>
          <w:tab w:val="left" w:pos="851"/>
          <w:tab w:val="left" w:pos="2127"/>
        </w:tabs>
        <w:ind w:left="851"/>
        <w:rPr>
          <w:sz w:val="24"/>
          <w:szCs w:val="24"/>
        </w:rPr>
      </w:pPr>
      <w:r>
        <w:rPr>
          <w:sz w:val="24"/>
          <w:szCs w:val="24"/>
        </w:rPr>
        <w:t>125+80 mg:</w:t>
      </w:r>
      <w:r>
        <w:rPr>
          <w:sz w:val="24"/>
          <w:szCs w:val="24"/>
        </w:rPr>
        <w:tab/>
        <w:t>62282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DF6110" w:rsidP="009260DE">
      <w:pPr>
        <w:tabs>
          <w:tab w:val="left" w:pos="851"/>
        </w:tabs>
        <w:ind w:left="851"/>
        <w:rPr>
          <w:sz w:val="24"/>
          <w:szCs w:val="24"/>
        </w:rPr>
      </w:pPr>
      <w:r>
        <w:rPr>
          <w:sz w:val="24"/>
          <w:szCs w:val="24"/>
        </w:rPr>
        <w:t>15. februar 2019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5F7CEA" w:rsidP="009260DE">
      <w:pPr>
        <w:tabs>
          <w:tab w:val="left" w:pos="851"/>
        </w:tabs>
        <w:ind w:left="851"/>
        <w:rPr>
          <w:sz w:val="24"/>
          <w:szCs w:val="24"/>
        </w:rPr>
      </w:pPr>
      <w:r>
        <w:rPr>
          <w:sz w:val="24"/>
          <w:szCs w:val="24"/>
        </w:rPr>
        <w:t>-</w:t>
      </w:r>
      <w:bookmarkStart w:id="0" w:name="_GoBack"/>
      <w:bookmarkEnd w:id="0"/>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291" w:rsidRDefault="00A64291">
      <w:r>
        <w:separator/>
      </w:r>
    </w:p>
  </w:endnote>
  <w:endnote w:type="continuationSeparator" w:id="0">
    <w:p w:rsidR="00A64291" w:rsidRDefault="00A6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91" w:rsidRDefault="00A64291">
    <w:pPr>
      <w:pStyle w:val="Sidefod"/>
      <w:pBdr>
        <w:bottom w:val="single" w:sz="6" w:space="1" w:color="auto"/>
      </w:pBdr>
    </w:pPr>
  </w:p>
  <w:p w:rsidR="00A64291" w:rsidRDefault="00A64291" w:rsidP="00C42586">
    <w:pPr>
      <w:pStyle w:val="Sidefod"/>
      <w:tabs>
        <w:tab w:val="clear" w:pos="4819"/>
        <w:tab w:val="left" w:pos="8505"/>
      </w:tabs>
      <w:rPr>
        <w:i/>
        <w:sz w:val="18"/>
        <w:szCs w:val="18"/>
      </w:rPr>
    </w:pPr>
  </w:p>
  <w:p w:rsidR="00A64291" w:rsidRPr="00B373D7" w:rsidRDefault="00A6429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F6110">
      <w:rPr>
        <w:i/>
        <w:noProof/>
        <w:sz w:val="18"/>
        <w:szCs w:val="18"/>
      </w:rPr>
      <w:t>Aprepitant Stada, hårde kapsler 125 mg, 80 mg og 125+80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DF6110">
      <w:rPr>
        <w:rStyle w:val="Sidetal"/>
        <w:i/>
        <w:noProof/>
        <w:sz w:val="18"/>
        <w:szCs w:val="18"/>
      </w:rPr>
      <w:t>21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DF6110">
      <w:rPr>
        <w:rStyle w:val="Sidetal"/>
        <w:i/>
        <w:noProof/>
        <w:sz w:val="18"/>
        <w:szCs w:val="18"/>
      </w:rPr>
      <w:t>21</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291" w:rsidRDefault="00A64291">
      <w:r>
        <w:separator/>
      </w:r>
    </w:p>
  </w:footnote>
  <w:footnote w:type="continuationSeparator" w:id="0">
    <w:p w:rsidR="00A64291" w:rsidRDefault="00A64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15799"/>
    <w:multiLevelType w:val="hybridMultilevel"/>
    <w:tmpl w:val="ADA07FB6"/>
    <w:lvl w:ilvl="0" w:tplc="73760CC8">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3A"/>
    <w:rsid w:val="0001790C"/>
    <w:rsid w:val="000259B9"/>
    <w:rsid w:val="00041491"/>
    <w:rsid w:val="00050D16"/>
    <w:rsid w:val="0006336B"/>
    <w:rsid w:val="00074F2A"/>
    <w:rsid w:val="000821C4"/>
    <w:rsid w:val="0009432E"/>
    <w:rsid w:val="000A1CA8"/>
    <w:rsid w:val="000A466B"/>
    <w:rsid w:val="000B058C"/>
    <w:rsid w:val="000E4EE6"/>
    <w:rsid w:val="001454E2"/>
    <w:rsid w:val="001C231A"/>
    <w:rsid w:val="001F18CA"/>
    <w:rsid w:val="00206CE8"/>
    <w:rsid w:val="0021526C"/>
    <w:rsid w:val="00283A2B"/>
    <w:rsid w:val="002B30AD"/>
    <w:rsid w:val="002C2C01"/>
    <w:rsid w:val="00374810"/>
    <w:rsid w:val="003A29AE"/>
    <w:rsid w:val="003A32D7"/>
    <w:rsid w:val="003B4074"/>
    <w:rsid w:val="003C769A"/>
    <w:rsid w:val="003F1838"/>
    <w:rsid w:val="00447082"/>
    <w:rsid w:val="00450260"/>
    <w:rsid w:val="0045746C"/>
    <w:rsid w:val="0049104B"/>
    <w:rsid w:val="004B7C48"/>
    <w:rsid w:val="004E3B12"/>
    <w:rsid w:val="00532310"/>
    <w:rsid w:val="00552D36"/>
    <w:rsid w:val="005609E9"/>
    <w:rsid w:val="00565F0F"/>
    <w:rsid w:val="00594A86"/>
    <w:rsid w:val="00594BA9"/>
    <w:rsid w:val="00595428"/>
    <w:rsid w:val="00596D86"/>
    <w:rsid w:val="005F7CEA"/>
    <w:rsid w:val="00637F5A"/>
    <w:rsid w:val="0064674F"/>
    <w:rsid w:val="006560B1"/>
    <w:rsid w:val="006756DD"/>
    <w:rsid w:val="00737275"/>
    <w:rsid w:val="00740EEC"/>
    <w:rsid w:val="0078011A"/>
    <w:rsid w:val="00782AF4"/>
    <w:rsid w:val="00790EE7"/>
    <w:rsid w:val="007B6649"/>
    <w:rsid w:val="0082576E"/>
    <w:rsid w:val="00846499"/>
    <w:rsid w:val="008E4EF1"/>
    <w:rsid w:val="008E6D73"/>
    <w:rsid w:val="00907F75"/>
    <w:rsid w:val="009260DE"/>
    <w:rsid w:val="00931414"/>
    <w:rsid w:val="0093258A"/>
    <w:rsid w:val="00994A5A"/>
    <w:rsid w:val="009A512B"/>
    <w:rsid w:val="009B59BC"/>
    <w:rsid w:val="009C7BA3"/>
    <w:rsid w:val="009D1B7A"/>
    <w:rsid w:val="009D1F5A"/>
    <w:rsid w:val="00A64291"/>
    <w:rsid w:val="00A76241"/>
    <w:rsid w:val="00A92891"/>
    <w:rsid w:val="00AB5ACA"/>
    <w:rsid w:val="00B003BF"/>
    <w:rsid w:val="00B30A87"/>
    <w:rsid w:val="00B373D7"/>
    <w:rsid w:val="00B82493"/>
    <w:rsid w:val="00BA36A7"/>
    <w:rsid w:val="00BA5DE0"/>
    <w:rsid w:val="00BD46A0"/>
    <w:rsid w:val="00BD71D4"/>
    <w:rsid w:val="00C36276"/>
    <w:rsid w:val="00C42586"/>
    <w:rsid w:val="00C541B4"/>
    <w:rsid w:val="00C60CCD"/>
    <w:rsid w:val="00C84483"/>
    <w:rsid w:val="00C95551"/>
    <w:rsid w:val="00CA3B70"/>
    <w:rsid w:val="00CB20D7"/>
    <w:rsid w:val="00CF6C8E"/>
    <w:rsid w:val="00D020B0"/>
    <w:rsid w:val="00D11748"/>
    <w:rsid w:val="00D366CF"/>
    <w:rsid w:val="00DA1C3A"/>
    <w:rsid w:val="00DF6110"/>
    <w:rsid w:val="00E00130"/>
    <w:rsid w:val="00E108AA"/>
    <w:rsid w:val="00E21DFB"/>
    <w:rsid w:val="00E34947"/>
    <w:rsid w:val="00E3749A"/>
    <w:rsid w:val="00E54521"/>
    <w:rsid w:val="00E7437F"/>
    <w:rsid w:val="00E768E0"/>
    <w:rsid w:val="00E865B8"/>
    <w:rsid w:val="00EC0B9B"/>
    <w:rsid w:val="00ED5E9F"/>
    <w:rsid w:val="00F66D4F"/>
    <w:rsid w:val="00F72476"/>
    <w:rsid w:val="00FA312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A6D7F8-93B0-4A0F-BF44-1DDD9B63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846499"/>
    <w:rPr>
      <w:color w:val="0563C1" w:themeColor="hyperlink"/>
      <w:u w:val="single"/>
    </w:rPr>
  </w:style>
  <w:style w:type="paragraph" w:styleId="Brdtekst">
    <w:name w:val="Body Text"/>
    <w:basedOn w:val="Normal"/>
    <w:link w:val="BrdtekstTegn"/>
    <w:uiPriority w:val="1"/>
    <w:unhideWhenUsed/>
    <w:qFormat/>
    <w:rsid w:val="008E4EF1"/>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8E4EF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E3E8-4109-4618-93F4-EB709F05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44</TotalTime>
  <Pages>21</Pages>
  <Words>6660</Words>
  <Characters>40313</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2017070111 mt</dc:description>
  <cp:lastModifiedBy>Hanne Thy Iversen</cp:lastModifiedBy>
  <cp:revision>20</cp:revision>
  <cp:lastPrinted>2019-02-14T15:42:00Z</cp:lastPrinted>
  <dcterms:created xsi:type="dcterms:W3CDTF">2019-02-14T09:44:00Z</dcterms:created>
  <dcterms:modified xsi:type="dcterms:W3CDTF">2019-02-14T15:42:00Z</dcterms:modified>
</cp:coreProperties>
</file>