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DF" w:rsidRDefault="008706DF" w:rsidP="008706DF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47DE7FBA" wp14:editId="3DD6D79D">
            <wp:extent cx="2343150" cy="661077"/>
            <wp:effectExtent l="0" t="0" r="0" b="5715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60" cy="66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DF" w:rsidRDefault="008706DF" w:rsidP="008706D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8706DF" w:rsidRPr="00907F75" w:rsidRDefault="008706DF" w:rsidP="008706D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C81E86">
        <w:rPr>
          <w:szCs w:val="24"/>
          <w:lang w:eastAsia="en-US"/>
        </w:rPr>
        <w:t>1</w:t>
      </w:r>
      <w:r w:rsidR="00B00D09">
        <w:rPr>
          <w:szCs w:val="24"/>
          <w:lang w:eastAsia="en-US"/>
        </w:rPr>
        <w:t>5</w:t>
      </w:r>
      <w:r w:rsidR="00C81E86">
        <w:rPr>
          <w:szCs w:val="24"/>
          <w:lang w:eastAsia="en-US"/>
        </w:rPr>
        <w:t>. maj 2020</w:t>
      </w:r>
    </w:p>
    <w:p w:rsidR="008706DF" w:rsidRDefault="008706DF" w:rsidP="008706DF">
      <w:pPr>
        <w:pStyle w:val="Titel"/>
        <w:jc w:val="left"/>
        <w:rPr>
          <w:b w:val="0"/>
        </w:rPr>
      </w:pPr>
    </w:p>
    <w:p w:rsidR="008706DF" w:rsidRDefault="008706DF" w:rsidP="008706DF">
      <w:pPr>
        <w:pStyle w:val="Titel"/>
        <w:jc w:val="left"/>
        <w:rPr>
          <w:b w:val="0"/>
        </w:rPr>
      </w:pPr>
    </w:p>
    <w:p w:rsidR="008706DF" w:rsidRPr="00EC0B9B" w:rsidRDefault="008706DF" w:rsidP="008706D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8706DF" w:rsidRPr="00EC0B9B" w:rsidRDefault="008706DF" w:rsidP="008706DF">
      <w:pPr>
        <w:jc w:val="center"/>
        <w:rPr>
          <w:b/>
          <w:sz w:val="24"/>
          <w:szCs w:val="24"/>
        </w:rPr>
      </w:pPr>
    </w:p>
    <w:p w:rsidR="008706DF" w:rsidRPr="00EC0B9B" w:rsidRDefault="00E4366C" w:rsidP="00E4366C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706DF" w:rsidRPr="00EC0B9B">
        <w:rPr>
          <w:b/>
          <w:sz w:val="24"/>
          <w:szCs w:val="24"/>
        </w:rPr>
        <w:t>for</w:t>
      </w:r>
    </w:p>
    <w:p w:rsidR="008706DF" w:rsidRPr="00EC0B9B" w:rsidRDefault="008706DF" w:rsidP="008706DF">
      <w:pPr>
        <w:jc w:val="center"/>
        <w:rPr>
          <w:b/>
          <w:sz w:val="24"/>
          <w:szCs w:val="24"/>
        </w:rPr>
      </w:pPr>
    </w:p>
    <w:p w:rsidR="008706DF" w:rsidRPr="0049104B" w:rsidRDefault="008706DF" w:rsidP="008706D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Aprokam</w:t>
      </w:r>
      <w:proofErr w:type="spellEnd"/>
      <w:r>
        <w:rPr>
          <w:b/>
          <w:sz w:val="24"/>
          <w:szCs w:val="24"/>
        </w:rPr>
        <w:t>, pulver til injektionsvæske, opløsning</w:t>
      </w:r>
    </w:p>
    <w:p w:rsidR="008706DF" w:rsidRPr="00EC0B9B" w:rsidRDefault="008706DF" w:rsidP="008706DF">
      <w:pPr>
        <w:jc w:val="both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jc w:val="both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0.</w:t>
      </w:r>
      <w:r w:rsidRPr="002862EE">
        <w:rPr>
          <w:b/>
          <w:sz w:val="24"/>
          <w:szCs w:val="24"/>
        </w:rPr>
        <w:tab/>
        <w:t>D.SP.NR.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27838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1.</w:t>
      </w:r>
      <w:r w:rsidRPr="002862EE">
        <w:rPr>
          <w:b/>
          <w:sz w:val="24"/>
          <w:szCs w:val="24"/>
        </w:rPr>
        <w:tab/>
        <w:t>LÆGEMIDLETS NAVN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proofErr w:type="spellStart"/>
      <w:r w:rsidRPr="002862EE">
        <w:rPr>
          <w:sz w:val="24"/>
          <w:szCs w:val="24"/>
        </w:rPr>
        <w:t>Aprokam</w:t>
      </w:r>
      <w:proofErr w:type="spellEnd"/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2.</w:t>
      </w:r>
      <w:r w:rsidRPr="002862EE">
        <w:rPr>
          <w:b/>
          <w:sz w:val="24"/>
          <w:szCs w:val="24"/>
        </w:rPr>
        <w:tab/>
        <w:t>KVALITATIV OG KVANTITATIV SAMMENSÆTNING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Hvert hætteglas indeholder 50 mg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(som 52,6 mg </w:t>
      </w:r>
      <w:proofErr w:type="spellStart"/>
      <w:r w:rsidRPr="002862EE">
        <w:rPr>
          <w:sz w:val="24"/>
          <w:szCs w:val="24"/>
        </w:rPr>
        <w:t>cefuroximnatrium</w:t>
      </w:r>
      <w:proofErr w:type="spellEnd"/>
      <w:r w:rsidRPr="002862EE">
        <w:rPr>
          <w:sz w:val="24"/>
          <w:szCs w:val="24"/>
        </w:rPr>
        <w:t>).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Efter </w:t>
      </w:r>
      <w:proofErr w:type="spellStart"/>
      <w:r w:rsidRPr="002862EE">
        <w:rPr>
          <w:sz w:val="24"/>
          <w:szCs w:val="24"/>
        </w:rPr>
        <w:t>rekonstitution</w:t>
      </w:r>
      <w:proofErr w:type="spellEnd"/>
      <w:r w:rsidRPr="002862EE">
        <w:rPr>
          <w:sz w:val="24"/>
          <w:szCs w:val="24"/>
        </w:rPr>
        <w:t xml:space="preserve"> med 5 ml solvens (se pkt. 6.6), indeholder 0,1 ml opløsning 1 mg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>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Alle hjælpestoffer er anført under pkt. 6.1.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3.</w:t>
      </w:r>
      <w:r w:rsidRPr="002862EE">
        <w:rPr>
          <w:b/>
          <w:sz w:val="24"/>
          <w:szCs w:val="24"/>
        </w:rPr>
        <w:tab/>
        <w:t>LÆGEMIDDELFORM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Pulver til injektionsvæske, opløsning</w:t>
      </w:r>
      <w:r>
        <w:rPr>
          <w:sz w:val="24"/>
          <w:szCs w:val="24"/>
        </w:rPr>
        <w:t>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Hvidt til næsten hvidt pulver.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</w:t>
      </w:r>
      <w:r w:rsidRPr="002862EE">
        <w:rPr>
          <w:b/>
          <w:sz w:val="24"/>
          <w:szCs w:val="24"/>
        </w:rPr>
        <w:tab/>
        <w:t>KLINISKE OPLYSNINGER</w:t>
      </w: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  <w:u w:val="single"/>
        </w:rPr>
      </w:pPr>
      <w:r w:rsidRPr="002862EE">
        <w:rPr>
          <w:b/>
          <w:sz w:val="24"/>
          <w:szCs w:val="24"/>
        </w:rPr>
        <w:t>4.1</w:t>
      </w:r>
      <w:r w:rsidRPr="002862EE">
        <w:rPr>
          <w:b/>
          <w:sz w:val="24"/>
          <w:szCs w:val="24"/>
        </w:rPr>
        <w:tab/>
        <w:t>Terapeutiske indikationer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Antibiotikaprofylakse mod postoperativ </w:t>
      </w:r>
      <w:proofErr w:type="spellStart"/>
      <w:r w:rsidRPr="002862EE">
        <w:rPr>
          <w:sz w:val="24"/>
          <w:szCs w:val="24"/>
        </w:rPr>
        <w:t>endophthalmitis</w:t>
      </w:r>
      <w:proofErr w:type="spellEnd"/>
      <w:r w:rsidRPr="002862EE">
        <w:rPr>
          <w:sz w:val="24"/>
          <w:szCs w:val="24"/>
        </w:rPr>
        <w:t xml:space="preserve"> efter kataraktoperation (se pkt. 5.1). 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bCs/>
          <w:sz w:val="24"/>
          <w:szCs w:val="24"/>
        </w:rPr>
        <w:t>Der skal tages højde for officielle</w:t>
      </w:r>
      <w:r w:rsidRPr="002862EE">
        <w:rPr>
          <w:sz w:val="24"/>
          <w:szCs w:val="24"/>
        </w:rPr>
        <w:t xml:space="preserve"> </w:t>
      </w:r>
      <w:r w:rsidRPr="002862EE">
        <w:rPr>
          <w:bCs/>
          <w:sz w:val="24"/>
          <w:szCs w:val="24"/>
        </w:rPr>
        <w:t>retningslinjer</w:t>
      </w:r>
      <w:r w:rsidRPr="002862EE">
        <w:rPr>
          <w:sz w:val="24"/>
          <w:szCs w:val="24"/>
        </w:rPr>
        <w:t xml:space="preserve"> vedrørende antimikrobielle stoffer ved anvendelse af lægemidlet, herunder retningslinjer for antibiotisk profylakse ved øjenoperation.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4.2</w:t>
      </w:r>
      <w:r w:rsidRPr="002862EE">
        <w:rPr>
          <w:b/>
          <w:sz w:val="24"/>
          <w:szCs w:val="24"/>
        </w:rPr>
        <w:tab/>
        <w:t>Dosering og indgivelsesmåde</w:t>
      </w:r>
    </w:p>
    <w:p w:rsidR="00143853" w:rsidRPr="002862EE" w:rsidRDefault="008706DF" w:rsidP="00143853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proofErr w:type="spellStart"/>
      <w:r w:rsidR="00143853" w:rsidRPr="002862EE">
        <w:rPr>
          <w:sz w:val="24"/>
          <w:szCs w:val="24"/>
        </w:rPr>
        <w:t>Intrakameral</w:t>
      </w:r>
      <w:proofErr w:type="spellEnd"/>
      <w:r w:rsidR="00143853" w:rsidRPr="002862EE">
        <w:rPr>
          <w:sz w:val="24"/>
          <w:szCs w:val="24"/>
        </w:rPr>
        <w:t xml:space="preserve"> anvendelse. Ét hætteglas til éngangsbrug.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b/>
          <w:i/>
          <w:sz w:val="24"/>
          <w:szCs w:val="24"/>
          <w:u w:val="single"/>
        </w:rPr>
      </w:pPr>
      <w:r w:rsidRPr="002862EE">
        <w:rPr>
          <w:b/>
          <w:i/>
          <w:sz w:val="24"/>
          <w:szCs w:val="24"/>
          <w:u w:val="single"/>
        </w:rPr>
        <w:t>Dosering</w:t>
      </w:r>
    </w:p>
    <w:p w:rsidR="00143853" w:rsidRPr="002862EE" w:rsidRDefault="00143853" w:rsidP="00143853">
      <w:pPr>
        <w:ind w:left="851"/>
        <w:rPr>
          <w:i/>
          <w:sz w:val="24"/>
          <w:szCs w:val="24"/>
        </w:rPr>
      </w:pPr>
      <w:r w:rsidRPr="002862EE">
        <w:rPr>
          <w:i/>
          <w:sz w:val="24"/>
          <w:szCs w:val="24"/>
        </w:rPr>
        <w:t>Voksne:</w:t>
      </w: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Den anbefalede dosis er 0,1 ml </w:t>
      </w:r>
      <w:proofErr w:type="spellStart"/>
      <w:r w:rsidRPr="002862EE">
        <w:rPr>
          <w:sz w:val="24"/>
          <w:szCs w:val="24"/>
        </w:rPr>
        <w:t>rekonstitueret</w:t>
      </w:r>
      <w:proofErr w:type="spellEnd"/>
      <w:r w:rsidRPr="002862EE">
        <w:rPr>
          <w:sz w:val="24"/>
          <w:szCs w:val="24"/>
        </w:rPr>
        <w:t xml:space="preserve"> opløsning (se pkt. 6.6), dvs. 1 mg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. </w:t>
      </w: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DER MÅ IKKE INJICERES MERE END DEN ANBEFALEDE DOSIS (se pkt. 4.9)</w:t>
      </w:r>
    </w:p>
    <w:p w:rsidR="00143853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i/>
          <w:sz w:val="24"/>
          <w:szCs w:val="24"/>
        </w:rPr>
        <w:lastRenderedPageBreak/>
        <w:t>Pædiatrisk population:</w:t>
      </w: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Den optimale dosis og sikkerhed for </w:t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 xml:space="preserve"> er ikke fastlagt hos den pædiatriske population.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i/>
          <w:sz w:val="24"/>
          <w:szCs w:val="24"/>
        </w:rPr>
      </w:pPr>
      <w:r w:rsidRPr="002862EE">
        <w:rPr>
          <w:i/>
          <w:sz w:val="24"/>
          <w:szCs w:val="24"/>
        </w:rPr>
        <w:t>Ældre:</w:t>
      </w: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Der kræves ingen dosisjustering.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i/>
          <w:sz w:val="24"/>
          <w:szCs w:val="24"/>
        </w:rPr>
      </w:pPr>
      <w:r w:rsidRPr="002862EE">
        <w:rPr>
          <w:i/>
          <w:sz w:val="24"/>
          <w:szCs w:val="24"/>
        </w:rPr>
        <w:t>Patienter med nedsat lever- og nyrefunktion:</w:t>
      </w: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I betragtning af den lave dosis og den forventede ubetydelige systemiske eksponering over for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ved anvendelse af </w:t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>, kræves ingen dosisjustering.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B02532" w:rsidRDefault="00143853" w:rsidP="00143853">
      <w:pPr>
        <w:ind w:left="851"/>
        <w:rPr>
          <w:b/>
          <w:i/>
          <w:sz w:val="24"/>
          <w:szCs w:val="24"/>
          <w:u w:val="single"/>
        </w:rPr>
      </w:pPr>
      <w:r w:rsidRPr="00B02532">
        <w:rPr>
          <w:b/>
          <w:i/>
          <w:sz w:val="24"/>
          <w:szCs w:val="24"/>
          <w:u w:val="single"/>
        </w:rPr>
        <w:t>Administration</w:t>
      </w:r>
    </w:p>
    <w:p w:rsidR="00143853" w:rsidRPr="00B02532" w:rsidRDefault="00143853" w:rsidP="00143853">
      <w:pPr>
        <w:ind w:left="851"/>
        <w:rPr>
          <w:iCs/>
          <w:sz w:val="24"/>
          <w:szCs w:val="24"/>
        </w:rPr>
      </w:pPr>
      <w:r w:rsidRPr="00B02532">
        <w:rPr>
          <w:iCs/>
          <w:sz w:val="24"/>
          <w:szCs w:val="24"/>
        </w:rPr>
        <w:t xml:space="preserve">Efter </w:t>
      </w:r>
      <w:proofErr w:type="spellStart"/>
      <w:r w:rsidRPr="00B02532">
        <w:rPr>
          <w:iCs/>
          <w:sz w:val="24"/>
          <w:szCs w:val="24"/>
        </w:rPr>
        <w:t>rekonstitution</w:t>
      </w:r>
      <w:proofErr w:type="spellEnd"/>
      <w:r w:rsidRPr="00B02532">
        <w:rPr>
          <w:iCs/>
          <w:sz w:val="24"/>
          <w:szCs w:val="24"/>
        </w:rPr>
        <w:t xml:space="preserve"> skal </w:t>
      </w:r>
      <w:proofErr w:type="spellStart"/>
      <w:r w:rsidRPr="00B02532">
        <w:rPr>
          <w:iCs/>
          <w:sz w:val="24"/>
          <w:szCs w:val="24"/>
        </w:rPr>
        <w:t>Aprokam</w:t>
      </w:r>
      <w:proofErr w:type="spellEnd"/>
      <w:r w:rsidRPr="00B02532">
        <w:rPr>
          <w:iCs/>
          <w:sz w:val="24"/>
          <w:szCs w:val="24"/>
        </w:rPr>
        <w:t xml:space="preserve"> administreres som </w:t>
      </w:r>
      <w:proofErr w:type="spellStart"/>
      <w:r w:rsidRPr="00B02532">
        <w:rPr>
          <w:iCs/>
          <w:sz w:val="24"/>
          <w:szCs w:val="24"/>
        </w:rPr>
        <w:t>intraokulær</w:t>
      </w:r>
      <w:proofErr w:type="spellEnd"/>
      <w:r w:rsidRPr="00B02532">
        <w:rPr>
          <w:iCs/>
          <w:sz w:val="24"/>
          <w:szCs w:val="24"/>
        </w:rPr>
        <w:t xml:space="preserve"> injektion i øjets forreste kammer (</w:t>
      </w:r>
      <w:proofErr w:type="spellStart"/>
      <w:r w:rsidRPr="00B02532">
        <w:rPr>
          <w:iCs/>
          <w:sz w:val="24"/>
          <w:szCs w:val="24"/>
        </w:rPr>
        <w:t>intrakameral</w:t>
      </w:r>
      <w:proofErr w:type="spellEnd"/>
      <w:r w:rsidRPr="00B02532">
        <w:rPr>
          <w:iCs/>
          <w:sz w:val="24"/>
          <w:szCs w:val="24"/>
        </w:rPr>
        <w:t xml:space="preserve"> anvendelse), af en øjenkirurg og under de anbefalede aseptiske forhold under kataraktoperation.</w:t>
      </w:r>
      <w:r>
        <w:rPr>
          <w:iCs/>
          <w:sz w:val="24"/>
          <w:szCs w:val="24"/>
        </w:rPr>
        <w:t xml:space="preserve"> </w:t>
      </w:r>
      <w:r w:rsidRPr="00863D4E">
        <w:rPr>
          <w:iCs/>
          <w:sz w:val="24"/>
          <w:szCs w:val="24"/>
        </w:rPr>
        <w:t xml:space="preserve">Der må kun anvendes natriumklorid 9 mg/ml (0,9 %) injektionsvæske, opløsning til </w:t>
      </w:r>
      <w:proofErr w:type="spellStart"/>
      <w:r w:rsidRPr="00863D4E">
        <w:rPr>
          <w:iCs/>
          <w:sz w:val="24"/>
          <w:szCs w:val="24"/>
        </w:rPr>
        <w:t>rekonstitution</w:t>
      </w:r>
      <w:proofErr w:type="spellEnd"/>
      <w:r w:rsidRPr="00863D4E">
        <w:rPr>
          <w:iCs/>
          <w:sz w:val="24"/>
          <w:szCs w:val="24"/>
        </w:rPr>
        <w:t xml:space="preserve"> af </w:t>
      </w:r>
      <w:proofErr w:type="spellStart"/>
      <w:r>
        <w:rPr>
          <w:iCs/>
          <w:sz w:val="24"/>
          <w:szCs w:val="24"/>
        </w:rPr>
        <w:t>Aprokam</w:t>
      </w:r>
      <w:proofErr w:type="spellEnd"/>
      <w:r w:rsidRPr="00863D4E">
        <w:rPr>
          <w:iCs/>
          <w:sz w:val="24"/>
          <w:szCs w:val="24"/>
        </w:rPr>
        <w:t xml:space="preserve"> (se pkt. 6.6).</w:t>
      </w:r>
    </w:p>
    <w:p w:rsidR="00143853" w:rsidRPr="00B02532" w:rsidRDefault="00143853" w:rsidP="00143853">
      <w:pPr>
        <w:ind w:left="851" w:hanging="851"/>
        <w:rPr>
          <w:iCs/>
          <w:sz w:val="24"/>
          <w:szCs w:val="24"/>
        </w:rPr>
      </w:pPr>
    </w:p>
    <w:p w:rsidR="00143853" w:rsidRPr="002862EE" w:rsidRDefault="00143853" w:rsidP="00143853">
      <w:pPr>
        <w:ind w:left="851"/>
        <w:rPr>
          <w:iCs/>
          <w:sz w:val="24"/>
          <w:szCs w:val="24"/>
        </w:rPr>
      </w:pPr>
      <w:r w:rsidRPr="002862EE">
        <w:rPr>
          <w:iCs/>
          <w:sz w:val="24"/>
          <w:szCs w:val="24"/>
        </w:rPr>
        <w:t xml:space="preserve">Efter </w:t>
      </w:r>
      <w:proofErr w:type="spellStart"/>
      <w:r w:rsidRPr="002862EE">
        <w:rPr>
          <w:iCs/>
          <w:sz w:val="24"/>
          <w:szCs w:val="24"/>
        </w:rPr>
        <w:t>rekonstitution</w:t>
      </w:r>
      <w:proofErr w:type="spellEnd"/>
      <w:r w:rsidRPr="002862EE">
        <w:rPr>
          <w:iCs/>
          <w:sz w:val="24"/>
          <w:szCs w:val="24"/>
        </w:rPr>
        <w:t xml:space="preserve"> skal </w:t>
      </w:r>
      <w:proofErr w:type="spellStart"/>
      <w:r w:rsidRPr="002862EE">
        <w:rPr>
          <w:iCs/>
          <w:sz w:val="24"/>
          <w:szCs w:val="24"/>
        </w:rPr>
        <w:t>Aprokam</w:t>
      </w:r>
      <w:proofErr w:type="spellEnd"/>
      <w:r w:rsidRPr="002862EE">
        <w:rPr>
          <w:iCs/>
          <w:sz w:val="24"/>
          <w:szCs w:val="24"/>
        </w:rPr>
        <w:t xml:space="preserve"> inspiceres visuelt for tilstedeværelsen af partikler og misfarvning før administration. </w:t>
      </w:r>
    </w:p>
    <w:p w:rsidR="00143853" w:rsidRPr="002862EE" w:rsidRDefault="00143853" w:rsidP="00143853">
      <w:pPr>
        <w:ind w:left="851" w:hanging="851"/>
        <w:rPr>
          <w:iCs/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Ved afslutningen af kataraktoperationen injiceres langsomt 0,1 ml af den </w:t>
      </w:r>
      <w:proofErr w:type="spellStart"/>
      <w:r w:rsidRPr="002862EE">
        <w:rPr>
          <w:sz w:val="24"/>
          <w:szCs w:val="24"/>
        </w:rPr>
        <w:t>rekonstituerede</w:t>
      </w:r>
      <w:proofErr w:type="spellEnd"/>
      <w:r w:rsidRPr="002862EE">
        <w:rPr>
          <w:sz w:val="24"/>
          <w:szCs w:val="24"/>
        </w:rPr>
        <w:t xml:space="preserve"> opløsning i øjets forreste kammer.</w:t>
      </w:r>
    </w:p>
    <w:p w:rsidR="00143853" w:rsidRPr="002862EE" w:rsidRDefault="00143853" w:rsidP="00143853">
      <w:pPr>
        <w:ind w:left="851" w:hanging="851"/>
        <w:rPr>
          <w:i/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For instruktioner om </w:t>
      </w:r>
      <w:proofErr w:type="spellStart"/>
      <w:r w:rsidRPr="002862EE">
        <w:rPr>
          <w:sz w:val="24"/>
          <w:szCs w:val="24"/>
        </w:rPr>
        <w:t>rekonstitution</w:t>
      </w:r>
      <w:proofErr w:type="spellEnd"/>
      <w:r w:rsidRPr="002862EE">
        <w:rPr>
          <w:sz w:val="24"/>
          <w:szCs w:val="24"/>
        </w:rPr>
        <w:t xml:space="preserve"> af lægemidlet før administration, se pkt. 6.6.</w:t>
      </w:r>
    </w:p>
    <w:p w:rsidR="008706DF" w:rsidRPr="002862EE" w:rsidRDefault="008706DF" w:rsidP="00143853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4.3</w:t>
      </w:r>
      <w:r w:rsidRPr="002862EE">
        <w:rPr>
          <w:b/>
          <w:sz w:val="24"/>
          <w:szCs w:val="24"/>
        </w:rPr>
        <w:tab/>
        <w:t>Kontraindikationer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Overfølsomhed over for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eller over for et andet </w:t>
      </w:r>
      <w:proofErr w:type="spellStart"/>
      <w:r w:rsidRPr="002862EE">
        <w:rPr>
          <w:sz w:val="24"/>
          <w:szCs w:val="24"/>
        </w:rPr>
        <w:t>cephalosporin</w:t>
      </w:r>
      <w:proofErr w:type="spellEnd"/>
      <w:r w:rsidRPr="002862EE">
        <w:rPr>
          <w:sz w:val="24"/>
          <w:szCs w:val="24"/>
        </w:rPr>
        <w:t xml:space="preserve"> antibiotikum. 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4.4</w:t>
      </w:r>
      <w:r w:rsidRPr="002862EE">
        <w:rPr>
          <w:b/>
          <w:sz w:val="24"/>
          <w:szCs w:val="24"/>
        </w:rPr>
        <w:tab/>
        <w:t>Særlige advarsler og forsigtighedsregler vedrørende brugen</w:t>
      </w:r>
    </w:p>
    <w:p w:rsidR="00143853" w:rsidRPr="002862EE" w:rsidRDefault="008706DF" w:rsidP="00143853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r w:rsidR="00143853" w:rsidRPr="002862EE">
        <w:rPr>
          <w:sz w:val="24"/>
          <w:szCs w:val="24"/>
        </w:rPr>
        <w:t xml:space="preserve">Behandling med </w:t>
      </w:r>
      <w:proofErr w:type="spellStart"/>
      <w:r w:rsidR="00143853" w:rsidRPr="002862EE">
        <w:rPr>
          <w:sz w:val="24"/>
          <w:szCs w:val="24"/>
        </w:rPr>
        <w:t>Aprokam</w:t>
      </w:r>
      <w:proofErr w:type="spellEnd"/>
      <w:r w:rsidR="00143853" w:rsidRPr="002862EE">
        <w:rPr>
          <w:sz w:val="24"/>
          <w:szCs w:val="24"/>
        </w:rPr>
        <w:t xml:space="preserve"> er kun til </w:t>
      </w:r>
      <w:proofErr w:type="spellStart"/>
      <w:r w:rsidR="00143853" w:rsidRPr="002862EE">
        <w:rPr>
          <w:sz w:val="24"/>
          <w:szCs w:val="24"/>
        </w:rPr>
        <w:t>intrakameral</w:t>
      </w:r>
      <w:proofErr w:type="spellEnd"/>
      <w:r w:rsidR="00143853" w:rsidRPr="002862EE">
        <w:rPr>
          <w:sz w:val="24"/>
          <w:szCs w:val="24"/>
        </w:rPr>
        <w:t xml:space="preserve"> anvendelse.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Der skal udvises særlig forsigtighed hos patienter, som har haft en allergisk reaktion over for penicilliner eller andre </w:t>
      </w:r>
      <w:proofErr w:type="spellStart"/>
      <w:r w:rsidRPr="002862EE">
        <w:rPr>
          <w:sz w:val="24"/>
          <w:szCs w:val="24"/>
        </w:rPr>
        <w:t>betalactam</w:t>
      </w:r>
      <w:proofErr w:type="spellEnd"/>
      <w:r w:rsidRPr="002862EE">
        <w:rPr>
          <w:sz w:val="24"/>
          <w:szCs w:val="24"/>
        </w:rPr>
        <w:t>-antibiotika, da der kan forekomme krydsreaktioner.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Der skal overvejes et alternativt profylaktisk antibiotikum hos patienter med risiko for infektioner med resistente stammer, f.eks. patienter med kendt tidligere infektion eller kolonisering med MRSA (</w:t>
      </w:r>
      <w:proofErr w:type="spellStart"/>
      <w:r w:rsidRPr="002862EE">
        <w:rPr>
          <w:sz w:val="24"/>
          <w:szCs w:val="24"/>
        </w:rPr>
        <w:t>methicillin</w:t>
      </w:r>
      <w:proofErr w:type="spellEnd"/>
      <w:r w:rsidRPr="002862EE">
        <w:rPr>
          <w:sz w:val="24"/>
          <w:szCs w:val="24"/>
        </w:rPr>
        <w:t xml:space="preserve">-resistent </w:t>
      </w:r>
      <w:proofErr w:type="spellStart"/>
      <w:r w:rsidRPr="002862EE">
        <w:rPr>
          <w:i/>
          <w:sz w:val="24"/>
          <w:szCs w:val="24"/>
        </w:rPr>
        <w:t>Staphylococcus</w:t>
      </w:r>
      <w:proofErr w:type="spellEnd"/>
      <w:r w:rsidRPr="002862EE">
        <w:rPr>
          <w:i/>
          <w:sz w:val="24"/>
          <w:szCs w:val="24"/>
        </w:rPr>
        <w:t xml:space="preserve"> aureus</w:t>
      </w:r>
      <w:r w:rsidRPr="002862EE">
        <w:rPr>
          <w:sz w:val="24"/>
          <w:szCs w:val="24"/>
        </w:rPr>
        <w:t>).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Da der ikke foreligger data for specielle patientgrupper (patienter med høj risiko for infektioner, patienter med kompliceret katarakt, patienter, der skal have foretaget andre operationer i kombination med kataraktoperation, patienter med alvorlig </w:t>
      </w:r>
      <w:proofErr w:type="spellStart"/>
      <w:r w:rsidRPr="002862EE">
        <w:rPr>
          <w:sz w:val="24"/>
          <w:szCs w:val="24"/>
        </w:rPr>
        <w:t>tyreoideasygdom</w:t>
      </w:r>
      <w:proofErr w:type="spellEnd"/>
      <w:r w:rsidRPr="002862EE">
        <w:rPr>
          <w:sz w:val="24"/>
          <w:szCs w:val="24"/>
        </w:rPr>
        <w:t xml:space="preserve">, patienter med under 2000 </w:t>
      </w:r>
      <w:proofErr w:type="spellStart"/>
      <w:r w:rsidRPr="002862EE">
        <w:rPr>
          <w:sz w:val="24"/>
          <w:szCs w:val="24"/>
        </w:rPr>
        <w:t>corneaepitel</w:t>
      </w:r>
      <w:proofErr w:type="spellEnd"/>
      <w:r w:rsidRPr="002862EE">
        <w:rPr>
          <w:sz w:val="24"/>
          <w:szCs w:val="24"/>
        </w:rPr>
        <w:t xml:space="preserve"> celler), bør </w:t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 xml:space="preserve"> kun anvendes efter nøje vurdering af risici/fordele.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2862EE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Anvendelse af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bør ikke betragtes som et isoleret tiltag men andre omstændigheder er også vigtige som f.eks. profylaktisk antiseptisk behandling. 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Default="00143853" w:rsidP="00143853">
      <w:pPr>
        <w:ind w:left="851"/>
        <w:rPr>
          <w:sz w:val="24"/>
          <w:szCs w:val="24"/>
        </w:rPr>
      </w:pPr>
      <w:proofErr w:type="spellStart"/>
      <w:r w:rsidRPr="002862EE">
        <w:rPr>
          <w:sz w:val="24"/>
          <w:szCs w:val="24"/>
        </w:rPr>
        <w:t>Cornea</w:t>
      </w:r>
      <w:proofErr w:type="spellEnd"/>
      <w:r w:rsidRPr="002862EE">
        <w:rPr>
          <w:sz w:val="24"/>
          <w:szCs w:val="24"/>
        </w:rPr>
        <w:t xml:space="preserve"> </w:t>
      </w:r>
      <w:proofErr w:type="spellStart"/>
      <w:r w:rsidRPr="002862EE">
        <w:rPr>
          <w:sz w:val="24"/>
          <w:szCs w:val="24"/>
        </w:rPr>
        <w:t>endotel</w:t>
      </w:r>
      <w:proofErr w:type="spellEnd"/>
      <w:r w:rsidRPr="002862EE">
        <w:rPr>
          <w:sz w:val="24"/>
          <w:szCs w:val="24"/>
        </w:rPr>
        <w:t xml:space="preserve"> toksicitet er ikke rapporteret ved de anbefalede koncentrationer af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 w:rsidRPr="002862EE">
        <w:rPr>
          <w:sz w:val="24"/>
          <w:szCs w:val="24"/>
        </w:rPr>
        <w:t>enne risiko kan dog ikke udelukkes og under den post-operative overvågning bør læger overveje denne potentielle risiko.</w:t>
      </w:r>
    </w:p>
    <w:p w:rsidR="00143853" w:rsidRDefault="00143853" w:rsidP="00143853">
      <w:pPr>
        <w:ind w:left="851"/>
        <w:rPr>
          <w:sz w:val="24"/>
          <w:szCs w:val="24"/>
        </w:rPr>
      </w:pPr>
    </w:p>
    <w:p w:rsidR="00143853" w:rsidRPr="00B02532" w:rsidRDefault="00143853" w:rsidP="00143853">
      <w:pPr>
        <w:ind w:left="851"/>
        <w:rPr>
          <w:sz w:val="24"/>
          <w:szCs w:val="24"/>
        </w:rPr>
      </w:pPr>
      <w:r w:rsidRPr="00B02532">
        <w:rPr>
          <w:sz w:val="24"/>
          <w:szCs w:val="24"/>
        </w:rPr>
        <w:lastRenderedPageBreak/>
        <w:t>Dette lægemiddel indeholder mindre end 1 mmol (23 mg) natrium</w:t>
      </w:r>
      <w:r>
        <w:rPr>
          <w:sz w:val="24"/>
          <w:szCs w:val="24"/>
        </w:rPr>
        <w:t xml:space="preserve"> pr. dosis</w:t>
      </w:r>
      <w:r w:rsidRPr="00B02532">
        <w:rPr>
          <w:sz w:val="24"/>
          <w:szCs w:val="24"/>
        </w:rPr>
        <w:t>, dvs. den er i det væsentlige natrium-fri.</w:t>
      </w:r>
    </w:p>
    <w:p w:rsidR="00143853" w:rsidRDefault="00143853" w:rsidP="00143853">
      <w:pPr>
        <w:ind w:left="851" w:hanging="851"/>
        <w:rPr>
          <w:b/>
          <w:sz w:val="24"/>
          <w:szCs w:val="24"/>
        </w:rPr>
      </w:pPr>
    </w:p>
    <w:p w:rsidR="008706DF" w:rsidRPr="002862EE" w:rsidRDefault="008706DF" w:rsidP="00143853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4.5</w:t>
      </w:r>
      <w:r w:rsidRPr="002862EE">
        <w:rPr>
          <w:b/>
          <w:sz w:val="24"/>
          <w:szCs w:val="24"/>
        </w:rPr>
        <w:tab/>
        <w:t>Interaktion med andre lægemidler og andre former for interaktion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Systemiske interaktioner er usandsynlige, da den systemiske eksponering er ubetydelig.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Der er i litteraturen ikke rapporteret om inkompatibilitet med de hyppigst anvendte produkter ved kataraktoperation.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4.6</w:t>
      </w:r>
      <w:r w:rsidRPr="002862EE">
        <w:rPr>
          <w:b/>
          <w:sz w:val="24"/>
          <w:szCs w:val="24"/>
        </w:rPr>
        <w:tab/>
        <w:t>Graviditet og amning</w:t>
      </w:r>
    </w:p>
    <w:p w:rsidR="008706DF" w:rsidRPr="002862EE" w:rsidRDefault="008706DF" w:rsidP="008706DF">
      <w:pPr>
        <w:ind w:left="851" w:hanging="851"/>
        <w:rPr>
          <w:i/>
          <w:sz w:val="24"/>
          <w:szCs w:val="24"/>
        </w:rPr>
      </w:pPr>
      <w:r w:rsidRPr="002862EE">
        <w:rPr>
          <w:sz w:val="24"/>
          <w:szCs w:val="24"/>
        </w:rPr>
        <w:tab/>
      </w:r>
      <w:r w:rsidRPr="002862EE">
        <w:rPr>
          <w:i/>
          <w:sz w:val="24"/>
          <w:szCs w:val="24"/>
        </w:rPr>
        <w:t>Fertilitet: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Der foreligger ingen data for </w:t>
      </w:r>
      <w:proofErr w:type="spellStart"/>
      <w:r w:rsidRPr="002862EE">
        <w:rPr>
          <w:sz w:val="24"/>
          <w:szCs w:val="24"/>
        </w:rPr>
        <w:t>cefuroximnatriums</w:t>
      </w:r>
      <w:proofErr w:type="spellEnd"/>
      <w:r w:rsidRPr="002862EE">
        <w:rPr>
          <w:sz w:val="24"/>
          <w:szCs w:val="24"/>
        </w:rPr>
        <w:t xml:space="preserve"> virkning på fertilitet hos mennesker. Reproduktionsstudier hos dyr viser ingen virkning på fertilitet.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i/>
          <w:sz w:val="24"/>
          <w:szCs w:val="24"/>
        </w:rPr>
      </w:pPr>
      <w:r w:rsidRPr="002862EE">
        <w:rPr>
          <w:i/>
          <w:sz w:val="24"/>
          <w:szCs w:val="24"/>
        </w:rPr>
        <w:t>Graviditet: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Der er begrænsede data fra anvendelse af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til gravide kvinder. Dyrestudier viser ingen skadelige virkninger på embryonal og </w:t>
      </w:r>
      <w:proofErr w:type="spellStart"/>
      <w:r w:rsidRPr="002862EE">
        <w:rPr>
          <w:sz w:val="24"/>
          <w:szCs w:val="24"/>
        </w:rPr>
        <w:t>føtal</w:t>
      </w:r>
      <w:proofErr w:type="spellEnd"/>
      <w:r w:rsidRPr="002862EE">
        <w:rPr>
          <w:sz w:val="24"/>
          <w:szCs w:val="24"/>
        </w:rPr>
        <w:t xml:space="preserve"> udvikling.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overføres </w:t>
      </w:r>
      <w:r>
        <w:rPr>
          <w:sz w:val="24"/>
          <w:szCs w:val="24"/>
        </w:rPr>
        <w:t>til embryoet/føtus via placenta</w:t>
      </w:r>
      <w:r w:rsidRPr="002862EE">
        <w:rPr>
          <w:sz w:val="24"/>
          <w:szCs w:val="24"/>
        </w:rPr>
        <w:t xml:space="preserve">. Der forventes ingen påvirkning af graviditet, da den systemiske eksponering for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er ubetydelig ved anvendelse af </w:t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 xml:space="preserve">. </w:t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 xml:space="preserve"> kan anvendes under graviditet.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i/>
          <w:sz w:val="24"/>
          <w:szCs w:val="24"/>
        </w:rPr>
      </w:pPr>
      <w:r w:rsidRPr="002862EE">
        <w:rPr>
          <w:i/>
          <w:sz w:val="24"/>
          <w:szCs w:val="24"/>
        </w:rPr>
        <w:t>Amning: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Det forventes at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udskilles i modermælk hos mennesker i meget små mængder. Der forventes ingen bivirkninger ved brug af terapeutiske doser af </w:t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 xml:space="preserve">.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kan anvendes under amning.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4.7</w:t>
      </w:r>
      <w:r w:rsidRPr="002862EE">
        <w:rPr>
          <w:b/>
          <w:sz w:val="24"/>
          <w:szCs w:val="24"/>
        </w:rPr>
        <w:tab/>
        <w:t>Virkninger på evnen til at føre motorkøretøj eller betjene maskiner</w:t>
      </w:r>
    </w:p>
    <w:p w:rsidR="008706DF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Ikke relevant.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4.8</w:t>
      </w:r>
      <w:r w:rsidRPr="002862EE">
        <w:rPr>
          <w:b/>
          <w:sz w:val="24"/>
          <w:szCs w:val="24"/>
        </w:rPr>
        <w:tab/>
        <w:t>Bivirkninger</w:t>
      </w:r>
    </w:p>
    <w:p w:rsidR="00143853" w:rsidRDefault="008706DF" w:rsidP="00143853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r w:rsidR="00143853" w:rsidRPr="002862EE">
        <w:rPr>
          <w:sz w:val="24"/>
          <w:szCs w:val="24"/>
        </w:rPr>
        <w:t xml:space="preserve">I litteraturen er der ikke rapporteret nogen specielle bivirkninger, når </w:t>
      </w:r>
      <w:proofErr w:type="spellStart"/>
      <w:r w:rsidR="00143853" w:rsidRPr="002862EE">
        <w:rPr>
          <w:sz w:val="24"/>
          <w:szCs w:val="24"/>
        </w:rPr>
        <w:t>cefuroxim</w:t>
      </w:r>
      <w:proofErr w:type="spellEnd"/>
      <w:r w:rsidR="00143853" w:rsidRPr="002862EE">
        <w:rPr>
          <w:sz w:val="24"/>
          <w:szCs w:val="24"/>
        </w:rPr>
        <w:t xml:space="preserve"> administreres som </w:t>
      </w:r>
      <w:proofErr w:type="spellStart"/>
      <w:r w:rsidR="00143853" w:rsidRPr="002862EE">
        <w:rPr>
          <w:sz w:val="24"/>
          <w:szCs w:val="24"/>
        </w:rPr>
        <w:t>intraokulær</w:t>
      </w:r>
      <w:proofErr w:type="spellEnd"/>
      <w:r w:rsidR="00143853" w:rsidRPr="002862EE">
        <w:rPr>
          <w:sz w:val="24"/>
          <w:szCs w:val="24"/>
        </w:rPr>
        <w:t xml:space="preserve"> injektion bortset fra følgende:</w:t>
      </w:r>
    </w:p>
    <w:p w:rsidR="00143853" w:rsidRDefault="00143853" w:rsidP="00143853">
      <w:pPr>
        <w:ind w:left="851" w:hanging="851"/>
        <w:rPr>
          <w:sz w:val="24"/>
          <w:szCs w:val="24"/>
        </w:rPr>
      </w:pPr>
    </w:p>
    <w:p w:rsidR="00143853" w:rsidRPr="00B02532" w:rsidRDefault="00143853" w:rsidP="00143853">
      <w:pPr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02532">
        <w:rPr>
          <w:b/>
          <w:sz w:val="24"/>
          <w:szCs w:val="24"/>
        </w:rPr>
        <w:t>Øjne</w:t>
      </w:r>
    </w:p>
    <w:p w:rsidR="00143853" w:rsidRPr="002862EE" w:rsidRDefault="00143853" w:rsidP="00143853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Ikke kendt </w:t>
      </w:r>
      <w:r w:rsidRPr="00B02532">
        <w:rPr>
          <w:sz w:val="24"/>
          <w:szCs w:val="24"/>
        </w:rPr>
        <w:t>(</w:t>
      </w:r>
      <w:r w:rsidRPr="000B7B13">
        <w:rPr>
          <w:sz w:val="24"/>
          <w:szCs w:val="24"/>
        </w:rPr>
        <w:t>kan ikke estimeres ud fra forhåndenværende data</w:t>
      </w:r>
      <w:r w:rsidRPr="00B02532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</w:t>
      </w:r>
      <w:r w:rsidRPr="00B02532">
        <w:rPr>
          <w:sz w:val="24"/>
          <w:szCs w:val="24"/>
        </w:rPr>
        <w:t>aculaødem</w:t>
      </w:r>
      <w:proofErr w:type="spellEnd"/>
      <w:r w:rsidRPr="00B02532">
        <w:rPr>
          <w:sz w:val="24"/>
          <w:szCs w:val="24"/>
        </w:rPr>
        <w:t>.</w:t>
      </w:r>
    </w:p>
    <w:p w:rsidR="00143853" w:rsidRPr="002862EE" w:rsidRDefault="00143853" w:rsidP="00143853">
      <w:pPr>
        <w:ind w:left="851" w:hanging="851"/>
        <w:rPr>
          <w:sz w:val="24"/>
          <w:szCs w:val="24"/>
        </w:rPr>
      </w:pPr>
    </w:p>
    <w:p w:rsidR="00143853" w:rsidRPr="00B02532" w:rsidRDefault="00143853" w:rsidP="00143853">
      <w:pPr>
        <w:ind w:left="851"/>
        <w:rPr>
          <w:b/>
          <w:sz w:val="24"/>
          <w:szCs w:val="24"/>
        </w:rPr>
      </w:pPr>
      <w:r w:rsidRPr="00B02532">
        <w:rPr>
          <w:b/>
          <w:sz w:val="24"/>
          <w:szCs w:val="24"/>
        </w:rPr>
        <w:t>Immunsystemet</w:t>
      </w:r>
    </w:p>
    <w:p w:rsidR="00143853" w:rsidRDefault="00143853" w:rsidP="00143853">
      <w:pPr>
        <w:ind w:left="851"/>
        <w:rPr>
          <w:sz w:val="24"/>
          <w:szCs w:val="24"/>
        </w:rPr>
      </w:pPr>
      <w:r w:rsidRPr="002862EE">
        <w:rPr>
          <w:sz w:val="24"/>
          <w:szCs w:val="24"/>
          <w:u w:val="single"/>
        </w:rPr>
        <w:t>Meget sjælden</w:t>
      </w:r>
      <w:r w:rsidRPr="002862EE">
        <w:rPr>
          <w:sz w:val="24"/>
          <w:szCs w:val="24"/>
        </w:rPr>
        <w:t xml:space="preserve"> (&lt;1/10.000): </w:t>
      </w:r>
      <w:proofErr w:type="spellStart"/>
      <w:r w:rsidRPr="002862EE">
        <w:rPr>
          <w:sz w:val="24"/>
          <w:szCs w:val="24"/>
        </w:rPr>
        <w:t>anafylaktisk</w:t>
      </w:r>
      <w:proofErr w:type="spellEnd"/>
      <w:r w:rsidRPr="002862EE">
        <w:rPr>
          <w:sz w:val="24"/>
          <w:szCs w:val="24"/>
        </w:rPr>
        <w:t xml:space="preserve"> reaktion.</w:t>
      </w:r>
    </w:p>
    <w:p w:rsidR="00143853" w:rsidRDefault="00143853" w:rsidP="00143853">
      <w:pPr>
        <w:ind w:left="851"/>
        <w:rPr>
          <w:sz w:val="24"/>
          <w:szCs w:val="24"/>
        </w:rPr>
      </w:pPr>
    </w:p>
    <w:p w:rsidR="00143853" w:rsidRDefault="00143853" w:rsidP="00143853">
      <w:pPr>
        <w:pStyle w:val="Sidehoved"/>
        <w:ind w:left="851"/>
        <w:rPr>
          <w:u w:val="single"/>
        </w:rPr>
      </w:pPr>
      <w:r>
        <w:rPr>
          <w:u w:val="single"/>
        </w:rPr>
        <w:t>Indberetning af formodede bivirkninger</w:t>
      </w:r>
    </w:p>
    <w:p w:rsidR="00143853" w:rsidRDefault="00143853" w:rsidP="00143853">
      <w:pPr>
        <w:pStyle w:val="Sidehoved"/>
        <w:ind w:left="851"/>
      </w:pPr>
      <w:r>
        <w:t>Når lægemidlet er godkendt, er indberetning af formodede bivirkninger vigtig. Det muliggør løbende overvågning af benefit/</w:t>
      </w:r>
      <w:proofErr w:type="spellStart"/>
      <w:r>
        <w:t>risk</w:t>
      </w:r>
      <w:proofErr w:type="spellEnd"/>
      <w:r>
        <w:t>-forholdet for lægemidlet. Læger og sundhedspersonale anmodes om at indberette alle formodede bivirkninger via</w:t>
      </w:r>
    </w:p>
    <w:p w:rsidR="00143853" w:rsidRDefault="00143853" w:rsidP="00143853">
      <w:pPr>
        <w:pStyle w:val="Sidehoved"/>
        <w:ind w:left="851"/>
      </w:pPr>
      <w:r>
        <w:t>Lægemiddelstyrelsen</w:t>
      </w:r>
    </w:p>
    <w:p w:rsidR="00143853" w:rsidRDefault="00143853" w:rsidP="00143853">
      <w:pPr>
        <w:pStyle w:val="Sidehoved"/>
        <w:ind w:left="851"/>
      </w:pPr>
      <w:r>
        <w:t>Axel Heides Gade 1</w:t>
      </w:r>
    </w:p>
    <w:p w:rsidR="00143853" w:rsidRDefault="00143853" w:rsidP="00143853">
      <w:pPr>
        <w:pStyle w:val="Sidehoved"/>
        <w:ind w:left="851"/>
      </w:pPr>
      <w:r>
        <w:t>DK-2300 København S</w:t>
      </w:r>
    </w:p>
    <w:p w:rsidR="00143853" w:rsidRPr="00B00D09" w:rsidRDefault="00143853" w:rsidP="00143853">
      <w:pPr>
        <w:pStyle w:val="Sidehoved"/>
        <w:ind w:left="851"/>
      </w:pPr>
      <w:r w:rsidRPr="00B00D09">
        <w:t xml:space="preserve">Websted: </w:t>
      </w:r>
      <w:hyperlink r:id="rId9" w:tooltip="http://www.meldenbivirkning.dk/" w:history="1">
        <w:r w:rsidRPr="00B00D09">
          <w:rPr>
            <w:rStyle w:val="Hyperlink"/>
          </w:rPr>
          <w:t>www.meldenbivirkning.dk</w:t>
        </w:r>
      </w:hyperlink>
    </w:p>
    <w:p w:rsidR="008706DF" w:rsidRPr="00B00D09" w:rsidRDefault="008706DF" w:rsidP="00143853">
      <w:pPr>
        <w:ind w:left="851" w:hanging="851"/>
        <w:rPr>
          <w:szCs w:val="24"/>
        </w:rPr>
      </w:pPr>
    </w:p>
    <w:p w:rsidR="008706DF" w:rsidRPr="002862EE" w:rsidRDefault="008706DF" w:rsidP="00396C92">
      <w:pPr>
        <w:keepNext/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lastRenderedPageBreak/>
        <w:t>4.9</w:t>
      </w:r>
      <w:r w:rsidRPr="002862EE">
        <w:rPr>
          <w:b/>
          <w:sz w:val="24"/>
          <w:szCs w:val="24"/>
        </w:rPr>
        <w:tab/>
        <w:t>Overdosering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De rapporterede tilfælde af overdosering er dem, der er beskrevet i litteraturen efter ikke korrekt fortynding og ikke-godkendt anvendelse af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beregnet til systemisk administration. 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Der blev administreret en utilsigtet høj dosis (3 gange den anbefalede dosis)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</w:t>
      </w:r>
      <w:proofErr w:type="spellStart"/>
      <w:r w:rsidRPr="002862EE">
        <w:rPr>
          <w:sz w:val="24"/>
          <w:szCs w:val="24"/>
        </w:rPr>
        <w:t>intrakameralt</w:t>
      </w:r>
      <w:proofErr w:type="spellEnd"/>
      <w:r w:rsidRPr="002862EE">
        <w:rPr>
          <w:sz w:val="24"/>
          <w:szCs w:val="24"/>
        </w:rPr>
        <w:t xml:space="preserve"> til 6 patienter, efter forkert fortynding på baggrund af en hjemmelavet protokol for fortynding af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. Disse injektioner medførte ingen </w:t>
      </w:r>
      <w:proofErr w:type="spellStart"/>
      <w:r w:rsidRPr="002862EE">
        <w:rPr>
          <w:sz w:val="24"/>
          <w:szCs w:val="24"/>
        </w:rPr>
        <w:t>detekterbare</w:t>
      </w:r>
      <w:proofErr w:type="spellEnd"/>
      <w:r w:rsidRPr="002862EE">
        <w:rPr>
          <w:sz w:val="24"/>
          <w:szCs w:val="24"/>
        </w:rPr>
        <w:t xml:space="preserve"> bivirkninger hos nogen af disse patienter, heller ikke i </w:t>
      </w:r>
      <w:proofErr w:type="spellStart"/>
      <w:r w:rsidRPr="002862EE">
        <w:rPr>
          <w:sz w:val="24"/>
          <w:szCs w:val="24"/>
        </w:rPr>
        <w:t>okulært</w:t>
      </w:r>
      <w:proofErr w:type="spellEnd"/>
      <w:r w:rsidRPr="002862EE">
        <w:rPr>
          <w:sz w:val="24"/>
          <w:szCs w:val="24"/>
        </w:rPr>
        <w:t xml:space="preserve"> væv. 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Data for toksicitet var tilgængelige efter </w:t>
      </w:r>
      <w:proofErr w:type="spellStart"/>
      <w:r w:rsidRPr="002862EE">
        <w:rPr>
          <w:sz w:val="24"/>
          <w:szCs w:val="24"/>
        </w:rPr>
        <w:t>intrakameral</w:t>
      </w:r>
      <w:proofErr w:type="spellEnd"/>
      <w:r w:rsidRPr="002862EE">
        <w:rPr>
          <w:sz w:val="24"/>
          <w:szCs w:val="24"/>
        </w:rPr>
        <w:t xml:space="preserve"> injektion under kataraktoperation med 40 til 50-gange den anbefalede dosis af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til 6 patienter efter en fortyndingsfejl. Initial middel synsskarphed var 20/200. Der var alvorlig inflammation af forreste segment og </w:t>
      </w:r>
      <w:proofErr w:type="spellStart"/>
      <w:r w:rsidRPr="002862EE">
        <w:rPr>
          <w:sz w:val="24"/>
          <w:szCs w:val="24"/>
        </w:rPr>
        <w:t>retinal</w:t>
      </w:r>
      <w:proofErr w:type="spellEnd"/>
      <w:r w:rsidRPr="002862EE">
        <w:rPr>
          <w:sz w:val="24"/>
          <w:szCs w:val="24"/>
        </w:rPr>
        <w:t xml:space="preserve"> optisk </w:t>
      </w:r>
      <w:proofErr w:type="spellStart"/>
      <w:r w:rsidRPr="002862EE">
        <w:rPr>
          <w:sz w:val="24"/>
          <w:szCs w:val="24"/>
        </w:rPr>
        <w:t>coherenstomografi</w:t>
      </w:r>
      <w:proofErr w:type="spellEnd"/>
      <w:r w:rsidRPr="002862EE">
        <w:rPr>
          <w:sz w:val="24"/>
          <w:szCs w:val="24"/>
        </w:rPr>
        <w:t xml:space="preserve"> viste udtalt </w:t>
      </w:r>
      <w:proofErr w:type="spellStart"/>
      <w:r w:rsidRPr="002862EE">
        <w:rPr>
          <w:sz w:val="24"/>
          <w:szCs w:val="24"/>
        </w:rPr>
        <w:t>makulært</w:t>
      </w:r>
      <w:proofErr w:type="spellEnd"/>
      <w:r w:rsidRPr="002862EE">
        <w:rPr>
          <w:sz w:val="24"/>
          <w:szCs w:val="24"/>
        </w:rPr>
        <w:t xml:space="preserve"> ødem. Seks uger efter operation opnåedes middel synsskarphed på 20/25. </w:t>
      </w:r>
      <w:proofErr w:type="spellStart"/>
      <w:r w:rsidRPr="002862EE">
        <w:rPr>
          <w:sz w:val="24"/>
          <w:szCs w:val="24"/>
        </w:rPr>
        <w:t>Makulær</w:t>
      </w:r>
      <w:proofErr w:type="spellEnd"/>
      <w:r w:rsidRPr="002862EE">
        <w:rPr>
          <w:sz w:val="24"/>
          <w:szCs w:val="24"/>
        </w:rPr>
        <w:t xml:space="preserve"> optisk </w:t>
      </w:r>
      <w:proofErr w:type="spellStart"/>
      <w:r w:rsidRPr="002862EE">
        <w:rPr>
          <w:sz w:val="24"/>
          <w:szCs w:val="24"/>
        </w:rPr>
        <w:t>coherenstomografi</w:t>
      </w:r>
      <w:proofErr w:type="spellEnd"/>
      <w:r w:rsidRPr="002862EE">
        <w:rPr>
          <w:sz w:val="24"/>
          <w:szCs w:val="24"/>
        </w:rPr>
        <w:t xml:space="preserve">-profil normaliseredes. Der kunne dog observeres 30% reduktion i skotopisk </w:t>
      </w:r>
      <w:proofErr w:type="spellStart"/>
      <w:r w:rsidRPr="002862EE">
        <w:rPr>
          <w:sz w:val="24"/>
          <w:szCs w:val="24"/>
        </w:rPr>
        <w:t>elektroretinografi</w:t>
      </w:r>
      <w:proofErr w:type="spellEnd"/>
      <w:r w:rsidRPr="002862EE">
        <w:rPr>
          <w:sz w:val="24"/>
          <w:szCs w:val="24"/>
        </w:rPr>
        <w:t xml:space="preserve"> hos alle patienter.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Administration af ikke korrekt fortyndet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(10-100 mg pr. øje) til 16 patienter resulterede i </w:t>
      </w:r>
      <w:proofErr w:type="spellStart"/>
      <w:r w:rsidRPr="002862EE">
        <w:rPr>
          <w:sz w:val="24"/>
          <w:szCs w:val="24"/>
        </w:rPr>
        <w:t>okulær</w:t>
      </w:r>
      <w:proofErr w:type="spellEnd"/>
      <w:r w:rsidRPr="002862EE">
        <w:rPr>
          <w:sz w:val="24"/>
          <w:szCs w:val="24"/>
        </w:rPr>
        <w:t xml:space="preserve"> toksicitet, herunder </w:t>
      </w:r>
      <w:proofErr w:type="spellStart"/>
      <w:r w:rsidRPr="002862EE">
        <w:rPr>
          <w:sz w:val="24"/>
          <w:szCs w:val="24"/>
        </w:rPr>
        <w:t>corneaødem</w:t>
      </w:r>
      <w:proofErr w:type="spellEnd"/>
      <w:r w:rsidRPr="002862EE">
        <w:rPr>
          <w:sz w:val="24"/>
          <w:szCs w:val="24"/>
        </w:rPr>
        <w:t xml:space="preserve">, der svandt efter uger, forbigående forhøjet </w:t>
      </w:r>
      <w:proofErr w:type="spellStart"/>
      <w:r w:rsidRPr="002862EE">
        <w:rPr>
          <w:sz w:val="24"/>
          <w:szCs w:val="24"/>
        </w:rPr>
        <w:t>intraokulært</w:t>
      </w:r>
      <w:proofErr w:type="spellEnd"/>
      <w:r w:rsidRPr="002862EE">
        <w:rPr>
          <w:sz w:val="24"/>
          <w:szCs w:val="24"/>
        </w:rPr>
        <w:t xml:space="preserve"> tryk, tab af </w:t>
      </w:r>
      <w:proofErr w:type="spellStart"/>
      <w:r w:rsidRPr="002862EE">
        <w:rPr>
          <w:sz w:val="24"/>
          <w:szCs w:val="24"/>
        </w:rPr>
        <w:t>corneaendotelceller</w:t>
      </w:r>
      <w:proofErr w:type="spellEnd"/>
      <w:r w:rsidRPr="002862EE">
        <w:rPr>
          <w:sz w:val="24"/>
          <w:szCs w:val="24"/>
        </w:rPr>
        <w:t xml:space="preserve"> og ændring i </w:t>
      </w:r>
      <w:proofErr w:type="spellStart"/>
      <w:r w:rsidRPr="002862EE">
        <w:rPr>
          <w:sz w:val="24"/>
          <w:szCs w:val="24"/>
        </w:rPr>
        <w:t>elektroretinografi</w:t>
      </w:r>
      <w:proofErr w:type="spellEnd"/>
      <w:r w:rsidRPr="002862EE">
        <w:rPr>
          <w:sz w:val="24"/>
          <w:szCs w:val="24"/>
        </w:rPr>
        <w:t>. Et antal af disse patienter fik permanent og alvorligt synstab.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4.10</w:t>
      </w:r>
      <w:r w:rsidRPr="002862EE">
        <w:rPr>
          <w:b/>
          <w:sz w:val="24"/>
          <w:szCs w:val="24"/>
        </w:rPr>
        <w:tab/>
        <w:t>Udlevering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r>
        <w:rPr>
          <w:sz w:val="24"/>
          <w:szCs w:val="24"/>
        </w:rPr>
        <w:t>A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5.</w:t>
      </w:r>
      <w:r w:rsidRPr="002862EE">
        <w:rPr>
          <w:b/>
          <w:sz w:val="24"/>
          <w:szCs w:val="24"/>
        </w:rPr>
        <w:tab/>
        <w:t>FARMAKOLOGISKE EGENSKABER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5.0</w:t>
      </w:r>
      <w:r w:rsidRPr="002862EE">
        <w:rPr>
          <w:b/>
          <w:sz w:val="24"/>
          <w:szCs w:val="24"/>
        </w:rPr>
        <w:tab/>
        <w:t>Terapeutisk klassifikation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ATC-kode: S01AA27. </w:t>
      </w:r>
      <w:r>
        <w:rPr>
          <w:sz w:val="24"/>
          <w:szCs w:val="24"/>
        </w:rPr>
        <w:t>S</w:t>
      </w:r>
      <w:r w:rsidRPr="002862EE">
        <w:rPr>
          <w:sz w:val="24"/>
          <w:szCs w:val="24"/>
        </w:rPr>
        <w:t xml:space="preserve">anseorganer – </w:t>
      </w:r>
      <w:proofErr w:type="spellStart"/>
      <w:r w:rsidRPr="002862EE">
        <w:rPr>
          <w:sz w:val="24"/>
          <w:szCs w:val="24"/>
        </w:rPr>
        <w:t>ophthamologica</w:t>
      </w:r>
      <w:proofErr w:type="spellEnd"/>
      <w:r w:rsidRPr="002862EE">
        <w:rPr>
          <w:sz w:val="24"/>
          <w:szCs w:val="24"/>
        </w:rPr>
        <w:t xml:space="preserve"> – </w:t>
      </w:r>
      <w:proofErr w:type="spellStart"/>
      <w:r w:rsidRPr="002862EE">
        <w:rPr>
          <w:sz w:val="24"/>
          <w:szCs w:val="24"/>
        </w:rPr>
        <w:t>antiinfektiva</w:t>
      </w:r>
      <w:proofErr w:type="spellEnd"/>
      <w:r w:rsidRPr="002862E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862EE">
        <w:rPr>
          <w:sz w:val="24"/>
          <w:szCs w:val="24"/>
        </w:rPr>
        <w:t xml:space="preserve"> antibiotika</w:t>
      </w:r>
      <w:r>
        <w:rPr>
          <w:sz w:val="24"/>
          <w:szCs w:val="24"/>
        </w:rPr>
        <w:t>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5.1</w:t>
      </w:r>
      <w:r w:rsidRPr="002862EE">
        <w:rPr>
          <w:b/>
          <w:sz w:val="24"/>
          <w:szCs w:val="24"/>
        </w:rPr>
        <w:tab/>
      </w:r>
      <w:proofErr w:type="spellStart"/>
      <w:r w:rsidRPr="002862EE">
        <w:rPr>
          <w:b/>
          <w:sz w:val="24"/>
          <w:szCs w:val="24"/>
        </w:rPr>
        <w:t>Farmakodynamiske</w:t>
      </w:r>
      <w:proofErr w:type="spellEnd"/>
      <w:r w:rsidRPr="002862EE">
        <w:rPr>
          <w:b/>
          <w:sz w:val="24"/>
          <w:szCs w:val="24"/>
        </w:rPr>
        <w:t xml:space="preserve"> egenskaber</w:t>
      </w:r>
    </w:p>
    <w:p w:rsidR="00143853" w:rsidRPr="002862EE" w:rsidRDefault="008706DF" w:rsidP="00143853">
      <w:pPr>
        <w:ind w:left="851" w:hanging="851"/>
        <w:rPr>
          <w:b/>
          <w:bCs/>
          <w:sz w:val="24"/>
          <w:szCs w:val="24"/>
          <w:u w:val="single"/>
        </w:rPr>
      </w:pPr>
      <w:r w:rsidRPr="002862EE">
        <w:rPr>
          <w:sz w:val="24"/>
          <w:szCs w:val="24"/>
        </w:rPr>
        <w:tab/>
      </w:r>
      <w:r w:rsidR="00143853" w:rsidRPr="002862EE">
        <w:rPr>
          <w:b/>
          <w:bCs/>
          <w:sz w:val="24"/>
          <w:szCs w:val="24"/>
          <w:u w:val="single"/>
        </w:rPr>
        <w:t>Virkningsmekanisme</w:t>
      </w:r>
    </w:p>
    <w:p w:rsidR="00143853" w:rsidRPr="002862EE" w:rsidRDefault="00143853" w:rsidP="00143853">
      <w:pPr>
        <w:ind w:left="851"/>
        <w:rPr>
          <w:bCs/>
          <w:sz w:val="24"/>
          <w:szCs w:val="24"/>
        </w:rPr>
      </w:pP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 hæmmer syntesen i bakteriens cellevæg efter binding til penicillinbindende proteiner (</w:t>
      </w:r>
      <w:proofErr w:type="spellStart"/>
      <w:r w:rsidRPr="002862EE">
        <w:rPr>
          <w:bCs/>
          <w:sz w:val="24"/>
          <w:szCs w:val="24"/>
        </w:rPr>
        <w:t>PBP’ere</w:t>
      </w:r>
      <w:proofErr w:type="spellEnd"/>
      <w:r w:rsidRPr="002862EE">
        <w:rPr>
          <w:bCs/>
          <w:sz w:val="24"/>
          <w:szCs w:val="24"/>
        </w:rPr>
        <w:t>). Det medfører en afbrydelse af cellevæggens biosyntese (</w:t>
      </w:r>
      <w:proofErr w:type="spellStart"/>
      <w:r w:rsidRPr="002862EE">
        <w:rPr>
          <w:bCs/>
          <w:sz w:val="24"/>
          <w:szCs w:val="24"/>
        </w:rPr>
        <w:t>peptidglycan</w:t>
      </w:r>
      <w:proofErr w:type="spellEnd"/>
      <w:r w:rsidRPr="002862EE">
        <w:rPr>
          <w:bCs/>
          <w:sz w:val="24"/>
          <w:szCs w:val="24"/>
        </w:rPr>
        <w:t>), som medfører bakteriel cellelyse og –død.</w:t>
      </w:r>
    </w:p>
    <w:p w:rsidR="00143853" w:rsidRPr="002862EE" w:rsidRDefault="00143853" w:rsidP="00143853">
      <w:pPr>
        <w:ind w:left="851" w:hanging="851"/>
        <w:rPr>
          <w:bCs/>
          <w:sz w:val="24"/>
          <w:szCs w:val="24"/>
        </w:rPr>
      </w:pPr>
    </w:p>
    <w:p w:rsidR="00143853" w:rsidRPr="002862EE" w:rsidRDefault="00143853" w:rsidP="00143853">
      <w:pPr>
        <w:ind w:left="851"/>
        <w:rPr>
          <w:b/>
          <w:bCs/>
          <w:sz w:val="24"/>
          <w:szCs w:val="24"/>
          <w:u w:val="single"/>
        </w:rPr>
      </w:pPr>
      <w:r w:rsidRPr="002862EE">
        <w:rPr>
          <w:b/>
          <w:bCs/>
          <w:sz w:val="24"/>
          <w:szCs w:val="24"/>
          <w:u w:val="single"/>
        </w:rPr>
        <w:t>PD/</w:t>
      </w:r>
      <w:proofErr w:type="gramStart"/>
      <w:r w:rsidRPr="002862EE">
        <w:rPr>
          <w:b/>
          <w:bCs/>
          <w:sz w:val="24"/>
          <w:szCs w:val="24"/>
          <w:u w:val="single"/>
        </w:rPr>
        <w:t>PK(</w:t>
      </w:r>
      <w:proofErr w:type="spellStart"/>
      <w:proofErr w:type="gramEnd"/>
      <w:r w:rsidRPr="002862EE">
        <w:rPr>
          <w:b/>
          <w:bCs/>
          <w:sz w:val="24"/>
          <w:szCs w:val="24"/>
          <w:u w:val="single"/>
        </w:rPr>
        <w:t>farmakodynamisk</w:t>
      </w:r>
      <w:proofErr w:type="spellEnd"/>
      <w:r w:rsidRPr="002862EE">
        <w:rPr>
          <w:b/>
          <w:bCs/>
          <w:sz w:val="24"/>
          <w:szCs w:val="24"/>
          <w:u w:val="single"/>
        </w:rPr>
        <w:t>/</w:t>
      </w:r>
      <w:proofErr w:type="spellStart"/>
      <w:r w:rsidRPr="002862EE">
        <w:rPr>
          <w:b/>
          <w:bCs/>
          <w:sz w:val="24"/>
          <w:szCs w:val="24"/>
          <w:u w:val="single"/>
        </w:rPr>
        <w:t>farmakokinetisk</w:t>
      </w:r>
      <w:proofErr w:type="spellEnd"/>
      <w:r w:rsidRPr="002862EE">
        <w:rPr>
          <w:b/>
          <w:bCs/>
          <w:sz w:val="24"/>
          <w:szCs w:val="24"/>
          <w:u w:val="single"/>
        </w:rPr>
        <w:t>)-sammenhæng</w:t>
      </w:r>
    </w:p>
    <w:p w:rsidR="00143853" w:rsidRPr="002862EE" w:rsidRDefault="00143853" w:rsidP="00143853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Det vigtigste </w:t>
      </w:r>
      <w:proofErr w:type="spellStart"/>
      <w:r w:rsidRPr="002862EE">
        <w:rPr>
          <w:bCs/>
          <w:sz w:val="24"/>
          <w:szCs w:val="24"/>
        </w:rPr>
        <w:t>farmakokinetiske-farmakodynamiske</w:t>
      </w:r>
      <w:proofErr w:type="spellEnd"/>
      <w:r w:rsidRPr="002862EE">
        <w:rPr>
          <w:bCs/>
          <w:sz w:val="24"/>
          <w:szCs w:val="24"/>
        </w:rPr>
        <w:t xml:space="preserve"> indeks for </w:t>
      </w:r>
      <w:proofErr w:type="spellStart"/>
      <w:r w:rsidRPr="002862EE">
        <w:rPr>
          <w:bCs/>
          <w:sz w:val="24"/>
          <w:szCs w:val="24"/>
        </w:rPr>
        <w:t>cephalosporiner</w:t>
      </w:r>
      <w:proofErr w:type="spellEnd"/>
      <w:r w:rsidRPr="002862EE">
        <w:rPr>
          <w:bCs/>
          <w:sz w:val="24"/>
          <w:szCs w:val="24"/>
        </w:rPr>
        <w:t xml:space="preserve">, der korrelerer med in </w:t>
      </w:r>
      <w:proofErr w:type="spellStart"/>
      <w:r w:rsidRPr="002862EE">
        <w:rPr>
          <w:bCs/>
          <w:sz w:val="24"/>
          <w:szCs w:val="24"/>
        </w:rPr>
        <w:t>vivo</w:t>
      </w:r>
      <w:proofErr w:type="spellEnd"/>
      <w:r w:rsidRPr="002862EE">
        <w:rPr>
          <w:bCs/>
          <w:sz w:val="24"/>
          <w:szCs w:val="24"/>
        </w:rPr>
        <w:t xml:space="preserve"> effekt, viste</w:t>
      </w:r>
      <w:r>
        <w:rPr>
          <w:bCs/>
          <w:sz w:val="24"/>
          <w:szCs w:val="24"/>
        </w:rPr>
        <w:t xml:space="preserve"> sig</w:t>
      </w:r>
      <w:r w:rsidRPr="002862EE">
        <w:rPr>
          <w:bCs/>
          <w:sz w:val="24"/>
          <w:szCs w:val="24"/>
        </w:rPr>
        <w:t xml:space="preserve"> at være den procentdel af doseringsintervallet (%T), af den ubundne koncentration, der ligger over </w:t>
      </w:r>
      <w:proofErr w:type="spellStart"/>
      <w:r w:rsidRPr="002862EE">
        <w:rPr>
          <w:bCs/>
          <w:sz w:val="24"/>
          <w:szCs w:val="24"/>
        </w:rPr>
        <w:t>cefuroxims</w:t>
      </w:r>
      <w:proofErr w:type="spellEnd"/>
      <w:r w:rsidRPr="002862EE">
        <w:rPr>
          <w:bCs/>
          <w:sz w:val="24"/>
          <w:szCs w:val="24"/>
        </w:rPr>
        <w:t xml:space="preserve"> minimale hæmmende koncentration (MIC) for de enkelte dyrearter (dvs. %T&gt;MIC).</w:t>
      </w:r>
    </w:p>
    <w:p w:rsidR="00143853" w:rsidRPr="002862EE" w:rsidRDefault="00143853" w:rsidP="00143853">
      <w:pPr>
        <w:ind w:left="851" w:hanging="851"/>
        <w:rPr>
          <w:bCs/>
          <w:sz w:val="24"/>
          <w:szCs w:val="24"/>
        </w:rPr>
      </w:pPr>
    </w:p>
    <w:p w:rsidR="00143853" w:rsidRPr="002862EE" w:rsidRDefault="00143853" w:rsidP="00143853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Efter </w:t>
      </w:r>
      <w:proofErr w:type="spellStart"/>
      <w:r w:rsidRPr="002862EE">
        <w:rPr>
          <w:bCs/>
          <w:sz w:val="24"/>
          <w:szCs w:val="24"/>
        </w:rPr>
        <w:t>intrakameral</w:t>
      </w:r>
      <w:proofErr w:type="spellEnd"/>
      <w:r w:rsidRPr="002862EE">
        <w:rPr>
          <w:bCs/>
          <w:sz w:val="24"/>
          <w:szCs w:val="24"/>
        </w:rPr>
        <w:t xml:space="preserve"> injektion af 1 mg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, var </w:t>
      </w:r>
      <w:proofErr w:type="spellStart"/>
      <w:r w:rsidRPr="002862EE">
        <w:rPr>
          <w:bCs/>
          <w:sz w:val="24"/>
          <w:szCs w:val="24"/>
        </w:rPr>
        <w:t>cefuroximniveauet</w:t>
      </w:r>
      <w:proofErr w:type="spellEnd"/>
      <w:r w:rsidRPr="002862EE">
        <w:rPr>
          <w:bCs/>
          <w:sz w:val="24"/>
          <w:szCs w:val="24"/>
        </w:rPr>
        <w:t xml:space="preserve"> i kammervæsken over MIC hos adskillige relevante arter i op til 4-5 timer efter operation.</w:t>
      </w:r>
    </w:p>
    <w:p w:rsidR="008706DF" w:rsidRPr="002862EE" w:rsidRDefault="008706DF" w:rsidP="00143853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b/>
          <w:bCs/>
          <w:sz w:val="24"/>
          <w:szCs w:val="24"/>
          <w:u w:val="single"/>
        </w:rPr>
      </w:pPr>
      <w:r w:rsidRPr="002862EE">
        <w:rPr>
          <w:b/>
          <w:bCs/>
          <w:sz w:val="24"/>
          <w:szCs w:val="24"/>
          <w:u w:val="single"/>
        </w:rPr>
        <w:t>Resistensmekanisme</w:t>
      </w: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Bakteriel resistens over for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 kan muligvis skyldes en eller flere af følgende mekanismer:</w:t>
      </w:r>
    </w:p>
    <w:p w:rsidR="008706DF" w:rsidRPr="002862EE" w:rsidRDefault="008706DF" w:rsidP="008706DF">
      <w:pPr>
        <w:numPr>
          <w:ilvl w:val="0"/>
          <w:numId w:val="6"/>
        </w:numPr>
        <w:tabs>
          <w:tab w:val="clear" w:pos="720"/>
        </w:tabs>
        <w:ind w:left="1276" w:hanging="425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hydrolyse ved </w:t>
      </w:r>
      <w:proofErr w:type="spellStart"/>
      <w:r w:rsidRPr="002862EE">
        <w:rPr>
          <w:bCs/>
          <w:sz w:val="24"/>
          <w:szCs w:val="24"/>
        </w:rPr>
        <w:t>betalaktamaser</w:t>
      </w:r>
      <w:proofErr w:type="spellEnd"/>
      <w:r w:rsidRPr="002862EE">
        <w:rPr>
          <w:bCs/>
          <w:sz w:val="24"/>
          <w:szCs w:val="24"/>
        </w:rPr>
        <w:t xml:space="preserve">.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 kan hydrolyseres effektivt af visse bredspektrede </w:t>
      </w:r>
      <w:proofErr w:type="spellStart"/>
      <w:r w:rsidRPr="002862EE">
        <w:rPr>
          <w:bCs/>
          <w:sz w:val="24"/>
          <w:szCs w:val="24"/>
        </w:rPr>
        <w:t>betalaktamaser</w:t>
      </w:r>
      <w:proofErr w:type="spellEnd"/>
      <w:r w:rsidRPr="002862EE">
        <w:rPr>
          <w:bCs/>
          <w:sz w:val="24"/>
          <w:szCs w:val="24"/>
        </w:rPr>
        <w:t xml:space="preserve"> (</w:t>
      </w:r>
      <w:proofErr w:type="spellStart"/>
      <w:r w:rsidRPr="002862EE">
        <w:rPr>
          <w:bCs/>
          <w:sz w:val="24"/>
          <w:szCs w:val="24"/>
        </w:rPr>
        <w:t>ESBL’ere</w:t>
      </w:r>
      <w:proofErr w:type="spellEnd"/>
      <w:r w:rsidRPr="002862EE">
        <w:rPr>
          <w:bCs/>
          <w:sz w:val="24"/>
          <w:szCs w:val="24"/>
        </w:rPr>
        <w:t>) og af det kromosomalt kodede (</w:t>
      </w:r>
      <w:proofErr w:type="spellStart"/>
      <w:r w:rsidRPr="002862EE">
        <w:rPr>
          <w:bCs/>
          <w:sz w:val="24"/>
          <w:szCs w:val="24"/>
        </w:rPr>
        <w:t>AmpC</w:t>
      </w:r>
      <w:proofErr w:type="spellEnd"/>
      <w:r w:rsidRPr="002862EE">
        <w:rPr>
          <w:bCs/>
          <w:sz w:val="24"/>
          <w:szCs w:val="24"/>
        </w:rPr>
        <w:t xml:space="preserve">) enzym, der kan være induceret eller stabilt svækket af visse aerobe </w:t>
      </w:r>
      <w:proofErr w:type="spellStart"/>
      <w:r w:rsidRPr="002862EE">
        <w:rPr>
          <w:bCs/>
          <w:sz w:val="24"/>
          <w:szCs w:val="24"/>
        </w:rPr>
        <w:t>gram-negative</w:t>
      </w:r>
      <w:proofErr w:type="spellEnd"/>
      <w:r w:rsidRPr="002862EE">
        <w:rPr>
          <w:bCs/>
          <w:sz w:val="24"/>
          <w:szCs w:val="24"/>
        </w:rPr>
        <w:t xml:space="preserve"> bakteriearter;</w:t>
      </w:r>
    </w:p>
    <w:p w:rsidR="008706DF" w:rsidRPr="002862EE" w:rsidRDefault="008706DF" w:rsidP="008706DF">
      <w:pPr>
        <w:numPr>
          <w:ilvl w:val="0"/>
          <w:numId w:val="6"/>
        </w:numPr>
        <w:tabs>
          <w:tab w:val="clear" w:pos="720"/>
        </w:tabs>
        <w:ind w:left="1276" w:hanging="425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lastRenderedPageBreak/>
        <w:t xml:space="preserve">nedsat affinitet af penicillinbindende proteiner over for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;</w:t>
      </w:r>
    </w:p>
    <w:p w:rsidR="008706DF" w:rsidRPr="002862EE" w:rsidRDefault="008706DF" w:rsidP="008706DF">
      <w:pPr>
        <w:numPr>
          <w:ilvl w:val="0"/>
          <w:numId w:val="6"/>
        </w:numPr>
        <w:tabs>
          <w:tab w:val="clear" w:pos="720"/>
        </w:tabs>
        <w:ind w:left="1276" w:hanging="425"/>
        <w:rPr>
          <w:bCs/>
          <w:sz w:val="24"/>
          <w:szCs w:val="24"/>
        </w:rPr>
      </w:pPr>
      <w:proofErr w:type="spellStart"/>
      <w:r w:rsidRPr="002862EE">
        <w:rPr>
          <w:bCs/>
          <w:sz w:val="24"/>
          <w:szCs w:val="24"/>
        </w:rPr>
        <w:t>impermeabilitet</w:t>
      </w:r>
      <w:proofErr w:type="spellEnd"/>
      <w:r w:rsidRPr="002862EE">
        <w:rPr>
          <w:bCs/>
          <w:sz w:val="24"/>
          <w:szCs w:val="24"/>
        </w:rPr>
        <w:t xml:space="preserve"> af den ydre membran, der begrænser </w:t>
      </w:r>
      <w:proofErr w:type="spellStart"/>
      <w:r w:rsidRPr="002862EE">
        <w:rPr>
          <w:bCs/>
          <w:sz w:val="24"/>
          <w:szCs w:val="24"/>
        </w:rPr>
        <w:t>cefuroxims</w:t>
      </w:r>
      <w:proofErr w:type="spellEnd"/>
      <w:r w:rsidRPr="002862EE">
        <w:rPr>
          <w:bCs/>
          <w:sz w:val="24"/>
          <w:szCs w:val="24"/>
        </w:rPr>
        <w:t xml:space="preserve"> adgang til penicillinbindende proteiner hos </w:t>
      </w:r>
      <w:proofErr w:type="spellStart"/>
      <w:r w:rsidRPr="002862EE">
        <w:rPr>
          <w:bCs/>
          <w:sz w:val="24"/>
          <w:szCs w:val="24"/>
        </w:rPr>
        <w:t>gram-negative</w:t>
      </w:r>
      <w:proofErr w:type="spellEnd"/>
      <w:r w:rsidRPr="002862EE">
        <w:rPr>
          <w:bCs/>
          <w:sz w:val="24"/>
          <w:szCs w:val="24"/>
        </w:rPr>
        <w:t xml:space="preserve"> bakterier;</w:t>
      </w:r>
    </w:p>
    <w:p w:rsidR="008706DF" w:rsidRPr="002862EE" w:rsidRDefault="008706DF" w:rsidP="008706DF">
      <w:pPr>
        <w:numPr>
          <w:ilvl w:val="0"/>
          <w:numId w:val="6"/>
        </w:numPr>
        <w:tabs>
          <w:tab w:val="clear" w:pos="720"/>
        </w:tabs>
        <w:ind w:left="1276" w:hanging="425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>bakterielle lægemiddel-</w:t>
      </w:r>
      <w:proofErr w:type="spellStart"/>
      <w:r w:rsidRPr="002862EE">
        <w:rPr>
          <w:bCs/>
          <w:sz w:val="24"/>
          <w:szCs w:val="24"/>
        </w:rPr>
        <w:t>efflux</w:t>
      </w:r>
      <w:proofErr w:type="spellEnd"/>
      <w:r w:rsidRPr="002862EE">
        <w:rPr>
          <w:bCs/>
          <w:sz w:val="24"/>
          <w:szCs w:val="24"/>
        </w:rPr>
        <w:t>-pumper.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proofErr w:type="spellStart"/>
      <w:r w:rsidRPr="002862EE">
        <w:rPr>
          <w:bCs/>
          <w:sz w:val="24"/>
          <w:szCs w:val="24"/>
        </w:rPr>
        <w:t>Methicillin</w:t>
      </w:r>
      <w:proofErr w:type="spellEnd"/>
      <w:r w:rsidRPr="002862EE">
        <w:rPr>
          <w:bCs/>
          <w:sz w:val="24"/>
          <w:szCs w:val="24"/>
        </w:rPr>
        <w:t xml:space="preserve">-resistente </w:t>
      </w:r>
      <w:proofErr w:type="spellStart"/>
      <w:r w:rsidRPr="002862EE">
        <w:rPr>
          <w:bCs/>
          <w:sz w:val="24"/>
          <w:szCs w:val="24"/>
        </w:rPr>
        <w:t>staphylokokker</w:t>
      </w:r>
      <w:proofErr w:type="spellEnd"/>
      <w:r w:rsidRPr="002862EE">
        <w:rPr>
          <w:bCs/>
          <w:sz w:val="24"/>
          <w:szCs w:val="24"/>
        </w:rPr>
        <w:t xml:space="preserve"> (MRS) er resistente over for alle nuværende tilgængelige beta-</w:t>
      </w:r>
      <w:proofErr w:type="spellStart"/>
      <w:r w:rsidRPr="002862EE">
        <w:rPr>
          <w:bCs/>
          <w:sz w:val="24"/>
          <w:szCs w:val="24"/>
        </w:rPr>
        <w:t>laktam</w:t>
      </w:r>
      <w:proofErr w:type="spellEnd"/>
      <w:r w:rsidRPr="002862EE">
        <w:rPr>
          <w:bCs/>
          <w:sz w:val="24"/>
          <w:szCs w:val="24"/>
        </w:rPr>
        <w:t xml:space="preserve"> antibiotika, herunder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.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Penicillinresistente </w:t>
      </w:r>
      <w:proofErr w:type="spellStart"/>
      <w:r w:rsidRPr="002862EE">
        <w:rPr>
          <w:bCs/>
          <w:i/>
          <w:sz w:val="24"/>
          <w:szCs w:val="24"/>
        </w:rPr>
        <w:t>Streptococcus</w:t>
      </w:r>
      <w:proofErr w:type="spellEnd"/>
      <w:r w:rsidRPr="002862EE">
        <w:rPr>
          <w:bCs/>
          <w:i/>
          <w:sz w:val="24"/>
          <w:szCs w:val="24"/>
        </w:rPr>
        <w:t xml:space="preserve"> </w:t>
      </w:r>
      <w:proofErr w:type="spellStart"/>
      <w:r w:rsidRPr="002862EE">
        <w:rPr>
          <w:bCs/>
          <w:i/>
          <w:sz w:val="24"/>
          <w:szCs w:val="24"/>
        </w:rPr>
        <w:t>pneumoniae</w:t>
      </w:r>
      <w:proofErr w:type="spellEnd"/>
      <w:r w:rsidRPr="002862EE">
        <w:rPr>
          <w:bCs/>
          <w:sz w:val="24"/>
          <w:szCs w:val="24"/>
        </w:rPr>
        <w:t xml:space="preserve"> er krydsresistente over for </w:t>
      </w:r>
      <w:proofErr w:type="spellStart"/>
      <w:r w:rsidRPr="002862EE">
        <w:rPr>
          <w:bCs/>
          <w:sz w:val="24"/>
          <w:szCs w:val="24"/>
        </w:rPr>
        <w:t>cephalosporiner</w:t>
      </w:r>
      <w:proofErr w:type="spellEnd"/>
      <w:r w:rsidRPr="002862EE">
        <w:rPr>
          <w:bCs/>
          <w:sz w:val="24"/>
          <w:szCs w:val="24"/>
        </w:rPr>
        <w:t xml:space="preserve"> så som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, via ændring af penicillinbindende proteiner.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proofErr w:type="spellStart"/>
      <w:r w:rsidRPr="002862EE">
        <w:rPr>
          <w:bCs/>
          <w:sz w:val="24"/>
          <w:szCs w:val="24"/>
        </w:rPr>
        <w:t>Betalaktamase</w:t>
      </w:r>
      <w:proofErr w:type="spellEnd"/>
      <w:r>
        <w:rPr>
          <w:bCs/>
          <w:sz w:val="24"/>
          <w:szCs w:val="24"/>
        </w:rPr>
        <w:t>-</w:t>
      </w:r>
      <w:r w:rsidRPr="002862EE">
        <w:rPr>
          <w:bCs/>
          <w:sz w:val="24"/>
          <w:szCs w:val="24"/>
        </w:rPr>
        <w:t xml:space="preserve">negative, </w:t>
      </w:r>
      <w:proofErr w:type="spellStart"/>
      <w:r w:rsidRPr="002862EE">
        <w:rPr>
          <w:bCs/>
          <w:sz w:val="24"/>
          <w:szCs w:val="24"/>
        </w:rPr>
        <w:t>amoxicillinresistente</w:t>
      </w:r>
      <w:proofErr w:type="spellEnd"/>
      <w:r w:rsidRPr="002862EE">
        <w:rPr>
          <w:bCs/>
          <w:sz w:val="24"/>
          <w:szCs w:val="24"/>
        </w:rPr>
        <w:t xml:space="preserve"> (BLNAR)-stammer af </w:t>
      </w:r>
      <w:r w:rsidRPr="002862EE">
        <w:rPr>
          <w:bCs/>
          <w:i/>
          <w:sz w:val="24"/>
          <w:szCs w:val="24"/>
        </w:rPr>
        <w:t xml:space="preserve">H. </w:t>
      </w:r>
      <w:proofErr w:type="spellStart"/>
      <w:r w:rsidRPr="002862EE">
        <w:rPr>
          <w:bCs/>
          <w:i/>
          <w:sz w:val="24"/>
          <w:szCs w:val="24"/>
        </w:rPr>
        <w:t>influenzae</w:t>
      </w:r>
      <w:proofErr w:type="spellEnd"/>
      <w:r w:rsidRPr="002862EE">
        <w:rPr>
          <w:bCs/>
          <w:sz w:val="24"/>
          <w:szCs w:val="24"/>
        </w:rPr>
        <w:t xml:space="preserve"> bør betragtes som resistente over for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 til trods for tilsyneladende in </w:t>
      </w:r>
      <w:proofErr w:type="spellStart"/>
      <w:r w:rsidRPr="002862EE">
        <w:rPr>
          <w:bCs/>
          <w:sz w:val="24"/>
          <w:szCs w:val="24"/>
        </w:rPr>
        <w:t>vitro</w:t>
      </w:r>
      <w:proofErr w:type="spellEnd"/>
      <w:r w:rsidRPr="002862EE">
        <w:rPr>
          <w:bCs/>
          <w:sz w:val="24"/>
          <w:szCs w:val="24"/>
        </w:rPr>
        <w:t xml:space="preserve"> følsomhed.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proofErr w:type="spellStart"/>
      <w:r w:rsidRPr="002862EE">
        <w:rPr>
          <w:b/>
          <w:bCs/>
          <w:sz w:val="24"/>
          <w:szCs w:val="24"/>
          <w:u w:val="single"/>
        </w:rPr>
        <w:t>Breakpoints</w:t>
      </w:r>
      <w:proofErr w:type="spellEnd"/>
      <w:r w:rsidRPr="002862EE">
        <w:rPr>
          <w:bCs/>
          <w:sz w:val="24"/>
          <w:szCs w:val="24"/>
        </w:rPr>
        <w:t>:</w:t>
      </w: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>Listen med mikroorganismer, der er præsenteret nedenfor, er målrettet efter indikation (se pkt. 4.1).</w:t>
      </w: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proofErr w:type="spellStart"/>
      <w:r w:rsidRPr="002862EE">
        <w:rPr>
          <w:bCs/>
          <w:sz w:val="24"/>
          <w:szCs w:val="24"/>
        </w:rPr>
        <w:t>Aprokam</w:t>
      </w:r>
      <w:proofErr w:type="spellEnd"/>
      <w:r w:rsidRPr="002862EE">
        <w:rPr>
          <w:bCs/>
          <w:sz w:val="24"/>
          <w:szCs w:val="24"/>
        </w:rPr>
        <w:t xml:space="preserve"> må kun anvendes til </w:t>
      </w:r>
      <w:proofErr w:type="spellStart"/>
      <w:r w:rsidRPr="002862EE">
        <w:rPr>
          <w:bCs/>
          <w:sz w:val="24"/>
          <w:szCs w:val="24"/>
        </w:rPr>
        <w:t>intrakameral</w:t>
      </w:r>
      <w:proofErr w:type="spellEnd"/>
      <w:r w:rsidRPr="002862EE">
        <w:rPr>
          <w:bCs/>
          <w:sz w:val="24"/>
          <w:szCs w:val="24"/>
        </w:rPr>
        <w:t xml:space="preserve"> injektion og må ikke anvendes til behandling af systemiske infektioner (se pkt. 5.2). Kliniske </w:t>
      </w:r>
      <w:proofErr w:type="spellStart"/>
      <w:r w:rsidRPr="002862EE">
        <w:rPr>
          <w:bCs/>
          <w:sz w:val="24"/>
          <w:szCs w:val="24"/>
        </w:rPr>
        <w:t>breakpoints</w:t>
      </w:r>
      <w:proofErr w:type="spellEnd"/>
      <w:r w:rsidRPr="002862EE">
        <w:rPr>
          <w:bCs/>
          <w:sz w:val="24"/>
          <w:szCs w:val="24"/>
        </w:rPr>
        <w:t xml:space="preserve"> er ikke relevante for denne administrationsmåde. Epidemiologiske cut-</w:t>
      </w:r>
      <w:proofErr w:type="spellStart"/>
      <w:r w:rsidRPr="002862EE">
        <w:rPr>
          <w:bCs/>
          <w:sz w:val="24"/>
          <w:szCs w:val="24"/>
        </w:rPr>
        <w:t>off</w:t>
      </w:r>
      <w:proofErr w:type="spellEnd"/>
      <w:r w:rsidRPr="002862EE">
        <w:rPr>
          <w:bCs/>
          <w:sz w:val="24"/>
          <w:szCs w:val="24"/>
        </w:rPr>
        <w:t xml:space="preserve">-værdier (ECOFF), der adskiller vild-type population fra </w:t>
      </w:r>
      <w:proofErr w:type="spellStart"/>
      <w:r w:rsidRPr="002862EE">
        <w:rPr>
          <w:bCs/>
          <w:sz w:val="24"/>
          <w:szCs w:val="24"/>
        </w:rPr>
        <w:t>isolater</w:t>
      </w:r>
      <w:proofErr w:type="spellEnd"/>
      <w:r w:rsidRPr="002862EE">
        <w:rPr>
          <w:bCs/>
          <w:sz w:val="24"/>
          <w:szCs w:val="24"/>
        </w:rPr>
        <w:t xml:space="preserve"> med erhvervet resistens er følgende: 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tbl>
      <w:tblPr>
        <w:tblW w:w="65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</w:tblGrid>
      <w:tr w:rsidR="008706DF" w:rsidRPr="002862EE" w:rsidTr="003B4B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  <w:r w:rsidRPr="002862EE">
              <w:rPr>
                <w:sz w:val="24"/>
                <w:szCs w:val="24"/>
              </w:rPr>
              <w:t>ECOFF (mg/l)</w:t>
            </w:r>
          </w:p>
        </w:tc>
      </w:tr>
      <w:tr w:rsidR="008706DF" w:rsidRPr="002862EE" w:rsidTr="003B4B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i/>
                <w:sz w:val="24"/>
                <w:szCs w:val="24"/>
              </w:rPr>
            </w:pPr>
            <w:proofErr w:type="spellStart"/>
            <w:r w:rsidRPr="002862EE">
              <w:rPr>
                <w:i/>
                <w:sz w:val="24"/>
                <w:szCs w:val="24"/>
              </w:rPr>
              <w:t>Staphylococcus</w:t>
            </w:r>
            <w:proofErr w:type="spellEnd"/>
            <w:r w:rsidRPr="002862EE">
              <w:rPr>
                <w:i/>
                <w:sz w:val="24"/>
                <w:szCs w:val="24"/>
              </w:rPr>
              <w:t xml:space="preserve"> aureus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  <w:r w:rsidRPr="002862EE">
              <w:rPr>
                <w:sz w:val="24"/>
                <w:szCs w:val="24"/>
              </w:rPr>
              <w:t>≤ 4</w:t>
            </w:r>
          </w:p>
        </w:tc>
      </w:tr>
      <w:tr w:rsidR="008706DF" w:rsidRPr="002862EE" w:rsidTr="003B4B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i/>
                <w:sz w:val="24"/>
                <w:szCs w:val="24"/>
              </w:rPr>
            </w:pPr>
            <w:proofErr w:type="spellStart"/>
            <w:r w:rsidRPr="002862EE">
              <w:rPr>
                <w:i/>
                <w:sz w:val="24"/>
                <w:szCs w:val="24"/>
              </w:rPr>
              <w:t>Streptococcus</w:t>
            </w:r>
            <w:proofErr w:type="spellEnd"/>
            <w:r w:rsidRPr="002862E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62EE">
              <w:rPr>
                <w:i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  <w:r w:rsidRPr="002862EE">
              <w:rPr>
                <w:sz w:val="24"/>
                <w:szCs w:val="24"/>
              </w:rPr>
              <w:t>≤ 0,125</w:t>
            </w:r>
          </w:p>
        </w:tc>
      </w:tr>
      <w:tr w:rsidR="008706DF" w:rsidRPr="002862EE" w:rsidTr="003B4B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i/>
                <w:sz w:val="24"/>
                <w:szCs w:val="24"/>
              </w:rPr>
            </w:pPr>
            <w:r w:rsidRPr="002862EE">
              <w:rPr>
                <w:i/>
                <w:sz w:val="24"/>
                <w:szCs w:val="24"/>
              </w:rPr>
              <w:t>E. coli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  <w:r w:rsidRPr="002862EE">
              <w:rPr>
                <w:sz w:val="24"/>
                <w:szCs w:val="24"/>
              </w:rPr>
              <w:t>≤ 8</w:t>
            </w:r>
          </w:p>
        </w:tc>
      </w:tr>
      <w:tr w:rsidR="008706DF" w:rsidRPr="002862EE" w:rsidTr="003B4B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i/>
                <w:sz w:val="24"/>
                <w:szCs w:val="24"/>
              </w:rPr>
            </w:pPr>
            <w:r w:rsidRPr="002862EE">
              <w:rPr>
                <w:i/>
                <w:sz w:val="24"/>
                <w:szCs w:val="24"/>
              </w:rPr>
              <w:t xml:space="preserve">Proteus </w:t>
            </w:r>
            <w:proofErr w:type="spellStart"/>
            <w:r w:rsidRPr="002862EE">
              <w:rPr>
                <w:i/>
                <w:sz w:val="24"/>
                <w:szCs w:val="24"/>
              </w:rPr>
              <w:t>mirabilis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  <w:r w:rsidRPr="002862EE">
              <w:rPr>
                <w:sz w:val="24"/>
                <w:szCs w:val="24"/>
              </w:rPr>
              <w:t>≤ 4</w:t>
            </w:r>
          </w:p>
        </w:tc>
      </w:tr>
      <w:tr w:rsidR="008706DF" w:rsidRPr="002862EE" w:rsidTr="003B4B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i/>
                <w:iCs/>
                <w:sz w:val="24"/>
                <w:szCs w:val="24"/>
              </w:rPr>
            </w:pPr>
            <w:r w:rsidRPr="002862EE">
              <w:rPr>
                <w:i/>
                <w:iCs/>
                <w:sz w:val="24"/>
                <w:szCs w:val="24"/>
              </w:rPr>
              <w:t xml:space="preserve">H. </w:t>
            </w:r>
            <w:proofErr w:type="spellStart"/>
            <w:r w:rsidRPr="002862EE">
              <w:rPr>
                <w:i/>
                <w:iCs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DF" w:rsidRPr="002862EE" w:rsidRDefault="008706DF" w:rsidP="003B4BCE">
            <w:pPr>
              <w:ind w:left="851" w:hanging="851"/>
              <w:rPr>
                <w:sz w:val="24"/>
                <w:szCs w:val="24"/>
              </w:rPr>
            </w:pPr>
            <w:r w:rsidRPr="002862EE">
              <w:rPr>
                <w:sz w:val="24"/>
                <w:szCs w:val="24"/>
              </w:rPr>
              <w:t>≤ 2</w:t>
            </w:r>
          </w:p>
        </w:tc>
      </w:tr>
    </w:tbl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proofErr w:type="spellStart"/>
      <w:r w:rsidRPr="002862EE">
        <w:rPr>
          <w:sz w:val="24"/>
          <w:szCs w:val="24"/>
        </w:rPr>
        <w:t>Staphylokokkers</w:t>
      </w:r>
      <w:proofErr w:type="spellEnd"/>
      <w:r w:rsidRPr="002862EE">
        <w:rPr>
          <w:sz w:val="24"/>
          <w:szCs w:val="24"/>
        </w:rPr>
        <w:t xml:space="preserve"> følsomhed over for </w:t>
      </w:r>
      <w:proofErr w:type="spellStart"/>
      <w:r w:rsidRPr="002862EE">
        <w:rPr>
          <w:sz w:val="24"/>
          <w:szCs w:val="24"/>
        </w:rPr>
        <w:t>cephalosporiner</w:t>
      </w:r>
      <w:proofErr w:type="spellEnd"/>
      <w:r w:rsidRPr="002862EE">
        <w:rPr>
          <w:sz w:val="24"/>
          <w:szCs w:val="24"/>
        </w:rPr>
        <w:t xml:space="preserve"> er udledt fra følsomheden over for </w:t>
      </w:r>
      <w:proofErr w:type="spellStart"/>
      <w:r w:rsidRPr="002862EE">
        <w:rPr>
          <w:sz w:val="24"/>
          <w:szCs w:val="24"/>
        </w:rPr>
        <w:t>methicillin</w:t>
      </w:r>
      <w:proofErr w:type="spellEnd"/>
      <w:r w:rsidRPr="002862EE">
        <w:rPr>
          <w:sz w:val="24"/>
          <w:szCs w:val="24"/>
        </w:rPr>
        <w:t>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Følsomheden af streptokokgrupper A, B, C og G kan udledes fra deres følsomhed over for </w:t>
      </w:r>
      <w:proofErr w:type="spellStart"/>
      <w:r w:rsidRPr="002862EE">
        <w:rPr>
          <w:sz w:val="24"/>
          <w:szCs w:val="24"/>
        </w:rPr>
        <w:t>benzylpenicillin</w:t>
      </w:r>
      <w:proofErr w:type="spellEnd"/>
      <w:r w:rsidRPr="002862EE">
        <w:rPr>
          <w:sz w:val="24"/>
          <w:szCs w:val="24"/>
        </w:rPr>
        <w:t xml:space="preserve">. 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</w:rPr>
      </w:pPr>
    </w:p>
    <w:p w:rsidR="008706DF" w:rsidRPr="002862EE" w:rsidRDefault="008706DF" w:rsidP="008706DF">
      <w:pPr>
        <w:ind w:left="851"/>
        <w:rPr>
          <w:bCs/>
          <w:i/>
          <w:sz w:val="24"/>
          <w:szCs w:val="24"/>
        </w:rPr>
      </w:pPr>
      <w:r w:rsidRPr="002862EE">
        <w:rPr>
          <w:bCs/>
          <w:i/>
          <w:sz w:val="24"/>
          <w:szCs w:val="24"/>
        </w:rPr>
        <w:t>Information fra kliniske studier</w:t>
      </w: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Der blev udført et akademisk, </w:t>
      </w:r>
      <w:proofErr w:type="spellStart"/>
      <w:r w:rsidRPr="002862EE">
        <w:rPr>
          <w:bCs/>
          <w:sz w:val="24"/>
          <w:szCs w:val="24"/>
        </w:rPr>
        <w:t>prospektivt</w:t>
      </w:r>
      <w:proofErr w:type="spellEnd"/>
      <w:r w:rsidRPr="002862EE">
        <w:rPr>
          <w:bCs/>
          <w:sz w:val="24"/>
          <w:szCs w:val="24"/>
        </w:rPr>
        <w:t xml:space="preserve">, randomiseret, delvist maskeret multicenterstudie af kataraktoperation med 16.603 patienter. 29 patienter (24 i ”uden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”-gruppen og 5 i ”</w:t>
      </w:r>
      <w:proofErr w:type="spellStart"/>
      <w:r w:rsidRPr="002862EE">
        <w:rPr>
          <w:bCs/>
          <w:sz w:val="24"/>
          <w:szCs w:val="24"/>
        </w:rPr>
        <w:t>intrakameral</w:t>
      </w:r>
      <w:proofErr w:type="spellEnd"/>
      <w:r w:rsidRPr="002862EE">
        <w:rPr>
          <w:bCs/>
          <w:sz w:val="24"/>
          <w:szCs w:val="24"/>
        </w:rPr>
        <w:t xml:space="preserve">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”-gruppen) med </w:t>
      </w:r>
      <w:proofErr w:type="spellStart"/>
      <w:r w:rsidRPr="002862EE">
        <w:rPr>
          <w:bCs/>
          <w:sz w:val="24"/>
          <w:szCs w:val="24"/>
        </w:rPr>
        <w:t>endophthalmitis</w:t>
      </w:r>
      <w:proofErr w:type="spellEnd"/>
      <w:r w:rsidRPr="002862EE">
        <w:rPr>
          <w:bCs/>
          <w:sz w:val="24"/>
          <w:szCs w:val="24"/>
        </w:rPr>
        <w:t xml:space="preserve">, af hvilke 20 (17 i ”uden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”-gruppen og 3 i ”</w:t>
      </w:r>
      <w:proofErr w:type="spellStart"/>
      <w:r w:rsidRPr="002862EE">
        <w:rPr>
          <w:bCs/>
          <w:sz w:val="24"/>
          <w:szCs w:val="24"/>
        </w:rPr>
        <w:t>intrakameral</w:t>
      </w:r>
      <w:proofErr w:type="spellEnd"/>
      <w:r w:rsidRPr="002862EE">
        <w:rPr>
          <w:bCs/>
          <w:sz w:val="24"/>
          <w:szCs w:val="24"/>
        </w:rPr>
        <w:t xml:space="preserve">”-gruppen) blev klassificeret som diagnosticeret med inficeret </w:t>
      </w:r>
      <w:proofErr w:type="spellStart"/>
      <w:r w:rsidRPr="002862EE">
        <w:rPr>
          <w:bCs/>
          <w:sz w:val="24"/>
          <w:szCs w:val="24"/>
        </w:rPr>
        <w:t>endophthalmitis</w:t>
      </w:r>
      <w:proofErr w:type="spellEnd"/>
      <w:r w:rsidRPr="002862EE">
        <w:rPr>
          <w:bCs/>
          <w:sz w:val="24"/>
          <w:szCs w:val="24"/>
        </w:rPr>
        <w:t xml:space="preserve">. Blandt disse 20 med </w:t>
      </w:r>
      <w:proofErr w:type="spellStart"/>
      <w:r w:rsidRPr="002862EE">
        <w:rPr>
          <w:bCs/>
          <w:sz w:val="24"/>
          <w:szCs w:val="24"/>
        </w:rPr>
        <w:t>diagnostiseret</w:t>
      </w:r>
      <w:proofErr w:type="spellEnd"/>
      <w:r w:rsidRPr="002862EE">
        <w:rPr>
          <w:bCs/>
          <w:sz w:val="24"/>
          <w:szCs w:val="24"/>
        </w:rPr>
        <w:t xml:space="preserve"> </w:t>
      </w:r>
      <w:proofErr w:type="spellStart"/>
      <w:r w:rsidRPr="002862EE">
        <w:rPr>
          <w:bCs/>
          <w:sz w:val="24"/>
          <w:szCs w:val="24"/>
        </w:rPr>
        <w:t>endophthalmitis</w:t>
      </w:r>
      <w:proofErr w:type="spellEnd"/>
      <w:r w:rsidRPr="002862EE">
        <w:rPr>
          <w:bCs/>
          <w:sz w:val="24"/>
          <w:szCs w:val="24"/>
        </w:rPr>
        <w:t xml:space="preserve"> er 10 patienter i gruppen ”placebo øjendråber og uden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”, 7 patienter i gruppen ”</w:t>
      </w:r>
      <w:proofErr w:type="spellStart"/>
      <w:r w:rsidRPr="002862EE">
        <w:rPr>
          <w:bCs/>
          <w:sz w:val="24"/>
          <w:szCs w:val="24"/>
        </w:rPr>
        <w:t>levofloxacin</w:t>
      </w:r>
      <w:proofErr w:type="spellEnd"/>
      <w:r w:rsidRPr="002862EE">
        <w:rPr>
          <w:bCs/>
          <w:sz w:val="24"/>
          <w:szCs w:val="24"/>
        </w:rPr>
        <w:t xml:space="preserve"> øjendråber og uden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”, 2 patienter i gruppen ”</w:t>
      </w:r>
      <w:proofErr w:type="spellStart"/>
      <w:r w:rsidRPr="002862EE">
        <w:rPr>
          <w:bCs/>
          <w:sz w:val="24"/>
          <w:szCs w:val="24"/>
        </w:rPr>
        <w:t>placeboøjendråner</w:t>
      </w:r>
      <w:proofErr w:type="spellEnd"/>
      <w:r w:rsidRPr="002862EE">
        <w:rPr>
          <w:bCs/>
          <w:sz w:val="24"/>
          <w:szCs w:val="24"/>
        </w:rPr>
        <w:t xml:space="preserve"> og </w:t>
      </w:r>
      <w:proofErr w:type="spellStart"/>
      <w:r w:rsidRPr="002862EE">
        <w:rPr>
          <w:bCs/>
          <w:sz w:val="24"/>
          <w:szCs w:val="24"/>
        </w:rPr>
        <w:t>intrakameral</w:t>
      </w:r>
      <w:proofErr w:type="spellEnd"/>
      <w:r w:rsidRPr="002862EE">
        <w:rPr>
          <w:bCs/>
          <w:sz w:val="24"/>
          <w:szCs w:val="24"/>
        </w:rPr>
        <w:t xml:space="preserve">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>” og 1 patient i gruppen ”</w:t>
      </w:r>
      <w:proofErr w:type="spellStart"/>
      <w:r w:rsidRPr="002862EE">
        <w:rPr>
          <w:bCs/>
          <w:sz w:val="24"/>
          <w:szCs w:val="24"/>
        </w:rPr>
        <w:t>levofloxacin</w:t>
      </w:r>
      <w:proofErr w:type="spellEnd"/>
      <w:r w:rsidRPr="002862EE">
        <w:rPr>
          <w:bCs/>
          <w:sz w:val="24"/>
          <w:szCs w:val="24"/>
        </w:rPr>
        <w:t xml:space="preserve"> øjendråber og </w:t>
      </w:r>
      <w:proofErr w:type="spellStart"/>
      <w:r w:rsidRPr="002862EE">
        <w:rPr>
          <w:bCs/>
          <w:sz w:val="24"/>
          <w:szCs w:val="24"/>
        </w:rPr>
        <w:t>intrakameral</w:t>
      </w:r>
      <w:proofErr w:type="spellEnd"/>
      <w:r w:rsidRPr="002862EE">
        <w:rPr>
          <w:bCs/>
          <w:sz w:val="24"/>
          <w:szCs w:val="24"/>
        </w:rPr>
        <w:t xml:space="preserve">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”. Administration af profylaktisk </w:t>
      </w:r>
      <w:proofErr w:type="spellStart"/>
      <w:r w:rsidRPr="002862EE">
        <w:rPr>
          <w:bCs/>
          <w:sz w:val="24"/>
          <w:szCs w:val="24"/>
        </w:rPr>
        <w:t>intrakameralt</w:t>
      </w:r>
      <w:proofErr w:type="spellEnd"/>
      <w:r w:rsidRPr="002862EE">
        <w:rPr>
          <w:bCs/>
          <w:sz w:val="24"/>
          <w:szCs w:val="24"/>
        </w:rPr>
        <w:t xml:space="preserve">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 med 1 mg i 0,1 ml </w:t>
      </w:r>
      <w:proofErr w:type="spellStart"/>
      <w:r w:rsidRPr="002862EE">
        <w:rPr>
          <w:bCs/>
          <w:sz w:val="24"/>
          <w:szCs w:val="24"/>
        </w:rPr>
        <w:t>natriumchlorid</w:t>
      </w:r>
      <w:proofErr w:type="spellEnd"/>
      <w:r w:rsidRPr="002862EE">
        <w:rPr>
          <w:bCs/>
          <w:sz w:val="24"/>
          <w:szCs w:val="24"/>
        </w:rPr>
        <w:t xml:space="preserve"> 9 mg/ml (0,9 %) injektionsvæske blev associeret med et 4,92-gange fald i risikoen for total postoperativ </w:t>
      </w:r>
      <w:proofErr w:type="spellStart"/>
      <w:r w:rsidRPr="002862EE">
        <w:rPr>
          <w:bCs/>
          <w:sz w:val="24"/>
          <w:szCs w:val="24"/>
        </w:rPr>
        <w:t>endophthalmitis</w:t>
      </w:r>
      <w:proofErr w:type="spellEnd"/>
      <w:r w:rsidRPr="002862EE">
        <w:rPr>
          <w:bCs/>
          <w:sz w:val="24"/>
          <w:szCs w:val="24"/>
        </w:rPr>
        <w:t xml:space="preserve">. </w:t>
      </w:r>
    </w:p>
    <w:p w:rsidR="008706DF" w:rsidRPr="002862EE" w:rsidRDefault="008706DF" w:rsidP="008706DF">
      <w:pPr>
        <w:ind w:left="851"/>
        <w:rPr>
          <w:bCs/>
          <w:sz w:val="24"/>
          <w:szCs w:val="24"/>
        </w:rPr>
      </w:pPr>
      <w:r w:rsidRPr="002862EE">
        <w:rPr>
          <w:bCs/>
          <w:sz w:val="24"/>
          <w:szCs w:val="24"/>
        </w:rPr>
        <w:t xml:space="preserve">2 </w:t>
      </w:r>
      <w:proofErr w:type="spellStart"/>
      <w:r w:rsidRPr="002862EE">
        <w:rPr>
          <w:bCs/>
          <w:sz w:val="24"/>
          <w:szCs w:val="24"/>
        </w:rPr>
        <w:t>prospektive</w:t>
      </w:r>
      <w:proofErr w:type="spellEnd"/>
      <w:r w:rsidRPr="002862EE">
        <w:rPr>
          <w:bCs/>
          <w:sz w:val="24"/>
          <w:szCs w:val="24"/>
        </w:rPr>
        <w:t xml:space="preserve"> studier (</w:t>
      </w:r>
      <w:proofErr w:type="spellStart"/>
      <w:r w:rsidRPr="002862EE">
        <w:rPr>
          <w:bCs/>
          <w:sz w:val="24"/>
          <w:szCs w:val="24"/>
        </w:rPr>
        <w:t>Wedje</w:t>
      </w:r>
      <w:proofErr w:type="spellEnd"/>
      <w:r w:rsidRPr="002862EE">
        <w:rPr>
          <w:bCs/>
          <w:sz w:val="24"/>
          <w:szCs w:val="24"/>
        </w:rPr>
        <w:t xml:space="preserve"> 2005 og </w:t>
      </w:r>
      <w:proofErr w:type="spellStart"/>
      <w:r w:rsidRPr="002862EE">
        <w:rPr>
          <w:bCs/>
          <w:sz w:val="24"/>
          <w:szCs w:val="24"/>
        </w:rPr>
        <w:t>Lundström</w:t>
      </w:r>
      <w:proofErr w:type="spellEnd"/>
      <w:r w:rsidRPr="002862EE">
        <w:rPr>
          <w:bCs/>
          <w:sz w:val="24"/>
          <w:szCs w:val="24"/>
        </w:rPr>
        <w:t xml:space="preserve"> 2007) og 5 retrospektive studier understøttede det pivotale ESCRS-studie, og dokumenterede yderligere virkningen af </w:t>
      </w:r>
      <w:proofErr w:type="spellStart"/>
      <w:r w:rsidRPr="002862EE">
        <w:rPr>
          <w:bCs/>
          <w:sz w:val="24"/>
          <w:szCs w:val="24"/>
        </w:rPr>
        <w:t>cefuroxim</w:t>
      </w:r>
      <w:proofErr w:type="spellEnd"/>
      <w:r w:rsidRPr="002862EE">
        <w:rPr>
          <w:bCs/>
          <w:sz w:val="24"/>
          <w:szCs w:val="24"/>
        </w:rPr>
        <w:t xml:space="preserve"> </w:t>
      </w:r>
      <w:proofErr w:type="spellStart"/>
      <w:r w:rsidRPr="002862EE">
        <w:rPr>
          <w:bCs/>
          <w:sz w:val="24"/>
          <w:szCs w:val="24"/>
        </w:rPr>
        <w:t>intrakameralt</w:t>
      </w:r>
      <w:proofErr w:type="spellEnd"/>
      <w:r w:rsidRPr="002862EE">
        <w:rPr>
          <w:bCs/>
          <w:sz w:val="24"/>
          <w:szCs w:val="24"/>
        </w:rPr>
        <w:t xml:space="preserve"> ved postoperativ </w:t>
      </w:r>
      <w:proofErr w:type="spellStart"/>
      <w:r w:rsidRPr="002862EE">
        <w:rPr>
          <w:bCs/>
          <w:sz w:val="24"/>
          <w:szCs w:val="24"/>
        </w:rPr>
        <w:t>endophthalmitis</w:t>
      </w:r>
      <w:proofErr w:type="spellEnd"/>
      <w:r w:rsidRPr="002862EE">
        <w:rPr>
          <w:bCs/>
          <w:sz w:val="24"/>
          <w:szCs w:val="24"/>
        </w:rPr>
        <w:t>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lastRenderedPageBreak/>
        <w:t>5.2</w:t>
      </w:r>
      <w:r w:rsidRPr="002862EE">
        <w:rPr>
          <w:b/>
          <w:sz w:val="24"/>
          <w:szCs w:val="24"/>
        </w:rPr>
        <w:tab/>
      </w:r>
      <w:proofErr w:type="spellStart"/>
      <w:r w:rsidRPr="002862EE">
        <w:rPr>
          <w:b/>
          <w:sz w:val="24"/>
          <w:szCs w:val="24"/>
        </w:rPr>
        <w:t>Farmakokinetiske</w:t>
      </w:r>
      <w:proofErr w:type="spellEnd"/>
      <w:r w:rsidRPr="002862EE">
        <w:rPr>
          <w:b/>
          <w:sz w:val="24"/>
          <w:szCs w:val="24"/>
        </w:rPr>
        <w:t xml:space="preserve"> egenskaber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Systemisk eksponering efter </w:t>
      </w:r>
      <w:proofErr w:type="spellStart"/>
      <w:r w:rsidRPr="002862EE">
        <w:rPr>
          <w:sz w:val="24"/>
          <w:szCs w:val="24"/>
        </w:rPr>
        <w:t>intrakameral</w:t>
      </w:r>
      <w:proofErr w:type="spellEnd"/>
      <w:r w:rsidRPr="002862EE">
        <w:rPr>
          <w:sz w:val="24"/>
          <w:szCs w:val="24"/>
        </w:rPr>
        <w:t xml:space="preserve"> injektion er ikke undersøgt, men forventes at være ubetydelig.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Efter </w:t>
      </w:r>
      <w:proofErr w:type="spellStart"/>
      <w:r w:rsidRPr="002862EE">
        <w:rPr>
          <w:sz w:val="24"/>
          <w:szCs w:val="24"/>
        </w:rPr>
        <w:t>intrakameral</w:t>
      </w:r>
      <w:proofErr w:type="spellEnd"/>
      <w:r w:rsidRPr="002862EE">
        <w:rPr>
          <w:sz w:val="24"/>
          <w:szCs w:val="24"/>
        </w:rPr>
        <w:t xml:space="preserve"> injektion af den anbefalede enkeltdosis på 0,1 ml af en opløsning med 10 mg/ml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til katarakt-patienter, var </w:t>
      </w:r>
      <w:proofErr w:type="spellStart"/>
      <w:r w:rsidRPr="002862EE">
        <w:rPr>
          <w:sz w:val="24"/>
          <w:szCs w:val="24"/>
        </w:rPr>
        <w:t>cefuroxims</w:t>
      </w:r>
      <w:proofErr w:type="spellEnd"/>
      <w:r w:rsidRPr="002862EE">
        <w:rPr>
          <w:sz w:val="24"/>
          <w:szCs w:val="24"/>
        </w:rPr>
        <w:t xml:space="preserve"> </w:t>
      </w:r>
      <w:proofErr w:type="spellStart"/>
      <w:r w:rsidRPr="002862EE">
        <w:rPr>
          <w:sz w:val="24"/>
          <w:szCs w:val="24"/>
        </w:rPr>
        <w:t>intrakamerale</w:t>
      </w:r>
      <w:proofErr w:type="spellEnd"/>
      <w:r w:rsidRPr="002862EE">
        <w:rPr>
          <w:sz w:val="24"/>
          <w:szCs w:val="24"/>
        </w:rPr>
        <w:t xml:space="preserve"> middelniveau 2614 </w:t>
      </w:r>
      <w:r w:rsidRPr="002862EE">
        <w:rPr>
          <w:sz w:val="24"/>
          <w:szCs w:val="24"/>
          <w:u w:val="single"/>
        </w:rPr>
        <w:t>+</w:t>
      </w:r>
      <w:r w:rsidRPr="002862EE">
        <w:rPr>
          <w:sz w:val="24"/>
          <w:szCs w:val="24"/>
        </w:rPr>
        <w:t xml:space="preserve"> 209 mg/l (10 patienter) 30 sekunder og 1027 </w:t>
      </w:r>
      <w:r w:rsidRPr="002862EE">
        <w:rPr>
          <w:sz w:val="24"/>
          <w:szCs w:val="24"/>
          <w:u w:val="single"/>
        </w:rPr>
        <w:t>+</w:t>
      </w:r>
      <w:r w:rsidRPr="002862EE">
        <w:rPr>
          <w:sz w:val="24"/>
          <w:szCs w:val="24"/>
        </w:rPr>
        <w:t xml:space="preserve"> 43 mg/l (9 patienter) 60 minutter efter administration af lægemidlet.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5.3</w:t>
      </w:r>
      <w:r w:rsidRPr="002862EE">
        <w:rPr>
          <w:b/>
          <w:sz w:val="24"/>
          <w:szCs w:val="24"/>
        </w:rPr>
        <w:tab/>
        <w:t>Prækliniske sikkerhedsdata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Der blev kun set virkninger i prækliniske studier ved eksponering, som vurderes væsentligt at overstige den maksimale eksponering hos mennesker hvilket indikerer, at det kun har ringe relevans for den kliniske anvendelse. 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proofErr w:type="spellStart"/>
      <w:r w:rsidRPr="002862EE">
        <w:rPr>
          <w:sz w:val="24"/>
          <w:szCs w:val="24"/>
        </w:rPr>
        <w:t>Intravitreal</w:t>
      </w:r>
      <w:proofErr w:type="spellEnd"/>
      <w:r w:rsidRPr="002862EE">
        <w:rPr>
          <w:sz w:val="24"/>
          <w:szCs w:val="24"/>
        </w:rPr>
        <w:t xml:space="preserve"> injektion af 1 mg </w:t>
      </w:r>
      <w:proofErr w:type="spellStart"/>
      <w:r w:rsidRPr="002862EE">
        <w:rPr>
          <w:sz w:val="24"/>
          <w:szCs w:val="24"/>
        </w:rPr>
        <w:t>cefuroxim</w:t>
      </w:r>
      <w:proofErr w:type="spellEnd"/>
      <w:r w:rsidRPr="002862EE">
        <w:rPr>
          <w:sz w:val="24"/>
          <w:szCs w:val="24"/>
        </w:rPr>
        <w:t xml:space="preserve"> hos albinorotter medførte niveauer på 19-35 mg/l og 600-780 mg/l efter 30 minutter efter henhold</w:t>
      </w:r>
      <w:r>
        <w:rPr>
          <w:sz w:val="24"/>
          <w:szCs w:val="24"/>
        </w:rPr>
        <w:t>s</w:t>
      </w:r>
      <w:r w:rsidRPr="002862EE">
        <w:rPr>
          <w:sz w:val="24"/>
          <w:szCs w:val="24"/>
        </w:rPr>
        <w:t xml:space="preserve">vis </w:t>
      </w:r>
      <w:proofErr w:type="spellStart"/>
      <w:r w:rsidRPr="002862EE">
        <w:rPr>
          <w:sz w:val="24"/>
          <w:szCs w:val="24"/>
        </w:rPr>
        <w:t>intrakameral</w:t>
      </w:r>
      <w:proofErr w:type="spellEnd"/>
      <w:r w:rsidRPr="002862EE">
        <w:rPr>
          <w:sz w:val="24"/>
          <w:szCs w:val="24"/>
        </w:rPr>
        <w:t xml:space="preserve"> og </w:t>
      </w:r>
      <w:proofErr w:type="spellStart"/>
      <w:r w:rsidRPr="002862EE">
        <w:rPr>
          <w:sz w:val="24"/>
          <w:szCs w:val="24"/>
        </w:rPr>
        <w:t>intravitreal</w:t>
      </w:r>
      <w:proofErr w:type="spellEnd"/>
      <w:r w:rsidRPr="002862EE">
        <w:rPr>
          <w:sz w:val="24"/>
          <w:szCs w:val="24"/>
        </w:rPr>
        <w:t xml:space="preserve"> injektion. Niveauer efter 6 timer faldt til henholdsvis 1,9-7,3 og 190-260 mg/l i disse to strukturer. Der var ingen øgning i det </w:t>
      </w:r>
      <w:proofErr w:type="spellStart"/>
      <w:r w:rsidRPr="002862EE">
        <w:rPr>
          <w:sz w:val="24"/>
          <w:szCs w:val="24"/>
        </w:rPr>
        <w:t>intraokulære</w:t>
      </w:r>
      <w:proofErr w:type="spellEnd"/>
      <w:r w:rsidRPr="002862EE">
        <w:rPr>
          <w:sz w:val="24"/>
          <w:szCs w:val="24"/>
        </w:rPr>
        <w:t xml:space="preserve"> tryk i de første 3 dage. </w:t>
      </w:r>
      <w:proofErr w:type="spellStart"/>
      <w:r w:rsidRPr="002862EE">
        <w:rPr>
          <w:sz w:val="24"/>
          <w:szCs w:val="24"/>
        </w:rPr>
        <w:t>Histopatologisk</w:t>
      </w:r>
      <w:proofErr w:type="spellEnd"/>
      <w:r w:rsidRPr="002862EE">
        <w:rPr>
          <w:sz w:val="24"/>
          <w:szCs w:val="24"/>
        </w:rPr>
        <w:t xml:space="preserve"> undersøgelse viste ingen degenerative ændringer sammenlignet med fysiologisk saltvand. 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ERG: a-, b- og c-bølgerne mindskedes i op til 14 dage, både i kontroløjne og antibiotika-injicerede øjne.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Restituering forekom og kan være langsommere end hos kontrolgruppen. ERG viste ingen definitive ændringer, der tyder på </w:t>
      </w:r>
      <w:proofErr w:type="spellStart"/>
      <w:r w:rsidRPr="002862EE">
        <w:rPr>
          <w:sz w:val="24"/>
          <w:szCs w:val="24"/>
        </w:rPr>
        <w:t>retinal</w:t>
      </w:r>
      <w:proofErr w:type="spellEnd"/>
      <w:r w:rsidRPr="002862EE">
        <w:rPr>
          <w:sz w:val="24"/>
          <w:szCs w:val="24"/>
        </w:rPr>
        <w:t xml:space="preserve"> toksicitet i op til 55 dage efter </w:t>
      </w:r>
      <w:proofErr w:type="spellStart"/>
      <w:r w:rsidRPr="002862EE">
        <w:rPr>
          <w:sz w:val="24"/>
          <w:szCs w:val="24"/>
        </w:rPr>
        <w:t>intravitreal</w:t>
      </w:r>
      <w:proofErr w:type="spellEnd"/>
      <w:r w:rsidRPr="002862EE">
        <w:rPr>
          <w:sz w:val="24"/>
          <w:szCs w:val="24"/>
        </w:rPr>
        <w:t xml:space="preserve"> administration. 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</w:t>
      </w:r>
      <w:r w:rsidRPr="002862EE">
        <w:rPr>
          <w:b/>
          <w:sz w:val="24"/>
          <w:szCs w:val="24"/>
        </w:rPr>
        <w:tab/>
        <w:t>FARMACEUTISKE OPLYSNINGER</w:t>
      </w: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6.1</w:t>
      </w:r>
      <w:r w:rsidRPr="002862EE">
        <w:rPr>
          <w:b/>
          <w:sz w:val="24"/>
          <w:szCs w:val="24"/>
        </w:rPr>
        <w:tab/>
        <w:t>Hjælpestoffer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Ingen.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6.2</w:t>
      </w:r>
      <w:r w:rsidRPr="002862EE">
        <w:rPr>
          <w:b/>
          <w:sz w:val="24"/>
          <w:szCs w:val="24"/>
        </w:rPr>
        <w:tab/>
        <w:t>Uforligeligheder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Dette lægemiddel må ikke blandes med andre lægemidler end dem, der er anført under pkt. 6.6.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6.3</w:t>
      </w:r>
      <w:r w:rsidRPr="002862EE">
        <w:rPr>
          <w:b/>
          <w:sz w:val="24"/>
          <w:szCs w:val="24"/>
        </w:rPr>
        <w:tab/>
        <w:t>Opbevaringstid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18 måneder.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Efter </w:t>
      </w:r>
      <w:proofErr w:type="spellStart"/>
      <w:r w:rsidRPr="002862EE">
        <w:rPr>
          <w:sz w:val="24"/>
          <w:szCs w:val="24"/>
        </w:rPr>
        <w:t>rekonstitution</w:t>
      </w:r>
      <w:proofErr w:type="spellEnd"/>
      <w:r w:rsidRPr="002862EE">
        <w:rPr>
          <w:sz w:val="24"/>
          <w:szCs w:val="24"/>
        </w:rPr>
        <w:t xml:space="preserve">: produktet skal anvendes umiddelbart efter </w:t>
      </w:r>
      <w:proofErr w:type="spellStart"/>
      <w:r w:rsidRPr="002862EE">
        <w:rPr>
          <w:sz w:val="24"/>
          <w:szCs w:val="24"/>
        </w:rPr>
        <w:t>rekonstitution</w:t>
      </w:r>
      <w:proofErr w:type="spellEnd"/>
      <w:r w:rsidRPr="002862EE">
        <w:rPr>
          <w:sz w:val="24"/>
          <w:szCs w:val="24"/>
        </w:rPr>
        <w:t xml:space="preserve"> og må ikke genbruges.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6.4</w:t>
      </w:r>
      <w:r w:rsidRPr="002862EE">
        <w:rPr>
          <w:b/>
          <w:sz w:val="24"/>
          <w:szCs w:val="24"/>
        </w:rPr>
        <w:tab/>
        <w:t>Særlige opbevaringsforhold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Opbevares ved temperaturer under </w:t>
      </w:r>
      <w:smartTag w:uri="urn:schemas-microsoft-com:office:smarttags" w:element="metricconverter">
        <w:smartTagPr>
          <w:attr w:name="ProductID" w:val="25ﾰC"/>
        </w:smartTagPr>
        <w:r w:rsidRPr="002862EE">
          <w:rPr>
            <w:sz w:val="24"/>
            <w:szCs w:val="24"/>
          </w:rPr>
          <w:t>25°C</w:t>
        </w:r>
      </w:smartTag>
      <w:r w:rsidRPr="002862EE">
        <w:rPr>
          <w:sz w:val="24"/>
          <w:szCs w:val="24"/>
        </w:rPr>
        <w:t xml:space="preserve">. 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Opbevar hætteglasset i den ydre pakning for at beskytte mod lys.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Opbevaringsforhold efter </w:t>
      </w:r>
      <w:proofErr w:type="spellStart"/>
      <w:r w:rsidRPr="002862EE">
        <w:rPr>
          <w:sz w:val="24"/>
          <w:szCs w:val="24"/>
        </w:rPr>
        <w:t>rekonstitution</w:t>
      </w:r>
      <w:proofErr w:type="spellEnd"/>
      <w:r w:rsidRPr="002862EE">
        <w:rPr>
          <w:sz w:val="24"/>
          <w:szCs w:val="24"/>
        </w:rPr>
        <w:t xml:space="preserve"> af lægemidlet, se pkt. 6.3.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6.5</w:t>
      </w:r>
      <w:r w:rsidRPr="002862EE">
        <w:rPr>
          <w:b/>
          <w:sz w:val="24"/>
          <w:szCs w:val="24"/>
        </w:rPr>
        <w:tab/>
        <w:t>Emballagetyper og pakningsstørrelser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 xml:space="preserve">Hætteglas à 8 ml, type I, med </w:t>
      </w:r>
      <w:proofErr w:type="spellStart"/>
      <w:r w:rsidRPr="002862EE">
        <w:rPr>
          <w:sz w:val="24"/>
          <w:szCs w:val="24"/>
        </w:rPr>
        <w:t>bromobutylprop</w:t>
      </w:r>
      <w:proofErr w:type="spellEnd"/>
      <w:r w:rsidRPr="002862EE">
        <w:rPr>
          <w:sz w:val="24"/>
          <w:szCs w:val="24"/>
        </w:rPr>
        <w:t xml:space="preserve"> og forseglet med flip-</w:t>
      </w:r>
      <w:proofErr w:type="spellStart"/>
      <w:r w:rsidRPr="002862EE">
        <w:rPr>
          <w:sz w:val="24"/>
          <w:szCs w:val="24"/>
        </w:rPr>
        <w:t>off</w:t>
      </w:r>
      <w:proofErr w:type="spellEnd"/>
      <w:r w:rsidRPr="002862EE">
        <w:rPr>
          <w:sz w:val="24"/>
          <w:szCs w:val="24"/>
        </w:rPr>
        <w:t xml:space="preserve"> hætte.</w:t>
      </w:r>
    </w:p>
    <w:p w:rsidR="008706DF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Æske med 1x50 mg, 10x50 mg eller 20x50 mg hætteglas.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Æske med 10x50 mg hætteglas sammen med 10 sterile 5-mikron-filterkanyler. 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Ikke alle pakningsstørrelser er nødvendigvis markedsført.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6.6</w:t>
      </w:r>
      <w:r w:rsidRPr="002862EE">
        <w:rPr>
          <w:b/>
          <w:sz w:val="24"/>
          <w:szCs w:val="24"/>
        </w:rPr>
        <w:tab/>
        <w:t>Regler for destruktion og anden håndtering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proofErr w:type="spellStart"/>
      <w:r w:rsidRPr="002862EE">
        <w:rPr>
          <w:sz w:val="24"/>
          <w:szCs w:val="24"/>
        </w:rPr>
        <w:t>Aprokam</w:t>
      </w:r>
      <w:proofErr w:type="spellEnd"/>
      <w:r w:rsidRPr="002862EE">
        <w:rPr>
          <w:sz w:val="24"/>
          <w:szCs w:val="24"/>
        </w:rPr>
        <w:t xml:space="preserve"> skal administreres som </w:t>
      </w:r>
      <w:proofErr w:type="spellStart"/>
      <w:r w:rsidRPr="002862EE">
        <w:rPr>
          <w:sz w:val="24"/>
          <w:szCs w:val="24"/>
        </w:rPr>
        <w:t>intrakameral</w:t>
      </w:r>
      <w:proofErr w:type="spellEnd"/>
      <w:r w:rsidRPr="002862EE">
        <w:rPr>
          <w:sz w:val="24"/>
          <w:szCs w:val="24"/>
        </w:rPr>
        <w:t xml:space="preserve"> injektion af en øjenkirurg under de anbefalede aseptiske forhold under kataraktoperation.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HÆTTEGLAS ER KUN TIL ÉNGANGSBRUG.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ANVEND ÉT HÆTTELAS TIL HVER PATIENT. Sæt den aftagelige etiket fra hætteglasset i patientens journal.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Følg instruktionerne nedenfor for tilberedning af produktet til </w:t>
      </w:r>
      <w:proofErr w:type="spellStart"/>
      <w:r w:rsidRPr="002862EE">
        <w:rPr>
          <w:sz w:val="24"/>
          <w:szCs w:val="24"/>
        </w:rPr>
        <w:t>intrakameral</w:t>
      </w:r>
      <w:proofErr w:type="spellEnd"/>
      <w:r w:rsidRPr="002862EE">
        <w:rPr>
          <w:sz w:val="24"/>
          <w:szCs w:val="24"/>
        </w:rPr>
        <w:t xml:space="preserve"> administration:</w:t>
      </w:r>
    </w:p>
    <w:p w:rsidR="008706DF" w:rsidRPr="002862EE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2862EE">
        <w:rPr>
          <w:sz w:val="24"/>
          <w:szCs w:val="24"/>
        </w:rPr>
        <w:t>Fjern flip-</w:t>
      </w:r>
      <w:proofErr w:type="spellStart"/>
      <w:r w:rsidRPr="002862EE">
        <w:rPr>
          <w:sz w:val="24"/>
          <w:szCs w:val="24"/>
        </w:rPr>
        <w:t>off</w:t>
      </w:r>
      <w:proofErr w:type="spellEnd"/>
      <w:r w:rsidRPr="002862EE">
        <w:rPr>
          <w:sz w:val="24"/>
          <w:szCs w:val="24"/>
        </w:rPr>
        <w:t xml:space="preserve"> hætten.</w:t>
      </w:r>
    </w:p>
    <w:p w:rsidR="008706DF" w:rsidRPr="002862EE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2862EE">
        <w:rPr>
          <w:sz w:val="24"/>
          <w:szCs w:val="24"/>
        </w:rPr>
        <w:t>Desinficer hætteglassets gummiprop før en steril kanyle isættes.</w:t>
      </w:r>
    </w:p>
    <w:p w:rsidR="008706DF" w:rsidRPr="002862EE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Skub kanylen lodret ind i midten af hætteglassets gummiprop, mens hætteglasset holdes i opret position. I</w:t>
      </w:r>
      <w:r w:rsidRPr="002862EE">
        <w:rPr>
          <w:sz w:val="24"/>
          <w:szCs w:val="24"/>
        </w:rPr>
        <w:t xml:space="preserve">njicer </w:t>
      </w:r>
      <w:r>
        <w:rPr>
          <w:sz w:val="24"/>
          <w:szCs w:val="24"/>
        </w:rPr>
        <w:t xml:space="preserve">derefter </w:t>
      </w:r>
      <w:r w:rsidRPr="002862EE">
        <w:rPr>
          <w:sz w:val="24"/>
          <w:szCs w:val="24"/>
        </w:rPr>
        <w:t xml:space="preserve">5 ml </w:t>
      </w:r>
      <w:proofErr w:type="spellStart"/>
      <w:r w:rsidRPr="002862EE">
        <w:rPr>
          <w:sz w:val="24"/>
          <w:szCs w:val="24"/>
        </w:rPr>
        <w:t>natriumchlorid</w:t>
      </w:r>
      <w:proofErr w:type="spellEnd"/>
      <w:r w:rsidRPr="002862EE">
        <w:rPr>
          <w:sz w:val="24"/>
          <w:szCs w:val="24"/>
        </w:rPr>
        <w:t xml:space="preserve"> 9 mg/ml (0,9%) injektionsvæske i hætteglasset under anvendelse af aseptisk teknik.</w:t>
      </w:r>
    </w:p>
    <w:p w:rsidR="008706DF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2862EE">
        <w:rPr>
          <w:sz w:val="24"/>
          <w:szCs w:val="24"/>
        </w:rPr>
        <w:t>Ryst forsigtigt indtil opløsningen er uden synlige partikler.</w:t>
      </w:r>
    </w:p>
    <w:p w:rsidR="008706DF" w:rsidRPr="00B82A21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B82A21">
        <w:rPr>
          <w:sz w:val="24"/>
          <w:szCs w:val="24"/>
        </w:rPr>
        <w:t xml:space="preserve">Sæt en steril </w:t>
      </w:r>
      <w:r>
        <w:rPr>
          <w:sz w:val="24"/>
          <w:szCs w:val="24"/>
        </w:rPr>
        <w:t xml:space="preserve">kanyle (18G x 1½”, 1,2 mm x 40 mm) med et </w:t>
      </w:r>
      <w:r w:rsidRPr="00B82A21">
        <w:rPr>
          <w:sz w:val="24"/>
          <w:szCs w:val="24"/>
        </w:rPr>
        <w:t>5-mikron-filter</w:t>
      </w:r>
      <w:r>
        <w:rPr>
          <w:sz w:val="24"/>
          <w:szCs w:val="24"/>
        </w:rPr>
        <w:t xml:space="preserve"> (membran af akryl-</w:t>
      </w:r>
      <w:proofErr w:type="spellStart"/>
      <w:r>
        <w:rPr>
          <w:sz w:val="24"/>
          <w:szCs w:val="24"/>
        </w:rPr>
        <w:t>copolymer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uvævet</w:t>
      </w:r>
      <w:proofErr w:type="spellEnd"/>
      <w:r>
        <w:rPr>
          <w:sz w:val="24"/>
          <w:szCs w:val="24"/>
        </w:rPr>
        <w:t xml:space="preserve"> nylon)</w:t>
      </w:r>
      <w:r w:rsidRPr="00B82A21">
        <w:rPr>
          <w:sz w:val="24"/>
          <w:szCs w:val="24"/>
        </w:rPr>
        <w:t xml:space="preserve"> i en 1 ml steril sprøjte. Skub sprøjten lodret ind i midten af hætteglassets gummiprop, mens hætteglasset holdes i oprejst position.</w:t>
      </w:r>
    </w:p>
    <w:p w:rsidR="008706DF" w:rsidRPr="002862EE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2862EE">
        <w:rPr>
          <w:sz w:val="24"/>
          <w:szCs w:val="24"/>
        </w:rPr>
        <w:t xml:space="preserve">Udtag </w:t>
      </w:r>
      <w:r>
        <w:rPr>
          <w:sz w:val="24"/>
          <w:szCs w:val="24"/>
        </w:rPr>
        <w:t xml:space="preserve">aseptisk </w:t>
      </w:r>
      <w:r w:rsidRPr="002862EE">
        <w:rPr>
          <w:sz w:val="24"/>
          <w:szCs w:val="24"/>
        </w:rPr>
        <w:t>mindst 0,1 ml af opløsningen.</w:t>
      </w:r>
    </w:p>
    <w:p w:rsidR="008706DF" w:rsidRPr="002862EE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2862EE">
        <w:rPr>
          <w:sz w:val="24"/>
          <w:szCs w:val="24"/>
        </w:rPr>
        <w:t xml:space="preserve">Løsn </w:t>
      </w:r>
      <w:r>
        <w:rPr>
          <w:sz w:val="24"/>
          <w:szCs w:val="24"/>
        </w:rPr>
        <w:t>5-mikron-filter</w:t>
      </w:r>
      <w:r w:rsidRPr="002862EE">
        <w:rPr>
          <w:sz w:val="24"/>
          <w:szCs w:val="24"/>
        </w:rPr>
        <w:t xml:space="preserve">kanylen fra sprøjten og saml sprøjten med en egnet </w:t>
      </w:r>
      <w:proofErr w:type="spellStart"/>
      <w:r w:rsidRPr="002862EE">
        <w:rPr>
          <w:sz w:val="24"/>
          <w:szCs w:val="24"/>
        </w:rPr>
        <w:t>anterior</w:t>
      </w:r>
      <w:proofErr w:type="spellEnd"/>
      <w:r w:rsidRPr="002862EE">
        <w:rPr>
          <w:sz w:val="24"/>
          <w:szCs w:val="24"/>
        </w:rPr>
        <w:t xml:space="preserve"> kammer-kanyle.</w:t>
      </w:r>
    </w:p>
    <w:p w:rsidR="008706DF" w:rsidRPr="002862EE" w:rsidRDefault="008706DF" w:rsidP="008706DF">
      <w:pPr>
        <w:numPr>
          <w:ilvl w:val="0"/>
          <w:numId w:val="7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2862EE">
        <w:rPr>
          <w:sz w:val="24"/>
          <w:szCs w:val="24"/>
        </w:rPr>
        <w:t>Tøm forsigtigt sprøjten for luft og juster dosis til 0,1 ml mærket på sprøjten. Sprøjten er klar til injektion.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Den </w:t>
      </w:r>
      <w:proofErr w:type="spellStart"/>
      <w:r w:rsidRPr="002862EE">
        <w:rPr>
          <w:sz w:val="24"/>
          <w:szCs w:val="24"/>
        </w:rPr>
        <w:t>rekonstituerede</w:t>
      </w:r>
      <w:proofErr w:type="spellEnd"/>
      <w:r w:rsidRPr="002862EE">
        <w:rPr>
          <w:sz w:val="24"/>
          <w:szCs w:val="24"/>
        </w:rPr>
        <w:t xml:space="preserve"> opløsning skal inspiceres visuelt og må kun anvendes hvis den er klar til gullig uden synlige partikler. Den har en pH og </w:t>
      </w:r>
      <w:proofErr w:type="spellStart"/>
      <w:r w:rsidRPr="002862EE">
        <w:rPr>
          <w:sz w:val="24"/>
          <w:szCs w:val="24"/>
        </w:rPr>
        <w:t>osmolalitet</w:t>
      </w:r>
      <w:proofErr w:type="spellEnd"/>
      <w:r w:rsidRPr="002862EE">
        <w:rPr>
          <w:sz w:val="24"/>
          <w:szCs w:val="24"/>
        </w:rPr>
        <w:t xml:space="preserve">, der er tæt på de fysiologiske værdier (pH omkring 7,3 og </w:t>
      </w:r>
      <w:proofErr w:type="spellStart"/>
      <w:r w:rsidRPr="002862EE">
        <w:rPr>
          <w:sz w:val="24"/>
          <w:szCs w:val="24"/>
        </w:rPr>
        <w:t>osmolalitet</w:t>
      </w:r>
      <w:proofErr w:type="spellEnd"/>
      <w:r w:rsidRPr="002862EE">
        <w:rPr>
          <w:sz w:val="24"/>
          <w:szCs w:val="24"/>
        </w:rPr>
        <w:t xml:space="preserve"> omkring 335 </w:t>
      </w:r>
      <w:proofErr w:type="spellStart"/>
      <w:r w:rsidRPr="002862EE">
        <w:rPr>
          <w:sz w:val="24"/>
          <w:szCs w:val="24"/>
        </w:rPr>
        <w:t>mosmol</w:t>
      </w:r>
      <w:proofErr w:type="spellEnd"/>
      <w:r w:rsidRPr="002862EE">
        <w:rPr>
          <w:sz w:val="24"/>
          <w:szCs w:val="24"/>
        </w:rPr>
        <w:t>/kg).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 xml:space="preserve">Efter anvendelse kasseres den resterende del af den </w:t>
      </w:r>
      <w:proofErr w:type="spellStart"/>
      <w:r w:rsidRPr="002862EE">
        <w:rPr>
          <w:sz w:val="24"/>
          <w:szCs w:val="24"/>
        </w:rPr>
        <w:t>rekonstituerede</w:t>
      </w:r>
      <w:proofErr w:type="spellEnd"/>
      <w:r w:rsidRPr="002862EE">
        <w:rPr>
          <w:sz w:val="24"/>
          <w:szCs w:val="24"/>
        </w:rPr>
        <w:t xml:space="preserve"> opløsning. Opbevar den ikke til senere brug.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Ikke anvendt lægemiddel samt affald heraf skal bortskaffes i henhold til lokale retningslinjer.</w:t>
      </w:r>
      <w:r>
        <w:rPr>
          <w:sz w:val="24"/>
          <w:szCs w:val="24"/>
        </w:rPr>
        <w:t xml:space="preserve"> Brugte kanyler kasseres i en kanylebeholder. </w:t>
      </w:r>
    </w:p>
    <w:p w:rsidR="008706DF" w:rsidRDefault="008706DF" w:rsidP="008706DF">
      <w:pPr>
        <w:ind w:left="851" w:hanging="851"/>
        <w:jc w:val="both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jc w:val="both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7.</w:t>
      </w:r>
      <w:r w:rsidRPr="002862EE">
        <w:rPr>
          <w:b/>
          <w:sz w:val="24"/>
          <w:szCs w:val="24"/>
        </w:rPr>
        <w:tab/>
        <w:t>INDEHAVER AF MARKEDSFØRINGSTILLADELSEN</w:t>
      </w:r>
    </w:p>
    <w:p w:rsidR="008706DF" w:rsidRPr="002862EE" w:rsidRDefault="008706DF" w:rsidP="008706DF">
      <w:pPr>
        <w:ind w:left="851" w:hanging="851"/>
        <w:rPr>
          <w:bCs/>
          <w:sz w:val="24"/>
          <w:szCs w:val="24"/>
          <w:lang w:val="fr-FR"/>
        </w:rPr>
      </w:pPr>
      <w:r w:rsidRPr="002862EE">
        <w:rPr>
          <w:sz w:val="24"/>
          <w:szCs w:val="24"/>
        </w:rPr>
        <w:tab/>
      </w:r>
      <w:r w:rsidRPr="002862EE">
        <w:rPr>
          <w:bCs/>
          <w:sz w:val="24"/>
          <w:szCs w:val="24"/>
          <w:lang w:val="fr-FR"/>
        </w:rPr>
        <w:t>LABORATOIRES THEA</w:t>
      </w:r>
    </w:p>
    <w:p w:rsidR="008706DF" w:rsidRPr="002862EE" w:rsidRDefault="008706DF" w:rsidP="008706DF">
      <w:pPr>
        <w:ind w:left="851"/>
        <w:rPr>
          <w:sz w:val="24"/>
          <w:szCs w:val="24"/>
          <w:lang w:val="fr-FR"/>
        </w:rPr>
      </w:pPr>
      <w:r w:rsidRPr="002862EE">
        <w:rPr>
          <w:sz w:val="24"/>
          <w:szCs w:val="24"/>
          <w:lang w:val="fr-FR"/>
        </w:rPr>
        <w:t>12 rue Louis Blériot</w:t>
      </w:r>
    </w:p>
    <w:p w:rsidR="008706DF" w:rsidRPr="002862EE" w:rsidRDefault="008706DF" w:rsidP="008706DF">
      <w:pPr>
        <w:ind w:left="851"/>
        <w:rPr>
          <w:sz w:val="24"/>
          <w:szCs w:val="24"/>
          <w:lang w:val="fr-FR"/>
        </w:rPr>
      </w:pPr>
      <w:r w:rsidRPr="002862EE">
        <w:rPr>
          <w:sz w:val="24"/>
          <w:szCs w:val="24"/>
          <w:lang w:val="fr-FR"/>
        </w:rPr>
        <w:t>63017 CLERMONT-FERRAND Cedex 2</w:t>
      </w:r>
    </w:p>
    <w:p w:rsidR="008706DF" w:rsidRPr="002862EE" w:rsidRDefault="008706DF" w:rsidP="008706DF">
      <w:pPr>
        <w:ind w:left="851"/>
        <w:rPr>
          <w:sz w:val="24"/>
          <w:szCs w:val="24"/>
        </w:rPr>
      </w:pPr>
      <w:r w:rsidRPr="002862EE">
        <w:rPr>
          <w:sz w:val="24"/>
          <w:szCs w:val="24"/>
        </w:rPr>
        <w:t>Frankrig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8.</w:t>
      </w:r>
      <w:r w:rsidRPr="002862EE">
        <w:rPr>
          <w:b/>
          <w:sz w:val="24"/>
          <w:szCs w:val="24"/>
        </w:rPr>
        <w:tab/>
        <w:t>MARKEDSFØRINGSTILLADELSESNUMMER (NUMRE)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48940</w:t>
      </w:r>
    </w:p>
    <w:p w:rsidR="008706DF" w:rsidRPr="002862EE" w:rsidRDefault="008706DF" w:rsidP="008706DF">
      <w:pPr>
        <w:ind w:left="851" w:hanging="851"/>
        <w:jc w:val="both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9.</w:t>
      </w:r>
      <w:r w:rsidRPr="002862EE">
        <w:rPr>
          <w:b/>
          <w:sz w:val="24"/>
          <w:szCs w:val="24"/>
        </w:rPr>
        <w:tab/>
        <w:t>DATO FOR FØRSTE MARKEDSFØRINGSTILLADELSE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  <w:t>3. september 2012</w:t>
      </w:r>
    </w:p>
    <w:p w:rsidR="008706DF" w:rsidRPr="002862EE" w:rsidRDefault="008706DF" w:rsidP="008706DF">
      <w:pPr>
        <w:ind w:left="851" w:hanging="851"/>
        <w:rPr>
          <w:sz w:val="24"/>
          <w:szCs w:val="24"/>
        </w:rPr>
      </w:pPr>
    </w:p>
    <w:p w:rsidR="008706DF" w:rsidRPr="002862EE" w:rsidRDefault="008706DF" w:rsidP="008706DF">
      <w:pPr>
        <w:ind w:left="851" w:hanging="851"/>
        <w:rPr>
          <w:b/>
          <w:sz w:val="24"/>
          <w:szCs w:val="24"/>
        </w:rPr>
      </w:pPr>
      <w:r w:rsidRPr="002862EE">
        <w:rPr>
          <w:b/>
          <w:sz w:val="24"/>
          <w:szCs w:val="24"/>
        </w:rPr>
        <w:t>10.</w:t>
      </w:r>
      <w:r w:rsidRPr="002862EE">
        <w:rPr>
          <w:b/>
          <w:sz w:val="24"/>
          <w:szCs w:val="24"/>
        </w:rPr>
        <w:tab/>
        <w:t>DATO FOR ÆNDRING AF TEKSTEN</w:t>
      </w:r>
    </w:p>
    <w:p w:rsidR="009260DE" w:rsidRPr="00396C92" w:rsidRDefault="008706DF" w:rsidP="00396C92">
      <w:pPr>
        <w:ind w:left="851" w:hanging="851"/>
        <w:rPr>
          <w:sz w:val="24"/>
          <w:szCs w:val="24"/>
        </w:rPr>
      </w:pPr>
      <w:r w:rsidRPr="002862EE">
        <w:rPr>
          <w:sz w:val="24"/>
          <w:szCs w:val="24"/>
        </w:rPr>
        <w:tab/>
      </w:r>
      <w:r w:rsidR="00C81E86">
        <w:rPr>
          <w:sz w:val="24"/>
          <w:szCs w:val="24"/>
        </w:rPr>
        <w:t>1</w:t>
      </w:r>
      <w:r w:rsidR="00B00D09">
        <w:rPr>
          <w:sz w:val="24"/>
          <w:szCs w:val="24"/>
        </w:rPr>
        <w:t>5</w:t>
      </w:r>
      <w:r w:rsidR="00C81E86">
        <w:rPr>
          <w:sz w:val="24"/>
          <w:szCs w:val="24"/>
        </w:rPr>
        <w:t>. maj 2020</w:t>
      </w:r>
    </w:p>
    <w:sectPr w:rsidR="009260DE" w:rsidRPr="00396C92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DF" w:rsidRDefault="008706DF">
      <w:r>
        <w:separator/>
      </w:r>
    </w:p>
  </w:endnote>
  <w:endnote w:type="continuationSeparator" w:id="0">
    <w:p w:rsidR="008706DF" w:rsidRDefault="008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00D09">
      <w:rPr>
        <w:i/>
        <w:noProof/>
        <w:sz w:val="18"/>
        <w:szCs w:val="18"/>
      </w:rPr>
      <w:t>Aprokam, pulver til injektionsvæske, opløsning 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DF" w:rsidRDefault="008706DF">
      <w:r>
        <w:separator/>
      </w:r>
    </w:p>
  </w:footnote>
  <w:footnote w:type="continuationSeparator" w:id="0">
    <w:p w:rsidR="008706DF" w:rsidRDefault="008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CB4B68"/>
    <w:multiLevelType w:val="hybridMultilevel"/>
    <w:tmpl w:val="245A01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FA96D9C"/>
    <w:multiLevelType w:val="hybridMultilevel"/>
    <w:tmpl w:val="A880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DF"/>
    <w:rsid w:val="000259B9"/>
    <w:rsid w:val="00041491"/>
    <w:rsid w:val="00050D16"/>
    <w:rsid w:val="00074F2A"/>
    <w:rsid w:val="000A1CA8"/>
    <w:rsid w:val="000A466B"/>
    <w:rsid w:val="000B058C"/>
    <w:rsid w:val="000E4EE6"/>
    <w:rsid w:val="00143853"/>
    <w:rsid w:val="001454E2"/>
    <w:rsid w:val="00206CE8"/>
    <w:rsid w:val="0021526C"/>
    <w:rsid w:val="00283A2B"/>
    <w:rsid w:val="002B30AD"/>
    <w:rsid w:val="002C2C01"/>
    <w:rsid w:val="00396C92"/>
    <w:rsid w:val="003A29AE"/>
    <w:rsid w:val="003A32D7"/>
    <w:rsid w:val="003B4074"/>
    <w:rsid w:val="003C769A"/>
    <w:rsid w:val="003F1838"/>
    <w:rsid w:val="00422F50"/>
    <w:rsid w:val="0045746C"/>
    <w:rsid w:val="0049104B"/>
    <w:rsid w:val="004E3B12"/>
    <w:rsid w:val="00532310"/>
    <w:rsid w:val="00560ECC"/>
    <w:rsid w:val="00565F0F"/>
    <w:rsid w:val="00594A86"/>
    <w:rsid w:val="00596D86"/>
    <w:rsid w:val="00613399"/>
    <w:rsid w:val="00637F5A"/>
    <w:rsid w:val="006401A2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706DF"/>
    <w:rsid w:val="00907F75"/>
    <w:rsid w:val="009260DE"/>
    <w:rsid w:val="0093258A"/>
    <w:rsid w:val="009C7BA3"/>
    <w:rsid w:val="009D1F5A"/>
    <w:rsid w:val="00B003BF"/>
    <w:rsid w:val="00B00D09"/>
    <w:rsid w:val="00B373D7"/>
    <w:rsid w:val="00C36276"/>
    <w:rsid w:val="00C42586"/>
    <w:rsid w:val="00C60CCD"/>
    <w:rsid w:val="00C81E86"/>
    <w:rsid w:val="00C84483"/>
    <w:rsid w:val="00C95551"/>
    <w:rsid w:val="00CB20D7"/>
    <w:rsid w:val="00D020B0"/>
    <w:rsid w:val="00D11748"/>
    <w:rsid w:val="00D1589F"/>
    <w:rsid w:val="00D366CF"/>
    <w:rsid w:val="00E108AA"/>
    <w:rsid w:val="00E31812"/>
    <w:rsid w:val="00E3749A"/>
    <w:rsid w:val="00E4366C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B7058"/>
  <w15:chartTrackingRefBased/>
  <w15:docId w15:val="{F71B2ED1-CA03-46B5-973D-33E3A1E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870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186A.632A94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</TotalTime>
  <Pages>7</Pages>
  <Words>1993</Words>
  <Characters>13359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Aaboe Würtz</dc:creator>
  <cp:keywords/>
  <dc:description>2019053457 - pkt. 4.2, 4.4, 4.8, 5.1</dc:description>
  <cp:lastModifiedBy>Betty Winther Andersen</cp:lastModifiedBy>
  <cp:revision>8</cp:revision>
  <cp:lastPrinted>2012-08-22T08:53:00Z</cp:lastPrinted>
  <dcterms:created xsi:type="dcterms:W3CDTF">2020-05-11T14:02:00Z</dcterms:created>
  <dcterms:modified xsi:type="dcterms:W3CDTF">2020-05-15T13:15:00Z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