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58A6" w14:textId="77777777" w:rsidR="009260DE" w:rsidRPr="003A340C" w:rsidRDefault="0021526C" w:rsidP="009260DE">
      <w:pPr>
        <w:rPr>
          <w:sz w:val="24"/>
          <w:szCs w:val="24"/>
        </w:rPr>
      </w:pPr>
      <w:bookmarkStart w:id="0" w:name="_GoBack"/>
      <w:bookmarkEnd w:id="0"/>
      <w:r w:rsidRPr="003A340C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A5E2C2F" wp14:editId="79D1D4D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3A340C">
        <w:rPr>
          <w:sz w:val="24"/>
          <w:szCs w:val="24"/>
        </w:rPr>
        <w:br w:type="textWrapping" w:clear="all"/>
      </w:r>
    </w:p>
    <w:p w14:paraId="337E7C53" w14:textId="2928A104" w:rsidR="009260DE" w:rsidRPr="003A340C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3A340C">
        <w:rPr>
          <w:b w:val="0"/>
          <w:szCs w:val="24"/>
          <w:lang w:eastAsia="en-US"/>
        </w:rPr>
        <w:tab/>
      </w:r>
      <w:r w:rsidR="00130F73">
        <w:rPr>
          <w:szCs w:val="24"/>
        </w:rPr>
        <w:t>22</w:t>
      </w:r>
      <w:r w:rsidR="00384893" w:rsidRPr="003A340C">
        <w:rPr>
          <w:szCs w:val="24"/>
        </w:rPr>
        <w:t xml:space="preserve">. </w:t>
      </w:r>
      <w:r w:rsidR="00130F73">
        <w:rPr>
          <w:szCs w:val="24"/>
        </w:rPr>
        <w:t>april</w:t>
      </w:r>
      <w:r w:rsidR="00384893" w:rsidRPr="003A340C">
        <w:rPr>
          <w:szCs w:val="24"/>
        </w:rPr>
        <w:t xml:space="preserve"> 202</w:t>
      </w:r>
      <w:r w:rsidR="00130F73">
        <w:rPr>
          <w:szCs w:val="24"/>
        </w:rPr>
        <w:t>5</w:t>
      </w:r>
    </w:p>
    <w:p w14:paraId="16745B9D" w14:textId="77777777" w:rsidR="009260DE" w:rsidRPr="003A340C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08EB5940" w14:textId="6B5B2911" w:rsidR="009260DE" w:rsidRPr="003A340C" w:rsidRDefault="009260DE" w:rsidP="009260DE">
      <w:pPr>
        <w:pStyle w:val="Titel"/>
        <w:jc w:val="left"/>
        <w:rPr>
          <w:b w:val="0"/>
          <w:szCs w:val="24"/>
        </w:rPr>
      </w:pPr>
    </w:p>
    <w:p w14:paraId="47CB9D1A" w14:textId="77777777" w:rsidR="009260DE" w:rsidRPr="003A340C" w:rsidRDefault="009260DE" w:rsidP="009260DE">
      <w:pPr>
        <w:pStyle w:val="Titel"/>
        <w:jc w:val="left"/>
        <w:rPr>
          <w:b w:val="0"/>
          <w:szCs w:val="24"/>
        </w:rPr>
      </w:pPr>
    </w:p>
    <w:p w14:paraId="6956D8C4" w14:textId="77777777" w:rsidR="009260DE" w:rsidRPr="003A340C" w:rsidRDefault="009260DE" w:rsidP="009260DE">
      <w:pPr>
        <w:jc w:val="center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PRODUKTRESUMÉ</w:t>
      </w:r>
    </w:p>
    <w:p w14:paraId="43C6CDBD" w14:textId="77777777" w:rsidR="009260DE" w:rsidRPr="003A340C" w:rsidRDefault="009260DE" w:rsidP="009260DE">
      <w:pPr>
        <w:jc w:val="center"/>
        <w:rPr>
          <w:b/>
          <w:sz w:val="24"/>
          <w:szCs w:val="24"/>
        </w:rPr>
      </w:pPr>
    </w:p>
    <w:p w14:paraId="3CCFB323" w14:textId="77777777" w:rsidR="009260DE" w:rsidRPr="003A340C" w:rsidRDefault="009260DE" w:rsidP="009260DE">
      <w:pPr>
        <w:jc w:val="center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for</w:t>
      </w:r>
    </w:p>
    <w:p w14:paraId="071819A3" w14:textId="77777777" w:rsidR="000B058C" w:rsidRPr="003A340C" w:rsidRDefault="000B058C" w:rsidP="009260DE">
      <w:pPr>
        <w:jc w:val="center"/>
        <w:rPr>
          <w:b/>
          <w:sz w:val="24"/>
          <w:szCs w:val="24"/>
        </w:rPr>
      </w:pPr>
    </w:p>
    <w:p w14:paraId="429C467A" w14:textId="01F4C1FE" w:rsidR="009260DE" w:rsidRPr="003A340C" w:rsidRDefault="00384893" w:rsidP="009260DE">
      <w:pPr>
        <w:jc w:val="center"/>
        <w:rPr>
          <w:b/>
          <w:sz w:val="24"/>
          <w:szCs w:val="24"/>
        </w:rPr>
      </w:pPr>
      <w:proofErr w:type="spellStart"/>
      <w:r w:rsidRPr="003A340C">
        <w:rPr>
          <w:b/>
          <w:sz w:val="24"/>
          <w:szCs w:val="24"/>
        </w:rPr>
        <w:t>Arax</w:t>
      </w:r>
      <w:proofErr w:type="spellEnd"/>
      <w:r w:rsidRPr="003A340C">
        <w:rPr>
          <w:b/>
          <w:sz w:val="24"/>
          <w:szCs w:val="24"/>
        </w:rPr>
        <w:t xml:space="preserve"> Hot, pulver til oral opløsning, breve</w:t>
      </w:r>
    </w:p>
    <w:p w14:paraId="00487C02" w14:textId="77777777" w:rsidR="009260DE" w:rsidRPr="003A340C" w:rsidRDefault="009260DE" w:rsidP="009260DE">
      <w:pPr>
        <w:jc w:val="both"/>
        <w:rPr>
          <w:sz w:val="24"/>
          <w:szCs w:val="24"/>
        </w:rPr>
      </w:pPr>
    </w:p>
    <w:p w14:paraId="77CA095A" w14:textId="77777777" w:rsidR="009260DE" w:rsidRPr="003A340C" w:rsidRDefault="009260DE" w:rsidP="009260DE">
      <w:pPr>
        <w:jc w:val="both"/>
        <w:rPr>
          <w:sz w:val="24"/>
          <w:szCs w:val="24"/>
        </w:rPr>
      </w:pPr>
    </w:p>
    <w:p w14:paraId="1CD5BD7B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0.</w:t>
      </w:r>
      <w:r w:rsidRPr="003A340C">
        <w:rPr>
          <w:b/>
          <w:sz w:val="24"/>
          <w:szCs w:val="24"/>
        </w:rPr>
        <w:tab/>
        <w:t>D.SP.NR.</w:t>
      </w:r>
    </w:p>
    <w:p w14:paraId="4ED2DC3E" w14:textId="01920619" w:rsidR="009260DE" w:rsidRPr="003A340C" w:rsidRDefault="00384893" w:rsidP="009260DE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23317</w:t>
      </w:r>
    </w:p>
    <w:p w14:paraId="0A581815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A0A422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1.</w:t>
      </w:r>
      <w:r w:rsidRPr="003A340C">
        <w:rPr>
          <w:b/>
          <w:sz w:val="24"/>
          <w:szCs w:val="24"/>
        </w:rPr>
        <w:tab/>
        <w:t>LÆGEMIDLETS NAVN</w:t>
      </w:r>
    </w:p>
    <w:p w14:paraId="5DC5A9A1" w14:textId="2097EF93" w:rsidR="009260DE" w:rsidRPr="003A340C" w:rsidRDefault="00384893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Arax</w:t>
      </w:r>
      <w:proofErr w:type="spellEnd"/>
      <w:r w:rsidRPr="003A340C">
        <w:rPr>
          <w:sz w:val="24"/>
          <w:szCs w:val="24"/>
        </w:rPr>
        <w:t xml:space="preserve"> Hot</w:t>
      </w:r>
    </w:p>
    <w:p w14:paraId="03097A4E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A5BCA2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2.</w:t>
      </w:r>
      <w:r w:rsidRPr="003A340C">
        <w:rPr>
          <w:b/>
          <w:sz w:val="24"/>
          <w:szCs w:val="24"/>
        </w:rPr>
        <w:tab/>
        <w:t>KVALITATIV OG KVANTITATIV SAMMENSÆTNING</w:t>
      </w:r>
    </w:p>
    <w:p w14:paraId="3D664B9E" w14:textId="77777777" w:rsidR="00D15F08" w:rsidRPr="003A340C" w:rsidRDefault="00D15F08" w:rsidP="00D15F08">
      <w:pPr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1 brev indeholder 500 mg paracetamol.</w:t>
      </w:r>
    </w:p>
    <w:p w14:paraId="186FCD82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142BB74A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A340C">
        <w:rPr>
          <w:sz w:val="24"/>
          <w:szCs w:val="24"/>
          <w:u w:val="single"/>
        </w:rPr>
        <w:t>Hjælpestoffer, som behandleren skal være opmærksom på</w:t>
      </w:r>
    </w:p>
    <w:p w14:paraId="6C235B29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Mannitol</w:t>
      </w:r>
      <w:proofErr w:type="spellEnd"/>
      <w:r w:rsidRPr="003A340C">
        <w:rPr>
          <w:sz w:val="24"/>
          <w:szCs w:val="24"/>
        </w:rPr>
        <w:t xml:space="preserve"> E421 (2 000 mg i hvert brev), </w:t>
      </w:r>
      <w:proofErr w:type="spellStart"/>
      <w:r w:rsidRPr="003A340C">
        <w:rPr>
          <w:sz w:val="24"/>
          <w:szCs w:val="24"/>
        </w:rPr>
        <w:t>xylitol</w:t>
      </w:r>
      <w:proofErr w:type="spellEnd"/>
      <w:r w:rsidRPr="003A340C">
        <w:rPr>
          <w:sz w:val="24"/>
          <w:szCs w:val="24"/>
        </w:rPr>
        <w:t xml:space="preserve"> E967 (1 665 mg i hvert brev).</w:t>
      </w:r>
    </w:p>
    <w:p w14:paraId="236D2676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2D694C5E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Alle hjælpestoffer er anført under pkt. 6.1.</w:t>
      </w:r>
    </w:p>
    <w:p w14:paraId="5D62983D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77437D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3.</w:t>
      </w:r>
      <w:r w:rsidRPr="003A340C">
        <w:rPr>
          <w:b/>
          <w:sz w:val="24"/>
          <w:szCs w:val="24"/>
        </w:rPr>
        <w:tab/>
        <w:t>LÆGEMIDDELFORM</w:t>
      </w:r>
    </w:p>
    <w:p w14:paraId="2013E986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Pulver til oral opløsning i breve</w:t>
      </w:r>
    </w:p>
    <w:p w14:paraId="36F28F19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12688E9F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Lyserødt pulver med duft af solbær.</w:t>
      </w:r>
    </w:p>
    <w:p w14:paraId="03CE6732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59AE1A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78D31E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4.</w:t>
      </w:r>
      <w:r w:rsidRPr="003A340C">
        <w:rPr>
          <w:b/>
          <w:sz w:val="24"/>
          <w:szCs w:val="24"/>
        </w:rPr>
        <w:tab/>
        <w:t>KLINISKE OPLYSNINGER</w:t>
      </w:r>
    </w:p>
    <w:p w14:paraId="5547FE2A" w14:textId="77777777" w:rsidR="009260DE" w:rsidRPr="003A340C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5EE6A0C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A340C">
        <w:rPr>
          <w:b/>
          <w:sz w:val="24"/>
          <w:szCs w:val="24"/>
        </w:rPr>
        <w:t>4.1</w:t>
      </w:r>
      <w:r w:rsidRPr="003A340C">
        <w:rPr>
          <w:b/>
          <w:sz w:val="24"/>
          <w:szCs w:val="24"/>
        </w:rPr>
        <w:tab/>
        <w:t>Terapeutiske indikationer</w:t>
      </w:r>
    </w:p>
    <w:p w14:paraId="5DF63491" w14:textId="77777777" w:rsidR="00D15F08" w:rsidRPr="003A340C" w:rsidRDefault="00D15F08" w:rsidP="00D15F08">
      <w:pPr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Kortvarig symptomatisk behandling af lette til moderate smerter og feber.</w:t>
      </w:r>
    </w:p>
    <w:p w14:paraId="494B881A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Arax</w:t>
      </w:r>
      <w:proofErr w:type="spellEnd"/>
      <w:r w:rsidRPr="003A340C">
        <w:rPr>
          <w:sz w:val="24"/>
          <w:szCs w:val="24"/>
        </w:rPr>
        <w:t xml:space="preserve"> Hot må kun anvendes af voksne og af unge på 12 år eller derover.</w:t>
      </w:r>
    </w:p>
    <w:p w14:paraId="1FE54E09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EF7840" w14:textId="1F444C15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4.2</w:t>
      </w:r>
      <w:r w:rsidRPr="003A340C">
        <w:rPr>
          <w:b/>
          <w:sz w:val="24"/>
          <w:szCs w:val="24"/>
        </w:rPr>
        <w:tab/>
        <w:t xml:space="preserve">Dosering og </w:t>
      </w:r>
      <w:r w:rsidR="00130F73">
        <w:rPr>
          <w:b/>
          <w:sz w:val="24"/>
          <w:szCs w:val="24"/>
        </w:rPr>
        <w:t>administration</w:t>
      </w:r>
    </w:p>
    <w:p w14:paraId="064F8869" w14:textId="77777777" w:rsidR="0083526D" w:rsidRPr="003A340C" w:rsidRDefault="0083526D" w:rsidP="00D15F0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1CA9CE9E" w14:textId="65B25ABA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3A340C">
        <w:rPr>
          <w:sz w:val="24"/>
          <w:szCs w:val="24"/>
          <w:u w:val="single"/>
        </w:rPr>
        <w:t>Dosering</w:t>
      </w:r>
    </w:p>
    <w:p w14:paraId="39684ACE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10A9EA5" w14:textId="77777777" w:rsidR="00D15F08" w:rsidRPr="003A340C" w:rsidRDefault="00D15F08" w:rsidP="00D15F08">
      <w:pPr>
        <w:tabs>
          <w:tab w:val="left" w:pos="851"/>
        </w:tabs>
        <w:ind w:left="851"/>
        <w:rPr>
          <w:i/>
          <w:sz w:val="24"/>
          <w:szCs w:val="24"/>
        </w:rPr>
      </w:pPr>
      <w:r w:rsidRPr="003A340C">
        <w:rPr>
          <w:i/>
          <w:sz w:val="24"/>
          <w:szCs w:val="24"/>
        </w:rPr>
        <w:t>Voksne og unge på 12 år eller derover</w:t>
      </w:r>
    </w:p>
    <w:p w14:paraId="3F7509AA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Patienter med legemsvægt 34-60 kg: 1 brev hver 4.-6. time efter behov. Den maksimale dagsdosis er 4 breve (paracetamol 2000 mg), fordelt på 24 timer.</w:t>
      </w:r>
    </w:p>
    <w:p w14:paraId="0800A3FD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Patienter med legemsvægt over 60 kg: 1-2 breve hver 4.-6. time efter behov. Den maksimale dagsdosis er 6 breve (paracetamol 3000 mg), fordelt på 24 timer.</w:t>
      </w:r>
    </w:p>
    <w:p w14:paraId="1B9FE399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lastRenderedPageBreak/>
        <w:t>Mindste dosisinterval: 4 timer.</w:t>
      </w:r>
    </w:p>
    <w:p w14:paraId="5FEB3162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5CD25D68" w14:textId="77777777" w:rsidR="00D15F08" w:rsidRPr="003A340C" w:rsidRDefault="00D15F08" w:rsidP="00D15F08">
      <w:pPr>
        <w:tabs>
          <w:tab w:val="left" w:pos="851"/>
        </w:tabs>
        <w:ind w:left="851"/>
        <w:rPr>
          <w:bCs/>
          <w:i/>
          <w:iCs/>
          <w:sz w:val="24"/>
          <w:szCs w:val="24"/>
        </w:rPr>
      </w:pPr>
      <w:r w:rsidRPr="003A340C">
        <w:rPr>
          <w:bCs/>
          <w:i/>
          <w:iCs/>
          <w:sz w:val="24"/>
          <w:szCs w:val="24"/>
        </w:rPr>
        <w:t>Børn under 12 år og unge med vægt under 34 kg</w:t>
      </w:r>
    </w:p>
    <w:p w14:paraId="0D5652B3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Dette lægemiddel er ikke beregnet til brug hos børn under 12 år eller unge med legemsvægt under 34 kg, da en dosis af denne styrke frarådes til denne alders-/legemsvægtgruppe. Andre lægemiddelformer/-styrker kan være bedre velegnede til administration til denne population.</w:t>
      </w:r>
    </w:p>
    <w:p w14:paraId="43AF506E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37AD56AA" w14:textId="77777777" w:rsidR="00D15F08" w:rsidRPr="003A340C" w:rsidRDefault="00D15F08" w:rsidP="00D15F08">
      <w:pPr>
        <w:tabs>
          <w:tab w:val="left" w:pos="851"/>
        </w:tabs>
        <w:ind w:left="851"/>
        <w:rPr>
          <w:i/>
          <w:sz w:val="24"/>
          <w:szCs w:val="24"/>
        </w:rPr>
      </w:pPr>
      <w:r w:rsidRPr="003A340C">
        <w:rPr>
          <w:i/>
          <w:sz w:val="24"/>
          <w:szCs w:val="24"/>
        </w:rPr>
        <w:t>Ældre</w:t>
      </w:r>
    </w:p>
    <w:p w14:paraId="0FE29546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Dosisjustering er ikke påkrævet.</w:t>
      </w:r>
    </w:p>
    <w:p w14:paraId="028545EC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4DD817A5" w14:textId="77777777" w:rsidR="00D15F08" w:rsidRPr="003A340C" w:rsidRDefault="00D15F08" w:rsidP="00D15F08">
      <w:pPr>
        <w:tabs>
          <w:tab w:val="left" w:pos="851"/>
        </w:tabs>
        <w:ind w:left="851"/>
        <w:rPr>
          <w:i/>
          <w:sz w:val="24"/>
          <w:szCs w:val="24"/>
        </w:rPr>
      </w:pPr>
      <w:r w:rsidRPr="003A340C">
        <w:rPr>
          <w:i/>
          <w:sz w:val="24"/>
          <w:szCs w:val="24"/>
        </w:rPr>
        <w:t>Leverinsufficiens</w:t>
      </w:r>
    </w:p>
    <w:p w14:paraId="760FF586" w14:textId="77777777" w:rsidR="00D15F08" w:rsidRPr="003A340C" w:rsidRDefault="00D15F08" w:rsidP="00D15F08">
      <w:pPr>
        <w:tabs>
          <w:tab w:val="left" w:pos="851"/>
        </w:tabs>
        <w:ind w:left="851"/>
        <w:rPr>
          <w:i/>
          <w:sz w:val="24"/>
          <w:szCs w:val="24"/>
        </w:rPr>
      </w:pPr>
      <w:r w:rsidRPr="003A340C">
        <w:rPr>
          <w:iCs/>
          <w:sz w:val="24"/>
          <w:szCs w:val="24"/>
        </w:rPr>
        <w:t>Hos patienter med let til moderat leverinsufficiens eller Gilberts syndrom bør dosis reduceres eller dosisintervallet forlænges. 2 g paracetamol dagligt bør ikke overskrides. Lægemidlet er kontraindiceret til patienter med svær leverinsufficiens (se pkt. 4.3).</w:t>
      </w:r>
    </w:p>
    <w:p w14:paraId="5D4B0BB1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 </w:t>
      </w:r>
    </w:p>
    <w:p w14:paraId="230C6270" w14:textId="77777777" w:rsidR="00D15F08" w:rsidRPr="003A340C" w:rsidRDefault="00D15F08" w:rsidP="00D15F08">
      <w:pPr>
        <w:tabs>
          <w:tab w:val="left" w:pos="851"/>
        </w:tabs>
        <w:ind w:left="851"/>
        <w:rPr>
          <w:i/>
          <w:sz w:val="24"/>
          <w:szCs w:val="24"/>
        </w:rPr>
      </w:pPr>
      <w:r w:rsidRPr="003A340C">
        <w:rPr>
          <w:i/>
          <w:sz w:val="24"/>
          <w:szCs w:val="24"/>
        </w:rPr>
        <w:t>Nyreinsufficiens</w:t>
      </w:r>
    </w:p>
    <w:p w14:paraId="2D293410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</w:rPr>
      </w:pPr>
      <w:r w:rsidRPr="003A340C">
        <w:rPr>
          <w:iCs/>
          <w:sz w:val="24"/>
          <w:szCs w:val="24"/>
        </w:rPr>
        <w:t>Hos patienter med nyreinsufficiens bør dosis reduceres:</w:t>
      </w:r>
    </w:p>
    <w:p w14:paraId="20BF0755" w14:textId="77777777" w:rsidR="00D15F08" w:rsidRPr="003A340C" w:rsidRDefault="00D15F08" w:rsidP="0083526D">
      <w:pPr>
        <w:tabs>
          <w:tab w:val="left" w:pos="851"/>
          <w:tab w:val="left" w:pos="4395"/>
        </w:tabs>
        <w:ind w:left="851"/>
        <w:rPr>
          <w:iCs/>
          <w:sz w:val="24"/>
          <w:szCs w:val="24"/>
        </w:rPr>
      </w:pPr>
      <w:proofErr w:type="spellStart"/>
      <w:r w:rsidRPr="003A340C">
        <w:rPr>
          <w:iCs/>
          <w:sz w:val="24"/>
          <w:szCs w:val="24"/>
        </w:rPr>
        <w:t>Glomerulær</w:t>
      </w:r>
      <w:proofErr w:type="spellEnd"/>
      <w:r w:rsidRPr="003A340C">
        <w:rPr>
          <w:iCs/>
          <w:sz w:val="24"/>
          <w:szCs w:val="24"/>
        </w:rPr>
        <w:t xml:space="preserve"> filtrationshastighed</w:t>
      </w:r>
      <w:r w:rsidRPr="003A340C">
        <w:rPr>
          <w:iCs/>
          <w:sz w:val="24"/>
          <w:szCs w:val="24"/>
        </w:rPr>
        <w:tab/>
        <w:t>Dosis</w:t>
      </w:r>
    </w:p>
    <w:p w14:paraId="5B890039" w14:textId="45B35462" w:rsidR="00D15F08" w:rsidRPr="003A340C" w:rsidRDefault="00D15F08" w:rsidP="0083526D">
      <w:pPr>
        <w:tabs>
          <w:tab w:val="left" w:pos="851"/>
          <w:tab w:val="left" w:pos="4395"/>
        </w:tabs>
        <w:ind w:left="851"/>
        <w:rPr>
          <w:iCs/>
          <w:sz w:val="24"/>
          <w:szCs w:val="24"/>
        </w:rPr>
      </w:pPr>
      <w:r w:rsidRPr="003A340C">
        <w:rPr>
          <w:iCs/>
          <w:sz w:val="24"/>
          <w:szCs w:val="24"/>
        </w:rPr>
        <w:t>10-50 ml/min</w:t>
      </w:r>
      <w:r w:rsidRPr="003A340C">
        <w:rPr>
          <w:iCs/>
          <w:sz w:val="24"/>
          <w:szCs w:val="24"/>
        </w:rPr>
        <w:tab/>
        <w:t>500 mg hver 6. time</w:t>
      </w:r>
    </w:p>
    <w:p w14:paraId="31DA7B53" w14:textId="538DAD82" w:rsidR="00D15F08" w:rsidRPr="003A340C" w:rsidRDefault="00D15F08" w:rsidP="0083526D">
      <w:pPr>
        <w:tabs>
          <w:tab w:val="left" w:pos="851"/>
          <w:tab w:val="left" w:pos="4395"/>
        </w:tabs>
        <w:ind w:left="851"/>
        <w:rPr>
          <w:iCs/>
          <w:sz w:val="24"/>
          <w:szCs w:val="24"/>
        </w:rPr>
      </w:pPr>
      <w:r w:rsidRPr="003A340C">
        <w:rPr>
          <w:iCs/>
          <w:sz w:val="24"/>
          <w:szCs w:val="24"/>
        </w:rPr>
        <w:t>&lt; 10 ml/min</w:t>
      </w:r>
      <w:r w:rsidRPr="003A340C">
        <w:rPr>
          <w:iCs/>
          <w:sz w:val="24"/>
          <w:szCs w:val="24"/>
        </w:rPr>
        <w:tab/>
        <w:t>500 mg hver 8. time</w:t>
      </w:r>
    </w:p>
    <w:p w14:paraId="25B9F938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6A9A998E" w14:textId="77777777" w:rsidR="00D15F08" w:rsidRPr="003A340C" w:rsidRDefault="00D15F08" w:rsidP="00D15F08">
      <w:pPr>
        <w:tabs>
          <w:tab w:val="left" w:pos="851"/>
        </w:tabs>
        <w:ind w:left="851"/>
        <w:rPr>
          <w:i/>
          <w:sz w:val="24"/>
          <w:szCs w:val="24"/>
        </w:rPr>
      </w:pPr>
      <w:r w:rsidRPr="003A340C">
        <w:rPr>
          <w:i/>
          <w:sz w:val="24"/>
          <w:szCs w:val="24"/>
        </w:rPr>
        <w:t>Kronisk alkoholafhængighed</w:t>
      </w:r>
    </w:p>
    <w:p w14:paraId="4801CFFA" w14:textId="77777777" w:rsidR="00D15F08" w:rsidRPr="003A340C" w:rsidRDefault="00D15F08" w:rsidP="00D15F08">
      <w:pPr>
        <w:tabs>
          <w:tab w:val="left" w:pos="851"/>
        </w:tabs>
        <w:ind w:left="851"/>
        <w:rPr>
          <w:i/>
          <w:sz w:val="24"/>
          <w:szCs w:val="24"/>
        </w:rPr>
      </w:pPr>
      <w:r w:rsidRPr="003A340C">
        <w:rPr>
          <w:iCs/>
          <w:sz w:val="24"/>
          <w:szCs w:val="24"/>
        </w:rPr>
        <w:t>Kronisk alkoholforbrug kan sænke toksicitetstærsklen af paracetamol. Hos sådanne patienter bør tidsintervallet mellem to doser være mindst 8 timer. 2 g paracetamol dagligt bør ikke overskrides.</w:t>
      </w:r>
    </w:p>
    <w:p w14:paraId="0894792C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42F94E2C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A340C">
        <w:rPr>
          <w:sz w:val="24"/>
          <w:szCs w:val="24"/>
          <w:u w:val="single"/>
        </w:rPr>
        <w:t xml:space="preserve">Anvendelsesmåde </w:t>
      </w:r>
    </w:p>
    <w:p w14:paraId="7138C8DF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Til oral anvendelse.</w:t>
      </w:r>
    </w:p>
    <w:p w14:paraId="2A7EF984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Indholdet af breve opløses i en kop eller et krus varmt, men ikke kogende vand, og omrøres godt. Den </w:t>
      </w:r>
      <w:proofErr w:type="spellStart"/>
      <w:r w:rsidRPr="003A340C">
        <w:rPr>
          <w:sz w:val="24"/>
          <w:szCs w:val="24"/>
        </w:rPr>
        <w:t>rekonstituerede</w:t>
      </w:r>
      <w:proofErr w:type="spellEnd"/>
      <w:r w:rsidRPr="003A340C">
        <w:rPr>
          <w:sz w:val="24"/>
          <w:szCs w:val="24"/>
        </w:rPr>
        <w:t xml:space="preserve"> opløsning bør anvendes inden for 30 minutter.</w:t>
      </w:r>
    </w:p>
    <w:p w14:paraId="6021CE75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FA4B87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4.3</w:t>
      </w:r>
      <w:r w:rsidRPr="003A340C">
        <w:rPr>
          <w:b/>
          <w:sz w:val="24"/>
          <w:szCs w:val="24"/>
        </w:rPr>
        <w:tab/>
        <w:t>Kontraindikationer</w:t>
      </w:r>
    </w:p>
    <w:p w14:paraId="12D35D70" w14:textId="11F078A9" w:rsidR="00D15F08" w:rsidRPr="003A340C" w:rsidRDefault="00D15F08" w:rsidP="0083526D">
      <w:pPr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Overfølsomhed over for det aktive stof eller over for et eller flere af hjælpestofferne anført i pkt. 6.1.</w:t>
      </w:r>
    </w:p>
    <w:p w14:paraId="51B44756" w14:textId="77777777" w:rsidR="00D15F08" w:rsidRPr="003A340C" w:rsidRDefault="00D15F08" w:rsidP="0083526D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>Svær leverinsufficiens.</w:t>
      </w:r>
    </w:p>
    <w:p w14:paraId="00F5A5FB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ED493A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4.4</w:t>
      </w:r>
      <w:r w:rsidRPr="003A340C">
        <w:rPr>
          <w:b/>
          <w:sz w:val="24"/>
          <w:szCs w:val="24"/>
        </w:rPr>
        <w:tab/>
        <w:t>Særlige advarsler og forsigtighedsregler vedrørende brugen</w:t>
      </w:r>
    </w:p>
    <w:p w14:paraId="63FC2A5E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Patienter bør rådes til ikke samtidig at tage andre paracetamolholdige lægemidler på grund af risikoen for alvorlig leverskade i tilfælde af overdosering (se pkt. 4.9).</w:t>
      </w:r>
    </w:p>
    <w:p w14:paraId="5BF238E1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767CFCAE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Forsigtighed tilrådes ved administration af paracetamol til patienter med moderat til svær nyreinsufficiens, let til moderat </w:t>
      </w:r>
      <w:proofErr w:type="spellStart"/>
      <w:r w:rsidRPr="003A340C">
        <w:rPr>
          <w:sz w:val="24"/>
          <w:szCs w:val="24"/>
        </w:rPr>
        <w:t>hepatocellulær</w:t>
      </w:r>
      <w:proofErr w:type="spellEnd"/>
      <w:r w:rsidRPr="003A340C">
        <w:rPr>
          <w:sz w:val="24"/>
          <w:szCs w:val="24"/>
        </w:rPr>
        <w:t xml:space="preserve"> insufficiens (herunder Gilberts syndrom), akut hepatitis, samtidig behandling med lægemidler, der påvirker leverfunktionen, glucose-6-fosfat </w:t>
      </w:r>
      <w:proofErr w:type="spellStart"/>
      <w:r w:rsidRPr="003A340C">
        <w:rPr>
          <w:sz w:val="24"/>
          <w:szCs w:val="24"/>
        </w:rPr>
        <w:t>dehydrogenase</w:t>
      </w:r>
      <w:proofErr w:type="spellEnd"/>
      <w:r w:rsidRPr="003A340C">
        <w:rPr>
          <w:sz w:val="24"/>
          <w:szCs w:val="24"/>
        </w:rPr>
        <w:t xml:space="preserve">-mangel, </w:t>
      </w:r>
      <w:proofErr w:type="spellStart"/>
      <w:r w:rsidRPr="003A340C">
        <w:rPr>
          <w:sz w:val="24"/>
          <w:szCs w:val="24"/>
        </w:rPr>
        <w:t>hæmolytisk</w:t>
      </w:r>
      <w:proofErr w:type="spellEnd"/>
      <w:r w:rsidRPr="003A340C">
        <w:rPr>
          <w:sz w:val="24"/>
          <w:szCs w:val="24"/>
        </w:rPr>
        <w:t xml:space="preserve"> anæmi, dehydrering, alkoholmisbrug samt kronisk fejlernæring Der er en potentiel risiko for metabolisk </w:t>
      </w:r>
      <w:proofErr w:type="spellStart"/>
      <w:r w:rsidRPr="003A340C">
        <w:rPr>
          <w:sz w:val="24"/>
          <w:szCs w:val="24"/>
        </w:rPr>
        <w:t>acidose</w:t>
      </w:r>
      <w:proofErr w:type="spellEnd"/>
      <w:r w:rsidRPr="003A340C">
        <w:rPr>
          <w:sz w:val="24"/>
          <w:szCs w:val="24"/>
        </w:rPr>
        <w:t xml:space="preserve"> forbundet med overdosis af paracetamol hos patienter med yderligere risikofaktorer som underernæring eller sepsislignende inflammatorisk respons.</w:t>
      </w:r>
    </w:p>
    <w:p w14:paraId="33F6A376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0AE9A20D" w14:textId="77777777" w:rsidR="00130F73" w:rsidRPr="00BD6210" w:rsidRDefault="00130F73" w:rsidP="00130F73">
      <w:pPr>
        <w:tabs>
          <w:tab w:val="left" w:pos="851"/>
        </w:tabs>
        <w:ind w:left="851"/>
        <w:rPr>
          <w:sz w:val="24"/>
          <w:szCs w:val="24"/>
        </w:rPr>
      </w:pPr>
      <w:r w:rsidRPr="005F18C8">
        <w:rPr>
          <w:sz w:val="24"/>
          <w:szCs w:val="24"/>
        </w:rPr>
        <w:t xml:space="preserve">Der er rapporteret om tilfælde af metabolisk </w:t>
      </w:r>
      <w:proofErr w:type="spellStart"/>
      <w:r w:rsidRPr="005F18C8">
        <w:rPr>
          <w:sz w:val="24"/>
          <w:szCs w:val="24"/>
        </w:rPr>
        <w:t>acidose</w:t>
      </w:r>
      <w:proofErr w:type="spellEnd"/>
      <w:r w:rsidRPr="005F18C8">
        <w:rPr>
          <w:sz w:val="24"/>
          <w:szCs w:val="24"/>
        </w:rPr>
        <w:t xml:space="preserve"> med højt anion-</w:t>
      </w:r>
      <w:proofErr w:type="spellStart"/>
      <w:r w:rsidRPr="005F18C8">
        <w:rPr>
          <w:sz w:val="24"/>
          <w:szCs w:val="24"/>
        </w:rPr>
        <w:t>gap</w:t>
      </w:r>
      <w:proofErr w:type="spellEnd"/>
      <w:r w:rsidRPr="005F18C8">
        <w:rPr>
          <w:sz w:val="24"/>
          <w:szCs w:val="24"/>
        </w:rPr>
        <w:t xml:space="preserve"> (HAGMA) som følge af </w:t>
      </w:r>
      <w:proofErr w:type="spellStart"/>
      <w:r w:rsidRPr="005F18C8">
        <w:rPr>
          <w:sz w:val="24"/>
          <w:szCs w:val="24"/>
        </w:rPr>
        <w:t>pyroglutaminacidose</w:t>
      </w:r>
      <w:proofErr w:type="spellEnd"/>
      <w:r>
        <w:rPr>
          <w:sz w:val="24"/>
          <w:szCs w:val="24"/>
        </w:rPr>
        <w:t xml:space="preserve"> hos </w:t>
      </w:r>
      <w:r w:rsidRPr="003A340C">
        <w:rPr>
          <w:sz w:val="24"/>
          <w:szCs w:val="24"/>
        </w:rPr>
        <w:t xml:space="preserve">patienter med </w:t>
      </w:r>
      <w:r w:rsidRPr="0027785B">
        <w:t>svær sygdom såsom</w:t>
      </w:r>
      <w:r w:rsidRPr="003A340C">
        <w:rPr>
          <w:sz w:val="24"/>
          <w:szCs w:val="24"/>
        </w:rPr>
        <w:t xml:space="preserve"> svær </w:t>
      </w:r>
      <w:r w:rsidRPr="005F18C8">
        <w:rPr>
          <w:sz w:val="24"/>
          <w:szCs w:val="24"/>
        </w:rPr>
        <w:t>nyreinsufficiens</w:t>
      </w:r>
      <w:r>
        <w:rPr>
          <w:sz w:val="24"/>
          <w:szCs w:val="24"/>
        </w:rPr>
        <w:t xml:space="preserve"> og</w:t>
      </w:r>
      <w:r w:rsidRPr="003A340C">
        <w:rPr>
          <w:sz w:val="24"/>
          <w:szCs w:val="24"/>
        </w:rPr>
        <w:t xml:space="preserve"> sepsis, </w:t>
      </w:r>
      <w:r>
        <w:rPr>
          <w:sz w:val="24"/>
          <w:szCs w:val="24"/>
        </w:rPr>
        <w:t xml:space="preserve">eller hos patienter med </w:t>
      </w:r>
      <w:r w:rsidRPr="003A340C">
        <w:rPr>
          <w:sz w:val="24"/>
          <w:szCs w:val="24"/>
        </w:rPr>
        <w:t xml:space="preserve">fejlernæring </w:t>
      </w:r>
      <w:r>
        <w:rPr>
          <w:sz w:val="24"/>
          <w:szCs w:val="24"/>
        </w:rPr>
        <w:t>eller</w:t>
      </w:r>
      <w:r w:rsidRPr="003A340C">
        <w:rPr>
          <w:sz w:val="24"/>
          <w:szCs w:val="24"/>
        </w:rPr>
        <w:t xml:space="preserve"> andre kilder til </w:t>
      </w:r>
      <w:proofErr w:type="spellStart"/>
      <w:r w:rsidRPr="003A340C">
        <w:rPr>
          <w:sz w:val="24"/>
          <w:szCs w:val="24"/>
        </w:rPr>
        <w:t>glutathionmangel</w:t>
      </w:r>
      <w:proofErr w:type="spellEnd"/>
      <w:r w:rsidRPr="003A340C">
        <w:rPr>
          <w:sz w:val="24"/>
          <w:szCs w:val="24"/>
        </w:rPr>
        <w:t xml:space="preserve"> (f.eks. kronisk alkoholisme),</w:t>
      </w:r>
      <w:r>
        <w:rPr>
          <w:sz w:val="24"/>
          <w:szCs w:val="24"/>
        </w:rPr>
        <w:t xml:space="preserve"> </w:t>
      </w:r>
      <w:r w:rsidRPr="005F18C8">
        <w:rPr>
          <w:sz w:val="24"/>
          <w:szCs w:val="24"/>
        </w:rPr>
        <w:t xml:space="preserve">som blev behandlet med paracetamol i terapeutiske doser i en længere periode eller en kombination af paracetamol og </w:t>
      </w:r>
      <w:proofErr w:type="spellStart"/>
      <w:r w:rsidRPr="005F18C8">
        <w:rPr>
          <w:sz w:val="24"/>
          <w:szCs w:val="24"/>
        </w:rPr>
        <w:t>flucloxacillin</w:t>
      </w:r>
      <w:proofErr w:type="spellEnd"/>
      <w:r w:rsidRPr="005F18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F18C8">
        <w:rPr>
          <w:sz w:val="24"/>
          <w:szCs w:val="24"/>
        </w:rPr>
        <w:t xml:space="preserve">Hvis der er mistanke om HAGMA på grund af </w:t>
      </w:r>
      <w:proofErr w:type="spellStart"/>
      <w:r w:rsidRPr="005F18C8">
        <w:rPr>
          <w:sz w:val="24"/>
          <w:szCs w:val="24"/>
        </w:rPr>
        <w:t>pyroglutaminacidose</w:t>
      </w:r>
      <w:proofErr w:type="spellEnd"/>
      <w:r w:rsidRPr="005F18C8">
        <w:rPr>
          <w:sz w:val="24"/>
          <w:szCs w:val="24"/>
        </w:rPr>
        <w:t xml:space="preserve">, anbefales øjeblikkelig </w:t>
      </w:r>
      <w:proofErr w:type="spellStart"/>
      <w:r w:rsidRPr="005F18C8">
        <w:rPr>
          <w:sz w:val="24"/>
          <w:szCs w:val="24"/>
        </w:rPr>
        <w:t>seponering</w:t>
      </w:r>
      <w:proofErr w:type="spellEnd"/>
      <w:r w:rsidRPr="005F18C8">
        <w:rPr>
          <w:sz w:val="24"/>
          <w:szCs w:val="24"/>
        </w:rPr>
        <w:t xml:space="preserve"> af paracetamol og</w:t>
      </w:r>
      <w:r>
        <w:rPr>
          <w:sz w:val="24"/>
          <w:szCs w:val="24"/>
        </w:rPr>
        <w:t xml:space="preserve"> t</w:t>
      </w:r>
      <w:r w:rsidRPr="003A340C">
        <w:rPr>
          <w:sz w:val="24"/>
          <w:szCs w:val="24"/>
        </w:rPr>
        <w:t>æt</w:t>
      </w:r>
      <w:r>
        <w:rPr>
          <w:sz w:val="24"/>
          <w:szCs w:val="24"/>
        </w:rPr>
        <w:t xml:space="preserve"> </w:t>
      </w:r>
      <w:r w:rsidRPr="005F18C8">
        <w:rPr>
          <w:sz w:val="24"/>
          <w:szCs w:val="24"/>
        </w:rPr>
        <w:t>overvågning</w:t>
      </w:r>
      <w:r w:rsidRPr="003A34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F18C8">
        <w:rPr>
          <w:sz w:val="24"/>
          <w:szCs w:val="24"/>
        </w:rPr>
        <w:t xml:space="preserve">Målingen af 5-oxoprolin i urinen kan være nyttig til at identificere </w:t>
      </w:r>
      <w:proofErr w:type="spellStart"/>
      <w:r w:rsidRPr="005F18C8">
        <w:rPr>
          <w:sz w:val="24"/>
          <w:szCs w:val="24"/>
        </w:rPr>
        <w:t>pyroglutaminacidose</w:t>
      </w:r>
      <w:proofErr w:type="spellEnd"/>
      <w:r w:rsidRPr="005F18C8">
        <w:rPr>
          <w:sz w:val="24"/>
          <w:szCs w:val="24"/>
        </w:rPr>
        <w:t xml:space="preserve"> som underliggende årsag til HAGMA hos patienter med flere risikofaktorer.</w:t>
      </w:r>
    </w:p>
    <w:p w14:paraId="7B1C2F10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03467D84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Forsigtighed bør udvises hos patienter med astma, som er følsomme over for acetylsalicylsyre, da der er beskrevet lette </w:t>
      </w:r>
      <w:proofErr w:type="spellStart"/>
      <w:r w:rsidRPr="003A340C">
        <w:rPr>
          <w:sz w:val="24"/>
          <w:szCs w:val="24"/>
        </w:rPr>
        <w:t>bronkospasmer</w:t>
      </w:r>
      <w:proofErr w:type="spellEnd"/>
      <w:r w:rsidRPr="003A340C">
        <w:rPr>
          <w:sz w:val="24"/>
          <w:szCs w:val="24"/>
        </w:rPr>
        <w:t xml:space="preserve"> i forbindelse med paracetamol (krydsreaktion).</w:t>
      </w:r>
    </w:p>
    <w:p w14:paraId="4249D871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26013654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Sædvanligvis bør lægemidler indeholdende paracetamol kun tages i få dage, medmindre det tilrådes af en læge eller tandlæge, og ikke i høje doser.</w:t>
      </w:r>
    </w:p>
    <w:p w14:paraId="178E05BE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3E7EF99A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Sædvanligvis kan habituelt indtag af </w:t>
      </w:r>
      <w:proofErr w:type="spellStart"/>
      <w:r w:rsidRPr="003A340C">
        <w:rPr>
          <w:sz w:val="24"/>
          <w:szCs w:val="24"/>
        </w:rPr>
        <w:t>analgetika</w:t>
      </w:r>
      <w:proofErr w:type="spellEnd"/>
      <w:r w:rsidRPr="003A340C">
        <w:rPr>
          <w:sz w:val="24"/>
          <w:szCs w:val="24"/>
        </w:rPr>
        <w:t xml:space="preserve">, især en kombination af flere smertestillende stoffer, medføre permanent nyreskade med risiko for nyreinsufficiens (analgetisk </w:t>
      </w:r>
      <w:proofErr w:type="spellStart"/>
      <w:r w:rsidRPr="003A340C">
        <w:rPr>
          <w:sz w:val="24"/>
          <w:szCs w:val="24"/>
        </w:rPr>
        <w:t>nefropati</w:t>
      </w:r>
      <w:proofErr w:type="spellEnd"/>
      <w:r w:rsidRPr="003A340C">
        <w:rPr>
          <w:sz w:val="24"/>
          <w:szCs w:val="24"/>
        </w:rPr>
        <w:t>).</w:t>
      </w:r>
    </w:p>
    <w:p w14:paraId="283A6FE6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64E3940F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Højere doser end de anbefalede indebærer risiko for meget svær leverskade. </w:t>
      </w:r>
      <w:proofErr w:type="spellStart"/>
      <w:r w:rsidRPr="003A340C">
        <w:rPr>
          <w:sz w:val="24"/>
          <w:szCs w:val="24"/>
        </w:rPr>
        <w:t>Antidotbehandling</w:t>
      </w:r>
      <w:proofErr w:type="spellEnd"/>
      <w:r w:rsidRPr="003A340C">
        <w:rPr>
          <w:sz w:val="24"/>
          <w:szCs w:val="24"/>
        </w:rPr>
        <w:t xml:space="preserve"> bør gives hurtigst muligt (se pkt. 4.9). Langvarig eller hyppig anvendelse frarådes. Overdosering vil øge risikoen for leverskade ved samtidig brug af barbiturater, alkohol eller andre </w:t>
      </w:r>
      <w:proofErr w:type="spellStart"/>
      <w:r w:rsidRPr="003A340C">
        <w:rPr>
          <w:sz w:val="24"/>
          <w:szCs w:val="24"/>
        </w:rPr>
        <w:t>hepatotoksisk</w:t>
      </w:r>
      <w:proofErr w:type="spellEnd"/>
      <w:r w:rsidRPr="003A340C">
        <w:rPr>
          <w:sz w:val="24"/>
          <w:szCs w:val="24"/>
        </w:rPr>
        <w:t xml:space="preserve"> virkende midler. Indtagelse af flere dagsdoser samtidigt kan medføre svær leverskade; i sådanne tilfælde vil der ikke forekomme bevidstløshed. Der bør imidlertid øjeblikkelig søges læge. Langvarig anvendelse uden lægelig overvågning kan være skadelig. Hos børn, der behandles med paracetamol, 60 mg/kg dagligt, bør behandlingen ikke suppleres med andre </w:t>
      </w:r>
      <w:proofErr w:type="spellStart"/>
      <w:r w:rsidRPr="003A340C">
        <w:rPr>
          <w:sz w:val="24"/>
          <w:szCs w:val="24"/>
        </w:rPr>
        <w:t>antipyretika</w:t>
      </w:r>
      <w:proofErr w:type="spellEnd"/>
      <w:r w:rsidRPr="003A340C">
        <w:rPr>
          <w:sz w:val="24"/>
          <w:szCs w:val="24"/>
        </w:rPr>
        <w:t>, undtagen ved manglende virkning.</w:t>
      </w:r>
    </w:p>
    <w:p w14:paraId="09B3E48F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55540502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Forsigtighed bør udvises, når paracetamol anvendes i kombination med stoffer, der inducerer leverenzymer (se pkt. 4.5).</w:t>
      </w:r>
    </w:p>
    <w:p w14:paraId="13510D5F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277AC1B7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Alkohol bør undgås, når dette lægemiddel anvendes, da samtidig brug af paracetamol kan forårsage leverskade/</w:t>
      </w:r>
      <w:proofErr w:type="spellStart"/>
      <w:r w:rsidRPr="003A340C">
        <w:rPr>
          <w:sz w:val="24"/>
          <w:szCs w:val="24"/>
        </w:rPr>
        <w:t>hepatotoksicitet</w:t>
      </w:r>
      <w:proofErr w:type="spellEnd"/>
      <w:r w:rsidRPr="003A340C">
        <w:rPr>
          <w:sz w:val="24"/>
          <w:szCs w:val="24"/>
        </w:rPr>
        <w:t>. Forsigtighed bør udvises ved anvendelse af paracetamol hos patienter med stort alkoholforbrug og ved kronisk alkoholmisbrug. Risikoen ved overdosering er øget ved ikke-</w:t>
      </w:r>
      <w:proofErr w:type="spellStart"/>
      <w:r w:rsidRPr="003A340C">
        <w:rPr>
          <w:sz w:val="24"/>
          <w:szCs w:val="24"/>
        </w:rPr>
        <w:t>cirrotisk</w:t>
      </w:r>
      <w:proofErr w:type="spellEnd"/>
      <w:r w:rsidRPr="003A340C">
        <w:rPr>
          <w:sz w:val="24"/>
          <w:szCs w:val="24"/>
        </w:rPr>
        <w:t xml:space="preserve"> alkoholisk leversygdom. Hos patienter med alkoholmisbrug skal dosis reduceres (se pkt. 4.2). Dagsdosis bør i sådanne tilfælde ikke overstige 2 000 mg.</w:t>
      </w:r>
    </w:p>
    <w:p w14:paraId="2B6658E8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106D8471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Pludselig </w:t>
      </w:r>
      <w:proofErr w:type="spellStart"/>
      <w:r w:rsidRPr="003A340C">
        <w:rPr>
          <w:sz w:val="24"/>
          <w:szCs w:val="24"/>
        </w:rPr>
        <w:t>seponering</w:t>
      </w:r>
      <w:proofErr w:type="spellEnd"/>
      <w:r w:rsidRPr="003A340C">
        <w:rPr>
          <w:sz w:val="24"/>
          <w:szCs w:val="24"/>
        </w:rPr>
        <w:t xml:space="preserve"> efter langvarig høj dosis og ukorrekt brug af </w:t>
      </w:r>
      <w:proofErr w:type="spellStart"/>
      <w:r w:rsidRPr="003A340C">
        <w:rPr>
          <w:sz w:val="24"/>
          <w:szCs w:val="24"/>
        </w:rPr>
        <w:t>analgetika</w:t>
      </w:r>
      <w:proofErr w:type="spellEnd"/>
      <w:r w:rsidRPr="003A340C">
        <w:rPr>
          <w:sz w:val="24"/>
          <w:szCs w:val="24"/>
        </w:rPr>
        <w:t xml:space="preserve"> kan medføre hovedpine, træthed, muskelsmerter, nervøsitet og autonome symptomer. Disse abstinenssymptomer svinder i løbet af få dage. Indtil dette tidspunkt bør yderligere indtagelse af </w:t>
      </w:r>
      <w:proofErr w:type="spellStart"/>
      <w:r w:rsidRPr="003A340C">
        <w:rPr>
          <w:sz w:val="24"/>
          <w:szCs w:val="24"/>
        </w:rPr>
        <w:t>analgetika</w:t>
      </w:r>
      <w:proofErr w:type="spellEnd"/>
      <w:r w:rsidRPr="003A340C">
        <w:rPr>
          <w:sz w:val="24"/>
          <w:szCs w:val="24"/>
        </w:rPr>
        <w:t xml:space="preserve"> undgås, og bør ikke genoptages, uden at lægen tilråder det. Hovedpine som følge af overforbrug af </w:t>
      </w:r>
      <w:proofErr w:type="spellStart"/>
      <w:r w:rsidRPr="003A340C">
        <w:rPr>
          <w:sz w:val="24"/>
          <w:szCs w:val="24"/>
        </w:rPr>
        <w:t>analgetika</w:t>
      </w:r>
      <w:proofErr w:type="spellEnd"/>
      <w:r w:rsidRPr="003A340C">
        <w:rPr>
          <w:sz w:val="24"/>
          <w:szCs w:val="24"/>
        </w:rPr>
        <w:t xml:space="preserve"> bør ikke behandles ved at øge dosis.</w:t>
      </w:r>
    </w:p>
    <w:p w14:paraId="547E9374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16EBB005" w14:textId="77777777" w:rsidR="00D15F08" w:rsidRPr="003A340C" w:rsidRDefault="00D15F08" w:rsidP="00D15F08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3A340C">
        <w:rPr>
          <w:bCs/>
          <w:sz w:val="24"/>
          <w:szCs w:val="24"/>
          <w:u w:val="single"/>
        </w:rPr>
        <w:t>Oplysninger om hjælpestoffer</w:t>
      </w:r>
    </w:p>
    <w:p w14:paraId="6ACC725A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Dette lægemiddel indeholder:</w:t>
      </w:r>
    </w:p>
    <w:p w14:paraId="404BCBEC" w14:textId="77777777" w:rsidR="00D15F08" w:rsidRPr="003A340C" w:rsidRDefault="00D15F08" w:rsidP="00D15F08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Mannitol</w:t>
      </w:r>
      <w:proofErr w:type="spellEnd"/>
      <w:r w:rsidRPr="003A340C">
        <w:rPr>
          <w:sz w:val="24"/>
          <w:szCs w:val="24"/>
        </w:rPr>
        <w:t>, som kan have mild afførende virkning</w:t>
      </w:r>
    </w:p>
    <w:p w14:paraId="36DB05DC" w14:textId="77777777" w:rsidR="00D15F08" w:rsidRPr="003A340C" w:rsidRDefault="00D15F08" w:rsidP="00D15F08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Xylitol</w:t>
      </w:r>
      <w:proofErr w:type="spellEnd"/>
      <w:r w:rsidRPr="003A340C">
        <w:rPr>
          <w:sz w:val="24"/>
          <w:szCs w:val="24"/>
        </w:rPr>
        <w:t>, som kan have afførende virkning.</w:t>
      </w:r>
    </w:p>
    <w:p w14:paraId="3F75B223" w14:textId="182ECC88" w:rsidR="003A340C" w:rsidRDefault="003A340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6942B7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3FBC56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4.5</w:t>
      </w:r>
      <w:r w:rsidRPr="003A340C">
        <w:rPr>
          <w:b/>
          <w:sz w:val="24"/>
          <w:szCs w:val="24"/>
        </w:rPr>
        <w:tab/>
        <w:t>Interaktion med andre lægemidler og andre former for interaktion</w:t>
      </w:r>
    </w:p>
    <w:p w14:paraId="449053F1" w14:textId="77777777" w:rsidR="0083526D" w:rsidRPr="003A340C" w:rsidRDefault="0083526D" w:rsidP="00D15F0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20D813E" w14:textId="77777777" w:rsidR="00130F73" w:rsidRPr="003A340C" w:rsidRDefault="00130F73" w:rsidP="00130F73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proofErr w:type="spellStart"/>
      <w:r w:rsidRPr="003A340C">
        <w:rPr>
          <w:sz w:val="24"/>
          <w:szCs w:val="24"/>
          <w:u w:val="single"/>
        </w:rPr>
        <w:t>Farmakodynamiske</w:t>
      </w:r>
      <w:proofErr w:type="spellEnd"/>
      <w:r w:rsidRPr="003A340C">
        <w:rPr>
          <w:sz w:val="24"/>
          <w:szCs w:val="24"/>
          <w:u w:val="single"/>
        </w:rPr>
        <w:t xml:space="preserve"> interaktioner</w:t>
      </w:r>
    </w:p>
    <w:p w14:paraId="4B23FEAA" w14:textId="77777777" w:rsidR="00130F73" w:rsidRPr="003A340C" w:rsidRDefault="00130F73" w:rsidP="00130F73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Den antikoagulerende virkning af </w:t>
      </w:r>
      <w:proofErr w:type="spellStart"/>
      <w:r w:rsidRPr="003A340C">
        <w:rPr>
          <w:sz w:val="24"/>
          <w:szCs w:val="24"/>
        </w:rPr>
        <w:t>warfarin</w:t>
      </w:r>
      <w:proofErr w:type="spellEnd"/>
      <w:r w:rsidRPr="003A340C">
        <w:rPr>
          <w:sz w:val="24"/>
          <w:szCs w:val="24"/>
        </w:rPr>
        <w:t xml:space="preserve"> og andre </w:t>
      </w:r>
      <w:proofErr w:type="spellStart"/>
      <w:r w:rsidRPr="003A340C">
        <w:rPr>
          <w:sz w:val="24"/>
          <w:szCs w:val="24"/>
        </w:rPr>
        <w:t>coumariner</w:t>
      </w:r>
      <w:proofErr w:type="spellEnd"/>
      <w:r w:rsidRPr="003A340C">
        <w:rPr>
          <w:sz w:val="24"/>
          <w:szCs w:val="24"/>
        </w:rPr>
        <w:t xml:space="preserve"> kan øges ved regelmæssig brug af paracetamol, med øget blødningsrisiko til følge Virkningen kan forekomme allerede ved dagsdoser på 2 000 mg efter 3 dage. Lejlighedsvise doser har ingen effekt af betydning på blødningstendensen. Overvågningen af </w:t>
      </w:r>
      <w:proofErr w:type="gramStart"/>
      <w:r w:rsidRPr="003A340C">
        <w:rPr>
          <w:sz w:val="24"/>
          <w:szCs w:val="24"/>
        </w:rPr>
        <w:t>INR værdierne</w:t>
      </w:r>
      <w:proofErr w:type="gramEnd"/>
      <w:r w:rsidRPr="003A340C">
        <w:rPr>
          <w:sz w:val="24"/>
          <w:szCs w:val="24"/>
        </w:rPr>
        <w:t xml:space="preserve"> bør øges under anvendelsen af kombinationen og efter at den er seponeret.</w:t>
      </w:r>
    </w:p>
    <w:p w14:paraId="3EEDA31D" w14:textId="77777777" w:rsidR="00130F73" w:rsidRPr="003A340C" w:rsidRDefault="00130F73" w:rsidP="00130F73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Samtidig brug af paracetamol og </w:t>
      </w:r>
      <w:proofErr w:type="spellStart"/>
      <w:r w:rsidRPr="003A340C">
        <w:rPr>
          <w:sz w:val="24"/>
          <w:szCs w:val="24"/>
        </w:rPr>
        <w:t>zidovudin</w:t>
      </w:r>
      <w:proofErr w:type="spellEnd"/>
      <w:r w:rsidRPr="003A340C">
        <w:rPr>
          <w:sz w:val="24"/>
          <w:szCs w:val="24"/>
        </w:rPr>
        <w:t xml:space="preserve"> øger tendensen til at udvikle </w:t>
      </w:r>
      <w:proofErr w:type="spellStart"/>
      <w:r w:rsidRPr="003A340C">
        <w:rPr>
          <w:sz w:val="24"/>
          <w:szCs w:val="24"/>
        </w:rPr>
        <w:t>neutropeni</w:t>
      </w:r>
      <w:proofErr w:type="spellEnd"/>
      <w:r w:rsidRPr="003A340C">
        <w:rPr>
          <w:sz w:val="24"/>
          <w:szCs w:val="24"/>
        </w:rPr>
        <w:t xml:space="preserve">. Dette lægemiddel bør derfor kun på lægens råd anvendes sammen med </w:t>
      </w:r>
      <w:proofErr w:type="spellStart"/>
      <w:r w:rsidRPr="003A340C">
        <w:rPr>
          <w:sz w:val="24"/>
          <w:szCs w:val="24"/>
        </w:rPr>
        <w:t>zidovudin</w:t>
      </w:r>
      <w:proofErr w:type="spellEnd"/>
      <w:r w:rsidRPr="003A340C">
        <w:rPr>
          <w:sz w:val="24"/>
          <w:szCs w:val="24"/>
        </w:rPr>
        <w:t>.</w:t>
      </w:r>
    </w:p>
    <w:p w14:paraId="3D9763D4" w14:textId="77777777" w:rsidR="00130F73" w:rsidRPr="003A340C" w:rsidRDefault="00130F73" w:rsidP="00130F73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Der bør udvises forsigtighed, når paracetamol anvendes samtidig med </w:t>
      </w:r>
      <w:proofErr w:type="spellStart"/>
      <w:r w:rsidRPr="003A340C">
        <w:rPr>
          <w:sz w:val="24"/>
          <w:szCs w:val="24"/>
        </w:rPr>
        <w:t>flucloxacillin</w:t>
      </w:r>
      <w:proofErr w:type="spellEnd"/>
      <w:r w:rsidRPr="003A340C">
        <w:rPr>
          <w:sz w:val="24"/>
          <w:szCs w:val="24"/>
        </w:rPr>
        <w:t xml:space="preserve">, </w:t>
      </w:r>
      <w:r>
        <w:rPr>
          <w:sz w:val="24"/>
          <w:szCs w:val="24"/>
        </w:rPr>
        <w:t>da</w:t>
      </w:r>
      <w:r w:rsidRPr="003A340C">
        <w:rPr>
          <w:sz w:val="24"/>
          <w:szCs w:val="24"/>
        </w:rPr>
        <w:t xml:space="preserve"> samtidig </w:t>
      </w:r>
      <w:r w:rsidRPr="009E03AB">
        <w:rPr>
          <w:sz w:val="24"/>
          <w:szCs w:val="24"/>
        </w:rPr>
        <w:t xml:space="preserve">indtagelse har været </w:t>
      </w:r>
      <w:r w:rsidRPr="003A340C">
        <w:rPr>
          <w:sz w:val="24"/>
          <w:szCs w:val="24"/>
        </w:rPr>
        <w:t xml:space="preserve">forbundet med metabolisk </w:t>
      </w:r>
      <w:proofErr w:type="spellStart"/>
      <w:r w:rsidRPr="003A340C">
        <w:rPr>
          <w:sz w:val="24"/>
          <w:szCs w:val="24"/>
        </w:rPr>
        <w:t>acidose</w:t>
      </w:r>
      <w:proofErr w:type="spellEnd"/>
      <w:r w:rsidRPr="003A340C">
        <w:rPr>
          <w:sz w:val="24"/>
          <w:szCs w:val="24"/>
        </w:rPr>
        <w:t xml:space="preserve"> med højt anion-</w:t>
      </w:r>
      <w:proofErr w:type="spellStart"/>
      <w:r w:rsidRPr="003A340C">
        <w:rPr>
          <w:sz w:val="24"/>
          <w:szCs w:val="24"/>
        </w:rPr>
        <w:t>gap</w:t>
      </w:r>
      <w:proofErr w:type="spellEnd"/>
      <w:r>
        <w:rPr>
          <w:sz w:val="24"/>
          <w:szCs w:val="24"/>
        </w:rPr>
        <w:t xml:space="preserve"> </w:t>
      </w:r>
      <w:r w:rsidRPr="009E03AB">
        <w:rPr>
          <w:sz w:val="24"/>
          <w:szCs w:val="24"/>
        </w:rPr>
        <w:t xml:space="preserve">på grund af </w:t>
      </w:r>
      <w:proofErr w:type="spellStart"/>
      <w:r w:rsidRPr="009E03AB">
        <w:rPr>
          <w:sz w:val="24"/>
          <w:szCs w:val="24"/>
        </w:rPr>
        <w:t>pyroglutaminacidose</w:t>
      </w:r>
      <w:proofErr w:type="spellEnd"/>
      <w:r w:rsidRPr="003A340C">
        <w:rPr>
          <w:sz w:val="24"/>
          <w:szCs w:val="24"/>
        </w:rPr>
        <w:t xml:space="preserve">, særligt hos patienter med risikofaktorer (se </w:t>
      </w:r>
      <w:r>
        <w:rPr>
          <w:sz w:val="24"/>
          <w:szCs w:val="24"/>
        </w:rPr>
        <w:t>pkt.</w:t>
      </w:r>
      <w:r w:rsidRPr="003A340C">
        <w:rPr>
          <w:sz w:val="24"/>
          <w:szCs w:val="24"/>
        </w:rPr>
        <w:t xml:space="preserve"> 4.4).</w:t>
      </w:r>
    </w:p>
    <w:p w14:paraId="1B2CF0A3" w14:textId="77777777" w:rsidR="00D15F08" w:rsidRPr="003A340C" w:rsidRDefault="00D15F08" w:rsidP="00D15F08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26185F74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3A340C">
        <w:rPr>
          <w:sz w:val="24"/>
          <w:szCs w:val="24"/>
          <w:u w:val="single"/>
        </w:rPr>
        <w:t>Farmakokinetiske</w:t>
      </w:r>
      <w:proofErr w:type="spellEnd"/>
      <w:r w:rsidRPr="003A340C">
        <w:rPr>
          <w:sz w:val="24"/>
          <w:szCs w:val="24"/>
          <w:u w:val="single"/>
        </w:rPr>
        <w:t xml:space="preserve"> interaktioner</w:t>
      </w:r>
    </w:p>
    <w:p w14:paraId="1012AE80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Samtidig indtagelse af lægemidler, der fremskynder ventrikeltømningen, så som </w:t>
      </w:r>
      <w:proofErr w:type="spellStart"/>
      <w:r w:rsidRPr="003A340C">
        <w:rPr>
          <w:sz w:val="24"/>
          <w:szCs w:val="24"/>
        </w:rPr>
        <w:t>metoclopramid</w:t>
      </w:r>
      <w:proofErr w:type="spellEnd"/>
      <w:r w:rsidRPr="003A340C">
        <w:rPr>
          <w:sz w:val="24"/>
          <w:szCs w:val="24"/>
        </w:rPr>
        <w:t xml:space="preserve"> og </w:t>
      </w:r>
      <w:proofErr w:type="spellStart"/>
      <w:r w:rsidRPr="003A340C">
        <w:rPr>
          <w:sz w:val="24"/>
          <w:szCs w:val="24"/>
        </w:rPr>
        <w:t>domperidon</w:t>
      </w:r>
      <w:proofErr w:type="spellEnd"/>
      <w:r w:rsidRPr="003A340C">
        <w:rPr>
          <w:sz w:val="24"/>
          <w:szCs w:val="24"/>
        </w:rPr>
        <w:t xml:space="preserve">, fremskynder absorptionen af paracetamol og </w:t>
      </w:r>
      <w:proofErr w:type="spellStart"/>
      <w:r w:rsidRPr="003A340C">
        <w:rPr>
          <w:sz w:val="24"/>
          <w:szCs w:val="24"/>
        </w:rPr>
        <w:t>indsætten</w:t>
      </w:r>
      <w:proofErr w:type="spellEnd"/>
      <w:r w:rsidRPr="003A340C">
        <w:rPr>
          <w:sz w:val="24"/>
          <w:szCs w:val="24"/>
        </w:rPr>
        <w:t xml:space="preserve"> af dets virkning.</w:t>
      </w:r>
    </w:p>
    <w:p w14:paraId="37BD114F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Samtidig indtagelse af medicin, der forsinker ventrikeltømningen, kan forsinke absorptionen af paracetamol og </w:t>
      </w:r>
      <w:proofErr w:type="spellStart"/>
      <w:r w:rsidRPr="003A340C">
        <w:rPr>
          <w:sz w:val="24"/>
          <w:szCs w:val="24"/>
        </w:rPr>
        <w:t>indsætten</w:t>
      </w:r>
      <w:proofErr w:type="spellEnd"/>
      <w:r w:rsidRPr="003A340C">
        <w:rPr>
          <w:sz w:val="24"/>
          <w:szCs w:val="24"/>
        </w:rPr>
        <w:t xml:space="preserve"> af dets virkning.</w:t>
      </w:r>
    </w:p>
    <w:p w14:paraId="6B4DCF00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Colestyramin</w:t>
      </w:r>
      <w:proofErr w:type="spellEnd"/>
      <w:r w:rsidRPr="003A340C">
        <w:rPr>
          <w:sz w:val="24"/>
          <w:szCs w:val="24"/>
        </w:rPr>
        <w:t xml:space="preserve"> reducerer optagelsen af paracetamol. </w:t>
      </w:r>
      <w:proofErr w:type="spellStart"/>
      <w:r w:rsidRPr="003A340C">
        <w:rPr>
          <w:sz w:val="24"/>
          <w:szCs w:val="24"/>
        </w:rPr>
        <w:t>Colestyramin</w:t>
      </w:r>
      <w:proofErr w:type="spellEnd"/>
      <w:r w:rsidRPr="003A340C">
        <w:rPr>
          <w:sz w:val="24"/>
          <w:szCs w:val="24"/>
        </w:rPr>
        <w:t xml:space="preserve"> bør ikke gives inden for en time efter administration af paracetamol for at opnå maksimal analgetisk effekt.</w:t>
      </w:r>
    </w:p>
    <w:p w14:paraId="230B21E5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Isoniazid</w:t>
      </w:r>
      <w:proofErr w:type="spellEnd"/>
      <w:r w:rsidRPr="003A340C">
        <w:rPr>
          <w:sz w:val="24"/>
          <w:szCs w:val="24"/>
        </w:rPr>
        <w:t xml:space="preserve"> påvirker farmakokinetikken af paracetamol med mulig potensering af levertoksiciteten.</w:t>
      </w:r>
    </w:p>
    <w:p w14:paraId="7D20216F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Probenecid</w:t>
      </w:r>
      <w:proofErr w:type="spellEnd"/>
      <w:r w:rsidRPr="003A340C">
        <w:rPr>
          <w:sz w:val="24"/>
          <w:szCs w:val="24"/>
        </w:rPr>
        <w:t xml:space="preserve"> hæmmer bindingen af paracetamol til </w:t>
      </w:r>
      <w:proofErr w:type="spellStart"/>
      <w:r w:rsidRPr="003A340C">
        <w:rPr>
          <w:sz w:val="24"/>
          <w:szCs w:val="24"/>
        </w:rPr>
        <w:t>glucuronsyre</w:t>
      </w:r>
      <w:proofErr w:type="spellEnd"/>
      <w:r w:rsidRPr="003A340C">
        <w:rPr>
          <w:sz w:val="24"/>
          <w:szCs w:val="24"/>
        </w:rPr>
        <w:t xml:space="preserve">, hvilket fører til en reduktion af </w:t>
      </w:r>
      <w:proofErr w:type="spellStart"/>
      <w:r w:rsidRPr="003A340C">
        <w:rPr>
          <w:sz w:val="24"/>
          <w:szCs w:val="24"/>
        </w:rPr>
        <w:t>paracetamolclearance</w:t>
      </w:r>
      <w:proofErr w:type="spellEnd"/>
      <w:r w:rsidRPr="003A340C">
        <w:rPr>
          <w:sz w:val="24"/>
          <w:szCs w:val="24"/>
        </w:rPr>
        <w:t xml:space="preserve"> med ca. en faktor 2. Hos patienter, der samtidig tager </w:t>
      </w:r>
      <w:proofErr w:type="spellStart"/>
      <w:r w:rsidRPr="003A340C">
        <w:rPr>
          <w:sz w:val="24"/>
          <w:szCs w:val="24"/>
        </w:rPr>
        <w:t>probenecid</w:t>
      </w:r>
      <w:proofErr w:type="spellEnd"/>
      <w:r w:rsidRPr="003A340C">
        <w:rPr>
          <w:sz w:val="24"/>
          <w:szCs w:val="24"/>
        </w:rPr>
        <w:t>, bør paracetamoldosis reduceres.</w:t>
      </w:r>
    </w:p>
    <w:p w14:paraId="54AF97F5" w14:textId="65A85F06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Midler, der inducerer leverenzymer </w:t>
      </w:r>
      <w:r w:rsidR="003A340C">
        <w:rPr>
          <w:sz w:val="24"/>
          <w:szCs w:val="24"/>
        </w:rPr>
        <w:t>-</w:t>
      </w:r>
      <w:r w:rsidRPr="003A340C">
        <w:rPr>
          <w:sz w:val="24"/>
          <w:szCs w:val="24"/>
        </w:rPr>
        <w:t xml:space="preserve"> så som </w:t>
      </w:r>
      <w:proofErr w:type="spellStart"/>
      <w:r w:rsidRPr="003A340C">
        <w:rPr>
          <w:sz w:val="24"/>
          <w:szCs w:val="24"/>
        </w:rPr>
        <w:t>carbamazepin</w:t>
      </w:r>
      <w:proofErr w:type="spellEnd"/>
      <w:r w:rsidRPr="003A340C">
        <w:rPr>
          <w:sz w:val="24"/>
          <w:szCs w:val="24"/>
        </w:rPr>
        <w:t xml:space="preserve">, </w:t>
      </w:r>
      <w:proofErr w:type="spellStart"/>
      <w:r w:rsidRPr="003A340C">
        <w:rPr>
          <w:sz w:val="24"/>
          <w:szCs w:val="24"/>
        </w:rPr>
        <w:t>phenytoin</w:t>
      </w:r>
      <w:proofErr w:type="spellEnd"/>
      <w:r w:rsidRPr="003A340C">
        <w:rPr>
          <w:sz w:val="24"/>
          <w:szCs w:val="24"/>
        </w:rPr>
        <w:t xml:space="preserve">, </w:t>
      </w:r>
      <w:proofErr w:type="spellStart"/>
      <w:r w:rsidRPr="003A340C">
        <w:rPr>
          <w:sz w:val="24"/>
          <w:szCs w:val="24"/>
        </w:rPr>
        <w:t>phenobarbital</w:t>
      </w:r>
      <w:proofErr w:type="spellEnd"/>
      <w:r w:rsidRPr="003A340C">
        <w:rPr>
          <w:sz w:val="24"/>
          <w:szCs w:val="24"/>
        </w:rPr>
        <w:t xml:space="preserve">, </w:t>
      </w:r>
      <w:proofErr w:type="spellStart"/>
      <w:r w:rsidRPr="003A340C">
        <w:rPr>
          <w:sz w:val="24"/>
          <w:szCs w:val="24"/>
        </w:rPr>
        <w:t>rifampicin</w:t>
      </w:r>
      <w:proofErr w:type="spellEnd"/>
      <w:r w:rsidRPr="003A340C">
        <w:rPr>
          <w:sz w:val="24"/>
          <w:szCs w:val="24"/>
        </w:rPr>
        <w:t xml:space="preserve"> og perikon (</w:t>
      </w:r>
      <w:proofErr w:type="spellStart"/>
      <w:r w:rsidRPr="003A340C">
        <w:rPr>
          <w:sz w:val="24"/>
          <w:szCs w:val="24"/>
        </w:rPr>
        <w:t>Hypericum</w:t>
      </w:r>
      <w:proofErr w:type="spellEnd"/>
      <w:r w:rsidRPr="003A340C">
        <w:rPr>
          <w:sz w:val="24"/>
          <w:szCs w:val="24"/>
        </w:rPr>
        <w:t xml:space="preserve"> </w:t>
      </w:r>
      <w:proofErr w:type="spellStart"/>
      <w:r w:rsidRPr="003A340C">
        <w:rPr>
          <w:sz w:val="24"/>
          <w:szCs w:val="24"/>
        </w:rPr>
        <w:t>perforatum</w:t>
      </w:r>
      <w:proofErr w:type="spellEnd"/>
      <w:r w:rsidRPr="003A340C">
        <w:rPr>
          <w:sz w:val="24"/>
          <w:szCs w:val="24"/>
        </w:rPr>
        <w:t xml:space="preserve">) </w:t>
      </w:r>
      <w:r w:rsidR="003A340C">
        <w:rPr>
          <w:sz w:val="24"/>
          <w:szCs w:val="24"/>
        </w:rPr>
        <w:t>-</w:t>
      </w:r>
      <w:r w:rsidRPr="003A340C">
        <w:rPr>
          <w:sz w:val="24"/>
          <w:szCs w:val="24"/>
        </w:rPr>
        <w:t xml:space="preserve"> kan øge </w:t>
      </w:r>
      <w:proofErr w:type="spellStart"/>
      <w:r w:rsidRPr="003A340C">
        <w:rPr>
          <w:sz w:val="24"/>
          <w:szCs w:val="24"/>
        </w:rPr>
        <w:t>hepatotoksiciteten</w:t>
      </w:r>
      <w:proofErr w:type="spellEnd"/>
      <w:r w:rsidRPr="003A340C">
        <w:rPr>
          <w:sz w:val="24"/>
          <w:szCs w:val="24"/>
        </w:rPr>
        <w:t xml:space="preserve"> af paracetamol på grund af øget og hurtigere dannelse af toksiske metabolitter. Forsigtighed bør udvises ved samtidig brug af enzyminducerende midler.</w:t>
      </w:r>
    </w:p>
    <w:p w14:paraId="6F657CED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Paracetamol kan påvirke </w:t>
      </w:r>
      <w:proofErr w:type="spellStart"/>
      <w:r w:rsidRPr="003A340C">
        <w:rPr>
          <w:sz w:val="24"/>
          <w:szCs w:val="24"/>
        </w:rPr>
        <w:t>chloramphenicols</w:t>
      </w:r>
      <w:proofErr w:type="spellEnd"/>
      <w:r w:rsidRPr="003A340C">
        <w:rPr>
          <w:sz w:val="24"/>
          <w:szCs w:val="24"/>
        </w:rPr>
        <w:t xml:space="preserve"> farmakokinetik. Det anbefales at overvåge plasmaniveauet af </w:t>
      </w:r>
      <w:proofErr w:type="spellStart"/>
      <w:r w:rsidRPr="003A340C">
        <w:rPr>
          <w:sz w:val="24"/>
          <w:szCs w:val="24"/>
        </w:rPr>
        <w:t>chloramphenicol</w:t>
      </w:r>
      <w:proofErr w:type="spellEnd"/>
      <w:r w:rsidRPr="003A340C">
        <w:rPr>
          <w:sz w:val="24"/>
          <w:szCs w:val="24"/>
        </w:rPr>
        <w:t xml:space="preserve">, hvis paracetamol anvendes sammen med injektionsbehandling med </w:t>
      </w:r>
      <w:proofErr w:type="spellStart"/>
      <w:r w:rsidRPr="003A340C">
        <w:rPr>
          <w:sz w:val="24"/>
          <w:szCs w:val="24"/>
        </w:rPr>
        <w:t>chloramphenicol</w:t>
      </w:r>
      <w:proofErr w:type="spellEnd"/>
      <w:r w:rsidRPr="003A340C">
        <w:rPr>
          <w:sz w:val="24"/>
          <w:szCs w:val="24"/>
        </w:rPr>
        <w:t>.</w:t>
      </w:r>
    </w:p>
    <w:p w14:paraId="30A4CF71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B6F78B" w14:textId="66B72D42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4.6</w:t>
      </w:r>
      <w:r w:rsidRPr="003A340C">
        <w:rPr>
          <w:b/>
          <w:sz w:val="24"/>
          <w:szCs w:val="24"/>
        </w:rPr>
        <w:tab/>
      </w:r>
      <w:r w:rsidR="00130F73">
        <w:rPr>
          <w:b/>
          <w:sz w:val="24"/>
          <w:szCs w:val="24"/>
        </w:rPr>
        <w:t>Fertilitet, g</w:t>
      </w:r>
      <w:r w:rsidRPr="003A340C">
        <w:rPr>
          <w:b/>
          <w:sz w:val="24"/>
          <w:szCs w:val="24"/>
        </w:rPr>
        <w:t>raviditet og amning</w:t>
      </w:r>
    </w:p>
    <w:p w14:paraId="0EAC4513" w14:textId="77777777" w:rsidR="0083526D" w:rsidRPr="003A340C" w:rsidRDefault="0083526D" w:rsidP="00D15F0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</w:p>
    <w:p w14:paraId="60FB4407" w14:textId="6FF1147F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  <w:u w:val="single"/>
          <w:lang w:eastAsia="da-DK"/>
        </w:rPr>
      </w:pPr>
      <w:r w:rsidRPr="003A340C">
        <w:rPr>
          <w:iCs/>
          <w:sz w:val="24"/>
          <w:szCs w:val="24"/>
          <w:u w:val="single"/>
        </w:rPr>
        <w:t>Graviditet</w:t>
      </w:r>
    </w:p>
    <w:p w14:paraId="226DA626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I en stor mængde data om gravide er der hverken tegn på misdannelser eller </w:t>
      </w:r>
      <w:proofErr w:type="spellStart"/>
      <w:r w:rsidRPr="003A340C">
        <w:rPr>
          <w:sz w:val="24"/>
          <w:szCs w:val="24"/>
        </w:rPr>
        <w:t>føtal</w:t>
      </w:r>
      <w:proofErr w:type="spellEnd"/>
      <w:r w:rsidRPr="003A340C">
        <w:rPr>
          <w:sz w:val="24"/>
          <w:szCs w:val="24"/>
        </w:rPr>
        <w:t xml:space="preserve">/neonatal toksicitet. Epidemiologiske undersøgelser af udviklingen af nervesystemet hos børn, der er blevet eksponeret for paracetamol in </w:t>
      </w:r>
      <w:proofErr w:type="spellStart"/>
      <w:r w:rsidRPr="003A340C">
        <w:rPr>
          <w:sz w:val="24"/>
          <w:szCs w:val="24"/>
        </w:rPr>
        <w:t>utero</w:t>
      </w:r>
      <w:proofErr w:type="spellEnd"/>
      <w:r w:rsidRPr="003A340C">
        <w:rPr>
          <w:sz w:val="24"/>
          <w:szCs w:val="24"/>
        </w:rPr>
        <w:t xml:space="preserve">, har givet </w:t>
      </w:r>
      <w:proofErr w:type="spellStart"/>
      <w:r w:rsidRPr="003A340C">
        <w:rPr>
          <w:sz w:val="24"/>
          <w:szCs w:val="24"/>
        </w:rPr>
        <w:t>inkonklusive</w:t>
      </w:r>
      <w:proofErr w:type="spellEnd"/>
      <w:r w:rsidRPr="003A340C">
        <w:rPr>
          <w:sz w:val="24"/>
          <w:szCs w:val="24"/>
        </w:rPr>
        <w:t xml:space="preserve"> resultater. Hvis der er klinisk behov for det, kan paracetamol anvendes under graviditet, men det bør anvendes i den laveste effektive dosis i kortest mulig tid og med den lavest mulige hyppighed.</w:t>
      </w:r>
    </w:p>
    <w:p w14:paraId="638BBEF8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032A0EA8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A340C">
        <w:rPr>
          <w:iCs/>
          <w:sz w:val="24"/>
          <w:szCs w:val="24"/>
          <w:u w:val="single"/>
        </w:rPr>
        <w:t>Amning</w:t>
      </w:r>
    </w:p>
    <w:p w14:paraId="7F80FF58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Paracetamol udskilles i modermælk, men ikke i klinisk betydningsfuld mængde. De foreliggende offentliggjorte data giver ikke grund til at kontraindicere amning.</w:t>
      </w:r>
    </w:p>
    <w:p w14:paraId="12D0DBA5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7186F91E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A340C">
        <w:rPr>
          <w:iCs/>
          <w:sz w:val="24"/>
          <w:szCs w:val="24"/>
          <w:u w:val="single"/>
        </w:rPr>
        <w:t>Fertilitet</w:t>
      </w:r>
    </w:p>
    <w:p w14:paraId="620FEC3B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Der foreligger ikke data vedrørende virkningen af paracetamol på den humane fertilitet.</w:t>
      </w:r>
    </w:p>
    <w:p w14:paraId="499FA93B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2C1B4C" w14:textId="3013FB1A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4.7</w:t>
      </w:r>
      <w:r w:rsidRPr="003A340C">
        <w:rPr>
          <w:b/>
          <w:sz w:val="24"/>
          <w:szCs w:val="24"/>
        </w:rPr>
        <w:tab/>
        <w:t xml:space="preserve">Virkning på evnen til at føre motorkøretøj </w:t>
      </w:r>
      <w:r w:rsidR="00130F73">
        <w:rPr>
          <w:b/>
          <w:sz w:val="24"/>
          <w:szCs w:val="24"/>
        </w:rPr>
        <w:t>og</w:t>
      </w:r>
      <w:r w:rsidRPr="003A340C">
        <w:rPr>
          <w:b/>
          <w:sz w:val="24"/>
          <w:szCs w:val="24"/>
        </w:rPr>
        <w:t xml:space="preserve"> betjene maskiner</w:t>
      </w:r>
    </w:p>
    <w:p w14:paraId="1F9C801A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Ikke mærkning.</w:t>
      </w:r>
    </w:p>
    <w:p w14:paraId="51EB2968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Arax</w:t>
      </w:r>
      <w:proofErr w:type="spellEnd"/>
      <w:r w:rsidRPr="003A340C">
        <w:rPr>
          <w:sz w:val="24"/>
          <w:szCs w:val="24"/>
        </w:rPr>
        <w:t xml:space="preserve"> Hot påvirker ikke eller kun i ubetydelig grad evnen til at føre motorkøretøj eller betjene maskiner.</w:t>
      </w:r>
    </w:p>
    <w:p w14:paraId="128B6E83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1B588E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4.8</w:t>
      </w:r>
      <w:r w:rsidRPr="003A340C">
        <w:rPr>
          <w:b/>
          <w:sz w:val="24"/>
          <w:szCs w:val="24"/>
        </w:rPr>
        <w:tab/>
        <w:t>Bivirkninger</w:t>
      </w:r>
    </w:p>
    <w:p w14:paraId="040AD7B6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Bivirkninger er sjældne ved sædvanlige terapeutiske doser.</w:t>
      </w:r>
    </w:p>
    <w:p w14:paraId="2F021C3D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Leverskade er sjældent beskrevet ved brug af paracetamol i terapeutiske doser, men hos patienter med leverskade i anamnesen eller ved brug af paracetamol i kombination med et andet </w:t>
      </w:r>
      <w:proofErr w:type="spellStart"/>
      <w:r w:rsidRPr="003A340C">
        <w:rPr>
          <w:sz w:val="24"/>
          <w:szCs w:val="24"/>
        </w:rPr>
        <w:t>hepatotoksisk</w:t>
      </w:r>
      <w:proofErr w:type="spellEnd"/>
      <w:r w:rsidRPr="003A340C">
        <w:rPr>
          <w:sz w:val="24"/>
          <w:szCs w:val="24"/>
        </w:rPr>
        <w:t xml:space="preserve"> middel (såsom alkohol), skal risikoen for leverskade tages i betragtning.</w:t>
      </w:r>
    </w:p>
    <w:p w14:paraId="7F020FB2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De iagttagne bivirkninger er nedenfor opstillet efter systemorganklasse og hyppighed. Hyppigheden defineres som meget almindelig (≥ 1/10), almindelig (≥ 1/100 til &lt; 1/10), ikke almindelig (≥ 1/1 000 til &lt; 1/100), sjælden (≥ 1/10 000 til &lt; 1/1 000), meget sjælden (&lt; 1/10 000) eller ikke kendt (kan ikke beregnes af forhåndenværende data).</w:t>
      </w:r>
    </w:p>
    <w:p w14:paraId="0D212112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430"/>
        <w:gridCol w:w="2916"/>
        <w:gridCol w:w="2683"/>
        <w:gridCol w:w="1599"/>
      </w:tblGrid>
      <w:tr w:rsidR="00D15F08" w:rsidRPr="003A340C" w14:paraId="4DFBCA4D" w14:textId="77777777" w:rsidTr="0083526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5753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Systemorganklasse</w:t>
            </w:r>
          </w:p>
          <w:p w14:paraId="1A68F64D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B812" w14:textId="77777777" w:rsidR="00D15F08" w:rsidRPr="003A340C" w:rsidRDefault="00D1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Sjælden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6B0C" w14:textId="77777777" w:rsidR="00D15F08" w:rsidRPr="003A340C" w:rsidRDefault="00D1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Meget sjælden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8366" w14:textId="77777777" w:rsidR="00D15F08" w:rsidRPr="003A340C" w:rsidRDefault="00D15F08">
            <w:pPr>
              <w:jc w:val="center"/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Ikke kendt</w:t>
            </w:r>
          </w:p>
        </w:tc>
      </w:tr>
      <w:tr w:rsidR="00D15F08" w:rsidRPr="003A340C" w14:paraId="674E2541" w14:textId="77777777" w:rsidTr="0083526D">
        <w:trPr>
          <w:trHeight w:val="183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DBB1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Blod og lymfesystem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878" w14:textId="77777777" w:rsidR="00D15F08" w:rsidRPr="003A340C" w:rsidRDefault="00D15F08">
            <w:pPr>
              <w:pStyle w:val="NormalWeb"/>
              <w:spacing w:before="0" w:beforeAutospacing="0" w:after="0" w:afterAutospacing="0"/>
            </w:pPr>
            <w:proofErr w:type="spellStart"/>
            <w:r w:rsidRPr="003A340C">
              <w:t>Trombocytdysfunktion</w:t>
            </w:r>
            <w:proofErr w:type="spellEnd"/>
            <w:r w:rsidRPr="003A340C">
              <w:t xml:space="preserve">, stamcellelidelser, </w:t>
            </w:r>
            <w:proofErr w:type="spellStart"/>
            <w:r w:rsidRPr="003A340C">
              <w:t>agranulocytose</w:t>
            </w:r>
            <w:proofErr w:type="spellEnd"/>
            <w:r w:rsidRPr="003A340C">
              <w:t xml:space="preserve">, </w:t>
            </w:r>
            <w:proofErr w:type="spellStart"/>
            <w:r w:rsidRPr="003A340C">
              <w:t>leukopeni</w:t>
            </w:r>
            <w:proofErr w:type="spellEnd"/>
            <w:r w:rsidRPr="003A340C">
              <w:t xml:space="preserve">, </w:t>
            </w:r>
            <w:proofErr w:type="spellStart"/>
            <w:r w:rsidRPr="003A340C">
              <w:t>trombocytopeni</w:t>
            </w:r>
            <w:proofErr w:type="spellEnd"/>
            <w:r w:rsidRPr="003A340C">
              <w:t xml:space="preserve">, </w:t>
            </w:r>
            <w:proofErr w:type="spellStart"/>
            <w:r w:rsidRPr="003A340C">
              <w:t>hæmolytisk</w:t>
            </w:r>
            <w:proofErr w:type="spellEnd"/>
            <w:r w:rsidRPr="003A340C">
              <w:t xml:space="preserve"> anæmi, </w:t>
            </w:r>
            <w:proofErr w:type="spellStart"/>
            <w:r w:rsidRPr="003A340C">
              <w:t>pancytopeni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543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3DE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</w:tr>
      <w:tr w:rsidR="00D15F08" w:rsidRPr="003A340C" w14:paraId="34947D6E" w14:textId="77777777" w:rsidTr="0083526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2753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Immunsystemet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688" w14:textId="77777777" w:rsidR="00D15F08" w:rsidRPr="003A340C" w:rsidRDefault="00D15F08">
            <w:pPr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 xml:space="preserve">Allergier (bortset fra </w:t>
            </w:r>
            <w:proofErr w:type="spellStart"/>
            <w:r w:rsidRPr="003A340C">
              <w:rPr>
                <w:sz w:val="24"/>
                <w:szCs w:val="24"/>
              </w:rPr>
              <w:t>angioødem</w:t>
            </w:r>
            <w:proofErr w:type="spellEnd"/>
            <w:r w:rsidRPr="003A340C">
              <w:rPr>
                <w:sz w:val="24"/>
                <w:szCs w:val="24"/>
              </w:rPr>
              <w:t>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3EE8" w14:textId="77777777" w:rsidR="00D15F08" w:rsidRPr="003A340C" w:rsidRDefault="00D15F08">
            <w:pPr>
              <w:rPr>
                <w:sz w:val="24"/>
                <w:szCs w:val="24"/>
              </w:rPr>
            </w:pPr>
            <w:proofErr w:type="spellStart"/>
            <w:r w:rsidRPr="003A340C">
              <w:rPr>
                <w:sz w:val="24"/>
                <w:szCs w:val="24"/>
              </w:rPr>
              <w:t>Anafylaktisk</w:t>
            </w:r>
            <w:proofErr w:type="spellEnd"/>
            <w:r w:rsidRPr="003A340C">
              <w:rPr>
                <w:sz w:val="24"/>
                <w:szCs w:val="24"/>
              </w:rPr>
              <w:t xml:space="preserve"> </w:t>
            </w:r>
            <w:proofErr w:type="spellStart"/>
            <w:r w:rsidRPr="003A340C">
              <w:rPr>
                <w:sz w:val="24"/>
                <w:szCs w:val="24"/>
              </w:rPr>
              <w:t>shock</w:t>
            </w:r>
            <w:proofErr w:type="spellEnd"/>
            <w:r w:rsidRPr="003A340C">
              <w:rPr>
                <w:sz w:val="24"/>
                <w:szCs w:val="24"/>
              </w:rPr>
              <w:t xml:space="preserve">, hypersensitivitetsreaktion (som kræver </w:t>
            </w:r>
            <w:proofErr w:type="spellStart"/>
            <w:r w:rsidRPr="003A340C">
              <w:rPr>
                <w:sz w:val="24"/>
                <w:szCs w:val="24"/>
              </w:rPr>
              <w:t>seponering</w:t>
            </w:r>
            <w:proofErr w:type="spellEnd"/>
            <w:r w:rsidRPr="003A340C">
              <w:rPr>
                <w:sz w:val="24"/>
                <w:szCs w:val="24"/>
              </w:rPr>
              <w:t>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967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</w:tr>
      <w:tr w:rsidR="00D15F08" w:rsidRPr="003A340C" w14:paraId="7F9C206C" w14:textId="77777777" w:rsidTr="0083526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A5ED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Metabolisme og ernæring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B14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6121" w14:textId="77777777" w:rsidR="00D15F08" w:rsidRPr="003A340C" w:rsidRDefault="00D15F08">
            <w:pPr>
              <w:rPr>
                <w:color w:val="000000"/>
                <w:sz w:val="24"/>
                <w:szCs w:val="24"/>
              </w:rPr>
            </w:pPr>
            <w:r w:rsidRPr="003A340C">
              <w:rPr>
                <w:color w:val="000000"/>
                <w:sz w:val="24"/>
                <w:szCs w:val="24"/>
              </w:rPr>
              <w:t xml:space="preserve">Hypoglykæmi, </w:t>
            </w:r>
            <w:r w:rsidRPr="003A340C">
              <w:rPr>
                <w:sz w:val="24"/>
                <w:szCs w:val="24"/>
              </w:rPr>
              <w:t xml:space="preserve">meget sjældne tilfælde af metabolisk </w:t>
            </w:r>
            <w:proofErr w:type="spellStart"/>
            <w:r w:rsidRPr="003A340C">
              <w:rPr>
                <w:sz w:val="24"/>
                <w:szCs w:val="24"/>
              </w:rPr>
              <w:t>acidose</w:t>
            </w:r>
            <w:proofErr w:type="spellEnd"/>
            <w:r w:rsidRPr="003A340C">
              <w:rPr>
                <w:sz w:val="24"/>
                <w:szCs w:val="24"/>
              </w:rPr>
              <w:t xml:space="preserve"> med højt </w:t>
            </w:r>
            <w:proofErr w:type="spellStart"/>
            <w:r w:rsidRPr="003A340C">
              <w:rPr>
                <w:sz w:val="24"/>
                <w:szCs w:val="24"/>
              </w:rPr>
              <w:t>aniongab</w:t>
            </w:r>
            <w:proofErr w:type="spellEnd"/>
            <w:r w:rsidRPr="003A340C">
              <w:rPr>
                <w:sz w:val="24"/>
                <w:szCs w:val="24"/>
              </w:rPr>
              <w:t xml:space="preserve">, når </w:t>
            </w:r>
            <w:proofErr w:type="spellStart"/>
            <w:r w:rsidRPr="003A340C">
              <w:rPr>
                <w:sz w:val="24"/>
                <w:szCs w:val="24"/>
              </w:rPr>
              <w:t>flucloxacillin</w:t>
            </w:r>
            <w:proofErr w:type="spellEnd"/>
            <w:r w:rsidRPr="003A340C">
              <w:rPr>
                <w:sz w:val="24"/>
                <w:szCs w:val="24"/>
              </w:rPr>
              <w:t xml:space="preserve"> anvendes samtidig med paracetamol, sædvanligvis når der er risikofaktorer til stede (se pkt. 4.4).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A5D" w14:textId="2EB4B8A7" w:rsidR="00D15F08" w:rsidRPr="003A340C" w:rsidRDefault="00130F73">
            <w:pPr>
              <w:rPr>
                <w:sz w:val="24"/>
                <w:szCs w:val="24"/>
              </w:rPr>
            </w:pPr>
            <w:r w:rsidRPr="0027785B">
              <w:t xml:space="preserve">Metabolisk </w:t>
            </w:r>
            <w:proofErr w:type="spellStart"/>
            <w:r w:rsidRPr="0027785B">
              <w:t>acidose</w:t>
            </w:r>
            <w:proofErr w:type="spellEnd"/>
            <w:r w:rsidRPr="0027785B">
              <w:t xml:space="preserve"> med højt anion-</w:t>
            </w:r>
            <w:proofErr w:type="spellStart"/>
            <w:r w:rsidRPr="0027785B">
              <w:t>gap</w:t>
            </w:r>
            <w:proofErr w:type="spellEnd"/>
          </w:p>
        </w:tc>
      </w:tr>
      <w:tr w:rsidR="00D15F08" w:rsidRPr="003A340C" w14:paraId="3DD4194B" w14:textId="77777777" w:rsidTr="0083526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C9BF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Psykiske forstyrrelser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5744" w14:textId="77777777" w:rsidR="00D15F08" w:rsidRPr="003A340C" w:rsidRDefault="00D15F08">
            <w:pPr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>Depression (ikke nærmere karakteriseret), konfusion, hallucinationer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BFE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344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</w:tr>
      <w:tr w:rsidR="00D15F08" w:rsidRPr="003A340C" w14:paraId="49DE5008" w14:textId="77777777" w:rsidTr="0083526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3A2D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Nervesystemet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815A" w14:textId="77777777" w:rsidR="00D15F08" w:rsidRPr="003A340C" w:rsidRDefault="00D15F08">
            <w:pPr>
              <w:rPr>
                <w:sz w:val="24"/>
                <w:szCs w:val="24"/>
              </w:rPr>
            </w:pPr>
            <w:proofErr w:type="spellStart"/>
            <w:r w:rsidRPr="003A340C">
              <w:rPr>
                <w:sz w:val="24"/>
                <w:szCs w:val="24"/>
              </w:rPr>
              <w:t>Tremor</w:t>
            </w:r>
            <w:proofErr w:type="spellEnd"/>
            <w:r w:rsidRPr="003A340C">
              <w:rPr>
                <w:sz w:val="24"/>
                <w:szCs w:val="24"/>
              </w:rPr>
              <w:t xml:space="preserve"> (ikke nærmere karakteriseret), Hovedpine (ikke nærmere karakteriseret)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2B98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E27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</w:tr>
      <w:tr w:rsidR="00D15F08" w:rsidRPr="003A340C" w14:paraId="36727EB0" w14:textId="77777777" w:rsidTr="0083526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0FC8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Øjne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536E" w14:textId="77777777" w:rsidR="00D15F08" w:rsidRPr="003A340C" w:rsidRDefault="00D15F08">
            <w:pPr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>Synsforstyrrelser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2D4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01F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</w:tr>
      <w:tr w:rsidR="00D15F08" w:rsidRPr="003A340C" w14:paraId="3FA6449D" w14:textId="77777777" w:rsidTr="0083526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EF37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 xml:space="preserve">Luftveje, thorax og </w:t>
            </w:r>
            <w:proofErr w:type="spellStart"/>
            <w:r w:rsidRPr="003A340C">
              <w:rPr>
                <w:b/>
                <w:bCs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038D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E149" w14:textId="77777777" w:rsidR="00D15F08" w:rsidRPr="003A340C" w:rsidRDefault="00D15F08">
            <w:pPr>
              <w:rPr>
                <w:sz w:val="24"/>
                <w:szCs w:val="24"/>
              </w:rPr>
            </w:pPr>
            <w:proofErr w:type="spellStart"/>
            <w:r w:rsidRPr="003A340C">
              <w:rPr>
                <w:sz w:val="24"/>
                <w:szCs w:val="24"/>
              </w:rPr>
              <w:t>Bronkospasme</w:t>
            </w:r>
            <w:proofErr w:type="spell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5AC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</w:tr>
      <w:tr w:rsidR="00D15F08" w:rsidRPr="003A340C" w14:paraId="3830DBC7" w14:textId="77777777" w:rsidTr="0083526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1E9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 xml:space="preserve">Mave-tarm-kanalen 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D08B" w14:textId="77777777" w:rsidR="00D15F08" w:rsidRPr="003A340C" w:rsidRDefault="00D15F08">
            <w:pPr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 xml:space="preserve">Blødning (ikke nærmere karakteriseret), </w:t>
            </w:r>
            <w:proofErr w:type="spellStart"/>
            <w:r w:rsidRPr="003A340C">
              <w:rPr>
                <w:sz w:val="24"/>
                <w:szCs w:val="24"/>
              </w:rPr>
              <w:t>abdominalsmerter</w:t>
            </w:r>
            <w:proofErr w:type="spellEnd"/>
            <w:r w:rsidRPr="003A340C">
              <w:rPr>
                <w:sz w:val="24"/>
                <w:szCs w:val="24"/>
              </w:rPr>
              <w:t xml:space="preserve"> (ikke nærmere karakteriseret), kvalme, opkastning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49B9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742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</w:tr>
      <w:tr w:rsidR="00D15F08" w:rsidRPr="003A340C" w14:paraId="3E3DF9C8" w14:textId="77777777" w:rsidTr="0083526D">
        <w:trPr>
          <w:trHeight w:val="817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421A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Lever og galdeveje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ACFF" w14:textId="77777777" w:rsidR="00D15F08" w:rsidRPr="003A340C" w:rsidRDefault="00D15F08">
            <w:pPr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 xml:space="preserve">Leverfunktionsforstyrrelser, leverinsufficiens, levernekrose, </w:t>
            </w:r>
            <w:proofErr w:type="spellStart"/>
            <w:r w:rsidRPr="003A340C">
              <w:rPr>
                <w:sz w:val="24"/>
                <w:szCs w:val="24"/>
              </w:rPr>
              <w:t>ikterus</w:t>
            </w:r>
            <w:proofErr w:type="spellEnd"/>
            <w:r w:rsidRPr="003A340C">
              <w:rPr>
                <w:sz w:val="24"/>
                <w:szCs w:val="24"/>
              </w:rPr>
              <w:t>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8C67" w14:textId="77777777" w:rsidR="00D15F08" w:rsidRPr="003A340C" w:rsidRDefault="00D15F0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3A340C">
              <w:rPr>
                <w:color w:val="000000"/>
              </w:rPr>
              <w:t>Hepatotoksicitet</w:t>
            </w:r>
            <w:proofErr w:type="spellEnd"/>
          </w:p>
          <w:p w14:paraId="473C161F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80C5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</w:tr>
      <w:tr w:rsidR="00D15F08" w:rsidRPr="003A340C" w14:paraId="3A00276E" w14:textId="77777777" w:rsidTr="0083526D">
        <w:trPr>
          <w:trHeight w:val="80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3CEE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Hud og subkutane væv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570B" w14:textId="77777777" w:rsidR="00D15F08" w:rsidRPr="003A340C" w:rsidRDefault="00D15F08">
            <w:pPr>
              <w:rPr>
                <w:sz w:val="24"/>
                <w:szCs w:val="24"/>
              </w:rPr>
            </w:pPr>
            <w:proofErr w:type="spellStart"/>
            <w:r w:rsidRPr="003A340C">
              <w:rPr>
                <w:sz w:val="24"/>
                <w:szCs w:val="24"/>
              </w:rPr>
              <w:t>Pruritus</w:t>
            </w:r>
            <w:proofErr w:type="spellEnd"/>
            <w:r w:rsidRPr="003A340C">
              <w:rPr>
                <w:sz w:val="24"/>
                <w:szCs w:val="24"/>
              </w:rPr>
              <w:t xml:space="preserve">, udslæt, </w:t>
            </w:r>
            <w:proofErr w:type="spellStart"/>
            <w:r w:rsidRPr="003A340C">
              <w:rPr>
                <w:sz w:val="24"/>
                <w:szCs w:val="24"/>
              </w:rPr>
              <w:t>angioødem</w:t>
            </w:r>
            <w:proofErr w:type="spellEnd"/>
            <w:r w:rsidRPr="003A340C">
              <w:rPr>
                <w:sz w:val="24"/>
                <w:szCs w:val="24"/>
              </w:rPr>
              <w:t xml:space="preserve">, </w:t>
            </w:r>
            <w:proofErr w:type="spellStart"/>
            <w:r w:rsidRPr="003A340C">
              <w:rPr>
                <w:sz w:val="24"/>
                <w:szCs w:val="24"/>
              </w:rPr>
              <w:t>urtikaria</w:t>
            </w:r>
            <w:proofErr w:type="spellEnd"/>
            <w:r w:rsidRPr="003A340C">
              <w:rPr>
                <w:sz w:val="24"/>
                <w:szCs w:val="24"/>
              </w:rPr>
              <w:t xml:space="preserve">, svedtendens, </w:t>
            </w:r>
            <w:proofErr w:type="spellStart"/>
            <w:r w:rsidRPr="003A340C">
              <w:rPr>
                <w:sz w:val="24"/>
                <w:szCs w:val="24"/>
              </w:rPr>
              <w:t>purpura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2001" w14:textId="77777777" w:rsidR="00D15F08" w:rsidRPr="003A340C" w:rsidRDefault="00D15F08">
            <w:pPr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 xml:space="preserve">Akut generaliseret </w:t>
            </w:r>
            <w:proofErr w:type="spellStart"/>
            <w:r w:rsidRPr="003A340C">
              <w:rPr>
                <w:sz w:val="24"/>
                <w:szCs w:val="24"/>
              </w:rPr>
              <w:t>pustulært</w:t>
            </w:r>
            <w:proofErr w:type="spellEnd"/>
            <w:r w:rsidRPr="003A340C">
              <w:rPr>
                <w:sz w:val="24"/>
                <w:szCs w:val="24"/>
              </w:rPr>
              <w:t xml:space="preserve"> </w:t>
            </w:r>
            <w:proofErr w:type="spellStart"/>
            <w:r w:rsidRPr="003A340C">
              <w:rPr>
                <w:sz w:val="24"/>
                <w:szCs w:val="24"/>
              </w:rPr>
              <w:t>eksantem</w:t>
            </w:r>
            <w:proofErr w:type="spell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AC7D" w14:textId="77777777" w:rsidR="00D15F08" w:rsidRPr="003A340C" w:rsidRDefault="00D15F08">
            <w:pPr>
              <w:rPr>
                <w:sz w:val="24"/>
                <w:szCs w:val="24"/>
              </w:rPr>
            </w:pPr>
            <w:r w:rsidRPr="003A340C">
              <w:rPr>
                <w:color w:val="000000"/>
                <w:sz w:val="24"/>
                <w:szCs w:val="24"/>
              </w:rPr>
              <w:t xml:space="preserve">Stevens-Johnson-syndrom, toksisk </w:t>
            </w:r>
            <w:proofErr w:type="spellStart"/>
            <w:r w:rsidRPr="003A340C">
              <w:rPr>
                <w:color w:val="000000"/>
                <w:sz w:val="24"/>
                <w:szCs w:val="24"/>
              </w:rPr>
              <w:t>epidermal</w:t>
            </w:r>
            <w:proofErr w:type="spellEnd"/>
            <w:r w:rsidRPr="003A340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40C">
              <w:rPr>
                <w:color w:val="000000"/>
                <w:sz w:val="24"/>
                <w:szCs w:val="24"/>
              </w:rPr>
              <w:t>nekrolyse</w:t>
            </w:r>
            <w:proofErr w:type="spellEnd"/>
          </w:p>
        </w:tc>
      </w:tr>
      <w:tr w:rsidR="00D15F08" w:rsidRPr="003A340C" w14:paraId="4BD44990" w14:textId="77777777" w:rsidTr="0083526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6FA4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Nyrer og urinveje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C7C3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4DDF" w14:textId="77777777" w:rsidR="00D15F08" w:rsidRPr="003A340C" w:rsidRDefault="00D15F08">
            <w:pPr>
              <w:rPr>
                <w:sz w:val="24"/>
                <w:szCs w:val="24"/>
              </w:rPr>
            </w:pPr>
            <w:r w:rsidRPr="003A340C">
              <w:rPr>
                <w:color w:val="000000"/>
                <w:sz w:val="24"/>
                <w:szCs w:val="24"/>
              </w:rPr>
              <w:t xml:space="preserve">Steril </w:t>
            </w:r>
            <w:proofErr w:type="spellStart"/>
            <w:r w:rsidRPr="003A340C">
              <w:rPr>
                <w:color w:val="000000"/>
                <w:sz w:val="24"/>
                <w:szCs w:val="24"/>
              </w:rPr>
              <w:t>pyuri</w:t>
            </w:r>
            <w:proofErr w:type="spellEnd"/>
            <w:r w:rsidRPr="003A340C">
              <w:rPr>
                <w:color w:val="000000"/>
                <w:sz w:val="24"/>
                <w:szCs w:val="24"/>
              </w:rPr>
              <w:t xml:space="preserve"> og </w:t>
            </w:r>
            <w:proofErr w:type="spellStart"/>
            <w:r w:rsidRPr="003A340C">
              <w:rPr>
                <w:color w:val="000000"/>
                <w:sz w:val="24"/>
                <w:szCs w:val="24"/>
              </w:rPr>
              <w:t>renale</w:t>
            </w:r>
            <w:proofErr w:type="spellEnd"/>
            <w:r w:rsidRPr="003A340C">
              <w:rPr>
                <w:color w:val="000000"/>
                <w:sz w:val="24"/>
                <w:szCs w:val="24"/>
              </w:rPr>
              <w:t xml:space="preserve"> bivirkninger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92B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</w:tr>
      <w:tr w:rsidR="00D15F08" w:rsidRPr="003A340C" w14:paraId="15AAB6A5" w14:textId="77777777" w:rsidTr="0083526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E55E" w14:textId="77777777" w:rsidR="00D15F08" w:rsidRPr="003A340C" w:rsidRDefault="00D15F08">
            <w:pPr>
              <w:rPr>
                <w:b/>
                <w:bCs/>
                <w:sz w:val="24"/>
                <w:szCs w:val="24"/>
              </w:rPr>
            </w:pPr>
            <w:r w:rsidRPr="003A340C">
              <w:rPr>
                <w:b/>
                <w:bCs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08A3" w14:textId="77777777" w:rsidR="00D15F08" w:rsidRPr="003A340C" w:rsidRDefault="00D15F08">
            <w:pPr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 xml:space="preserve">Ødem, </w:t>
            </w:r>
            <w:proofErr w:type="spellStart"/>
            <w:r w:rsidRPr="003A340C">
              <w:rPr>
                <w:sz w:val="24"/>
                <w:szCs w:val="24"/>
              </w:rPr>
              <w:t>hypertermi</w:t>
            </w:r>
            <w:proofErr w:type="spellEnd"/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259D" w14:textId="77777777" w:rsidR="00D15F08" w:rsidRPr="003A340C" w:rsidRDefault="00D15F08">
            <w:pPr>
              <w:rPr>
                <w:sz w:val="24"/>
                <w:szCs w:val="24"/>
              </w:rPr>
            </w:pPr>
            <w:r w:rsidRPr="003A340C">
              <w:rPr>
                <w:sz w:val="24"/>
                <w:szCs w:val="24"/>
              </w:rPr>
              <w:t xml:space="preserve">Svimmelhed (bortset fra </w:t>
            </w:r>
            <w:proofErr w:type="spellStart"/>
            <w:r w:rsidRPr="003A340C">
              <w:rPr>
                <w:sz w:val="24"/>
                <w:szCs w:val="24"/>
              </w:rPr>
              <w:t>vertigo</w:t>
            </w:r>
            <w:proofErr w:type="spellEnd"/>
            <w:r w:rsidRPr="003A340C">
              <w:rPr>
                <w:sz w:val="24"/>
                <w:szCs w:val="24"/>
              </w:rPr>
              <w:t>), utilpashed, sedation, lægemiddelinteraktion (ikke nærmere karakteriseret)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E0D" w14:textId="77777777" w:rsidR="00D15F08" w:rsidRPr="003A340C" w:rsidRDefault="00D15F08">
            <w:pPr>
              <w:rPr>
                <w:sz w:val="24"/>
                <w:szCs w:val="24"/>
              </w:rPr>
            </w:pPr>
          </w:p>
        </w:tc>
      </w:tr>
    </w:tbl>
    <w:p w14:paraId="512D9D66" w14:textId="77777777" w:rsidR="00D15F08" w:rsidRPr="003A340C" w:rsidRDefault="00D15F08" w:rsidP="00D15F08">
      <w:pPr>
        <w:tabs>
          <w:tab w:val="left" w:pos="851"/>
        </w:tabs>
        <w:rPr>
          <w:iCs/>
          <w:sz w:val="24"/>
          <w:szCs w:val="24"/>
        </w:rPr>
      </w:pPr>
      <w:r w:rsidRPr="003A340C">
        <w:rPr>
          <w:sz w:val="24"/>
          <w:szCs w:val="24"/>
        </w:rPr>
        <w:tab/>
      </w:r>
    </w:p>
    <w:p w14:paraId="678E369B" w14:textId="77777777" w:rsidR="00130F73" w:rsidRPr="003A340C" w:rsidRDefault="00130F73" w:rsidP="00130F73">
      <w:pPr>
        <w:tabs>
          <w:tab w:val="left" w:pos="851"/>
        </w:tabs>
        <w:ind w:left="851"/>
        <w:rPr>
          <w:b/>
          <w:bCs/>
          <w:sz w:val="24"/>
          <w:szCs w:val="24"/>
        </w:rPr>
      </w:pPr>
      <w:proofErr w:type="spellStart"/>
      <w:r w:rsidRPr="003A340C">
        <w:rPr>
          <w:iCs/>
          <w:sz w:val="24"/>
          <w:szCs w:val="24"/>
        </w:rPr>
        <w:t>Interstitiel</w:t>
      </w:r>
      <w:proofErr w:type="spellEnd"/>
      <w:r w:rsidRPr="003A340C">
        <w:rPr>
          <w:iCs/>
          <w:sz w:val="24"/>
          <w:szCs w:val="24"/>
        </w:rPr>
        <w:t xml:space="preserve"> </w:t>
      </w:r>
      <w:proofErr w:type="spellStart"/>
      <w:r w:rsidRPr="003A340C">
        <w:rPr>
          <w:iCs/>
          <w:sz w:val="24"/>
          <w:szCs w:val="24"/>
        </w:rPr>
        <w:t>nefritis</w:t>
      </w:r>
      <w:proofErr w:type="spellEnd"/>
      <w:r w:rsidRPr="003A340C">
        <w:rPr>
          <w:iCs/>
          <w:sz w:val="24"/>
          <w:szCs w:val="24"/>
        </w:rPr>
        <w:t xml:space="preserve"> er lejlighedsvis beskrevet efter langvarig brug af høje doser. Der er beskrevet tilfælde af </w:t>
      </w:r>
      <w:proofErr w:type="spellStart"/>
      <w:r w:rsidRPr="003A340C">
        <w:rPr>
          <w:iCs/>
          <w:sz w:val="24"/>
          <w:szCs w:val="24"/>
        </w:rPr>
        <w:t>erythema</w:t>
      </w:r>
      <w:proofErr w:type="spellEnd"/>
      <w:r w:rsidRPr="003A340C">
        <w:rPr>
          <w:iCs/>
          <w:sz w:val="24"/>
          <w:szCs w:val="24"/>
        </w:rPr>
        <w:t xml:space="preserve"> multiforme, </w:t>
      </w:r>
      <w:proofErr w:type="spellStart"/>
      <w:r w:rsidRPr="003A340C">
        <w:rPr>
          <w:iCs/>
          <w:sz w:val="24"/>
          <w:szCs w:val="24"/>
        </w:rPr>
        <w:t>larynxødem</w:t>
      </w:r>
      <w:proofErr w:type="spellEnd"/>
      <w:r w:rsidRPr="003A340C">
        <w:rPr>
          <w:iCs/>
          <w:sz w:val="24"/>
          <w:szCs w:val="24"/>
        </w:rPr>
        <w:t xml:space="preserve">, anæmi, leverforandringer og hepatitis, nyreforandringer (svær nyreinsufficiens, hæmaturi, </w:t>
      </w:r>
      <w:proofErr w:type="spellStart"/>
      <w:r w:rsidRPr="003A340C">
        <w:rPr>
          <w:iCs/>
          <w:sz w:val="24"/>
          <w:szCs w:val="24"/>
        </w:rPr>
        <w:t>anuri</w:t>
      </w:r>
      <w:proofErr w:type="spellEnd"/>
      <w:r w:rsidRPr="003A340C">
        <w:rPr>
          <w:iCs/>
          <w:sz w:val="24"/>
          <w:szCs w:val="24"/>
        </w:rPr>
        <w:t xml:space="preserve">) og </w:t>
      </w:r>
      <w:proofErr w:type="spellStart"/>
      <w:r w:rsidRPr="003A340C">
        <w:rPr>
          <w:iCs/>
          <w:sz w:val="24"/>
          <w:szCs w:val="24"/>
        </w:rPr>
        <w:t>vertigo</w:t>
      </w:r>
      <w:proofErr w:type="spellEnd"/>
      <w:r w:rsidRPr="003A340C">
        <w:rPr>
          <w:iCs/>
          <w:sz w:val="24"/>
          <w:szCs w:val="24"/>
        </w:rPr>
        <w:t>. I meget sjældne tilfælde er beskrevet alvorlige hudreaktioner.</w:t>
      </w:r>
    </w:p>
    <w:p w14:paraId="55D1B4B2" w14:textId="77777777" w:rsidR="00130F73" w:rsidRDefault="00130F73" w:rsidP="00130F73">
      <w:pPr>
        <w:tabs>
          <w:tab w:val="left" w:pos="851"/>
        </w:tabs>
        <w:ind w:left="851"/>
        <w:rPr>
          <w:sz w:val="24"/>
          <w:szCs w:val="24"/>
        </w:rPr>
      </w:pPr>
    </w:p>
    <w:p w14:paraId="690DE914" w14:textId="77777777" w:rsidR="00130F73" w:rsidRPr="00BD6210" w:rsidRDefault="00130F73" w:rsidP="00130F73">
      <w:pPr>
        <w:tabs>
          <w:tab w:val="left" w:pos="851"/>
        </w:tabs>
        <w:ind w:left="851"/>
        <w:rPr>
          <w:sz w:val="24"/>
          <w:szCs w:val="24"/>
        </w:rPr>
      </w:pPr>
      <w:r w:rsidRPr="0027785B">
        <w:rPr>
          <w:sz w:val="24"/>
          <w:szCs w:val="24"/>
        </w:rPr>
        <w:t xml:space="preserve">Hos patienter med risikofaktorer, der anvender paracetamol, er der observeret tilfælde af metabolisk </w:t>
      </w:r>
      <w:proofErr w:type="spellStart"/>
      <w:r w:rsidRPr="0027785B">
        <w:rPr>
          <w:sz w:val="24"/>
          <w:szCs w:val="24"/>
        </w:rPr>
        <w:t>acidose</w:t>
      </w:r>
      <w:proofErr w:type="spellEnd"/>
      <w:r w:rsidRPr="0027785B">
        <w:rPr>
          <w:sz w:val="24"/>
          <w:szCs w:val="24"/>
        </w:rPr>
        <w:t xml:space="preserve"> med højt anion-</w:t>
      </w:r>
      <w:proofErr w:type="spellStart"/>
      <w:r w:rsidRPr="0027785B">
        <w:rPr>
          <w:sz w:val="24"/>
          <w:szCs w:val="24"/>
        </w:rPr>
        <w:t>gap</w:t>
      </w:r>
      <w:proofErr w:type="spellEnd"/>
      <w:r w:rsidRPr="0027785B">
        <w:rPr>
          <w:sz w:val="24"/>
          <w:szCs w:val="24"/>
        </w:rPr>
        <w:t xml:space="preserve"> som følge af </w:t>
      </w:r>
      <w:proofErr w:type="spellStart"/>
      <w:r w:rsidRPr="0027785B">
        <w:rPr>
          <w:sz w:val="24"/>
          <w:szCs w:val="24"/>
        </w:rPr>
        <w:t>pyroglutaminacidose</w:t>
      </w:r>
      <w:proofErr w:type="spellEnd"/>
      <w:r w:rsidRPr="0027785B">
        <w:rPr>
          <w:sz w:val="24"/>
          <w:szCs w:val="24"/>
        </w:rPr>
        <w:t xml:space="preserve"> (se pkt. 4.4). </w:t>
      </w:r>
      <w:proofErr w:type="spellStart"/>
      <w:r w:rsidRPr="0027785B">
        <w:rPr>
          <w:sz w:val="24"/>
          <w:szCs w:val="24"/>
        </w:rPr>
        <w:t>Pyroglutaminacidose</w:t>
      </w:r>
      <w:proofErr w:type="spellEnd"/>
      <w:r w:rsidRPr="0027785B">
        <w:rPr>
          <w:sz w:val="24"/>
          <w:szCs w:val="24"/>
        </w:rPr>
        <w:t xml:space="preserve"> kan forekomme som følge af lave </w:t>
      </w:r>
      <w:proofErr w:type="spellStart"/>
      <w:r w:rsidRPr="0027785B">
        <w:rPr>
          <w:sz w:val="24"/>
          <w:szCs w:val="24"/>
        </w:rPr>
        <w:t>glutathionniveauer</w:t>
      </w:r>
      <w:proofErr w:type="spellEnd"/>
      <w:r w:rsidRPr="0027785B">
        <w:rPr>
          <w:sz w:val="24"/>
          <w:szCs w:val="24"/>
        </w:rPr>
        <w:t xml:space="preserve"> hos disse patienter.</w:t>
      </w:r>
    </w:p>
    <w:p w14:paraId="305D48A5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</w:p>
    <w:p w14:paraId="05B8BD5C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A340C">
        <w:rPr>
          <w:sz w:val="24"/>
          <w:szCs w:val="24"/>
          <w:u w:val="single"/>
        </w:rPr>
        <w:t>Indberetning af formodede bivirkninger</w:t>
      </w:r>
    </w:p>
    <w:p w14:paraId="1B45169D" w14:textId="01E2A3FA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Når lægemidlet er godkendt, er indberetning af formodede bivirkninger vigtig. Dette muliggør løbende overvågning af benefit/</w:t>
      </w:r>
      <w:proofErr w:type="spellStart"/>
      <w:r w:rsidRPr="003A340C">
        <w:rPr>
          <w:sz w:val="24"/>
          <w:szCs w:val="24"/>
        </w:rPr>
        <w:t>risk</w:t>
      </w:r>
      <w:proofErr w:type="spellEnd"/>
      <w:r w:rsidRPr="003A340C">
        <w:rPr>
          <w:sz w:val="24"/>
          <w:szCs w:val="24"/>
        </w:rPr>
        <w:t>-forholdet for lægemidlet. Sundhedspersoner anmodes om at indberette alle formodede bivirkninger via</w:t>
      </w:r>
    </w:p>
    <w:p w14:paraId="6EB95887" w14:textId="77777777" w:rsidR="0083526D" w:rsidRPr="003A340C" w:rsidRDefault="0083526D" w:rsidP="00D15F0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4481549C" w14:textId="77777777" w:rsidR="00D15F08" w:rsidRPr="003A340C" w:rsidRDefault="00D15F08" w:rsidP="00D15F08">
      <w:pPr>
        <w:ind w:left="851"/>
        <w:rPr>
          <w:sz w:val="24"/>
          <w:szCs w:val="24"/>
        </w:rPr>
      </w:pPr>
      <w:bookmarkStart w:id="1" w:name="_Hlk79581812"/>
      <w:r w:rsidRPr="003A340C">
        <w:rPr>
          <w:sz w:val="24"/>
          <w:szCs w:val="24"/>
        </w:rPr>
        <w:t>Lægemiddelstyrelsen</w:t>
      </w:r>
    </w:p>
    <w:p w14:paraId="3097BAC4" w14:textId="77777777" w:rsidR="00D15F08" w:rsidRPr="003A340C" w:rsidRDefault="00D15F08" w:rsidP="00D15F08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>Axel Heides Gade 1</w:t>
      </w:r>
    </w:p>
    <w:p w14:paraId="47E4BFBA" w14:textId="77777777" w:rsidR="00D15F08" w:rsidRPr="003A340C" w:rsidRDefault="00D15F08" w:rsidP="00D15F08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>DK-2300 København S</w:t>
      </w:r>
    </w:p>
    <w:p w14:paraId="2D9C2A33" w14:textId="77777777" w:rsidR="00D15F08" w:rsidRPr="003A340C" w:rsidRDefault="00D15F08" w:rsidP="00D15F08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Websted: </w:t>
      </w:r>
      <w:hyperlink r:id="rId8" w:history="1">
        <w:r w:rsidRPr="003A340C">
          <w:rPr>
            <w:rStyle w:val="Hyperlink"/>
            <w:sz w:val="24"/>
            <w:szCs w:val="24"/>
          </w:rPr>
          <w:t>www.meldenbivirkning.dk</w:t>
        </w:r>
      </w:hyperlink>
      <w:bookmarkEnd w:id="1"/>
    </w:p>
    <w:p w14:paraId="4BDF7E8A" w14:textId="77777777" w:rsidR="009260DE" w:rsidRPr="003A340C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58065F6E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4.9</w:t>
      </w:r>
      <w:r w:rsidRPr="003A340C">
        <w:rPr>
          <w:b/>
          <w:sz w:val="24"/>
          <w:szCs w:val="24"/>
        </w:rPr>
        <w:tab/>
        <w:t>Overdosering</w:t>
      </w:r>
    </w:p>
    <w:p w14:paraId="2B5716D2" w14:textId="77777777" w:rsidR="00D15F08" w:rsidRPr="003A340C" w:rsidRDefault="00D15F08" w:rsidP="0083526D">
      <w:pPr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Ved overdosering af paracetamol er øjeblikkelig lægehjælp påkrævet, også hvis der ikke er symptomer på overdosering.</w:t>
      </w:r>
    </w:p>
    <w:p w14:paraId="47134138" w14:textId="0C5A19A0" w:rsidR="00D15F08" w:rsidRPr="003A340C" w:rsidRDefault="00D15F08" w:rsidP="0083526D">
      <w:pPr>
        <w:ind w:left="851"/>
        <w:rPr>
          <w:sz w:val="24"/>
          <w:szCs w:val="24"/>
        </w:rPr>
      </w:pPr>
    </w:p>
    <w:p w14:paraId="48B9CD65" w14:textId="7795D6D4" w:rsidR="00D15F08" w:rsidRPr="003A340C" w:rsidRDefault="00D15F08" w:rsidP="0083526D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Ved akut overdosering med 10 g eller mere paracetamol i en enkelt administration til voksne eller 150 mg/kg kropsvægt som en enkelt administration til børn have en </w:t>
      </w:r>
      <w:proofErr w:type="spellStart"/>
      <w:r w:rsidRPr="003A340C">
        <w:rPr>
          <w:sz w:val="24"/>
          <w:szCs w:val="24"/>
        </w:rPr>
        <w:t>hepatotoksisk</w:t>
      </w:r>
      <w:proofErr w:type="spellEnd"/>
      <w:r w:rsidRPr="003A340C">
        <w:rPr>
          <w:sz w:val="24"/>
          <w:szCs w:val="24"/>
        </w:rPr>
        <w:t xml:space="preserve"> effekt eller endda forårsage nekrose af leveren. Overdosering af paracetamol, herunder høje totale dosisniveauer (≥ 6 g/dag) i løbet af en længere periode, kan medføre analgetisk induceret </w:t>
      </w:r>
      <w:proofErr w:type="spellStart"/>
      <w:r w:rsidRPr="003A340C">
        <w:rPr>
          <w:sz w:val="24"/>
          <w:szCs w:val="24"/>
        </w:rPr>
        <w:t>nefropati</w:t>
      </w:r>
      <w:proofErr w:type="spellEnd"/>
      <w:r w:rsidRPr="003A340C">
        <w:rPr>
          <w:sz w:val="24"/>
          <w:szCs w:val="24"/>
        </w:rPr>
        <w:t xml:space="preserve"> med irreversibelt leversvigt. Patienterne bør instrueres om ikke sideløbende at tage andre paracetamolholdige præparater.</w:t>
      </w:r>
    </w:p>
    <w:p w14:paraId="1B09838B" w14:textId="4A5F7CB3" w:rsidR="00D15F08" w:rsidRPr="003A340C" w:rsidRDefault="00D15F08" w:rsidP="0083526D">
      <w:pPr>
        <w:ind w:left="851"/>
        <w:rPr>
          <w:sz w:val="24"/>
          <w:szCs w:val="24"/>
        </w:rPr>
      </w:pPr>
    </w:p>
    <w:p w14:paraId="57083BE5" w14:textId="4C3FB844" w:rsidR="00D15F08" w:rsidRPr="003A340C" w:rsidRDefault="00D15F08" w:rsidP="0083526D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>Risiko for forgiftning er især til stede hos ældre, mindre børn og patienter med leversygdom, ved kronisk alkoholmisbrug og hos kronisk fejlernærede patienter. Overdosering af paracetamol er potentielt fatal i alle populationer.</w:t>
      </w:r>
    </w:p>
    <w:p w14:paraId="71EE9635" w14:textId="438CEF5B" w:rsidR="00D15F08" w:rsidRPr="003A340C" w:rsidRDefault="00D15F08" w:rsidP="0083526D">
      <w:pPr>
        <w:ind w:left="851"/>
        <w:rPr>
          <w:sz w:val="24"/>
          <w:szCs w:val="24"/>
        </w:rPr>
      </w:pPr>
    </w:p>
    <w:p w14:paraId="69055D2C" w14:textId="10C74A0E" w:rsidR="00D15F08" w:rsidRPr="003A340C" w:rsidRDefault="00D15F08" w:rsidP="0083526D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Symptomer på overdosering af paracetamol er i de første 24 timer bleghed, kvalme, opkastning og anoreksi. Mavesmerter kan være det første tegn på leverskade, som normalt ikke er mærkbar i 24 til 48 timer og undertiden kan blive forsinket i op til 4-6 dage efter indtagelse. Leverskade er sædvanligvis maksimal 72 til 96 timer efter indtagelsen. Abnorm </w:t>
      </w:r>
      <w:proofErr w:type="spellStart"/>
      <w:r w:rsidRPr="003A340C">
        <w:rPr>
          <w:sz w:val="24"/>
          <w:szCs w:val="24"/>
        </w:rPr>
        <w:t>glucosemetabolisme</w:t>
      </w:r>
      <w:proofErr w:type="spellEnd"/>
      <w:r w:rsidRPr="003A340C">
        <w:rPr>
          <w:sz w:val="24"/>
          <w:szCs w:val="24"/>
        </w:rPr>
        <w:t xml:space="preserve"> og metabolisk </w:t>
      </w:r>
      <w:proofErr w:type="spellStart"/>
      <w:r w:rsidRPr="003A340C">
        <w:rPr>
          <w:sz w:val="24"/>
          <w:szCs w:val="24"/>
        </w:rPr>
        <w:t>acidose</w:t>
      </w:r>
      <w:proofErr w:type="spellEnd"/>
      <w:r w:rsidRPr="003A340C">
        <w:rPr>
          <w:sz w:val="24"/>
          <w:szCs w:val="24"/>
        </w:rPr>
        <w:t xml:space="preserve"> kan forekomme. Der kan udvikles akut nyreinsufficiens med akut </w:t>
      </w:r>
      <w:proofErr w:type="spellStart"/>
      <w:r w:rsidRPr="003A340C">
        <w:rPr>
          <w:sz w:val="24"/>
          <w:szCs w:val="24"/>
        </w:rPr>
        <w:t>tubulær</w:t>
      </w:r>
      <w:proofErr w:type="spellEnd"/>
      <w:r w:rsidRPr="003A340C">
        <w:rPr>
          <w:sz w:val="24"/>
          <w:szCs w:val="24"/>
        </w:rPr>
        <w:t xml:space="preserve"> nekrose selv i fravær af svær leverskade. Kardiale </w:t>
      </w:r>
      <w:proofErr w:type="spellStart"/>
      <w:r w:rsidRPr="003A340C">
        <w:rPr>
          <w:sz w:val="24"/>
          <w:szCs w:val="24"/>
        </w:rPr>
        <w:t>arytmier</w:t>
      </w:r>
      <w:proofErr w:type="spellEnd"/>
      <w:r w:rsidRPr="003A340C">
        <w:rPr>
          <w:sz w:val="24"/>
          <w:szCs w:val="24"/>
        </w:rPr>
        <w:t xml:space="preserve"> og </w:t>
      </w:r>
      <w:proofErr w:type="spellStart"/>
      <w:r w:rsidRPr="003A340C">
        <w:rPr>
          <w:sz w:val="24"/>
          <w:szCs w:val="24"/>
        </w:rPr>
        <w:t>pankreatitis</w:t>
      </w:r>
      <w:proofErr w:type="spellEnd"/>
      <w:r w:rsidRPr="003A340C">
        <w:rPr>
          <w:sz w:val="24"/>
          <w:szCs w:val="24"/>
        </w:rPr>
        <w:t xml:space="preserve"> er beskrevet.</w:t>
      </w:r>
    </w:p>
    <w:p w14:paraId="0DD44CCF" w14:textId="4870C650" w:rsidR="00D15F08" w:rsidRPr="003A340C" w:rsidRDefault="00D15F08" w:rsidP="0083526D">
      <w:pPr>
        <w:ind w:left="851"/>
        <w:rPr>
          <w:sz w:val="24"/>
          <w:szCs w:val="24"/>
        </w:rPr>
      </w:pPr>
    </w:p>
    <w:p w14:paraId="2493634A" w14:textId="2974D2FD" w:rsidR="00D15F08" w:rsidRPr="003A340C" w:rsidRDefault="00D15F08" w:rsidP="0083526D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Ved overdosering gives som førstehjælp aktivt kul. Hvis der er administreret mere end 125 mg/kg paracetamol, eller plasmakoncentrationen af paracetamol stiger til følgende værdier: 1350 µmol/l på 4 timer, 990 µmol/l på 6 timer eller 660 µmol/l på 9 timer, bør der hurtigst muligt initieres intravenøs administration af </w:t>
      </w:r>
      <w:proofErr w:type="spellStart"/>
      <w:r w:rsidRPr="003A340C">
        <w:rPr>
          <w:sz w:val="24"/>
          <w:szCs w:val="24"/>
        </w:rPr>
        <w:t>acetylcystein</w:t>
      </w:r>
      <w:proofErr w:type="spellEnd"/>
      <w:r w:rsidRPr="003A340C">
        <w:rPr>
          <w:sz w:val="24"/>
          <w:szCs w:val="24"/>
        </w:rPr>
        <w:t>.</w:t>
      </w:r>
    </w:p>
    <w:p w14:paraId="4554C94D" w14:textId="01CF0B48" w:rsidR="00D15F08" w:rsidRPr="003A340C" w:rsidRDefault="00D15F08" w:rsidP="0083526D">
      <w:pPr>
        <w:ind w:left="851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Acetylcystein</w:t>
      </w:r>
      <w:proofErr w:type="spellEnd"/>
      <w:r w:rsidRPr="003A340C">
        <w:rPr>
          <w:sz w:val="24"/>
          <w:szCs w:val="24"/>
        </w:rPr>
        <w:t xml:space="preserve"> skal opløses i 5 % </w:t>
      </w:r>
      <w:proofErr w:type="spellStart"/>
      <w:r w:rsidRPr="003A340C">
        <w:rPr>
          <w:sz w:val="24"/>
          <w:szCs w:val="24"/>
        </w:rPr>
        <w:t>glucoseopløsning</w:t>
      </w:r>
      <w:proofErr w:type="spellEnd"/>
      <w:r w:rsidRPr="003A340C">
        <w:rPr>
          <w:sz w:val="24"/>
          <w:szCs w:val="24"/>
        </w:rPr>
        <w:t xml:space="preserve"> og initialt indgives som en infusion på 150 mg/kg inden for 15 minutter.</w:t>
      </w:r>
    </w:p>
    <w:p w14:paraId="60BB6A62" w14:textId="69B9723B" w:rsidR="00D15F08" w:rsidRPr="003A340C" w:rsidRDefault="00D15F08" w:rsidP="0083526D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>Infusionen bør fortsættes som 50 mg/kg inden for 4 timer og 100 mg/kg inden for 16 timer (i alt 300 mg/kg).</w:t>
      </w:r>
    </w:p>
    <w:p w14:paraId="10ED2286" w14:textId="0A6040BE" w:rsidR="00D15F08" w:rsidRPr="003A340C" w:rsidRDefault="00D15F08" w:rsidP="0083526D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Behandling med </w:t>
      </w:r>
      <w:proofErr w:type="spellStart"/>
      <w:r w:rsidRPr="003A340C">
        <w:rPr>
          <w:sz w:val="24"/>
          <w:szCs w:val="24"/>
        </w:rPr>
        <w:t>acetylcystein</w:t>
      </w:r>
      <w:proofErr w:type="spellEnd"/>
      <w:r w:rsidRPr="003A340C">
        <w:rPr>
          <w:sz w:val="24"/>
          <w:szCs w:val="24"/>
        </w:rPr>
        <w:t xml:space="preserve"> er effektiv inden for 24 til 72 timer efter overdosering. Som alternativ kan </w:t>
      </w:r>
      <w:proofErr w:type="spellStart"/>
      <w:r w:rsidRPr="003A340C">
        <w:rPr>
          <w:sz w:val="24"/>
          <w:szCs w:val="24"/>
        </w:rPr>
        <w:t>methionin</w:t>
      </w:r>
      <w:proofErr w:type="spellEnd"/>
      <w:r w:rsidRPr="003A340C">
        <w:rPr>
          <w:sz w:val="24"/>
          <w:szCs w:val="24"/>
        </w:rPr>
        <w:t xml:space="preserve"> anvendes.</w:t>
      </w:r>
    </w:p>
    <w:p w14:paraId="745217E3" w14:textId="77777777" w:rsidR="00D15F08" w:rsidRPr="003A340C" w:rsidRDefault="00D15F08" w:rsidP="0083526D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Ofte er administration af antihistaminer påkrævet, da </w:t>
      </w:r>
      <w:proofErr w:type="spellStart"/>
      <w:r w:rsidRPr="003A340C">
        <w:rPr>
          <w:sz w:val="24"/>
          <w:szCs w:val="24"/>
        </w:rPr>
        <w:t>acetylcystein</w:t>
      </w:r>
      <w:proofErr w:type="spellEnd"/>
      <w:r w:rsidRPr="003A340C">
        <w:rPr>
          <w:sz w:val="24"/>
          <w:szCs w:val="24"/>
        </w:rPr>
        <w:t xml:space="preserve"> kan forårsage anafylaksi.</w:t>
      </w:r>
    </w:p>
    <w:p w14:paraId="0235FAE8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E748B5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4.10</w:t>
      </w:r>
      <w:r w:rsidRPr="003A340C">
        <w:rPr>
          <w:b/>
          <w:sz w:val="24"/>
          <w:szCs w:val="24"/>
        </w:rPr>
        <w:tab/>
        <w:t>Udlevering</w:t>
      </w:r>
    </w:p>
    <w:p w14:paraId="513E28D3" w14:textId="77777777" w:rsidR="00E94F47" w:rsidRPr="003A340C" w:rsidRDefault="00E94F47" w:rsidP="00E94F47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HX18: Pakninger indeholdende højst 10 stk.</w:t>
      </w:r>
    </w:p>
    <w:p w14:paraId="58B1006A" w14:textId="77777777" w:rsidR="00E94F47" w:rsidRPr="003A340C" w:rsidRDefault="00E94F47" w:rsidP="00E94F47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HA18: Pakninger indeholdende højst 20 stk.</w:t>
      </w:r>
    </w:p>
    <w:p w14:paraId="1969D394" w14:textId="77777777" w:rsidR="00E94F47" w:rsidRPr="003A340C" w:rsidRDefault="00E94F47" w:rsidP="00E94F47">
      <w:pPr>
        <w:tabs>
          <w:tab w:val="left" w:pos="851"/>
          <w:tab w:val="left" w:pos="1985"/>
          <w:tab w:val="left" w:pos="8789"/>
        </w:tabs>
        <w:rPr>
          <w:sz w:val="24"/>
          <w:szCs w:val="24"/>
        </w:rPr>
      </w:pPr>
      <w:r w:rsidRPr="003A340C">
        <w:rPr>
          <w:sz w:val="24"/>
          <w:szCs w:val="24"/>
        </w:rPr>
        <w:tab/>
        <w:t>B: Ingen øvre grænse.</w:t>
      </w:r>
    </w:p>
    <w:p w14:paraId="19C5FCCE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8031B7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00333D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5.</w:t>
      </w:r>
      <w:r w:rsidRPr="003A340C">
        <w:rPr>
          <w:b/>
          <w:sz w:val="24"/>
          <w:szCs w:val="24"/>
        </w:rPr>
        <w:tab/>
        <w:t>FARMAKOLOGISKE EGENSKABER</w:t>
      </w:r>
    </w:p>
    <w:p w14:paraId="53108CD6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F7DE5C" w14:textId="77777777" w:rsidR="009260DE" w:rsidRPr="003A340C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5.1</w:t>
      </w:r>
      <w:r w:rsidRPr="003A340C">
        <w:rPr>
          <w:b/>
          <w:sz w:val="24"/>
          <w:szCs w:val="24"/>
        </w:rPr>
        <w:tab/>
      </w:r>
      <w:proofErr w:type="spellStart"/>
      <w:r w:rsidRPr="003A340C">
        <w:rPr>
          <w:b/>
          <w:sz w:val="24"/>
          <w:szCs w:val="24"/>
        </w:rPr>
        <w:t>Farmakodynamiske</w:t>
      </w:r>
      <w:proofErr w:type="spellEnd"/>
      <w:r w:rsidRPr="003A340C">
        <w:rPr>
          <w:b/>
          <w:sz w:val="24"/>
          <w:szCs w:val="24"/>
        </w:rPr>
        <w:t xml:space="preserve"> egenskaber</w:t>
      </w:r>
    </w:p>
    <w:p w14:paraId="134E6E4E" w14:textId="77777777" w:rsidR="00130F73" w:rsidRPr="003A340C" w:rsidRDefault="00130F73" w:rsidP="00130F73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 xml:space="preserve">: </w:t>
      </w:r>
      <w:r w:rsidRPr="003A340C">
        <w:rPr>
          <w:sz w:val="24"/>
          <w:szCs w:val="24"/>
        </w:rPr>
        <w:t xml:space="preserve">Andre </w:t>
      </w:r>
      <w:proofErr w:type="spellStart"/>
      <w:r w:rsidRPr="003A340C">
        <w:rPr>
          <w:sz w:val="24"/>
          <w:szCs w:val="24"/>
        </w:rPr>
        <w:t>analgetika</w:t>
      </w:r>
      <w:proofErr w:type="spellEnd"/>
      <w:r w:rsidRPr="003A340C">
        <w:rPr>
          <w:sz w:val="24"/>
          <w:szCs w:val="24"/>
        </w:rPr>
        <w:t xml:space="preserve"> og </w:t>
      </w:r>
      <w:proofErr w:type="spellStart"/>
      <w:r w:rsidRPr="003A340C">
        <w:rPr>
          <w:sz w:val="24"/>
          <w:szCs w:val="24"/>
        </w:rPr>
        <w:t>antipyretika</w:t>
      </w:r>
      <w:proofErr w:type="spellEnd"/>
      <w:r w:rsidRPr="003A340C">
        <w:rPr>
          <w:sz w:val="24"/>
          <w:szCs w:val="24"/>
        </w:rPr>
        <w:t>; anilider.</w:t>
      </w:r>
    </w:p>
    <w:p w14:paraId="63E80D3C" w14:textId="7C276A7B" w:rsidR="00130F73" w:rsidRDefault="00130F73" w:rsidP="0083526D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>ATC-kode: N 02 BE 01.</w:t>
      </w:r>
    </w:p>
    <w:p w14:paraId="0F2CF563" w14:textId="77777777" w:rsidR="00130F73" w:rsidRDefault="00130F73" w:rsidP="0083526D">
      <w:pPr>
        <w:ind w:left="851"/>
        <w:rPr>
          <w:sz w:val="24"/>
          <w:szCs w:val="24"/>
        </w:rPr>
      </w:pPr>
    </w:p>
    <w:p w14:paraId="48FB8A23" w14:textId="55B38AFE" w:rsidR="00D15F08" w:rsidRPr="003A340C" w:rsidRDefault="00D15F08" w:rsidP="0083526D">
      <w:pPr>
        <w:ind w:left="851"/>
        <w:rPr>
          <w:i/>
          <w:sz w:val="24"/>
          <w:szCs w:val="24"/>
          <w:lang w:eastAsia="da-DK"/>
        </w:rPr>
      </w:pPr>
      <w:r w:rsidRPr="003A340C">
        <w:rPr>
          <w:sz w:val="24"/>
          <w:szCs w:val="24"/>
        </w:rPr>
        <w:t xml:space="preserve">Paracetamol virker analgetisk og </w:t>
      </w:r>
      <w:proofErr w:type="spellStart"/>
      <w:r w:rsidRPr="003A340C">
        <w:rPr>
          <w:sz w:val="24"/>
          <w:szCs w:val="24"/>
        </w:rPr>
        <w:t>antipyretisk</w:t>
      </w:r>
      <w:proofErr w:type="spellEnd"/>
      <w:r w:rsidRPr="003A340C">
        <w:rPr>
          <w:sz w:val="24"/>
          <w:szCs w:val="24"/>
        </w:rPr>
        <w:t xml:space="preserve">. Den primære virkningsmekanisme menes at være hæmningen af </w:t>
      </w:r>
      <w:proofErr w:type="spellStart"/>
      <w:r w:rsidRPr="003A340C">
        <w:rPr>
          <w:sz w:val="24"/>
          <w:szCs w:val="24"/>
        </w:rPr>
        <w:t>prostaglandinsyntesen</w:t>
      </w:r>
      <w:proofErr w:type="spellEnd"/>
      <w:r w:rsidRPr="003A340C">
        <w:rPr>
          <w:sz w:val="24"/>
          <w:szCs w:val="24"/>
        </w:rPr>
        <w:t>, primært i centralnervesystemet. Paracetamol medfører perifer vasodilatation med øget blodgennemstrømning gennem huden, sved og varmetab.</w:t>
      </w:r>
    </w:p>
    <w:p w14:paraId="6782009F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5EC728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5.2</w:t>
      </w:r>
      <w:r w:rsidRPr="003A340C">
        <w:rPr>
          <w:b/>
          <w:sz w:val="24"/>
          <w:szCs w:val="24"/>
        </w:rPr>
        <w:tab/>
      </w:r>
      <w:proofErr w:type="spellStart"/>
      <w:r w:rsidRPr="003A340C">
        <w:rPr>
          <w:b/>
          <w:sz w:val="24"/>
          <w:szCs w:val="24"/>
        </w:rPr>
        <w:t>Farmakokinetiske</w:t>
      </w:r>
      <w:proofErr w:type="spellEnd"/>
      <w:r w:rsidRPr="003A340C">
        <w:rPr>
          <w:b/>
          <w:sz w:val="24"/>
          <w:szCs w:val="24"/>
        </w:rPr>
        <w:t xml:space="preserve"> egenskaber</w:t>
      </w:r>
    </w:p>
    <w:p w14:paraId="706D067B" w14:textId="77777777" w:rsidR="0083526D" w:rsidRPr="003A340C" w:rsidRDefault="0083526D" w:rsidP="00D15F0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</w:p>
    <w:p w14:paraId="2CA9231A" w14:textId="17F6C194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  <w:u w:val="single"/>
          <w:lang w:eastAsia="da-DK"/>
        </w:rPr>
      </w:pPr>
      <w:r w:rsidRPr="003A340C">
        <w:rPr>
          <w:iCs/>
          <w:sz w:val="24"/>
          <w:szCs w:val="24"/>
          <w:u w:val="single"/>
        </w:rPr>
        <w:t>Absorption</w:t>
      </w:r>
    </w:p>
    <w:p w14:paraId="6FB466B2" w14:textId="73346396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</w:rPr>
      </w:pPr>
      <w:r w:rsidRPr="003A340C">
        <w:rPr>
          <w:iCs/>
          <w:sz w:val="24"/>
          <w:szCs w:val="24"/>
        </w:rPr>
        <w:t>Paracetamol optages hurtigt og næsten fuldstændigt i den øvre del af mave-tarm</w:t>
      </w:r>
      <w:r w:rsidR="00354777">
        <w:rPr>
          <w:iCs/>
          <w:sz w:val="24"/>
          <w:szCs w:val="24"/>
        </w:rPr>
        <w:t>-</w:t>
      </w:r>
      <w:r w:rsidRPr="003A340C">
        <w:rPr>
          <w:iCs/>
          <w:sz w:val="24"/>
          <w:szCs w:val="24"/>
        </w:rPr>
        <w:t>kanalen. Maksimale plasmakoncentrationer opnås i løbet af 30 til 60 timer.</w:t>
      </w:r>
    </w:p>
    <w:p w14:paraId="76D4BB17" w14:textId="4ACE7E74" w:rsidR="00D15F08" w:rsidRDefault="00D15F08" w:rsidP="00D15F08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6ED5F76A" w14:textId="21817E18" w:rsidR="00130F73" w:rsidRDefault="00130F73" w:rsidP="00D15F08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7FCF1770" w14:textId="77777777" w:rsidR="00130F73" w:rsidRPr="003A340C" w:rsidRDefault="00130F73" w:rsidP="00D15F08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5A1A4815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A340C">
        <w:rPr>
          <w:iCs/>
          <w:sz w:val="24"/>
          <w:szCs w:val="24"/>
          <w:u w:val="single"/>
        </w:rPr>
        <w:t>Fordeling</w:t>
      </w:r>
    </w:p>
    <w:p w14:paraId="3D4C28AB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</w:rPr>
      </w:pPr>
      <w:r w:rsidRPr="003A340C">
        <w:rPr>
          <w:iCs/>
          <w:sz w:val="24"/>
          <w:szCs w:val="24"/>
        </w:rPr>
        <w:t>Paracetamol fordeles hurtigt i alle væv. Plasma- og spytkoncentrationer er sammenlignelige. Proteinbindingen er lav ved de anbefalede doser.</w:t>
      </w:r>
    </w:p>
    <w:p w14:paraId="2DC0F633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5EB1C057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A340C">
        <w:rPr>
          <w:iCs/>
          <w:sz w:val="24"/>
          <w:szCs w:val="24"/>
          <w:u w:val="single"/>
        </w:rPr>
        <w:t>Biotransformation</w:t>
      </w:r>
    </w:p>
    <w:p w14:paraId="642CC430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iCs/>
          <w:sz w:val="24"/>
          <w:szCs w:val="24"/>
        </w:rPr>
        <w:t xml:space="preserve">Paracetamol </w:t>
      </w:r>
      <w:proofErr w:type="spellStart"/>
      <w:r w:rsidRPr="003A340C">
        <w:rPr>
          <w:iCs/>
          <w:sz w:val="24"/>
          <w:szCs w:val="24"/>
        </w:rPr>
        <w:t>metaboliseres</w:t>
      </w:r>
      <w:proofErr w:type="spellEnd"/>
      <w:r w:rsidRPr="003A340C">
        <w:rPr>
          <w:iCs/>
          <w:sz w:val="24"/>
          <w:szCs w:val="24"/>
        </w:rPr>
        <w:t xml:space="preserve"> hovedsageligt i leveren ved </w:t>
      </w:r>
      <w:proofErr w:type="spellStart"/>
      <w:r w:rsidRPr="003A340C">
        <w:rPr>
          <w:iCs/>
          <w:sz w:val="24"/>
          <w:szCs w:val="24"/>
        </w:rPr>
        <w:t>konjugering</w:t>
      </w:r>
      <w:proofErr w:type="spellEnd"/>
      <w:r w:rsidRPr="003A340C">
        <w:rPr>
          <w:iCs/>
          <w:sz w:val="24"/>
          <w:szCs w:val="24"/>
        </w:rPr>
        <w:t xml:space="preserve"> med </w:t>
      </w:r>
      <w:proofErr w:type="spellStart"/>
      <w:r w:rsidRPr="003A340C">
        <w:rPr>
          <w:iCs/>
          <w:sz w:val="24"/>
          <w:szCs w:val="24"/>
        </w:rPr>
        <w:t>glucuronsyre</w:t>
      </w:r>
      <w:proofErr w:type="spellEnd"/>
      <w:r w:rsidRPr="003A340C">
        <w:rPr>
          <w:iCs/>
          <w:sz w:val="24"/>
          <w:szCs w:val="24"/>
        </w:rPr>
        <w:t xml:space="preserve"> og svovlsyre. En mindre del af </w:t>
      </w:r>
      <w:proofErr w:type="spellStart"/>
      <w:r w:rsidRPr="003A340C">
        <w:rPr>
          <w:iCs/>
          <w:sz w:val="24"/>
          <w:szCs w:val="24"/>
        </w:rPr>
        <w:t>metaboliseringen</w:t>
      </w:r>
      <w:proofErr w:type="spellEnd"/>
      <w:r w:rsidRPr="003A340C">
        <w:rPr>
          <w:iCs/>
          <w:sz w:val="24"/>
          <w:szCs w:val="24"/>
        </w:rPr>
        <w:t xml:space="preserve"> sker via katalysatoren, </w:t>
      </w:r>
      <w:proofErr w:type="spellStart"/>
      <w:r w:rsidRPr="003A340C">
        <w:rPr>
          <w:iCs/>
          <w:sz w:val="24"/>
          <w:szCs w:val="24"/>
        </w:rPr>
        <w:t>cytochrom</w:t>
      </w:r>
      <w:proofErr w:type="spellEnd"/>
      <w:r w:rsidRPr="003A340C">
        <w:rPr>
          <w:iCs/>
          <w:sz w:val="24"/>
          <w:szCs w:val="24"/>
        </w:rPr>
        <w:t xml:space="preserve"> P450 (hovedsagelig CYP2E1) og medfører dannelse af metabolitten N-acetyl-p-</w:t>
      </w:r>
      <w:proofErr w:type="spellStart"/>
      <w:r w:rsidRPr="003A340C">
        <w:rPr>
          <w:iCs/>
          <w:sz w:val="24"/>
          <w:szCs w:val="24"/>
        </w:rPr>
        <w:t>benzoquinonimin</w:t>
      </w:r>
      <w:proofErr w:type="spellEnd"/>
      <w:r w:rsidRPr="003A340C">
        <w:rPr>
          <w:iCs/>
          <w:sz w:val="24"/>
          <w:szCs w:val="24"/>
        </w:rPr>
        <w:t xml:space="preserve">, som normalt hurtigt </w:t>
      </w:r>
      <w:proofErr w:type="spellStart"/>
      <w:r w:rsidRPr="003A340C">
        <w:rPr>
          <w:iCs/>
          <w:sz w:val="24"/>
          <w:szCs w:val="24"/>
        </w:rPr>
        <w:t>detoksificeres</w:t>
      </w:r>
      <w:proofErr w:type="spellEnd"/>
      <w:r w:rsidRPr="003A340C">
        <w:rPr>
          <w:iCs/>
          <w:sz w:val="24"/>
          <w:szCs w:val="24"/>
        </w:rPr>
        <w:t xml:space="preserve"> af </w:t>
      </w:r>
      <w:proofErr w:type="spellStart"/>
      <w:r w:rsidRPr="003A340C">
        <w:rPr>
          <w:iCs/>
          <w:sz w:val="24"/>
          <w:szCs w:val="24"/>
        </w:rPr>
        <w:t>glutathion</w:t>
      </w:r>
      <w:proofErr w:type="spellEnd"/>
      <w:r w:rsidRPr="003A340C">
        <w:rPr>
          <w:iCs/>
          <w:sz w:val="24"/>
          <w:szCs w:val="24"/>
        </w:rPr>
        <w:t xml:space="preserve"> og bindes til </w:t>
      </w:r>
      <w:proofErr w:type="spellStart"/>
      <w:r w:rsidRPr="003A340C">
        <w:rPr>
          <w:iCs/>
          <w:sz w:val="24"/>
          <w:szCs w:val="24"/>
        </w:rPr>
        <w:t>cystein</w:t>
      </w:r>
      <w:proofErr w:type="spellEnd"/>
      <w:r w:rsidRPr="003A340C">
        <w:rPr>
          <w:iCs/>
          <w:sz w:val="24"/>
          <w:szCs w:val="24"/>
        </w:rPr>
        <w:t xml:space="preserve"> og </w:t>
      </w:r>
      <w:proofErr w:type="spellStart"/>
      <w:r w:rsidRPr="003A340C">
        <w:rPr>
          <w:iCs/>
          <w:sz w:val="24"/>
          <w:szCs w:val="24"/>
        </w:rPr>
        <w:t>mercaptursyre</w:t>
      </w:r>
      <w:proofErr w:type="spellEnd"/>
      <w:r w:rsidRPr="003A340C">
        <w:rPr>
          <w:iCs/>
          <w:sz w:val="24"/>
          <w:szCs w:val="24"/>
        </w:rPr>
        <w:t>. Ved af massiv overdosering øges mængden af denne toksiske metabolit.</w:t>
      </w:r>
    </w:p>
    <w:p w14:paraId="246F4593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5BCCCD9A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A340C">
        <w:rPr>
          <w:iCs/>
          <w:sz w:val="24"/>
          <w:szCs w:val="24"/>
          <w:u w:val="single"/>
        </w:rPr>
        <w:t>Elimination</w:t>
      </w:r>
    </w:p>
    <w:p w14:paraId="5AF8656F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Elimination sker hovedsageligt gennem urinen. 90 % af den absorberede mængde udskilles </w:t>
      </w:r>
      <w:proofErr w:type="spellStart"/>
      <w:r w:rsidRPr="003A340C">
        <w:rPr>
          <w:sz w:val="24"/>
          <w:szCs w:val="24"/>
        </w:rPr>
        <w:t>renalt</w:t>
      </w:r>
      <w:proofErr w:type="spellEnd"/>
      <w:r w:rsidRPr="003A340C">
        <w:rPr>
          <w:sz w:val="24"/>
          <w:szCs w:val="24"/>
        </w:rPr>
        <w:t xml:space="preserve"> inden for 24 timer, hovedsageligt som </w:t>
      </w:r>
      <w:proofErr w:type="spellStart"/>
      <w:r w:rsidRPr="003A340C">
        <w:rPr>
          <w:sz w:val="24"/>
          <w:szCs w:val="24"/>
        </w:rPr>
        <w:t>glucuronider</w:t>
      </w:r>
      <w:proofErr w:type="spellEnd"/>
      <w:r w:rsidRPr="003A340C">
        <w:rPr>
          <w:sz w:val="24"/>
          <w:szCs w:val="24"/>
        </w:rPr>
        <w:t xml:space="preserve"> (60-80 %) og </w:t>
      </w:r>
      <w:proofErr w:type="spellStart"/>
      <w:r w:rsidRPr="003A340C">
        <w:rPr>
          <w:sz w:val="24"/>
          <w:szCs w:val="24"/>
        </w:rPr>
        <w:t>sulfatkonjugater</w:t>
      </w:r>
      <w:proofErr w:type="spellEnd"/>
      <w:r w:rsidRPr="003A340C">
        <w:rPr>
          <w:sz w:val="24"/>
          <w:szCs w:val="24"/>
        </w:rPr>
        <w:t xml:space="preserve"> (20-30 %). Mindre end 5 % elimineres i uændret form. Eliminationshalveringstiden er ca. 2 timer.</w:t>
      </w:r>
    </w:p>
    <w:p w14:paraId="06584106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02C333AA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A340C">
        <w:rPr>
          <w:iCs/>
          <w:sz w:val="24"/>
          <w:szCs w:val="24"/>
          <w:u w:val="single"/>
        </w:rPr>
        <w:t>Nyreinsufficiens</w:t>
      </w:r>
    </w:p>
    <w:p w14:paraId="15A1A1E1" w14:textId="3BDD77B0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</w:rPr>
      </w:pPr>
      <w:r w:rsidRPr="003A340C">
        <w:rPr>
          <w:iCs/>
          <w:sz w:val="24"/>
          <w:szCs w:val="24"/>
        </w:rPr>
        <w:t>Ved svær nyreinsufficiens (</w:t>
      </w:r>
      <w:proofErr w:type="spellStart"/>
      <w:r w:rsidRPr="003A340C">
        <w:rPr>
          <w:iCs/>
          <w:sz w:val="24"/>
          <w:szCs w:val="24"/>
        </w:rPr>
        <w:t>kreatininclearance</w:t>
      </w:r>
      <w:proofErr w:type="spellEnd"/>
      <w:r w:rsidRPr="003A340C">
        <w:rPr>
          <w:iCs/>
          <w:sz w:val="24"/>
          <w:szCs w:val="24"/>
        </w:rPr>
        <w:t xml:space="preserve"> under 10 ml/min.) forsinkes eliminationen af paracetamol og dets metabolitter.</w:t>
      </w:r>
    </w:p>
    <w:p w14:paraId="74CBF327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</w:rPr>
      </w:pPr>
    </w:p>
    <w:p w14:paraId="4F3C1BC6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A340C">
        <w:rPr>
          <w:iCs/>
          <w:sz w:val="24"/>
          <w:szCs w:val="24"/>
          <w:u w:val="single"/>
        </w:rPr>
        <w:t>Ældre</w:t>
      </w:r>
    </w:p>
    <w:p w14:paraId="50025777" w14:textId="77777777" w:rsidR="00D15F08" w:rsidRPr="003A340C" w:rsidRDefault="00D15F08" w:rsidP="00D15F08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3A340C">
        <w:rPr>
          <w:iCs/>
          <w:sz w:val="24"/>
          <w:szCs w:val="24"/>
        </w:rPr>
        <w:t>Konjugeringen</w:t>
      </w:r>
      <w:proofErr w:type="spellEnd"/>
      <w:r w:rsidRPr="003A340C">
        <w:rPr>
          <w:iCs/>
          <w:sz w:val="24"/>
          <w:szCs w:val="24"/>
        </w:rPr>
        <w:t xml:space="preserve"> er uændret hos denne patientgruppe.</w:t>
      </w:r>
    </w:p>
    <w:p w14:paraId="3B069981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3BD042" w14:textId="5DD36220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5.3</w:t>
      </w:r>
      <w:r w:rsidRPr="003A340C">
        <w:rPr>
          <w:b/>
          <w:sz w:val="24"/>
          <w:szCs w:val="24"/>
        </w:rPr>
        <w:tab/>
      </w:r>
      <w:r w:rsidR="00130F73">
        <w:rPr>
          <w:b/>
          <w:sz w:val="24"/>
          <w:szCs w:val="24"/>
        </w:rPr>
        <w:t>Non-</w:t>
      </w:r>
      <w:r w:rsidRPr="003A340C">
        <w:rPr>
          <w:b/>
          <w:sz w:val="24"/>
          <w:szCs w:val="24"/>
        </w:rPr>
        <w:t>kliniske sikkerhedsdata</w:t>
      </w:r>
    </w:p>
    <w:p w14:paraId="1B95897D" w14:textId="77777777" w:rsidR="00D15F08" w:rsidRPr="003A340C" w:rsidRDefault="00D15F08" w:rsidP="0083526D">
      <w:pPr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Ikke-kliniske data viser ingen særlig risiko for mennesker, baseret på sædvanlige undersøgelser af sikkerhedsfarmakologi, toksicitet ved gentagen dosering, genotoksicitet og cancerogent potentiale.</w:t>
      </w:r>
    </w:p>
    <w:p w14:paraId="52C836BB" w14:textId="79CD62A3" w:rsidR="00D15F08" w:rsidRPr="003A340C" w:rsidRDefault="00D15F08" w:rsidP="0083526D">
      <w:pPr>
        <w:ind w:left="851"/>
        <w:rPr>
          <w:sz w:val="24"/>
          <w:szCs w:val="24"/>
        </w:rPr>
      </w:pPr>
    </w:p>
    <w:p w14:paraId="65E89838" w14:textId="574E0624" w:rsidR="00D15F08" w:rsidRPr="003A340C" w:rsidRDefault="00D15F08" w:rsidP="0083526D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>Der foreligger ikke konventionelle undersøgelser med anvendelse af de nuværende accepterede standarder for vurdering af toksicitet for reproduktion og udvikling.</w:t>
      </w:r>
    </w:p>
    <w:p w14:paraId="519CD1D3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2A5D07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3F930F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6.</w:t>
      </w:r>
      <w:r w:rsidRPr="003A340C">
        <w:rPr>
          <w:b/>
          <w:sz w:val="24"/>
          <w:szCs w:val="24"/>
        </w:rPr>
        <w:tab/>
        <w:t>FARMACEUTISKE OPLYSNINGER</w:t>
      </w:r>
    </w:p>
    <w:p w14:paraId="0DF98529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764026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6.1</w:t>
      </w:r>
      <w:r w:rsidRPr="003A340C">
        <w:rPr>
          <w:b/>
          <w:sz w:val="24"/>
          <w:szCs w:val="24"/>
        </w:rPr>
        <w:tab/>
        <w:t>Hjælpestoffer</w:t>
      </w:r>
    </w:p>
    <w:p w14:paraId="02E038B4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3A340C">
        <w:rPr>
          <w:sz w:val="24"/>
          <w:szCs w:val="24"/>
        </w:rPr>
        <w:t>Mannitol</w:t>
      </w:r>
      <w:proofErr w:type="spellEnd"/>
      <w:r w:rsidRPr="003A340C">
        <w:rPr>
          <w:sz w:val="24"/>
          <w:szCs w:val="24"/>
        </w:rPr>
        <w:t xml:space="preserve"> (E421)</w:t>
      </w:r>
    </w:p>
    <w:p w14:paraId="6EEBF44E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Xylitol</w:t>
      </w:r>
      <w:proofErr w:type="spellEnd"/>
      <w:r w:rsidRPr="003A340C">
        <w:rPr>
          <w:sz w:val="24"/>
          <w:szCs w:val="24"/>
        </w:rPr>
        <w:t xml:space="preserve"> (E967)</w:t>
      </w:r>
    </w:p>
    <w:p w14:paraId="6D0846E7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Solbæraroma (</w:t>
      </w:r>
      <w:proofErr w:type="spellStart"/>
      <w:r w:rsidRPr="003A340C">
        <w:rPr>
          <w:sz w:val="24"/>
          <w:szCs w:val="24"/>
        </w:rPr>
        <w:t>maltodextrin</w:t>
      </w:r>
      <w:proofErr w:type="spellEnd"/>
      <w:r w:rsidRPr="003A340C">
        <w:rPr>
          <w:sz w:val="24"/>
          <w:szCs w:val="24"/>
        </w:rPr>
        <w:t xml:space="preserve">, </w:t>
      </w:r>
      <w:proofErr w:type="spellStart"/>
      <w:r w:rsidRPr="003A340C">
        <w:rPr>
          <w:sz w:val="24"/>
          <w:szCs w:val="24"/>
        </w:rPr>
        <w:t>dextrose</w:t>
      </w:r>
      <w:proofErr w:type="spellEnd"/>
      <w:r w:rsidRPr="003A340C">
        <w:rPr>
          <w:sz w:val="24"/>
          <w:szCs w:val="24"/>
        </w:rPr>
        <w:t xml:space="preserve">, </w:t>
      </w:r>
      <w:proofErr w:type="spellStart"/>
      <w:r w:rsidRPr="003A340C">
        <w:rPr>
          <w:sz w:val="24"/>
          <w:szCs w:val="24"/>
        </w:rPr>
        <w:t>triacetin</w:t>
      </w:r>
      <w:proofErr w:type="spellEnd"/>
      <w:r w:rsidRPr="003A340C">
        <w:rPr>
          <w:sz w:val="24"/>
          <w:szCs w:val="24"/>
        </w:rPr>
        <w:t xml:space="preserve"> E-1518, akaciegummi E-414, </w:t>
      </w:r>
      <w:proofErr w:type="spellStart"/>
      <w:r w:rsidRPr="003A340C">
        <w:rPr>
          <w:sz w:val="24"/>
          <w:szCs w:val="24"/>
        </w:rPr>
        <w:t>natriumdiacetat</w:t>
      </w:r>
      <w:proofErr w:type="spellEnd"/>
      <w:r w:rsidRPr="003A340C">
        <w:rPr>
          <w:sz w:val="24"/>
          <w:szCs w:val="24"/>
        </w:rPr>
        <w:t xml:space="preserve"> E-262)</w:t>
      </w:r>
    </w:p>
    <w:p w14:paraId="7194F258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A340C">
        <w:rPr>
          <w:sz w:val="24"/>
          <w:szCs w:val="24"/>
        </w:rPr>
        <w:t>Steviolglycosid</w:t>
      </w:r>
      <w:proofErr w:type="spellEnd"/>
    </w:p>
    <w:p w14:paraId="7A21FF7E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Rødbedepulver (rødbedejuicekoncentrat, </w:t>
      </w:r>
      <w:proofErr w:type="spellStart"/>
      <w:r w:rsidRPr="003A340C">
        <w:rPr>
          <w:sz w:val="24"/>
          <w:szCs w:val="24"/>
        </w:rPr>
        <w:t>maltodextrin</w:t>
      </w:r>
      <w:proofErr w:type="spellEnd"/>
      <w:r w:rsidRPr="003A340C">
        <w:rPr>
          <w:sz w:val="24"/>
          <w:szCs w:val="24"/>
        </w:rPr>
        <w:t>, citronsyre E-330)</w:t>
      </w:r>
    </w:p>
    <w:p w14:paraId="055389C6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lang w:val="en-GB"/>
        </w:rPr>
      </w:pPr>
      <w:proofErr w:type="spellStart"/>
      <w:r w:rsidRPr="003A340C">
        <w:rPr>
          <w:sz w:val="24"/>
          <w:szCs w:val="24"/>
          <w:lang w:val="en-GB"/>
        </w:rPr>
        <w:t>Mentholaroma</w:t>
      </w:r>
      <w:proofErr w:type="spellEnd"/>
      <w:r w:rsidRPr="003A340C">
        <w:rPr>
          <w:sz w:val="24"/>
          <w:szCs w:val="24"/>
          <w:lang w:val="en-GB"/>
        </w:rPr>
        <w:t xml:space="preserve"> (maltodextrin, dextrose, </w:t>
      </w:r>
      <w:proofErr w:type="spellStart"/>
      <w:r w:rsidRPr="003A340C">
        <w:rPr>
          <w:sz w:val="24"/>
          <w:szCs w:val="24"/>
          <w:lang w:val="en-GB"/>
        </w:rPr>
        <w:t>siliciumdioxid</w:t>
      </w:r>
      <w:proofErr w:type="spellEnd"/>
      <w:r w:rsidRPr="003A340C">
        <w:rPr>
          <w:sz w:val="24"/>
          <w:szCs w:val="24"/>
          <w:lang w:val="en-GB"/>
        </w:rPr>
        <w:t xml:space="preserve"> E-551, </w:t>
      </w:r>
      <w:proofErr w:type="spellStart"/>
      <w:r w:rsidRPr="003A340C">
        <w:rPr>
          <w:sz w:val="24"/>
          <w:szCs w:val="24"/>
          <w:lang w:val="en-GB"/>
        </w:rPr>
        <w:t>akaciegummi</w:t>
      </w:r>
      <w:proofErr w:type="spellEnd"/>
      <w:r w:rsidRPr="003A340C">
        <w:rPr>
          <w:sz w:val="24"/>
          <w:szCs w:val="24"/>
          <w:lang w:val="en-GB"/>
        </w:rPr>
        <w:t xml:space="preserve"> E-414, </w:t>
      </w:r>
      <w:proofErr w:type="spellStart"/>
      <w:r w:rsidRPr="003A340C">
        <w:rPr>
          <w:sz w:val="24"/>
          <w:szCs w:val="24"/>
          <w:lang w:val="en-GB"/>
        </w:rPr>
        <w:t>pulegon</w:t>
      </w:r>
      <w:proofErr w:type="spellEnd"/>
      <w:r w:rsidRPr="003A340C">
        <w:rPr>
          <w:sz w:val="24"/>
          <w:szCs w:val="24"/>
          <w:lang w:val="en-GB"/>
        </w:rPr>
        <w:t>)</w:t>
      </w:r>
    </w:p>
    <w:p w14:paraId="13A4EA3A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38BA8019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6.2</w:t>
      </w:r>
      <w:r w:rsidRPr="003A340C">
        <w:rPr>
          <w:b/>
          <w:sz w:val="24"/>
          <w:szCs w:val="24"/>
        </w:rPr>
        <w:tab/>
        <w:t>Uforligeligheder</w:t>
      </w:r>
    </w:p>
    <w:p w14:paraId="33C3FB86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Ikke relevant.</w:t>
      </w:r>
    </w:p>
    <w:p w14:paraId="20237984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F9717B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6.3</w:t>
      </w:r>
      <w:r w:rsidRPr="003A340C">
        <w:rPr>
          <w:b/>
          <w:sz w:val="24"/>
          <w:szCs w:val="24"/>
        </w:rPr>
        <w:tab/>
        <w:t>Opbevaringstid</w:t>
      </w:r>
    </w:p>
    <w:p w14:paraId="527C6C55" w14:textId="674E87E4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3 år.</w:t>
      </w:r>
    </w:p>
    <w:p w14:paraId="749AD3B5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B8C0A9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6.4</w:t>
      </w:r>
      <w:r w:rsidRPr="003A340C">
        <w:rPr>
          <w:b/>
          <w:sz w:val="24"/>
          <w:szCs w:val="24"/>
        </w:rPr>
        <w:tab/>
        <w:t>Særlige opbevaringsforhold</w:t>
      </w:r>
    </w:p>
    <w:p w14:paraId="10EC8425" w14:textId="77777777" w:rsidR="00D15F08" w:rsidRPr="003A340C" w:rsidRDefault="00D15F08" w:rsidP="00D15F08">
      <w:pPr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Opbevares ved temperaturer under 30 ℃.</w:t>
      </w:r>
    </w:p>
    <w:p w14:paraId="5C96311E" w14:textId="77777777" w:rsidR="00D15F08" w:rsidRPr="003A340C" w:rsidRDefault="00D15F08" w:rsidP="00D15F08">
      <w:pPr>
        <w:ind w:left="851"/>
        <w:rPr>
          <w:sz w:val="24"/>
          <w:szCs w:val="24"/>
        </w:rPr>
      </w:pPr>
    </w:p>
    <w:p w14:paraId="5E7EC55E" w14:textId="66C7D05E" w:rsidR="00354777" w:rsidRDefault="00D15F08" w:rsidP="00130F73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Opbevares i brev i den originale yderpakning for at beskytte mod lys.</w:t>
      </w:r>
    </w:p>
    <w:p w14:paraId="177532C2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667F1D" w14:textId="1A918DC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6.5</w:t>
      </w:r>
      <w:r w:rsidRPr="003A340C">
        <w:rPr>
          <w:b/>
          <w:sz w:val="24"/>
          <w:szCs w:val="24"/>
        </w:rPr>
        <w:tab/>
        <w:t>Emballagetype og pakningsstørrelser</w:t>
      </w:r>
    </w:p>
    <w:p w14:paraId="786950B3" w14:textId="77777777" w:rsidR="00D15F08" w:rsidRPr="003A340C" w:rsidRDefault="00D15F08" w:rsidP="00D15F08">
      <w:pPr>
        <w:ind w:left="851"/>
        <w:rPr>
          <w:sz w:val="24"/>
          <w:szCs w:val="24"/>
          <w:highlight w:val="yellow"/>
          <w:lang w:eastAsia="da-DK"/>
        </w:rPr>
      </w:pPr>
      <w:r w:rsidRPr="003A340C">
        <w:rPr>
          <w:sz w:val="24"/>
          <w:szCs w:val="24"/>
        </w:rPr>
        <w:t xml:space="preserve">Brev af aluminiumlaminat i karton. Aluminiumlaminatet består af lag af </w:t>
      </w:r>
      <w:proofErr w:type="spellStart"/>
      <w:r w:rsidRPr="003A340C">
        <w:rPr>
          <w:sz w:val="24"/>
          <w:szCs w:val="24"/>
        </w:rPr>
        <w:t>coated</w:t>
      </w:r>
      <w:proofErr w:type="spellEnd"/>
      <w:r w:rsidRPr="003A340C">
        <w:rPr>
          <w:sz w:val="24"/>
          <w:szCs w:val="24"/>
        </w:rPr>
        <w:t xml:space="preserve"> papir, </w:t>
      </w:r>
      <w:proofErr w:type="spellStart"/>
      <w:r w:rsidRPr="003A340C">
        <w:rPr>
          <w:sz w:val="24"/>
          <w:szCs w:val="24"/>
        </w:rPr>
        <w:t>polyethylen</w:t>
      </w:r>
      <w:proofErr w:type="spellEnd"/>
      <w:r w:rsidRPr="003A340C">
        <w:rPr>
          <w:sz w:val="24"/>
          <w:szCs w:val="24"/>
        </w:rPr>
        <w:t xml:space="preserve">, aluminiumfolie og </w:t>
      </w:r>
      <w:proofErr w:type="spellStart"/>
      <w:r w:rsidRPr="003A340C">
        <w:rPr>
          <w:sz w:val="24"/>
          <w:szCs w:val="24"/>
        </w:rPr>
        <w:t>ionomer</w:t>
      </w:r>
      <w:proofErr w:type="spellEnd"/>
      <w:r w:rsidRPr="003A340C">
        <w:rPr>
          <w:sz w:val="24"/>
          <w:szCs w:val="24"/>
        </w:rPr>
        <w:t xml:space="preserve"> harpiks.</w:t>
      </w:r>
    </w:p>
    <w:p w14:paraId="7B49CF25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  <w:highlight w:val="yellow"/>
        </w:rPr>
      </w:pPr>
    </w:p>
    <w:p w14:paraId="599CC2D7" w14:textId="77777777" w:rsidR="00D15F08" w:rsidRPr="003A340C" w:rsidRDefault="00D15F08" w:rsidP="00D15F08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Pakningsstørrelser: 5, 6, 10, 12, 20, 24 og 30 breve.</w:t>
      </w:r>
    </w:p>
    <w:p w14:paraId="6DEB8A72" w14:textId="77777777" w:rsidR="00D15F08" w:rsidRPr="003A340C" w:rsidRDefault="00D15F08" w:rsidP="00D15F08">
      <w:pPr>
        <w:ind w:firstLine="851"/>
        <w:rPr>
          <w:sz w:val="24"/>
          <w:szCs w:val="24"/>
        </w:rPr>
      </w:pPr>
      <w:r w:rsidRPr="003A340C">
        <w:rPr>
          <w:sz w:val="24"/>
          <w:szCs w:val="24"/>
        </w:rPr>
        <w:t>Ikke alle pakningsstørrelser er nødvendigvis markedsført.</w:t>
      </w:r>
    </w:p>
    <w:p w14:paraId="7C6D4540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06937A" w14:textId="4FDCA9B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6.6</w:t>
      </w:r>
      <w:r w:rsidRPr="003A340C">
        <w:rPr>
          <w:b/>
          <w:sz w:val="24"/>
          <w:szCs w:val="24"/>
        </w:rPr>
        <w:tab/>
        <w:t xml:space="preserve">Regler for </w:t>
      </w:r>
      <w:r w:rsidR="00130F73">
        <w:rPr>
          <w:b/>
          <w:sz w:val="24"/>
          <w:szCs w:val="24"/>
        </w:rPr>
        <w:t>bortskaffelse</w:t>
      </w:r>
      <w:r w:rsidRPr="003A340C">
        <w:rPr>
          <w:b/>
          <w:sz w:val="24"/>
          <w:szCs w:val="24"/>
        </w:rPr>
        <w:t xml:space="preserve"> og anden håndtering</w:t>
      </w:r>
    </w:p>
    <w:p w14:paraId="41677CA7" w14:textId="77777777" w:rsidR="00D15F08" w:rsidRPr="003A340C" w:rsidRDefault="00D15F08" w:rsidP="0083526D">
      <w:pPr>
        <w:ind w:left="851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Ingen særlige krav.</w:t>
      </w:r>
    </w:p>
    <w:p w14:paraId="3A25EBC2" w14:textId="77777777" w:rsidR="00D15F08" w:rsidRPr="003A340C" w:rsidRDefault="00D15F08" w:rsidP="0083526D">
      <w:pPr>
        <w:ind w:left="851"/>
        <w:rPr>
          <w:sz w:val="24"/>
          <w:szCs w:val="24"/>
        </w:rPr>
      </w:pPr>
      <w:r w:rsidRPr="003A340C">
        <w:rPr>
          <w:sz w:val="24"/>
          <w:szCs w:val="24"/>
        </w:rPr>
        <w:t xml:space="preserve">Produktets udseende efter </w:t>
      </w:r>
      <w:proofErr w:type="spellStart"/>
      <w:r w:rsidRPr="003A340C">
        <w:rPr>
          <w:sz w:val="24"/>
          <w:szCs w:val="24"/>
        </w:rPr>
        <w:t>rekonstituering</w:t>
      </w:r>
      <w:proofErr w:type="spellEnd"/>
      <w:r w:rsidRPr="003A340C">
        <w:rPr>
          <w:sz w:val="24"/>
          <w:szCs w:val="24"/>
        </w:rPr>
        <w:t>: Rød opløsning.</w:t>
      </w:r>
    </w:p>
    <w:p w14:paraId="5BD24A31" w14:textId="33AB5CCF" w:rsidR="00D15F08" w:rsidRPr="003A340C" w:rsidRDefault="00D15F08" w:rsidP="0083526D">
      <w:pPr>
        <w:ind w:left="851"/>
        <w:rPr>
          <w:sz w:val="24"/>
          <w:szCs w:val="24"/>
        </w:rPr>
      </w:pPr>
    </w:p>
    <w:p w14:paraId="2D75160A" w14:textId="77777777" w:rsidR="00D15F08" w:rsidRPr="003A340C" w:rsidRDefault="00D15F08" w:rsidP="0083526D">
      <w:pPr>
        <w:tabs>
          <w:tab w:val="left" w:pos="851"/>
        </w:tabs>
        <w:ind w:left="851"/>
        <w:rPr>
          <w:sz w:val="24"/>
          <w:szCs w:val="24"/>
        </w:rPr>
      </w:pPr>
      <w:r w:rsidRPr="003A340C">
        <w:rPr>
          <w:sz w:val="24"/>
          <w:szCs w:val="24"/>
        </w:rPr>
        <w:t>Ikke anvendt lægemiddel samt affald heraf skal bortskaffes i henhold til lokale retningslinjer.</w:t>
      </w:r>
    </w:p>
    <w:p w14:paraId="19F78271" w14:textId="77777777" w:rsidR="009260DE" w:rsidRPr="003A340C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753D6FB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7.</w:t>
      </w:r>
      <w:r w:rsidRPr="003A340C">
        <w:rPr>
          <w:b/>
          <w:sz w:val="24"/>
          <w:szCs w:val="24"/>
        </w:rPr>
        <w:tab/>
        <w:t>INDEHAVER AF MARKEDSFØRINGSTILLADELSEN</w:t>
      </w:r>
    </w:p>
    <w:p w14:paraId="5E6608C8" w14:textId="77777777" w:rsidR="00E94F47" w:rsidRPr="00354777" w:rsidRDefault="00E94F47" w:rsidP="00E94F47">
      <w:pPr>
        <w:tabs>
          <w:tab w:val="left" w:pos="851"/>
        </w:tabs>
        <w:ind w:left="851"/>
        <w:jc w:val="both"/>
        <w:rPr>
          <w:sz w:val="24"/>
          <w:szCs w:val="24"/>
          <w:lang w:eastAsia="da-DK"/>
        </w:rPr>
      </w:pPr>
      <w:proofErr w:type="spellStart"/>
      <w:r w:rsidRPr="00354777">
        <w:rPr>
          <w:sz w:val="24"/>
          <w:szCs w:val="24"/>
        </w:rPr>
        <w:t>Vitabalans</w:t>
      </w:r>
      <w:proofErr w:type="spellEnd"/>
      <w:r w:rsidRPr="00354777">
        <w:rPr>
          <w:sz w:val="24"/>
          <w:szCs w:val="24"/>
        </w:rPr>
        <w:t xml:space="preserve"> </w:t>
      </w:r>
      <w:proofErr w:type="spellStart"/>
      <w:r w:rsidRPr="00354777">
        <w:rPr>
          <w:sz w:val="24"/>
          <w:szCs w:val="24"/>
        </w:rPr>
        <w:t>Oy</w:t>
      </w:r>
      <w:proofErr w:type="spellEnd"/>
    </w:p>
    <w:p w14:paraId="0B6BBD45" w14:textId="77777777" w:rsidR="00E94F47" w:rsidRPr="00354777" w:rsidRDefault="00E94F47" w:rsidP="00E94F47">
      <w:pPr>
        <w:tabs>
          <w:tab w:val="left" w:pos="851"/>
        </w:tabs>
        <w:ind w:left="851"/>
        <w:jc w:val="both"/>
        <w:rPr>
          <w:sz w:val="24"/>
          <w:szCs w:val="24"/>
        </w:rPr>
      </w:pPr>
      <w:proofErr w:type="spellStart"/>
      <w:r w:rsidRPr="00354777">
        <w:rPr>
          <w:sz w:val="24"/>
          <w:szCs w:val="24"/>
        </w:rPr>
        <w:t>Varastokatu</w:t>
      </w:r>
      <w:proofErr w:type="spellEnd"/>
      <w:r w:rsidRPr="00354777">
        <w:rPr>
          <w:sz w:val="24"/>
          <w:szCs w:val="24"/>
        </w:rPr>
        <w:t xml:space="preserve"> 8</w:t>
      </w:r>
    </w:p>
    <w:p w14:paraId="3F48C706" w14:textId="3E139192" w:rsidR="00E94F47" w:rsidRPr="00354777" w:rsidRDefault="00E94F47" w:rsidP="00E94F47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4777">
        <w:rPr>
          <w:sz w:val="24"/>
          <w:szCs w:val="24"/>
        </w:rPr>
        <w:t xml:space="preserve">13500 </w:t>
      </w:r>
      <w:proofErr w:type="spellStart"/>
      <w:r w:rsidRPr="00354777">
        <w:rPr>
          <w:sz w:val="24"/>
          <w:szCs w:val="24"/>
        </w:rPr>
        <w:t>Hämeenlinna</w:t>
      </w:r>
      <w:proofErr w:type="spellEnd"/>
    </w:p>
    <w:p w14:paraId="66080B8B" w14:textId="77777777" w:rsidR="00E94F47" w:rsidRPr="00354777" w:rsidRDefault="00E94F47" w:rsidP="00E94F47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4777">
        <w:rPr>
          <w:sz w:val="24"/>
          <w:szCs w:val="24"/>
        </w:rPr>
        <w:t>Finland</w:t>
      </w:r>
    </w:p>
    <w:p w14:paraId="0BDAC1F7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4FD34E" w14:textId="03362CAB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8.</w:t>
      </w:r>
      <w:r w:rsidRPr="003A340C">
        <w:rPr>
          <w:b/>
          <w:sz w:val="24"/>
          <w:szCs w:val="24"/>
        </w:rPr>
        <w:tab/>
        <w:t>MARKEDSFØRINGSTILLADELSESNUMMER (</w:t>
      </w:r>
      <w:r w:rsidR="00130F73">
        <w:rPr>
          <w:b/>
          <w:sz w:val="24"/>
          <w:szCs w:val="24"/>
        </w:rPr>
        <w:t>-</w:t>
      </w:r>
      <w:r w:rsidRPr="003A340C">
        <w:rPr>
          <w:b/>
          <w:sz w:val="24"/>
          <w:szCs w:val="24"/>
        </w:rPr>
        <w:t>NUMRE)</w:t>
      </w:r>
    </w:p>
    <w:p w14:paraId="10ED5A48" w14:textId="77777777" w:rsidR="00E94F47" w:rsidRPr="003A340C" w:rsidRDefault="00E94F47" w:rsidP="00E94F47">
      <w:pPr>
        <w:tabs>
          <w:tab w:val="left" w:pos="851"/>
        </w:tabs>
        <w:ind w:left="851"/>
        <w:jc w:val="both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66043</w:t>
      </w:r>
    </w:p>
    <w:p w14:paraId="276B54CD" w14:textId="77777777" w:rsidR="009260DE" w:rsidRPr="003A340C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BA10633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9.</w:t>
      </w:r>
      <w:r w:rsidRPr="003A340C">
        <w:rPr>
          <w:b/>
          <w:sz w:val="24"/>
          <w:szCs w:val="24"/>
        </w:rPr>
        <w:tab/>
        <w:t>DATO FOR FØRSTE MARKEDSFØRINGSTILLADELSE</w:t>
      </w:r>
    </w:p>
    <w:p w14:paraId="060A6DB3" w14:textId="63EE4F5F" w:rsidR="00E94F47" w:rsidRPr="003A340C" w:rsidRDefault="00E94F47" w:rsidP="00E94F47">
      <w:pPr>
        <w:ind w:left="851"/>
        <w:jc w:val="both"/>
        <w:rPr>
          <w:sz w:val="24"/>
          <w:szCs w:val="24"/>
          <w:lang w:eastAsia="da-DK"/>
        </w:rPr>
      </w:pPr>
      <w:r w:rsidRPr="003A340C">
        <w:rPr>
          <w:sz w:val="24"/>
          <w:szCs w:val="24"/>
        </w:rPr>
        <w:t>11. oktober 2007 (</w:t>
      </w:r>
      <w:proofErr w:type="spellStart"/>
      <w:r w:rsidRPr="003A340C">
        <w:rPr>
          <w:sz w:val="24"/>
          <w:szCs w:val="24"/>
        </w:rPr>
        <w:t>Arax</w:t>
      </w:r>
      <w:proofErr w:type="spellEnd"/>
      <w:r w:rsidRPr="003A340C">
        <w:rPr>
          <w:sz w:val="24"/>
          <w:szCs w:val="24"/>
        </w:rPr>
        <w:t xml:space="preserve"> tablets 500 mg)</w:t>
      </w:r>
    </w:p>
    <w:p w14:paraId="4D553331" w14:textId="77777777" w:rsidR="009260DE" w:rsidRPr="003A340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99CF91" w14:textId="77777777" w:rsidR="009260DE" w:rsidRPr="003A340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A340C">
        <w:rPr>
          <w:b/>
          <w:sz w:val="24"/>
          <w:szCs w:val="24"/>
        </w:rPr>
        <w:t>10.</w:t>
      </w:r>
      <w:r w:rsidRPr="003A340C">
        <w:rPr>
          <w:b/>
          <w:sz w:val="24"/>
          <w:szCs w:val="24"/>
        </w:rPr>
        <w:tab/>
        <w:t>DATO FOR ÆNDRING AF TEKSTEN</w:t>
      </w:r>
    </w:p>
    <w:p w14:paraId="1FBCD5AE" w14:textId="7F809738" w:rsidR="009260DE" w:rsidRPr="003A340C" w:rsidRDefault="00130F73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22. april 2025</w:t>
      </w:r>
    </w:p>
    <w:sectPr w:rsidR="009260DE" w:rsidRPr="003A340C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071A" w14:textId="77777777" w:rsidR="00F721D7" w:rsidRDefault="00F721D7">
      <w:r>
        <w:separator/>
      </w:r>
    </w:p>
  </w:endnote>
  <w:endnote w:type="continuationSeparator" w:id="0">
    <w:p w14:paraId="21276813" w14:textId="77777777" w:rsidR="00F721D7" w:rsidRDefault="00F7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50F1" w14:textId="77777777" w:rsidR="000259B9" w:rsidRDefault="000259B9">
    <w:pPr>
      <w:pStyle w:val="Sidefod"/>
      <w:pBdr>
        <w:bottom w:val="single" w:sz="6" w:space="1" w:color="auto"/>
      </w:pBdr>
    </w:pPr>
  </w:p>
  <w:p w14:paraId="5DC61660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13553F36" w14:textId="5AF16E29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330D6">
      <w:rPr>
        <w:i/>
        <w:noProof/>
        <w:sz w:val="18"/>
        <w:szCs w:val="18"/>
      </w:rPr>
      <w:t>Arax Hot, pulver til oral opløsning, breve 500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063CB" w14:textId="77777777" w:rsidR="00F721D7" w:rsidRDefault="00F721D7">
      <w:r>
        <w:separator/>
      </w:r>
    </w:p>
  </w:footnote>
  <w:footnote w:type="continuationSeparator" w:id="0">
    <w:p w14:paraId="4DA05025" w14:textId="77777777" w:rsidR="00F721D7" w:rsidRDefault="00F7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733302A"/>
    <w:multiLevelType w:val="hybridMultilevel"/>
    <w:tmpl w:val="DEB684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D7"/>
    <w:rsid w:val="00002D14"/>
    <w:rsid w:val="000259B9"/>
    <w:rsid w:val="00041491"/>
    <w:rsid w:val="00050D16"/>
    <w:rsid w:val="000730CA"/>
    <w:rsid w:val="00074F2A"/>
    <w:rsid w:val="000A1CA8"/>
    <w:rsid w:val="000A466B"/>
    <w:rsid w:val="000B058C"/>
    <w:rsid w:val="000E4EE6"/>
    <w:rsid w:val="00130F73"/>
    <w:rsid w:val="001454E2"/>
    <w:rsid w:val="00206CE8"/>
    <w:rsid w:val="0021526C"/>
    <w:rsid w:val="00283A2B"/>
    <w:rsid w:val="002B30AD"/>
    <w:rsid w:val="002C2C01"/>
    <w:rsid w:val="00354777"/>
    <w:rsid w:val="00384893"/>
    <w:rsid w:val="003A29AE"/>
    <w:rsid w:val="003A32D7"/>
    <w:rsid w:val="003A340C"/>
    <w:rsid w:val="003B4074"/>
    <w:rsid w:val="003C769A"/>
    <w:rsid w:val="003F1838"/>
    <w:rsid w:val="0045746C"/>
    <w:rsid w:val="0049104B"/>
    <w:rsid w:val="004E3B12"/>
    <w:rsid w:val="00532310"/>
    <w:rsid w:val="00565F0F"/>
    <w:rsid w:val="00594A86"/>
    <w:rsid w:val="00596D86"/>
    <w:rsid w:val="00637F5A"/>
    <w:rsid w:val="006560B1"/>
    <w:rsid w:val="006756DD"/>
    <w:rsid w:val="006E192F"/>
    <w:rsid w:val="00737275"/>
    <w:rsid w:val="00740EEC"/>
    <w:rsid w:val="0078011A"/>
    <w:rsid w:val="00782AF4"/>
    <w:rsid w:val="00790EE7"/>
    <w:rsid w:val="007B6649"/>
    <w:rsid w:val="0082576E"/>
    <w:rsid w:val="0083526D"/>
    <w:rsid w:val="00907F75"/>
    <w:rsid w:val="009260DE"/>
    <w:rsid w:val="0093258A"/>
    <w:rsid w:val="009330D6"/>
    <w:rsid w:val="009C7BA3"/>
    <w:rsid w:val="009D1F5A"/>
    <w:rsid w:val="00A10294"/>
    <w:rsid w:val="00B003BF"/>
    <w:rsid w:val="00B373D7"/>
    <w:rsid w:val="00C36276"/>
    <w:rsid w:val="00C42586"/>
    <w:rsid w:val="00C60CCD"/>
    <w:rsid w:val="00C84483"/>
    <w:rsid w:val="00C945AB"/>
    <w:rsid w:val="00C95551"/>
    <w:rsid w:val="00CB20D7"/>
    <w:rsid w:val="00D020B0"/>
    <w:rsid w:val="00D11748"/>
    <w:rsid w:val="00D15F08"/>
    <w:rsid w:val="00D366CF"/>
    <w:rsid w:val="00DB694E"/>
    <w:rsid w:val="00E108AA"/>
    <w:rsid w:val="00E3749A"/>
    <w:rsid w:val="00E7437F"/>
    <w:rsid w:val="00E865B8"/>
    <w:rsid w:val="00E94F47"/>
    <w:rsid w:val="00EC0B9B"/>
    <w:rsid w:val="00ED5E9F"/>
    <w:rsid w:val="00F66D4F"/>
    <w:rsid w:val="00F721D7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B593E"/>
  <w15:chartTrackingRefBased/>
  <w15:docId w15:val="{99EC5834-0A63-434C-93E7-BDB544D0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F73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D15F08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D15F08"/>
    <w:pPr>
      <w:spacing w:before="100" w:beforeAutospacing="1" w:after="100" w:afterAutospacing="1"/>
    </w:pPr>
    <w:rPr>
      <w:sz w:val="24"/>
      <w:szCs w:val="24"/>
    </w:rPr>
  </w:style>
  <w:style w:type="table" w:styleId="Tabel-Gitter">
    <w:name w:val="Table Grid"/>
    <w:basedOn w:val="Tabel-Normal"/>
    <w:uiPriority w:val="39"/>
    <w:rsid w:val="00D15F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2024121443_x000d_
SPc opdat. pkt. 4.4, 4.8 + QRD overskrifter</dc:description>
  <cp:lastModifiedBy>Marianne Ott Jensen</cp:lastModifiedBy>
  <cp:revision>3</cp:revision>
  <cp:lastPrinted>2012-08-22T08:53:00Z</cp:lastPrinted>
  <dcterms:created xsi:type="dcterms:W3CDTF">2025-04-08T12:03:00Z</dcterms:created>
  <dcterms:modified xsi:type="dcterms:W3CDTF">2025-04-08T12:08:00Z</dcterms:modified>
</cp:coreProperties>
</file>