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D9ADD" w14:textId="77777777" w:rsidR="006F253B" w:rsidRPr="00B968ED" w:rsidRDefault="006F253B" w:rsidP="006F253B">
      <w:pPr>
        <w:rPr>
          <w:sz w:val="24"/>
          <w:szCs w:val="24"/>
        </w:rPr>
      </w:pPr>
      <w:bookmarkStart w:id="0" w:name="_GoBack"/>
      <w:bookmarkEnd w:id="0"/>
      <w:r>
        <w:rPr>
          <w:b/>
          <w:noProof/>
          <w:lang w:eastAsia="da-DK"/>
        </w:rPr>
        <w:drawing>
          <wp:inline distT="0" distB="0" distL="0" distR="0" wp14:anchorId="294E5B6F" wp14:editId="3E167762">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5C7AD6F1" w14:textId="77777777" w:rsidR="006F253B" w:rsidRDefault="006F253B" w:rsidP="006F253B">
      <w:pPr>
        <w:pStyle w:val="Titel"/>
        <w:tabs>
          <w:tab w:val="right" w:pos="9356"/>
        </w:tabs>
        <w:jc w:val="left"/>
        <w:rPr>
          <w:b w:val="0"/>
          <w:szCs w:val="24"/>
          <w:lang w:eastAsia="en-US"/>
        </w:rPr>
      </w:pPr>
    </w:p>
    <w:p w14:paraId="6F94C067" w14:textId="77777777" w:rsidR="006F253B" w:rsidRPr="00B968ED" w:rsidRDefault="006F253B" w:rsidP="006F253B">
      <w:pPr>
        <w:pStyle w:val="Titel"/>
        <w:tabs>
          <w:tab w:val="right" w:pos="9356"/>
        </w:tabs>
        <w:jc w:val="left"/>
        <w:rPr>
          <w:b w:val="0"/>
          <w:szCs w:val="24"/>
        </w:rPr>
      </w:pPr>
      <w:r w:rsidRPr="00B968ED">
        <w:rPr>
          <w:b w:val="0"/>
          <w:szCs w:val="24"/>
          <w:lang w:eastAsia="en-US"/>
        </w:rPr>
        <w:tab/>
      </w:r>
      <w:r w:rsidR="00685C46">
        <w:rPr>
          <w:szCs w:val="24"/>
        </w:rPr>
        <w:t>13</w:t>
      </w:r>
      <w:r w:rsidR="00D33DEE">
        <w:rPr>
          <w:szCs w:val="24"/>
        </w:rPr>
        <w:t xml:space="preserve">. </w:t>
      </w:r>
      <w:r w:rsidR="00685C46">
        <w:rPr>
          <w:szCs w:val="24"/>
        </w:rPr>
        <w:t>novem</w:t>
      </w:r>
      <w:r w:rsidR="00D33DEE">
        <w:rPr>
          <w:szCs w:val="24"/>
        </w:rPr>
        <w:t>ber 202</w:t>
      </w:r>
      <w:r w:rsidR="00685C46">
        <w:rPr>
          <w:szCs w:val="24"/>
        </w:rPr>
        <w:t>3</w:t>
      </w:r>
    </w:p>
    <w:p w14:paraId="38A61BFD" w14:textId="77777777" w:rsidR="006F253B" w:rsidRPr="00B968ED" w:rsidRDefault="006F253B" w:rsidP="006F253B">
      <w:pPr>
        <w:rPr>
          <w:b/>
          <w:sz w:val="24"/>
          <w:szCs w:val="24"/>
        </w:rPr>
      </w:pPr>
    </w:p>
    <w:p w14:paraId="578C9A64" w14:textId="77777777" w:rsidR="006F253B" w:rsidRPr="00B968ED" w:rsidRDefault="006F253B" w:rsidP="006F253B">
      <w:pPr>
        <w:jc w:val="center"/>
        <w:rPr>
          <w:b/>
          <w:sz w:val="24"/>
          <w:szCs w:val="24"/>
        </w:rPr>
      </w:pPr>
      <w:r w:rsidRPr="00B968ED">
        <w:rPr>
          <w:b/>
          <w:sz w:val="24"/>
          <w:szCs w:val="24"/>
        </w:rPr>
        <w:t>for</w:t>
      </w:r>
    </w:p>
    <w:p w14:paraId="480BD43B" w14:textId="77777777" w:rsidR="006F253B" w:rsidRPr="00B968ED" w:rsidRDefault="006F253B" w:rsidP="006F253B">
      <w:pPr>
        <w:tabs>
          <w:tab w:val="left" w:pos="828"/>
        </w:tabs>
        <w:rPr>
          <w:b/>
          <w:sz w:val="24"/>
          <w:szCs w:val="24"/>
        </w:rPr>
      </w:pPr>
    </w:p>
    <w:p w14:paraId="08D9B67A" w14:textId="77777777" w:rsidR="006F253B" w:rsidRPr="00B968ED" w:rsidRDefault="006F253B" w:rsidP="006F253B">
      <w:pPr>
        <w:jc w:val="center"/>
        <w:rPr>
          <w:b/>
          <w:sz w:val="24"/>
          <w:szCs w:val="24"/>
        </w:rPr>
      </w:pPr>
      <w:proofErr w:type="spellStart"/>
      <w:r w:rsidRPr="00B968ED">
        <w:rPr>
          <w:b/>
          <w:sz w:val="24"/>
          <w:szCs w:val="24"/>
        </w:rPr>
        <w:t>Aripiprazole</w:t>
      </w:r>
      <w:proofErr w:type="spellEnd"/>
      <w:r w:rsidRPr="00B968ED">
        <w:rPr>
          <w:b/>
          <w:sz w:val="24"/>
          <w:szCs w:val="24"/>
        </w:rPr>
        <w:t xml:space="preserve"> "</w:t>
      </w:r>
      <w:proofErr w:type="spellStart"/>
      <w:r w:rsidRPr="00B968ED">
        <w:rPr>
          <w:b/>
          <w:sz w:val="24"/>
          <w:szCs w:val="24"/>
        </w:rPr>
        <w:t>Teva</w:t>
      </w:r>
      <w:proofErr w:type="spellEnd"/>
      <w:r w:rsidRPr="00B968ED">
        <w:rPr>
          <w:b/>
          <w:sz w:val="24"/>
          <w:szCs w:val="24"/>
        </w:rPr>
        <w:t>", tabletter</w:t>
      </w:r>
    </w:p>
    <w:p w14:paraId="233A0E09" w14:textId="77777777" w:rsidR="006F253B" w:rsidRPr="00B968ED" w:rsidRDefault="006F253B" w:rsidP="006F253B">
      <w:pPr>
        <w:jc w:val="both"/>
        <w:rPr>
          <w:sz w:val="24"/>
          <w:szCs w:val="24"/>
        </w:rPr>
      </w:pPr>
    </w:p>
    <w:p w14:paraId="05392D17" w14:textId="77777777" w:rsidR="006F253B" w:rsidRPr="00B968ED" w:rsidRDefault="006F253B" w:rsidP="006F253B">
      <w:pPr>
        <w:jc w:val="both"/>
        <w:rPr>
          <w:sz w:val="24"/>
          <w:szCs w:val="24"/>
        </w:rPr>
      </w:pPr>
    </w:p>
    <w:p w14:paraId="7D837935" w14:textId="77777777" w:rsidR="006F253B" w:rsidRPr="00B968ED" w:rsidRDefault="006F253B" w:rsidP="006F253B">
      <w:pPr>
        <w:tabs>
          <w:tab w:val="left" w:pos="851"/>
        </w:tabs>
        <w:ind w:left="851" w:hanging="851"/>
        <w:rPr>
          <w:b/>
          <w:sz w:val="24"/>
          <w:szCs w:val="24"/>
        </w:rPr>
      </w:pPr>
      <w:r w:rsidRPr="00B968ED">
        <w:rPr>
          <w:b/>
          <w:sz w:val="24"/>
          <w:szCs w:val="24"/>
        </w:rPr>
        <w:t>0.</w:t>
      </w:r>
      <w:r w:rsidRPr="00B968ED">
        <w:rPr>
          <w:b/>
          <w:sz w:val="24"/>
          <w:szCs w:val="24"/>
        </w:rPr>
        <w:tab/>
        <w:t>D.SP.NR.</w:t>
      </w:r>
    </w:p>
    <w:p w14:paraId="37CDECC0" w14:textId="77777777" w:rsidR="006F253B" w:rsidRPr="00B968ED" w:rsidRDefault="006F253B" w:rsidP="006F253B">
      <w:pPr>
        <w:tabs>
          <w:tab w:val="left" w:pos="851"/>
        </w:tabs>
        <w:rPr>
          <w:sz w:val="24"/>
          <w:szCs w:val="24"/>
        </w:rPr>
      </w:pPr>
      <w:r w:rsidRPr="00B968ED">
        <w:rPr>
          <w:sz w:val="24"/>
          <w:szCs w:val="24"/>
        </w:rPr>
        <w:tab/>
        <w:t>29326</w:t>
      </w:r>
    </w:p>
    <w:p w14:paraId="72005D62" w14:textId="77777777" w:rsidR="006F253B" w:rsidRPr="00B968ED" w:rsidRDefault="006F253B" w:rsidP="006F253B">
      <w:pPr>
        <w:tabs>
          <w:tab w:val="left" w:pos="851"/>
        </w:tabs>
        <w:rPr>
          <w:sz w:val="24"/>
          <w:szCs w:val="24"/>
        </w:rPr>
      </w:pPr>
    </w:p>
    <w:p w14:paraId="130B7E6D" w14:textId="77777777" w:rsidR="006F253B" w:rsidRPr="00B968ED" w:rsidRDefault="006F253B" w:rsidP="006F253B">
      <w:pPr>
        <w:tabs>
          <w:tab w:val="left" w:pos="851"/>
        </w:tabs>
        <w:ind w:left="851" w:hanging="851"/>
        <w:rPr>
          <w:b/>
          <w:sz w:val="24"/>
          <w:szCs w:val="24"/>
        </w:rPr>
      </w:pPr>
      <w:r w:rsidRPr="00B968ED">
        <w:rPr>
          <w:b/>
          <w:sz w:val="24"/>
          <w:szCs w:val="24"/>
        </w:rPr>
        <w:t>1.</w:t>
      </w:r>
      <w:r w:rsidRPr="00B968ED">
        <w:rPr>
          <w:b/>
          <w:sz w:val="24"/>
          <w:szCs w:val="24"/>
        </w:rPr>
        <w:tab/>
        <w:t>LÆGEMIDLETS NAVN</w:t>
      </w:r>
    </w:p>
    <w:p w14:paraId="3AFDDEF5" w14:textId="77777777" w:rsidR="006F253B" w:rsidRPr="00B968ED" w:rsidRDefault="006F253B" w:rsidP="006F253B">
      <w:pPr>
        <w:tabs>
          <w:tab w:val="left" w:pos="851"/>
        </w:tabs>
        <w:rPr>
          <w:sz w:val="24"/>
          <w:szCs w:val="24"/>
        </w:rPr>
      </w:pPr>
      <w:r w:rsidRPr="00B968ED">
        <w:rPr>
          <w:sz w:val="24"/>
          <w:szCs w:val="24"/>
        </w:rPr>
        <w:tab/>
      </w:r>
      <w:proofErr w:type="spellStart"/>
      <w:r w:rsidRPr="00B968ED">
        <w:rPr>
          <w:sz w:val="24"/>
          <w:szCs w:val="24"/>
        </w:rPr>
        <w:t>Aripiprazole</w:t>
      </w:r>
      <w:proofErr w:type="spellEnd"/>
      <w:r w:rsidRPr="00B968ED">
        <w:rPr>
          <w:sz w:val="24"/>
          <w:szCs w:val="24"/>
        </w:rPr>
        <w:t xml:space="preserve"> "</w:t>
      </w:r>
      <w:proofErr w:type="spellStart"/>
      <w:r w:rsidRPr="00B968ED">
        <w:rPr>
          <w:sz w:val="24"/>
          <w:szCs w:val="24"/>
        </w:rPr>
        <w:t>Teva</w:t>
      </w:r>
      <w:proofErr w:type="spellEnd"/>
      <w:r w:rsidRPr="00B968ED">
        <w:rPr>
          <w:sz w:val="24"/>
          <w:szCs w:val="24"/>
        </w:rPr>
        <w:t>"</w:t>
      </w:r>
    </w:p>
    <w:p w14:paraId="385F4228" w14:textId="77777777" w:rsidR="006F253B" w:rsidRPr="00B968ED" w:rsidRDefault="006F253B" w:rsidP="006F253B">
      <w:pPr>
        <w:tabs>
          <w:tab w:val="left" w:pos="851"/>
        </w:tabs>
        <w:rPr>
          <w:sz w:val="24"/>
          <w:szCs w:val="24"/>
        </w:rPr>
      </w:pPr>
      <w:r w:rsidRPr="00B968ED">
        <w:rPr>
          <w:sz w:val="24"/>
          <w:szCs w:val="24"/>
        </w:rPr>
        <w:tab/>
      </w:r>
    </w:p>
    <w:p w14:paraId="3979DA9D" w14:textId="77777777" w:rsidR="006F253B" w:rsidRPr="00B968ED" w:rsidRDefault="006F253B" w:rsidP="006F253B">
      <w:pPr>
        <w:tabs>
          <w:tab w:val="left" w:pos="851"/>
        </w:tabs>
        <w:ind w:left="851" w:hanging="851"/>
        <w:rPr>
          <w:b/>
          <w:sz w:val="24"/>
          <w:szCs w:val="24"/>
        </w:rPr>
      </w:pPr>
      <w:r w:rsidRPr="00B968ED">
        <w:rPr>
          <w:b/>
          <w:sz w:val="24"/>
          <w:szCs w:val="24"/>
        </w:rPr>
        <w:t>2.</w:t>
      </w:r>
      <w:r w:rsidRPr="00B968ED">
        <w:rPr>
          <w:b/>
          <w:sz w:val="24"/>
          <w:szCs w:val="24"/>
        </w:rPr>
        <w:tab/>
        <w:t>KVALITATIV OG KVANTITATIV SAMMENSÆTNING</w:t>
      </w:r>
    </w:p>
    <w:p w14:paraId="12C489F6" w14:textId="77777777" w:rsidR="006F253B" w:rsidRPr="00B968ED" w:rsidRDefault="006F253B" w:rsidP="006F253B">
      <w:pPr>
        <w:tabs>
          <w:tab w:val="left" w:pos="851"/>
        </w:tabs>
        <w:ind w:left="851" w:hanging="851"/>
        <w:rPr>
          <w:sz w:val="24"/>
          <w:szCs w:val="24"/>
        </w:rPr>
      </w:pPr>
      <w:r w:rsidRPr="00B968ED">
        <w:rPr>
          <w:sz w:val="24"/>
          <w:szCs w:val="24"/>
        </w:rPr>
        <w:tab/>
        <w:t>En tablet indeholder 5 mg</w:t>
      </w:r>
      <w:r>
        <w:rPr>
          <w:sz w:val="24"/>
          <w:szCs w:val="24"/>
        </w:rPr>
        <w:t>, 10 mg, 15 mg eller 30 mg</w:t>
      </w:r>
      <w:r w:rsidRPr="00B968ED">
        <w:rPr>
          <w:sz w:val="24"/>
          <w:szCs w:val="24"/>
        </w:rPr>
        <w:t xml:space="preserve"> </w:t>
      </w:r>
      <w:proofErr w:type="spellStart"/>
      <w:r w:rsidRPr="00B968ED">
        <w:rPr>
          <w:sz w:val="24"/>
          <w:szCs w:val="24"/>
        </w:rPr>
        <w:t>aripiprazol</w:t>
      </w:r>
      <w:proofErr w:type="spellEnd"/>
      <w:r w:rsidRPr="00B968ED">
        <w:rPr>
          <w:sz w:val="24"/>
          <w:szCs w:val="24"/>
        </w:rPr>
        <w:t>.</w:t>
      </w:r>
    </w:p>
    <w:p w14:paraId="18ED5C70" w14:textId="77777777" w:rsidR="006F253B" w:rsidRPr="00B968ED" w:rsidRDefault="006F253B" w:rsidP="006F253B">
      <w:pPr>
        <w:tabs>
          <w:tab w:val="left" w:pos="851"/>
        </w:tabs>
        <w:ind w:left="851"/>
        <w:rPr>
          <w:sz w:val="24"/>
          <w:szCs w:val="24"/>
        </w:rPr>
      </w:pPr>
    </w:p>
    <w:p w14:paraId="650005C2" w14:textId="77777777" w:rsidR="006F253B" w:rsidRPr="00B968ED" w:rsidRDefault="006F253B" w:rsidP="006F253B">
      <w:pPr>
        <w:tabs>
          <w:tab w:val="left" w:pos="851"/>
        </w:tabs>
        <w:ind w:left="851" w:hanging="851"/>
        <w:rPr>
          <w:sz w:val="24"/>
          <w:szCs w:val="24"/>
          <w:u w:val="single"/>
        </w:rPr>
      </w:pPr>
      <w:r w:rsidRPr="00B968ED">
        <w:rPr>
          <w:sz w:val="24"/>
          <w:szCs w:val="24"/>
        </w:rPr>
        <w:tab/>
      </w:r>
      <w:r w:rsidRPr="00B968ED">
        <w:rPr>
          <w:sz w:val="24"/>
          <w:szCs w:val="24"/>
          <w:u w:val="single"/>
        </w:rPr>
        <w:t>Hjælpestof, som behandleren skal være opmærksom på</w:t>
      </w:r>
    </w:p>
    <w:p w14:paraId="4CE9D1D8" w14:textId="77777777" w:rsidR="006F253B" w:rsidRPr="00B968ED" w:rsidRDefault="006F253B" w:rsidP="006F253B">
      <w:pPr>
        <w:tabs>
          <w:tab w:val="left" w:pos="851"/>
        </w:tabs>
        <w:ind w:left="851" w:hanging="851"/>
        <w:rPr>
          <w:sz w:val="24"/>
          <w:szCs w:val="24"/>
        </w:rPr>
      </w:pPr>
      <w:r w:rsidRPr="00B968ED">
        <w:rPr>
          <w:sz w:val="24"/>
          <w:szCs w:val="24"/>
        </w:rPr>
        <w:tab/>
        <w:t xml:space="preserve">5 mg: 29,5 mg </w:t>
      </w:r>
      <w:proofErr w:type="spellStart"/>
      <w:r w:rsidRPr="00B968ED">
        <w:rPr>
          <w:sz w:val="24"/>
          <w:szCs w:val="24"/>
        </w:rPr>
        <w:t>lactose</w:t>
      </w:r>
      <w:proofErr w:type="spellEnd"/>
      <w:r w:rsidRPr="00B968ED">
        <w:rPr>
          <w:sz w:val="24"/>
          <w:szCs w:val="24"/>
        </w:rPr>
        <w:t xml:space="preserve"> pr. tablet.</w:t>
      </w:r>
    </w:p>
    <w:p w14:paraId="41243AAA" w14:textId="77777777" w:rsidR="006F253B" w:rsidRPr="00B968ED" w:rsidRDefault="006F253B" w:rsidP="006F253B">
      <w:pPr>
        <w:tabs>
          <w:tab w:val="left" w:pos="851"/>
        </w:tabs>
        <w:ind w:left="851" w:hanging="851"/>
        <w:rPr>
          <w:sz w:val="24"/>
          <w:szCs w:val="24"/>
        </w:rPr>
      </w:pPr>
      <w:r w:rsidRPr="00B968ED">
        <w:rPr>
          <w:sz w:val="24"/>
          <w:szCs w:val="24"/>
        </w:rPr>
        <w:tab/>
        <w:t xml:space="preserve">10 mg: 59,0 mg </w:t>
      </w:r>
      <w:proofErr w:type="spellStart"/>
      <w:r w:rsidRPr="00B968ED">
        <w:rPr>
          <w:sz w:val="24"/>
          <w:szCs w:val="24"/>
        </w:rPr>
        <w:t>lactose</w:t>
      </w:r>
      <w:proofErr w:type="spellEnd"/>
      <w:r w:rsidRPr="00B968ED">
        <w:rPr>
          <w:sz w:val="24"/>
          <w:szCs w:val="24"/>
        </w:rPr>
        <w:t xml:space="preserve"> pr. tablet.</w:t>
      </w:r>
    </w:p>
    <w:p w14:paraId="25EB5484" w14:textId="77777777" w:rsidR="006F253B" w:rsidRPr="00B968ED" w:rsidRDefault="006F253B" w:rsidP="006F253B">
      <w:pPr>
        <w:tabs>
          <w:tab w:val="left" w:pos="851"/>
        </w:tabs>
        <w:ind w:left="851" w:hanging="851"/>
        <w:rPr>
          <w:sz w:val="24"/>
          <w:szCs w:val="24"/>
        </w:rPr>
      </w:pPr>
      <w:r w:rsidRPr="00B968ED">
        <w:rPr>
          <w:sz w:val="24"/>
          <w:szCs w:val="24"/>
        </w:rPr>
        <w:tab/>
        <w:t xml:space="preserve">15 mg: 88,5 mg </w:t>
      </w:r>
      <w:proofErr w:type="spellStart"/>
      <w:r w:rsidRPr="00B968ED">
        <w:rPr>
          <w:sz w:val="24"/>
          <w:szCs w:val="24"/>
        </w:rPr>
        <w:t>lactose</w:t>
      </w:r>
      <w:proofErr w:type="spellEnd"/>
      <w:r w:rsidRPr="00B968ED">
        <w:rPr>
          <w:sz w:val="24"/>
          <w:szCs w:val="24"/>
        </w:rPr>
        <w:t xml:space="preserve"> pr. tablet.</w:t>
      </w:r>
    </w:p>
    <w:p w14:paraId="50160DBD" w14:textId="77777777" w:rsidR="006F253B" w:rsidRPr="00B968ED" w:rsidRDefault="006F253B" w:rsidP="006F253B">
      <w:pPr>
        <w:tabs>
          <w:tab w:val="left" w:pos="851"/>
        </w:tabs>
        <w:ind w:left="851" w:hanging="851"/>
        <w:rPr>
          <w:sz w:val="24"/>
          <w:szCs w:val="24"/>
        </w:rPr>
      </w:pPr>
      <w:r w:rsidRPr="00B968ED">
        <w:rPr>
          <w:sz w:val="24"/>
          <w:szCs w:val="24"/>
        </w:rPr>
        <w:tab/>
        <w:t xml:space="preserve">30 mg: 177,0 mg </w:t>
      </w:r>
      <w:proofErr w:type="spellStart"/>
      <w:r w:rsidRPr="00B968ED">
        <w:rPr>
          <w:sz w:val="24"/>
          <w:szCs w:val="24"/>
        </w:rPr>
        <w:t>lactose</w:t>
      </w:r>
      <w:proofErr w:type="spellEnd"/>
      <w:r w:rsidRPr="00B968ED">
        <w:rPr>
          <w:sz w:val="24"/>
          <w:szCs w:val="24"/>
        </w:rPr>
        <w:t xml:space="preserve"> pr. tablet.</w:t>
      </w:r>
    </w:p>
    <w:p w14:paraId="7919F7EE" w14:textId="77777777" w:rsidR="006F253B" w:rsidRPr="00B968ED" w:rsidRDefault="006F253B" w:rsidP="006F253B">
      <w:pPr>
        <w:tabs>
          <w:tab w:val="left" w:pos="851"/>
        </w:tabs>
        <w:ind w:left="851" w:hanging="851"/>
        <w:rPr>
          <w:sz w:val="24"/>
          <w:szCs w:val="24"/>
        </w:rPr>
      </w:pPr>
    </w:p>
    <w:p w14:paraId="7449515B" w14:textId="77777777" w:rsidR="006F253B" w:rsidRPr="00B968ED" w:rsidRDefault="006F253B" w:rsidP="006F253B">
      <w:pPr>
        <w:tabs>
          <w:tab w:val="left" w:pos="851"/>
        </w:tabs>
        <w:rPr>
          <w:sz w:val="24"/>
          <w:szCs w:val="24"/>
        </w:rPr>
      </w:pPr>
      <w:r w:rsidRPr="00B968ED">
        <w:rPr>
          <w:sz w:val="24"/>
          <w:szCs w:val="24"/>
        </w:rPr>
        <w:tab/>
        <w:t>Alle hjælpestoffer er anført under pkt. 6.1.</w:t>
      </w:r>
    </w:p>
    <w:p w14:paraId="3BC2FF7A" w14:textId="77777777" w:rsidR="006F253B" w:rsidRPr="00B968ED" w:rsidRDefault="006F253B" w:rsidP="006F253B">
      <w:pPr>
        <w:tabs>
          <w:tab w:val="left" w:pos="851"/>
        </w:tabs>
        <w:rPr>
          <w:sz w:val="24"/>
          <w:szCs w:val="24"/>
        </w:rPr>
      </w:pPr>
    </w:p>
    <w:p w14:paraId="42CFC90E" w14:textId="77777777" w:rsidR="006F253B" w:rsidRPr="00B968ED" w:rsidRDefault="006F253B" w:rsidP="006F253B">
      <w:pPr>
        <w:tabs>
          <w:tab w:val="left" w:pos="851"/>
        </w:tabs>
        <w:ind w:left="851" w:hanging="851"/>
        <w:rPr>
          <w:b/>
          <w:sz w:val="24"/>
          <w:szCs w:val="24"/>
        </w:rPr>
      </w:pPr>
      <w:r w:rsidRPr="00B968ED">
        <w:rPr>
          <w:b/>
          <w:sz w:val="24"/>
          <w:szCs w:val="24"/>
        </w:rPr>
        <w:t>3.</w:t>
      </w:r>
      <w:r w:rsidRPr="00B968ED">
        <w:rPr>
          <w:b/>
          <w:sz w:val="24"/>
          <w:szCs w:val="24"/>
        </w:rPr>
        <w:tab/>
        <w:t>LÆGEMIDDELFORM</w:t>
      </w:r>
    </w:p>
    <w:p w14:paraId="386100D8" w14:textId="77777777" w:rsidR="006F253B" w:rsidRPr="00B968ED" w:rsidRDefault="006F253B" w:rsidP="006F253B">
      <w:pPr>
        <w:tabs>
          <w:tab w:val="left" w:pos="851"/>
        </w:tabs>
        <w:ind w:left="851" w:hanging="851"/>
        <w:rPr>
          <w:sz w:val="24"/>
          <w:szCs w:val="24"/>
        </w:rPr>
      </w:pPr>
      <w:r w:rsidRPr="00B968ED">
        <w:rPr>
          <w:sz w:val="24"/>
          <w:szCs w:val="24"/>
        </w:rPr>
        <w:tab/>
        <w:t>Tabletter</w:t>
      </w:r>
    </w:p>
    <w:p w14:paraId="7C6A2160" w14:textId="77777777" w:rsidR="006F253B" w:rsidRPr="00B968ED" w:rsidRDefault="006F253B" w:rsidP="006F253B">
      <w:pPr>
        <w:tabs>
          <w:tab w:val="left" w:pos="851"/>
        </w:tabs>
        <w:ind w:left="851" w:hanging="851"/>
        <w:rPr>
          <w:sz w:val="24"/>
          <w:szCs w:val="24"/>
        </w:rPr>
      </w:pPr>
    </w:p>
    <w:p w14:paraId="0E8F67F3" w14:textId="77777777" w:rsidR="006F253B" w:rsidRPr="00B968ED" w:rsidRDefault="006F253B" w:rsidP="006F253B">
      <w:pPr>
        <w:tabs>
          <w:tab w:val="left" w:pos="851"/>
        </w:tabs>
        <w:ind w:left="851" w:hanging="851"/>
        <w:rPr>
          <w:sz w:val="24"/>
          <w:szCs w:val="24"/>
          <w:u w:val="single"/>
        </w:rPr>
      </w:pPr>
      <w:r w:rsidRPr="00B968ED">
        <w:rPr>
          <w:sz w:val="24"/>
          <w:szCs w:val="24"/>
        </w:rPr>
        <w:tab/>
      </w:r>
      <w:r w:rsidRPr="00B968ED">
        <w:rPr>
          <w:sz w:val="24"/>
          <w:szCs w:val="24"/>
          <w:u w:val="single"/>
        </w:rPr>
        <w:t>5 mg</w:t>
      </w:r>
    </w:p>
    <w:p w14:paraId="2E93835C" w14:textId="77777777" w:rsidR="006F253B" w:rsidRPr="00B968ED" w:rsidRDefault="006F253B" w:rsidP="006F253B">
      <w:pPr>
        <w:tabs>
          <w:tab w:val="left" w:pos="851"/>
        </w:tabs>
        <w:ind w:left="851" w:hanging="851"/>
        <w:rPr>
          <w:sz w:val="24"/>
          <w:szCs w:val="24"/>
        </w:rPr>
      </w:pPr>
      <w:r w:rsidRPr="00B968ED">
        <w:rPr>
          <w:sz w:val="24"/>
          <w:szCs w:val="24"/>
        </w:rPr>
        <w:tab/>
        <w:t>Lysegul, rund, flad tablet med skrå kanter, præget med ”5” på den ene side og uden prægning på den anden side. Tablettens diameter er 5 mm.</w:t>
      </w:r>
    </w:p>
    <w:p w14:paraId="6C232F18" w14:textId="77777777" w:rsidR="006F253B" w:rsidRPr="00B968ED" w:rsidRDefault="006F253B" w:rsidP="006F253B">
      <w:pPr>
        <w:tabs>
          <w:tab w:val="left" w:pos="851"/>
        </w:tabs>
        <w:rPr>
          <w:sz w:val="24"/>
          <w:szCs w:val="24"/>
        </w:rPr>
      </w:pPr>
    </w:p>
    <w:p w14:paraId="1CD2A149" w14:textId="77777777" w:rsidR="006F253B" w:rsidRPr="00B968ED" w:rsidRDefault="006F253B" w:rsidP="006F253B">
      <w:pPr>
        <w:tabs>
          <w:tab w:val="left" w:pos="851"/>
        </w:tabs>
        <w:ind w:left="851" w:hanging="851"/>
        <w:rPr>
          <w:sz w:val="24"/>
          <w:szCs w:val="24"/>
          <w:u w:val="single"/>
        </w:rPr>
      </w:pPr>
      <w:r w:rsidRPr="00B968ED">
        <w:rPr>
          <w:sz w:val="24"/>
          <w:szCs w:val="24"/>
        </w:rPr>
        <w:tab/>
      </w:r>
      <w:r w:rsidRPr="00B968ED">
        <w:rPr>
          <w:sz w:val="24"/>
          <w:szCs w:val="24"/>
          <w:u w:val="single"/>
        </w:rPr>
        <w:t>10 mg</w:t>
      </w:r>
    </w:p>
    <w:p w14:paraId="578220D8" w14:textId="77777777" w:rsidR="006F253B" w:rsidRPr="00B968ED" w:rsidRDefault="006F253B" w:rsidP="006F253B">
      <w:pPr>
        <w:tabs>
          <w:tab w:val="left" w:pos="851"/>
        </w:tabs>
        <w:ind w:left="851" w:hanging="851"/>
        <w:rPr>
          <w:sz w:val="24"/>
          <w:szCs w:val="24"/>
        </w:rPr>
      </w:pPr>
      <w:r w:rsidRPr="00B968ED">
        <w:rPr>
          <w:sz w:val="24"/>
          <w:szCs w:val="24"/>
        </w:rPr>
        <w:tab/>
        <w:t>Pink til lys pink</w:t>
      </w:r>
      <w:r>
        <w:rPr>
          <w:sz w:val="24"/>
          <w:szCs w:val="24"/>
        </w:rPr>
        <w:t>,</w:t>
      </w:r>
      <w:r w:rsidRPr="00B968ED">
        <w:rPr>
          <w:sz w:val="24"/>
          <w:szCs w:val="24"/>
        </w:rPr>
        <w:t xml:space="preserve"> aflang tablet, præget med ”10” på den ene side og med delekærv på den anden side. Tablettens mål er 8,1 mm x 4,5 mm.</w:t>
      </w:r>
    </w:p>
    <w:p w14:paraId="3632E891" w14:textId="77777777" w:rsidR="006F253B" w:rsidRPr="00B968ED" w:rsidRDefault="006F253B" w:rsidP="006F253B">
      <w:pPr>
        <w:tabs>
          <w:tab w:val="left" w:pos="851"/>
        </w:tabs>
        <w:ind w:left="851" w:hanging="851"/>
        <w:rPr>
          <w:sz w:val="24"/>
          <w:szCs w:val="24"/>
        </w:rPr>
      </w:pPr>
      <w:r w:rsidRPr="00B968ED">
        <w:rPr>
          <w:sz w:val="24"/>
          <w:szCs w:val="24"/>
        </w:rPr>
        <w:tab/>
        <w:t>Tabletten kan deles i to lige store doser.</w:t>
      </w:r>
    </w:p>
    <w:p w14:paraId="5A10E44E" w14:textId="77777777" w:rsidR="006F253B" w:rsidRPr="00B968ED" w:rsidRDefault="006F253B" w:rsidP="006F253B">
      <w:pPr>
        <w:tabs>
          <w:tab w:val="left" w:pos="851"/>
        </w:tabs>
        <w:rPr>
          <w:sz w:val="24"/>
          <w:szCs w:val="24"/>
        </w:rPr>
      </w:pPr>
    </w:p>
    <w:p w14:paraId="5513782D" w14:textId="77777777" w:rsidR="006F253B" w:rsidRPr="00B968ED" w:rsidRDefault="006F253B" w:rsidP="006F253B">
      <w:pPr>
        <w:tabs>
          <w:tab w:val="left" w:pos="851"/>
        </w:tabs>
        <w:ind w:left="851" w:hanging="851"/>
        <w:rPr>
          <w:sz w:val="24"/>
          <w:szCs w:val="24"/>
          <w:u w:val="single"/>
        </w:rPr>
      </w:pPr>
      <w:r w:rsidRPr="00B968ED">
        <w:rPr>
          <w:b/>
          <w:sz w:val="24"/>
          <w:szCs w:val="24"/>
        </w:rPr>
        <w:tab/>
      </w:r>
      <w:r w:rsidRPr="00B968ED">
        <w:rPr>
          <w:sz w:val="24"/>
          <w:szCs w:val="24"/>
          <w:u w:val="single"/>
        </w:rPr>
        <w:t>15 mg</w:t>
      </w:r>
    </w:p>
    <w:p w14:paraId="66F62924" w14:textId="77777777" w:rsidR="006F253B" w:rsidRPr="00B968ED" w:rsidRDefault="006F253B" w:rsidP="006F253B">
      <w:pPr>
        <w:tabs>
          <w:tab w:val="left" w:pos="851"/>
        </w:tabs>
        <w:ind w:left="851" w:hanging="851"/>
        <w:rPr>
          <w:sz w:val="24"/>
          <w:szCs w:val="24"/>
        </w:rPr>
      </w:pPr>
      <w:r w:rsidRPr="00B968ED">
        <w:rPr>
          <w:sz w:val="24"/>
          <w:szCs w:val="24"/>
        </w:rPr>
        <w:tab/>
        <w:t>Lysegul, rund, flad tablet med skrå kanter, præget med ”15” på den ene side og med delekærv på den anden side. Tablettens diameter er 7,1 mm.</w:t>
      </w:r>
    </w:p>
    <w:p w14:paraId="0C953F45" w14:textId="77777777" w:rsidR="006F253B" w:rsidRPr="00B968ED" w:rsidRDefault="006F253B" w:rsidP="006F253B">
      <w:pPr>
        <w:tabs>
          <w:tab w:val="left" w:pos="851"/>
        </w:tabs>
        <w:ind w:left="851" w:hanging="851"/>
        <w:rPr>
          <w:sz w:val="24"/>
          <w:szCs w:val="24"/>
        </w:rPr>
      </w:pPr>
      <w:r w:rsidRPr="00B968ED">
        <w:rPr>
          <w:sz w:val="24"/>
          <w:szCs w:val="24"/>
        </w:rPr>
        <w:tab/>
        <w:t>Tabletten kan deles i to lige store doser.</w:t>
      </w:r>
    </w:p>
    <w:p w14:paraId="54A8F0D7" w14:textId="77777777" w:rsidR="006F253B" w:rsidRPr="00B968ED" w:rsidRDefault="006F253B" w:rsidP="006F253B">
      <w:pPr>
        <w:tabs>
          <w:tab w:val="left" w:pos="851"/>
        </w:tabs>
        <w:rPr>
          <w:sz w:val="24"/>
          <w:szCs w:val="24"/>
        </w:rPr>
      </w:pPr>
    </w:p>
    <w:p w14:paraId="702C397A" w14:textId="77777777" w:rsidR="006F253B" w:rsidRPr="00B968ED" w:rsidRDefault="006F253B" w:rsidP="006F253B">
      <w:pPr>
        <w:tabs>
          <w:tab w:val="left" w:pos="851"/>
        </w:tabs>
        <w:ind w:left="851" w:hanging="851"/>
        <w:rPr>
          <w:sz w:val="24"/>
          <w:szCs w:val="24"/>
          <w:u w:val="single"/>
        </w:rPr>
      </w:pPr>
      <w:r w:rsidRPr="00B968ED">
        <w:rPr>
          <w:b/>
          <w:sz w:val="24"/>
          <w:szCs w:val="24"/>
        </w:rPr>
        <w:tab/>
      </w:r>
      <w:r w:rsidRPr="00B968ED">
        <w:rPr>
          <w:sz w:val="24"/>
          <w:szCs w:val="24"/>
          <w:u w:val="single"/>
        </w:rPr>
        <w:t>30 mg</w:t>
      </w:r>
    </w:p>
    <w:p w14:paraId="6BA5E133" w14:textId="77777777" w:rsidR="006F253B" w:rsidRPr="00B968ED" w:rsidRDefault="006F253B" w:rsidP="006F253B">
      <w:pPr>
        <w:tabs>
          <w:tab w:val="left" w:pos="851"/>
        </w:tabs>
        <w:ind w:left="851" w:hanging="851"/>
        <w:rPr>
          <w:sz w:val="24"/>
          <w:szCs w:val="24"/>
        </w:rPr>
      </w:pPr>
      <w:r w:rsidRPr="00B968ED">
        <w:rPr>
          <w:sz w:val="24"/>
          <w:szCs w:val="24"/>
        </w:rPr>
        <w:tab/>
        <w:t>Pink til lys pink</w:t>
      </w:r>
      <w:r>
        <w:rPr>
          <w:sz w:val="24"/>
          <w:szCs w:val="24"/>
        </w:rPr>
        <w:t>,</w:t>
      </w:r>
      <w:r w:rsidRPr="00B968ED">
        <w:rPr>
          <w:sz w:val="24"/>
          <w:szCs w:val="24"/>
        </w:rPr>
        <w:t xml:space="preserve"> rund, </w:t>
      </w:r>
      <w:proofErr w:type="spellStart"/>
      <w:r w:rsidRPr="00B968ED">
        <w:rPr>
          <w:sz w:val="24"/>
          <w:szCs w:val="24"/>
        </w:rPr>
        <w:t>bikonveks</w:t>
      </w:r>
      <w:proofErr w:type="spellEnd"/>
      <w:r w:rsidRPr="00B968ED">
        <w:rPr>
          <w:sz w:val="24"/>
          <w:szCs w:val="24"/>
        </w:rPr>
        <w:t xml:space="preserve"> tablet, præget med ”30” på den ene side og med delekærv på den anden side. Tablettens diameter er 9 mm.</w:t>
      </w:r>
    </w:p>
    <w:p w14:paraId="55BD4050" w14:textId="77777777" w:rsidR="006F253B" w:rsidRPr="00B968ED" w:rsidRDefault="006F253B" w:rsidP="006F253B">
      <w:pPr>
        <w:tabs>
          <w:tab w:val="left" w:pos="851"/>
        </w:tabs>
        <w:ind w:left="851" w:hanging="851"/>
        <w:rPr>
          <w:sz w:val="24"/>
          <w:szCs w:val="24"/>
        </w:rPr>
      </w:pPr>
      <w:r w:rsidRPr="00B968ED">
        <w:rPr>
          <w:sz w:val="24"/>
          <w:szCs w:val="24"/>
        </w:rPr>
        <w:tab/>
        <w:t>Tabletten kan deles i to lige store doser.</w:t>
      </w:r>
    </w:p>
    <w:p w14:paraId="58590E5C" w14:textId="77777777" w:rsidR="006F253B" w:rsidRPr="00B968ED" w:rsidRDefault="006F253B" w:rsidP="006F253B">
      <w:pPr>
        <w:tabs>
          <w:tab w:val="left" w:pos="851"/>
        </w:tabs>
        <w:rPr>
          <w:sz w:val="24"/>
          <w:szCs w:val="24"/>
        </w:rPr>
      </w:pPr>
    </w:p>
    <w:p w14:paraId="6B88BC55" w14:textId="77777777" w:rsidR="006F253B" w:rsidRPr="00B968ED" w:rsidRDefault="006F253B" w:rsidP="006F253B">
      <w:pPr>
        <w:tabs>
          <w:tab w:val="left" w:pos="851"/>
        </w:tabs>
        <w:rPr>
          <w:sz w:val="24"/>
          <w:szCs w:val="24"/>
        </w:rPr>
      </w:pPr>
    </w:p>
    <w:p w14:paraId="77ADEBB5" w14:textId="77777777" w:rsidR="006F253B" w:rsidRPr="00B968ED" w:rsidRDefault="006F253B" w:rsidP="006F253B">
      <w:pPr>
        <w:tabs>
          <w:tab w:val="left" w:pos="851"/>
        </w:tabs>
        <w:ind w:left="851" w:hanging="851"/>
        <w:rPr>
          <w:b/>
          <w:sz w:val="24"/>
          <w:szCs w:val="24"/>
        </w:rPr>
      </w:pPr>
      <w:r w:rsidRPr="00B968ED">
        <w:rPr>
          <w:b/>
          <w:sz w:val="24"/>
          <w:szCs w:val="24"/>
        </w:rPr>
        <w:t>4.</w:t>
      </w:r>
      <w:r w:rsidRPr="00B968ED">
        <w:rPr>
          <w:b/>
          <w:sz w:val="24"/>
          <w:szCs w:val="24"/>
        </w:rPr>
        <w:tab/>
        <w:t>KLINISKE OPLYSNINGER</w:t>
      </w:r>
    </w:p>
    <w:p w14:paraId="66386F12" w14:textId="77777777" w:rsidR="006F253B" w:rsidRPr="00B968ED" w:rsidRDefault="006F253B" w:rsidP="006F253B">
      <w:pPr>
        <w:tabs>
          <w:tab w:val="left" w:pos="851"/>
        </w:tabs>
        <w:rPr>
          <w:b/>
          <w:sz w:val="24"/>
          <w:szCs w:val="24"/>
        </w:rPr>
      </w:pPr>
    </w:p>
    <w:p w14:paraId="1E09EA2C" w14:textId="77777777" w:rsidR="006F253B" w:rsidRPr="00B968ED" w:rsidRDefault="006F253B" w:rsidP="006F253B">
      <w:pPr>
        <w:tabs>
          <w:tab w:val="left" w:pos="851"/>
        </w:tabs>
        <w:ind w:left="851" w:hanging="851"/>
        <w:rPr>
          <w:b/>
          <w:sz w:val="24"/>
          <w:szCs w:val="24"/>
          <w:u w:val="single"/>
        </w:rPr>
      </w:pPr>
      <w:r w:rsidRPr="00B968ED">
        <w:rPr>
          <w:b/>
          <w:sz w:val="24"/>
          <w:szCs w:val="24"/>
        </w:rPr>
        <w:t>4.1</w:t>
      </w:r>
      <w:r w:rsidRPr="00B968ED">
        <w:rPr>
          <w:b/>
          <w:sz w:val="24"/>
          <w:szCs w:val="24"/>
        </w:rPr>
        <w:tab/>
        <w:t>Terapeutiske indikationer</w:t>
      </w:r>
    </w:p>
    <w:p w14:paraId="7D694B49" w14:textId="77777777" w:rsidR="006F253B" w:rsidRDefault="006F253B" w:rsidP="006F253B">
      <w:pPr>
        <w:pStyle w:val="Default"/>
        <w:ind w:left="851"/>
      </w:pPr>
      <w:proofErr w:type="spellStart"/>
      <w:r w:rsidRPr="00B968ED">
        <w:t>Aripiprazole</w:t>
      </w:r>
      <w:proofErr w:type="spellEnd"/>
      <w:r w:rsidRPr="00B968ED">
        <w:t xml:space="preserve"> "</w:t>
      </w:r>
      <w:proofErr w:type="spellStart"/>
      <w:r w:rsidRPr="00B968ED">
        <w:t>Teva</w:t>
      </w:r>
      <w:proofErr w:type="spellEnd"/>
      <w:r w:rsidRPr="00B968ED">
        <w:t>" er indiceret til behandling af skizofreni hos voksne og unge i alderen 15 år og opefter.</w:t>
      </w:r>
    </w:p>
    <w:p w14:paraId="4B7A1D4A" w14:textId="77777777" w:rsidR="006F253B" w:rsidRPr="006D20C6" w:rsidRDefault="006F253B" w:rsidP="006F253B">
      <w:pPr>
        <w:pStyle w:val="Default"/>
        <w:ind w:left="851"/>
      </w:pPr>
    </w:p>
    <w:p w14:paraId="26C27DC5" w14:textId="77777777" w:rsidR="006F253B" w:rsidRPr="006D20C6" w:rsidRDefault="006F253B" w:rsidP="006F253B">
      <w:pPr>
        <w:pStyle w:val="Default"/>
        <w:ind w:left="851"/>
      </w:pPr>
      <w:proofErr w:type="spellStart"/>
      <w:r w:rsidRPr="006D20C6">
        <w:t>Aripiprazole</w:t>
      </w:r>
      <w:proofErr w:type="spellEnd"/>
      <w:r w:rsidRPr="006D20C6">
        <w:t xml:space="preserve"> </w:t>
      </w:r>
      <w:proofErr w:type="spellStart"/>
      <w:r w:rsidRPr="006D20C6">
        <w:t>Teva</w:t>
      </w:r>
      <w:proofErr w:type="spellEnd"/>
      <w:r w:rsidRPr="006D20C6">
        <w:t xml:space="preserve"> er indiceret til behandling af moderate til svære maniske episoder ved bipolar lidelse type 1 og til forebyggelsen af ny manisk episode hos voksne, der hovedsageligt har oplevet maniske episoder, og som i maniske episoder har responderet på behandling med </w:t>
      </w:r>
      <w:proofErr w:type="spellStart"/>
      <w:r w:rsidRPr="006D20C6">
        <w:t>aripiprazol</w:t>
      </w:r>
      <w:proofErr w:type="spellEnd"/>
      <w:r w:rsidRPr="006D20C6">
        <w:t xml:space="preserve"> (se pkt. 5.1). </w:t>
      </w:r>
    </w:p>
    <w:p w14:paraId="0E5FB8E6" w14:textId="77777777" w:rsidR="006F253B" w:rsidRPr="006D20C6" w:rsidRDefault="006F253B" w:rsidP="006F253B">
      <w:pPr>
        <w:pStyle w:val="Default"/>
        <w:ind w:left="851"/>
      </w:pPr>
    </w:p>
    <w:p w14:paraId="09450A3A" w14:textId="77777777" w:rsidR="006F253B" w:rsidRPr="006D20C6" w:rsidRDefault="006F253B" w:rsidP="006F253B">
      <w:pPr>
        <w:tabs>
          <w:tab w:val="left" w:pos="851"/>
        </w:tabs>
        <w:ind w:left="851" w:hanging="851"/>
        <w:rPr>
          <w:sz w:val="24"/>
          <w:szCs w:val="24"/>
        </w:rPr>
      </w:pPr>
      <w:r w:rsidRPr="006D20C6">
        <w:rPr>
          <w:sz w:val="24"/>
          <w:szCs w:val="24"/>
        </w:rPr>
        <w:tab/>
      </w:r>
      <w:proofErr w:type="spellStart"/>
      <w:r w:rsidRPr="006D20C6">
        <w:rPr>
          <w:sz w:val="24"/>
          <w:szCs w:val="24"/>
        </w:rPr>
        <w:t>Aripiprazole</w:t>
      </w:r>
      <w:proofErr w:type="spellEnd"/>
      <w:r w:rsidRPr="006D20C6">
        <w:rPr>
          <w:sz w:val="24"/>
          <w:szCs w:val="24"/>
        </w:rPr>
        <w:t xml:space="preserve"> </w:t>
      </w:r>
      <w:proofErr w:type="spellStart"/>
      <w:r w:rsidRPr="006D20C6">
        <w:rPr>
          <w:sz w:val="24"/>
          <w:szCs w:val="24"/>
        </w:rPr>
        <w:t>Teva</w:t>
      </w:r>
      <w:proofErr w:type="spellEnd"/>
      <w:r w:rsidRPr="006D20C6">
        <w:rPr>
          <w:sz w:val="24"/>
          <w:szCs w:val="24"/>
        </w:rPr>
        <w:t xml:space="preserve"> er indiceret til behandling af moderate til svære maniske episoder ved bipolar lidelse type 1 i op til 12 uger hos unge i alderen 13 år og ældre (se pkt. 5.1).</w:t>
      </w:r>
    </w:p>
    <w:p w14:paraId="38A60F2A" w14:textId="77777777" w:rsidR="006F253B" w:rsidRPr="00B968ED" w:rsidRDefault="006F253B" w:rsidP="006F253B">
      <w:pPr>
        <w:tabs>
          <w:tab w:val="left" w:pos="851"/>
        </w:tabs>
        <w:rPr>
          <w:sz w:val="24"/>
          <w:szCs w:val="24"/>
        </w:rPr>
      </w:pPr>
    </w:p>
    <w:p w14:paraId="55A08BA8" w14:textId="77777777" w:rsidR="006F253B" w:rsidRPr="00C84563" w:rsidRDefault="006F253B" w:rsidP="006F253B">
      <w:pPr>
        <w:tabs>
          <w:tab w:val="left" w:pos="851"/>
        </w:tabs>
        <w:ind w:left="851" w:hanging="851"/>
        <w:rPr>
          <w:b/>
          <w:sz w:val="24"/>
          <w:szCs w:val="24"/>
        </w:rPr>
      </w:pPr>
      <w:r w:rsidRPr="00B968ED">
        <w:rPr>
          <w:b/>
          <w:sz w:val="24"/>
          <w:szCs w:val="24"/>
        </w:rPr>
        <w:t>4.2</w:t>
      </w:r>
      <w:r w:rsidRPr="00B968ED">
        <w:rPr>
          <w:b/>
          <w:sz w:val="24"/>
          <w:szCs w:val="24"/>
        </w:rPr>
        <w:tab/>
        <w:t xml:space="preserve">Dosering og </w:t>
      </w:r>
      <w:r w:rsidR="00705894">
        <w:rPr>
          <w:b/>
          <w:sz w:val="24"/>
          <w:szCs w:val="24"/>
        </w:rPr>
        <w:t>administration</w:t>
      </w:r>
    </w:p>
    <w:p w14:paraId="0B1A9E3A" w14:textId="77777777" w:rsidR="006F253B" w:rsidRDefault="006F253B" w:rsidP="006F253B">
      <w:pPr>
        <w:pStyle w:val="Default"/>
        <w:ind w:left="851"/>
        <w:rPr>
          <w:b/>
        </w:rPr>
      </w:pPr>
      <w:r>
        <w:rPr>
          <w:b/>
        </w:rPr>
        <w:t>Dosering</w:t>
      </w:r>
    </w:p>
    <w:p w14:paraId="1734C3A8" w14:textId="77777777" w:rsidR="006F253B" w:rsidRDefault="006F253B" w:rsidP="006F253B">
      <w:pPr>
        <w:pStyle w:val="Default"/>
        <w:ind w:left="851"/>
        <w:rPr>
          <w:iCs/>
          <w:u w:val="single"/>
        </w:rPr>
      </w:pPr>
      <w:r>
        <w:rPr>
          <w:iCs/>
          <w:u w:val="single"/>
        </w:rPr>
        <w:t>Voksne</w:t>
      </w:r>
    </w:p>
    <w:p w14:paraId="5E42BA6D" w14:textId="77777777" w:rsidR="006F253B" w:rsidRDefault="006F253B" w:rsidP="006F253B">
      <w:pPr>
        <w:pStyle w:val="Default"/>
        <w:ind w:left="851"/>
        <w:rPr>
          <w:i/>
        </w:rPr>
      </w:pPr>
    </w:p>
    <w:p w14:paraId="40F6E2DB" w14:textId="77777777" w:rsidR="006F253B" w:rsidRDefault="006F253B" w:rsidP="006F253B">
      <w:pPr>
        <w:pStyle w:val="Default"/>
        <w:ind w:left="851"/>
        <w:rPr>
          <w:i/>
        </w:rPr>
      </w:pPr>
      <w:r>
        <w:rPr>
          <w:i/>
        </w:rPr>
        <w:t>Skizofreni</w:t>
      </w:r>
    </w:p>
    <w:p w14:paraId="5A69BDAE" w14:textId="77777777" w:rsidR="006F253B" w:rsidRDefault="006F253B" w:rsidP="006F253B">
      <w:pPr>
        <w:pStyle w:val="Default"/>
        <w:ind w:left="851"/>
      </w:pPr>
      <w:r>
        <w:t xml:space="preserve">Den anbefalede startdosis for </w:t>
      </w:r>
      <w:proofErr w:type="spellStart"/>
      <w:r>
        <w:t>aripiprazol</w:t>
      </w:r>
      <w:proofErr w:type="spellEnd"/>
      <w:r>
        <w:t xml:space="preserve"> er 10</w:t>
      </w:r>
      <w:r w:rsidR="00685C46">
        <w:t xml:space="preserve"> mg/dag</w:t>
      </w:r>
      <w:r>
        <w:t xml:space="preserve"> eller 15 mg/dag med en vedligeholdelsesdosis på 15 mg/dag administreret som en enkelt daglig dosis uden hensyntagen til måltider. </w:t>
      </w:r>
    </w:p>
    <w:p w14:paraId="259E990D" w14:textId="77777777" w:rsidR="006F253B" w:rsidRDefault="006F253B" w:rsidP="006F253B">
      <w:pPr>
        <w:pStyle w:val="Default"/>
        <w:ind w:left="851"/>
      </w:pPr>
    </w:p>
    <w:p w14:paraId="50623D39" w14:textId="77777777" w:rsidR="006F253B" w:rsidRDefault="006F253B" w:rsidP="006F253B">
      <w:pPr>
        <w:pStyle w:val="Default"/>
        <w:ind w:left="851"/>
      </w:pPr>
      <w:proofErr w:type="spellStart"/>
      <w:r>
        <w:t>Aripiprazole</w:t>
      </w:r>
      <w:proofErr w:type="spellEnd"/>
      <w:r>
        <w:t xml:space="preserve"> er effektiv i dosisområdet 10</w:t>
      </w:r>
      <w:r w:rsidR="00685C46">
        <w:t xml:space="preserve"> mg/dag til </w:t>
      </w:r>
      <w:r>
        <w:t xml:space="preserve">30 mg/dag. Der er ikke påvist forbedret effekt ved doser over 15 mg daglig, selvom individuelle patienter kan have gavn af en højere dosis. Den maksimale daglige dosis bør ikke overstige 30 mg. </w:t>
      </w:r>
    </w:p>
    <w:p w14:paraId="63D381B5" w14:textId="77777777" w:rsidR="006F253B" w:rsidRDefault="006F253B" w:rsidP="006F253B">
      <w:pPr>
        <w:pStyle w:val="Default"/>
        <w:ind w:left="851"/>
      </w:pPr>
    </w:p>
    <w:p w14:paraId="4423D9F7" w14:textId="77777777" w:rsidR="006F253B" w:rsidRDefault="006F253B" w:rsidP="006F253B">
      <w:pPr>
        <w:pStyle w:val="Default"/>
        <w:ind w:left="851"/>
        <w:rPr>
          <w:i/>
          <w:iCs/>
        </w:rPr>
      </w:pPr>
      <w:r>
        <w:rPr>
          <w:i/>
          <w:iCs/>
        </w:rPr>
        <w:t xml:space="preserve">Maniske episoder ved bipolar lidelse type 1 </w:t>
      </w:r>
    </w:p>
    <w:p w14:paraId="2E6DB113" w14:textId="77777777" w:rsidR="006F253B" w:rsidRDefault="006F253B" w:rsidP="006F253B">
      <w:pPr>
        <w:pStyle w:val="Default"/>
        <w:ind w:left="851"/>
      </w:pPr>
      <w:r>
        <w:t xml:space="preserve">Den anbefalede startdosis for </w:t>
      </w:r>
      <w:proofErr w:type="spellStart"/>
      <w:r>
        <w:t>aripiprazol</w:t>
      </w:r>
      <w:proofErr w:type="spellEnd"/>
      <w:r>
        <w:t xml:space="preserve"> er 15 mg administreret som en enkelt daglig dosis, som enkeltstofbehandling eller kombinationsbehandling, uden hensyntagen til måltider (se pkt. 5.1). Nogle patienter kan have gavn af en højere dosis. Den maksimale daglige dosis bør ikke overstige 30 mg. </w:t>
      </w:r>
    </w:p>
    <w:p w14:paraId="412EDF4C" w14:textId="77777777" w:rsidR="006F253B" w:rsidRDefault="006F253B" w:rsidP="006F253B">
      <w:pPr>
        <w:pStyle w:val="Default"/>
        <w:ind w:left="851"/>
      </w:pPr>
    </w:p>
    <w:p w14:paraId="3E3945B2" w14:textId="77777777" w:rsidR="006F253B" w:rsidRDefault="006F253B" w:rsidP="006F253B">
      <w:pPr>
        <w:pStyle w:val="Default"/>
        <w:ind w:left="851"/>
        <w:rPr>
          <w:i/>
          <w:iCs/>
        </w:rPr>
      </w:pPr>
      <w:r>
        <w:rPr>
          <w:i/>
          <w:iCs/>
        </w:rPr>
        <w:t>Forebyggelse af tilbagefald af maniske episoder ved bipolar lidelse type 1</w:t>
      </w:r>
    </w:p>
    <w:p w14:paraId="36338466" w14:textId="77777777" w:rsidR="006F253B" w:rsidRDefault="006F253B" w:rsidP="006F253B">
      <w:pPr>
        <w:pStyle w:val="Default"/>
        <w:ind w:left="851"/>
      </w:pPr>
      <w:r>
        <w:t xml:space="preserve">Til forebyggelse af tilbagefald af maniske episoder hos patienter, der har været behandlet med </w:t>
      </w:r>
      <w:proofErr w:type="spellStart"/>
      <w:r>
        <w:t>aripiprazol</w:t>
      </w:r>
      <w:proofErr w:type="spellEnd"/>
      <w:r>
        <w:t xml:space="preserve">, som monoterapi eller kombinationsbehandling, fortsætter behandlingen med samme dosis. Justering af den daglige dosis, herunder dosisreduktion, bør overvejes på baggrund af klinisk status. </w:t>
      </w:r>
    </w:p>
    <w:p w14:paraId="716B0283" w14:textId="77777777" w:rsidR="006F253B" w:rsidRPr="00C84563" w:rsidRDefault="006F253B" w:rsidP="006F253B">
      <w:pPr>
        <w:tabs>
          <w:tab w:val="left" w:pos="851"/>
        </w:tabs>
        <w:ind w:left="851" w:hanging="851"/>
        <w:rPr>
          <w:i/>
          <w:iCs/>
          <w:sz w:val="24"/>
          <w:szCs w:val="24"/>
        </w:rPr>
      </w:pPr>
      <w:r>
        <w:rPr>
          <w:i/>
          <w:iCs/>
          <w:sz w:val="24"/>
          <w:szCs w:val="24"/>
        </w:rPr>
        <w:tab/>
      </w:r>
    </w:p>
    <w:p w14:paraId="314C440B" w14:textId="77777777" w:rsidR="006F253B" w:rsidRDefault="006F253B" w:rsidP="006F253B">
      <w:pPr>
        <w:tabs>
          <w:tab w:val="left" w:pos="851"/>
        </w:tabs>
        <w:ind w:left="851" w:hanging="851"/>
        <w:rPr>
          <w:iCs/>
          <w:sz w:val="24"/>
          <w:szCs w:val="24"/>
          <w:u w:val="single"/>
        </w:rPr>
      </w:pPr>
      <w:r>
        <w:rPr>
          <w:i/>
          <w:iCs/>
          <w:sz w:val="24"/>
          <w:szCs w:val="24"/>
        </w:rPr>
        <w:tab/>
      </w:r>
      <w:r>
        <w:rPr>
          <w:iCs/>
          <w:sz w:val="24"/>
          <w:szCs w:val="24"/>
          <w:u w:val="single"/>
        </w:rPr>
        <w:t>Pædiatrisk population</w:t>
      </w:r>
    </w:p>
    <w:p w14:paraId="55DB1590" w14:textId="77777777" w:rsidR="006F253B" w:rsidRDefault="006F253B" w:rsidP="006F253B">
      <w:pPr>
        <w:tabs>
          <w:tab w:val="left" w:pos="851"/>
        </w:tabs>
        <w:ind w:left="851" w:hanging="851"/>
        <w:rPr>
          <w:i/>
          <w:iCs/>
          <w:sz w:val="24"/>
          <w:szCs w:val="24"/>
        </w:rPr>
      </w:pPr>
    </w:p>
    <w:p w14:paraId="50D71EA9" w14:textId="77777777" w:rsidR="006F253B" w:rsidRDefault="006F253B" w:rsidP="006F253B">
      <w:pPr>
        <w:tabs>
          <w:tab w:val="left" w:pos="851"/>
        </w:tabs>
        <w:ind w:left="851" w:hanging="851"/>
      </w:pPr>
      <w:r>
        <w:rPr>
          <w:i/>
          <w:iCs/>
          <w:sz w:val="24"/>
          <w:szCs w:val="24"/>
        </w:rPr>
        <w:tab/>
        <w:t xml:space="preserve">Skizofreni hos unge i alderen 15 år eller ældre: </w:t>
      </w:r>
      <w:r>
        <w:t xml:space="preserve">den anbefalede dosis af </w:t>
      </w:r>
      <w:proofErr w:type="spellStart"/>
      <w:r>
        <w:t>aripiprazol</w:t>
      </w:r>
      <w:proofErr w:type="spellEnd"/>
      <w:r>
        <w:t xml:space="preserve"> er 10 mg/dag, administreret som en enkelt daglig dosis uden hensyntagen til måltider. Behandling bør påbegyndes med 2 mg (ved for eksempel at anvende en oral opløsning) i 2 dage, hvorefter der </w:t>
      </w:r>
      <w:proofErr w:type="spellStart"/>
      <w:r>
        <w:t>optitreres</w:t>
      </w:r>
      <w:proofErr w:type="spellEnd"/>
      <w:r>
        <w:t xml:space="preserve"> til 5 mg i yderligere 2 dage, indtil den anbefalede daglige dosis på 10 mg er nået. Om nødvendigt skal en efterfølgende øgning af dosis ske trinvist med 5 mg uden at overskride den maksimale daglige dosis på 30 mg (se pkt. 5.1). </w:t>
      </w:r>
    </w:p>
    <w:p w14:paraId="67C02211" w14:textId="77777777" w:rsidR="006F253B" w:rsidRDefault="006F253B" w:rsidP="006F253B">
      <w:pPr>
        <w:pStyle w:val="Default"/>
        <w:ind w:left="851"/>
      </w:pPr>
    </w:p>
    <w:p w14:paraId="50E7DCDD" w14:textId="77777777" w:rsidR="006F253B" w:rsidRDefault="006F253B" w:rsidP="006F253B">
      <w:pPr>
        <w:pStyle w:val="Default"/>
        <w:ind w:left="851"/>
      </w:pPr>
      <w:proofErr w:type="spellStart"/>
      <w:r>
        <w:lastRenderedPageBreak/>
        <w:t>Aripiprazol</w:t>
      </w:r>
      <w:proofErr w:type="spellEnd"/>
      <w:r>
        <w:t xml:space="preserve"> er effektivt i et dosisinterval på 10 </w:t>
      </w:r>
      <w:r w:rsidR="00685C46">
        <w:t xml:space="preserve">mg/dag </w:t>
      </w:r>
      <w:r>
        <w:t xml:space="preserve">til 30 mg/dag. Der er ikke påvist forbedret effekt ved doser over 10 mg daglig, selvom patienter individuelt kan have gavn af en højere dosis. </w:t>
      </w:r>
    </w:p>
    <w:p w14:paraId="6A10D955" w14:textId="77777777" w:rsidR="006F253B" w:rsidRDefault="006F253B" w:rsidP="006F253B">
      <w:pPr>
        <w:pStyle w:val="Default"/>
        <w:ind w:left="851"/>
      </w:pPr>
    </w:p>
    <w:p w14:paraId="236E83EC" w14:textId="77777777" w:rsidR="006F253B" w:rsidRDefault="006F253B" w:rsidP="006F253B">
      <w:pPr>
        <w:pStyle w:val="Default"/>
        <w:ind w:left="851"/>
      </w:pPr>
      <w:proofErr w:type="spellStart"/>
      <w:r>
        <w:t>Aripiprazol</w:t>
      </w:r>
      <w:proofErr w:type="spellEnd"/>
      <w:r>
        <w:t xml:space="preserve"> bør ikke anvendes til børn under 15 år med skizofreni på grund af utilstrækkelig dokumentation for sikkerhed og virkning (se pkt. 4.8 og 5.1). </w:t>
      </w:r>
    </w:p>
    <w:p w14:paraId="61C7B9BE" w14:textId="77777777" w:rsidR="006F253B" w:rsidRDefault="006F253B" w:rsidP="006F253B">
      <w:pPr>
        <w:pStyle w:val="Default"/>
        <w:ind w:left="851"/>
      </w:pPr>
    </w:p>
    <w:p w14:paraId="462D9307" w14:textId="77777777" w:rsidR="006F253B" w:rsidRDefault="006F253B" w:rsidP="006F253B">
      <w:pPr>
        <w:pStyle w:val="Default"/>
        <w:ind w:left="851"/>
      </w:pPr>
      <w:r>
        <w:rPr>
          <w:i/>
          <w:iCs/>
        </w:rPr>
        <w:t xml:space="preserve">Maniske episoder ved bipolar lidelse type I hos unge i alderen 13 år og ældre: </w:t>
      </w:r>
      <w:r>
        <w:rPr>
          <w:iCs/>
        </w:rPr>
        <w:t>d</w:t>
      </w:r>
      <w:r>
        <w:t xml:space="preserve">en anbefalede dosis af </w:t>
      </w:r>
      <w:proofErr w:type="spellStart"/>
      <w:r>
        <w:t>aripiprazol</w:t>
      </w:r>
      <w:proofErr w:type="spellEnd"/>
      <w:r>
        <w:t xml:space="preserve"> er 10 mg/dag administreret som en enkelt daglig dosis uden hensyntagen til måltider. Behandling bør påbegyndes med 2 mg (ved at anvende en oral opløsning) i 2 dage, hvorefter der </w:t>
      </w:r>
      <w:proofErr w:type="spellStart"/>
      <w:r>
        <w:t>optitreres</w:t>
      </w:r>
      <w:proofErr w:type="spellEnd"/>
      <w:r>
        <w:t xml:space="preserve"> til 5 mg i yderligere 2 dage for at nå den anbefalede daglige dosis på 10 mg. </w:t>
      </w:r>
    </w:p>
    <w:p w14:paraId="5D6E47B0" w14:textId="77777777" w:rsidR="006F253B" w:rsidRDefault="006F253B" w:rsidP="006F253B">
      <w:pPr>
        <w:pStyle w:val="Default"/>
        <w:ind w:left="851"/>
      </w:pPr>
    </w:p>
    <w:p w14:paraId="6AC1041A" w14:textId="77777777" w:rsidR="006F253B" w:rsidRDefault="006F253B" w:rsidP="006F253B">
      <w:pPr>
        <w:pStyle w:val="Default"/>
        <w:ind w:left="851"/>
      </w:pPr>
      <w:r>
        <w:t xml:space="preserve">Behandlingsvarigheden bør være den kortest mulige til symptomkontrol og må ikke overstige 12 uger. Der er ikke påvist forbedret effekt ved doser over 10 mg dagligt, og en daglig dosis på 30 mg er associeret med en betydelig højere forekomst af signifikante bivirkninger, herunder ekstrapyramidale symptomer, døsighed, træthed og vægtforøgelse (se pkt. 4.8). Derfor bør doser over 10 mg dagligt kun anvendes i særlige tilfælde og med tæt klinisk monitorering (se pkt. 4.4, 4.8, og 5.1). </w:t>
      </w:r>
    </w:p>
    <w:p w14:paraId="09C73922" w14:textId="77777777" w:rsidR="006F253B" w:rsidRDefault="006F253B" w:rsidP="006F253B">
      <w:pPr>
        <w:pStyle w:val="Default"/>
        <w:ind w:left="851"/>
      </w:pPr>
    </w:p>
    <w:p w14:paraId="3AE77F1B" w14:textId="77777777" w:rsidR="006F253B" w:rsidRDefault="006F253B" w:rsidP="006F253B">
      <w:pPr>
        <w:pStyle w:val="Default"/>
        <w:ind w:left="851"/>
      </w:pPr>
      <w:r>
        <w:t xml:space="preserve">Yngre patienter har en øget risiko for at opleve bivirkninger i forbindelse med </w:t>
      </w:r>
      <w:proofErr w:type="spellStart"/>
      <w:r>
        <w:t>aripiprazol</w:t>
      </w:r>
      <w:proofErr w:type="spellEnd"/>
      <w:r>
        <w:t xml:space="preserve">. Derfor frarådes brug af </w:t>
      </w:r>
      <w:proofErr w:type="spellStart"/>
      <w:r>
        <w:t>aripiprazol</w:t>
      </w:r>
      <w:proofErr w:type="spellEnd"/>
      <w:r>
        <w:t xml:space="preserve"> til patienter under 13 år (se pkt. 4.8 og 5.1). </w:t>
      </w:r>
    </w:p>
    <w:p w14:paraId="5E03F9A9" w14:textId="77777777" w:rsidR="006F253B" w:rsidRDefault="006F253B" w:rsidP="006F253B">
      <w:pPr>
        <w:pStyle w:val="Default"/>
        <w:ind w:left="851"/>
        <w:rPr>
          <w:i/>
          <w:iCs/>
        </w:rPr>
      </w:pPr>
    </w:p>
    <w:p w14:paraId="598DB3D7" w14:textId="77777777" w:rsidR="006F253B" w:rsidRDefault="006F253B" w:rsidP="006F253B">
      <w:pPr>
        <w:pStyle w:val="Default"/>
        <w:ind w:left="851"/>
      </w:pPr>
      <w:r>
        <w:rPr>
          <w:i/>
          <w:iCs/>
        </w:rPr>
        <w:t xml:space="preserve">Irritabilitet associeret med autisme: </w:t>
      </w:r>
      <w:proofErr w:type="spellStart"/>
      <w:r>
        <w:t>aripiprazols</w:t>
      </w:r>
      <w:proofErr w:type="spellEnd"/>
      <w:r>
        <w:t xml:space="preserve"> sikkerhed og virkning hos børn og unge under 18 år er endnu ikke blevet klarlagt. De foreliggende data er beskrevet i pkt. 5.1, men der kan ikke gives nogen anbefalinger vedrørende dosering. </w:t>
      </w:r>
    </w:p>
    <w:p w14:paraId="2C392B14" w14:textId="77777777" w:rsidR="006F253B" w:rsidRDefault="006F253B" w:rsidP="006F253B">
      <w:pPr>
        <w:pStyle w:val="Default"/>
        <w:ind w:left="851"/>
      </w:pPr>
    </w:p>
    <w:p w14:paraId="28366E4A" w14:textId="77777777" w:rsidR="006F253B" w:rsidRDefault="006F253B" w:rsidP="006F253B">
      <w:pPr>
        <w:pStyle w:val="Default"/>
        <w:ind w:left="851"/>
      </w:pPr>
      <w:r>
        <w:rPr>
          <w:i/>
          <w:iCs/>
        </w:rPr>
        <w:t xml:space="preserve">Tics associeret med Tourettes syndrom: </w:t>
      </w:r>
      <w:proofErr w:type="spellStart"/>
      <w:r>
        <w:t>aripiprazols</w:t>
      </w:r>
      <w:proofErr w:type="spellEnd"/>
      <w:r>
        <w:t xml:space="preserve"> sikkerhed og virkning hos børn og unge i alderen 6-18 år er endnu ikke klarlagt. De foreliggende data er beskrevet i pkt. 5.1, men der kan ikke gives nogen anbefalinger vedrørende dosering. </w:t>
      </w:r>
    </w:p>
    <w:p w14:paraId="4B31E66C" w14:textId="77777777" w:rsidR="006F253B" w:rsidRDefault="006F253B" w:rsidP="006F253B">
      <w:pPr>
        <w:pStyle w:val="Default"/>
        <w:ind w:left="851"/>
      </w:pPr>
    </w:p>
    <w:p w14:paraId="54619965" w14:textId="77777777" w:rsidR="006F253B" w:rsidRDefault="006F253B" w:rsidP="006F253B">
      <w:pPr>
        <w:pStyle w:val="Default"/>
        <w:ind w:left="851"/>
      </w:pPr>
      <w:r>
        <w:rPr>
          <w:iCs/>
          <w:u w:val="single"/>
        </w:rPr>
        <w:t>Særlige populationer</w:t>
      </w:r>
    </w:p>
    <w:p w14:paraId="3F46A191" w14:textId="77777777" w:rsidR="006F253B" w:rsidRDefault="006F253B" w:rsidP="006F253B">
      <w:pPr>
        <w:pStyle w:val="Default"/>
        <w:ind w:left="851"/>
        <w:rPr>
          <w:i/>
        </w:rPr>
      </w:pPr>
      <w:r>
        <w:rPr>
          <w:i/>
          <w:iCs/>
        </w:rPr>
        <w:t>Nedsat leverfunktion</w:t>
      </w:r>
    </w:p>
    <w:p w14:paraId="13B10468" w14:textId="77777777" w:rsidR="006F253B" w:rsidRDefault="006F253B" w:rsidP="006F253B">
      <w:pPr>
        <w:pStyle w:val="Default"/>
        <w:ind w:left="851"/>
      </w:pPr>
      <w:r>
        <w:t xml:space="preserve">Dosisjustering til patienter med let til moderat leverinsufficiens er ikke påkrævet. Hos patienter med svær leverinsufficiens er de tilgængelige data ikke tilstrækkelige til at fastlægge anbefalinger. Hos disse patienter bør dosering administreres med forsigtighed. Den maksimale daglige dosis på 30 mg bør imidlertid anvendes med forsigtighed hos patienter med stærkt nedsat leverfunktion (se pkt. 5.2). </w:t>
      </w:r>
    </w:p>
    <w:p w14:paraId="0902BD43" w14:textId="77777777" w:rsidR="006F253B" w:rsidRDefault="006F253B" w:rsidP="006F253B">
      <w:pPr>
        <w:pStyle w:val="Default"/>
        <w:ind w:left="851"/>
      </w:pPr>
    </w:p>
    <w:p w14:paraId="49235EA6" w14:textId="77777777" w:rsidR="006F253B" w:rsidRDefault="006F253B" w:rsidP="006F253B">
      <w:pPr>
        <w:pStyle w:val="Default"/>
        <w:ind w:left="851"/>
        <w:rPr>
          <w:i/>
        </w:rPr>
      </w:pPr>
      <w:r>
        <w:rPr>
          <w:i/>
          <w:iCs/>
        </w:rPr>
        <w:t xml:space="preserve">Nedsat nyrefunktion </w:t>
      </w:r>
    </w:p>
    <w:p w14:paraId="6CF2DFB1" w14:textId="77777777" w:rsidR="006F253B" w:rsidRDefault="006F253B" w:rsidP="006F253B">
      <w:pPr>
        <w:pStyle w:val="Default"/>
        <w:ind w:left="851"/>
      </w:pPr>
      <w:r>
        <w:t xml:space="preserve">Dosisjustering til patienter med nedsat nyrefunktion er ikke påkrævet. </w:t>
      </w:r>
    </w:p>
    <w:p w14:paraId="3C7C7DE4" w14:textId="77777777" w:rsidR="006F253B" w:rsidRDefault="006F253B" w:rsidP="006F253B">
      <w:pPr>
        <w:pStyle w:val="Default"/>
        <w:ind w:left="851"/>
      </w:pPr>
    </w:p>
    <w:p w14:paraId="0EF65F95" w14:textId="77777777" w:rsidR="006F253B" w:rsidRDefault="006F253B" w:rsidP="006F253B">
      <w:pPr>
        <w:pStyle w:val="Default"/>
        <w:ind w:left="851"/>
        <w:rPr>
          <w:i/>
        </w:rPr>
      </w:pPr>
      <w:r>
        <w:rPr>
          <w:i/>
          <w:iCs/>
        </w:rPr>
        <w:t xml:space="preserve">Ældre </w:t>
      </w:r>
    </w:p>
    <w:p w14:paraId="1CBDA31C" w14:textId="77777777" w:rsidR="006F253B" w:rsidRDefault="006F253B" w:rsidP="006F253B">
      <w:pPr>
        <w:pStyle w:val="Default"/>
        <w:ind w:left="851"/>
      </w:pPr>
      <w:proofErr w:type="spellStart"/>
      <w:r>
        <w:t>Aripiprazols</w:t>
      </w:r>
      <w:proofErr w:type="spellEnd"/>
      <w:r>
        <w:t xml:space="preserve"> sikkerhed og virkning ved behandling af skizofreni eller maniske episoder ved bipolar lidelse type I hos patienter i alderen 65 år og derover er ikke undersøgt. På grund af den øgede følsomhed hos denne population bør en lavere startdosis overvejes, såfremt kliniske faktorer taler for dette (se pkt. 4.4). </w:t>
      </w:r>
    </w:p>
    <w:p w14:paraId="322723B1" w14:textId="77777777" w:rsidR="006F253B" w:rsidRDefault="006F253B" w:rsidP="006F253B">
      <w:pPr>
        <w:pStyle w:val="Default"/>
        <w:ind w:left="851"/>
      </w:pPr>
    </w:p>
    <w:p w14:paraId="229111D2" w14:textId="77777777" w:rsidR="006F253B" w:rsidRDefault="006F253B" w:rsidP="006F253B">
      <w:pPr>
        <w:pStyle w:val="Default"/>
        <w:keepNext/>
        <w:ind w:left="851"/>
        <w:rPr>
          <w:i/>
        </w:rPr>
      </w:pPr>
      <w:r>
        <w:rPr>
          <w:i/>
          <w:iCs/>
        </w:rPr>
        <w:t xml:space="preserve">Køn </w:t>
      </w:r>
    </w:p>
    <w:p w14:paraId="32657AEF" w14:textId="77777777" w:rsidR="006F253B" w:rsidRDefault="006F253B" w:rsidP="006F253B">
      <w:pPr>
        <w:pStyle w:val="Default"/>
        <w:ind w:left="851"/>
      </w:pPr>
      <w:r>
        <w:t xml:space="preserve">Dosisjustering til kvindelige patienter i forhold til mandlige patienter er ikke påkrævet (se pkt. 5.2). </w:t>
      </w:r>
    </w:p>
    <w:p w14:paraId="7A29EDE6" w14:textId="77777777" w:rsidR="006F253B" w:rsidRDefault="006F253B" w:rsidP="006F253B">
      <w:pPr>
        <w:pStyle w:val="Default"/>
        <w:ind w:left="851"/>
      </w:pPr>
    </w:p>
    <w:p w14:paraId="359890E8" w14:textId="77777777" w:rsidR="006F253B" w:rsidRDefault="006F253B" w:rsidP="006F253B">
      <w:pPr>
        <w:pStyle w:val="Default"/>
        <w:ind w:left="851"/>
        <w:rPr>
          <w:i/>
        </w:rPr>
      </w:pPr>
      <w:r>
        <w:rPr>
          <w:i/>
          <w:iCs/>
        </w:rPr>
        <w:t>Rygning</w:t>
      </w:r>
    </w:p>
    <w:p w14:paraId="38FBF3F7" w14:textId="77777777" w:rsidR="006F253B" w:rsidRDefault="006F253B" w:rsidP="006F253B">
      <w:pPr>
        <w:pStyle w:val="Default"/>
        <w:ind w:left="851"/>
      </w:pPr>
      <w:r>
        <w:t xml:space="preserve">På baggrund af den metaboliske vej for </w:t>
      </w:r>
      <w:proofErr w:type="spellStart"/>
      <w:r>
        <w:t>aripiprazol</w:t>
      </w:r>
      <w:proofErr w:type="spellEnd"/>
      <w:r>
        <w:t xml:space="preserve"> er dosisjustering for rygere ikke påkrævet (se pkt. 4.5). </w:t>
      </w:r>
    </w:p>
    <w:p w14:paraId="34CB22D9" w14:textId="77777777" w:rsidR="006F253B" w:rsidRDefault="006F253B" w:rsidP="006F253B">
      <w:pPr>
        <w:pStyle w:val="Default"/>
        <w:ind w:left="851"/>
      </w:pPr>
    </w:p>
    <w:p w14:paraId="7004A9AF" w14:textId="77777777" w:rsidR="006F253B" w:rsidRDefault="006F253B" w:rsidP="006F253B">
      <w:pPr>
        <w:tabs>
          <w:tab w:val="left" w:pos="851"/>
        </w:tabs>
        <w:ind w:left="851" w:hanging="851"/>
        <w:rPr>
          <w:i/>
          <w:sz w:val="24"/>
          <w:szCs w:val="24"/>
        </w:rPr>
      </w:pPr>
      <w:r>
        <w:rPr>
          <w:iCs/>
          <w:sz w:val="24"/>
          <w:szCs w:val="24"/>
        </w:rPr>
        <w:tab/>
      </w:r>
      <w:r>
        <w:rPr>
          <w:i/>
          <w:iCs/>
          <w:sz w:val="24"/>
          <w:szCs w:val="24"/>
        </w:rPr>
        <w:t>Dosisjusteringer på grund af interaktioner</w:t>
      </w:r>
    </w:p>
    <w:p w14:paraId="7DEE8A05" w14:textId="77777777" w:rsidR="006F253B" w:rsidRDefault="006F253B" w:rsidP="006F253B">
      <w:pPr>
        <w:pStyle w:val="Default"/>
        <w:ind w:left="851"/>
      </w:pPr>
      <w:r>
        <w:t xml:space="preserve">Ved samtidig administration af stærke CYP3A4- eller CYP2D6-hæmmere og </w:t>
      </w:r>
      <w:proofErr w:type="spellStart"/>
      <w:r>
        <w:t>aripiprazol</w:t>
      </w:r>
      <w:proofErr w:type="spellEnd"/>
      <w:r>
        <w:t xml:space="preserve"> bør dosis af </w:t>
      </w:r>
      <w:proofErr w:type="spellStart"/>
      <w:r>
        <w:t>aripiprazol</w:t>
      </w:r>
      <w:proofErr w:type="spellEnd"/>
      <w:r>
        <w:t xml:space="preserve"> nedsættes. Når CYP3A4- eller CYP2D6-hæmmerne tages ud af kombinationsbehandlingen, bør dosis af </w:t>
      </w:r>
      <w:proofErr w:type="spellStart"/>
      <w:r>
        <w:t>aripiprazol</w:t>
      </w:r>
      <w:proofErr w:type="spellEnd"/>
      <w:r>
        <w:t xml:space="preserve"> øges (se pkt. 4.5). </w:t>
      </w:r>
    </w:p>
    <w:p w14:paraId="4331CDF0" w14:textId="77777777" w:rsidR="006F253B" w:rsidRDefault="006F253B" w:rsidP="006F253B">
      <w:pPr>
        <w:pStyle w:val="Default"/>
        <w:ind w:left="851"/>
      </w:pPr>
    </w:p>
    <w:p w14:paraId="68B64E38" w14:textId="77777777" w:rsidR="006F253B" w:rsidRDefault="006F253B" w:rsidP="006F253B">
      <w:pPr>
        <w:pStyle w:val="Default"/>
        <w:ind w:left="851"/>
      </w:pPr>
      <w:r>
        <w:t xml:space="preserve">Ved samtidig administration af stærke CYP3A4-induktorer og </w:t>
      </w:r>
      <w:proofErr w:type="spellStart"/>
      <w:r>
        <w:t>aripiprazol</w:t>
      </w:r>
      <w:proofErr w:type="spellEnd"/>
      <w:r>
        <w:t xml:space="preserve"> bør dosis af </w:t>
      </w:r>
      <w:proofErr w:type="spellStart"/>
      <w:r>
        <w:t>aripiprazol</w:t>
      </w:r>
      <w:proofErr w:type="spellEnd"/>
      <w:r>
        <w:t xml:space="preserve"> øges. Når CYP3A4-induktoren tages ud af kombinationsbehandlingen, bør dosis af </w:t>
      </w:r>
      <w:proofErr w:type="spellStart"/>
      <w:r>
        <w:t>aripiprazol</w:t>
      </w:r>
      <w:proofErr w:type="spellEnd"/>
      <w:r>
        <w:t xml:space="preserve"> nedsættes til den anbefalede dosis (se pkt. 4.5). </w:t>
      </w:r>
    </w:p>
    <w:p w14:paraId="34E3B8F9" w14:textId="77777777" w:rsidR="006F253B" w:rsidRDefault="006F253B" w:rsidP="006F253B">
      <w:pPr>
        <w:pStyle w:val="Default"/>
        <w:ind w:left="851"/>
      </w:pPr>
    </w:p>
    <w:p w14:paraId="1F3C0140" w14:textId="77777777" w:rsidR="006F253B" w:rsidRDefault="006F253B" w:rsidP="006F253B">
      <w:pPr>
        <w:pStyle w:val="Default"/>
        <w:ind w:left="851"/>
        <w:rPr>
          <w:b/>
        </w:rPr>
      </w:pPr>
      <w:r>
        <w:rPr>
          <w:b/>
        </w:rPr>
        <w:t xml:space="preserve">Administration </w:t>
      </w:r>
    </w:p>
    <w:p w14:paraId="5C08B117" w14:textId="77777777" w:rsidR="006F253B" w:rsidRDefault="006F253B" w:rsidP="006F253B">
      <w:pPr>
        <w:tabs>
          <w:tab w:val="left" w:pos="851"/>
        </w:tabs>
        <w:ind w:left="851"/>
        <w:rPr>
          <w:sz w:val="24"/>
          <w:szCs w:val="24"/>
        </w:rPr>
      </w:pPr>
      <w:r>
        <w:rPr>
          <w:sz w:val="24"/>
          <w:szCs w:val="24"/>
        </w:rPr>
        <w:t>Tabletterne er til oral anvendelse.</w:t>
      </w:r>
    </w:p>
    <w:p w14:paraId="547EAC13" w14:textId="77777777" w:rsidR="006F253B" w:rsidRDefault="006F253B" w:rsidP="006F253B">
      <w:pPr>
        <w:tabs>
          <w:tab w:val="left" w:pos="851"/>
        </w:tabs>
        <w:ind w:left="851"/>
        <w:rPr>
          <w:sz w:val="24"/>
          <w:szCs w:val="24"/>
        </w:rPr>
      </w:pPr>
    </w:p>
    <w:p w14:paraId="1A9C4440" w14:textId="77777777" w:rsidR="006F253B" w:rsidRDefault="006F253B" w:rsidP="006F253B">
      <w:pPr>
        <w:tabs>
          <w:tab w:val="left" w:pos="851"/>
        </w:tabs>
        <w:ind w:left="851"/>
        <w:rPr>
          <w:sz w:val="24"/>
          <w:szCs w:val="24"/>
        </w:rPr>
      </w:pPr>
      <w:r>
        <w:rPr>
          <w:sz w:val="24"/>
          <w:szCs w:val="24"/>
        </w:rPr>
        <w:t>Smeltetabletter eller en oral suspension kan benyttes alternativt til tabletter til patienter, som har problemer med at synke tabletterne (se pkt. 5.2).</w:t>
      </w:r>
    </w:p>
    <w:p w14:paraId="77F2FB93" w14:textId="77777777" w:rsidR="006F253B" w:rsidRPr="00B968ED" w:rsidRDefault="006F253B" w:rsidP="006F253B">
      <w:pPr>
        <w:tabs>
          <w:tab w:val="left" w:pos="851"/>
        </w:tabs>
        <w:rPr>
          <w:sz w:val="24"/>
          <w:szCs w:val="24"/>
        </w:rPr>
      </w:pPr>
    </w:p>
    <w:p w14:paraId="3FAA3CAD" w14:textId="77777777" w:rsidR="006F253B" w:rsidRPr="00B968ED" w:rsidRDefault="006F253B" w:rsidP="006F253B">
      <w:pPr>
        <w:tabs>
          <w:tab w:val="left" w:pos="851"/>
        </w:tabs>
        <w:ind w:left="851" w:hanging="851"/>
        <w:rPr>
          <w:b/>
          <w:sz w:val="24"/>
          <w:szCs w:val="24"/>
        </w:rPr>
      </w:pPr>
      <w:r w:rsidRPr="00B968ED">
        <w:rPr>
          <w:b/>
          <w:sz w:val="24"/>
          <w:szCs w:val="24"/>
        </w:rPr>
        <w:t>4.3</w:t>
      </w:r>
      <w:r w:rsidRPr="00B968ED">
        <w:rPr>
          <w:b/>
          <w:sz w:val="24"/>
          <w:szCs w:val="24"/>
        </w:rPr>
        <w:tab/>
        <w:t>Kontraindikationer</w:t>
      </w:r>
    </w:p>
    <w:p w14:paraId="00E67F82" w14:textId="77777777" w:rsidR="006F253B" w:rsidRPr="00B968ED" w:rsidRDefault="006F253B" w:rsidP="006F253B">
      <w:pPr>
        <w:tabs>
          <w:tab w:val="left" w:pos="851"/>
        </w:tabs>
        <w:ind w:left="851" w:hanging="851"/>
        <w:rPr>
          <w:sz w:val="24"/>
          <w:szCs w:val="24"/>
        </w:rPr>
      </w:pPr>
      <w:r w:rsidRPr="00B968ED">
        <w:rPr>
          <w:sz w:val="24"/>
          <w:szCs w:val="24"/>
        </w:rPr>
        <w:tab/>
        <w:t>Overfølsomhed over for det aktive stof eller over for et eller flere af hjælpestofferne anført i pkt. 6.1.</w:t>
      </w:r>
    </w:p>
    <w:p w14:paraId="25B65CB8" w14:textId="77777777" w:rsidR="006F253B" w:rsidRPr="00B968ED" w:rsidRDefault="006F253B" w:rsidP="006F253B">
      <w:pPr>
        <w:tabs>
          <w:tab w:val="left" w:pos="851"/>
        </w:tabs>
        <w:rPr>
          <w:sz w:val="24"/>
          <w:szCs w:val="24"/>
        </w:rPr>
      </w:pPr>
    </w:p>
    <w:p w14:paraId="600FC50D" w14:textId="77777777" w:rsidR="006F253B" w:rsidRPr="00B968ED" w:rsidRDefault="006F253B" w:rsidP="006F253B">
      <w:pPr>
        <w:tabs>
          <w:tab w:val="left" w:pos="851"/>
        </w:tabs>
        <w:ind w:left="851" w:hanging="851"/>
        <w:rPr>
          <w:b/>
          <w:sz w:val="24"/>
          <w:szCs w:val="24"/>
        </w:rPr>
      </w:pPr>
      <w:r w:rsidRPr="00B968ED">
        <w:rPr>
          <w:b/>
          <w:sz w:val="24"/>
          <w:szCs w:val="24"/>
        </w:rPr>
        <w:t>4.4</w:t>
      </w:r>
      <w:r w:rsidRPr="00B968ED">
        <w:rPr>
          <w:b/>
          <w:sz w:val="24"/>
          <w:szCs w:val="24"/>
        </w:rPr>
        <w:tab/>
        <w:t>Særlige advarsler og forsigtighedsregler vedrørende brugen</w:t>
      </w:r>
    </w:p>
    <w:p w14:paraId="580770A1" w14:textId="77777777" w:rsidR="006F253B" w:rsidRDefault="006F253B" w:rsidP="006F253B">
      <w:pPr>
        <w:pStyle w:val="Default"/>
        <w:ind w:left="851"/>
      </w:pPr>
      <w:r>
        <w:t xml:space="preserve">Ved antipsykotisk behandling kan der gå fra flere dage til nogle uger, før der ses bedring af patientens kliniske tilstand. Patienter skal monitoreres tæt gennem denne periode. </w:t>
      </w:r>
    </w:p>
    <w:p w14:paraId="3078BE09" w14:textId="77777777" w:rsidR="006F253B" w:rsidRDefault="006F253B" w:rsidP="006F253B">
      <w:pPr>
        <w:pStyle w:val="Default"/>
        <w:ind w:left="851"/>
      </w:pPr>
    </w:p>
    <w:p w14:paraId="231F282D" w14:textId="77777777" w:rsidR="006F253B" w:rsidRDefault="006F253B" w:rsidP="006F253B">
      <w:pPr>
        <w:pStyle w:val="Default"/>
        <w:ind w:left="851"/>
        <w:rPr>
          <w:u w:val="single"/>
        </w:rPr>
      </w:pPr>
      <w:proofErr w:type="spellStart"/>
      <w:r>
        <w:rPr>
          <w:u w:val="single"/>
        </w:rPr>
        <w:t>Suicidalitet</w:t>
      </w:r>
      <w:proofErr w:type="spellEnd"/>
    </w:p>
    <w:p w14:paraId="7D551611" w14:textId="77777777" w:rsidR="006F253B" w:rsidRDefault="006F253B" w:rsidP="006F253B">
      <w:pPr>
        <w:pStyle w:val="Default"/>
        <w:ind w:left="851"/>
      </w:pPr>
      <w:r>
        <w:t xml:space="preserve">Psykisk sygdom og humørforstyrrelser er forbundet med selvmordsadfærd, som i nogle tilfælde har været rapporteret kort efter opstart eller ændring af antipsykotisk behandling, herunder behandling med </w:t>
      </w:r>
      <w:proofErr w:type="spellStart"/>
      <w:r>
        <w:t>aripiprazol</w:t>
      </w:r>
      <w:proofErr w:type="spellEnd"/>
      <w:r>
        <w:t xml:space="preserve"> (se pkt. 4.8). Høj-risikopatienter bør overvåges tæt under antipsykotisk behandling. </w:t>
      </w:r>
    </w:p>
    <w:p w14:paraId="443C9492" w14:textId="77777777" w:rsidR="006F253B" w:rsidRDefault="006F253B" w:rsidP="006F253B">
      <w:pPr>
        <w:pStyle w:val="Default"/>
        <w:ind w:left="851"/>
      </w:pPr>
    </w:p>
    <w:p w14:paraId="631C6B65" w14:textId="77777777" w:rsidR="006F253B" w:rsidRDefault="006F253B" w:rsidP="006F253B">
      <w:pPr>
        <w:pStyle w:val="Default"/>
        <w:ind w:left="851"/>
        <w:rPr>
          <w:u w:val="single"/>
        </w:rPr>
      </w:pPr>
      <w:proofErr w:type="spellStart"/>
      <w:r>
        <w:rPr>
          <w:u w:val="single"/>
        </w:rPr>
        <w:t>Kardiovaskulære</w:t>
      </w:r>
      <w:proofErr w:type="spellEnd"/>
      <w:r>
        <w:rPr>
          <w:u w:val="single"/>
        </w:rPr>
        <w:t xml:space="preserve"> sygdomme</w:t>
      </w:r>
    </w:p>
    <w:p w14:paraId="5450F109" w14:textId="77777777" w:rsidR="006F253B" w:rsidRDefault="006F253B" w:rsidP="006F253B">
      <w:pPr>
        <w:pStyle w:val="Default"/>
        <w:ind w:left="851"/>
      </w:pPr>
      <w:proofErr w:type="spellStart"/>
      <w:r>
        <w:t>Aripiprazol</w:t>
      </w:r>
      <w:proofErr w:type="spellEnd"/>
      <w:r>
        <w:t xml:space="preserve"> bør anvendes med forsigtighed til patienter med kendt </w:t>
      </w:r>
      <w:proofErr w:type="spellStart"/>
      <w:r>
        <w:t>kardiovaskulær</w:t>
      </w:r>
      <w:proofErr w:type="spellEnd"/>
      <w:r>
        <w:t xml:space="preserve"> sygdom (</w:t>
      </w:r>
      <w:proofErr w:type="spellStart"/>
      <w:r>
        <w:t>anamnestisk</w:t>
      </w:r>
      <w:proofErr w:type="spellEnd"/>
      <w:r>
        <w:t xml:space="preserve"> myokardieinfarkt eller iskæmisk hjertesygdom, hjertesvigt eller ledningsforstyrrelser), </w:t>
      </w:r>
      <w:proofErr w:type="spellStart"/>
      <w:r>
        <w:t>cerebrovaskulær</w:t>
      </w:r>
      <w:proofErr w:type="spellEnd"/>
      <w:r>
        <w:t xml:space="preserve"> sygdom, tilstande som disponerer for hypotension (dehydrering, </w:t>
      </w:r>
      <w:proofErr w:type="spellStart"/>
      <w:r>
        <w:t>hypovolæmi</w:t>
      </w:r>
      <w:proofErr w:type="spellEnd"/>
      <w:r>
        <w:t xml:space="preserve"> og behandling med </w:t>
      </w:r>
      <w:proofErr w:type="spellStart"/>
      <w:r>
        <w:t>antihypertensive</w:t>
      </w:r>
      <w:proofErr w:type="spellEnd"/>
      <w:r>
        <w:t xml:space="preserve"> lægemidler) eller hypertension, accelereret såvel som malign. </w:t>
      </w:r>
    </w:p>
    <w:p w14:paraId="403BBCF6" w14:textId="77777777" w:rsidR="006F253B" w:rsidRDefault="006F253B" w:rsidP="006F253B">
      <w:pPr>
        <w:pStyle w:val="Default"/>
        <w:ind w:left="851"/>
      </w:pPr>
    </w:p>
    <w:p w14:paraId="4ECD0946" w14:textId="77777777" w:rsidR="006F253B" w:rsidRDefault="006F253B" w:rsidP="006F253B">
      <w:pPr>
        <w:pStyle w:val="Default"/>
        <w:ind w:left="851"/>
      </w:pPr>
      <w:r>
        <w:t xml:space="preserve">Der er observeret tilfælde af venøs </w:t>
      </w:r>
      <w:proofErr w:type="spellStart"/>
      <w:r>
        <w:t>tromboemboli</w:t>
      </w:r>
      <w:proofErr w:type="spellEnd"/>
      <w:r>
        <w:t xml:space="preserve"> (VTE) i forbindelse med behandling med antipsykotiske lægemidler. Da patienter i behandling med antipsykotika ofte har sygdomsbetingede risikofaktorer for VTE, bør alle mulige risikofaktorer for VTE identificeres før og under behandling med </w:t>
      </w:r>
      <w:proofErr w:type="spellStart"/>
      <w:r>
        <w:t>aripiprazol</w:t>
      </w:r>
      <w:proofErr w:type="spellEnd"/>
      <w:r>
        <w:t xml:space="preserve"> og forebyggende foranstaltninger iværksættes. </w:t>
      </w:r>
    </w:p>
    <w:p w14:paraId="2AE9AF74" w14:textId="77777777" w:rsidR="006F253B" w:rsidRDefault="006F253B" w:rsidP="006F253B">
      <w:pPr>
        <w:pStyle w:val="Default"/>
        <w:ind w:left="851"/>
      </w:pPr>
    </w:p>
    <w:p w14:paraId="61FCB3A1" w14:textId="77777777" w:rsidR="006F253B" w:rsidRDefault="006F253B" w:rsidP="006F253B">
      <w:pPr>
        <w:pStyle w:val="Default"/>
        <w:ind w:left="851"/>
        <w:rPr>
          <w:u w:val="single"/>
        </w:rPr>
      </w:pPr>
      <w:r>
        <w:rPr>
          <w:u w:val="single"/>
        </w:rPr>
        <w:t>QT-forlængelse</w:t>
      </w:r>
    </w:p>
    <w:p w14:paraId="3684140F" w14:textId="77777777" w:rsidR="006F253B" w:rsidRDefault="006F253B" w:rsidP="006F253B">
      <w:pPr>
        <w:pStyle w:val="Default"/>
        <w:ind w:left="851"/>
      </w:pPr>
      <w:r>
        <w:t xml:space="preserve">Hyppigheden af QT-forlængelse var i kliniske studier med </w:t>
      </w:r>
      <w:proofErr w:type="spellStart"/>
      <w:r>
        <w:t>aripiprazol</w:t>
      </w:r>
      <w:proofErr w:type="spellEnd"/>
      <w:r>
        <w:t xml:space="preserve"> sammenlignelig med placebo. </w:t>
      </w:r>
      <w:proofErr w:type="spellStart"/>
      <w:r>
        <w:t>Aripiprazol</w:t>
      </w:r>
      <w:proofErr w:type="spellEnd"/>
      <w:r>
        <w:t xml:space="preserve"> bør anvendes med forsigtighed til patienter med arvelig QT-forlængelse (se pkt. 4.8). </w:t>
      </w:r>
    </w:p>
    <w:p w14:paraId="040264DC" w14:textId="77777777" w:rsidR="006F253B" w:rsidRDefault="006F253B" w:rsidP="006F253B">
      <w:pPr>
        <w:pStyle w:val="Default"/>
        <w:ind w:left="851"/>
      </w:pPr>
    </w:p>
    <w:p w14:paraId="6AE4047E" w14:textId="77777777" w:rsidR="006F253B" w:rsidRDefault="006F253B" w:rsidP="006F253B">
      <w:pPr>
        <w:pStyle w:val="Default"/>
        <w:ind w:left="851"/>
        <w:rPr>
          <w:u w:val="single"/>
        </w:rPr>
      </w:pPr>
      <w:proofErr w:type="spellStart"/>
      <w:r>
        <w:rPr>
          <w:u w:val="single"/>
        </w:rPr>
        <w:t>Tardiv</w:t>
      </w:r>
      <w:proofErr w:type="spellEnd"/>
      <w:r>
        <w:rPr>
          <w:u w:val="single"/>
        </w:rPr>
        <w:t xml:space="preserve"> </w:t>
      </w:r>
      <w:proofErr w:type="spellStart"/>
      <w:r>
        <w:rPr>
          <w:u w:val="single"/>
        </w:rPr>
        <w:t>dyskinesi</w:t>
      </w:r>
      <w:proofErr w:type="spellEnd"/>
    </w:p>
    <w:p w14:paraId="488D34EF" w14:textId="77777777" w:rsidR="006F253B" w:rsidRDefault="006F253B" w:rsidP="006F253B">
      <w:pPr>
        <w:tabs>
          <w:tab w:val="left" w:pos="851"/>
        </w:tabs>
        <w:ind w:left="851" w:hanging="851"/>
        <w:rPr>
          <w:color w:val="000000"/>
          <w:sz w:val="24"/>
          <w:szCs w:val="24"/>
        </w:rPr>
      </w:pPr>
      <w:r>
        <w:rPr>
          <w:color w:val="000000"/>
          <w:sz w:val="24"/>
          <w:szCs w:val="24"/>
        </w:rPr>
        <w:tab/>
        <w:t xml:space="preserve">I kliniske studier af en varighed på et år eller kortere er der kun sjældent indberettet behandlingsbetingede </w:t>
      </w:r>
      <w:proofErr w:type="spellStart"/>
      <w:r>
        <w:rPr>
          <w:color w:val="000000"/>
          <w:sz w:val="24"/>
          <w:szCs w:val="24"/>
        </w:rPr>
        <w:t>dyskinesier</w:t>
      </w:r>
      <w:proofErr w:type="spellEnd"/>
      <w:r>
        <w:rPr>
          <w:color w:val="000000"/>
          <w:sz w:val="24"/>
          <w:szCs w:val="24"/>
        </w:rPr>
        <w:t xml:space="preserve"> under behandling med </w:t>
      </w:r>
      <w:proofErr w:type="spellStart"/>
      <w:r>
        <w:rPr>
          <w:color w:val="000000"/>
          <w:sz w:val="24"/>
          <w:szCs w:val="24"/>
        </w:rPr>
        <w:t>aripiprazol</w:t>
      </w:r>
      <w:proofErr w:type="spellEnd"/>
      <w:r>
        <w:rPr>
          <w:color w:val="000000"/>
          <w:sz w:val="24"/>
          <w:szCs w:val="24"/>
        </w:rPr>
        <w:t xml:space="preserve">. Hvis der fremkommer symptomer på </w:t>
      </w:r>
      <w:proofErr w:type="spellStart"/>
      <w:r>
        <w:rPr>
          <w:color w:val="000000"/>
          <w:sz w:val="24"/>
          <w:szCs w:val="24"/>
        </w:rPr>
        <w:t>tardiv</w:t>
      </w:r>
      <w:proofErr w:type="spellEnd"/>
      <w:r>
        <w:rPr>
          <w:color w:val="000000"/>
          <w:sz w:val="24"/>
          <w:szCs w:val="24"/>
        </w:rPr>
        <w:t xml:space="preserve"> </w:t>
      </w:r>
      <w:proofErr w:type="spellStart"/>
      <w:r>
        <w:rPr>
          <w:color w:val="000000"/>
          <w:sz w:val="24"/>
          <w:szCs w:val="24"/>
        </w:rPr>
        <w:t>dyskinesi</w:t>
      </w:r>
      <w:proofErr w:type="spellEnd"/>
      <w:r>
        <w:rPr>
          <w:color w:val="000000"/>
          <w:sz w:val="24"/>
          <w:szCs w:val="24"/>
        </w:rPr>
        <w:t xml:space="preserve"> hos en patient, der behandles med </w:t>
      </w:r>
      <w:proofErr w:type="spellStart"/>
      <w:r>
        <w:rPr>
          <w:color w:val="000000"/>
          <w:sz w:val="24"/>
          <w:szCs w:val="24"/>
        </w:rPr>
        <w:t>aripiprazol</w:t>
      </w:r>
      <w:proofErr w:type="spellEnd"/>
      <w:r>
        <w:rPr>
          <w:color w:val="000000"/>
          <w:sz w:val="24"/>
          <w:szCs w:val="24"/>
        </w:rPr>
        <w:t xml:space="preserve">, skal dosisreduktion eller </w:t>
      </w:r>
      <w:proofErr w:type="spellStart"/>
      <w:r>
        <w:rPr>
          <w:color w:val="000000"/>
          <w:sz w:val="24"/>
          <w:szCs w:val="24"/>
        </w:rPr>
        <w:t>seponering</w:t>
      </w:r>
      <w:proofErr w:type="spellEnd"/>
      <w:r>
        <w:rPr>
          <w:color w:val="000000"/>
          <w:sz w:val="24"/>
          <w:szCs w:val="24"/>
        </w:rPr>
        <w:t xml:space="preserve"> overvejes </w:t>
      </w:r>
      <w:r>
        <w:t>(se pkt. 4.8)</w:t>
      </w:r>
      <w:r>
        <w:rPr>
          <w:color w:val="000000"/>
          <w:sz w:val="24"/>
          <w:szCs w:val="24"/>
        </w:rPr>
        <w:t>. Disse symptomer kan midlertidigt forværres og kan endda opstå efter behandlingsophør.</w:t>
      </w:r>
    </w:p>
    <w:p w14:paraId="6C3482AC" w14:textId="77777777" w:rsidR="006F253B" w:rsidRDefault="006F253B" w:rsidP="006F253B">
      <w:pPr>
        <w:tabs>
          <w:tab w:val="left" w:pos="851"/>
        </w:tabs>
        <w:ind w:left="851"/>
        <w:rPr>
          <w:color w:val="000000"/>
          <w:sz w:val="24"/>
          <w:szCs w:val="24"/>
        </w:rPr>
      </w:pPr>
    </w:p>
    <w:p w14:paraId="3585F61F" w14:textId="77777777" w:rsidR="006F253B" w:rsidRDefault="006F253B" w:rsidP="006F253B">
      <w:pPr>
        <w:tabs>
          <w:tab w:val="left" w:pos="851"/>
        </w:tabs>
        <w:ind w:left="851"/>
        <w:rPr>
          <w:sz w:val="24"/>
          <w:szCs w:val="24"/>
          <w:u w:val="single"/>
        </w:rPr>
      </w:pPr>
      <w:r>
        <w:rPr>
          <w:sz w:val="24"/>
          <w:szCs w:val="24"/>
          <w:u w:val="single"/>
        </w:rPr>
        <w:t>Andre ekstrapyramidale symptomer</w:t>
      </w:r>
    </w:p>
    <w:p w14:paraId="6F3FE3FE" w14:textId="77777777" w:rsidR="006F253B" w:rsidRDefault="006F253B" w:rsidP="006F253B">
      <w:pPr>
        <w:tabs>
          <w:tab w:val="left" w:pos="851"/>
        </w:tabs>
        <w:ind w:left="851"/>
        <w:rPr>
          <w:sz w:val="24"/>
          <w:szCs w:val="24"/>
        </w:rPr>
      </w:pPr>
      <w:r>
        <w:rPr>
          <w:sz w:val="24"/>
          <w:szCs w:val="24"/>
        </w:rPr>
        <w:t xml:space="preserve">Der er i kliniske studier af </w:t>
      </w:r>
      <w:proofErr w:type="spellStart"/>
      <w:r>
        <w:rPr>
          <w:sz w:val="24"/>
          <w:szCs w:val="24"/>
        </w:rPr>
        <w:t>aripiprazol</w:t>
      </w:r>
      <w:proofErr w:type="spellEnd"/>
      <w:r>
        <w:rPr>
          <w:sz w:val="24"/>
          <w:szCs w:val="24"/>
        </w:rPr>
        <w:t xml:space="preserve"> til pædiatriske patienter observeret </w:t>
      </w:r>
      <w:proofErr w:type="spellStart"/>
      <w:r>
        <w:rPr>
          <w:sz w:val="24"/>
          <w:szCs w:val="24"/>
        </w:rPr>
        <w:t>akatisi</w:t>
      </w:r>
      <w:proofErr w:type="spellEnd"/>
      <w:r>
        <w:rPr>
          <w:sz w:val="24"/>
          <w:szCs w:val="24"/>
        </w:rPr>
        <w:t xml:space="preserve"> og parkinsonisme. Hvis der fremkommer symptomer på andre ekstrapyramidale symptomer hos en patient, der behandles med </w:t>
      </w:r>
      <w:proofErr w:type="spellStart"/>
      <w:r>
        <w:rPr>
          <w:sz w:val="24"/>
          <w:szCs w:val="24"/>
        </w:rPr>
        <w:t>aripiprazol</w:t>
      </w:r>
      <w:proofErr w:type="spellEnd"/>
      <w:r>
        <w:rPr>
          <w:sz w:val="24"/>
          <w:szCs w:val="24"/>
        </w:rPr>
        <w:t xml:space="preserve">, skal dosisreduktion og tæt klinisk monitorering overvejes. </w:t>
      </w:r>
    </w:p>
    <w:p w14:paraId="011A7439" w14:textId="77777777" w:rsidR="006F253B" w:rsidRDefault="006F253B" w:rsidP="006F253B">
      <w:pPr>
        <w:tabs>
          <w:tab w:val="left" w:pos="851"/>
        </w:tabs>
        <w:ind w:left="851"/>
        <w:rPr>
          <w:sz w:val="24"/>
          <w:szCs w:val="24"/>
        </w:rPr>
      </w:pPr>
    </w:p>
    <w:p w14:paraId="6EE96660" w14:textId="77777777" w:rsidR="006F253B" w:rsidRDefault="006F253B" w:rsidP="006F253B">
      <w:pPr>
        <w:tabs>
          <w:tab w:val="left" w:pos="851"/>
        </w:tabs>
        <w:ind w:left="851"/>
        <w:rPr>
          <w:sz w:val="24"/>
          <w:szCs w:val="24"/>
          <w:u w:val="single"/>
        </w:rPr>
      </w:pPr>
      <w:r>
        <w:rPr>
          <w:sz w:val="24"/>
          <w:szCs w:val="24"/>
          <w:u w:val="single"/>
        </w:rPr>
        <w:t xml:space="preserve">Malignt </w:t>
      </w:r>
      <w:proofErr w:type="spellStart"/>
      <w:r>
        <w:rPr>
          <w:sz w:val="24"/>
          <w:szCs w:val="24"/>
          <w:u w:val="single"/>
        </w:rPr>
        <w:t>neuroleptikasyndrom</w:t>
      </w:r>
      <w:proofErr w:type="spellEnd"/>
      <w:r>
        <w:rPr>
          <w:sz w:val="24"/>
          <w:szCs w:val="24"/>
          <w:u w:val="single"/>
        </w:rPr>
        <w:t xml:space="preserve"> (NMS)</w:t>
      </w:r>
    </w:p>
    <w:p w14:paraId="0B096F82" w14:textId="77777777" w:rsidR="006F253B" w:rsidRDefault="006F253B" w:rsidP="006F253B">
      <w:pPr>
        <w:tabs>
          <w:tab w:val="left" w:pos="851"/>
        </w:tabs>
        <w:ind w:left="851"/>
        <w:rPr>
          <w:sz w:val="24"/>
          <w:szCs w:val="24"/>
        </w:rPr>
      </w:pPr>
      <w:r>
        <w:rPr>
          <w:sz w:val="24"/>
          <w:szCs w:val="24"/>
        </w:rPr>
        <w:t xml:space="preserve">NMS er et potentielt letalt symptomkompleks forbundet med antipsykotika. Der har i kliniske studier været sjældne rapporter om NMS under behandling med </w:t>
      </w:r>
      <w:proofErr w:type="spellStart"/>
      <w:r>
        <w:rPr>
          <w:sz w:val="24"/>
          <w:szCs w:val="24"/>
        </w:rPr>
        <w:t>aripiprazol</w:t>
      </w:r>
      <w:proofErr w:type="spellEnd"/>
      <w:r>
        <w:rPr>
          <w:sz w:val="24"/>
          <w:szCs w:val="24"/>
        </w:rPr>
        <w:t xml:space="preserve">. Kliniske manifestationer af NMS er </w:t>
      </w:r>
      <w:proofErr w:type="spellStart"/>
      <w:r>
        <w:rPr>
          <w:sz w:val="24"/>
          <w:szCs w:val="24"/>
        </w:rPr>
        <w:t>hyperpyreksi</w:t>
      </w:r>
      <w:proofErr w:type="spellEnd"/>
      <w:r>
        <w:rPr>
          <w:sz w:val="24"/>
          <w:szCs w:val="24"/>
        </w:rPr>
        <w:t xml:space="preserve">, muskelstivhed, ændret mental tilstand og tegn på autonom ustabilitet (uregelmæssig puls eller blodtryk, </w:t>
      </w:r>
      <w:proofErr w:type="spellStart"/>
      <w:r>
        <w:rPr>
          <w:sz w:val="24"/>
          <w:szCs w:val="24"/>
        </w:rPr>
        <w:t>takykardi</w:t>
      </w:r>
      <w:proofErr w:type="spellEnd"/>
      <w:r>
        <w:rPr>
          <w:sz w:val="24"/>
          <w:szCs w:val="24"/>
        </w:rPr>
        <w:t xml:space="preserve">, </w:t>
      </w:r>
      <w:proofErr w:type="spellStart"/>
      <w:r>
        <w:rPr>
          <w:sz w:val="24"/>
          <w:szCs w:val="24"/>
        </w:rPr>
        <w:t>diaforese</w:t>
      </w:r>
      <w:proofErr w:type="spellEnd"/>
      <w:r>
        <w:rPr>
          <w:sz w:val="24"/>
          <w:szCs w:val="24"/>
        </w:rPr>
        <w:t xml:space="preserve"> og </w:t>
      </w:r>
      <w:proofErr w:type="spellStart"/>
      <w:r>
        <w:rPr>
          <w:sz w:val="24"/>
          <w:szCs w:val="24"/>
        </w:rPr>
        <w:t>hjertearytmi</w:t>
      </w:r>
      <w:proofErr w:type="spellEnd"/>
      <w:r>
        <w:rPr>
          <w:sz w:val="24"/>
          <w:szCs w:val="24"/>
        </w:rPr>
        <w:t xml:space="preserve">). Yderligere tegn kan omfatte forhøjet </w:t>
      </w:r>
      <w:proofErr w:type="spellStart"/>
      <w:r>
        <w:rPr>
          <w:sz w:val="24"/>
          <w:szCs w:val="24"/>
        </w:rPr>
        <w:t>kreatinfosfokinase</w:t>
      </w:r>
      <w:proofErr w:type="spellEnd"/>
      <w:r>
        <w:rPr>
          <w:sz w:val="24"/>
          <w:szCs w:val="24"/>
        </w:rPr>
        <w:t xml:space="preserve">, </w:t>
      </w:r>
      <w:proofErr w:type="spellStart"/>
      <w:r>
        <w:rPr>
          <w:sz w:val="24"/>
          <w:szCs w:val="24"/>
        </w:rPr>
        <w:t>myoglobinuri</w:t>
      </w:r>
      <w:proofErr w:type="spellEnd"/>
      <w:r>
        <w:rPr>
          <w:sz w:val="24"/>
          <w:szCs w:val="24"/>
        </w:rPr>
        <w:t xml:space="preserve"> (</w:t>
      </w:r>
      <w:proofErr w:type="spellStart"/>
      <w:r>
        <w:rPr>
          <w:sz w:val="24"/>
          <w:szCs w:val="24"/>
        </w:rPr>
        <w:t>rhabdomyolyse</w:t>
      </w:r>
      <w:proofErr w:type="spellEnd"/>
      <w:r>
        <w:rPr>
          <w:sz w:val="24"/>
          <w:szCs w:val="24"/>
        </w:rPr>
        <w:t xml:space="preserve">) og akut nyresvigt. Forhøjet </w:t>
      </w:r>
      <w:proofErr w:type="spellStart"/>
      <w:r>
        <w:rPr>
          <w:sz w:val="24"/>
          <w:szCs w:val="24"/>
        </w:rPr>
        <w:t>kreatinfosfokinase</w:t>
      </w:r>
      <w:proofErr w:type="spellEnd"/>
      <w:r>
        <w:rPr>
          <w:sz w:val="24"/>
          <w:szCs w:val="24"/>
        </w:rPr>
        <w:t xml:space="preserve"> og </w:t>
      </w:r>
      <w:proofErr w:type="spellStart"/>
      <w:r>
        <w:rPr>
          <w:sz w:val="24"/>
          <w:szCs w:val="24"/>
        </w:rPr>
        <w:t>rhabdomyolyse</w:t>
      </w:r>
      <w:proofErr w:type="spellEnd"/>
      <w:r>
        <w:rPr>
          <w:sz w:val="24"/>
          <w:szCs w:val="24"/>
        </w:rPr>
        <w:t xml:space="preserve">, der ikke nødvendigvis er forbundet med NMS, er dog også rapporteret. Hvis patienten udvikler symptomer på NMS eller uforklarligt får høj feber uden andre kliniske manifestationer på NMS, skal alle antipsykotika, herunder </w:t>
      </w:r>
      <w:proofErr w:type="spellStart"/>
      <w:r>
        <w:rPr>
          <w:sz w:val="24"/>
          <w:szCs w:val="24"/>
        </w:rPr>
        <w:t>aripiprazol</w:t>
      </w:r>
      <w:proofErr w:type="spellEnd"/>
      <w:r>
        <w:rPr>
          <w:sz w:val="24"/>
          <w:szCs w:val="24"/>
        </w:rPr>
        <w:t xml:space="preserve">, seponeres. </w:t>
      </w:r>
    </w:p>
    <w:p w14:paraId="04078C32" w14:textId="77777777" w:rsidR="006F253B" w:rsidRDefault="006F253B" w:rsidP="006F253B">
      <w:pPr>
        <w:tabs>
          <w:tab w:val="left" w:pos="851"/>
        </w:tabs>
        <w:ind w:left="851"/>
        <w:rPr>
          <w:sz w:val="24"/>
          <w:szCs w:val="24"/>
        </w:rPr>
      </w:pPr>
    </w:p>
    <w:p w14:paraId="309A15F5" w14:textId="77777777" w:rsidR="006F253B" w:rsidRDefault="006F253B" w:rsidP="006F253B">
      <w:pPr>
        <w:tabs>
          <w:tab w:val="left" w:pos="851"/>
        </w:tabs>
        <w:ind w:left="851"/>
        <w:rPr>
          <w:sz w:val="24"/>
          <w:szCs w:val="24"/>
          <w:u w:val="single"/>
        </w:rPr>
      </w:pPr>
      <w:r>
        <w:rPr>
          <w:sz w:val="24"/>
          <w:szCs w:val="24"/>
          <w:u w:val="single"/>
        </w:rPr>
        <w:t>Krampeanfald</w:t>
      </w:r>
    </w:p>
    <w:p w14:paraId="22492FE6" w14:textId="77777777" w:rsidR="006F253B" w:rsidRDefault="006F253B" w:rsidP="006F253B">
      <w:pPr>
        <w:tabs>
          <w:tab w:val="left" w:pos="851"/>
        </w:tabs>
        <w:ind w:left="851"/>
        <w:rPr>
          <w:sz w:val="24"/>
          <w:szCs w:val="24"/>
        </w:rPr>
      </w:pPr>
      <w:r>
        <w:rPr>
          <w:sz w:val="24"/>
          <w:szCs w:val="24"/>
        </w:rPr>
        <w:t xml:space="preserve">Der er i kliniske studier rapporteret sjældne tilfælde af kramper under behandling med </w:t>
      </w:r>
      <w:proofErr w:type="spellStart"/>
      <w:r>
        <w:rPr>
          <w:sz w:val="24"/>
          <w:szCs w:val="24"/>
        </w:rPr>
        <w:t>aripiprazol</w:t>
      </w:r>
      <w:proofErr w:type="spellEnd"/>
      <w:r>
        <w:rPr>
          <w:sz w:val="24"/>
          <w:szCs w:val="24"/>
        </w:rPr>
        <w:t xml:space="preserve">. </w:t>
      </w:r>
      <w:proofErr w:type="spellStart"/>
      <w:r>
        <w:rPr>
          <w:sz w:val="24"/>
          <w:szCs w:val="24"/>
        </w:rPr>
        <w:t>Aripiprazol</w:t>
      </w:r>
      <w:proofErr w:type="spellEnd"/>
      <w:r>
        <w:rPr>
          <w:sz w:val="24"/>
          <w:szCs w:val="24"/>
        </w:rPr>
        <w:t xml:space="preserve"> skal dog anvendes med forsigtighed til patienter, der tidligere har haft kramper eller har sygdom forbundet med kramper </w:t>
      </w:r>
      <w:r>
        <w:t>(se pkt. 4.8)</w:t>
      </w:r>
      <w:r>
        <w:rPr>
          <w:sz w:val="24"/>
          <w:szCs w:val="24"/>
        </w:rPr>
        <w:t xml:space="preserve">. </w:t>
      </w:r>
    </w:p>
    <w:p w14:paraId="6CBF4080" w14:textId="77777777" w:rsidR="006F253B" w:rsidRDefault="006F253B" w:rsidP="006F253B">
      <w:pPr>
        <w:rPr>
          <w:sz w:val="24"/>
          <w:szCs w:val="24"/>
        </w:rPr>
      </w:pPr>
    </w:p>
    <w:p w14:paraId="001A6651" w14:textId="77777777" w:rsidR="006F253B" w:rsidRDefault="006F253B" w:rsidP="006F253B">
      <w:pPr>
        <w:tabs>
          <w:tab w:val="left" w:pos="851"/>
        </w:tabs>
        <w:ind w:left="851"/>
        <w:rPr>
          <w:sz w:val="24"/>
          <w:szCs w:val="24"/>
          <w:u w:val="single"/>
        </w:rPr>
      </w:pPr>
      <w:r>
        <w:rPr>
          <w:sz w:val="24"/>
          <w:szCs w:val="24"/>
          <w:u w:val="single"/>
        </w:rPr>
        <w:t>Ældre patienter med demensrelaterede psykoser</w:t>
      </w:r>
    </w:p>
    <w:p w14:paraId="0FD3CFA0" w14:textId="77777777" w:rsidR="006F253B" w:rsidRDefault="006F253B" w:rsidP="006F253B">
      <w:pPr>
        <w:tabs>
          <w:tab w:val="left" w:pos="851"/>
        </w:tabs>
        <w:ind w:left="851"/>
        <w:rPr>
          <w:sz w:val="24"/>
          <w:szCs w:val="24"/>
        </w:rPr>
      </w:pPr>
    </w:p>
    <w:p w14:paraId="4BD0E852" w14:textId="77777777" w:rsidR="006F253B" w:rsidRDefault="006F253B" w:rsidP="006F253B">
      <w:pPr>
        <w:tabs>
          <w:tab w:val="left" w:pos="851"/>
        </w:tabs>
        <w:ind w:left="851"/>
        <w:rPr>
          <w:i/>
          <w:sz w:val="24"/>
          <w:szCs w:val="24"/>
        </w:rPr>
      </w:pPr>
      <w:r>
        <w:rPr>
          <w:i/>
          <w:sz w:val="24"/>
          <w:szCs w:val="24"/>
        </w:rPr>
        <w:t xml:space="preserve">Stigning i dødsfald </w:t>
      </w:r>
    </w:p>
    <w:p w14:paraId="286D66AA" w14:textId="77777777" w:rsidR="006F253B" w:rsidRDefault="006F253B" w:rsidP="006F253B">
      <w:pPr>
        <w:tabs>
          <w:tab w:val="left" w:pos="851"/>
        </w:tabs>
        <w:ind w:left="851"/>
        <w:rPr>
          <w:sz w:val="24"/>
          <w:szCs w:val="24"/>
        </w:rPr>
      </w:pPr>
      <w:r>
        <w:rPr>
          <w:sz w:val="24"/>
          <w:szCs w:val="24"/>
        </w:rPr>
        <w:t>I tre placebokontrollerede studier (n = 938; gennemsnitsalder: 82,4 år; aldersspænd: 56</w:t>
      </w:r>
      <w:r w:rsidR="00685C46">
        <w:rPr>
          <w:sz w:val="24"/>
          <w:szCs w:val="24"/>
        </w:rPr>
        <w:t xml:space="preserve"> til </w:t>
      </w:r>
      <w:r>
        <w:rPr>
          <w:sz w:val="24"/>
          <w:szCs w:val="24"/>
        </w:rPr>
        <w:t xml:space="preserve">99 år) med ældre patienter med psykose i forbindelse med Alzheimer-sygdom sås øget risiko for dødsfald hos patienter behandlet med </w:t>
      </w:r>
      <w:proofErr w:type="spellStart"/>
      <w:r>
        <w:rPr>
          <w:sz w:val="24"/>
          <w:szCs w:val="24"/>
        </w:rPr>
        <w:t>aripiprazol</w:t>
      </w:r>
      <w:proofErr w:type="spellEnd"/>
      <w:r>
        <w:rPr>
          <w:sz w:val="24"/>
          <w:szCs w:val="24"/>
        </w:rPr>
        <w:t xml:space="preserve"> sammenlignet med placebo. Dødeligheden var 3,5 % blandt </w:t>
      </w:r>
      <w:proofErr w:type="spellStart"/>
      <w:r>
        <w:rPr>
          <w:sz w:val="24"/>
          <w:szCs w:val="24"/>
        </w:rPr>
        <w:t>aripiprazol</w:t>
      </w:r>
      <w:proofErr w:type="spellEnd"/>
      <w:r>
        <w:rPr>
          <w:sz w:val="24"/>
          <w:szCs w:val="24"/>
        </w:rPr>
        <w:t xml:space="preserve">-behandlede patienter sammenlignet med 1,7 % i placebogruppen. Selv om dødsårsagerne var forskellige, havde de fleste dødsfald </w:t>
      </w:r>
      <w:proofErr w:type="spellStart"/>
      <w:r>
        <w:rPr>
          <w:sz w:val="24"/>
          <w:szCs w:val="24"/>
        </w:rPr>
        <w:t>cerebrovaskulære</w:t>
      </w:r>
      <w:proofErr w:type="spellEnd"/>
      <w:r>
        <w:rPr>
          <w:sz w:val="24"/>
          <w:szCs w:val="24"/>
        </w:rPr>
        <w:t xml:space="preserve"> (fx hjertesvigt, pludselig død) eller infektiøse årsager (fx lungebetændelse) </w:t>
      </w:r>
      <w:r>
        <w:t>(se pkt. 4.8)</w:t>
      </w:r>
      <w:r>
        <w:rPr>
          <w:sz w:val="24"/>
          <w:szCs w:val="24"/>
        </w:rPr>
        <w:t xml:space="preserve">. </w:t>
      </w:r>
    </w:p>
    <w:p w14:paraId="080861C0" w14:textId="77777777" w:rsidR="006F253B" w:rsidRDefault="006F253B" w:rsidP="006F253B">
      <w:pPr>
        <w:tabs>
          <w:tab w:val="left" w:pos="851"/>
        </w:tabs>
        <w:ind w:left="851"/>
        <w:rPr>
          <w:sz w:val="24"/>
          <w:szCs w:val="24"/>
        </w:rPr>
      </w:pPr>
    </w:p>
    <w:p w14:paraId="449ABBFF" w14:textId="77777777" w:rsidR="006F253B" w:rsidRDefault="006F253B" w:rsidP="006F253B">
      <w:pPr>
        <w:keepNext/>
        <w:tabs>
          <w:tab w:val="left" w:pos="851"/>
        </w:tabs>
        <w:ind w:left="851"/>
        <w:rPr>
          <w:i/>
          <w:sz w:val="24"/>
          <w:szCs w:val="24"/>
        </w:rPr>
      </w:pPr>
      <w:proofErr w:type="spellStart"/>
      <w:r>
        <w:rPr>
          <w:i/>
          <w:sz w:val="24"/>
          <w:szCs w:val="24"/>
        </w:rPr>
        <w:t>Cerebrovaskulære</w:t>
      </w:r>
      <w:proofErr w:type="spellEnd"/>
      <w:r>
        <w:rPr>
          <w:i/>
          <w:sz w:val="24"/>
          <w:szCs w:val="24"/>
        </w:rPr>
        <w:t xml:space="preserve"> bivirkninger </w:t>
      </w:r>
    </w:p>
    <w:p w14:paraId="7F2AF6C8" w14:textId="77777777" w:rsidR="006F253B" w:rsidRDefault="006F253B" w:rsidP="006F253B">
      <w:pPr>
        <w:tabs>
          <w:tab w:val="left" w:pos="851"/>
        </w:tabs>
        <w:ind w:left="851"/>
        <w:rPr>
          <w:sz w:val="24"/>
          <w:szCs w:val="24"/>
        </w:rPr>
      </w:pPr>
      <w:r>
        <w:rPr>
          <w:sz w:val="24"/>
          <w:szCs w:val="24"/>
        </w:rPr>
        <w:t xml:space="preserve">Der er i de samme studier rapporteret </w:t>
      </w:r>
      <w:proofErr w:type="spellStart"/>
      <w:r>
        <w:rPr>
          <w:sz w:val="24"/>
          <w:szCs w:val="24"/>
        </w:rPr>
        <w:t>cerebrovaskulære</w:t>
      </w:r>
      <w:proofErr w:type="spellEnd"/>
      <w:r>
        <w:rPr>
          <w:sz w:val="24"/>
          <w:szCs w:val="24"/>
        </w:rPr>
        <w:t xml:space="preserve"> bivirkninger (fx apopleksi og transitorisk iskæmi (TIA)) samt dødsfald hos patienter (gennemsnitsalder: 84 år; aldersspænd: 78</w:t>
      </w:r>
      <w:r w:rsidR="00685C46">
        <w:rPr>
          <w:sz w:val="24"/>
          <w:szCs w:val="24"/>
        </w:rPr>
        <w:t xml:space="preserve"> til </w:t>
      </w:r>
      <w:r>
        <w:rPr>
          <w:sz w:val="24"/>
          <w:szCs w:val="24"/>
        </w:rPr>
        <w:t xml:space="preserve">88 år). Der er i alt indberettet </w:t>
      </w:r>
      <w:proofErr w:type="spellStart"/>
      <w:r>
        <w:rPr>
          <w:sz w:val="24"/>
          <w:szCs w:val="24"/>
        </w:rPr>
        <w:t>cerebrovaskulære</w:t>
      </w:r>
      <w:proofErr w:type="spellEnd"/>
      <w:r>
        <w:rPr>
          <w:sz w:val="24"/>
          <w:szCs w:val="24"/>
        </w:rPr>
        <w:t xml:space="preserve"> bivirkninger hos 1,3 % af de </w:t>
      </w:r>
      <w:proofErr w:type="spellStart"/>
      <w:r>
        <w:rPr>
          <w:sz w:val="24"/>
          <w:szCs w:val="24"/>
        </w:rPr>
        <w:t>aripiprazol</w:t>
      </w:r>
      <w:proofErr w:type="spellEnd"/>
      <w:r>
        <w:rPr>
          <w:sz w:val="24"/>
          <w:szCs w:val="24"/>
        </w:rPr>
        <w:t xml:space="preserve">-behandlede patienter i studierne sammenlignet med 0,6 % af de placebo-behandlede. Forskellen var ikke statistisk signifikant. I et af disse studier, et studie med fast dosis, sås signifikant dosis-responsforhold for </w:t>
      </w:r>
      <w:proofErr w:type="spellStart"/>
      <w:r>
        <w:rPr>
          <w:sz w:val="24"/>
          <w:szCs w:val="24"/>
        </w:rPr>
        <w:t>cerebrovaskulære</w:t>
      </w:r>
      <w:proofErr w:type="spellEnd"/>
      <w:r>
        <w:rPr>
          <w:sz w:val="24"/>
          <w:szCs w:val="24"/>
        </w:rPr>
        <w:t xml:space="preserve"> bivirkninger hos </w:t>
      </w:r>
      <w:proofErr w:type="spellStart"/>
      <w:r>
        <w:rPr>
          <w:sz w:val="24"/>
          <w:szCs w:val="24"/>
        </w:rPr>
        <w:t>aripiprazol</w:t>
      </w:r>
      <w:proofErr w:type="spellEnd"/>
      <w:r>
        <w:rPr>
          <w:sz w:val="24"/>
          <w:szCs w:val="24"/>
        </w:rPr>
        <w:t xml:space="preserve">-behandlede patienter </w:t>
      </w:r>
      <w:r>
        <w:t>(se pkt. 4.8)</w:t>
      </w:r>
      <w:r>
        <w:rPr>
          <w:sz w:val="24"/>
          <w:szCs w:val="24"/>
        </w:rPr>
        <w:t xml:space="preserve">. </w:t>
      </w:r>
    </w:p>
    <w:p w14:paraId="2E4A4BFF" w14:textId="77777777" w:rsidR="006F253B" w:rsidRDefault="006F253B" w:rsidP="006F253B">
      <w:pPr>
        <w:tabs>
          <w:tab w:val="left" w:pos="851"/>
        </w:tabs>
        <w:ind w:left="851"/>
        <w:rPr>
          <w:sz w:val="24"/>
          <w:szCs w:val="24"/>
        </w:rPr>
      </w:pPr>
    </w:p>
    <w:p w14:paraId="73523A7E" w14:textId="77777777" w:rsidR="006F253B" w:rsidRDefault="006F253B" w:rsidP="006F253B">
      <w:pPr>
        <w:tabs>
          <w:tab w:val="left" w:pos="851"/>
        </w:tabs>
        <w:ind w:left="851"/>
        <w:rPr>
          <w:sz w:val="24"/>
          <w:szCs w:val="24"/>
        </w:rPr>
      </w:pPr>
      <w:proofErr w:type="spellStart"/>
      <w:r>
        <w:rPr>
          <w:sz w:val="24"/>
          <w:szCs w:val="24"/>
        </w:rPr>
        <w:t>Aripiprazole</w:t>
      </w:r>
      <w:proofErr w:type="spellEnd"/>
      <w:r>
        <w:rPr>
          <w:sz w:val="24"/>
          <w:szCs w:val="24"/>
        </w:rPr>
        <w:t xml:space="preserve"> er ikke indiceret til behandling </w:t>
      </w:r>
      <w:r>
        <w:t>af patienter</w:t>
      </w:r>
      <w:r>
        <w:rPr>
          <w:sz w:val="24"/>
          <w:szCs w:val="24"/>
        </w:rPr>
        <w:t xml:space="preserve"> med demensrelateret psykose. </w:t>
      </w:r>
    </w:p>
    <w:p w14:paraId="349AF134" w14:textId="77777777" w:rsidR="006F253B" w:rsidRDefault="006F253B" w:rsidP="006F253B">
      <w:pPr>
        <w:tabs>
          <w:tab w:val="left" w:pos="851"/>
        </w:tabs>
        <w:ind w:left="851"/>
        <w:rPr>
          <w:sz w:val="24"/>
          <w:szCs w:val="24"/>
        </w:rPr>
      </w:pPr>
    </w:p>
    <w:p w14:paraId="3724346E" w14:textId="77777777" w:rsidR="006F253B" w:rsidRPr="00685C46" w:rsidRDefault="006F253B" w:rsidP="006F253B">
      <w:pPr>
        <w:tabs>
          <w:tab w:val="left" w:pos="851"/>
        </w:tabs>
        <w:ind w:left="851"/>
        <w:rPr>
          <w:sz w:val="24"/>
          <w:szCs w:val="24"/>
          <w:u w:val="single"/>
        </w:rPr>
      </w:pPr>
      <w:proofErr w:type="spellStart"/>
      <w:r w:rsidRPr="00685C46">
        <w:rPr>
          <w:sz w:val="24"/>
          <w:szCs w:val="24"/>
          <w:u w:val="single"/>
        </w:rPr>
        <w:t>Hyperglykæmi</w:t>
      </w:r>
      <w:proofErr w:type="spellEnd"/>
      <w:r w:rsidRPr="00685C46">
        <w:rPr>
          <w:sz w:val="24"/>
          <w:szCs w:val="24"/>
          <w:u w:val="single"/>
        </w:rPr>
        <w:t xml:space="preserve"> og diabetes mellitus </w:t>
      </w:r>
    </w:p>
    <w:p w14:paraId="02FC1FF4" w14:textId="77777777" w:rsidR="006F253B" w:rsidRDefault="006F253B" w:rsidP="006F253B">
      <w:pPr>
        <w:tabs>
          <w:tab w:val="left" w:pos="851"/>
        </w:tabs>
        <w:ind w:left="851"/>
        <w:rPr>
          <w:sz w:val="24"/>
          <w:szCs w:val="24"/>
        </w:rPr>
      </w:pPr>
      <w:r>
        <w:rPr>
          <w:sz w:val="24"/>
          <w:szCs w:val="24"/>
        </w:rPr>
        <w:t xml:space="preserve">Der er indberettet </w:t>
      </w:r>
      <w:proofErr w:type="spellStart"/>
      <w:r>
        <w:rPr>
          <w:sz w:val="24"/>
          <w:szCs w:val="24"/>
        </w:rPr>
        <w:t>hyperglykæmi</w:t>
      </w:r>
      <w:proofErr w:type="spellEnd"/>
      <w:r>
        <w:rPr>
          <w:sz w:val="24"/>
          <w:szCs w:val="24"/>
        </w:rPr>
        <w:t xml:space="preserve">, i nogle tilfælde udtalt og relateret til </w:t>
      </w:r>
      <w:proofErr w:type="spellStart"/>
      <w:r>
        <w:rPr>
          <w:sz w:val="24"/>
          <w:szCs w:val="24"/>
        </w:rPr>
        <w:t>ketoacidose</w:t>
      </w:r>
      <w:proofErr w:type="spellEnd"/>
      <w:r>
        <w:rPr>
          <w:sz w:val="24"/>
          <w:szCs w:val="24"/>
        </w:rPr>
        <w:t xml:space="preserve"> eller </w:t>
      </w:r>
      <w:proofErr w:type="spellStart"/>
      <w:r>
        <w:rPr>
          <w:sz w:val="24"/>
          <w:szCs w:val="24"/>
        </w:rPr>
        <w:t>hyperosmolær</w:t>
      </w:r>
      <w:proofErr w:type="spellEnd"/>
      <w:r>
        <w:rPr>
          <w:sz w:val="24"/>
          <w:szCs w:val="24"/>
        </w:rPr>
        <w:t xml:space="preserve"> koma eller død, hos patienter i behandling med atypiske antipsykotika, herunder </w:t>
      </w:r>
      <w:proofErr w:type="spellStart"/>
      <w:r>
        <w:rPr>
          <w:sz w:val="24"/>
          <w:szCs w:val="24"/>
        </w:rPr>
        <w:t>aripiprazol</w:t>
      </w:r>
      <w:proofErr w:type="spellEnd"/>
      <w:r>
        <w:rPr>
          <w:sz w:val="24"/>
          <w:szCs w:val="24"/>
        </w:rPr>
        <w:t xml:space="preserve">. Risikofaktorer, der kan disponere patienterne for alvorlige komplikationer, omfatter overvægt og arvelig diabetes. I kliniske undersøgelser med </w:t>
      </w:r>
      <w:proofErr w:type="spellStart"/>
      <w:r>
        <w:rPr>
          <w:sz w:val="24"/>
          <w:szCs w:val="24"/>
        </w:rPr>
        <w:t>aripiprazol</w:t>
      </w:r>
      <w:proofErr w:type="spellEnd"/>
      <w:r>
        <w:rPr>
          <w:sz w:val="24"/>
          <w:szCs w:val="24"/>
        </w:rPr>
        <w:t xml:space="preserve"> sås ingen signifikant forskel i forekomst af </w:t>
      </w:r>
      <w:proofErr w:type="spellStart"/>
      <w:r>
        <w:rPr>
          <w:sz w:val="24"/>
          <w:szCs w:val="24"/>
        </w:rPr>
        <w:t>hyperglykæmi</w:t>
      </w:r>
      <w:proofErr w:type="spellEnd"/>
      <w:r>
        <w:rPr>
          <w:sz w:val="24"/>
          <w:szCs w:val="24"/>
        </w:rPr>
        <w:t xml:space="preserve">-relaterede bivirkninger (herunder diabetes) eller i abnorme </w:t>
      </w:r>
      <w:proofErr w:type="spellStart"/>
      <w:r>
        <w:rPr>
          <w:sz w:val="24"/>
          <w:szCs w:val="24"/>
        </w:rPr>
        <w:t>glykæmiske</w:t>
      </w:r>
      <w:proofErr w:type="spellEnd"/>
      <w:r>
        <w:rPr>
          <w:sz w:val="24"/>
          <w:szCs w:val="24"/>
        </w:rPr>
        <w:t xml:space="preserve"> laboratorieværdier sammenlignet med placebo. Præcise risikovurderinger for </w:t>
      </w:r>
      <w:proofErr w:type="spellStart"/>
      <w:r>
        <w:rPr>
          <w:sz w:val="24"/>
          <w:szCs w:val="24"/>
        </w:rPr>
        <w:t>hyperglykæmi</w:t>
      </w:r>
      <w:proofErr w:type="spellEnd"/>
      <w:r>
        <w:rPr>
          <w:sz w:val="24"/>
          <w:szCs w:val="24"/>
        </w:rPr>
        <w:t xml:space="preserve">-relaterede bivirkninger hos patienter behandlet med </w:t>
      </w:r>
      <w:proofErr w:type="spellStart"/>
      <w:r>
        <w:rPr>
          <w:sz w:val="24"/>
          <w:szCs w:val="24"/>
        </w:rPr>
        <w:t>aripiprazol</w:t>
      </w:r>
      <w:proofErr w:type="spellEnd"/>
      <w:r>
        <w:rPr>
          <w:sz w:val="24"/>
          <w:szCs w:val="24"/>
        </w:rPr>
        <w:t xml:space="preserve"> eller andre atypiske antipsykotika er ikke tilgængelige til at kunne lave en direkte sammenligning. Patienter, som behandles med antipsykotika, herunder </w:t>
      </w:r>
      <w:proofErr w:type="spellStart"/>
      <w:r>
        <w:rPr>
          <w:sz w:val="24"/>
          <w:szCs w:val="24"/>
        </w:rPr>
        <w:t>aripiprazol</w:t>
      </w:r>
      <w:proofErr w:type="spellEnd"/>
      <w:r>
        <w:rPr>
          <w:sz w:val="24"/>
          <w:szCs w:val="24"/>
        </w:rPr>
        <w:t xml:space="preserve">, bør observeres for symptomer for </w:t>
      </w:r>
      <w:proofErr w:type="spellStart"/>
      <w:r>
        <w:rPr>
          <w:sz w:val="24"/>
          <w:szCs w:val="24"/>
        </w:rPr>
        <w:t>hyperglykæmi</w:t>
      </w:r>
      <w:proofErr w:type="spellEnd"/>
      <w:r>
        <w:rPr>
          <w:sz w:val="24"/>
          <w:szCs w:val="24"/>
        </w:rPr>
        <w:t xml:space="preserve"> (fx polydipsi, </w:t>
      </w:r>
      <w:proofErr w:type="spellStart"/>
      <w:r>
        <w:rPr>
          <w:sz w:val="24"/>
          <w:szCs w:val="24"/>
        </w:rPr>
        <w:t>polyuri</w:t>
      </w:r>
      <w:proofErr w:type="spellEnd"/>
      <w:r>
        <w:rPr>
          <w:sz w:val="24"/>
          <w:szCs w:val="24"/>
        </w:rPr>
        <w:t xml:space="preserve">, </w:t>
      </w:r>
      <w:proofErr w:type="spellStart"/>
      <w:r>
        <w:rPr>
          <w:sz w:val="24"/>
          <w:szCs w:val="24"/>
        </w:rPr>
        <w:t>polyfagi</w:t>
      </w:r>
      <w:proofErr w:type="spellEnd"/>
      <w:r>
        <w:rPr>
          <w:sz w:val="24"/>
          <w:szCs w:val="24"/>
        </w:rPr>
        <w:t xml:space="preserve"> og svækkelse), og patienter med diabetes mellitus eller med risiko for at udvikle diabetes mellitus bør monitoreres regelmæssigt med henblik på forværring i </w:t>
      </w:r>
      <w:proofErr w:type="spellStart"/>
      <w:r>
        <w:rPr>
          <w:sz w:val="24"/>
          <w:szCs w:val="24"/>
        </w:rPr>
        <w:t>glucosekontrollen</w:t>
      </w:r>
      <w:proofErr w:type="spellEnd"/>
      <w:r>
        <w:rPr>
          <w:sz w:val="24"/>
          <w:szCs w:val="24"/>
        </w:rPr>
        <w:t xml:space="preserve"> </w:t>
      </w:r>
      <w:r>
        <w:t>(se pkt. 4.8)</w:t>
      </w:r>
      <w:r>
        <w:rPr>
          <w:sz w:val="24"/>
          <w:szCs w:val="24"/>
        </w:rPr>
        <w:t>.</w:t>
      </w:r>
    </w:p>
    <w:p w14:paraId="1D628BC4" w14:textId="77777777" w:rsidR="006F253B" w:rsidRDefault="006F253B" w:rsidP="006F253B">
      <w:pPr>
        <w:tabs>
          <w:tab w:val="left" w:pos="851"/>
        </w:tabs>
        <w:ind w:left="851"/>
        <w:rPr>
          <w:sz w:val="24"/>
          <w:szCs w:val="24"/>
        </w:rPr>
      </w:pPr>
    </w:p>
    <w:p w14:paraId="6898938D" w14:textId="77777777" w:rsidR="006F253B" w:rsidRDefault="006F253B" w:rsidP="006F253B">
      <w:pPr>
        <w:tabs>
          <w:tab w:val="left" w:pos="851"/>
        </w:tabs>
        <w:ind w:left="851"/>
        <w:rPr>
          <w:sz w:val="24"/>
          <w:szCs w:val="24"/>
          <w:u w:val="single"/>
        </w:rPr>
      </w:pPr>
      <w:r>
        <w:rPr>
          <w:sz w:val="24"/>
          <w:szCs w:val="24"/>
          <w:u w:val="single"/>
        </w:rPr>
        <w:t>Overfølsomhed</w:t>
      </w:r>
    </w:p>
    <w:p w14:paraId="406185A7" w14:textId="77777777" w:rsidR="006F253B" w:rsidRDefault="006F253B" w:rsidP="006F253B">
      <w:pPr>
        <w:tabs>
          <w:tab w:val="left" w:pos="851"/>
        </w:tabs>
        <w:ind w:left="851"/>
        <w:rPr>
          <w:sz w:val="24"/>
          <w:szCs w:val="24"/>
        </w:rPr>
      </w:pPr>
      <w:proofErr w:type="spellStart"/>
      <w:r>
        <w:rPr>
          <w:sz w:val="24"/>
          <w:szCs w:val="24"/>
        </w:rPr>
        <w:t>Aripiprazol</w:t>
      </w:r>
      <w:proofErr w:type="spellEnd"/>
      <w:r>
        <w:rPr>
          <w:sz w:val="24"/>
          <w:szCs w:val="24"/>
        </w:rPr>
        <w:t xml:space="preserve"> kan føre til overfølsomhedsreaktioner, som kendetegnes ved allergiske symptomer (se pkt. 4.8). </w:t>
      </w:r>
    </w:p>
    <w:p w14:paraId="7851340D" w14:textId="77777777" w:rsidR="006F253B" w:rsidRDefault="006F253B" w:rsidP="006F253B">
      <w:pPr>
        <w:tabs>
          <w:tab w:val="left" w:pos="851"/>
        </w:tabs>
        <w:ind w:left="851"/>
        <w:rPr>
          <w:sz w:val="24"/>
          <w:szCs w:val="24"/>
        </w:rPr>
      </w:pPr>
    </w:p>
    <w:p w14:paraId="5E46D580" w14:textId="77777777" w:rsidR="006F253B" w:rsidRDefault="006F253B" w:rsidP="006F253B">
      <w:pPr>
        <w:tabs>
          <w:tab w:val="left" w:pos="851"/>
        </w:tabs>
        <w:ind w:left="851"/>
        <w:rPr>
          <w:sz w:val="24"/>
          <w:szCs w:val="24"/>
          <w:u w:val="single"/>
        </w:rPr>
      </w:pPr>
      <w:r>
        <w:rPr>
          <w:sz w:val="24"/>
          <w:szCs w:val="24"/>
          <w:u w:val="single"/>
        </w:rPr>
        <w:t>Vægtstigning</w:t>
      </w:r>
    </w:p>
    <w:p w14:paraId="5E79763A" w14:textId="77777777" w:rsidR="006F253B" w:rsidRDefault="006F253B" w:rsidP="006F253B">
      <w:pPr>
        <w:tabs>
          <w:tab w:val="left" w:pos="851"/>
        </w:tabs>
        <w:ind w:left="851"/>
        <w:rPr>
          <w:sz w:val="24"/>
          <w:szCs w:val="24"/>
        </w:rPr>
      </w:pPr>
      <w:r>
        <w:rPr>
          <w:sz w:val="24"/>
          <w:szCs w:val="24"/>
        </w:rPr>
        <w:t xml:space="preserve">Vægtstigning er almindeligt forekommende hos patienter med skizofreni og bipolar lidelse pga. samtidige sygdomme, anvendelse af antipsykotika, der vides at forårsage vægtstigning, og dårlig livsstil, og dette kan medføre alvorlige komplikationer. Der er efter markedsføring indberettet vægtstigning hos patienter behandlet med </w:t>
      </w:r>
      <w:proofErr w:type="spellStart"/>
      <w:r>
        <w:rPr>
          <w:sz w:val="24"/>
          <w:szCs w:val="24"/>
        </w:rPr>
        <w:t>aripiprazol</w:t>
      </w:r>
      <w:proofErr w:type="spellEnd"/>
      <w:r>
        <w:rPr>
          <w:sz w:val="24"/>
          <w:szCs w:val="24"/>
        </w:rPr>
        <w:t xml:space="preserve">. Når det ses, er det sædvanligvis hos patienter med signifikante risikofaktorer som fx </w:t>
      </w:r>
      <w:proofErr w:type="spellStart"/>
      <w:r>
        <w:rPr>
          <w:sz w:val="24"/>
          <w:szCs w:val="24"/>
        </w:rPr>
        <w:t>anamnestisk</w:t>
      </w:r>
      <w:proofErr w:type="spellEnd"/>
      <w:r>
        <w:rPr>
          <w:sz w:val="24"/>
          <w:szCs w:val="24"/>
        </w:rPr>
        <w:t xml:space="preserve"> diabetes, </w:t>
      </w:r>
      <w:proofErr w:type="spellStart"/>
      <w:r>
        <w:rPr>
          <w:sz w:val="24"/>
          <w:szCs w:val="24"/>
        </w:rPr>
        <w:t>thyreoideasygdomme</w:t>
      </w:r>
      <w:proofErr w:type="spellEnd"/>
      <w:r>
        <w:rPr>
          <w:sz w:val="24"/>
          <w:szCs w:val="24"/>
        </w:rPr>
        <w:t xml:space="preserve"> eller </w:t>
      </w:r>
      <w:proofErr w:type="spellStart"/>
      <w:r>
        <w:rPr>
          <w:sz w:val="24"/>
          <w:szCs w:val="24"/>
        </w:rPr>
        <w:t>hypofyseadenom</w:t>
      </w:r>
      <w:proofErr w:type="spellEnd"/>
      <w:r>
        <w:rPr>
          <w:sz w:val="24"/>
          <w:szCs w:val="24"/>
        </w:rPr>
        <w:t xml:space="preserve">. </w:t>
      </w:r>
      <w:proofErr w:type="spellStart"/>
      <w:r>
        <w:rPr>
          <w:sz w:val="24"/>
          <w:szCs w:val="24"/>
        </w:rPr>
        <w:t>Aripiprazol</w:t>
      </w:r>
      <w:proofErr w:type="spellEnd"/>
      <w:r>
        <w:rPr>
          <w:sz w:val="24"/>
          <w:szCs w:val="24"/>
        </w:rPr>
        <w:t xml:space="preserve"> har i kliniske studier ikke induceret klinisk relevant vægtstigning hos voksne (se pkt. 5.1). </w:t>
      </w:r>
      <w:r>
        <w:rPr>
          <w:szCs w:val="24"/>
        </w:rPr>
        <w:t xml:space="preserve">I kliniske studier med unge patienter med bipolar mani er </w:t>
      </w:r>
      <w:proofErr w:type="spellStart"/>
      <w:r>
        <w:rPr>
          <w:szCs w:val="24"/>
        </w:rPr>
        <w:t>aripiprazol</w:t>
      </w:r>
      <w:proofErr w:type="spellEnd"/>
      <w:r>
        <w:rPr>
          <w:szCs w:val="24"/>
        </w:rPr>
        <w:t xml:space="preserve"> påvist at være forbundet med vægtstigning efter 4 ugers behandling. </w:t>
      </w:r>
      <w:r>
        <w:rPr>
          <w:sz w:val="24"/>
          <w:szCs w:val="24"/>
        </w:rPr>
        <w:t xml:space="preserve">Vægten bør monitoreres hos unge patienter med bipolar mani og dosisreduktion overvejes, hvis klinisk signifikant vægtstigning optræder (se pkt. 4.8). </w:t>
      </w:r>
    </w:p>
    <w:p w14:paraId="74B96A08" w14:textId="77777777" w:rsidR="006F253B" w:rsidRDefault="006F253B" w:rsidP="006F253B">
      <w:pPr>
        <w:tabs>
          <w:tab w:val="left" w:pos="851"/>
        </w:tabs>
        <w:ind w:left="851"/>
        <w:rPr>
          <w:sz w:val="24"/>
          <w:szCs w:val="24"/>
        </w:rPr>
      </w:pPr>
    </w:p>
    <w:p w14:paraId="0825A261" w14:textId="77777777" w:rsidR="006F253B" w:rsidRDefault="006F253B" w:rsidP="006F253B">
      <w:pPr>
        <w:tabs>
          <w:tab w:val="left" w:pos="851"/>
        </w:tabs>
        <w:ind w:left="851"/>
        <w:rPr>
          <w:sz w:val="24"/>
          <w:szCs w:val="24"/>
          <w:u w:val="single"/>
        </w:rPr>
      </w:pPr>
      <w:proofErr w:type="spellStart"/>
      <w:r>
        <w:rPr>
          <w:sz w:val="24"/>
          <w:szCs w:val="24"/>
          <w:u w:val="single"/>
        </w:rPr>
        <w:t>Dysfagi</w:t>
      </w:r>
      <w:proofErr w:type="spellEnd"/>
    </w:p>
    <w:p w14:paraId="26D32541" w14:textId="77777777" w:rsidR="006F253B" w:rsidRDefault="006F253B" w:rsidP="006F253B">
      <w:pPr>
        <w:tabs>
          <w:tab w:val="left" w:pos="851"/>
        </w:tabs>
        <w:ind w:left="851"/>
        <w:rPr>
          <w:sz w:val="24"/>
          <w:szCs w:val="24"/>
        </w:rPr>
      </w:pPr>
      <w:proofErr w:type="spellStart"/>
      <w:r>
        <w:rPr>
          <w:sz w:val="24"/>
          <w:szCs w:val="24"/>
        </w:rPr>
        <w:t>Øsofagusdysmotilitet</w:t>
      </w:r>
      <w:proofErr w:type="spellEnd"/>
      <w:r>
        <w:rPr>
          <w:sz w:val="24"/>
          <w:szCs w:val="24"/>
        </w:rPr>
        <w:t xml:space="preserve"> og aspiration er forbundet med anvendelse af </w:t>
      </w:r>
      <w:proofErr w:type="gramStart"/>
      <w:r>
        <w:rPr>
          <w:sz w:val="24"/>
          <w:szCs w:val="24"/>
        </w:rPr>
        <w:t>antipsykotika ,</w:t>
      </w:r>
      <w:proofErr w:type="gramEnd"/>
      <w:r>
        <w:rPr>
          <w:sz w:val="24"/>
          <w:szCs w:val="24"/>
        </w:rPr>
        <w:t xml:space="preserve"> herunder </w:t>
      </w:r>
      <w:proofErr w:type="spellStart"/>
      <w:r>
        <w:rPr>
          <w:sz w:val="24"/>
          <w:szCs w:val="24"/>
        </w:rPr>
        <w:t>aripiprazol</w:t>
      </w:r>
      <w:proofErr w:type="spellEnd"/>
      <w:r>
        <w:rPr>
          <w:sz w:val="24"/>
          <w:szCs w:val="24"/>
        </w:rPr>
        <w:t xml:space="preserve">. </w:t>
      </w:r>
      <w:proofErr w:type="spellStart"/>
      <w:r>
        <w:rPr>
          <w:sz w:val="24"/>
          <w:szCs w:val="24"/>
        </w:rPr>
        <w:t>Aripiprazol</w:t>
      </w:r>
      <w:proofErr w:type="spellEnd"/>
      <w:r>
        <w:rPr>
          <w:sz w:val="24"/>
          <w:szCs w:val="24"/>
        </w:rPr>
        <w:t xml:space="preserve"> bør anvendes med forsigtighed hos patienter med risiko for aspirationspneumoni. </w:t>
      </w:r>
    </w:p>
    <w:p w14:paraId="0D48E311" w14:textId="77777777" w:rsidR="006F253B" w:rsidRDefault="006F253B" w:rsidP="006F253B">
      <w:pPr>
        <w:tabs>
          <w:tab w:val="left" w:pos="851"/>
        </w:tabs>
        <w:ind w:left="851"/>
        <w:rPr>
          <w:sz w:val="24"/>
          <w:szCs w:val="24"/>
        </w:rPr>
      </w:pPr>
    </w:p>
    <w:p w14:paraId="403BBC59" w14:textId="77777777" w:rsidR="006F253B" w:rsidRDefault="006F253B" w:rsidP="006F253B">
      <w:pPr>
        <w:tabs>
          <w:tab w:val="left" w:pos="851"/>
        </w:tabs>
        <w:ind w:left="851"/>
        <w:rPr>
          <w:sz w:val="24"/>
          <w:szCs w:val="24"/>
          <w:u w:val="single"/>
        </w:rPr>
      </w:pPr>
      <w:r>
        <w:rPr>
          <w:sz w:val="24"/>
          <w:szCs w:val="24"/>
          <w:u w:val="single"/>
        </w:rPr>
        <w:t>Ludomani og andre forstyrrelser af impulskontrollen</w:t>
      </w:r>
    </w:p>
    <w:p w14:paraId="4EB56C83" w14:textId="77777777" w:rsidR="006F253B" w:rsidRDefault="006F253B" w:rsidP="006F253B">
      <w:pPr>
        <w:tabs>
          <w:tab w:val="left" w:pos="851"/>
        </w:tabs>
        <w:ind w:left="851"/>
      </w:pPr>
      <w:r>
        <w:rPr>
          <w:sz w:val="24"/>
          <w:szCs w:val="24"/>
        </w:rPr>
        <w:t xml:space="preserve">Patienter kan opleve forskellige former for øget trang, især til hasardspil, og manglende evne til at styre denne trang, når de tager </w:t>
      </w:r>
      <w:proofErr w:type="spellStart"/>
      <w:r>
        <w:rPr>
          <w:sz w:val="24"/>
          <w:szCs w:val="24"/>
        </w:rPr>
        <w:t>aripiprazol</w:t>
      </w:r>
      <w:proofErr w:type="spellEnd"/>
      <w:r>
        <w:rPr>
          <w:sz w:val="24"/>
          <w:szCs w:val="24"/>
        </w:rPr>
        <w:t xml:space="preserve">. Andre former for trang, der er blevet rapporteret, omfatter: øget seksualdrift, </w:t>
      </w:r>
      <w:proofErr w:type="spellStart"/>
      <w:r>
        <w:rPr>
          <w:sz w:val="24"/>
          <w:szCs w:val="24"/>
        </w:rPr>
        <w:t>kompulsiv</w:t>
      </w:r>
      <w:proofErr w:type="spellEnd"/>
      <w:r>
        <w:rPr>
          <w:sz w:val="24"/>
          <w:szCs w:val="24"/>
        </w:rPr>
        <w:t xml:space="preserve"> trang til indkøb, overspisning samt anden impulsiv og </w:t>
      </w:r>
      <w:proofErr w:type="spellStart"/>
      <w:r>
        <w:rPr>
          <w:sz w:val="24"/>
          <w:szCs w:val="24"/>
        </w:rPr>
        <w:t>kompulsiv</w:t>
      </w:r>
      <w:proofErr w:type="spellEnd"/>
      <w:r>
        <w:rPr>
          <w:sz w:val="24"/>
          <w:szCs w:val="24"/>
        </w:rPr>
        <w:t xml:space="preserve"> adfærd. Det er vigtigt for ordinerende læger at spørge patienterne eller deres plejepersoner specifikt om udvikling af nye former for trang eller øget trang til hasardspil, sex, indkøb, overspisning eller andre former for trang under behandling med </w:t>
      </w:r>
      <w:proofErr w:type="spellStart"/>
      <w:r>
        <w:rPr>
          <w:sz w:val="24"/>
          <w:szCs w:val="24"/>
        </w:rPr>
        <w:t>aripiprazol</w:t>
      </w:r>
      <w:proofErr w:type="spellEnd"/>
      <w:r>
        <w:rPr>
          <w:sz w:val="24"/>
          <w:szCs w:val="24"/>
        </w:rPr>
        <w:t xml:space="preserve">. Det skal bemærkes, at symptomer på manglende impulskontrol kan være forbundet med den underliggende tilstand; i nogle tilfælde er adfærden ifølge rapporter dog ophørt, når dosen er blevet reduceret eller lægemidlet seponeret. Manglende impulskontrol kan medføre skade på patienten og andre, hvis tilstanden ikke anerkendes. Overvej dosisreduktion eller </w:t>
      </w:r>
      <w:proofErr w:type="spellStart"/>
      <w:r>
        <w:rPr>
          <w:sz w:val="24"/>
          <w:szCs w:val="24"/>
        </w:rPr>
        <w:t>seponering</w:t>
      </w:r>
      <w:proofErr w:type="spellEnd"/>
      <w:r>
        <w:rPr>
          <w:sz w:val="24"/>
          <w:szCs w:val="24"/>
        </w:rPr>
        <w:t xml:space="preserve"> af lægemidlet, hvis en patient udvikler en sådan adfærd under behandling med </w:t>
      </w:r>
      <w:proofErr w:type="spellStart"/>
      <w:r>
        <w:rPr>
          <w:sz w:val="24"/>
          <w:szCs w:val="24"/>
        </w:rPr>
        <w:t>aripiprazol</w:t>
      </w:r>
      <w:proofErr w:type="spellEnd"/>
      <w:r>
        <w:rPr>
          <w:sz w:val="24"/>
          <w:szCs w:val="24"/>
        </w:rPr>
        <w:t xml:space="preserve"> (se pkt. 4.8).</w:t>
      </w:r>
      <w:r>
        <w:t xml:space="preserve"> </w:t>
      </w:r>
    </w:p>
    <w:p w14:paraId="2110B0B0" w14:textId="77777777" w:rsidR="006E4352" w:rsidRDefault="006E4352" w:rsidP="006F253B">
      <w:pPr>
        <w:tabs>
          <w:tab w:val="left" w:pos="851"/>
        </w:tabs>
        <w:ind w:left="851"/>
        <w:rPr>
          <w:sz w:val="24"/>
          <w:szCs w:val="24"/>
        </w:rPr>
      </w:pPr>
    </w:p>
    <w:p w14:paraId="18571446" w14:textId="77777777" w:rsidR="00685C46" w:rsidRDefault="00685C46" w:rsidP="00685C46">
      <w:pPr>
        <w:tabs>
          <w:tab w:val="left" w:pos="851"/>
        </w:tabs>
        <w:ind w:left="851"/>
        <w:rPr>
          <w:sz w:val="24"/>
          <w:szCs w:val="24"/>
          <w:u w:val="single"/>
        </w:rPr>
      </w:pPr>
      <w:r>
        <w:rPr>
          <w:sz w:val="24"/>
          <w:szCs w:val="24"/>
          <w:u w:val="single"/>
        </w:rPr>
        <w:lastRenderedPageBreak/>
        <w:t xml:space="preserve">Patienter med </w:t>
      </w:r>
      <w:commentRangeStart w:id="1"/>
      <w:r w:rsidRPr="004F6589">
        <w:rPr>
          <w:sz w:val="24"/>
          <w:szCs w:val="24"/>
          <w:u w:val="single"/>
        </w:rPr>
        <w:t>ADHD (hyperaktiv opmærksomhedsforstyrrelse)</w:t>
      </w:r>
      <w:r>
        <w:rPr>
          <w:sz w:val="24"/>
          <w:szCs w:val="24"/>
          <w:u w:val="single"/>
        </w:rPr>
        <w:t xml:space="preserve"> </w:t>
      </w:r>
      <w:commentRangeEnd w:id="1"/>
      <w:r>
        <w:rPr>
          <w:rStyle w:val="Kommentarhenvisning"/>
          <w:lang w:eastAsia="da-DK"/>
        </w:rPr>
        <w:commentReference w:id="1"/>
      </w:r>
      <w:r>
        <w:rPr>
          <w:sz w:val="24"/>
          <w:szCs w:val="24"/>
          <w:u w:val="single"/>
        </w:rPr>
        <w:t xml:space="preserve">som </w:t>
      </w:r>
      <w:proofErr w:type="spellStart"/>
      <w:r>
        <w:rPr>
          <w:sz w:val="24"/>
          <w:szCs w:val="24"/>
          <w:u w:val="single"/>
        </w:rPr>
        <w:t>co</w:t>
      </w:r>
      <w:proofErr w:type="spellEnd"/>
      <w:r>
        <w:rPr>
          <w:sz w:val="24"/>
          <w:szCs w:val="24"/>
          <w:u w:val="single"/>
        </w:rPr>
        <w:t>-morbiditet</w:t>
      </w:r>
    </w:p>
    <w:p w14:paraId="5FB18E14" w14:textId="77777777" w:rsidR="00685C46" w:rsidRDefault="00685C46" w:rsidP="00685C46">
      <w:pPr>
        <w:tabs>
          <w:tab w:val="left" w:pos="851"/>
        </w:tabs>
        <w:ind w:left="851"/>
        <w:rPr>
          <w:sz w:val="24"/>
          <w:szCs w:val="24"/>
        </w:rPr>
      </w:pPr>
      <w:r>
        <w:rPr>
          <w:sz w:val="24"/>
          <w:szCs w:val="24"/>
        </w:rPr>
        <w:t xml:space="preserve">På trods af den høje frekvens af </w:t>
      </w:r>
      <w:proofErr w:type="spellStart"/>
      <w:r>
        <w:rPr>
          <w:sz w:val="24"/>
          <w:szCs w:val="24"/>
        </w:rPr>
        <w:t>co</w:t>
      </w:r>
      <w:proofErr w:type="spellEnd"/>
      <w:r>
        <w:rPr>
          <w:sz w:val="24"/>
          <w:szCs w:val="24"/>
        </w:rPr>
        <w:t xml:space="preserve">-morbiditet ved bipolar lidelse og ADHD, foreligger der meget begrænsede sikkerhedsdata for samtidig anvendelse af </w:t>
      </w:r>
      <w:proofErr w:type="spellStart"/>
      <w:r>
        <w:rPr>
          <w:sz w:val="24"/>
          <w:szCs w:val="24"/>
        </w:rPr>
        <w:t>aripiprazol</w:t>
      </w:r>
      <w:proofErr w:type="spellEnd"/>
      <w:r>
        <w:rPr>
          <w:sz w:val="24"/>
          <w:szCs w:val="24"/>
        </w:rPr>
        <w:t xml:space="preserve"> og </w:t>
      </w:r>
      <w:proofErr w:type="spellStart"/>
      <w:r>
        <w:rPr>
          <w:sz w:val="24"/>
          <w:szCs w:val="24"/>
        </w:rPr>
        <w:t>stimulantia</w:t>
      </w:r>
      <w:proofErr w:type="spellEnd"/>
      <w:r>
        <w:rPr>
          <w:sz w:val="24"/>
          <w:szCs w:val="24"/>
        </w:rPr>
        <w:t xml:space="preserve">. Der skal derfor udvises yderste forsigtighed, når disse lægemidler administreres samtidigt. </w:t>
      </w:r>
    </w:p>
    <w:p w14:paraId="39A48E80" w14:textId="77777777" w:rsidR="006F253B" w:rsidRDefault="006F253B" w:rsidP="006F253B">
      <w:pPr>
        <w:tabs>
          <w:tab w:val="left" w:pos="851"/>
        </w:tabs>
        <w:ind w:left="851"/>
        <w:rPr>
          <w:sz w:val="24"/>
          <w:szCs w:val="24"/>
        </w:rPr>
      </w:pPr>
    </w:p>
    <w:p w14:paraId="78FB9A4A" w14:textId="77777777" w:rsidR="006F253B" w:rsidRPr="00E02B82" w:rsidRDefault="006F253B" w:rsidP="006F253B">
      <w:pPr>
        <w:tabs>
          <w:tab w:val="left" w:pos="851"/>
        </w:tabs>
        <w:ind w:left="851"/>
        <w:rPr>
          <w:sz w:val="24"/>
          <w:szCs w:val="24"/>
          <w:u w:val="single"/>
        </w:rPr>
      </w:pPr>
      <w:r w:rsidRPr="00E02B82">
        <w:rPr>
          <w:sz w:val="24"/>
          <w:szCs w:val="24"/>
          <w:u w:val="single"/>
        </w:rPr>
        <w:t>Fald</w:t>
      </w:r>
    </w:p>
    <w:p w14:paraId="675B0842" w14:textId="77777777" w:rsidR="006F253B" w:rsidRDefault="006F253B" w:rsidP="006F253B">
      <w:pPr>
        <w:tabs>
          <w:tab w:val="left" w:pos="851"/>
        </w:tabs>
        <w:ind w:left="851"/>
        <w:rPr>
          <w:sz w:val="24"/>
          <w:szCs w:val="24"/>
        </w:rPr>
      </w:pPr>
      <w:proofErr w:type="spellStart"/>
      <w:r w:rsidRPr="00E550B1">
        <w:rPr>
          <w:sz w:val="24"/>
          <w:szCs w:val="24"/>
        </w:rPr>
        <w:t>Aripiprazol</w:t>
      </w:r>
      <w:proofErr w:type="spellEnd"/>
      <w:r w:rsidRPr="00E550B1">
        <w:rPr>
          <w:sz w:val="24"/>
          <w:szCs w:val="24"/>
        </w:rPr>
        <w:t xml:space="preserve"> kan medføre </w:t>
      </w:r>
      <w:proofErr w:type="spellStart"/>
      <w:r w:rsidRPr="00E550B1">
        <w:rPr>
          <w:sz w:val="24"/>
          <w:szCs w:val="24"/>
        </w:rPr>
        <w:t>somnolens</w:t>
      </w:r>
      <w:proofErr w:type="spellEnd"/>
      <w:r w:rsidRPr="00E550B1">
        <w:rPr>
          <w:sz w:val="24"/>
          <w:szCs w:val="24"/>
        </w:rPr>
        <w:t xml:space="preserve">, </w:t>
      </w:r>
      <w:proofErr w:type="spellStart"/>
      <w:r w:rsidRPr="00E550B1">
        <w:rPr>
          <w:sz w:val="24"/>
          <w:szCs w:val="24"/>
        </w:rPr>
        <w:t>postural</w:t>
      </w:r>
      <w:proofErr w:type="spellEnd"/>
      <w:r w:rsidRPr="00E550B1">
        <w:rPr>
          <w:sz w:val="24"/>
          <w:szCs w:val="24"/>
        </w:rPr>
        <w:t xml:space="preserve"> hypotension, motorisk og sensorisk ustabilitet, som kan medføre fald. Der skal udvises forsigtighed ved behandling af patienter med høj risiko, og en lavere startdosis bør overvejes (f.eks. ældre eller svækkede patienter; se pkt. 4.2).</w:t>
      </w:r>
      <w:r>
        <w:rPr>
          <w:sz w:val="24"/>
          <w:szCs w:val="24"/>
        </w:rPr>
        <w:t xml:space="preserve"> </w:t>
      </w:r>
    </w:p>
    <w:p w14:paraId="2A58C417" w14:textId="77777777" w:rsidR="006F253B" w:rsidRDefault="006F253B" w:rsidP="006F253B">
      <w:pPr>
        <w:tabs>
          <w:tab w:val="left" w:pos="851"/>
        </w:tabs>
        <w:ind w:left="851"/>
        <w:rPr>
          <w:sz w:val="24"/>
          <w:szCs w:val="24"/>
        </w:rPr>
      </w:pPr>
    </w:p>
    <w:p w14:paraId="2A67605A" w14:textId="77777777" w:rsidR="006F253B" w:rsidRDefault="006F253B" w:rsidP="006F253B">
      <w:pPr>
        <w:tabs>
          <w:tab w:val="left" w:pos="851"/>
        </w:tabs>
        <w:ind w:left="851"/>
        <w:rPr>
          <w:sz w:val="24"/>
          <w:szCs w:val="24"/>
          <w:u w:val="single"/>
        </w:rPr>
      </w:pPr>
      <w:r>
        <w:rPr>
          <w:sz w:val="24"/>
          <w:szCs w:val="24"/>
          <w:u w:val="single"/>
        </w:rPr>
        <w:t xml:space="preserve">Hjælpestoffer: </w:t>
      </w:r>
    </w:p>
    <w:p w14:paraId="5AE826CC" w14:textId="77777777" w:rsidR="006F253B" w:rsidRDefault="006F253B" w:rsidP="006F253B">
      <w:pPr>
        <w:pStyle w:val="Listeafsnit"/>
        <w:numPr>
          <w:ilvl w:val="0"/>
          <w:numId w:val="6"/>
        </w:numPr>
        <w:tabs>
          <w:tab w:val="left" w:pos="851"/>
        </w:tabs>
        <w:rPr>
          <w:sz w:val="24"/>
          <w:szCs w:val="24"/>
        </w:rPr>
      </w:pPr>
      <w:proofErr w:type="spellStart"/>
      <w:r>
        <w:rPr>
          <w:sz w:val="24"/>
          <w:szCs w:val="24"/>
        </w:rPr>
        <w:t>Lactose</w:t>
      </w:r>
      <w:proofErr w:type="spellEnd"/>
    </w:p>
    <w:p w14:paraId="1725529A" w14:textId="77777777" w:rsidR="006F253B" w:rsidRDefault="006F253B" w:rsidP="006F253B">
      <w:pPr>
        <w:pStyle w:val="Listeafsnit"/>
        <w:tabs>
          <w:tab w:val="left" w:pos="851"/>
        </w:tabs>
        <w:ind w:left="1440"/>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t>.</w:t>
      </w:r>
    </w:p>
    <w:p w14:paraId="0DDEA668" w14:textId="77777777" w:rsidR="006F253B" w:rsidRDefault="006F253B" w:rsidP="006F253B">
      <w:pPr>
        <w:pStyle w:val="Listeafsnit"/>
        <w:numPr>
          <w:ilvl w:val="0"/>
          <w:numId w:val="6"/>
        </w:numPr>
        <w:tabs>
          <w:tab w:val="left" w:pos="851"/>
        </w:tabs>
        <w:rPr>
          <w:sz w:val="24"/>
          <w:szCs w:val="24"/>
        </w:rPr>
      </w:pPr>
      <w:r>
        <w:rPr>
          <w:sz w:val="24"/>
          <w:szCs w:val="24"/>
        </w:rPr>
        <w:t>Natrium</w:t>
      </w:r>
    </w:p>
    <w:p w14:paraId="31A289B2" w14:textId="77777777" w:rsidR="006F253B" w:rsidRDefault="006F253B" w:rsidP="006F253B">
      <w:pPr>
        <w:pStyle w:val="Listeafsnit"/>
        <w:tabs>
          <w:tab w:val="left" w:pos="851"/>
        </w:tabs>
        <w:ind w:left="1440"/>
        <w:rPr>
          <w:sz w:val="24"/>
          <w:szCs w:val="24"/>
        </w:rPr>
      </w:pPr>
      <w:r>
        <w:rPr>
          <w:sz w:val="24"/>
          <w:szCs w:val="24"/>
        </w:rPr>
        <w:t>Dette lægemiddel indeholder mindre end 1 mmol (23 mg) natrium pr. tablet, dvs. de</w:t>
      </w:r>
      <w:r w:rsidR="00685C46">
        <w:rPr>
          <w:sz w:val="24"/>
          <w:szCs w:val="24"/>
        </w:rPr>
        <w:t>t</w:t>
      </w:r>
      <w:r>
        <w:rPr>
          <w:sz w:val="24"/>
          <w:szCs w:val="24"/>
        </w:rPr>
        <w:t xml:space="preserve"> er i det væsentlige natrium-fri</w:t>
      </w:r>
      <w:r w:rsidR="00685C46">
        <w:rPr>
          <w:sz w:val="24"/>
          <w:szCs w:val="24"/>
        </w:rPr>
        <w:t>t.</w:t>
      </w:r>
    </w:p>
    <w:p w14:paraId="4389480E" w14:textId="77777777" w:rsidR="006F253B" w:rsidRPr="00B968ED" w:rsidRDefault="006F253B" w:rsidP="006F253B">
      <w:pPr>
        <w:tabs>
          <w:tab w:val="left" w:pos="851"/>
        </w:tabs>
        <w:rPr>
          <w:sz w:val="24"/>
          <w:szCs w:val="24"/>
        </w:rPr>
      </w:pPr>
    </w:p>
    <w:p w14:paraId="049E2B7D" w14:textId="77777777" w:rsidR="006F253B" w:rsidRPr="00B968ED" w:rsidRDefault="006F253B" w:rsidP="006F253B">
      <w:pPr>
        <w:tabs>
          <w:tab w:val="left" w:pos="851"/>
        </w:tabs>
        <w:ind w:left="851" w:hanging="851"/>
        <w:rPr>
          <w:b/>
          <w:sz w:val="24"/>
          <w:szCs w:val="24"/>
        </w:rPr>
      </w:pPr>
      <w:r w:rsidRPr="00B968ED">
        <w:rPr>
          <w:b/>
          <w:sz w:val="24"/>
          <w:szCs w:val="24"/>
        </w:rPr>
        <w:t>4.5</w:t>
      </w:r>
      <w:r w:rsidRPr="00B968ED">
        <w:rPr>
          <w:b/>
          <w:sz w:val="24"/>
          <w:szCs w:val="24"/>
        </w:rPr>
        <w:tab/>
        <w:t>Interaktion med andre lægemidler og andre former for interaktion</w:t>
      </w:r>
    </w:p>
    <w:p w14:paraId="42F70B30" w14:textId="77777777" w:rsidR="006F253B" w:rsidRDefault="006F253B" w:rsidP="006F253B">
      <w:pPr>
        <w:pStyle w:val="Default"/>
        <w:ind w:left="851"/>
      </w:pPr>
      <w:r>
        <w:t>På grund af den α</w:t>
      </w:r>
      <w:r>
        <w:rPr>
          <w:vertAlign w:val="subscript"/>
        </w:rPr>
        <w:t>1</w:t>
      </w:r>
      <w:r>
        <w:t xml:space="preserve">-adrenerge receptorantagonisme kan </w:t>
      </w:r>
      <w:proofErr w:type="spellStart"/>
      <w:r>
        <w:t>aripiprazol</w:t>
      </w:r>
      <w:proofErr w:type="spellEnd"/>
      <w:r>
        <w:t xml:space="preserve"> øge virkningen af visse </w:t>
      </w:r>
      <w:proofErr w:type="spellStart"/>
      <w:r>
        <w:t>antihypertensive</w:t>
      </w:r>
      <w:proofErr w:type="spellEnd"/>
      <w:r>
        <w:t xml:space="preserve"> midler.</w:t>
      </w:r>
    </w:p>
    <w:p w14:paraId="1A7513CC" w14:textId="77777777" w:rsidR="006F253B" w:rsidRDefault="006F253B" w:rsidP="006F253B">
      <w:pPr>
        <w:pStyle w:val="Default"/>
        <w:ind w:left="851"/>
      </w:pPr>
    </w:p>
    <w:p w14:paraId="1885270B" w14:textId="77777777" w:rsidR="006F253B" w:rsidRDefault="006F253B" w:rsidP="006F253B">
      <w:pPr>
        <w:pStyle w:val="Default"/>
        <w:ind w:left="851"/>
      </w:pPr>
      <w:r>
        <w:t xml:space="preserve">På baggrund af </w:t>
      </w:r>
      <w:proofErr w:type="spellStart"/>
      <w:r>
        <w:t>aripiprazols</w:t>
      </w:r>
      <w:proofErr w:type="spellEnd"/>
      <w:r>
        <w:t xml:space="preserve"> primære CNS-påvirkning bør der udvises forsigtighed, når </w:t>
      </w:r>
      <w:proofErr w:type="spellStart"/>
      <w:r>
        <w:t>aripiprazol</w:t>
      </w:r>
      <w:proofErr w:type="spellEnd"/>
      <w:r>
        <w:t xml:space="preserve"> </w:t>
      </w:r>
      <w:proofErr w:type="spellStart"/>
      <w:r>
        <w:t>administreresi</w:t>
      </w:r>
      <w:proofErr w:type="spellEnd"/>
      <w:r>
        <w:t xml:space="preserve"> kombination med alkohol eller andre CNS-lægemidler med overlappende bivirkninger som fx </w:t>
      </w:r>
      <w:proofErr w:type="spellStart"/>
      <w:r>
        <w:t>sedering</w:t>
      </w:r>
      <w:proofErr w:type="spellEnd"/>
      <w:r>
        <w:t xml:space="preserve"> (se pkt. 4.8).</w:t>
      </w:r>
    </w:p>
    <w:p w14:paraId="473791BC" w14:textId="77777777" w:rsidR="006F253B" w:rsidRDefault="006F253B" w:rsidP="006F253B">
      <w:pPr>
        <w:pStyle w:val="Default"/>
        <w:ind w:left="851"/>
      </w:pPr>
    </w:p>
    <w:p w14:paraId="39DEB0BD" w14:textId="77777777" w:rsidR="006F253B" w:rsidRDefault="006F253B" w:rsidP="006F253B">
      <w:pPr>
        <w:pStyle w:val="Default"/>
        <w:ind w:left="851"/>
      </w:pPr>
      <w:r>
        <w:t xml:space="preserve">Der skal udvises forsigtighed, hvis </w:t>
      </w:r>
      <w:proofErr w:type="spellStart"/>
      <w:r>
        <w:t>aripiprazol</w:t>
      </w:r>
      <w:proofErr w:type="spellEnd"/>
      <w:r>
        <w:t xml:space="preserve"> administreres samtidig med lægemidler, der vides at forårsage QT-forlængelse eller elektrolytforstyrrelser.</w:t>
      </w:r>
    </w:p>
    <w:p w14:paraId="2F2F1B87" w14:textId="77777777" w:rsidR="006F253B" w:rsidRDefault="006F253B" w:rsidP="006F253B">
      <w:pPr>
        <w:pStyle w:val="Default"/>
        <w:ind w:left="851"/>
      </w:pPr>
    </w:p>
    <w:p w14:paraId="3D3FCDDB" w14:textId="77777777" w:rsidR="006F253B" w:rsidRDefault="006F253B" w:rsidP="006F253B">
      <w:pPr>
        <w:pStyle w:val="Default"/>
        <w:ind w:left="851"/>
        <w:rPr>
          <w:u w:val="single"/>
        </w:rPr>
      </w:pPr>
      <w:r>
        <w:rPr>
          <w:u w:val="single"/>
        </w:rPr>
        <w:t xml:space="preserve">Andre lægemidler, der kan påvirke optagelsen af </w:t>
      </w:r>
      <w:proofErr w:type="spellStart"/>
      <w:r>
        <w:rPr>
          <w:u w:val="single"/>
        </w:rPr>
        <w:t>aripiprazol</w:t>
      </w:r>
      <w:proofErr w:type="spellEnd"/>
    </w:p>
    <w:p w14:paraId="53C90CCB" w14:textId="77777777" w:rsidR="006F253B" w:rsidRDefault="006F253B" w:rsidP="006F253B">
      <w:pPr>
        <w:tabs>
          <w:tab w:val="left" w:pos="851"/>
        </w:tabs>
        <w:ind w:left="851" w:hanging="851"/>
        <w:rPr>
          <w:sz w:val="24"/>
          <w:szCs w:val="24"/>
        </w:rPr>
      </w:pPr>
      <w:r>
        <w:rPr>
          <w:sz w:val="24"/>
          <w:szCs w:val="24"/>
        </w:rPr>
        <w:tab/>
        <w:t>Syreblokkeren og H</w:t>
      </w:r>
      <w:r>
        <w:rPr>
          <w:sz w:val="24"/>
          <w:szCs w:val="24"/>
          <w:vertAlign w:val="subscript"/>
        </w:rPr>
        <w:t>2</w:t>
      </w:r>
      <w:r>
        <w:rPr>
          <w:sz w:val="24"/>
          <w:szCs w:val="24"/>
        </w:rPr>
        <w:t xml:space="preserve">-antagonisten </w:t>
      </w:r>
      <w:proofErr w:type="spellStart"/>
      <w:r>
        <w:rPr>
          <w:sz w:val="24"/>
          <w:szCs w:val="24"/>
        </w:rPr>
        <w:t>famotidin</w:t>
      </w:r>
      <w:proofErr w:type="spellEnd"/>
      <w:r>
        <w:rPr>
          <w:sz w:val="24"/>
          <w:szCs w:val="24"/>
        </w:rPr>
        <w:t xml:space="preserve"> nedsætter absorptionshastigheden for </w:t>
      </w:r>
      <w:proofErr w:type="spellStart"/>
      <w:r>
        <w:rPr>
          <w:sz w:val="24"/>
          <w:szCs w:val="24"/>
        </w:rPr>
        <w:t>aripiprazol</w:t>
      </w:r>
      <w:proofErr w:type="spellEnd"/>
      <w:r>
        <w:rPr>
          <w:sz w:val="24"/>
          <w:szCs w:val="24"/>
        </w:rPr>
        <w:t>, men denne virkning synes ikke klinisk relevant.</w:t>
      </w:r>
    </w:p>
    <w:p w14:paraId="62FCB776" w14:textId="77777777" w:rsidR="006F253B" w:rsidRDefault="006F253B" w:rsidP="006F253B">
      <w:pPr>
        <w:tabs>
          <w:tab w:val="left" w:pos="851"/>
        </w:tabs>
        <w:ind w:left="851" w:hanging="851"/>
        <w:rPr>
          <w:sz w:val="24"/>
          <w:szCs w:val="24"/>
        </w:rPr>
      </w:pPr>
    </w:p>
    <w:p w14:paraId="14172367" w14:textId="77777777" w:rsidR="006F253B" w:rsidRDefault="006F253B" w:rsidP="006F253B">
      <w:pPr>
        <w:pStyle w:val="Default"/>
        <w:ind w:left="851"/>
      </w:pPr>
      <w:proofErr w:type="spellStart"/>
      <w:r>
        <w:t>Aripiprazol</w:t>
      </w:r>
      <w:proofErr w:type="spellEnd"/>
      <w:r>
        <w:t xml:space="preserve"> </w:t>
      </w:r>
      <w:proofErr w:type="spellStart"/>
      <w:r>
        <w:t>metaboliseres</w:t>
      </w:r>
      <w:proofErr w:type="spellEnd"/>
      <w:r>
        <w:t xml:space="preserve"> via flere enzymsystemer, der involverer CYP2D6- og CYP3A4-enzymer, men ikke CYP1A-enzymer. Dosisjustering er derfor ikke påkrævet hos rygere. </w:t>
      </w:r>
    </w:p>
    <w:p w14:paraId="56B5F1B8" w14:textId="77777777" w:rsidR="006F253B" w:rsidRDefault="006F253B" w:rsidP="006F253B">
      <w:pPr>
        <w:pStyle w:val="Default"/>
        <w:ind w:left="851"/>
      </w:pPr>
    </w:p>
    <w:p w14:paraId="1D070EBD" w14:textId="77777777" w:rsidR="006F253B" w:rsidRPr="00685C46" w:rsidRDefault="006F253B" w:rsidP="006F253B">
      <w:pPr>
        <w:pStyle w:val="Default"/>
        <w:ind w:left="851"/>
        <w:rPr>
          <w:i/>
        </w:rPr>
      </w:pPr>
      <w:proofErr w:type="spellStart"/>
      <w:r w:rsidRPr="00685C46">
        <w:rPr>
          <w:i/>
        </w:rPr>
        <w:t>Quinidin</w:t>
      </w:r>
      <w:proofErr w:type="spellEnd"/>
      <w:r w:rsidRPr="00685C46">
        <w:rPr>
          <w:i/>
        </w:rPr>
        <w:t xml:space="preserve"> og andre CYP2D6 </w:t>
      </w:r>
      <w:proofErr w:type="spellStart"/>
      <w:r w:rsidRPr="00685C46">
        <w:rPr>
          <w:i/>
        </w:rPr>
        <w:t>hæmmere</w:t>
      </w:r>
      <w:proofErr w:type="spellEnd"/>
    </w:p>
    <w:p w14:paraId="32CD3BE8" w14:textId="77777777" w:rsidR="006F253B" w:rsidRDefault="006F253B" w:rsidP="006F253B">
      <w:pPr>
        <w:pStyle w:val="Default"/>
        <w:ind w:left="851"/>
      </w:pPr>
      <w:r>
        <w:t>I et klinisk studie med raske personer øgede en stærk CYP2D6-hæmmer (</w:t>
      </w:r>
      <w:proofErr w:type="spellStart"/>
      <w:r>
        <w:t>quinidin</w:t>
      </w:r>
      <w:proofErr w:type="spellEnd"/>
      <w:r>
        <w:t xml:space="preserve">) </w:t>
      </w:r>
      <w:proofErr w:type="spellStart"/>
      <w:r>
        <w:t>aripiprazols</w:t>
      </w:r>
      <w:proofErr w:type="spellEnd"/>
      <w:r>
        <w:t xml:space="preserve"> AUC med 107 %, mens </w:t>
      </w:r>
      <w:proofErr w:type="spellStart"/>
      <w:r>
        <w:t>C</w:t>
      </w:r>
      <w:r>
        <w:rPr>
          <w:vertAlign w:val="subscript"/>
        </w:rPr>
        <w:t>max</w:t>
      </w:r>
      <w:proofErr w:type="spellEnd"/>
      <w:r>
        <w:t xml:space="preserve"> var uforandret. AUC og </w:t>
      </w:r>
      <w:proofErr w:type="spellStart"/>
      <w:r>
        <w:t>C</w:t>
      </w:r>
      <w:r>
        <w:rPr>
          <w:vertAlign w:val="subscript"/>
        </w:rPr>
        <w:t>max</w:t>
      </w:r>
      <w:proofErr w:type="spellEnd"/>
      <w:r>
        <w:t xml:space="preserve"> for </w:t>
      </w:r>
      <w:proofErr w:type="spellStart"/>
      <w:r>
        <w:t>dehydro-aripiprazol</w:t>
      </w:r>
      <w:proofErr w:type="spellEnd"/>
      <w:r>
        <w:t xml:space="preserve">, den aktive metabolit, reduceredes med henholdsvis 32 % og 47 %. </w:t>
      </w:r>
      <w:proofErr w:type="spellStart"/>
      <w:r>
        <w:t>Aripiprazol</w:t>
      </w:r>
      <w:proofErr w:type="spellEnd"/>
      <w:r>
        <w:t xml:space="preserve">-dosis bør halveres ved samtidig administration af </w:t>
      </w:r>
      <w:proofErr w:type="spellStart"/>
      <w:r>
        <w:t>aripiprazol</w:t>
      </w:r>
      <w:proofErr w:type="spellEnd"/>
      <w:r>
        <w:t xml:space="preserve"> og </w:t>
      </w:r>
      <w:proofErr w:type="spellStart"/>
      <w:r>
        <w:t>quinidin</w:t>
      </w:r>
      <w:proofErr w:type="spellEnd"/>
      <w:r>
        <w:t xml:space="preserve">. Andre stærke CYP2D6-hæmmere, som fx </w:t>
      </w:r>
      <w:proofErr w:type="spellStart"/>
      <w:r>
        <w:t>fluoxetin</w:t>
      </w:r>
      <w:proofErr w:type="spellEnd"/>
      <w:r>
        <w:t xml:space="preserve"> og </w:t>
      </w:r>
      <w:proofErr w:type="spellStart"/>
      <w:r>
        <w:t>paroxetin</w:t>
      </w:r>
      <w:proofErr w:type="spellEnd"/>
      <w:r>
        <w:t xml:space="preserve">, kan forventes at have lignende virkninger, og lignende dosisreduktioner bør derfor anvendes. </w:t>
      </w:r>
    </w:p>
    <w:p w14:paraId="0680058E" w14:textId="77777777" w:rsidR="006F253B" w:rsidRDefault="006F253B" w:rsidP="006F253B">
      <w:pPr>
        <w:pStyle w:val="Default"/>
        <w:ind w:left="851"/>
        <w:rPr>
          <w:i/>
          <w:iCs/>
        </w:rPr>
      </w:pPr>
    </w:p>
    <w:p w14:paraId="7861DCFE" w14:textId="77777777" w:rsidR="006F253B" w:rsidRPr="00685C46" w:rsidRDefault="006F253B" w:rsidP="006F253B">
      <w:pPr>
        <w:pStyle w:val="Default"/>
        <w:ind w:left="851"/>
        <w:rPr>
          <w:i/>
          <w:iCs/>
        </w:rPr>
      </w:pPr>
      <w:proofErr w:type="spellStart"/>
      <w:r w:rsidRPr="00685C46">
        <w:rPr>
          <w:i/>
          <w:iCs/>
        </w:rPr>
        <w:t>Ketoconazol</w:t>
      </w:r>
      <w:proofErr w:type="spellEnd"/>
      <w:r w:rsidRPr="00685C46">
        <w:rPr>
          <w:i/>
          <w:iCs/>
        </w:rPr>
        <w:t xml:space="preserve"> og andre CYP3A4-hæmmere</w:t>
      </w:r>
    </w:p>
    <w:p w14:paraId="5D67F641" w14:textId="77777777" w:rsidR="006F253B" w:rsidRDefault="006F253B" w:rsidP="006F253B">
      <w:pPr>
        <w:pStyle w:val="Default"/>
        <w:ind w:left="851"/>
      </w:pPr>
      <w:r>
        <w:t>I et klinisk studie med raske forsøgspersoner øgede en stærk CYP3A4-hæmmer (</w:t>
      </w:r>
      <w:proofErr w:type="spellStart"/>
      <w:r>
        <w:t>ketoconazol</w:t>
      </w:r>
      <w:proofErr w:type="spellEnd"/>
      <w:r>
        <w:t xml:space="preserve">) </w:t>
      </w:r>
      <w:proofErr w:type="spellStart"/>
      <w:r>
        <w:t>aripiprazols</w:t>
      </w:r>
      <w:proofErr w:type="spellEnd"/>
      <w:r>
        <w:t xml:space="preserve"> AUC og </w:t>
      </w:r>
      <w:proofErr w:type="spellStart"/>
      <w:r>
        <w:t>C</w:t>
      </w:r>
      <w:r>
        <w:rPr>
          <w:vertAlign w:val="subscript"/>
        </w:rPr>
        <w:t>max</w:t>
      </w:r>
      <w:proofErr w:type="spellEnd"/>
      <w:r>
        <w:t xml:space="preserve"> med henholdsvis 63 % og 37 %. AUC og </w:t>
      </w:r>
      <w:proofErr w:type="spellStart"/>
      <w:r>
        <w:t>C</w:t>
      </w:r>
      <w:r>
        <w:rPr>
          <w:vertAlign w:val="subscript"/>
        </w:rPr>
        <w:t>max</w:t>
      </w:r>
      <w:proofErr w:type="spellEnd"/>
      <w:r>
        <w:t xml:space="preserve"> for </w:t>
      </w:r>
      <w:proofErr w:type="spellStart"/>
      <w:r>
        <w:t>dehydro-aripiprazol</w:t>
      </w:r>
      <w:proofErr w:type="spellEnd"/>
      <w:r>
        <w:t xml:space="preserve"> øgedes med henholdsvis 77 % og 43 %. Hos langsomme CYP2D6-omsættere kan samtidig brug af stærke CYP3A4-hæmmere medføre højere plasmakoncentrationer af </w:t>
      </w:r>
      <w:proofErr w:type="spellStart"/>
      <w:r>
        <w:t>aripiprazol</w:t>
      </w:r>
      <w:proofErr w:type="spellEnd"/>
      <w:r>
        <w:t xml:space="preserve"> end hos ekstensive CYP2D6-omsættere. Hvis </w:t>
      </w:r>
      <w:r>
        <w:lastRenderedPageBreak/>
        <w:t xml:space="preserve">samtidig administration af </w:t>
      </w:r>
      <w:proofErr w:type="spellStart"/>
      <w:r>
        <w:t>ketoconazol</w:t>
      </w:r>
      <w:proofErr w:type="spellEnd"/>
      <w:r>
        <w:t xml:space="preserve"> eller andre stærke CYP3A4-hæmmere og </w:t>
      </w:r>
      <w:proofErr w:type="spellStart"/>
      <w:r>
        <w:t>aripiprazol</w:t>
      </w:r>
      <w:proofErr w:type="spellEnd"/>
      <w:r>
        <w:t xml:space="preserve"> overvejes, bør eventuelle fordele opveje potentielle risici for patienten. Ved samtidig administration af </w:t>
      </w:r>
      <w:proofErr w:type="spellStart"/>
      <w:r>
        <w:t>ketoconazol</w:t>
      </w:r>
      <w:proofErr w:type="spellEnd"/>
      <w:r>
        <w:t xml:space="preserve"> og </w:t>
      </w:r>
      <w:proofErr w:type="spellStart"/>
      <w:r>
        <w:t>aripiprazol</w:t>
      </w:r>
      <w:proofErr w:type="spellEnd"/>
      <w:r>
        <w:t xml:space="preserve"> bør dosis af </w:t>
      </w:r>
      <w:proofErr w:type="spellStart"/>
      <w:r>
        <w:t>aripiprazol</w:t>
      </w:r>
      <w:proofErr w:type="spellEnd"/>
      <w:r>
        <w:t xml:space="preserve"> halveres. Andre stærke CYP3A4-hæmmere, som fx </w:t>
      </w:r>
      <w:proofErr w:type="spellStart"/>
      <w:r>
        <w:t>itraconazol</w:t>
      </w:r>
      <w:proofErr w:type="spellEnd"/>
      <w:r>
        <w:t xml:space="preserve"> og hiv-</w:t>
      </w:r>
      <w:proofErr w:type="spellStart"/>
      <w:r>
        <w:t>proteasehæmmere</w:t>
      </w:r>
      <w:proofErr w:type="spellEnd"/>
      <w:r>
        <w:t>, kan forventes at have lignende virkninger, og lignende dosisreduktioner bør derfor anvendes. (Se pkt. 4.2)</w:t>
      </w:r>
    </w:p>
    <w:p w14:paraId="785F10B9" w14:textId="77777777" w:rsidR="006F253B" w:rsidRDefault="006F253B" w:rsidP="006F253B">
      <w:pPr>
        <w:tabs>
          <w:tab w:val="left" w:pos="851"/>
        </w:tabs>
        <w:ind w:left="851" w:hanging="851"/>
        <w:rPr>
          <w:sz w:val="24"/>
          <w:szCs w:val="24"/>
        </w:rPr>
      </w:pPr>
    </w:p>
    <w:p w14:paraId="721185BC" w14:textId="77777777" w:rsidR="006F253B" w:rsidRDefault="006F253B" w:rsidP="006F253B">
      <w:pPr>
        <w:tabs>
          <w:tab w:val="left" w:pos="851"/>
        </w:tabs>
        <w:ind w:left="851" w:hanging="851"/>
        <w:rPr>
          <w:sz w:val="24"/>
          <w:szCs w:val="24"/>
        </w:rPr>
      </w:pPr>
      <w:r>
        <w:rPr>
          <w:sz w:val="24"/>
          <w:szCs w:val="24"/>
        </w:rPr>
        <w:tab/>
        <w:t xml:space="preserve">Ved afbrydelse af behandling med CYP2D6- eller CYP3A4-hæmmer bør dosis af </w:t>
      </w:r>
      <w:proofErr w:type="spellStart"/>
      <w:r>
        <w:rPr>
          <w:sz w:val="24"/>
          <w:szCs w:val="24"/>
        </w:rPr>
        <w:t>aripiprazol</w:t>
      </w:r>
      <w:proofErr w:type="spellEnd"/>
      <w:r>
        <w:rPr>
          <w:sz w:val="24"/>
          <w:szCs w:val="24"/>
        </w:rPr>
        <w:t xml:space="preserve"> øges til niveauet inden start af den samtidige behandling.</w:t>
      </w:r>
    </w:p>
    <w:p w14:paraId="2544794E" w14:textId="77777777" w:rsidR="006F253B" w:rsidRDefault="006F253B" w:rsidP="006F253B">
      <w:pPr>
        <w:tabs>
          <w:tab w:val="left" w:pos="851"/>
        </w:tabs>
        <w:ind w:left="851" w:hanging="851"/>
        <w:rPr>
          <w:sz w:val="24"/>
          <w:szCs w:val="24"/>
        </w:rPr>
      </w:pPr>
    </w:p>
    <w:p w14:paraId="4EEE707D" w14:textId="77777777" w:rsidR="006F253B" w:rsidRDefault="006F253B" w:rsidP="006F253B">
      <w:pPr>
        <w:pStyle w:val="Default"/>
        <w:ind w:left="851"/>
      </w:pPr>
      <w:r>
        <w:t xml:space="preserve">Ved samtidig anvendelse af svage CYP3A4-hæmmere (fx </w:t>
      </w:r>
      <w:proofErr w:type="spellStart"/>
      <w:r>
        <w:t>diltiazem</w:t>
      </w:r>
      <w:proofErr w:type="spellEnd"/>
      <w:r>
        <w:t xml:space="preserve">) eller CYP2D6-hæmmere (fx escitalopram) og </w:t>
      </w:r>
      <w:proofErr w:type="spellStart"/>
      <w:r>
        <w:t>aripiprazol</w:t>
      </w:r>
      <w:proofErr w:type="spellEnd"/>
      <w:r>
        <w:t xml:space="preserve"> kan en beskeden stigning i </w:t>
      </w:r>
    </w:p>
    <w:p w14:paraId="2C5E4C5E" w14:textId="77777777" w:rsidR="006F253B" w:rsidRDefault="006F253B" w:rsidP="006F253B">
      <w:pPr>
        <w:pStyle w:val="Default"/>
        <w:ind w:left="851"/>
      </w:pPr>
      <w:proofErr w:type="spellStart"/>
      <w:r>
        <w:t>aripiprazolkoncentrationen</w:t>
      </w:r>
      <w:proofErr w:type="spellEnd"/>
    </w:p>
    <w:p w14:paraId="38A48DA3" w14:textId="77777777" w:rsidR="006F253B" w:rsidRDefault="006F253B" w:rsidP="006F253B">
      <w:pPr>
        <w:pStyle w:val="Default"/>
        <w:ind w:left="851"/>
      </w:pPr>
      <w:r>
        <w:t xml:space="preserve">i plasma forventes. </w:t>
      </w:r>
    </w:p>
    <w:p w14:paraId="1BDA77BD" w14:textId="77777777" w:rsidR="006F253B" w:rsidRDefault="006F253B" w:rsidP="006F253B">
      <w:pPr>
        <w:pStyle w:val="Default"/>
        <w:ind w:left="851"/>
      </w:pPr>
    </w:p>
    <w:p w14:paraId="2730591D" w14:textId="77777777" w:rsidR="006F253B" w:rsidRPr="00685C46" w:rsidRDefault="006F253B" w:rsidP="006F253B">
      <w:pPr>
        <w:pStyle w:val="Default"/>
        <w:ind w:left="851"/>
        <w:rPr>
          <w:i/>
        </w:rPr>
      </w:pPr>
      <w:proofErr w:type="spellStart"/>
      <w:r w:rsidRPr="00685C46">
        <w:rPr>
          <w:i/>
        </w:rPr>
        <w:t>Carbamazepin</w:t>
      </w:r>
      <w:proofErr w:type="spellEnd"/>
      <w:r w:rsidRPr="00685C46">
        <w:rPr>
          <w:i/>
        </w:rPr>
        <w:t xml:space="preserve"> og andre CYP3A4-induktorer</w:t>
      </w:r>
    </w:p>
    <w:p w14:paraId="04D78402" w14:textId="77777777" w:rsidR="006F253B" w:rsidRDefault="006F253B" w:rsidP="006F253B">
      <w:pPr>
        <w:pStyle w:val="Default"/>
        <w:ind w:left="851"/>
      </w:pPr>
      <w:r>
        <w:t xml:space="preserve">Efter samtidig behandling med </w:t>
      </w:r>
      <w:proofErr w:type="spellStart"/>
      <w:r>
        <w:t>carbamazepin</w:t>
      </w:r>
      <w:proofErr w:type="spellEnd"/>
      <w:r>
        <w:t xml:space="preserve">, en stærk induktor af CYP3A4, og oral </w:t>
      </w:r>
      <w:proofErr w:type="spellStart"/>
      <w:r>
        <w:t>aripiprazol</w:t>
      </w:r>
      <w:proofErr w:type="spellEnd"/>
      <w:r>
        <w:t xml:space="preserve"> hos patienter med skizofreni eller </w:t>
      </w:r>
      <w:proofErr w:type="spellStart"/>
      <w:r>
        <w:t>skizoaffektive</w:t>
      </w:r>
      <w:proofErr w:type="spellEnd"/>
      <w:r>
        <w:t xml:space="preserve"> forstyrrelser var de geometriske middelværdier for </w:t>
      </w:r>
      <w:proofErr w:type="spellStart"/>
      <w:r>
        <w:t>C</w:t>
      </w:r>
      <w:r>
        <w:rPr>
          <w:vertAlign w:val="subscript"/>
        </w:rPr>
        <w:t>max</w:t>
      </w:r>
      <w:proofErr w:type="spellEnd"/>
      <w:r>
        <w:t xml:space="preserve"> og AUC for </w:t>
      </w:r>
      <w:proofErr w:type="spellStart"/>
      <w:r>
        <w:t>aripiprazol</w:t>
      </w:r>
      <w:proofErr w:type="spellEnd"/>
      <w:r>
        <w:t xml:space="preserve"> henholdsvis 68 % og 73 % lavere, end hvis </w:t>
      </w:r>
      <w:proofErr w:type="spellStart"/>
      <w:r>
        <w:t>aripiprazol</w:t>
      </w:r>
      <w:proofErr w:type="spellEnd"/>
      <w:r>
        <w:t xml:space="preserve"> (30 mg) blev givet alene. Ligeledes var de geometriske middelværdier for </w:t>
      </w:r>
      <w:proofErr w:type="spellStart"/>
      <w:r>
        <w:t>dehydro-aripiprazol</w:t>
      </w:r>
      <w:proofErr w:type="spellEnd"/>
      <w:r>
        <w:t xml:space="preserve"> for </w:t>
      </w:r>
      <w:proofErr w:type="spellStart"/>
      <w:r>
        <w:t>C</w:t>
      </w:r>
      <w:r>
        <w:rPr>
          <w:vertAlign w:val="subscript"/>
        </w:rPr>
        <w:t>max</w:t>
      </w:r>
      <w:proofErr w:type="spellEnd"/>
      <w:r>
        <w:t xml:space="preserve"> og AUC efter samtidig brug af </w:t>
      </w:r>
      <w:proofErr w:type="spellStart"/>
      <w:r>
        <w:t>carbamazepin</w:t>
      </w:r>
      <w:proofErr w:type="spellEnd"/>
      <w:r>
        <w:t xml:space="preserve"> henholdsvis 69 % og 71 % lavere end ved behandling med </w:t>
      </w:r>
      <w:proofErr w:type="spellStart"/>
      <w:r>
        <w:t>aripiprazol</w:t>
      </w:r>
      <w:proofErr w:type="spellEnd"/>
      <w:r>
        <w:t xml:space="preserve"> alene. </w:t>
      </w:r>
    </w:p>
    <w:p w14:paraId="5AEFE55D" w14:textId="77777777" w:rsidR="006F253B" w:rsidRDefault="006F253B" w:rsidP="006F253B">
      <w:pPr>
        <w:tabs>
          <w:tab w:val="left" w:pos="851"/>
        </w:tabs>
        <w:ind w:left="851" w:hanging="851"/>
        <w:rPr>
          <w:sz w:val="24"/>
          <w:szCs w:val="24"/>
        </w:rPr>
      </w:pPr>
    </w:p>
    <w:p w14:paraId="403F1A2B" w14:textId="77777777" w:rsidR="006F253B" w:rsidRDefault="006F253B" w:rsidP="006F253B">
      <w:pPr>
        <w:tabs>
          <w:tab w:val="left" w:pos="851"/>
        </w:tabs>
        <w:ind w:left="851" w:hanging="851"/>
        <w:rPr>
          <w:sz w:val="24"/>
          <w:szCs w:val="24"/>
        </w:rPr>
      </w:pPr>
      <w:r>
        <w:rPr>
          <w:sz w:val="24"/>
          <w:szCs w:val="24"/>
        </w:rPr>
        <w:tab/>
        <w:t xml:space="preserve">Dosis af </w:t>
      </w:r>
      <w:proofErr w:type="spellStart"/>
      <w:r>
        <w:rPr>
          <w:sz w:val="24"/>
          <w:szCs w:val="24"/>
        </w:rPr>
        <w:t>aripiprazol</w:t>
      </w:r>
      <w:proofErr w:type="spellEnd"/>
      <w:r>
        <w:rPr>
          <w:sz w:val="24"/>
          <w:szCs w:val="24"/>
        </w:rPr>
        <w:t xml:space="preserve"> bør fordobles ved samtidig administration af </w:t>
      </w:r>
      <w:proofErr w:type="spellStart"/>
      <w:r>
        <w:rPr>
          <w:sz w:val="24"/>
          <w:szCs w:val="24"/>
        </w:rPr>
        <w:t>aripiprazol</w:t>
      </w:r>
      <w:proofErr w:type="spellEnd"/>
      <w:r>
        <w:rPr>
          <w:sz w:val="24"/>
          <w:szCs w:val="24"/>
        </w:rPr>
        <w:t xml:space="preserve"> og </w:t>
      </w:r>
      <w:proofErr w:type="spellStart"/>
      <w:r>
        <w:rPr>
          <w:sz w:val="24"/>
          <w:szCs w:val="24"/>
        </w:rPr>
        <w:t>carbamazepin</w:t>
      </w:r>
      <w:proofErr w:type="spellEnd"/>
      <w:r>
        <w:rPr>
          <w:sz w:val="24"/>
          <w:szCs w:val="24"/>
        </w:rPr>
        <w:t xml:space="preserve">. </w:t>
      </w:r>
      <w:r>
        <w:t xml:space="preserve">Samtidig administration af </w:t>
      </w:r>
      <w:proofErr w:type="spellStart"/>
      <w:r>
        <w:t>aripiprazol</w:t>
      </w:r>
      <w:proofErr w:type="spellEnd"/>
      <w:r>
        <w:t xml:space="preserve"> og andre</w:t>
      </w:r>
      <w:r>
        <w:rPr>
          <w:sz w:val="24"/>
          <w:szCs w:val="24"/>
        </w:rPr>
        <w:t xml:space="preserve"> CYP3A4-induktorer (fx </w:t>
      </w:r>
      <w:proofErr w:type="spellStart"/>
      <w:r>
        <w:rPr>
          <w:sz w:val="24"/>
          <w:szCs w:val="24"/>
        </w:rPr>
        <w:t>rifampicin</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fenytoin</w:t>
      </w:r>
      <w:proofErr w:type="spellEnd"/>
      <w:r>
        <w:rPr>
          <w:sz w:val="24"/>
          <w:szCs w:val="24"/>
        </w:rPr>
        <w:t xml:space="preserve">, </w:t>
      </w:r>
      <w:proofErr w:type="spellStart"/>
      <w:r>
        <w:rPr>
          <w:sz w:val="24"/>
          <w:szCs w:val="24"/>
        </w:rPr>
        <w:t>fenobarbital</w:t>
      </w:r>
      <w:proofErr w:type="spellEnd"/>
      <w:r>
        <w:rPr>
          <w:sz w:val="24"/>
          <w:szCs w:val="24"/>
        </w:rPr>
        <w:t xml:space="preserve">, </w:t>
      </w:r>
      <w:proofErr w:type="spellStart"/>
      <w:r>
        <w:rPr>
          <w:sz w:val="24"/>
          <w:szCs w:val="24"/>
        </w:rPr>
        <w:t>primidon</w:t>
      </w:r>
      <w:proofErr w:type="spellEnd"/>
      <w:r>
        <w:rPr>
          <w:sz w:val="24"/>
          <w:szCs w:val="24"/>
        </w:rPr>
        <w:t xml:space="preserve">, </w:t>
      </w:r>
      <w:proofErr w:type="spellStart"/>
      <w:r>
        <w:rPr>
          <w:sz w:val="24"/>
          <w:szCs w:val="24"/>
        </w:rPr>
        <w:t>efavirenz</w:t>
      </w:r>
      <w:proofErr w:type="spellEnd"/>
      <w:r>
        <w:rPr>
          <w:sz w:val="24"/>
          <w:szCs w:val="24"/>
        </w:rPr>
        <w:t xml:space="preserve">, </w:t>
      </w:r>
      <w:proofErr w:type="spellStart"/>
      <w:r>
        <w:rPr>
          <w:sz w:val="24"/>
          <w:szCs w:val="24"/>
        </w:rPr>
        <w:t>nevirapin</w:t>
      </w:r>
      <w:proofErr w:type="spellEnd"/>
      <w:r>
        <w:rPr>
          <w:sz w:val="24"/>
          <w:szCs w:val="24"/>
        </w:rPr>
        <w:t xml:space="preserve"> og perikum) kan forventes at have lignende virkninger, og lignende dosisøgninger bør derfor anvendes. Ved </w:t>
      </w:r>
      <w:proofErr w:type="spellStart"/>
      <w:r>
        <w:rPr>
          <w:sz w:val="24"/>
          <w:szCs w:val="24"/>
        </w:rPr>
        <w:t>seponering</w:t>
      </w:r>
      <w:proofErr w:type="spellEnd"/>
      <w:r>
        <w:rPr>
          <w:sz w:val="24"/>
          <w:szCs w:val="24"/>
        </w:rPr>
        <w:t xml:space="preserve"> af stærke CYP3A4-induktorer bør dosis af </w:t>
      </w:r>
      <w:proofErr w:type="spellStart"/>
      <w:r>
        <w:rPr>
          <w:sz w:val="24"/>
          <w:szCs w:val="24"/>
        </w:rPr>
        <w:t>aripiprazol</w:t>
      </w:r>
      <w:proofErr w:type="spellEnd"/>
      <w:r>
        <w:rPr>
          <w:sz w:val="24"/>
          <w:szCs w:val="24"/>
        </w:rPr>
        <w:t xml:space="preserve"> nedsættes til den anbefalede dosis.</w:t>
      </w:r>
    </w:p>
    <w:p w14:paraId="4FDBC75A" w14:textId="77777777" w:rsidR="006F253B" w:rsidRDefault="006F253B" w:rsidP="006F253B">
      <w:pPr>
        <w:tabs>
          <w:tab w:val="left" w:pos="851"/>
        </w:tabs>
        <w:ind w:left="851" w:hanging="851"/>
        <w:rPr>
          <w:sz w:val="24"/>
          <w:szCs w:val="24"/>
        </w:rPr>
      </w:pPr>
    </w:p>
    <w:p w14:paraId="3D7B9878" w14:textId="77777777" w:rsidR="006F253B" w:rsidRPr="00685C46" w:rsidRDefault="006F253B" w:rsidP="006F253B">
      <w:pPr>
        <w:tabs>
          <w:tab w:val="left" w:pos="851"/>
        </w:tabs>
        <w:ind w:left="851" w:hanging="851"/>
        <w:rPr>
          <w:i/>
          <w:sz w:val="24"/>
          <w:szCs w:val="24"/>
        </w:rPr>
      </w:pPr>
      <w:r>
        <w:rPr>
          <w:sz w:val="24"/>
          <w:szCs w:val="24"/>
        </w:rPr>
        <w:tab/>
      </w:r>
      <w:proofErr w:type="spellStart"/>
      <w:r w:rsidRPr="00685C46">
        <w:rPr>
          <w:i/>
          <w:sz w:val="24"/>
          <w:szCs w:val="24"/>
        </w:rPr>
        <w:t>Valproat</w:t>
      </w:r>
      <w:proofErr w:type="spellEnd"/>
      <w:r w:rsidRPr="00685C46">
        <w:rPr>
          <w:i/>
          <w:sz w:val="24"/>
          <w:szCs w:val="24"/>
        </w:rPr>
        <w:t xml:space="preserve"> og litium</w:t>
      </w:r>
    </w:p>
    <w:p w14:paraId="49950617" w14:textId="77777777" w:rsidR="006F253B" w:rsidRDefault="006F253B" w:rsidP="006F253B">
      <w:pPr>
        <w:pStyle w:val="Default"/>
        <w:ind w:left="851"/>
      </w:pPr>
      <w:r>
        <w:t xml:space="preserve">Ved samtidig administration af </w:t>
      </w:r>
      <w:proofErr w:type="spellStart"/>
      <w:r>
        <w:t>valproat</w:t>
      </w:r>
      <w:proofErr w:type="spellEnd"/>
      <w:r>
        <w:t xml:space="preserve"> eller </w:t>
      </w:r>
      <w:proofErr w:type="spellStart"/>
      <w:r>
        <w:t>lithium</w:t>
      </w:r>
      <w:proofErr w:type="spellEnd"/>
      <w:r>
        <w:t xml:space="preserve"> og </w:t>
      </w:r>
      <w:proofErr w:type="spellStart"/>
      <w:r>
        <w:t>aripiprazol</w:t>
      </w:r>
      <w:proofErr w:type="spellEnd"/>
      <w:r>
        <w:t xml:space="preserve"> sås ingen klinisk signifikant ændring i koncentrationerne af </w:t>
      </w:r>
      <w:proofErr w:type="spellStart"/>
      <w:proofErr w:type="gramStart"/>
      <w:r>
        <w:t>aripiprazol</w:t>
      </w:r>
      <w:proofErr w:type="spellEnd"/>
      <w:r>
        <w:t xml:space="preserve"> ,</w:t>
      </w:r>
      <w:proofErr w:type="gramEnd"/>
      <w:r>
        <w:t xml:space="preserve"> og derfor er dosisjustering ikke påkrævet ved samtidig administration af </w:t>
      </w:r>
      <w:proofErr w:type="spellStart"/>
      <w:r>
        <w:t>aripiprazol</w:t>
      </w:r>
      <w:proofErr w:type="spellEnd"/>
      <w:r>
        <w:t xml:space="preserve"> og </w:t>
      </w:r>
      <w:proofErr w:type="spellStart"/>
      <w:r>
        <w:t>valproat</w:t>
      </w:r>
      <w:proofErr w:type="spellEnd"/>
      <w:r>
        <w:t xml:space="preserve"> eller </w:t>
      </w:r>
      <w:proofErr w:type="spellStart"/>
      <w:r>
        <w:t>lithium</w:t>
      </w:r>
      <w:proofErr w:type="spellEnd"/>
      <w:r>
        <w:t xml:space="preserve">. </w:t>
      </w:r>
    </w:p>
    <w:p w14:paraId="751779AB" w14:textId="77777777" w:rsidR="006F253B" w:rsidRDefault="006F253B" w:rsidP="006F253B">
      <w:pPr>
        <w:pStyle w:val="Default"/>
        <w:ind w:left="851"/>
      </w:pPr>
    </w:p>
    <w:p w14:paraId="20A382BE" w14:textId="77777777" w:rsidR="006F253B" w:rsidRDefault="006F253B" w:rsidP="006F253B">
      <w:pPr>
        <w:pStyle w:val="Default"/>
        <w:ind w:left="851"/>
        <w:rPr>
          <w:u w:val="single"/>
        </w:rPr>
      </w:pPr>
      <w:r>
        <w:rPr>
          <w:u w:val="single"/>
        </w:rPr>
        <w:t xml:space="preserve">Andre lægemidler, der kan påvirkes af </w:t>
      </w:r>
      <w:proofErr w:type="spellStart"/>
      <w:r>
        <w:rPr>
          <w:u w:val="single"/>
        </w:rPr>
        <w:t>aripiprazol</w:t>
      </w:r>
      <w:proofErr w:type="spellEnd"/>
    </w:p>
    <w:p w14:paraId="3BDB82F9" w14:textId="77777777" w:rsidR="006F253B" w:rsidRDefault="006F253B" w:rsidP="006F253B">
      <w:pPr>
        <w:pStyle w:val="Default"/>
        <w:ind w:left="851"/>
      </w:pPr>
      <w:r>
        <w:t>I kliniske studier havde en daglig dosis på 10</w:t>
      </w:r>
      <w:r w:rsidR="00685C46">
        <w:t xml:space="preserve"> mg til </w:t>
      </w:r>
      <w:r>
        <w:t xml:space="preserve">30 mg </w:t>
      </w:r>
      <w:proofErr w:type="spellStart"/>
      <w:r>
        <w:t>aripiprazol</w:t>
      </w:r>
      <w:proofErr w:type="spellEnd"/>
      <w:r>
        <w:t xml:space="preserve"> ingen signifikant effekt på metabolismen af CYP2D6-substrater (</w:t>
      </w:r>
      <w:proofErr w:type="spellStart"/>
      <w:r>
        <w:t>dextromethorphan</w:t>
      </w:r>
      <w:proofErr w:type="spellEnd"/>
      <w:r>
        <w:t>/3-methoxymorphinan-forholdet), CYP2C9 (</w:t>
      </w:r>
      <w:proofErr w:type="spellStart"/>
      <w:r>
        <w:t>warfarin</w:t>
      </w:r>
      <w:proofErr w:type="spellEnd"/>
      <w:r>
        <w:t>), CYP2C19 (</w:t>
      </w:r>
      <w:proofErr w:type="spellStart"/>
      <w:r>
        <w:t>omeprazol</w:t>
      </w:r>
      <w:proofErr w:type="spellEnd"/>
      <w:r>
        <w:t>) og CYP3A4 (</w:t>
      </w:r>
      <w:proofErr w:type="spellStart"/>
      <w:r>
        <w:t>dextromethorphan</w:t>
      </w:r>
      <w:proofErr w:type="spellEnd"/>
      <w:r>
        <w:t xml:space="preserve">). Derudover viste </w:t>
      </w:r>
      <w:proofErr w:type="spellStart"/>
      <w:r>
        <w:t>aripiprazol</w:t>
      </w:r>
      <w:proofErr w:type="spellEnd"/>
      <w:r>
        <w:t xml:space="preserve"> og </w:t>
      </w:r>
      <w:proofErr w:type="spellStart"/>
      <w:r>
        <w:t>dehydro-aripiprazol</w:t>
      </w:r>
      <w:proofErr w:type="spellEnd"/>
      <w:r>
        <w:t xml:space="preserve"> ikke potentiale til at ændre CYP1A2-medieret metabolisme </w:t>
      </w:r>
      <w:r>
        <w:rPr>
          <w:i/>
          <w:iCs/>
        </w:rPr>
        <w:t xml:space="preserve">in </w:t>
      </w:r>
      <w:proofErr w:type="spellStart"/>
      <w:r>
        <w:rPr>
          <w:i/>
          <w:iCs/>
        </w:rPr>
        <w:t>vitro</w:t>
      </w:r>
      <w:proofErr w:type="spellEnd"/>
      <w:r>
        <w:t xml:space="preserve">. Det er derfor ikke sandsynligt, at </w:t>
      </w:r>
      <w:proofErr w:type="spellStart"/>
      <w:r>
        <w:t>aripiprazol</w:t>
      </w:r>
      <w:proofErr w:type="spellEnd"/>
      <w:r>
        <w:t xml:space="preserve"> kan forårsage klinisk relevant lægemiddelinteraktion medieret ved disse enzymer. </w:t>
      </w:r>
    </w:p>
    <w:p w14:paraId="6F3C5D07" w14:textId="77777777" w:rsidR="006F253B" w:rsidRDefault="006F253B" w:rsidP="006F253B">
      <w:pPr>
        <w:pStyle w:val="Default"/>
        <w:ind w:left="851"/>
      </w:pPr>
    </w:p>
    <w:p w14:paraId="79C9B5D3" w14:textId="77777777" w:rsidR="006F253B" w:rsidRDefault="006F253B" w:rsidP="006F253B">
      <w:pPr>
        <w:pStyle w:val="Default"/>
        <w:ind w:left="851"/>
      </w:pPr>
      <w:r>
        <w:t xml:space="preserve">Der sås ingen klinisk signifikante ændringer i </w:t>
      </w:r>
      <w:proofErr w:type="spellStart"/>
      <w:r>
        <w:t>valproat</w:t>
      </w:r>
      <w:proofErr w:type="spellEnd"/>
      <w:r>
        <w:t xml:space="preserve">-, </w:t>
      </w:r>
      <w:proofErr w:type="spellStart"/>
      <w:r>
        <w:t>lithium</w:t>
      </w:r>
      <w:proofErr w:type="spellEnd"/>
      <w:r>
        <w:t xml:space="preserve">- eller </w:t>
      </w:r>
      <w:proofErr w:type="spellStart"/>
      <w:r>
        <w:t>lamotriginkoncentrationer</w:t>
      </w:r>
      <w:proofErr w:type="spellEnd"/>
      <w:r>
        <w:t xml:space="preserve"> ved samtidig administration af </w:t>
      </w:r>
      <w:proofErr w:type="spellStart"/>
      <w:r>
        <w:t>aripiprazol</w:t>
      </w:r>
      <w:proofErr w:type="spellEnd"/>
      <w:r>
        <w:t xml:space="preserve"> og </w:t>
      </w:r>
      <w:proofErr w:type="spellStart"/>
      <w:r>
        <w:t>valproat</w:t>
      </w:r>
      <w:proofErr w:type="spellEnd"/>
      <w:r>
        <w:t xml:space="preserve">, </w:t>
      </w:r>
      <w:proofErr w:type="spellStart"/>
      <w:r>
        <w:t>lithium</w:t>
      </w:r>
      <w:proofErr w:type="spellEnd"/>
      <w:r>
        <w:t xml:space="preserve"> eller </w:t>
      </w:r>
      <w:proofErr w:type="spellStart"/>
      <w:r>
        <w:t>lamotrigin</w:t>
      </w:r>
      <w:proofErr w:type="spellEnd"/>
      <w:r>
        <w:t>.</w:t>
      </w:r>
    </w:p>
    <w:p w14:paraId="4A51493A" w14:textId="77777777" w:rsidR="006F253B" w:rsidRDefault="006F253B" w:rsidP="006F253B">
      <w:pPr>
        <w:pStyle w:val="Default"/>
        <w:ind w:left="851"/>
        <w:rPr>
          <w:i/>
          <w:iCs/>
        </w:rPr>
      </w:pPr>
    </w:p>
    <w:p w14:paraId="2B730D5D" w14:textId="77777777" w:rsidR="006F253B" w:rsidRDefault="006F253B" w:rsidP="006F253B">
      <w:pPr>
        <w:pStyle w:val="Default"/>
        <w:ind w:left="851"/>
        <w:rPr>
          <w:i/>
        </w:rPr>
      </w:pPr>
      <w:r>
        <w:rPr>
          <w:i/>
          <w:iCs/>
        </w:rPr>
        <w:t>Serotoninsyndrom</w:t>
      </w:r>
    </w:p>
    <w:p w14:paraId="77D473B6" w14:textId="77777777" w:rsidR="00685C46" w:rsidRDefault="00685C46" w:rsidP="00685C46">
      <w:pPr>
        <w:pStyle w:val="Default"/>
        <w:ind w:left="851"/>
      </w:pPr>
      <w:r>
        <w:t xml:space="preserve">Der er rapporteret om tilfælde af serotoninsyndrom hos patienter, der tager </w:t>
      </w:r>
      <w:proofErr w:type="spellStart"/>
      <w:r>
        <w:t>aripiprazol</w:t>
      </w:r>
      <w:proofErr w:type="spellEnd"/>
      <w:r>
        <w:t xml:space="preserve">. Tegn og symptomer på denne tilstand kan især forekomme ved samtidig anvendelse af andre </w:t>
      </w:r>
      <w:proofErr w:type="spellStart"/>
      <w:r>
        <w:t>serotonerge</w:t>
      </w:r>
      <w:proofErr w:type="spellEnd"/>
      <w:r>
        <w:t xml:space="preserve"> lægemidler som fx SSRI/SNRI </w:t>
      </w:r>
      <w:commentRangeStart w:id="2"/>
      <w:r w:rsidRPr="002B24F8">
        <w:t xml:space="preserve">(selektive </w:t>
      </w:r>
      <w:proofErr w:type="spellStart"/>
      <w:r w:rsidRPr="002B24F8">
        <w:lastRenderedPageBreak/>
        <w:t>serotoningenoptagelseshæmmere</w:t>
      </w:r>
      <w:proofErr w:type="spellEnd"/>
      <w:r w:rsidRPr="002B24F8">
        <w:t xml:space="preserve">/serotonin- og </w:t>
      </w:r>
      <w:proofErr w:type="spellStart"/>
      <w:r w:rsidRPr="002B24F8">
        <w:t>noradrenalingenoptagelseshæmmere</w:t>
      </w:r>
      <w:proofErr w:type="spellEnd"/>
      <w:r w:rsidRPr="002B24F8">
        <w:t>)</w:t>
      </w:r>
      <w:commentRangeEnd w:id="2"/>
      <w:r>
        <w:rPr>
          <w:rStyle w:val="Kommentarhenvisning"/>
          <w:color w:val="auto"/>
        </w:rPr>
        <w:commentReference w:id="2"/>
      </w:r>
      <w:r>
        <w:t xml:space="preserve"> og af lægemidler, der er kendt for at øge </w:t>
      </w:r>
      <w:proofErr w:type="spellStart"/>
      <w:r>
        <w:t>aripiprazol</w:t>
      </w:r>
      <w:proofErr w:type="spellEnd"/>
      <w:r>
        <w:t xml:space="preserve">-koncentrationen (se pkt. 4.8). </w:t>
      </w:r>
    </w:p>
    <w:p w14:paraId="2C67FF89" w14:textId="77777777" w:rsidR="006F253B" w:rsidRPr="00B968ED" w:rsidRDefault="006F253B" w:rsidP="006F253B">
      <w:pPr>
        <w:tabs>
          <w:tab w:val="left" w:pos="851"/>
        </w:tabs>
        <w:rPr>
          <w:sz w:val="24"/>
          <w:szCs w:val="24"/>
        </w:rPr>
      </w:pPr>
    </w:p>
    <w:p w14:paraId="2CC2EC55" w14:textId="77777777" w:rsidR="006F253B" w:rsidRPr="00B968ED" w:rsidRDefault="006F253B" w:rsidP="006F253B">
      <w:pPr>
        <w:tabs>
          <w:tab w:val="left" w:pos="851"/>
        </w:tabs>
        <w:ind w:left="851" w:hanging="851"/>
        <w:rPr>
          <w:b/>
          <w:sz w:val="24"/>
          <w:szCs w:val="24"/>
        </w:rPr>
      </w:pPr>
      <w:r w:rsidRPr="00B968ED">
        <w:rPr>
          <w:b/>
          <w:sz w:val="24"/>
          <w:szCs w:val="24"/>
        </w:rPr>
        <w:t>4.6</w:t>
      </w:r>
      <w:r w:rsidRPr="00B968ED">
        <w:rPr>
          <w:b/>
          <w:sz w:val="24"/>
          <w:szCs w:val="24"/>
        </w:rPr>
        <w:tab/>
      </w:r>
      <w:r w:rsidR="00705894">
        <w:rPr>
          <w:b/>
          <w:sz w:val="24"/>
          <w:szCs w:val="24"/>
        </w:rPr>
        <w:t>Fertilitet, g</w:t>
      </w:r>
      <w:r w:rsidRPr="00B968ED">
        <w:rPr>
          <w:b/>
          <w:sz w:val="24"/>
          <w:szCs w:val="24"/>
        </w:rPr>
        <w:t>raviditet og amning</w:t>
      </w:r>
    </w:p>
    <w:p w14:paraId="4CF1503F" w14:textId="77777777" w:rsidR="006F253B" w:rsidRDefault="006F253B" w:rsidP="006F253B">
      <w:pPr>
        <w:pStyle w:val="Default"/>
        <w:ind w:left="851"/>
        <w:rPr>
          <w:u w:val="single"/>
        </w:rPr>
      </w:pPr>
      <w:r>
        <w:rPr>
          <w:u w:val="single"/>
        </w:rPr>
        <w:t xml:space="preserve">Graviditet </w:t>
      </w:r>
    </w:p>
    <w:p w14:paraId="60A052C8" w14:textId="77777777" w:rsidR="006F253B" w:rsidRDefault="006F253B" w:rsidP="006F253B">
      <w:pPr>
        <w:pStyle w:val="Default"/>
        <w:ind w:left="851"/>
      </w:pPr>
      <w:r>
        <w:t xml:space="preserve">Der foreligger ikke tilstrækkelige data om brugen af </w:t>
      </w:r>
      <w:proofErr w:type="spellStart"/>
      <w:r>
        <w:t>aripiprazol</w:t>
      </w:r>
      <w:proofErr w:type="spellEnd"/>
      <w:r>
        <w:t xml:space="preserve"> hos gravide kvinder. Der er rapporteret om medfødte anomalier; der kunne dog ikke konstateres nogen kausal sammenhæng mellem disse og </w:t>
      </w:r>
      <w:proofErr w:type="spellStart"/>
      <w:r>
        <w:t>aripiprazol</w:t>
      </w:r>
      <w:proofErr w:type="spellEnd"/>
      <w:r>
        <w:t xml:space="preserve">. </w:t>
      </w:r>
    </w:p>
    <w:p w14:paraId="0194B0F4" w14:textId="77777777" w:rsidR="006F253B" w:rsidRDefault="006F253B" w:rsidP="006F253B">
      <w:pPr>
        <w:pStyle w:val="Default"/>
        <w:ind w:left="851"/>
      </w:pPr>
    </w:p>
    <w:p w14:paraId="40554281" w14:textId="77777777" w:rsidR="006F253B" w:rsidRDefault="006F253B" w:rsidP="006F253B">
      <w:pPr>
        <w:pStyle w:val="Default"/>
        <w:ind w:left="851"/>
      </w:pPr>
      <w:r>
        <w:t xml:space="preserve">Dyrestudier kan ikke udelukke potentiel udviklingstoksicitet (se pkt. 5.3). Patienterne skal rådes til at informere lægen, hvis de bliver gravide, eller planlægger at blive gravide, under behandling med </w:t>
      </w:r>
      <w:proofErr w:type="spellStart"/>
      <w:r>
        <w:t>aripiprazol</w:t>
      </w:r>
      <w:proofErr w:type="spellEnd"/>
      <w:r>
        <w:t xml:space="preserve">. På grund af utilstrækkelige humane sikkerhedsdata og forstyrrelser set ved reproduktionsstudier hos dyr bør dette lægemiddel ikke anvendes til gravide, medmindre de forventede fordele for kvinden klart opvejer den potentielle risiko for fostret. </w:t>
      </w:r>
    </w:p>
    <w:p w14:paraId="21E51BBE" w14:textId="77777777" w:rsidR="006F253B" w:rsidRDefault="006F253B" w:rsidP="006F253B">
      <w:pPr>
        <w:pStyle w:val="Default"/>
        <w:ind w:left="851"/>
      </w:pPr>
    </w:p>
    <w:p w14:paraId="6D6614E6" w14:textId="77777777" w:rsidR="006F253B" w:rsidRDefault="006F253B" w:rsidP="006F253B">
      <w:pPr>
        <w:pStyle w:val="Default"/>
        <w:ind w:left="851"/>
      </w:pPr>
      <w:r>
        <w:t xml:space="preserve">Nyfødte, der har været udsat for antipsykotika (herunder </w:t>
      </w:r>
      <w:proofErr w:type="spellStart"/>
      <w:r>
        <w:t>aripiprazol</w:t>
      </w:r>
      <w:proofErr w:type="spellEnd"/>
      <w: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t>hypertoni</w:t>
      </w:r>
      <w:proofErr w:type="spellEnd"/>
      <w:r>
        <w:t xml:space="preserve">, </w:t>
      </w:r>
      <w:proofErr w:type="spellStart"/>
      <w:r>
        <w:t>hypotoni</w:t>
      </w:r>
      <w:proofErr w:type="spellEnd"/>
      <w:r>
        <w:t xml:space="preserve">, </w:t>
      </w:r>
      <w:proofErr w:type="spellStart"/>
      <w:r>
        <w:t>tremor</w:t>
      </w:r>
      <w:proofErr w:type="spellEnd"/>
      <w:r>
        <w:t xml:space="preserve">, døsighed, akut respirationsbesvær eller besvær ved fødeindtag. Derfor bør nyfødte overvåges </w:t>
      </w:r>
      <w:proofErr w:type="gramStart"/>
      <w:r>
        <w:t>nøje(</w:t>
      </w:r>
      <w:proofErr w:type="gramEnd"/>
      <w:r>
        <w:t xml:space="preserve">se pkt. 4.8). </w:t>
      </w:r>
    </w:p>
    <w:p w14:paraId="003CA356" w14:textId="77777777" w:rsidR="006F253B" w:rsidRDefault="006F253B" w:rsidP="006F253B">
      <w:pPr>
        <w:pStyle w:val="Default"/>
        <w:ind w:left="851"/>
      </w:pPr>
    </w:p>
    <w:p w14:paraId="3152BD63" w14:textId="77777777" w:rsidR="006F253B" w:rsidRDefault="006F253B" w:rsidP="006F253B">
      <w:pPr>
        <w:pStyle w:val="Default"/>
        <w:ind w:left="851"/>
        <w:rPr>
          <w:u w:val="single"/>
        </w:rPr>
      </w:pPr>
      <w:r>
        <w:rPr>
          <w:u w:val="single"/>
        </w:rPr>
        <w:t xml:space="preserve">Amning </w:t>
      </w:r>
    </w:p>
    <w:p w14:paraId="4E3839B6" w14:textId="77777777" w:rsidR="00685C46" w:rsidRDefault="006F253B" w:rsidP="00685C46">
      <w:pPr>
        <w:tabs>
          <w:tab w:val="left" w:pos="851"/>
        </w:tabs>
        <w:ind w:left="851" w:hanging="851"/>
        <w:rPr>
          <w:sz w:val="24"/>
          <w:szCs w:val="24"/>
        </w:rPr>
      </w:pPr>
      <w:r>
        <w:rPr>
          <w:sz w:val="24"/>
          <w:szCs w:val="24"/>
        </w:rPr>
        <w:tab/>
      </w:r>
      <w:proofErr w:type="spellStart"/>
      <w:r w:rsidR="00685C46">
        <w:rPr>
          <w:sz w:val="24"/>
          <w:szCs w:val="24"/>
        </w:rPr>
        <w:t>Aripiprazol</w:t>
      </w:r>
      <w:commentRangeStart w:id="3"/>
      <w:proofErr w:type="spellEnd"/>
      <w:r w:rsidR="00685C46" w:rsidRPr="002B24F8">
        <w:rPr>
          <w:sz w:val="24"/>
          <w:szCs w:val="24"/>
        </w:rPr>
        <w:t>/metabolitter</w:t>
      </w:r>
      <w:r w:rsidR="00685C46">
        <w:rPr>
          <w:sz w:val="24"/>
          <w:szCs w:val="24"/>
        </w:rPr>
        <w:t xml:space="preserve"> </w:t>
      </w:r>
      <w:commentRangeEnd w:id="3"/>
      <w:r w:rsidR="00685C46">
        <w:rPr>
          <w:rStyle w:val="Kommentarhenvisning"/>
          <w:lang w:eastAsia="da-DK"/>
        </w:rPr>
        <w:commentReference w:id="3"/>
      </w:r>
      <w:r w:rsidR="00685C46">
        <w:rPr>
          <w:sz w:val="24"/>
          <w:szCs w:val="24"/>
        </w:rPr>
        <w:t xml:space="preserve">udskilles i human mælk. Det skal besluttes, om amning skal ophøre eller behandling med </w:t>
      </w:r>
      <w:proofErr w:type="spellStart"/>
      <w:r w:rsidR="00685C46">
        <w:rPr>
          <w:sz w:val="24"/>
          <w:szCs w:val="24"/>
        </w:rPr>
        <w:t>aripiprazol</w:t>
      </w:r>
      <w:proofErr w:type="spellEnd"/>
      <w:r w:rsidR="00685C46">
        <w:rPr>
          <w:sz w:val="24"/>
          <w:szCs w:val="24"/>
        </w:rPr>
        <w:t xml:space="preserve"> seponeres, idet der tages højde for fordelene ved amning for barnet i forhold til de terapeutiske fordele for moderen.</w:t>
      </w:r>
    </w:p>
    <w:p w14:paraId="5E0ACC90" w14:textId="77777777" w:rsidR="006F253B" w:rsidRDefault="006F253B" w:rsidP="00685C46">
      <w:pPr>
        <w:tabs>
          <w:tab w:val="left" w:pos="851"/>
        </w:tabs>
        <w:ind w:left="851" w:hanging="851"/>
        <w:rPr>
          <w:sz w:val="24"/>
          <w:szCs w:val="24"/>
        </w:rPr>
      </w:pPr>
      <w:r>
        <w:rPr>
          <w:sz w:val="24"/>
          <w:szCs w:val="24"/>
        </w:rPr>
        <w:tab/>
      </w:r>
    </w:p>
    <w:p w14:paraId="5F569B29" w14:textId="77777777" w:rsidR="006F253B" w:rsidRDefault="006F253B" w:rsidP="006F253B">
      <w:pPr>
        <w:tabs>
          <w:tab w:val="left" w:pos="851"/>
        </w:tabs>
        <w:rPr>
          <w:sz w:val="24"/>
          <w:szCs w:val="24"/>
          <w:u w:val="single"/>
        </w:rPr>
      </w:pPr>
      <w:r>
        <w:rPr>
          <w:sz w:val="24"/>
          <w:szCs w:val="24"/>
        </w:rPr>
        <w:tab/>
      </w:r>
      <w:r>
        <w:rPr>
          <w:sz w:val="24"/>
          <w:szCs w:val="24"/>
          <w:u w:val="single"/>
        </w:rPr>
        <w:t>Fertilitet</w:t>
      </w:r>
    </w:p>
    <w:p w14:paraId="188B4E7C" w14:textId="77777777" w:rsidR="006F253B" w:rsidRDefault="006F253B" w:rsidP="006F253B">
      <w:pPr>
        <w:tabs>
          <w:tab w:val="left" w:pos="851"/>
        </w:tabs>
        <w:ind w:left="851"/>
        <w:rPr>
          <w:sz w:val="24"/>
          <w:szCs w:val="24"/>
        </w:rPr>
      </w:pPr>
      <w:proofErr w:type="spellStart"/>
      <w:r>
        <w:rPr>
          <w:sz w:val="24"/>
          <w:szCs w:val="24"/>
        </w:rPr>
        <w:t>Aripiprazol</w:t>
      </w:r>
      <w:proofErr w:type="spellEnd"/>
      <w:r>
        <w:rPr>
          <w:sz w:val="24"/>
          <w:szCs w:val="24"/>
        </w:rPr>
        <w:t xml:space="preserve"> har ingen indvirkning på fertiliteten i henhold til data fra reproduktionstoksicitetsforsøg.</w:t>
      </w:r>
    </w:p>
    <w:p w14:paraId="334EB5AD" w14:textId="77777777" w:rsidR="006F253B" w:rsidRPr="00B968ED" w:rsidRDefault="006F253B" w:rsidP="006F253B">
      <w:pPr>
        <w:tabs>
          <w:tab w:val="left" w:pos="851"/>
        </w:tabs>
        <w:rPr>
          <w:sz w:val="24"/>
          <w:szCs w:val="24"/>
        </w:rPr>
      </w:pPr>
    </w:p>
    <w:p w14:paraId="6D9C8463" w14:textId="77777777" w:rsidR="006F253B" w:rsidRPr="00B968ED" w:rsidRDefault="006F253B" w:rsidP="006F253B">
      <w:pPr>
        <w:tabs>
          <w:tab w:val="left" w:pos="851"/>
        </w:tabs>
        <w:ind w:left="851" w:hanging="851"/>
        <w:rPr>
          <w:b/>
          <w:sz w:val="24"/>
          <w:szCs w:val="24"/>
        </w:rPr>
      </w:pPr>
      <w:r w:rsidRPr="00B968ED">
        <w:rPr>
          <w:b/>
          <w:sz w:val="24"/>
          <w:szCs w:val="24"/>
        </w:rPr>
        <w:t>4.7</w:t>
      </w:r>
      <w:r w:rsidRPr="00B968ED">
        <w:rPr>
          <w:b/>
          <w:sz w:val="24"/>
          <w:szCs w:val="24"/>
        </w:rPr>
        <w:tab/>
        <w:t xml:space="preserve">Virkning på evnen til at føre motorkøretøj </w:t>
      </w:r>
      <w:r w:rsidR="00705894">
        <w:rPr>
          <w:b/>
          <w:sz w:val="24"/>
          <w:szCs w:val="24"/>
        </w:rPr>
        <w:t>og</w:t>
      </w:r>
      <w:r w:rsidRPr="00B968ED">
        <w:rPr>
          <w:b/>
          <w:sz w:val="24"/>
          <w:szCs w:val="24"/>
        </w:rPr>
        <w:t xml:space="preserve"> betjene maskiner</w:t>
      </w:r>
    </w:p>
    <w:p w14:paraId="288FC24D" w14:textId="77777777" w:rsidR="006F253B" w:rsidRDefault="006F253B" w:rsidP="006F253B">
      <w:pPr>
        <w:tabs>
          <w:tab w:val="left" w:pos="851"/>
        </w:tabs>
        <w:ind w:left="851" w:hanging="851"/>
        <w:rPr>
          <w:sz w:val="24"/>
          <w:szCs w:val="24"/>
        </w:rPr>
      </w:pPr>
      <w:r w:rsidRPr="00B968ED">
        <w:rPr>
          <w:sz w:val="24"/>
          <w:szCs w:val="24"/>
        </w:rPr>
        <w:tab/>
      </w:r>
      <w:r>
        <w:rPr>
          <w:sz w:val="24"/>
          <w:szCs w:val="24"/>
        </w:rPr>
        <w:t>Ikke mærkning</w:t>
      </w:r>
    </w:p>
    <w:p w14:paraId="2E1DD306" w14:textId="77777777" w:rsidR="006F253B" w:rsidRDefault="006F253B" w:rsidP="006F253B">
      <w:pPr>
        <w:tabs>
          <w:tab w:val="left" w:pos="851"/>
        </w:tabs>
        <w:ind w:left="851" w:hanging="851"/>
        <w:rPr>
          <w:sz w:val="24"/>
          <w:szCs w:val="24"/>
        </w:rPr>
      </w:pPr>
      <w:r>
        <w:rPr>
          <w:sz w:val="24"/>
          <w:szCs w:val="24"/>
        </w:rPr>
        <w:tab/>
      </w:r>
    </w:p>
    <w:p w14:paraId="493558DB" w14:textId="77777777" w:rsidR="006F253B" w:rsidRDefault="006F253B" w:rsidP="006F253B">
      <w:pPr>
        <w:tabs>
          <w:tab w:val="left" w:pos="851"/>
        </w:tabs>
        <w:ind w:left="851" w:hanging="851"/>
        <w:rPr>
          <w:sz w:val="24"/>
          <w:szCs w:val="24"/>
        </w:rPr>
      </w:pPr>
      <w:r>
        <w:rPr>
          <w:sz w:val="24"/>
          <w:szCs w:val="24"/>
        </w:rPr>
        <w:tab/>
      </w:r>
      <w:proofErr w:type="spellStart"/>
      <w:r>
        <w:rPr>
          <w:sz w:val="24"/>
          <w:szCs w:val="24"/>
        </w:rPr>
        <w:t>Aripiprazol</w:t>
      </w:r>
      <w:proofErr w:type="spellEnd"/>
      <w:r>
        <w:rPr>
          <w:sz w:val="24"/>
          <w:szCs w:val="24"/>
        </w:rPr>
        <w:t xml:space="preserve"> påvirker i mindre eller moderat grad evnen til at køre bil eller betjene maskiner som følge af den mulige indvirkning på nervesystemet og synet. Der kan fx være tale om sedation, døsighed, synkope, sløret syn og </w:t>
      </w:r>
      <w:proofErr w:type="spellStart"/>
      <w:r>
        <w:rPr>
          <w:sz w:val="24"/>
          <w:szCs w:val="24"/>
        </w:rPr>
        <w:t>diplopi</w:t>
      </w:r>
      <w:proofErr w:type="spellEnd"/>
      <w:r>
        <w:rPr>
          <w:sz w:val="24"/>
          <w:szCs w:val="24"/>
        </w:rPr>
        <w:t xml:space="preserve"> (se pkt. 4.8).</w:t>
      </w:r>
    </w:p>
    <w:p w14:paraId="1E9EB4EF" w14:textId="77777777" w:rsidR="006F253B" w:rsidRPr="00B968ED" w:rsidRDefault="006F253B" w:rsidP="006F253B">
      <w:pPr>
        <w:tabs>
          <w:tab w:val="left" w:pos="851"/>
        </w:tabs>
        <w:ind w:left="851" w:hanging="851"/>
        <w:rPr>
          <w:sz w:val="24"/>
          <w:szCs w:val="24"/>
        </w:rPr>
      </w:pPr>
    </w:p>
    <w:p w14:paraId="498FF377" w14:textId="77777777" w:rsidR="006F253B" w:rsidRPr="00B968ED" w:rsidRDefault="006F253B" w:rsidP="006F253B">
      <w:pPr>
        <w:tabs>
          <w:tab w:val="left" w:pos="851"/>
        </w:tabs>
        <w:ind w:left="851" w:hanging="851"/>
        <w:rPr>
          <w:b/>
          <w:sz w:val="24"/>
          <w:szCs w:val="24"/>
        </w:rPr>
      </w:pPr>
      <w:r w:rsidRPr="00B968ED">
        <w:rPr>
          <w:b/>
          <w:sz w:val="24"/>
          <w:szCs w:val="24"/>
        </w:rPr>
        <w:t>4.8</w:t>
      </w:r>
      <w:r w:rsidRPr="00B968ED">
        <w:rPr>
          <w:b/>
          <w:sz w:val="24"/>
          <w:szCs w:val="24"/>
        </w:rPr>
        <w:tab/>
        <w:t>Bivirkninger</w:t>
      </w:r>
    </w:p>
    <w:p w14:paraId="327BF060" w14:textId="77777777" w:rsidR="006F253B" w:rsidRDefault="006F253B" w:rsidP="006F253B">
      <w:pPr>
        <w:pStyle w:val="Default"/>
        <w:tabs>
          <w:tab w:val="left" w:pos="851"/>
        </w:tabs>
        <w:rPr>
          <w:u w:val="single"/>
        </w:rPr>
      </w:pPr>
      <w:r w:rsidRPr="00B968ED">
        <w:tab/>
      </w:r>
      <w:r>
        <w:rPr>
          <w:u w:val="single"/>
        </w:rPr>
        <w:t xml:space="preserve">Resumé af sikkerhedsprofilen </w:t>
      </w:r>
    </w:p>
    <w:p w14:paraId="57C16C0A" w14:textId="77777777" w:rsidR="006F253B" w:rsidRDefault="006F253B" w:rsidP="006F253B">
      <w:pPr>
        <w:pStyle w:val="Default"/>
        <w:tabs>
          <w:tab w:val="left" w:pos="851"/>
        </w:tabs>
        <w:ind w:left="851"/>
      </w:pPr>
      <w:r>
        <w:t xml:space="preserve">De hyppigst rapporterede bivirkninger i placebokontrollerede studier var </w:t>
      </w:r>
      <w:proofErr w:type="spellStart"/>
      <w:r>
        <w:t>akatisi</w:t>
      </w:r>
      <w:proofErr w:type="spellEnd"/>
      <w:r>
        <w:t xml:space="preserve"> og kvalme, som hver forekom hos mere end 3 % af de patienter, der blev behandlet med oral </w:t>
      </w:r>
      <w:proofErr w:type="spellStart"/>
      <w:r>
        <w:t>aripiprazol</w:t>
      </w:r>
      <w:proofErr w:type="spellEnd"/>
      <w:r>
        <w:t xml:space="preserve">. </w:t>
      </w:r>
    </w:p>
    <w:p w14:paraId="325A9B51" w14:textId="77777777" w:rsidR="006F253B" w:rsidRDefault="006F253B" w:rsidP="006F253B">
      <w:pPr>
        <w:pStyle w:val="Default"/>
        <w:tabs>
          <w:tab w:val="left" w:pos="851"/>
        </w:tabs>
        <w:ind w:left="851"/>
      </w:pPr>
    </w:p>
    <w:p w14:paraId="59054A8A" w14:textId="77777777" w:rsidR="006F253B" w:rsidRDefault="006F253B" w:rsidP="006F253B">
      <w:pPr>
        <w:pStyle w:val="Default"/>
        <w:tabs>
          <w:tab w:val="left" w:pos="851"/>
        </w:tabs>
        <w:ind w:left="851"/>
        <w:rPr>
          <w:u w:val="single"/>
        </w:rPr>
      </w:pPr>
      <w:r>
        <w:rPr>
          <w:u w:val="single"/>
        </w:rPr>
        <w:t xml:space="preserve">Tabel over bivirkninger </w:t>
      </w:r>
    </w:p>
    <w:p w14:paraId="3B09815A" w14:textId="77777777" w:rsidR="006F253B" w:rsidRDefault="006F253B" w:rsidP="006F253B">
      <w:pPr>
        <w:pStyle w:val="Default"/>
        <w:ind w:left="851"/>
      </w:pPr>
    </w:p>
    <w:p w14:paraId="76B41EC7" w14:textId="77777777" w:rsidR="006F253B" w:rsidRDefault="006F253B" w:rsidP="006F253B">
      <w:pPr>
        <w:pStyle w:val="Default"/>
        <w:ind w:left="851"/>
      </w:pPr>
      <w:proofErr w:type="spellStart"/>
      <w:r>
        <w:t>Incidensen</w:t>
      </w:r>
      <w:proofErr w:type="spellEnd"/>
      <w:r>
        <w:t xml:space="preserve"> af bivirkninger forbundet med </w:t>
      </w:r>
      <w:proofErr w:type="spellStart"/>
      <w:r>
        <w:t>aripiprazol</w:t>
      </w:r>
      <w:proofErr w:type="spellEnd"/>
      <w:r>
        <w:t>-behandling er opstillet nedenfor. Tabellen er baseret på bivirkninger rapporteret under kliniske studier og/eller efter markedsføringen</w:t>
      </w:r>
    </w:p>
    <w:p w14:paraId="770DA443" w14:textId="77777777" w:rsidR="006F253B" w:rsidRDefault="006F253B" w:rsidP="006F253B">
      <w:pPr>
        <w:pStyle w:val="Default"/>
        <w:ind w:left="851"/>
      </w:pPr>
    </w:p>
    <w:p w14:paraId="616394CD" w14:textId="77777777" w:rsidR="006F253B" w:rsidRDefault="006F253B" w:rsidP="006F253B">
      <w:pPr>
        <w:pStyle w:val="Default"/>
        <w:ind w:left="851"/>
      </w:pPr>
      <w:r>
        <w:lastRenderedPageBreak/>
        <w:t xml:space="preserve">Alle bivirkninger er opstillet efter systemorganklasse og hyppighed: meget almindelig (≥ 1/10), almindelig (≥ 1/100 til &lt; 1/10), ikke almindelig (≥ 1/1.000 til &lt; 1/100), sjælden (≥ 1/10.000 til 9 &lt; 1/1.000), meget sjælden (&lt; 1/10.000) og ikke kendt (kan ikke estimeres ud fra forhåndenværende data). Inden for hver hyppighedsgruppe er bivirkningerne opført efter, hvor alvorlige de er. De alvorligste bivirkninger er anført først. </w:t>
      </w:r>
    </w:p>
    <w:p w14:paraId="44505D0E" w14:textId="77777777" w:rsidR="006F253B" w:rsidRDefault="006F253B" w:rsidP="006F253B">
      <w:pPr>
        <w:tabs>
          <w:tab w:val="left" w:pos="851"/>
        </w:tabs>
        <w:ind w:left="851" w:hanging="851"/>
        <w:rPr>
          <w:sz w:val="24"/>
          <w:szCs w:val="24"/>
        </w:rPr>
      </w:pPr>
      <w:r>
        <w:rPr>
          <w:sz w:val="24"/>
          <w:szCs w:val="24"/>
        </w:rPr>
        <w:tab/>
        <w:t xml:space="preserve">Hyppigheden af bivirkninger, der er rapporteret efter markedsføringen, kan ikke fastsættes, da der er tale om spontane indberetninger. Hyppigheden af sådanne bivirkninger er derfor angivet som "ikke kendt". </w:t>
      </w:r>
    </w:p>
    <w:p w14:paraId="5A0EC118" w14:textId="77777777" w:rsidR="006F253B" w:rsidRDefault="006F253B" w:rsidP="006F253B">
      <w:pPr>
        <w:tabs>
          <w:tab w:val="left" w:pos="851"/>
        </w:tabs>
        <w:ind w:left="851" w:hanging="851"/>
        <w:rPr>
          <w:sz w:val="24"/>
          <w:szCs w:val="24"/>
        </w:rPr>
      </w:pPr>
      <w:r>
        <w:rPr>
          <w:sz w:val="24"/>
          <w:szCs w:val="24"/>
        </w:rPr>
        <w:tab/>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793"/>
        <w:gridCol w:w="2009"/>
        <w:gridCol w:w="2647"/>
      </w:tblGrid>
      <w:tr w:rsidR="006E4352" w14:paraId="7E1A7C54" w14:textId="77777777" w:rsidTr="00327C0A">
        <w:tc>
          <w:tcPr>
            <w:tcW w:w="2331" w:type="dxa"/>
            <w:tcBorders>
              <w:top w:val="single" w:sz="4" w:space="0" w:color="auto"/>
              <w:left w:val="single" w:sz="4" w:space="0" w:color="auto"/>
              <w:bottom w:val="single" w:sz="4" w:space="0" w:color="auto"/>
              <w:right w:val="single" w:sz="4" w:space="0" w:color="auto"/>
            </w:tcBorders>
          </w:tcPr>
          <w:p w14:paraId="03129BDA" w14:textId="77777777" w:rsidR="006E4352" w:rsidRDefault="006E4352" w:rsidP="00685C46">
            <w:pPr>
              <w:tabs>
                <w:tab w:val="left" w:pos="851"/>
              </w:tabs>
              <w:rPr>
                <w:b/>
                <w:sz w:val="24"/>
                <w:szCs w:val="24"/>
              </w:rPr>
            </w:pPr>
          </w:p>
        </w:tc>
        <w:tc>
          <w:tcPr>
            <w:tcW w:w="1795" w:type="dxa"/>
            <w:tcBorders>
              <w:top w:val="single" w:sz="4" w:space="0" w:color="auto"/>
              <w:left w:val="single" w:sz="4" w:space="0" w:color="auto"/>
              <w:bottom w:val="single" w:sz="4" w:space="0" w:color="auto"/>
              <w:right w:val="single" w:sz="4" w:space="0" w:color="auto"/>
            </w:tcBorders>
            <w:hideMark/>
          </w:tcPr>
          <w:p w14:paraId="7BF19D69" w14:textId="77777777" w:rsidR="006E4352" w:rsidRDefault="006E4352" w:rsidP="00685C46">
            <w:pPr>
              <w:tabs>
                <w:tab w:val="left" w:pos="851"/>
              </w:tabs>
              <w:rPr>
                <w:b/>
                <w:sz w:val="24"/>
                <w:szCs w:val="24"/>
              </w:rPr>
            </w:pPr>
            <w:r>
              <w:rPr>
                <w:b/>
                <w:sz w:val="24"/>
                <w:szCs w:val="24"/>
              </w:rPr>
              <w:t>Almindelig</w:t>
            </w:r>
          </w:p>
        </w:tc>
        <w:tc>
          <w:tcPr>
            <w:tcW w:w="2012" w:type="dxa"/>
            <w:tcBorders>
              <w:top w:val="single" w:sz="4" w:space="0" w:color="auto"/>
              <w:left w:val="single" w:sz="4" w:space="0" w:color="auto"/>
              <w:bottom w:val="single" w:sz="4" w:space="0" w:color="auto"/>
              <w:right w:val="single" w:sz="4" w:space="0" w:color="auto"/>
            </w:tcBorders>
            <w:hideMark/>
          </w:tcPr>
          <w:p w14:paraId="7F30AD38" w14:textId="77777777" w:rsidR="006E4352" w:rsidRDefault="006E4352" w:rsidP="00685C46">
            <w:pPr>
              <w:tabs>
                <w:tab w:val="left" w:pos="851"/>
              </w:tabs>
              <w:rPr>
                <w:b/>
                <w:sz w:val="24"/>
                <w:szCs w:val="24"/>
              </w:rPr>
            </w:pPr>
            <w:r>
              <w:rPr>
                <w:b/>
                <w:sz w:val="24"/>
                <w:szCs w:val="24"/>
              </w:rPr>
              <w:t>Ikke almindelig</w:t>
            </w:r>
          </w:p>
        </w:tc>
        <w:tc>
          <w:tcPr>
            <w:tcW w:w="2639" w:type="dxa"/>
            <w:tcBorders>
              <w:top w:val="single" w:sz="4" w:space="0" w:color="auto"/>
              <w:left w:val="single" w:sz="4" w:space="0" w:color="auto"/>
              <w:bottom w:val="single" w:sz="4" w:space="0" w:color="auto"/>
              <w:right w:val="single" w:sz="4" w:space="0" w:color="auto"/>
            </w:tcBorders>
            <w:hideMark/>
          </w:tcPr>
          <w:p w14:paraId="097239A7" w14:textId="77777777" w:rsidR="006E4352" w:rsidRDefault="006E4352" w:rsidP="00685C46">
            <w:pPr>
              <w:tabs>
                <w:tab w:val="left" w:pos="851"/>
              </w:tabs>
              <w:rPr>
                <w:b/>
                <w:sz w:val="24"/>
                <w:szCs w:val="24"/>
              </w:rPr>
            </w:pPr>
            <w:r>
              <w:rPr>
                <w:b/>
                <w:sz w:val="24"/>
                <w:szCs w:val="24"/>
              </w:rPr>
              <w:t>Ikke kendt</w:t>
            </w:r>
          </w:p>
        </w:tc>
      </w:tr>
      <w:tr w:rsidR="006E4352" w14:paraId="4280A633"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5920995A" w14:textId="77777777" w:rsidR="006E4352" w:rsidRDefault="006E4352" w:rsidP="00685C46">
            <w:pPr>
              <w:tabs>
                <w:tab w:val="left" w:pos="851"/>
              </w:tabs>
              <w:rPr>
                <w:b/>
                <w:sz w:val="24"/>
                <w:szCs w:val="24"/>
              </w:rPr>
            </w:pPr>
            <w:r>
              <w:rPr>
                <w:b/>
              </w:rPr>
              <w:t>Blod og lymfesystem</w:t>
            </w:r>
          </w:p>
        </w:tc>
        <w:tc>
          <w:tcPr>
            <w:tcW w:w="1795" w:type="dxa"/>
            <w:tcBorders>
              <w:top w:val="single" w:sz="4" w:space="0" w:color="auto"/>
              <w:left w:val="single" w:sz="4" w:space="0" w:color="auto"/>
              <w:bottom w:val="single" w:sz="4" w:space="0" w:color="auto"/>
              <w:right w:val="single" w:sz="4" w:space="0" w:color="auto"/>
            </w:tcBorders>
          </w:tcPr>
          <w:p w14:paraId="52A7EED5"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0F8232C1" w14:textId="77777777" w:rsidR="006E4352" w:rsidRDefault="006E4352" w:rsidP="00685C46">
            <w:pPr>
              <w:tabs>
                <w:tab w:val="left" w:pos="851"/>
              </w:tabs>
              <w:rPr>
                <w:sz w:val="24"/>
                <w:szCs w:val="24"/>
              </w:rPr>
            </w:pPr>
          </w:p>
        </w:tc>
        <w:tc>
          <w:tcPr>
            <w:tcW w:w="2639" w:type="dxa"/>
            <w:tcBorders>
              <w:top w:val="single" w:sz="4" w:space="0" w:color="auto"/>
              <w:left w:val="single" w:sz="4" w:space="0" w:color="auto"/>
              <w:bottom w:val="single" w:sz="4" w:space="0" w:color="auto"/>
              <w:right w:val="single" w:sz="4" w:space="0" w:color="auto"/>
            </w:tcBorders>
            <w:hideMark/>
          </w:tcPr>
          <w:p w14:paraId="10E1D3A2" w14:textId="77777777" w:rsidR="006E4352" w:rsidRDefault="006E4352" w:rsidP="00685C46">
            <w:pPr>
              <w:tabs>
                <w:tab w:val="left" w:pos="851"/>
              </w:tabs>
              <w:rPr>
                <w:sz w:val="24"/>
                <w:szCs w:val="24"/>
              </w:rPr>
            </w:pPr>
            <w:proofErr w:type="spellStart"/>
            <w:r>
              <w:t>Leukopeni</w:t>
            </w:r>
            <w:proofErr w:type="spellEnd"/>
            <w:r>
              <w:t xml:space="preserve">, </w:t>
            </w:r>
            <w:proofErr w:type="spellStart"/>
            <w:r>
              <w:t>neutropeni</w:t>
            </w:r>
            <w:proofErr w:type="spellEnd"/>
            <w:r>
              <w:t xml:space="preserve">, </w:t>
            </w:r>
            <w:proofErr w:type="spellStart"/>
            <w:r>
              <w:t>trombocytopeni</w:t>
            </w:r>
            <w:proofErr w:type="spellEnd"/>
          </w:p>
        </w:tc>
      </w:tr>
      <w:tr w:rsidR="006E4352" w14:paraId="41F9FCB0"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5C74BCC8" w14:textId="77777777" w:rsidR="006E4352" w:rsidRDefault="006E4352" w:rsidP="00685C46">
            <w:pPr>
              <w:tabs>
                <w:tab w:val="left" w:pos="851"/>
              </w:tabs>
              <w:rPr>
                <w:b/>
                <w:sz w:val="24"/>
                <w:szCs w:val="24"/>
              </w:rPr>
            </w:pPr>
            <w:r>
              <w:rPr>
                <w:b/>
                <w:sz w:val="24"/>
                <w:szCs w:val="24"/>
              </w:rPr>
              <w:t>Immunsystemet</w:t>
            </w:r>
          </w:p>
        </w:tc>
        <w:tc>
          <w:tcPr>
            <w:tcW w:w="1795" w:type="dxa"/>
            <w:tcBorders>
              <w:top w:val="single" w:sz="4" w:space="0" w:color="auto"/>
              <w:left w:val="single" w:sz="4" w:space="0" w:color="auto"/>
              <w:bottom w:val="single" w:sz="4" w:space="0" w:color="auto"/>
              <w:right w:val="single" w:sz="4" w:space="0" w:color="auto"/>
            </w:tcBorders>
          </w:tcPr>
          <w:p w14:paraId="057B1EB9"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5F565F6B" w14:textId="77777777" w:rsidR="006E4352" w:rsidRDefault="006E4352" w:rsidP="00685C46">
            <w:pPr>
              <w:tabs>
                <w:tab w:val="left" w:pos="851"/>
              </w:tabs>
              <w:rPr>
                <w:sz w:val="24"/>
                <w:szCs w:val="24"/>
              </w:rPr>
            </w:pPr>
          </w:p>
        </w:tc>
        <w:tc>
          <w:tcPr>
            <w:tcW w:w="2639" w:type="dxa"/>
            <w:tcBorders>
              <w:top w:val="single" w:sz="4" w:space="0" w:color="auto"/>
              <w:left w:val="single" w:sz="4" w:space="0" w:color="auto"/>
              <w:bottom w:val="single" w:sz="4" w:space="0" w:color="auto"/>
              <w:right w:val="single" w:sz="4" w:space="0" w:color="auto"/>
            </w:tcBorders>
            <w:hideMark/>
          </w:tcPr>
          <w:p w14:paraId="0F977F44" w14:textId="77777777" w:rsidR="006E4352" w:rsidRDefault="006E4352" w:rsidP="00685C46">
            <w:pPr>
              <w:tabs>
                <w:tab w:val="left" w:pos="851"/>
              </w:tabs>
              <w:rPr>
                <w:sz w:val="24"/>
                <w:szCs w:val="24"/>
              </w:rPr>
            </w:pPr>
            <w:r>
              <w:t xml:space="preserve">Allergisk reaktion (f.eks. </w:t>
            </w:r>
            <w:proofErr w:type="spellStart"/>
            <w:r>
              <w:t>anafylaktisk</w:t>
            </w:r>
            <w:proofErr w:type="spellEnd"/>
            <w:r>
              <w:t xml:space="preserve"> reaktion, </w:t>
            </w:r>
            <w:proofErr w:type="spellStart"/>
            <w:r>
              <w:t>angioødem</w:t>
            </w:r>
            <w:proofErr w:type="spellEnd"/>
            <w:r>
              <w:t xml:space="preserve">, herunder hævelse af tunge, tungeødem, ansigtsødem, </w:t>
            </w:r>
            <w:proofErr w:type="spellStart"/>
            <w:r>
              <w:t>pruritus</w:t>
            </w:r>
            <w:proofErr w:type="spellEnd"/>
            <w:r>
              <w:t xml:space="preserve"> og </w:t>
            </w:r>
            <w:proofErr w:type="spellStart"/>
            <w:r>
              <w:t>urticaria</w:t>
            </w:r>
            <w:proofErr w:type="spellEnd"/>
            <w:r>
              <w:t>)</w:t>
            </w:r>
          </w:p>
        </w:tc>
      </w:tr>
      <w:tr w:rsidR="006E4352" w14:paraId="56A0061D"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2E5FD37D" w14:textId="77777777" w:rsidR="006E4352" w:rsidRDefault="006E4352" w:rsidP="00685C46">
            <w:pPr>
              <w:tabs>
                <w:tab w:val="left" w:pos="851"/>
              </w:tabs>
              <w:rPr>
                <w:b/>
                <w:sz w:val="24"/>
                <w:szCs w:val="24"/>
              </w:rPr>
            </w:pPr>
            <w:r>
              <w:rPr>
                <w:b/>
                <w:sz w:val="24"/>
                <w:szCs w:val="24"/>
              </w:rPr>
              <w:t>Det endokrine system</w:t>
            </w:r>
          </w:p>
        </w:tc>
        <w:tc>
          <w:tcPr>
            <w:tcW w:w="1795" w:type="dxa"/>
            <w:tcBorders>
              <w:top w:val="single" w:sz="4" w:space="0" w:color="auto"/>
              <w:left w:val="single" w:sz="4" w:space="0" w:color="auto"/>
              <w:bottom w:val="single" w:sz="4" w:space="0" w:color="auto"/>
              <w:right w:val="single" w:sz="4" w:space="0" w:color="auto"/>
            </w:tcBorders>
          </w:tcPr>
          <w:p w14:paraId="2D413D4D"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hideMark/>
          </w:tcPr>
          <w:p w14:paraId="3AD9731D" w14:textId="77777777" w:rsidR="00685C46" w:rsidRPr="00653FE4" w:rsidRDefault="00685C46" w:rsidP="00685C46">
            <w:pPr>
              <w:tabs>
                <w:tab w:val="left" w:pos="851"/>
              </w:tabs>
              <w:rPr>
                <w:sz w:val="24"/>
                <w:szCs w:val="24"/>
                <w:u w:val="single"/>
                <w:lang w:val="sv-SE"/>
              </w:rPr>
            </w:pPr>
            <w:proofErr w:type="spellStart"/>
            <w:r w:rsidRPr="00653FE4">
              <w:rPr>
                <w:sz w:val="24"/>
                <w:szCs w:val="24"/>
                <w:u w:val="single"/>
                <w:lang w:val="sv-SE"/>
              </w:rPr>
              <w:t>Hyperprolaktinæmi</w:t>
            </w:r>
            <w:proofErr w:type="spellEnd"/>
          </w:p>
          <w:p w14:paraId="4321E598" w14:textId="77777777" w:rsidR="006E4352" w:rsidRDefault="00685C46" w:rsidP="00685C46">
            <w:pPr>
              <w:tabs>
                <w:tab w:val="left" w:pos="851"/>
              </w:tabs>
              <w:rPr>
                <w:sz w:val="24"/>
                <w:szCs w:val="24"/>
              </w:rPr>
            </w:pPr>
            <w:proofErr w:type="spellStart"/>
            <w:r w:rsidRPr="00653FE4">
              <w:rPr>
                <w:sz w:val="24"/>
                <w:szCs w:val="24"/>
                <w:lang w:val="sv-SE"/>
              </w:rPr>
              <w:t>Nedsat</w:t>
            </w:r>
            <w:proofErr w:type="spellEnd"/>
            <w:r w:rsidRPr="00653FE4">
              <w:rPr>
                <w:sz w:val="24"/>
                <w:szCs w:val="24"/>
                <w:lang w:val="sv-SE"/>
              </w:rPr>
              <w:t xml:space="preserve"> prolaktin i blodet</w:t>
            </w:r>
          </w:p>
        </w:tc>
        <w:tc>
          <w:tcPr>
            <w:tcW w:w="2639" w:type="dxa"/>
            <w:tcBorders>
              <w:top w:val="single" w:sz="4" w:space="0" w:color="auto"/>
              <w:left w:val="single" w:sz="4" w:space="0" w:color="auto"/>
              <w:bottom w:val="single" w:sz="4" w:space="0" w:color="auto"/>
              <w:right w:val="single" w:sz="4" w:space="0" w:color="auto"/>
            </w:tcBorders>
            <w:hideMark/>
          </w:tcPr>
          <w:p w14:paraId="0671CBB1" w14:textId="77777777" w:rsidR="006E4352" w:rsidRDefault="006E4352" w:rsidP="00685C46">
            <w:pPr>
              <w:tabs>
                <w:tab w:val="left" w:pos="851"/>
              </w:tabs>
              <w:rPr>
                <w:sz w:val="24"/>
                <w:szCs w:val="24"/>
              </w:rPr>
            </w:pPr>
            <w:r>
              <w:t xml:space="preserve">Diabetisk </w:t>
            </w:r>
            <w:proofErr w:type="spellStart"/>
            <w:r>
              <w:t>hyperosmolært</w:t>
            </w:r>
            <w:proofErr w:type="spellEnd"/>
            <w:r>
              <w:t xml:space="preserve"> koma, diabetisk </w:t>
            </w:r>
            <w:proofErr w:type="spellStart"/>
            <w:r>
              <w:t>ketoacidose</w:t>
            </w:r>
            <w:proofErr w:type="spellEnd"/>
          </w:p>
        </w:tc>
      </w:tr>
      <w:tr w:rsidR="006E4352" w14:paraId="7F83EE94"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541764F2" w14:textId="77777777" w:rsidR="006E4352" w:rsidRDefault="006E4352" w:rsidP="00685C46">
            <w:pPr>
              <w:tabs>
                <w:tab w:val="left" w:pos="851"/>
              </w:tabs>
              <w:rPr>
                <w:b/>
                <w:sz w:val="24"/>
                <w:szCs w:val="24"/>
              </w:rPr>
            </w:pPr>
            <w:r>
              <w:rPr>
                <w:b/>
                <w:sz w:val="24"/>
                <w:szCs w:val="24"/>
              </w:rPr>
              <w:t>Metabolisme og ernæring</w:t>
            </w:r>
          </w:p>
        </w:tc>
        <w:tc>
          <w:tcPr>
            <w:tcW w:w="1795" w:type="dxa"/>
            <w:tcBorders>
              <w:top w:val="single" w:sz="4" w:space="0" w:color="auto"/>
              <w:left w:val="single" w:sz="4" w:space="0" w:color="auto"/>
              <w:bottom w:val="single" w:sz="4" w:space="0" w:color="auto"/>
              <w:right w:val="single" w:sz="4" w:space="0" w:color="auto"/>
            </w:tcBorders>
            <w:hideMark/>
          </w:tcPr>
          <w:p w14:paraId="20886CA9" w14:textId="77777777" w:rsidR="006E4352" w:rsidRDefault="006E4352" w:rsidP="00685C46">
            <w:pPr>
              <w:tabs>
                <w:tab w:val="left" w:pos="851"/>
              </w:tabs>
              <w:rPr>
                <w:sz w:val="24"/>
                <w:szCs w:val="24"/>
              </w:rPr>
            </w:pPr>
            <w:r>
              <w:rPr>
                <w:sz w:val="24"/>
                <w:szCs w:val="24"/>
              </w:rPr>
              <w:t>Diabetes mellitus</w:t>
            </w:r>
          </w:p>
        </w:tc>
        <w:tc>
          <w:tcPr>
            <w:tcW w:w="2012" w:type="dxa"/>
            <w:tcBorders>
              <w:top w:val="single" w:sz="4" w:space="0" w:color="auto"/>
              <w:left w:val="single" w:sz="4" w:space="0" w:color="auto"/>
              <w:bottom w:val="single" w:sz="4" w:space="0" w:color="auto"/>
              <w:right w:val="single" w:sz="4" w:space="0" w:color="auto"/>
            </w:tcBorders>
            <w:hideMark/>
          </w:tcPr>
          <w:p w14:paraId="2CBD5395" w14:textId="77777777" w:rsidR="006E4352" w:rsidRDefault="006E4352" w:rsidP="00685C46">
            <w:pPr>
              <w:tabs>
                <w:tab w:val="left" w:pos="851"/>
              </w:tabs>
              <w:rPr>
                <w:sz w:val="24"/>
                <w:szCs w:val="24"/>
              </w:rPr>
            </w:pPr>
            <w:proofErr w:type="spellStart"/>
            <w:r>
              <w:rPr>
                <w:sz w:val="24"/>
                <w:szCs w:val="24"/>
              </w:rPr>
              <w:t>Hyperglykæmi</w:t>
            </w:r>
            <w:proofErr w:type="spellEnd"/>
          </w:p>
        </w:tc>
        <w:tc>
          <w:tcPr>
            <w:tcW w:w="2639" w:type="dxa"/>
            <w:tcBorders>
              <w:top w:val="single" w:sz="4" w:space="0" w:color="auto"/>
              <w:left w:val="single" w:sz="4" w:space="0" w:color="auto"/>
              <w:bottom w:val="single" w:sz="4" w:space="0" w:color="auto"/>
              <w:right w:val="single" w:sz="4" w:space="0" w:color="auto"/>
            </w:tcBorders>
            <w:hideMark/>
          </w:tcPr>
          <w:p w14:paraId="763C39D7" w14:textId="77777777" w:rsidR="006E4352" w:rsidRDefault="006E4352" w:rsidP="00685C46">
            <w:pPr>
              <w:tabs>
                <w:tab w:val="left" w:pos="851"/>
              </w:tabs>
              <w:rPr>
                <w:sz w:val="24"/>
                <w:szCs w:val="24"/>
              </w:rPr>
            </w:pPr>
            <w:proofErr w:type="spellStart"/>
            <w:r>
              <w:t>Hyponatriæmi</w:t>
            </w:r>
            <w:proofErr w:type="spellEnd"/>
            <w:r>
              <w:t>, anoreksi</w:t>
            </w:r>
            <w:r w:rsidR="00685C46">
              <w:t>.</w:t>
            </w:r>
          </w:p>
        </w:tc>
      </w:tr>
      <w:tr w:rsidR="006E4352" w14:paraId="798D6CC0"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03649F2D" w14:textId="77777777" w:rsidR="006E4352" w:rsidRDefault="006E4352" w:rsidP="00685C46">
            <w:pPr>
              <w:tabs>
                <w:tab w:val="left" w:pos="851"/>
              </w:tabs>
              <w:rPr>
                <w:b/>
                <w:sz w:val="24"/>
                <w:szCs w:val="24"/>
              </w:rPr>
            </w:pPr>
            <w:r>
              <w:rPr>
                <w:b/>
                <w:sz w:val="24"/>
                <w:szCs w:val="24"/>
              </w:rPr>
              <w:t>Psykiske forstyrrelser</w:t>
            </w:r>
          </w:p>
        </w:tc>
        <w:tc>
          <w:tcPr>
            <w:tcW w:w="1795" w:type="dxa"/>
            <w:tcBorders>
              <w:top w:val="single" w:sz="4" w:space="0" w:color="auto"/>
              <w:left w:val="single" w:sz="4" w:space="0" w:color="auto"/>
              <w:bottom w:val="single" w:sz="4" w:space="0" w:color="auto"/>
              <w:right w:val="single" w:sz="4" w:space="0" w:color="auto"/>
            </w:tcBorders>
            <w:hideMark/>
          </w:tcPr>
          <w:p w14:paraId="463B3B1E" w14:textId="77777777" w:rsidR="006E4352" w:rsidRDefault="006E4352" w:rsidP="00685C46">
            <w:pPr>
              <w:tabs>
                <w:tab w:val="left" w:pos="851"/>
              </w:tabs>
              <w:rPr>
                <w:sz w:val="24"/>
                <w:szCs w:val="24"/>
              </w:rPr>
            </w:pPr>
            <w:proofErr w:type="spellStart"/>
            <w:r>
              <w:rPr>
                <w:sz w:val="24"/>
                <w:szCs w:val="24"/>
              </w:rPr>
              <w:t>Insomni</w:t>
            </w:r>
            <w:proofErr w:type="spellEnd"/>
            <w:r>
              <w:rPr>
                <w:sz w:val="24"/>
                <w:szCs w:val="24"/>
              </w:rPr>
              <w:t>, angst, rastløshed</w:t>
            </w:r>
          </w:p>
        </w:tc>
        <w:tc>
          <w:tcPr>
            <w:tcW w:w="2012" w:type="dxa"/>
            <w:tcBorders>
              <w:top w:val="single" w:sz="4" w:space="0" w:color="auto"/>
              <w:left w:val="single" w:sz="4" w:space="0" w:color="auto"/>
              <w:bottom w:val="single" w:sz="4" w:space="0" w:color="auto"/>
              <w:right w:val="single" w:sz="4" w:space="0" w:color="auto"/>
            </w:tcBorders>
            <w:hideMark/>
          </w:tcPr>
          <w:p w14:paraId="6957C975" w14:textId="77777777" w:rsidR="006E4352" w:rsidRDefault="006E4352" w:rsidP="00685C46">
            <w:pPr>
              <w:tabs>
                <w:tab w:val="left" w:pos="851"/>
              </w:tabs>
              <w:rPr>
                <w:sz w:val="24"/>
                <w:szCs w:val="24"/>
              </w:rPr>
            </w:pPr>
            <w:r>
              <w:rPr>
                <w:sz w:val="24"/>
                <w:szCs w:val="24"/>
              </w:rPr>
              <w:t xml:space="preserve">Depression, </w:t>
            </w:r>
            <w:proofErr w:type="spellStart"/>
            <w:r>
              <w:rPr>
                <w:sz w:val="24"/>
                <w:szCs w:val="24"/>
              </w:rPr>
              <w:t>hyperseksualitet</w:t>
            </w:r>
            <w:proofErr w:type="spellEnd"/>
          </w:p>
        </w:tc>
        <w:tc>
          <w:tcPr>
            <w:tcW w:w="2639" w:type="dxa"/>
            <w:tcBorders>
              <w:top w:val="single" w:sz="4" w:space="0" w:color="auto"/>
              <w:left w:val="single" w:sz="4" w:space="0" w:color="auto"/>
              <w:bottom w:val="single" w:sz="4" w:space="0" w:color="auto"/>
              <w:right w:val="single" w:sz="4" w:space="0" w:color="auto"/>
            </w:tcBorders>
            <w:hideMark/>
          </w:tcPr>
          <w:p w14:paraId="67D88C5B" w14:textId="77777777" w:rsidR="006E4352" w:rsidRDefault="006E4352" w:rsidP="00685C46">
            <w:pPr>
              <w:tabs>
                <w:tab w:val="left" w:pos="851"/>
              </w:tabs>
              <w:rPr>
                <w:sz w:val="24"/>
                <w:szCs w:val="24"/>
              </w:rPr>
            </w:pPr>
            <w:r>
              <w:t xml:space="preserve">Selvmordsforsøg, selvmordsforestillinger og gennemførte selvmord (se pkt. 4.4), ludomani, manglende impulskontrol, Overspisning, </w:t>
            </w:r>
            <w:proofErr w:type="spellStart"/>
            <w:r>
              <w:t>kompulsiv</w:t>
            </w:r>
            <w:proofErr w:type="spellEnd"/>
            <w:r>
              <w:t xml:space="preserve"> trang til indkøb, </w:t>
            </w:r>
            <w:proofErr w:type="spellStart"/>
            <w:r>
              <w:t>poriomani</w:t>
            </w:r>
            <w:proofErr w:type="spellEnd"/>
            <w:r>
              <w:t>, aggression</w:t>
            </w:r>
            <w:r>
              <w:rPr>
                <w:rStyle w:val="Kommentarhenvisning"/>
              </w:rPr>
              <w:t xml:space="preserve">, </w:t>
            </w:r>
            <w:r>
              <w:t>agitation, nervøsitet</w:t>
            </w:r>
          </w:p>
        </w:tc>
      </w:tr>
      <w:tr w:rsidR="006E4352" w14:paraId="3597B5E1"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4191FEF5" w14:textId="77777777" w:rsidR="006E4352" w:rsidRDefault="006E4352" w:rsidP="00685C46">
            <w:pPr>
              <w:tabs>
                <w:tab w:val="left" w:pos="851"/>
              </w:tabs>
              <w:rPr>
                <w:b/>
                <w:sz w:val="24"/>
                <w:szCs w:val="24"/>
              </w:rPr>
            </w:pPr>
            <w:r>
              <w:rPr>
                <w:b/>
                <w:sz w:val="24"/>
                <w:szCs w:val="24"/>
              </w:rPr>
              <w:t>Nervesystemet</w:t>
            </w:r>
          </w:p>
        </w:tc>
        <w:tc>
          <w:tcPr>
            <w:tcW w:w="1795" w:type="dxa"/>
            <w:tcBorders>
              <w:top w:val="single" w:sz="4" w:space="0" w:color="auto"/>
              <w:left w:val="single" w:sz="4" w:space="0" w:color="auto"/>
              <w:bottom w:val="single" w:sz="4" w:space="0" w:color="auto"/>
              <w:right w:val="single" w:sz="4" w:space="0" w:color="auto"/>
            </w:tcBorders>
            <w:hideMark/>
          </w:tcPr>
          <w:p w14:paraId="18EEC490" w14:textId="77777777" w:rsidR="006E4352" w:rsidRDefault="006E4352" w:rsidP="00685C46">
            <w:pPr>
              <w:tabs>
                <w:tab w:val="left" w:pos="851"/>
              </w:tabs>
              <w:rPr>
                <w:sz w:val="24"/>
                <w:szCs w:val="24"/>
              </w:rPr>
            </w:pPr>
            <w:proofErr w:type="spellStart"/>
            <w:r>
              <w:rPr>
                <w:sz w:val="24"/>
                <w:szCs w:val="24"/>
              </w:rPr>
              <w:t>Akatasi</w:t>
            </w:r>
            <w:proofErr w:type="spellEnd"/>
            <w:r>
              <w:rPr>
                <w:sz w:val="24"/>
                <w:szCs w:val="24"/>
              </w:rPr>
              <w:t xml:space="preserve">, ekstrapyramidale lidelser, </w:t>
            </w:r>
            <w:proofErr w:type="spellStart"/>
            <w:r>
              <w:rPr>
                <w:sz w:val="24"/>
                <w:szCs w:val="24"/>
              </w:rPr>
              <w:t>tremor</w:t>
            </w:r>
            <w:proofErr w:type="spellEnd"/>
            <w:r>
              <w:rPr>
                <w:sz w:val="24"/>
                <w:szCs w:val="24"/>
              </w:rPr>
              <w:t>, hovedpine, sedation, døsighed, svimmelhed</w:t>
            </w:r>
          </w:p>
        </w:tc>
        <w:tc>
          <w:tcPr>
            <w:tcW w:w="2012" w:type="dxa"/>
            <w:tcBorders>
              <w:top w:val="single" w:sz="4" w:space="0" w:color="auto"/>
              <w:left w:val="single" w:sz="4" w:space="0" w:color="auto"/>
              <w:bottom w:val="single" w:sz="4" w:space="0" w:color="auto"/>
              <w:right w:val="single" w:sz="4" w:space="0" w:color="auto"/>
            </w:tcBorders>
            <w:hideMark/>
          </w:tcPr>
          <w:p w14:paraId="1AF78DB3" w14:textId="77777777" w:rsidR="00685C46" w:rsidRPr="00CE5075" w:rsidRDefault="00685C46" w:rsidP="00685C46">
            <w:pPr>
              <w:pStyle w:val="Default"/>
              <w:rPr>
                <w:sz w:val="22"/>
                <w:szCs w:val="22"/>
                <w:lang w:val="nb-NO"/>
              </w:rPr>
            </w:pPr>
            <w:r w:rsidRPr="00CE5075">
              <w:rPr>
                <w:sz w:val="22"/>
                <w:szCs w:val="22"/>
                <w:lang w:val="nb-NO"/>
              </w:rPr>
              <w:t xml:space="preserve">Tardiv dyskinesi </w:t>
            </w:r>
          </w:p>
          <w:p w14:paraId="2603C726" w14:textId="77777777" w:rsidR="00685C46" w:rsidRPr="00CE5075" w:rsidRDefault="00685C46" w:rsidP="00685C46">
            <w:pPr>
              <w:tabs>
                <w:tab w:val="left" w:pos="851"/>
              </w:tabs>
              <w:rPr>
                <w:sz w:val="22"/>
                <w:szCs w:val="22"/>
                <w:lang w:val="nb-NO"/>
              </w:rPr>
            </w:pPr>
            <w:commentRangeStart w:id="4"/>
            <w:r>
              <w:rPr>
                <w:sz w:val="22"/>
                <w:szCs w:val="22"/>
                <w:lang w:val="nb-NO"/>
              </w:rPr>
              <w:t>d</w:t>
            </w:r>
            <w:r w:rsidRPr="00CE5075">
              <w:rPr>
                <w:sz w:val="22"/>
                <w:szCs w:val="22"/>
                <w:lang w:val="nb-NO"/>
              </w:rPr>
              <w:t>ystoni,</w:t>
            </w:r>
          </w:p>
          <w:p w14:paraId="79FBBC57" w14:textId="77777777" w:rsidR="006E4352" w:rsidRDefault="00685C46" w:rsidP="00685C46">
            <w:pPr>
              <w:tabs>
                <w:tab w:val="left" w:pos="851"/>
              </w:tabs>
              <w:rPr>
                <w:sz w:val="24"/>
                <w:szCs w:val="24"/>
              </w:rPr>
            </w:pPr>
            <w:r w:rsidRPr="00CE5075">
              <w:rPr>
                <w:sz w:val="22"/>
                <w:szCs w:val="22"/>
                <w:lang w:val="nb-NO"/>
              </w:rPr>
              <w:t xml:space="preserve">rRestless legs-syndrom </w:t>
            </w:r>
            <w:commentRangeEnd w:id="4"/>
            <w:r>
              <w:rPr>
                <w:rStyle w:val="Kommentarhenvisning"/>
                <w:lang w:eastAsia="da-DK"/>
              </w:rPr>
              <w:commentReference w:id="4"/>
            </w:r>
          </w:p>
        </w:tc>
        <w:tc>
          <w:tcPr>
            <w:tcW w:w="2639" w:type="dxa"/>
            <w:tcBorders>
              <w:top w:val="single" w:sz="4" w:space="0" w:color="auto"/>
              <w:left w:val="single" w:sz="4" w:space="0" w:color="auto"/>
              <w:bottom w:val="single" w:sz="4" w:space="0" w:color="auto"/>
              <w:right w:val="single" w:sz="4" w:space="0" w:color="auto"/>
            </w:tcBorders>
            <w:hideMark/>
          </w:tcPr>
          <w:p w14:paraId="49755702" w14:textId="77777777" w:rsidR="006E4352" w:rsidRDefault="00685C46" w:rsidP="00685C46">
            <w:pPr>
              <w:tabs>
                <w:tab w:val="left" w:pos="851"/>
              </w:tabs>
              <w:rPr>
                <w:sz w:val="24"/>
                <w:szCs w:val="24"/>
              </w:rPr>
            </w:pPr>
            <w:r w:rsidRPr="00653FE4">
              <w:rPr>
                <w:lang w:val="sv-SE"/>
              </w:rPr>
              <w:t xml:space="preserve">Malignt </w:t>
            </w:r>
            <w:proofErr w:type="spellStart"/>
            <w:r w:rsidRPr="00653FE4">
              <w:rPr>
                <w:lang w:val="sv-SE"/>
              </w:rPr>
              <w:t>neuroleptikasyndrom,</w:t>
            </w:r>
            <w:r>
              <w:rPr>
                <w:rStyle w:val="Kommentarhenvisning"/>
                <w:lang w:eastAsia="da-DK"/>
              </w:rPr>
              <w:commentReference w:id="5"/>
            </w:r>
            <w:r w:rsidRPr="00653FE4">
              <w:rPr>
                <w:lang w:val="sv-SE"/>
              </w:rPr>
              <w:t>grand</w:t>
            </w:r>
            <w:proofErr w:type="spellEnd"/>
            <w:r w:rsidRPr="00653FE4">
              <w:rPr>
                <w:lang w:val="sv-SE"/>
              </w:rPr>
              <w:t xml:space="preserve"> mal-</w:t>
            </w:r>
            <w:proofErr w:type="spellStart"/>
            <w:r w:rsidRPr="00653FE4">
              <w:rPr>
                <w:lang w:val="sv-SE"/>
              </w:rPr>
              <w:t>krampeanfald</w:t>
            </w:r>
            <w:proofErr w:type="spellEnd"/>
            <w:r w:rsidRPr="00653FE4">
              <w:rPr>
                <w:lang w:val="sv-SE"/>
              </w:rPr>
              <w:t xml:space="preserve">, serotoninsyndrom, </w:t>
            </w:r>
            <w:proofErr w:type="spellStart"/>
            <w:r w:rsidRPr="00653FE4">
              <w:rPr>
                <w:lang w:val="sv-SE"/>
              </w:rPr>
              <w:t>taleforstyrrelser</w:t>
            </w:r>
            <w:proofErr w:type="spellEnd"/>
          </w:p>
        </w:tc>
      </w:tr>
      <w:tr w:rsidR="006E4352" w14:paraId="52527399"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18293D86" w14:textId="77777777" w:rsidR="006E4352" w:rsidRDefault="006E4352" w:rsidP="00685C46">
            <w:pPr>
              <w:tabs>
                <w:tab w:val="left" w:pos="851"/>
              </w:tabs>
              <w:rPr>
                <w:b/>
                <w:sz w:val="24"/>
                <w:szCs w:val="24"/>
              </w:rPr>
            </w:pPr>
            <w:r>
              <w:rPr>
                <w:b/>
                <w:sz w:val="24"/>
                <w:szCs w:val="24"/>
              </w:rPr>
              <w:t>Øjne</w:t>
            </w:r>
          </w:p>
        </w:tc>
        <w:tc>
          <w:tcPr>
            <w:tcW w:w="1795" w:type="dxa"/>
            <w:tcBorders>
              <w:top w:val="single" w:sz="4" w:space="0" w:color="auto"/>
              <w:left w:val="single" w:sz="4" w:space="0" w:color="auto"/>
              <w:bottom w:val="single" w:sz="4" w:space="0" w:color="auto"/>
              <w:right w:val="single" w:sz="4" w:space="0" w:color="auto"/>
            </w:tcBorders>
            <w:hideMark/>
          </w:tcPr>
          <w:p w14:paraId="012A0DC8" w14:textId="77777777" w:rsidR="006E4352" w:rsidRDefault="006E4352" w:rsidP="00685C46">
            <w:pPr>
              <w:tabs>
                <w:tab w:val="left" w:pos="851"/>
              </w:tabs>
              <w:rPr>
                <w:sz w:val="24"/>
                <w:szCs w:val="24"/>
              </w:rPr>
            </w:pPr>
            <w:r>
              <w:rPr>
                <w:sz w:val="24"/>
                <w:szCs w:val="24"/>
              </w:rPr>
              <w:t>Sløret syn</w:t>
            </w:r>
          </w:p>
        </w:tc>
        <w:tc>
          <w:tcPr>
            <w:tcW w:w="2012" w:type="dxa"/>
            <w:tcBorders>
              <w:top w:val="single" w:sz="4" w:space="0" w:color="auto"/>
              <w:left w:val="single" w:sz="4" w:space="0" w:color="auto"/>
              <w:bottom w:val="single" w:sz="4" w:space="0" w:color="auto"/>
              <w:right w:val="single" w:sz="4" w:space="0" w:color="auto"/>
            </w:tcBorders>
            <w:hideMark/>
          </w:tcPr>
          <w:p w14:paraId="455F6BCD" w14:textId="77777777" w:rsidR="00327C0A" w:rsidRDefault="00327C0A" w:rsidP="00327C0A">
            <w:pPr>
              <w:pStyle w:val="Default"/>
            </w:pPr>
            <w:proofErr w:type="spellStart"/>
            <w:r>
              <w:t>Diplopi</w:t>
            </w:r>
            <w:proofErr w:type="spellEnd"/>
            <w:r>
              <w:t>,</w:t>
            </w:r>
          </w:p>
          <w:p w14:paraId="78B76F83" w14:textId="77777777" w:rsidR="006E4352" w:rsidRDefault="00327C0A" w:rsidP="00327C0A">
            <w:pPr>
              <w:pStyle w:val="Default"/>
              <w:rPr>
                <w:sz w:val="22"/>
                <w:szCs w:val="22"/>
              </w:rPr>
            </w:pPr>
            <w:commentRangeStart w:id="6"/>
            <w:r>
              <w:rPr>
                <w:sz w:val="22"/>
                <w:szCs w:val="22"/>
              </w:rPr>
              <w:t>f</w:t>
            </w:r>
            <w:commentRangeEnd w:id="6"/>
            <w:r>
              <w:rPr>
                <w:rStyle w:val="Kommentarhenvisning"/>
                <w:color w:val="auto"/>
              </w:rPr>
              <w:commentReference w:id="6"/>
            </w:r>
            <w:r w:rsidRPr="009E44F7">
              <w:rPr>
                <w:sz w:val="22"/>
                <w:szCs w:val="22"/>
              </w:rPr>
              <w:t>otofobi</w:t>
            </w:r>
          </w:p>
        </w:tc>
        <w:tc>
          <w:tcPr>
            <w:tcW w:w="2639" w:type="dxa"/>
            <w:tcBorders>
              <w:top w:val="single" w:sz="4" w:space="0" w:color="auto"/>
              <w:left w:val="single" w:sz="4" w:space="0" w:color="auto"/>
              <w:bottom w:val="single" w:sz="4" w:space="0" w:color="auto"/>
              <w:right w:val="single" w:sz="4" w:space="0" w:color="auto"/>
            </w:tcBorders>
          </w:tcPr>
          <w:p w14:paraId="303DEA4E" w14:textId="77777777" w:rsidR="006E4352" w:rsidRDefault="006E4352" w:rsidP="00685C46">
            <w:pPr>
              <w:tabs>
                <w:tab w:val="left" w:pos="851"/>
              </w:tabs>
            </w:pPr>
            <w:proofErr w:type="spellStart"/>
            <w:r w:rsidRPr="00E550B1">
              <w:t>Okulogyr</w:t>
            </w:r>
            <w:proofErr w:type="spellEnd"/>
            <w:r w:rsidRPr="00E550B1">
              <w:t xml:space="preserve"> krise</w:t>
            </w:r>
          </w:p>
        </w:tc>
      </w:tr>
      <w:tr w:rsidR="00327C0A" w14:paraId="23490D5B"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40299670" w14:textId="77777777" w:rsidR="00327C0A" w:rsidRDefault="00327C0A" w:rsidP="00327C0A">
            <w:pPr>
              <w:tabs>
                <w:tab w:val="left" w:pos="851"/>
              </w:tabs>
              <w:rPr>
                <w:b/>
                <w:sz w:val="24"/>
                <w:szCs w:val="24"/>
              </w:rPr>
            </w:pPr>
            <w:r>
              <w:rPr>
                <w:b/>
                <w:sz w:val="24"/>
                <w:szCs w:val="24"/>
              </w:rPr>
              <w:t>Hjerte</w:t>
            </w:r>
          </w:p>
        </w:tc>
        <w:tc>
          <w:tcPr>
            <w:tcW w:w="1795" w:type="dxa"/>
            <w:tcBorders>
              <w:top w:val="single" w:sz="4" w:space="0" w:color="auto"/>
              <w:left w:val="single" w:sz="4" w:space="0" w:color="auto"/>
              <w:bottom w:val="single" w:sz="4" w:space="0" w:color="auto"/>
              <w:right w:val="single" w:sz="4" w:space="0" w:color="auto"/>
            </w:tcBorders>
          </w:tcPr>
          <w:p w14:paraId="167D2912" w14:textId="77777777" w:rsidR="00327C0A" w:rsidRDefault="00327C0A" w:rsidP="00327C0A">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hideMark/>
          </w:tcPr>
          <w:p w14:paraId="5A9D5DF8" w14:textId="77777777" w:rsidR="00327C0A" w:rsidRDefault="00327C0A" w:rsidP="00327C0A">
            <w:pPr>
              <w:pStyle w:val="Default"/>
            </w:pPr>
            <w:proofErr w:type="spellStart"/>
            <w:r>
              <w:t>Takykardi</w:t>
            </w:r>
            <w:proofErr w:type="spellEnd"/>
          </w:p>
        </w:tc>
        <w:tc>
          <w:tcPr>
            <w:tcW w:w="2639" w:type="dxa"/>
            <w:tcBorders>
              <w:top w:val="single" w:sz="4" w:space="0" w:color="auto"/>
              <w:left w:val="single" w:sz="4" w:space="0" w:color="auto"/>
              <w:bottom w:val="single" w:sz="4" w:space="0" w:color="auto"/>
              <w:right w:val="single" w:sz="4" w:space="0" w:color="auto"/>
            </w:tcBorders>
            <w:hideMark/>
          </w:tcPr>
          <w:p w14:paraId="622AE967" w14:textId="77777777" w:rsidR="00327C0A" w:rsidRDefault="00327C0A" w:rsidP="00327C0A">
            <w:pPr>
              <w:tabs>
                <w:tab w:val="left" w:pos="851"/>
              </w:tabs>
            </w:pPr>
            <w:r>
              <w:t xml:space="preserve">Pludselig, uforklarlig død, </w:t>
            </w:r>
            <w:proofErr w:type="spellStart"/>
            <w:r>
              <w:t>torsades</w:t>
            </w:r>
            <w:proofErr w:type="spellEnd"/>
            <w:r>
              <w:t xml:space="preserve"> de pointes</w:t>
            </w:r>
            <w:commentRangeStart w:id="7"/>
            <w:r>
              <w:t xml:space="preserve">, </w:t>
            </w:r>
            <w:proofErr w:type="spellStart"/>
            <w:r>
              <w:t>ventrikulære</w:t>
            </w:r>
            <w:proofErr w:type="spellEnd"/>
            <w:r>
              <w:t xml:space="preserve"> </w:t>
            </w:r>
            <w:proofErr w:type="spellStart"/>
            <w:r>
              <w:t>arytmier</w:t>
            </w:r>
            <w:proofErr w:type="spellEnd"/>
            <w:r>
              <w:t xml:space="preserve">, hjertestop, </w:t>
            </w:r>
            <w:commentRangeEnd w:id="7"/>
            <w:r>
              <w:rPr>
                <w:rStyle w:val="Kommentarhenvisning"/>
                <w:lang w:eastAsia="da-DK"/>
              </w:rPr>
              <w:commentReference w:id="7"/>
            </w:r>
            <w:r>
              <w:t>bradykardi</w:t>
            </w:r>
          </w:p>
        </w:tc>
      </w:tr>
      <w:tr w:rsidR="006E4352" w14:paraId="277B7648"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449215FA" w14:textId="77777777" w:rsidR="006E4352" w:rsidRDefault="006E4352" w:rsidP="00685C46">
            <w:pPr>
              <w:tabs>
                <w:tab w:val="left" w:pos="851"/>
              </w:tabs>
              <w:rPr>
                <w:b/>
                <w:sz w:val="24"/>
                <w:szCs w:val="24"/>
              </w:rPr>
            </w:pPr>
            <w:proofErr w:type="spellStart"/>
            <w:r>
              <w:rPr>
                <w:b/>
                <w:sz w:val="24"/>
                <w:szCs w:val="24"/>
              </w:rPr>
              <w:t>Vaskulære</w:t>
            </w:r>
            <w:proofErr w:type="spellEnd"/>
            <w:r>
              <w:rPr>
                <w:b/>
                <w:sz w:val="24"/>
                <w:szCs w:val="24"/>
              </w:rPr>
              <w:t xml:space="preserve"> sygdomme</w:t>
            </w:r>
          </w:p>
        </w:tc>
        <w:tc>
          <w:tcPr>
            <w:tcW w:w="1795" w:type="dxa"/>
            <w:tcBorders>
              <w:top w:val="single" w:sz="4" w:space="0" w:color="auto"/>
              <w:left w:val="single" w:sz="4" w:space="0" w:color="auto"/>
              <w:bottom w:val="single" w:sz="4" w:space="0" w:color="auto"/>
              <w:right w:val="single" w:sz="4" w:space="0" w:color="auto"/>
            </w:tcBorders>
          </w:tcPr>
          <w:p w14:paraId="33620152"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hideMark/>
          </w:tcPr>
          <w:p w14:paraId="51D97709" w14:textId="77777777" w:rsidR="006E4352" w:rsidRDefault="006E4352" w:rsidP="00685C46">
            <w:pPr>
              <w:pStyle w:val="Default"/>
            </w:pPr>
            <w:proofErr w:type="spellStart"/>
            <w:r>
              <w:t>Ortostatisk</w:t>
            </w:r>
            <w:proofErr w:type="spellEnd"/>
            <w:r>
              <w:t xml:space="preserve"> hypotension</w:t>
            </w:r>
          </w:p>
        </w:tc>
        <w:tc>
          <w:tcPr>
            <w:tcW w:w="2639" w:type="dxa"/>
            <w:tcBorders>
              <w:top w:val="single" w:sz="4" w:space="0" w:color="auto"/>
              <w:left w:val="single" w:sz="4" w:space="0" w:color="auto"/>
              <w:bottom w:val="single" w:sz="4" w:space="0" w:color="auto"/>
              <w:right w:val="single" w:sz="4" w:space="0" w:color="auto"/>
            </w:tcBorders>
            <w:hideMark/>
          </w:tcPr>
          <w:p w14:paraId="1EB882B7" w14:textId="77777777" w:rsidR="006E4352" w:rsidRDefault="006E4352" w:rsidP="00685C46">
            <w:pPr>
              <w:tabs>
                <w:tab w:val="left" w:pos="851"/>
              </w:tabs>
            </w:pPr>
            <w:r>
              <w:t xml:space="preserve">Venøs </w:t>
            </w:r>
            <w:proofErr w:type="spellStart"/>
            <w:r>
              <w:t>tromboemboli</w:t>
            </w:r>
            <w:proofErr w:type="spellEnd"/>
            <w:r>
              <w:t xml:space="preserve"> (herunder </w:t>
            </w:r>
            <w:proofErr w:type="spellStart"/>
            <w:r>
              <w:t>lungeemboli</w:t>
            </w:r>
            <w:proofErr w:type="spellEnd"/>
            <w:r>
              <w:t xml:space="preserve"> og dyb venetrombose), hypertension, synkope</w:t>
            </w:r>
          </w:p>
        </w:tc>
      </w:tr>
      <w:tr w:rsidR="006E4352" w14:paraId="4122F388"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46756CCA" w14:textId="77777777" w:rsidR="006E4352" w:rsidRDefault="006E4352" w:rsidP="00685C46">
            <w:pPr>
              <w:tabs>
                <w:tab w:val="left" w:pos="851"/>
              </w:tabs>
              <w:rPr>
                <w:b/>
                <w:sz w:val="24"/>
                <w:szCs w:val="24"/>
              </w:rPr>
            </w:pPr>
            <w:r>
              <w:rPr>
                <w:b/>
              </w:rPr>
              <w:lastRenderedPageBreak/>
              <w:t xml:space="preserve">Luftveje, thorax og </w:t>
            </w:r>
            <w:proofErr w:type="spellStart"/>
            <w:r>
              <w:rPr>
                <w:b/>
              </w:rPr>
              <w:t>mediastinum</w:t>
            </w:r>
            <w:proofErr w:type="spellEnd"/>
          </w:p>
        </w:tc>
        <w:tc>
          <w:tcPr>
            <w:tcW w:w="1795" w:type="dxa"/>
            <w:tcBorders>
              <w:top w:val="single" w:sz="4" w:space="0" w:color="auto"/>
              <w:left w:val="single" w:sz="4" w:space="0" w:color="auto"/>
              <w:bottom w:val="single" w:sz="4" w:space="0" w:color="auto"/>
              <w:right w:val="single" w:sz="4" w:space="0" w:color="auto"/>
            </w:tcBorders>
          </w:tcPr>
          <w:p w14:paraId="21DB69E9"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hideMark/>
          </w:tcPr>
          <w:p w14:paraId="797AD207" w14:textId="77777777" w:rsidR="006E4352" w:rsidRDefault="006E4352" w:rsidP="00685C46">
            <w:pPr>
              <w:pStyle w:val="Default"/>
            </w:pPr>
            <w:r>
              <w:t>Hikke</w:t>
            </w:r>
          </w:p>
        </w:tc>
        <w:tc>
          <w:tcPr>
            <w:tcW w:w="2639" w:type="dxa"/>
            <w:tcBorders>
              <w:top w:val="single" w:sz="4" w:space="0" w:color="auto"/>
              <w:left w:val="single" w:sz="4" w:space="0" w:color="auto"/>
              <w:bottom w:val="single" w:sz="4" w:space="0" w:color="auto"/>
              <w:right w:val="single" w:sz="4" w:space="0" w:color="auto"/>
            </w:tcBorders>
            <w:hideMark/>
          </w:tcPr>
          <w:p w14:paraId="77D85432" w14:textId="77777777" w:rsidR="006E4352" w:rsidRDefault="006E4352" w:rsidP="00685C46">
            <w:pPr>
              <w:tabs>
                <w:tab w:val="left" w:pos="851"/>
              </w:tabs>
            </w:pPr>
            <w:r>
              <w:t xml:space="preserve">Aspirationspneumoni, </w:t>
            </w:r>
            <w:proofErr w:type="spellStart"/>
            <w:r>
              <w:t>laryngospasmer</w:t>
            </w:r>
            <w:proofErr w:type="spellEnd"/>
            <w:r>
              <w:t xml:space="preserve">, </w:t>
            </w:r>
            <w:proofErr w:type="spellStart"/>
            <w:r>
              <w:t>orofaryngeale</w:t>
            </w:r>
            <w:proofErr w:type="spellEnd"/>
            <w:r>
              <w:t xml:space="preserve"> spasmer</w:t>
            </w:r>
          </w:p>
        </w:tc>
      </w:tr>
      <w:tr w:rsidR="006E4352" w14:paraId="61EF45EC"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74E57B80" w14:textId="77777777" w:rsidR="006E4352" w:rsidRDefault="006E4352" w:rsidP="00685C46">
            <w:pPr>
              <w:tabs>
                <w:tab w:val="left" w:pos="851"/>
              </w:tabs>
              <w:rPr>
                <w:b/>
              </w:rPr>
            </w:pPr>
            <w:r>
              <w:rPr>
                <w:b/>
              </w:rPr>
              <w:t>Mave-tarm-kanalen</w:t>
            </w:r>
          </w:p>
        </w:tc>
        <w:tc>
          <w:tcPr>
            <w:tcW w:w="1795" w:type="dxa"/>
            <w:tcBorders>
              <w:top w:val="single" w:sz="4" w:space="0" w:color="auto"/>
              <w:left w:val="single" w:sz="4" w:space="0" w:color="auto"/>
              <w:bottom w:val="single" w:sz="4" w:space="0" w:color="auto"/>
              <w:right w:val="single" w:sz="4" w:space="0" w:color="auto"/>
            </w:tcBorders>
            <w:hideMark/>
          </w:tcPr>
          <w:p w14:paraId="22BFC833" w14:textId="77777777" w:rsidR="006E4352" w:rsidRDefault="006E4352" w:rsidP="00685C46">
            <w:pPr>
              <w:tabs>
                <w:tab w:val="left" w:pos="851"/>
              </w:tabs>
              <w:rPr>
                <w:sz w:val="24"/>
                <w:szCs w:val="24"/>
              </w:rPr>
            </w:pPr>
            <w:r>
              <w:rPr>
                <w:sz w:val="24"/>
                <w:szCs w:val="24"/>
              </w:rPr>
              <w:t>Forstoppelse, dyspepsi, kvalme, øget spytsekretion, opkastning</w:t>
            </w:r>
          </w:p>
        </w:tc>
        <w:tc>
          <w:tcPr>
            <w:tcW w:w="2012" w:type="dxa"/>
            <w:tcBorders>
              <w:top w:val="single" w:sz="4" w:space="0" w:color="auto"/>
              <w:left w:val="single" w:sz="4" w:space="0" w:color="auto"/>
              <w:bottom w:val="single" w:sz="4" w:space="0" w:color="auto"/>
              <w:right w:val="single" w:sz="4" w:space="0" w:color="auto"/>
            </w:tcBorders>
          </w:tcPr>
          <w:p w14:paraId="3270192E"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1182CC96" w14:textId="77777777" w:rsidR="006E4352" w:rsidRDefault="006E4352" w:rsidP="00685C46">
            <w:pPr>
              <w:tabs>
                <w:tab w:val="left" w:pos="851"/>
              </w:tabs>
            </w:pPr>
            <w:proofErr w:type="spellStart"/>
            <w:r>
              <w:t>Pankreatitis</w:t>
            </w:r>
            <w:proofErr w:type="spellEnd"/>
            <w:r>
              <w:t xml:space="preserve">, </w:t>
            </w:r>
            <w:proofErr w:type="spellStart"/>
            <w:r>
              <w:t>dysfagi</w:t>
            </w:r>
            <w:proofErr w:type="spellEnd"/>
            <w:r>
              <w:t>, diarré, ubehag fra abdomen og maven</w:t>
            </w:r>
          </w:p>
        </w:tc>
      </w:tr>
      <w:tr w:rsidR="00327C0A" w14:paraId="3B3372A7"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335A47C0" w14:textId="77777777" w:rsidR="00327C0A" w:rsidRDefault="00327C0A" w:rsidP="00327C0A">
            <w:pPr>
              <w:tabs>
                <w:tab w:val="left" w:pos="851"/>
              </w:tabs>
              <w:rPr>
                <w:b/>
              </w:rPr>
            </w:pPr>
            <w:r>
              <w:rPr>
                <w:b/>
              </w:rPr>
              <w:t>Lever og galdeveje</w:t>
            </w:r>
          </w:p>
        </w:tc>
        <w:tc>
          <w:tcPr>
            <w:tcW w:w="1795" w:type="dxa"/>
            <w:tcBorders>
              <w:top w:val="single" w:sz="4" w:space="0" w:color="auto"/>
              <w:left w:val="single" w:sz="4" w:space="0" w:color="auto"/>
              <w:bottom w:val="single" w:sz="4" w:space="0" w:color="auto"/>
              <w:right w:val="single" w:sz="4" w:space="0" w:color="auto"/>
            </w:tcBorders>
          </w:tcPr>
          <w:p w14:paraId="297F6280" w14:textId="77777777" w:rsidR="00327C0A" w:rsidRDefault="00327C0A" w:rsidP="00327C0A">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16F2827F" w14:textId="77777777" w:rsidR="00327C0A" w:rsidRDefault="00327C0A" w:rsidP="00327C0A">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70850C3D" w14:textId="77777777" w:rsidR="00327C0A" w:rsidRDefault="00327C0A" w:rsidP="00327C0A">
            <w:pPr>
              <w:tabs>
                <w:tab w:val="left" w:pos="851"/>
              </w:tabs>
            </w:pPr>
            <w:r>
              <w:t>Leversvigt, hepatitis, gulsot</w:t>
            </w:r>
            <w:r>
              <w:rPr>
                <w:rStyle w:val="Kommentarhenvisning"/>
                <w:lang w:eastAsia="da-DK"/>
              </w:rPr>
              <w:commentReference w:id="8"/>
            </w:r>
          </w:p>
        </w:tc>
      </w:tr>
      <w:tr w:rsidR="006E4352" w14:paraId="1CA1C510"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3FC23920" w14:textId="77777777" w:rsidR="006E4352" w:rsidRDefault="006E4352" w:rsidP="00685C46">
            <w:pPr>
              <w:tabs>
                <w:tab w:val="left" w:pos="851"/>
              </w:tabs>
              <w:rPr>
                <w:b/>
              </w:rPr>
            </w:pPr>
            <w:r>
              <w:rPr>
                <w:b/>
              </w:rPr>
              <w:t>Hud og subkutane væv</w:t>
            </w:r>
          </w:p>
        </w:tc>
        <w:tc>
          <w:tcPr>
            <w:tcW w:w="1795" w:type="dxa"/>
            <w:tcBorders>
              <w:top w:val="single" w:sz="4" w:space="0" w:color="auto"/>
              <w:left w:val="single" w:sz="4" w:space="0" w:color="auto"/>
              <w:bottom w:val="single" w:sz="4" w:space="0" w:color="auto"/>
              <w:right w:val="single" w:sz="4" w:space="0" w:color="auto"/>
            </w:tcBorders>
          </w:tcPr>
          <w:p w14:paraId="19164CE8"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07911050"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632B9118" w14:textId="77777777" w:rsidR="00327C0A" w:rsidRDefault="00327C0A" w:rsidP="00327C0A">
            <w:pPr>
              <w:tabs>
                <w:tab w:val="left" w:pos="851"/>
              </w:tabs>
            </w:pPr>
            <w:r>
              <w:t xml:space="preserve">Udslæt, fotosensibilitets-reaktion, </w:t>
            </w:r>
            <w:proofErr w:type="spellStart"/>
            <w:r>
              <w:t>alopeci</w:t>
            </w:r>
            <w:proofErr w:type="spellEnd"/>
            <w:r>
              <w:t xml:space="preserve">, </w:t>
            </w:r>
            <w:commentRangeStart w:id="9"/>
            <w:proofErr w:type="spellStart"/>
            <w:r>
              <w:t>hyperhidrose</w:t>
            </w:r>
            <w:proofErr w:type="spellEnd"/>
          </w:p>
          <w:p w14:paraId="196A433A" w14:textId="77777777" w:rsidR="006E4352" w:rsidRDefault="00327C0A" w:rsidP="00327C0A">
            <w:pPr>
              <w:tabs>
                <w:tab w:val="left" w:pos="851"/>
              </w:tabs>
            </w:pPr>
            <w:r>
              <w:t xml:space="preserve">Lægemiddelreaktion med </w:t>
            </w:r>
            <w:proofErr w:type="spellStart"/>
            <w:r>
              <w:t>eosinofili</w:t>
            </w:r>
            <w:proofErr w:type="spellEnd"/>
            <w:r>
              <w:t xml:space="preserve"> og systemiske symptomer (DRESS)</w:t>
            </w:r>
            <w:commentRangeEnd w:id="9"/>
            <w:r>
              <w:rPr>
                <w:rStyle w:val="Kommentarhenvisning"/>
                <w:lang w:eastAsia="da-DK"/>
              </w:rPr>
              <w:commentReference w:id="9"/>
            </w:r>
          </w:p>
        </w:tc>
      </w:tr>
      <w:tr w:rsidR="006E4352" w14:paraId="14B496BC"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0511CB1C" w14:textId="77777777" w:rsidR="006E4352" w:rsidRDefault="006E4352" w:rsidP="00685C46">
            <w:pPr>
              <w:tabs>
                <w:tab w:val="left" w:pos="851"/>
              </w:tabs>
              <w:rPr>
                <w:b/>
              </w:rPr>
            </w:pPr>
            <w:r>
              <w:rPr>
                <w:b/>
              </w:rPr>
              <w:t>Knogler, led, muskler og bindevæv</w:t>
            </w:r>
          </w:p>
        </w:tc>
        <w:tc>
          <w:tcPr>
            <w:tcW w:w="1795" w:type="dxa"/>
            <w:tcBorders>
              <w:top w:val="single" w:sz="4" w:space="0" w:color="auto"/>
              <w:left w:val="single" w:sz="4" w:space="0" w:color="auto"/>
              <w:bottom w:val="single" w:sz="4" w:space="0" w:color="auto"/>
              <w:right w:val="single" w:sz="4" w:space="0" w:color="auto"/>
            </w:tcBorders>
          </w:tcPr>
          <w:p w14:paraId="16A9B1EA"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071B0F17"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341E97DC" w14:textId="77777777" w:rsidR="006E4352" w:rsidRDefault="006E4352" w:rsidP="00685C46">
            <w:pPr>
              <w:tabs>
                <w:tab w:val="left" w:pos="851"/>
              </w:tabs>
            </w:pPr>
            <w:proofErr w:type="spellStart"/>
            <w:r>
              <w:t>Rhabdomyolyse</w:t>
            </w:r>
            <w:proofErr w:type="spellEnd"/>
            <w:r>
              <w:t>, myalgi, stivhed</w:t>
            </w:r>
          </w:p>
        </w:tc>
      </w:tr>
      <w:tr w:rsidR="006E4352" w14:paraId="6FDEACED"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6F076C88" w14:textId="77777777" w:rsidR="006E4352" w:rsidRDefault="006E4352" w:rsidP="00685C46">
            <w:pPr>
              <w:tabs>
                <w:tab w:val="left" w:pos="851"/>
              </w:tabs>
              <w:rPr>
                <w:b/>
              </w:rPr>
            </w:pPr>
            <w:r>
              <w:rPr>
                <w:b/>
              </w:rPr>
              <w:t>Nyrer og urinveje</w:t>
            </w:r>
          </w:p>
        </w:tc>
        <w:tc>
          <w:tcPr>
            <w:tcW w:w="1795" w:type="dxa"/>
            <w:tcBorders>
              <w:top w:val="single" w:sz="4" w:space="0" w:color="auto"/>
              <w:left w:val="single" w:sz="4" w:space="0" w:color="auto"/>
              <w:bottom w:val="single" w:sz="4" w:space="0" w:color="auto"/>
              <w:right w:val="single" w:sz="4" w:space="0" w:color="auto"/>
            </w:tcBorders>
          </w:tcPr>
          <w:p w14:paraId="0ADB8D21"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23C1D7DF"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5E835848" w14:textId="77777777" w:rsidR="006E4352" w:rsidRDefault="006E4352" w:rsidP="00685C46">
            <w:pPr>
              <w:tabs>
                <w:tab w:val="left" w:pos="851"/>
              </w:tabs>
            </w:pPr>
            <w:r>
              <w:t>Urininkontinens, urinretention</w:t>
            </w:r>
          </w:p>
        </w:tc>
      </w:tr>
      <w:tr w:rsidR="006E4352" w14:paraId="199AB4F0"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4C9CFA15" w14:textId="77777777" w:rsidR="006E4352" w:rsidRDefault="006E4352" w:rsidP="00685C46">
            <w:pPr>
              <w:tabs>
                <w:tab w:val="left" w:pos="851"/>
              </w:tabs>
              <w:rPr>
                <w:b/>
              </w:rPr>
            </w:pPr>
            <w:r>
              <w:rPr>
                <w:b/>
              </w:rPr>
              <w:t xml:space="preserve">Graviditet, </w:t>
            </w:r>
            <w:proofErr w:type="spellStart"/>
            <w:r>
              <w:rPr>
                <w:b/>
              </w:rPr>
              <w:t>puerperium</w:t>
            </w:r>
            <w:proofErr w:type="spellEnd"/>
            <w:r>
              <w:rPr>
                <w:b/>
              </w:rPr>
              <w:t xml:space="preserve"> og den </w:t>
            </w:r>
            <w:proofErr w:type="spellStart"/>
            <w:r>
              <w:rPr>
                <w:b/>
              </w:rPr>
              <w:t>perinatale</w:t>
            </w:r>
            <w:proofErr w:type="spellEnd"/>
            <w:r>
              <w:rPr>
                <w:b/>
              </w:rPr>
              <w:t xml:space="preserve"> periode</w:t>
            </w:r>
          </w:p>
        </w:tc>
        <w:tc>
          <w:tcPr>
            <w:tcW w:w="1795" w:type="dxa"/>
            <w:tcBorders>
              <w:top w:val="single" w:sz="4" w:space="0" w:color="auto"/>
              <w:left w:val="single" w:sz="4" w:space="0" w:color="auto"/>
              <w:bottom w:val="single" w:sz="4" w:space="0" w:color="auto"/>
              <w:right w:val="single" w:sz="4" w:space="0" w:color="auto"/>
            </w:tcBorders>
          </w:tcPr>
          <w:p w14:paraId="3D32C661"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5FF14D67"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47336446" w14:textId="77777777" w:rsidR="006E4352" w:rsidRDefault="006E4352" w:rsidP="00685C46">
            <w:pPr>
              <w:tabs>
                <w:tab w:val="left" w:pos="851"/>
              </w:tabs>
            </w:pPr>
            <w:r>
              <w:t>Abstinenssyndrom hos nyfødte (se pkt. 4.6)</w:t>
            </w:r>
          </w:p>
        </w:tc>
      </w:tr>
      <w:tr w:rsidR="006E4352" w14:paraId="10C0E6D1"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5F1C170E" w14:textId="77777777" w:rsidR="006E4352" w:rsidRDefault="006E4352" w:rsidP="00685C46">
            <w:pPr>
              <w:tabs>
                <w:tab w:val="left" w:pos="851"/>
              </w:tabs>
              <w:rPr>
                <w:b/>
              </w:rPr>
            </w:pPr>
            <w:r>
              <w:rPr>
                <w:b/>
              </w:rPr>
              <w:t>Det reproduktive system og mammae</w:t>
            </w:r>
          </w:p>
        </w:tc>
        <w:tc>
          <w:tcPr>
            <w:tcW w:w="1795" w:type="dxa"/>
            <w:tcBorders>
              <w:top w:val="single" w:sz="4" w:space="0" w:color="auto"/>
              <w:left w:val="single" w:sz="4" w:space="0" w:color="auto"/>
              <w:bottom w:val="single" w:sz="4" w:space="0" w:color="auto"/>
              <w:right w:val="single" w:sz="4" w:space="0" w:color="auto"/>
            </w:tcBorders>
          </w:tcPr>
          <w:p w14:paraId="53AD52F2"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3B53E61B"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1CAF6BA2" w14:textId="77777777" w:rsidR="006E4352" w:rsidRDefault="006E4352" w:rsidP="00685C46">
            <w:pPr>
              <w:tabs>
                <w:tab w:val="left" w:pos="851"/>
              </w:tabs>
            </w:pPr>
            <w:proofErr w:type="spellStart"/>
            <w:r>
              <w:t>Priapisme</w:t>
            </w:r>
            <w:proofErr w:type="spellEnd"/>
          </w:p>
        </w:tc>
      </w:tr>
      <w:tr w:rsidR="006E4352" w14:paraId="727DE2ED"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5363A5E8" w14:textId="77777777" w:rsidR="006E4352" w:rsidRDefault="006E4352" w:rsidP="00685C46">
            <w:pPr>
              <w:tabs>
                <w:tab w:val="left" w:pos="851"/>
              </w:tabs>
              <w:rPr>
                <w:b/>
              </w:rPr>
            </w:pPr>
            <w:r>
              <w:rPr>
                <w:b/>
                <w:sz w:val="24"/>
                <w:szCs w:val="24"/>
              </w:rPr>
              <w:t>Almene symptomer og reaktioner på administrationsstedet</w:t>
            </w:r>
          </w:p>
        </w:tc>
        <w:tc>
          <w:tcPr>
            <w:tcW w:w="1795" w:type="dxa"/>
            <w:tcBorders>
              <w:top w:val="single" w:sz="4" w:space="0" w:color="auto"/>
              <w:left w:val="single" w:sz="4" w:space="0" w:color="auto"/>
              <w:bottom w:val="single" w:sz="4" w:space="0" w:color="auto"/>
              <w:right w:val="single" w:sz="4" w:space="0" w:color="auto"/>
            </w:tcBorders>
            <w:hideMark/>
          </w:tcPr>
          <w:p w14:paraId="30E0A826" w14:textId="77777777" w:rsidR="006E4352" w:rsidRDefault="006E4352" w:rsidP="00685C46">
            <w:pPr>
              <w:tabs>
                <w:tab w:val="left" w:pos="851"/>
              </w:tabs>
              <w:rPr>
                <w:sz w:val="24"/>
                <w:szCs w:val="24"/>
              </w:rPr>
            </w:pPr>
            <w:r>
              <w:rPr>
                <w:sz w:val="24"/>
                <w:szCs w:val="24"/>
              </w:rPr>
              <w:t>Træthed</w:t>
            </w:r>
          </w:p>
        </w:tc>
        <w:tc>
          <w:tcPr>
            <w:tcW w:w="2012" w:type="dxa"/>
            <w:tcBorders>
              <w:top w:val="single" w:sz="4" w:space="0" w:color="auto"/>
              <w:left w:val="single" w:sz="4" w:space="0" w:color="auto"/>
              <w:bottom w:val="single" w:sz="4" w:space="0" w:color="auto"/>
              <w:right w:val="single" w:sz="4" w:space="0" w:color="auto"/>
            </w:tcBorders>
          </w:tcPr>
          <w:p w14:paraId="359F7EBD"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42CDF6B2" w14:textId="77777777" w:rsidR="006E4352" w:rsidRDefault="006E4352" w:rsidP="00685C46">
            <w:pPr>
              <w:tabs>
                <w:tab w:val="left" w:pos="851"/>
              </w:tabs>
            </w:pPr>
            <w:r>
              <w:t xml:space="preserve">Ubalance i temperaturregulering (f.eks. </w:t>
            </w:r>
            <w:proofErr w:type="spellStart"/>
            <w:r>
              <w:t>hypotermi</w:t>
            </w:r>
            <w:proofErr w:type="spellEnd"/>
            <w:r>
              <w:t xml:space="preserve">, </w:t>
            </w:r>
            <w:proofErr w:type="spellStart"/>
            <w:r>
              <w:t>pyrexi</w:t>
            </w:r>
            <w:proofErr w:type="spellEnd"/>
            <w:r>
              <w:t>), brystsmerter, perifert ødem</w:t>
            </w:r>
          </w:p>
        </w:tc>
      </w:tr>
      <w:tr w:rsidR="006E4352" w14:paraId="335617D3" w14:textId="77777777" w:rsidTr="00327C0A">
        <w:tc>
          <w:tcPr>
            <w:tcW w:w="2331" w:type="dxa"/>
            <w:tcBorders>
              <w:top w:val="single" w:sz="4" w:space="0" w:color="auto"/>
              <w:left w:val="single" w:sz="4" w:space="0" w:color="auto"/>
              <w:bottom w:val="single" w:sz="4" w:space="0" w:color="auto"/>
              <w:right w:val="single" w:sz="4" w:space="0" w:color="auto"/>
            </w:tcBorders>
            <w:hideMark/>
          </w:tcPr>
          <w:p w14:paraId="62779D40" w14:textId="77777777" w:rsidR="006E4352" w:rsidRDefault="006E4352" w:rsidP="00685C46">
            <w:pPr>
              <w:tabs>
                <w:tab w:val="left" w:pos="851"/>
              </w:tabs>
              <w:rPr>
                <w:b/>
                <w:sz w:val="24"/>
                <w:szCs w:val="24"/>
              </w:rPr>
            </w:pPr>
            <w:r>
              <w:rPr>
                <w:b/>
                <w:sz w:val="24"/>
                <w:szCs w:val="24"/>
              </w:rPr>
              <w:t>Undersøgelser</w:t>
            </w:r>
          </w:p>
        </w:tc>
        <w:tc>
          <w:tcPr>
            <w:tcW w:w="1795" w:type="dxa"/>
            <w:tcBorders>
              <w:top w:val="single" w:sz="4" w:space="0" w:color="auto"/>
              <w:left w:val="single" w:sz="4" w:space="0" w:color="auto"/>
              <w:bottom w:val="single" w:sz="4" w:space="0" w:color="auto"/>
              <w:right w:val="single" w:sz="4" w:space="0" w:color="auto"/>
            </w:tcBorders>
          </w:tcPr>
          <w:p w14:paraId="21D88388" w14:textId="77777777" w:rsidR="006E4352" w:rsidRDefault="006E4352" w:rsidP="00685C46">
            <w:pPr>
              <w:tabs>
                <w:tab w:val="left" w:pos="851"/>
              </w:tabs>
              <w:rPr>
                <w:sz w:val="24"/>
                <w:szCs w:val="24"/>
              </w:rPr>
            </w:pPr>
          </w:p>
        </w:tc>
        <w:tc>
          <w:tcPr>
            <w:tcW w:w="2012" w:type="dxa"/>
            <w:tcBorders>
              <w:top w:val="single" w:sz="4" w:space="0" w:color="auto"/>
              <w:left w:val="single" w:sz="4" w:space="0" w:color="auto"/>
              <w:bottom w:val="single" w:sz="4" w:space="0" w:color="auto"/>
              <w:right w:val="single" w:sz="4" w:space="0" w:color="auto"/>
            </w:tcBorders>
          </w:tcPr>
          <w:p w14:paraId="0A3AC5BC" w14:textId="77777777" w:rsidR="006E4352" w:rsidRDefault="006E4352" w:rsidP="00685C46">
            <w:pPr>
              <w:pStyle w:val="Default"/>
            </w:pPr>
          </w:p>
        </w:tc>
        <w:tc>
          <w:tcPr>
            <w:tcW w:w="2639" w:type="dxa"/>
            <w:tcBorders>
              <w:top w:val="single" w:sz="4" w:space="0" w:color="auto"/>
              <w:left w:val="single" w:sz="4" w:space="0" w:color="auto"/>
              <w:bottom w:val="single" w:sz="4" w:space="0" w:color="auto"/>
              <w:right w:val="single" w:sz="4" w:space="0" w:color="auto"/>
            </w:tcBorders>
            <w:hideMark/>
          </w:tcPr>
          <w:p w14:paraId="0BC08229" w14:textId="77777777" w:rsidR="00327C0A" w:rsidRDefault="00327C0A" w:rsidP="00327C0A">
            <w:pPr>
              <w:tabs>
                <w:tab w:val="left" w:pos="851"/>
              </w:tabs>
            </w:pPr>
            <w:commentRangeStart w:id="10"/>
            <w:r>
              <w:t>Vægttab, vægtøgning,</w:t>
            </w:r>
          </w:p>
          <w:p w14:paraId="734E0F98" w14:textId="77777777" w:rsidR="00327C0A" w:rsidRDefault="00327C0A" w:rsidP="00327C0A">
            <w:pPr>
              <w:tabs>
                <w:tab w:val="left" w:pos="851"/>
              </w:tabs>
            </w:pPr>
            <w:r>
              <w:t xml:space="preserve">forhøjet </w:t>
            </w:r>
            <w:proofErr w:type="spellStart"/>
            <w:r>
              <w:t>alanin-aminotransferase</w:t>
            </w:r>
            <w:proofErr w:type="spellEnd"/>
            <w:r>
              <w:t xml:space="preserve">, forhøjet </w:t>
            </w:r>
            <w:proofErr w:type="spellStart"/>
            <w:r>
              <w:t>aspartat-aminotransferase</w:t>
            </w:r>
            <w:proofErr w:type="spellEnd"/>
            <w:r>
              <w:t xml:space="preserve">, </w:t>
            </w:r>
          </w:p>
          <w:p w14:paraId="14B93CF9" w14:textId="77777777" w:rsidR="00327C0A" w:rsidRDefault="00327C0A" w:rsidP="00327C0A">
            <w:pPr>
              <w:tabs>
                <w:tab w:val="left" w:pos="851"/>
              </w:tabs>
            </w:pPr>
            <w:r>
              <w:t xml:space="preserve">forhøjet </w:t>
            </w:r>
            <w:proofErr w:type="spellStart"/>
            <w:r>
              <w:t>gammaglutamyltransferase</w:t>
            </w:r>
            <w:proofErr w:type="spellEnd"/>
            <w:r>
              <w:t xml:space="preserve">, forhøjet </w:t>
            </w:r>
            <w:proofErr w:type="spellStart"/>
            <w:r>
              <w:t>alkalinfosfatase</w:t>
            </w:r>
            <w:proofErr w:type="spellEnd"/>
            <w:r>
              <w:t>,</w:t>
            </w:r>
          </w:p>
          <w:p w14:paraId="2164CE96" w14:textId="77777777" w:rsidR="006E4352" w:rsidRDefault="00327C0A" w:rsidP="00327C0A">
            <w:pPr>
              <w:tabs>
                <w:tab w:val="left" w:pos="851"/>
              </w:tabs>
            </w:pPr>
            <w:r>
              <w:t xml:space="preserve">QT-forlængelse, forhøjet blodsukker, forhøjet </w:t>
            </w:r>
            <w:proofErr w:type="spellStart"/>
            <w:r>
              <w:t>glykosyleret</w:t>
            </w:r>
            <w:proofErr w:type="spellEnd"/>
            <w:r>
              <w:t xml:space="preserve"> hæmoglobin, </w:t>
            </w:r>
            <w:proofErr w:type="spellStart"/>
            <w:r>
              <w:t>flukturerende</w:t>
            </w:r>
            <w:proofErr w:type="spellEnd"/>
            <w:r>
              <w:t xml:space="preserve"> </w:t>
            </w:r>
            <w:commentRangeEnd w:id="10"/>
            <w:r>
              <w:rPr>
                <w:rStyle w:val="Kommentarhenvisning"/>
                <w:lang w:eastAsia="da-DK"/>
              </w:rPr>
              <w:commentReference w:id="10"/>
            </w:r>
            <w:r>
              <w:t xml:space="preserve"> blodsukkerniveau, forhøjet </w:t>
            </w:r>
            <w:proofErr w:type="spellStart"/>
            <w:r>
              <w:t>kreatinkinase</w:t>
            </w:r>
            <w:proofErr w:type="spellEnd"/>
          </w:p>
        </w:tc>
      </w:tr>
    </w:tbl>
    <w:p w14:paraId="08DCD07F" w14:textId="77777777" w:rsidR="006F253B" w:rsidRDefault="006F253B" w:rsidP="006F253B">
      <w:pPr>
        <w:tabs>
          <w:tab w:val="left" w:pos="851"/>
        </w:tabs>
        <w:ind w:left="851" w:hanging="851"/>
        <w:rPr>
          <w:sz w:val="24"/>
          <w:szCs w:val="24"/>
        </w:rPr>
      </w:pPr>
      <w:r>
        <w:rPr>
          <w:sz w:val="24"/>
          <w:szCs w:val="24"/>
        </w:rPr>
        <w:tab/>
      </w:r>
    </w:p>
    <w:p w14:paraId="1A375F9F" w14:textId="77777777" w:rsidR="006E4352" w:rsidRDefault="006E4352" w:rsidP="00327C0A">
      <w:pPr>
        <w:pStyle w:val="Default"/>
        <w:rPr>
          <w:u w:val="single"/>
        </w:rPr>
      </w:pPr>
    </w:p>
    <w:p w14:paraId="595C152D" w14:textId="77777777" w:rsidR="006F253B" w:rsidRDefault="006F253B" w:rsidP="006F253B">
      <w:pPr>
        <w:pStyle w:val="Default"/>
        <w:ind w:left="851"/>
        <w:rPr>
          <w:u w:val="single"/>
        </w:rPr>
      </w:pPr>
      <w:r>
        <w:rPr>
          <w:u w:val="single"/>
        </w:rPr>
        <w:t xml:space="preserve">Beskrivelse af udvalgte bivirkninger </w:t>
      </w:r>
    </w:p>
    <w:p w14:paraId="3CA544F3" w14:textId="77777777" w:rsidR="006F253B" w:rsidRDefault="006F253B" w:rsidP="006F253B">
      <w:pPr>
        <w:pStyle w:val="Default"/>
        <w:ind w:left="851"/>
        <w:rPr>
          <w:i/>
          <w:iCs/>
        </w:rPr>
      </w:pPr>
    </w:p>
    <w:p w14:paraId="2B5303CF" w14:textId="77777777" w:rsidR="006F253B" w:rsidRDefault="006F253B" w:rsidP="006F253B">
      <w:pPr>
        <w:pStyle w:val="Default"/>
        <w:ind w:left="851"/>
        <w:rPr>
          <w:i/>
          <w:iCs/>
          <w:u w:val="single"/>
        </w:rPr>
      </w:pPr>
      <w:r>
        <w:rPr>
          <w:i/>
          <w:iCs/>
          <w:u w:val="single"/>
        </w:rPr>
        <w:t>Voksne</w:t>
      </w:r>
    </w:p>
    <w:p w14:paraId="2AC5D466" w14:textId="77777777" w:rsidR="006F253B" w:rsidRDefault="006F253B" w:rsidP="006F253B">
      <w:pPr>
        <w:pStyle w:val="Default"/>
        <w:ind w:left="851"/>
        <w:rPr>
          <w:i/>
          <w:iCs/>
        </w:rPr>
      </w:pPr>
    </w:p>
    <w:p w14:paraId="02720960" w14:textId="77777777" w:rsidR="006F253B" w:rsidRDefault="006F253B" w:rsidP="006F253B">
      <w:pPr>
        <w:pStyle w:val="Default"/>
        <w:ind w:left="851"/>
      </w:pPr>
      <w:r>
        <w:rPr>
          <w:i/>
          <w:iCs/>
        </w:rPr>
        <w:t xml:space="preserve">Ekstrapyramidale symptomer (EPS) </w:t>
      </w:r>
    </w:p>
    <w:p w14:paraId="6BDE63D1" w14:textId="77777777" w:rsidR="006F253B" w:rsidRDefault="006F253B" w:rsidP="006F253B">
      <w:pPr>
        <w:pStyle w:val="Default"/>
        <w:ind w:left="851"/>
        <w:rPr>
          <w:i/>
          <w:iCs/>
        </w:rPr>
      </w:pPr>
      <w:r>
        <w:rPr>
          <w:i/>
          <w:iCs/>
        </w:rPr>
        <w:t xml:space="preserve">Skizofreni: </w:t>
      </w:r>
      <w:r>
        <w:t xml:space="preserve">I et længerevarende, 52-ugers kontrolleret studie havde </w:t>
      </w:r>
      <w:proofErr w:type="spellStart"/>
      <w:r>
        <w:t>aripiprazol</w:t>
      </w:r>
      <w:proofErr w:type="spellEnd"/>
      <w:r>
        <w:t xml:space="preserve">-behandlede patienter totalt set en lavere forekomst (25,8 %) af EPS, herunder parkinsonisme, </w:t>
      </w:r>
      <w:proofErr w:type="spellStart"/>
      <w:r>
        <w:t>akatisi</w:t>
      </w:r>
      <w:proofErr w:type="spellEnd"/>
      <w:r>
        <w:t xml:space="preserve">, </w:t>
      </w:r>
      <w:proofErr w:type="spellStart"/>
      <w:r>
        <w:t>dystoni</w:t>
      </w:r>
      <w:proofErr w:type="spellEnd"/>
      <w:r>
        <w:t xml:space="preserve"> og </w:t>
      </w:r>
      <w:proofErr w:type="spellStart"/>
      <w:r>
        <w:t>dyskinesi</w:t>
      </w:r>
      <w:proofErr w:type="spellEnd"/>
      <w:r>
        <w:t xml:space="preserve"> sammenlignet med patienter behandlet med </w:t>
      </w:r>
      <w:proofErr w:type="spellStart"/>
      <w:r>
        <w:t>haloperidol</w:t>
      </w:r>
      <w:proofErr w:type="spellEnd"/>
      <w:r>
        <w:t xml:space="preserve"> (57,3 %). I et </w:t>
      </w:r>
      <w:r>
        <w:lastRenderedPageBreak/>
        <w:t xml:space="preserve">længerevarende, 26-ugers placebokontrolleret studie var forekomsten af EPS 19 % for </w:t>
      </w:r>
      <w:proofErr w:type="spellStart"/>
      <w:r>
        <w:t>aripiprazol</w:t>
      </w:r>
      <w:proofErr w:type="spellEnd"/>
      <w:r>
        <w:t xml:space="preserve">-behandlede patienter og 13,1 % for placebobehandlede patienter. I et andet længerevarende, 26-ugers kontrolleret studie var forekomsten af EPS 14,8 % for </w:t>
      </w:r>
      <w:proofErr w:type="spellStart"/>
      <w:r>
        <w:t>aripiprazol</w:t>
      </w:r>
      <w:proofErr w:type="spellEnd"/>
      <w:r>
        <w:t xml:space="preserve">-behandlede patienter og 15,1 % for </w:t>
      </w:r>
      <w:proofErr w:type="spellStart"/>
      <w:r>
        <w:t>olanzapin</w:t>
      </w:r>
      <w:proofErr w:type="spellEnd"/>
      <w:r>
        <w:t xml:space="preserve">-behandlede patienter. </w:t>
      </w:r>
      <w:r>
        <w:rPr>
          <w:i/>
          <w:iCs/>
        </w:rPr>
        <w:t xml:space="preserve">Maniske episoder ved bipolar lidelse type 1: </w:t>
      </w:r>
      <w:r>
        <w:rPr>
          <w:iCs/>
        </w:rPr>
        <w:t>I</w:t>
      </w:r>
      <w:r>
        <w:t xml:space="preserve"> et 12-ugers, kontrolleret studie var forekomsten af EPS 23,5 % for </w:t>
      </w:r>
      <w:proofErr w:type="spellStart"/>
      <w:r>
        <w:t>aripiprazol</w:t>
      </w:r>
      <w:proofErr w:type="spellEnd"/>
      <w:r>
        <w:t xml:space="preserve">-behandlede patienter og 53,3 % for </w:t>
      </w:r>
      <w:proofErr w:type="spellStart"/>
      <w:r>
        <w:t>haloperidol</w:t>
      </w:r>
      <w:proofErr w:type="spellEnd"/>
      <w:r>
        <w:t xml:space="preserve">-behandlede patienter. I et andet 12-ugers studie var forekomsten af EPS 26,6 % for </w:t>
      </w:r>
      <w:proofErr w:type="spellStart"/>
      <w:r>
        <w:t>aripiprazol</w:t>
      </w:r>
      <w:proofErr w:type="spellEnd"/>
      <w:r>
        <w:t xml:space="preserve">-behandlede patienter og 17,6 % for </w:t>
      </w:r>
      <w:proofErr w:type="spellStart"/>
      <w:r>
        <w:t>lithium</w:t>
      </w:r>
      <w:proofErr w:type="spellEnd"/>
      <w:r>
        <w:t xml:space="preserve">-behandlede patienter. I den længerevarende 26-ugers vedligeholdelsesfase i et placebokontrolleret studie var forekomsten af EPS 18,2 % for </w:t>
      </w:r>
      <w:proofErr w:type="spellStart"/>
      <w:r>
        <w:t>aripiprazol</w:t>
      </w:r>
      <w:proofErr w:type="spellEnd"/>
      <w:r>
        <w:t xml:space="preserve">-behandlede patienter og 15,7 % for placebobehandlede patienter. </w:t>
      </w:r>
    </w:p>
    <w:p w14:paraId="4DA82EC1" w14:textId="77777777" w:rsidR="006F253B" w:rsidRDefault="006F253B" w:rsidP="006F253B">
      <w:pPr>
        <w:pStyle w:val="Default"/>
        <w:ind w:left="851"/>
      </w:pPr>
    </w:p>
    <w:p w14:paraId="48168D30" w14:textId="77777777" w:rsidR="006F253B" w:rsidRDefault="006F253B" w:rsidP="006F253B">
      <w:pPr>
        <w:pStyle w:val="Default"/>
        <w:ind w:left="851"/>
      </w:pPr>
      <w:proofErr w:type="spellStart"/>
      <w:r>
        <w:rPr>
          <w:i/>
          <w:iCs/>
        </w:rPr>
        <w:t>Akatisi</w:t>
      </w:r>
      <w:proofErr w:type="spellEnd"/>
      <w:r>
        <w:rPr>
          <w:i/>
          <w:iCs/>
        </w:rPr>
        <w:t xml:space="preserve"> </w:t>
      </w:r>
    </w:p>
    <w:p w14:paraId="24333392" w14:textId="77777777" w:rsidR="006F253B" w:rsidRDefault="006F253B" w:rsidP="006F253B">
      <w:pPr>
        <w:pStyle w:val="Default"/>
        <w:ind w:left="851"/>
      </w:pPr>
      <w:r>
        <w:t xml:space="preserve">I placebokontrollerede studier var forekomsten af </w:t>
      </w:r>
      <w:proofErr w:type="spellStart"/>
      <w:r>
        <w:t>akatisi</w:t>
      </w:r>
      <w:proofErr w:type="spellEnd"/>
      <w:r>
        <w:t xml:space="preserve"> hos bipolare patienter 12,1 % med </w:t>
      </w:r>
      <w:proofErr w:type="spellStart"/>
      <w:r>
        <w:t>aripiprazol</w:t>
      </w:r>
      <w:proofErr w:type="spellEnd"/>
      <w:r>
        <w:t xml:space="preserve"> og 3,2 % med placebo. Hos skizofrene patienter var forekomsten af </w:t>
      </w:r>
      <w:proofErr w:type="spellStart"/>
      <w:r>
        <w:t>akatisi</w:t>
      </w:r>
      <w:proofErr w:type="spellEnd"/>
      <w:r>
        <w:t xml:space="preserve"> 6,2 % med </w:t>
      </w:r>
      <w:proofErr w:type="spellStart"/>
      <w:r>
        <w:t>aripiprazol</w:t>
      </w:r>
      <w:proofErr w:type="spellEnd"/>
      <w:r>
        <w:t xml:space="preserve"> og 3,0 % med placebo. </w:t>
      </w:r>
    </w:p>
    <w:p w14:paraId="5B4E264E" w14:textId="77777777" w:rsidR="006F253B" w:rsidRDefault="006F253B" w:rsidP="006F253B">
      <w:pPr>
        <w:pStyle w:val="Default"/>
        <w:ind w:left="851"/>
      </w:pPr>
    </w:p>
    <w:p w14:paraId="60205600" w14:textId="77777777" w:rsidR="006F253B" w:rsidRDefault="006F253B" w:rsidP="006F253B">
      <w:pPr>
        <w:pStyle w:val="Default"/>
        <w:ind w:left="851"/>
      </w:pPr>
      <w:proofErr w:type="spellStart"/>
      <w:r>
        <w:rPr>
          <w:i/>
          <w:iCs/>
        </w:rPr>
        <w:t>Dystoni</w:t>
      </w:r>
      <w:proofErr w:type="spellEnd"/>
      <w:r>
        <w:rPr>
          <w:i/>
          <w:iCs/>
        </w:rPr>
        <w:t xml:space="preserve"> </w:t>
      </w:r>
    </w:p>
    <w:p w14:paraId="53902BC5" w14:textId="77777777" w:rsidR="006F253B" w:rsidRDefault="006F253B" w:rsidP="006F253B">
      <w:pPr>
        <w:pStyle w:val="Default"/>
        <w:ind w:left="851"/>
      </w:pPr>
      <w:r>
        <w:t xml:space="preserve">Klasseeffekt: Der kan forekomme symptomer på </w:t>
      </w:r>
      <w:proofErr w:type="spellStart"/>
      <w:r>
        <w:t>dystoni</w:t>
      </w:r>
      <w:proofErr w:type="spellEnd"/>
      <w:r>
        <w:t xml:space="preserve">, længerevarende anormale sammentrækninger af muskelgrupper hos modtagelige individer i de første par dage af behandlingen. </w:t>
      </w:r>
      <w:proofErr w:type="spellStart"/>
      <w:r>
        <w:t>Dystoniske</w:t>
      </w:r>
      <w:proofErr w:type="spellEnd"/>
      <w:r>
        <w:t xml:space="preserve"> symptomer kan være: spasmer i nakkemusklerne, der i nogle tilfælde kan udvikle sig til en sammensnørende fornemmelse i halsen, synkebesvær, vejrtrækningsbesvær, og/eller tungen stikker ud. Symptomerne kan forekomme selv ved lave doser, men er imidlertid hyppigere og kraftigere med høj potens antipsykotiske lægemidler og ved højere doser af første generations-antipsykotika. Der er observeret forhøjet risiko for akut </w:t>
      </w:r>
      <w:proofErr w:type="spellStart"/>
      <w:r>
        <w:t>dystoni</w:t>
      </w:r>
      <w:proofErr w:type="spellEnd"/>
      <w:r>
        <w:t xml:space="preserve"> hos mænd og yngre aldersgrupper. </w:t>
      </w:r>
    </w:p>
    <w:p w14:paraId="5CEC0260" w14:textId="77777777" w:rsidR="006F253B" w:rsidRDefault="006F253B" w:rsidP="006F253B">
      <w:pPr>
        <w:pStyle w:val="Default"/>
        <w:ind w:left="851"/>
      </w:pPr>
    </w:p>
    <w:p w14:paraId="65240699" w14:textId="77777777" w:rsidR="006F253B" w:rsidRDefault="006F253B" w:rsidP="006F253B">
      <w:pPr>
        <w:pStyle w:val="Default"/>
        <w:keepNext/>
        <w:ind w:firstLine="851"/>
        <w:rPr>
          <w:i/>
          <w:iCs/>
        </w:rPr>
      </w:pPr>
      <w:proofErr w:type="spellStart"/>
      <w:r>
        <w:rPr>
          <w:i/>
          <w:iCs/>
          <w:u w:val="single"/>
        </w:rPr>
        <w:t>Prolaktin</w:t>
      </w:r>
      <w:proofErr w:type="spellEnd"/>
      <w:r>
        <w:rPr>
          <w:i/>
          <w:iCs/>
          <w:u w:val="single"/>
        </w:rPr>
        <w:t xml:space="preserve"> </w:t>
      </w:r>
    </w:p>
    <w:p w14:paraId="321E00BD" w14:textId="77777777" w:rsidR="006F253B" w:rsidRDefault="006F253B" w:rsidP="006F253B">
      <w:pPr>
        <w:pStyle w:val="Default"/>
        <w:ind w:left="851"/>
        <w:rPr>
          <w:iCs/>
        </w:rPr>
      </w:pPr>
      <w:r>
        <w:rPr>
          <w:iCs/>
        </w:rPr>
        <w:t xml:space="preserve">I de kliniske undersøgelser for den godkendte indikation og efter markedsføring, er der med </w:t>
      </w:r>
      <w:proofErr w:type="spellStart"/>
      <w:r>
        <w:rPr>
          <w:iCs/>
        </w:rPr>
        <w:t>aripiprazol</w:t>
      </w:r>
      <w:proofErr w:type="spellEnd"/>
      <w:r>
        <w:rPr>
          <w:iCs/>
        </w:rPr>
        <w:t xml:space="preserve"> iagttaget både stigning og fald i </w:t>
      </w:r>
      <w:proofErr w:type="spellStart"/>
      <w:r>
        <w:rPr>
          <w:iCs/>
        </w:rPr>
        <w:t>serumprolaktin</w:t>
      </w:r>
      <w:proofErr w:type="spellEnd"/>
      <w:r>
        <w:rPr>
          <w:iCs/>
        </w:rPr>
        <w:t xml:space="preserve"> i forhold til baseline (pkt. 5.1).</w:t>
      </w:r>
    </w:p>
    <w:p w14:paraId="440F0E61" w14:textId="77777777" w:rsidR="006F253B" w:rsidRDefault="006F253B" w:rsidP="006F253B">
      <w:pPr>
        <w:pStyle w:val="Default"/>
        <w:ind w:left="851"/>
      </w:pPr>
    </w:p>
    <w:p w14:paraId="10A7702A" w14:textId="77777777" w:rsidR="006F253B" w:rsidRDefault="006F253B" w:rsidP="006F253B">
      <w:pPr>
        <w:pStyle w:val="Default"/>
        <w:ind w:left="851"/>
        <w:rPr>
          <w:i/>
        </w:rPr>
      </w:pPr>
      <w:r>
        <w:rPr>
          <w:i/>
        </w:rPr>
        <w:t>Laboratorieprøver</w:t>
      </w:r>
    </w:p>
    <w:p w14:paraId="0286B555" w14:textId="77777777" w:rsidR="006F253B" w:rsidRDefault="006F253B" w:rsidP="006F253B">
      <w:pPr>
        <w:pStyle w:val="Default"/>
        <w:ind w:left="851"/>
      </w:pPr>
      <w:r>
        <w:t xml:space="preserve">Sammenligning af </w:t>
      </w:r>
      <w:proofErr w:type="spellStart"/>
      <w:r>
        <w:t>aripiprazol</w:t>
      </w:r>
      <w:proofErr w:type="spellEnd"/>
      <w:r>
        <w:t xml:space="preserve"> og placebo hos den gruppe af patienter, der oplevede potentielt klinisk signifikante ændringer i rutinemæssige laboratorie- og lipidprøver (se pkt. 5.1) viste ingen medicinsk vigtige forskelle. Der sås forhøjelser i CPK (</w:t>
      </w:r>
      <w:proofErr w:type="spellStart"/>
      <w:r>
        <w:t>kreatinfosfokinase</w:t>
      </w:r>
      <w:proofErr w:type="spellEnd"/>
      <w:r>
        <w:t xml:space="preserve">), almindeligvis forbigående og asymptomatiske, hos 3,5 % af de </w:t>
      </w:r>
      <w:proofErr w:type="spellStart"/>
      <w:r>
        <w:t>aripiprazol</w:t>
      </w:r>
      <w:proofErr w:type="spellEnd"/>
      <w:r>
        <w:t xml:space="preserve">-behandlede patienter sammenlignet med 2,0 % af de placebo-behandlede. </w:t>
      </w:r>
    </w:p>
    <w:p w14:paraId="04E72898" w14:textId="77777777" w:rsidR="006F253B" w:rsidRDefault="006F253B" w:rsidP="006F253B">
      <w:pPr>
        <w:pStyle w:val="Default"/>
        <w:ind w:left="851"/>
      </w:pPr>
    </w:p>
    <w:p w14:paraId="330CF0DD" w14:textId="77777777" w:rsidR="006F253B" w:rsidRDefault="006F253B" w:rsidP="006F253B">
      <w:pPr>
        <w:pStyle w:val="Default"/>
        <w:ind w:left="851"/>
        <w:rPr>
          <w:u w:val="single"/>
        </w:rPr>
      </w:pPr>
      <w:r>
        <w:rPr>
          <w:u w:val="single"/>
        </w:rPr>
        <w:t xml:space="preserve">Pædiatrisk population </w:t>
      </w:r>
    </w:p>
    <w:p w14:paraId="12812E1D" w14:textId="77777777" w:rsidR="006F253B" w:rsidRDefault="006F253B" w:rsidP="006F253B">
      <w:pPr>
        <w:pStyle w:val="Default"/>
        <w:ind w:left="851"/>
      </w:pPr>
    </w:p>
    <w:p w14:paraId="00D2BEFB" w14:textId="77777777" w:rsidR="006F253B" w:rsidRDefault="006F253B" w:rsidP="006F253B">
      <w:pPr>
        <w:pStyle w:val="Default"/>
        <w:ind w:left="851"/>
      </w:pPr>
      <w:r>
        <w:rPr>
          <w:i/>
          <w:iCs/>
        </w:rPr>
        <w:t xml:space="preserve">Unge i alderen 15 år og ældre </w:t>
      </w:r>
    </w:p>
    <w:p w14:paraId="2FF55400" w14:textId="77777777" w:rsidR="006F253B" w:rsidRDefault="006F253B" w:rsidP="006F253B">
      <w:pPr>
        <w:tabs>
          <w:tab w:val="left" w:pos="851"/>
        </w:tabs>
        <w:ind w:left="851" w:hanging="851"/>
        <w:rPr>
          <w:sz w:val="24"/>
          <w:szCs w:val="24"/>
        </w:rPr>
      </w:pPr>
      <w:r>
        <w:rPr>
          <w:sz w:val="24"/>
          <w:szCs w:val="24"/>
        </w:rPr>
        <w:tab/>
        <w:t>I et korterevarende, placebokontrolleret klinisk studie, der involverede 302 unge (13</w:t>
      </w:r>
      <w:r w:rsidR="00327C0A">
        <w:rPr>
          <w:sz w:val="24"/>
          <w:szCs w:val="24"/>
        </w:rPr>
        <w:t xml:space="preserve"> til </w:t>
      </w:r>
      <w:r>
        <w:rPr>
          <w:sz w:val="24"/>
          <w:szCs w:val="24"/>
        </w:rPr>
        <w:t xml:space="preserve">17 år) med skizofreni, var bivirkningsfrekvensen og -typen lig den for voksne undtagen for følgende bivirkninger, der blev rapporteret hyppigere hos unge, der fik </w:t>
      </w:r>
      <w:proofErr w:type="spellStart"/>
      <w:r>
        <w:rPr>
          <w:sz w:val="24"/>
          <w:szCs w:val="24"/>
        </w:rPr>
        <w:t>aripiprazol</w:t>
      </w:r>
      <w:proofErr w:type="spellEnd"/>
      <w:r>
        <w:rPr>
          <w:sz w:val="24"/>
          <w:szCs w:val="24"/>
        </w:rPr>
        <w:t xml:space="preserve"> end hos voksne, der fik </w:t>
      </w:r>
      <w:proofErr w:type="spellStart"/>
      <w:r>
        <w:rPr>
          <w:sz w:val="24"/>
          <w:szCs w:val="24"/>
        </w:rPr>
        <w:t>aripiprazol</w:t>
      </w:r>
      <w:proofErr w:type="spellEnd"/>
      <w:r>
        <w:rPr>
          <w:sz w:val="24"/>
          <w:szCs w:val="24"/>
        </w:rPr>
        <w:t xml:space="preserve"> (og hyppigere end med placebo): </w:t>
      </w:r>
    </w:p>
    <w:p w14:paraId="71A457A8" w14:textId="77777777" w:rsidR="006F253B" w:rsidRDefault="006F253B" w:rsidP="006F253B">
      <w:pPr>
        <w:pStyle w:val="Default"/>
        <w:ind w:left="851"/>
      </w:pPr>
      <w:r>
        <w:t xml:space="preserve">døsighed/sedation og ekstrapyramidale forstyrrelser blev meget almindeligt rapporteret (≥ 1/10) og tør mund, øget appetit og </w:t>
      </w:r>
      <w:proofErr w:type="spellStart"/>
      <w:r>
        <w:t>ortostatisk</w:t>
      </w:r>
      <w:proofErr w:type="spellEnd"/>
      <w:r>
        <w:t xml:space="preserve"> hypotension blev almindeligt rapporteret (≥ 1/100 til &lt; 1/10). </w:t>
      </w:r>
    </w:p>
    <w:p w14:paraId="48C3B8F3" w14:textId="77777777" w:rsidR="006F253B" w:rsidRDefault="006F253B" w:rsidP="006F253B">
      <w:pPr>
        <w:pStyle w:val="Default"/>
        <w:ind w:left="851"/>
      </w:pPr>
    </w:p>
    <w:p w14:paraId="179B11EE" w14:textId="77777777" w:rsidR="006F253B" w:rsidRDefault="006F253B" w:rsidP="006F253B">
      <w:pPr>
        <w:pStyle w:val="Default"/>
        <w:ind w:left="851"/>
      </w:pPr>
      <w:r>
        <w:t xml:space="preserve">Sikkerhedsprofilen i et 26-ugers åbent, forlænget studie var den samme som den, der blev observeret i det korte, placebokontrollerede studie. </w:t>
      </w:r>
    </w:p>
    <w:p w14:paraId="330B8E29" w14:textId="77777777" w:rsidR="006F253B" w:rsidRDefault="006F253B" w:rsidP="006F253B">
      <w:pPr>
        <w:pStyle w:val="Default"/>
        <w:ind w:left="851"/>
      </w:pPr>
    </w:p>
    <w:p w14:paraId="5D59854C" w14:textId="77777777" w:rsidR="006F253B" w:rsidRDefault="006F253B" w:rsidP="006F253B">
      <w:pPr>
        <w:pStyle w:val="Default"/>
        <w:ind w:left="851"/>
      </w:pPr>
      <w:r>
        <w:t xml:space="preserve">Sikkerhedsprofilen for et længerevarende, dobbelt-blindet placebo kontrolleret studie var også sammenlignelig, bortset fra for de efterfølgende reaktioner, som blev rapporteret mere hyppigt hos de pædiatriske patienter som modtog placebo: Vægttab, øgede mængder insulin i blodet, </w:t>
      </w:r>
      <w:proofErr w:type="spellStart"/>
      <w:r>
        <w:t>arytmi</w:t>
      </w:r>
      <w:proofErr w:type="spellEnd"/>
      <w:r>
        <w:t xml:space="preserve"> og </w:t>
      </w:r>
      <w:proofErr w:type="spellStart"/>
      <w:r>
        <w:t>leukopeni</w:t>
      </w:r>
      <w:proofErr w:type="spellEnd"/>
      <w:r>
        <w:t xml:space="preserve"> blev rapporteret almindeligt (≥1/100, &lt;1/10).   </w:t>
      </w:r>
    </w:p>
    <w:p w14:paraId="4E5B9C9C" w14:textId="77777777" w:rsidR="006F253B" w:rsidRDefault="006F253B" w:rsidP="006F253B">
      <w:pPr>
        <w:pStyle w:val="Default"/>
        <w:ind w:left="851"/>
      </w:pPr>
    </w:p>
    <w:p w14:paraId="2B93EB02" w14:textId="77777777" w:rsidR="006F253B" w:rsidRDefault="006F253B" w:rsidP="006F253B">
      <w:pPr>
        <w:pStyle w:val="Default"/>
        <w:ind w:left="851"/>
      </w:pPr>
      <w:r>
        <w:t xml:space="preserve">I den </w:t>
      </w:r>
      <w:proofErr w:type="spellStart"/>
      <w:r>
        <w:t>poolede</w:t>
      </w:r>
      <w:proofErr w:type="spellEnd"/>
      <w:r>
        <w:t xml:space="preserve"> population af unge med skizofreni (13</w:t>
      </w:r>
      <w:r w:rsidR="00327C0A">
        <w:t xml:space="preserve"> til </w:t>
      </w:r>
      <w:r>
        <w:t xml:space="preserve">17 år) med en eksponering i op til 2 år var </w:t>
      </w:r>
      <w:proofErr w:type="spellStart"/>
      <w:r>
        <w:t>incidensen</w:t>
      </w:r>
      <w:proofErr w:type="spellEnd"/>
      <w:r>
        <w:t xml:space="preserve"> af lave serum-</w:t>
      </w:r>
      <w:proofErr w:type="spellStart"/>
      <w:r>
        <w:t>prolaktinniveauer</w:t>
      </w:r>
      <w:proofErr w:type="spellEnd"/>
      <w:r>
        <w:t xml:space="preserve"> for kvinder (&lt; 3 </w:t>
      </w:r>
      <w:proofErr w:type="spellStart"/>
      <w:r>
        <w:t>ng</w:t>
      </w:r>
      <w:proofErr w:type="spellEnd"/>
      <w:r>
        <w:t xml:space="preserve">/ml) og mænd (&lt; 2 </w:t>
      </w:r>
      <w:proofErr w:type="spellStart"/>
      <w:r>
        <w:t>ng</w:t>
      </w:r>
      <w:proofErr w:type="spellEnd"/>
      <w:r>
        <w:t xml:space="preserve">/ml) henholdsvis 29,5 % og 48,3 %. </w:t>
      </w:r>
    </w:p>
    <w:p w14:paraId="64AB7980" w14:textId="77777777" w:rsidR="006F253B" w:rsidRDefault="006F253B" w:rsidP="006F253B">
      <w:pPr>
        <w:pStyle w:val="Default"/>
        <w:ind w:left="851"/>
      </w:pPr>
    </w:p>
    <w:p w14:paraId="2161122C" w14:textId="77777777" w:rsidR="006F253B" w:rsidRDefault="006F253B" w:rsidP="006F253B">
      <w:pPr>
        <w:pStyle w:val="Default"/>
        <w:ind w:left="851"/>
      </w:pPr>
      <w:r>
        <w:t>Hos den unge population (13</w:t>
      </w:r>
      <w:r w:rsidR="00327C0A">
        <w:t xml:space="preserve"> til </w:t>
      </w:r>
      <w:r>
        <w:t xml:space="preserve">17 år) med skizofreni, der blev eksponeret for 5 </w:t>
      </w:r>
      <w:r w:rsidR="00327C0A">
        <w:t xml:space="preserve">mg </w:t>
      </w:r>
      <w:r>
        <w:t xml:space="preserve">til 30 mg </w:t>
      </w:r>
      <w:proofErr w:type="spellStart"/>
      <w:r>
        <w:t>aripiprazol</w:t>
      </w:r>
      <w:proofErr w:type="spellEnd"/>
      <w:r>
        <w:t xml:space="preserve"> i op til 72 måneder, var </w:t>
      </w:r>
      <w:proofErr w:type="spellStart"/>
      <w:r>
        <w:t>incidensen</w:t>
      </w:r>
      <w:proofErr w:type="spellEnd"/>
      <w:r>
        <w:t xml:space="preserve"> af lavt </w:t>
      </w:r>
      <w:proofErr w:type="spellStart"/>
      <w:r>
        <w:t>serumprolaktin</w:t>
      </w:r>
      <w:proofErr w:type="spellEnd"/>
      <w:r>
        <w:t xml:space="preserve"> hos pigerne (&lt; 3 </w:t>
      </w:r>
      <w:proofErr w:type="spellStart"/>
      <w:r>
        <w:t>ng</w:t>
      </w:r>
      <w:proofErr w:type="spellEnd"/>
      <w:r>
        <w:t xml:space="preserve">/ml) og drengene (&lt; 2 </w:t>
      </w:r>
      <w:proofErr w:type="spellStart"/>
      <w:r>
        <w:t>ng</w:t>
      </w:r>
      <w:proofErr w:type="spellEnd"/>
      <w:r>
        <w:t xml:space="preserve">/ml) henholdsvis 25,6 % og 45,0 %. </w:t>
      </w:r>
    </w:p>
    <w:p w14:paraId="2402E054" w14:textId="77777777" w:rsidR="006F253B" w:rsidRDefault="006F253B" w:rsidP="006F253B">
      <w:pPr>
        <w:pStyle w:val="Default"/>
        <w:ind w:left="851"/>
      </w:pPr>
    </w:p>
    <w:p w14:paraId="1D64AECA" w14:textId="77777777" w:rsidR="006F253B" w:rsidRDefault="006F253B" w:rsidP="006F253B">
      <w:pPr>
        <w:pStyle w:val="Default"/>
        <w:ind w:left="851"/>
      </w:pPr>
      <w:r>
        <w:t>I to længerevarende studier med unge (13</w:t>
      </w:r>
      <w:r w:rsidR="00327C0A">
        <w:t xml:space="preserve"> til </w:t>
      </w:r>
      <w:r>
        <w:t xml:space="preserve">17 år) skizofrene og bipolare patienter i behandling med </w:t>
      </w:r>
      <w:proofErr w:type="spellStart"/>
      <w:r>
        <w:t>aripiprazol</w:t>
      </w:r>
      <w:proofErr w:type="spellEnd"/>
      <w:r>
        <w:t xml:space="preserve"> var tilfælde af lavt serum </w:t>
      </w:r>
      <w:proofErr w:type="spellStart"/>
      <w:r>
        <w:t>prolaktinniveau</w:t>
      </w:r>
      <w:proofErr w:type="spellEnd"/>
      <w:r>
        <w:t xml:space="preserve"> hos kvinder (&lt;3 </w:t>
      </w:r>
      <w:proofErr w:type="spellStart"/>
      <w:r>
        <w:t>ng</w:t>
      </w:r>
      <w:proofErr w:type="spellEnd"/>
      <w:r>
        <w:t xml:space="preserve">/ml) og mænd (&lt;2 </w:t>
      </w:r>
      <w:proofErr w:type="spellStart"/>
      <w:r>
        <w:t>ng</w:t>
      </w:r>
      <w:proofErr w:type="spellEnd"/>
      <w:r>
        <w:t>/ml) henholdsvis 37,0 % og 59,4 %.</w:t>
      </w:r>
    </w:p>
    <w:p w14:paraId="3A923EAB" w14:textId="77777777" w:rsidR="006F253B" w:rsidRDefault="006F253B" w:rsidP="006F253B">
      <w:pPr>
        <w:pStyle w:val="Default"/>
        <w:ind w:left="851"/>
        <w:rPr>
          <w:i/>
          <w:iCs/>
        </w:rPr>
      </w:pPr>
    </w:p>
    <w:p w14:paraId="177B044F" w14:textId="77777777" w:rsidR="006F253B" w:rsidRDefault="006F253B" w:rsidP="006F253B">
      <w:pPr>
        <w:pStyle w:val="Default"/>
        <w:ind w:left="851"/>
      </w:pPr>
      <w:r>
        <w:rPr>
          <w:i/>
          <w:iCs/>
        </w:rPr>
        <w:t xml:space="preserve">Maniske episoder ved bipolar lidelse type I hos unge i alderen 13 år og ældre </w:t>
      </w:r>
    </w:p>
    <w:p w14:paraId="65610A89" w14:textId="77777777" w:rsidR="006F253B" w:rsidRDefault="006F253B" w:rsidP="006F253B">
      <w:pPr>
        <w:pStyle w:val="Default"/>
        <w:ind w:left="851"/>
      </w:pPr>
      <w:r>
        <w:t xml:space="preserve">Hyppigheden og typen af bivirkninger hos unge med bipolar lidelse type 1 var de samme som hos voksne med undtagelse af følgende bivirkninger: meget almindelig (≥ 1/10) døsighed (23,0 %), ekstrapyramidale symptomer (18,4 %), </w:t>
      </w:r>
      <w:proofErr w:type="spellStart"/>
      <w:r>
        <w:t>akatisi</w:t>
      </w:r>
      <w:proofErr w:type="spellEnd"/>
      <w:r>
        <w:t xml:space="preserve"> (16,0 %) og træthed (11,8 %); og almindelig (≥ 1/100 til &lt; 1/10) øvre </w:t>
      </w:r>
      <w:proofErr w:type="spellStart"/>
      <w:r>
        <w:t>abdominalsmerter</w:t>
      </w:r>
      <w:proofErr w:type="spellEnd"/>
      <w:r>
        <w:t xml:space="preserve">, øget hjertefrekvens, vægtstigning, øget appetit, muskeltrækninger og </w:t>
      </w:r>
      <w:proofErr w:type="spellStart"/>
      <w:r>
        <w:t>dyskinesi</w:t>
      </w:r>
      <w:proofErr w:type="spellEnd"/>
      <w:r>
        <w:t xml:space="preserve">. </w:t>
      </w:r>
    </w:p>
    <w:p w14:paraId="56DE20AE" w14:textId="77777777" w:rsidR="006F253B" w:rsidRDefault="006F253B" w:rsidP="006F253B">
      <w:pPr>
        <w:pStyle w:val="Default"/>
        <w:ind w:left="851"/>
      </w:pPr>
      <w:r>
        <w:t xml:space="preserve">Følgende bivirkninger har et muligt dosis-respons-forhold: ekstrapyramidale symptomer (forekomsten var 10 mg: 9,1 %; 30 mg: 28,8 %; placebo: 1,7 %). </w:t>
      </w:r>
      <w:proofErr w:type="spellStart"/>
      <w:r>
        <w:t>Akatisi</w:t>
      </w:r>
      <w:proofErr w:type="spellEnd"/>
      <w:r>
        <w:t xml:space="preserve"> (forekomsten var 10 mg: 12,1 %; 30 mg: 20,3 %; placebo: 1,7 %). </w:t>
      </w:r>
    </w:p>
    <w:p w14:paraId="2298972B" w14:textId="77777777" w:rsidR="006F253B" w:rsidRDefault="006F253B" w:rsidP="006F253B">
      <w:pPr>
        <w:pStyle w:val="Default"/>
        <w:ind w:left="851"/>
      </w:pPr>
      <w:r>
        <w:t xml:space="preserve">Hos unge med bipolar lidelse type 1 var den gennemsnitlige ændring i kropsvægt ved uge 12 og 30 henholdsvis 2,4 kg og 5,8 kg med </w:t>
      </w:r>
      <w:proofErr w:type="spellStart"/>
      <w:r>
        <w:t>aripiprazol</w:t>
      </w:r>
      <w:proofErr w:type="spellEnd"/>
      <w:r>
        <w:t xml:space="preserve"> og 0,2 kg og 2,3 kg med placebo. </w:t>
      </w:r>
    </w:p>
    <w:p w14:paraId="52EC0BEF" w14:textId="77777777" w:rsidR="006F253B" w:rsidRDefault="006F253B" w:rsidP="006F253B">
      <w:pPr>
        <w:pStyle w:val="Default"/>
        <w:ind w:left="851"/>
      </w:pPr>
      <w:r>
        <w:t xml:space="preserve">I den pædiatriske population blev der oftere observeret døsighed og træthed hos patienter med bipolar lidelse sammenlignet med patienter med skizofreni. </w:t>
      </w:r>
    </w:p>
    <w:p w14:paraId="4492BC52" w14:textId="77777777" w:rsidR="006F253B" w:rsidRDefault="006F253B" w:rsidP="006F253B">
      <w:pPr>
        <w:pStyle w:val="Default"/>
        <w:ind w:left="851"/>
      </w:pPr>
      <w:r>
        <w:t>I den pædiatriske population (10-17 år) med bipolar lidelse, som fik behandling i op til 30 uger, var forekomsten af lav serum-</w:t>
      </w:r>
      <w:proofErr w:type="spellStart"/>
      <w:r>
        <w:t>prolaktin</w:t>
      </w:r>
      <w:proofErr w:type="spellEnd"/>
      <w:r>
        <w:t xml:space="preserve"> hos piger (&lt; 3 </w:t>
      </w:r>
      <w:proofErr w:type="spellStart"/>
      <w:r>
        <w:t>ng</w:t>
      </w:r>
      <w:proofErr w:type="spellEnd"/>
      <w:r>
        <w:t xml:space="preserve">/ml) og drenge (&lt; 2 </w:t>
      </w:r>
      <w:proofErr w:type="spellStart"/>
      <w:r>
        <w:t>ng</w:t>
      </w:r>
      <w:proofErr w:type="spellEnd"/>
      <w:r>
        <w:t xml:space="preserve">/ml) henholdsvis 28,0 % og 53,3 %. </w:t>
      </w:r>
    </w:p>
    <w:p w14:paraId="4C4F703A" w14:textId="77777777" w:rsidR="006F253B" w:rsidRDefault="006F253B" w:rsidP="006F253B">
      <w:pPr>
        <w:pStyle w:val="Default"/>
        <w:tabs>
          <w:tab w:val="left" w:pos="3828"/>
        </w:tabs>
        <w:ind w:left="3828" w:hanging="2977"/>
      </w:pPr>
    </w:p>
    <w:p w14:paraId="1E914421" w14:textId="77777777" w:rsidR="006F253B" w:rsidRDefault="006F253B" w:rsidP="006F253B">
      <w:pPr>
        <w:pStyle w:val="Default"/>
        <w:tabs>
          <w:tab w:val="left" w:pos="3828"/>
        </w:tabs>
        <w:ind w:left="3828" w:hanging="2977"/>
        <w:rPr>
          <w:i/>
        </w:rPr>
      </w:pPr>
      <w:r>
        <w:rPr>
          <w:i/>
        </w:rPr>
        <w:t>Ludomani og andre forstyrrelser af impulskontrollen</w:t>
      </w:r>
    </w:p>
    <w:p w14:paraId="45EF5E69" w14:textId="77777777" w:rsidR="006F253B" w:rsidRDefault="006F253B" w:rsidP="006F253B">
      <w:pPr>
        <w:pStyle w:val="Default"/>
        <w:tabs>
          <w:tab w:val="left" w:pos="3828"/>
        </w:tabs>
        <w:ind w:left="851"/>
      </w:pPr>
      <w:r>
        <w:t xml:space="preserve">Ludomani, </w:t>
      </w:r>
      <w:proofErr w:type="spellStart"/>
      <w:r>
        <w:t>hyperseksualitet</w:t>
      </w:r>
      <w:proofErr w:type="spellEnd"/>
      <w:r>
        <w:t xml:space="preserve">, </w:t>
      </w:r>
      <w:proofErr w:type="spellStart"/>
      <w:r>
        <w:t>kompulsiv</w:t>
      </w:r>
      <w:proofErr w:type="spellEnd"/>
      <w:r>
        <w:t xml:space="preserve"> trang til indkøb og overspisning kan forekomme hos patienter, der behandles med </w:t>
      </w:r>
      <w:proofErr w:type="spellStart"/>
      <w:r>
        <w:t>aripiprazol</w:t>
      </w:r>
      <w:proofErr w:type="spellEnd"/>
      <w:r>
        <w:t xml:space="preserve"> (se pkt. 4.4).</w:t>
      </w:r>
    </w:p>
    <w:p w14:paraId="0B05B35F" w14:textId="77777777" w:rsidR="006F253B" w:rsidRDefault="006F253B" w:rsidP="006F253B">
      <w:pPr>
        <w:pStyle w:val="Default"/>
        <w:tabs>
          <w:tab w:val="left" w:pos="3828"/>
        </w:tabs>
        <w:ind w:left="3828" w:hanging="2977"/>
      </w:pPr>
    </w:p>
    <w:p w14:paraId="74BEF317" w14:textId="77777777" w:rsidR="006F253B" w:rsidRDefault="006F253B" w:rsidP="006F253B">
      <w:pPr>
        <w:autoSpaceDE w:val="0"/>
        <w:autoSpaceDN w:val="0"/>
        <w:ind w:left="851"/>
        <w:rPr>
          <w:sz w:val="24"/>
          <w:szCs w:val="24"/>
          <w:u w:val="single"/>
        </w:rPr>
      </w:pPr>
      <w:r>
        <w:rPr>
          <w:sz w:val="24"/>
          <w:szCs w:val="24"/>
          <w:u w:val="single"/>
        </w:rPr>
        <w:t>Indberetning af formodede bivirkninger</w:t>
      </w:r>
    </w:p>
    <w:p w14:paraId="5C80A04E" w14:textId="77777777" w:rsidR="006F253B" w:rsidRDefault="006F253B" w:rsidP="006F253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14:paraId="4D92C05A" w14:textId="77777777" w:rsidR="006F253B" w:rsidRDefault="006F253B" w:rsidP="006F253B">
      <w:pPr>
        <w:ind w:left="851"/>
        <w:rPr>
          <w:sz w:val="24"/>
          <w:szCs w:val="24"/>
        </w:rPr>
      </w:pPr>
    </w:p>
    <w:p w14:paraId="11EA2BBE" w14:textId="77777777" w:rsidR="006F253B" w:rsidRDefault="006F253B" w:rsidP="006F253B">
      <w:pPr>
        <w:ind w:left="851"/>
        <w:rPr>
          <w:sz w:val="24"/>
          <w:szCs w:val="24"/>
        </w:rPr>
      </w:pPr>
      <w:r>
        <w:rPr>
          <w:sz w:val="24"/>
          <w:szCs w:val="24"/>
        </w:rPr>
        <w:t>Lægemiddelstyrelsen</w:t>
      </w:r>
    </w:p>
    <w:p w14:paraId="5F9CD2D7" w14:textId="77777777" w:rsidR="006F253B" w:rsidRDefault="006F253B" w:rsidP="006F253B">
      <w:pPr>
        <w:ind w:left="851"/>
        <w:rPr>
          <w:sz w:val="24"/>
          <w:szCs w:val="24"/>
        </w:rPr>
      </w:pPr>
      <w:r>
        <w:rPr>
          <w:sz w:val="24"/>
          <w:szCs w:val="24"/>
        </w:rPr>
        <w:t>Axel Heides Gade 1</w:t>
      </w:r>
    </w:p>
    <w:p w14:paraId="1E517280" w14:textId="77777777" w:rsidR="006F253B" w:rsidRDefault="006F253B" w:rsidP="006F253B">
      <w:pPr>
        <w:ind w:left="851"/>
        <w:rPr>
          <w:sz w:val="24"/>
          <w:szCs w:val="24"/>
        </w:rPr>
      </w:pPr>
      <w:r>
        <w:rPr>
          <w:sz w:val="24"/>
          <w:szCs w:val="24"/>
        </w:rPr>
        <w:t>DK-2300 København S</w:t>
      </w:r>
    </w:p>
    <w:p w14:paraId="35A25DA9" w14:textId="77777777" w:rsidR="006F253B" w:rsidRPr="00D33DEE" w:rsidRDefault="006F253B" w:rsidP="006F253B">
      <w:pPr>
        <w:ind w:left="851"/>
        <w:rPr>
          <w:sz w:val="24"/>
          <w:szCs w:val="24"/>
        </w:rPr>
      </w:pPr>
      <w:r w:rsidRPr="00D33DEE">
        <w:rPr>
          <w:sz w:val="24"/>
          <w:szCs w:val="24"/>
        </w:rPr>
        <w:t xml:space="preserve">Websted: </w:t>
      </w:r>
      <w:hyperlink r:id="rId11" w:history="1">
        <w:r w:rsidRPr="00D33DEE">
          <w:rPr>
            <w:rStyle w:val="Hyperlink"/>
            <w:color w:val="0000FF"/>
            <w:sz w:val="24"/>
          </w:rPr>
          <w:t>www.meldenbivirkning.dk</w:t>
        </w:r>
      </w:hyperlink>
      <w:r w:rsidRPr="00D33DEE">
        <w:rPr>
          <w:sz w:val="24"/>
          <w:szCs w:val="24"/>
        </w:rPr>
        <w:t xml:space="preserve"> </w:t>
      </w:r>
    </w:p>
    <w:p w14:paraId="30EFE8F9" w14:textId="77777777" w:rsidR="006F253B" w:rsidRPr="00D33DEE" w:rsidRDefault="006F253B" w:rsidP="006F253B">
      <w:pPr>
        <w:pStyle w:val="Default"/>
        <w:tabs>
          <w:tab w:val="left" w:pos="851"/>
        </w:tabs>
      </w:pPr>
    </w:p>
    <w:p w14:paraId="7EC9645B" w14:textId="77777777" w:rsidR="006F253B" w:rsidRPr="00B968ED" w:rsidRDefault="006F253B" w:rsidP="006F253B">
      <w:pPr>
        <w:tabs>
          <w:tab w:val="left" w:pos="851"/>
        </w:tabs>
        <w:ind w:left="851" w:hanging="851"/>
        <w:rPr>
          <w:b/>
          <w:sz w:val="24"/>
          <w:szCs w:val="24"/>
        </w:rPr>
      </w:pPr>
      <w:r w:rsidRPr="00B968ED">
        <w:rPr>
          <w:b/>
          <w:sz w:val="24"/>
          <w:szCs w:val="24"/>
        </w:rPr>
        <w:t>4.9</w:t>
      </w:r>
      <w:r w:rsidRPr="00B968ED">
        <w:rPr>
          <w:b/>
          <w:sz w:val="24"/>
          <w:szCs w:val="24"/>
        </w:rPr>
        <w:tab/>
        <w:t>Overdosering</w:t>
      </w:r>
    </w:p>
    <w:p w14:paraId="0F1BF757" w14:textId="77777777" w:rsidR="006F253B" w:rsidRPr="00890137" w:rsidRDefault="006F253B" w:rsidP="006F253B">
      <w:pPr>
        <w:pStyle w:val="Default"/>
        <w:ind w:left="851"/>
        <w:rPr>
          <w:u w:val="single"/>
        </w:rPr>
      </w:pPr>
      <w:r w:rsidRPr="00890137">
        <w:rPr>
          <w:u w:val="single"/>
        </w:rPr>
        <w:t>Tegn og symptomer</w:t>
      </w:r>
    </w:p>
    <w:p w14:paraId="3EEC76E2" w14:textId="77777777" w:rsidR="006F253B" w:rsidRPr="00B968ED" w:rsidRDefault="006F253B" w:rsidP="006F253B">
      <w:pPr>
        <w:pStyle w:val="Default"/>
        <w:ind w:left="851"/>
      </w:pPr>
      <w:r w:rsidRPr="00B968ED">
        <w:lastRenderedPageBreak/>
        <w:t xml:space="preserve">Der er hos voksne patienter i kliniske studier og efter markedsføring konstateret utilsigtet eller tilsigtet overdosering med </w:t>
      </w:r>
      <w:proofErr w:type="spellStart"/>
      <w:r w:rsidRPr="00B968ED">
        <w:t>aripiprazol</w:t>
      </w:r>
      <w:proofErr w:type="spellEnd"/>
      <w:r w:rsidRPr="00B968ED">
        <w:t xml:space="preserve"> alene i estimerede doser på op til 1.260 mg uden dødsfald. De observerede, potentielt vigtige medicinske tegn og symptomer omfatter </w:t>
      </w:r>
      <w:proofErr w:type="spellStart"/>
      <w:r w:rsidRPr="00B968ED">
        <w:t>lethargi</w:t>
      </w:r>
      <w:proofErr w:type="spellEnd"/>
      <w:r w:rsidRPr="00B968ED">
        <w:t xml:space="preserve">, blodtryksstigning, døsighed, </w:t>
      </w:r>
      <w:proofErr w:type="spellStart"/>
      <w:r w:rsidRPr="00B968ED">
        <w:t>takykardi</w:t>
      </w:r>
      <w:proofErr w:type="spellEnd"/>
      <w:r w:rsidRPr="00B968ED">
        <w:t xml:space="preserve">, kvalme, opkastninger og diarré. Derudover er der rapporteret utilsigtet overdosering af </w:t>
      </w:r>
      <w:proofErr w:type="spellStart"/>
      <w:r w:rsidRPr="00B968ED">
        <w:t>aripiprazol</w:t>
      </w:r>
      <w:proofErr w:type="spellEnd"/>
      <w:r w:rsidRPr="00B968ED">
        <w:t xml:space="preserve"> alene (op til 195 mg) hos børn uden dødelighed. De potentielt alvorlige medicinske symptomer rapporteret er døsighed, forbigående bevidstløshed og ekstrapyramidale symptomer. </w:t>
      </w:r>
    </w:p>
    <w:p w14:paraId="10999160" w14:textId="77777777" w:rsidR="006F253B" w:rsidRDefault="006F253B" w:rsidP="006F253B">
      <w:pPr>
        <w:pStyle w:val="Default"/>
        <w:ind w:left="851"/>
      </w:pPr>
    </w:p>
    <w:p w14:paraId="6E6AB81C" w14:textId="77777777" w:rsidR="006F253B" w:rsidRPr="00890137" w:rsidRDefault="006F253B" w:rsidP="006F253B">
      <w:pPr>
        <w:pStyle w:val="Default"/>
        <w:ind w:left="851"/>
        <w:rPr>
          <w:u w:val="single"/>
        </w:rPr>
      </w:pPr>
      <w:r w:rsidRPr="00890137">
        <w:rPr>
          <w:u w:val="single"/>
        </w:rPr>
        <w:t>Behandling af overdosering</w:t>
      </w:r>
    </w:p>
    <w:p w14:paraId="0F25F8C5" w14:textId="77777777" w:rsidR="006F253B" w:rsidRPr="00B968ED" w:rsidRDefault="006F253B" w:rsidP="006F253B">
      <w:pPr>
        <w:pStyle w:val="Default"/>
        <w:ind w:left="851"/>
      </w:pPr>
      <w:r w:rsidRPr="00B968ED">
        <w:t xml:space="preserve">Håndtering af overdosering bør omfatte understøttende behandling, opretholdelse af frie luftveje, ilt og ventilering samt behandling af symptomerne. Muligheden for, at flere lægemidler kan være involveret, bør overvejes. </w:t>
      </w:r>
      <w:proofErr w:type="spellStart"/>
      <w:r w:rsidRPr="00B968ED">
        <w:t>Kardiovaskulær</w:t>
      </w:r>
      <w:proofErr w:type="spellEnd"/>
      <w:r w:rsidRPr="00B968ED">
        <w:t xml:space="preserve"> overvågning bør derfor straks indledes og bør omfatte løbende elektrokardiografisk overvågning med henblik på eventuelle </w:t>
      </w:r>
      <w:proofErr w:type="spellStart"/>
      <w:r w:rsidRPr="00B968ED">
        <w:t>arytmier</w:t>
      </w:r>
      <w:proofErr w:type="spellEnd"/>
      <w:r w:rsidRPr="00B968ED">
        <w:t xml:space="preserve">. Nøje medicinsk supervision og overvågning skal fortsætte, indtil patienten er i bedring efter bekræftet eller mistænkt overdosis med </w:t>
      </w:r>
      <w:proofErr w:type="spellStart"/>
      <w:r w:rsidRPr="00B968ED">
        <w:t>aripiprazol</w:t>
      </w:r>
      <w:proofErr w:type="spellEnd"/>
      <w:r w:rsidRPr="00B968ED">
        <w:t xml:space="preserve">. </w:t>
      </w:r>
    </w:p>
    <w:p w14:paraId="3EC554F0" w14:textId="77777777" w:rsidR="006F253B" w:rsidRDefault="006F253B" w:rsidP="006F253B">
      <w:pPr>
        <w:pStyle w:val="Default"/>
        <w:ind w:left="851"/>
      </w:pPr>
      <w:r w:rsidRPr="00B968ED">
        <w:t xml:space="preserve">Medicinsk kul (50 g) administreret en time efter </w:t>
      </w:r>
      <w:proofErr w:type="spellStart"/>
      <w:r w:rsidRPr="00B968ED">
        <w:t>aripiprazol</w:t>
      </w:r>
      <w:proofErr w:type="spellEnd"/>
      <w:r w:rsidRPr="00B968ED">
        <w:t xml:space="preserve"> nedsatte </w:t>
      </w:r>
      <w:proofErr w:type="spellStart"/>
      <w:r w:rsidRPr="00B968ED">
        <w:t>aripiprazols</w:t>
      </w:r>
      <w:proofErr w:type="spellEnd"/>
      <w:r w:rsidRPr="00B968ED">
        <w:t xml:space="preserve"> </w:t>
      </w:r>
      <w:proofErr w:type="spellStart"/>
      <w:r w:rsidRPr="00B968ED">
        <w:t>C</w:t>
      </w:r>
      <w:r w:rsidRPr="00B968ED">
        <w:rPr>
          <w:vertAlign w:val="subscript"/>
        </w:rPr>
        <w:t>max</w:t>
      </w:r>
      <w:proofErr w:type="spellEnd"/>
      <w:r w:rsidRPr="00B968ED">
        <w:t xml:space="preserve"> med omkring 41 % og AUC med omkring 51 %. Dette viser, at kul kan være effektivt </w:t>
      </w:r>
      <w:r>
        <w:t>i behandlingen af overdosering.</w:t>
      </w:r>
    </w:p>
    <w:p w14:paraId="33585DF2" w14:textId="77777777" w:rsidR="006F253B" w:rsidRDefault="006F253B" w:rsidP="006F253B">
      <w:pPr>
        <w:pStyle w:val="Default"/>
        <w:ind w:left="851"/>
      </w:pPr>
    </w:p>
    <w:p w14:paraId="6018CFD3" w14:textId="77777777" w:rsidR="006F253B" w:rsidRPr="00890137" w:rsidRDefault="006F253B" w:rsidP="006F253B">
      <w:pPr>
        <w:pStyle w:val="Default"/>
        <w:ind w:left="851"/>
        <w:rPr>
          <w:u w:val="single"/>
        </w:rPr>
      </w:pPr>
      <w:r w:rsidRPr="00890137">
        <w:rPr>
          <w:u w:val="single"/>
        </w:rPr>
        <w:t>Hæmodialyse</w:t>
      </w:r>
    </w:p>
    <w:p w14:paraId="32E9B35C" w14:textId="77777777" w:rsidR="006F253B" w:rsidRPr="00B968ED" w:rsidRDefault="006F253B" w:rsidP="006F253B">
      <w:pPr>
        <w:tabs>
          <w:tab w:val="left" w:pos="851"/>
        </w:tabs>
        <w:ind w:left="851" w:hanging="851"/>
        <w:rPr>
          <w:sz w:val="24"/>
          <w:szCs w:val="24"/>
        </w:rPr>
      </w:pPr>
      <w:r w:rsidRPr="00B968ED">
        <w:rPr>
          <w:sz w:val="24"/>
          <w:szCs w:val="24"/>
        </w:rPr>
        <w:tab/>
        <w:t xml:space="preserve">Selvom virkningen af hæmodialyse ved overdosering med </w:t>
      </w:r>
      <w:proofErr w:type="spellStart"/>
      <w:r w:rsidRPr="00B968ED">
        <w:rPr>
          <w:sz w:val="24"/>
          <w:szCs w:val="24"/>
        </w:rPr>
        <w:t>aripiprazol</w:t>
      </w:r>
      <w:proofErr w:type="spellEnd"/>
      <w:r w:rsidRPr="00B968ED">
        <w:rPr>
          <w:sz w:val="24"/>
          <w:szCs w:val="24"/>
        </w:rPr>
        <w:t xml:space="preserve"> ikke er undersøgt, er det ikke sandsynligt, at hæmodialyse kan anvendes til behandling af overdosering, da </w:t>
      </w:r>
      <w:proofErr w:type="spellStart"/>
      <w:r w:rsidRPr="00B968ED">
        <w:rPr>
          <w:sz w:val="24"/>
          <w:szCs w:val="24"/>
        </w:rPr>
        <w:t>aripiprazol</w:t>
      </w:r>
      <w:proofErr w:type="spellEnd"/>
      <w:r w:rsidRPr="00B968ED">
        <w:rPr>
          <w:sz w:val="24"/>
          <w:szCs w:val="24"/>
        </w:rPr>
        <w:t xml:space="preserve"> i udstrakt grad bindes til plasmaproteiner.</w:t>
      </w:r>
    </w:p>
    <w:p w14:paraId="4A92A4DE" w14:textId="77777777" w:rsidR="006F253B" w:rsidRPr="00B968ED" w:rsidRDefault="006F253B" w:rsidP="006F253B">
      <w:pPr>
        <w:tabs>
          <w:tab w:val="left" w:pos="851"/>
        </w:tabs>
        <w:rPr>
          <w:sz w:val="24"/>
          <w:szCs w:val="24"/>
        </w:rPr>
      </w:pPr>
    </w:p>
    <w:p w14:paraId="76CBA752" w14:textId="77777777" w:rsidR="006F253B" w:rsidRPr="00B968ED" w:rsidRDefault="006F253B" w:rsidP="006F253B">
      <w:pPr>
        <w:tabs>
          <w:tab w:val="left" w:pos="851"/>
        </w:tabs>
        <w:ind w:left="851" w:hanging="851"/>
        <w:rPr>
          <w:b/>
          <w:sz w:val="24"/>
          <w:szCs w:val="24"/>
        </w:rPr>
      </w:pPr>
      <w:r w:rsidRPr="00B968ED">
        <w:rPr>
          <w:b/>
          <w:sz w:val="24"/>
          <w:szCs w:val="24"/>
        </w:rPr>
        <w:t>4.10</w:t>
      </w:r>
      <w:r w:rsidRPr="00B968ED">
        <w:rPr>
          <w:b/>
          <w:sz w:val="24"/>
          <w:szCs w:val="24"/>
        </w:rPr>
        <w:tab/>
        <w:t>Udlevering</w:t>
      </w:r>
    </w:p>
    <w:p w14:paraId="7DDEEA59" w14:textId="77777777" w:rsidR="006F253B" w:rsidRPr="00B968ED" w:rsidRDefault="006F253B" w:rsidP="006F253B">
      <w:pPr>
        <w:tabs>
          <w:tab w:val="left" w:pos="851"/>
        </w:tabs>
        <w:ind w:left="851" w:hanging="851"/>
        <w:rPr>
          <w:sz w:val="24"/>
          <w:szCs w:val="24"/>
        </w:rPr>
      </w:pPr>
      <w:r w:rsidRPr="00B968ED">
        <w:rPr>
          <w:sz w:val="24"/>
          <w:szCs w:val="24"/>
        </w:rPr>
        <w:tab/>
      </w:r>
      <w:r>
        <w:rPr>
          <w:sz w:val="24"/>
          <w:szCs w:val="24"/>
        </w:rPr>
        <w:t>B</w:t>
      </w:r>
    </w:p>
    <w:p w14:paraId="6BD15862" w14:textId="77777777" w:rsidR="006F253B" w:rsidRPr="00B968ED" w:rsidRDefault="006F253B" w:rsidP="006F253B">
      <w:pPr>
        <w:tabs>
          <w:tab w:val="left" w:pos="851"/>
        </w:tabs>
        <w:rPr>
          <w:sz w:val="24"/>
          <w:szCs w:val="24"/>
        </w:rPr>
      </w:pPr>
    </w:p>
    <w:p w14:paraId="593891C6" w14:textId="77777777" w:rsidR="006F253B" w:rsidRPr="00B968ED" w:rsidRDefault="006F253B" w:rsidP="006F253B">
      <w:pPr>
        <w:tabs>
          <w:tab w:val="left" w:pos="851"/>
        </w:tabs>
        <w:rPr>
          <w:sz w:val="24"/>
          <w:szCs w:val="24"/>
        </w:rPr>
      </w:pPr>
    </w:p>
    <w:p w14:paraId="6A3D419A" w14:textId="77777777" w:rsidR="006F253B" w:rsidRPr="00B968ED" w:rsidRDefault="006F253B" w:rsidP="006F253B">
      <w:pPr>
        <w:tabs>
          <w:tab w:val="left" w:pos="851"/>
        </w:tabs>
        <w:ind w:left="851" w:hanging="851"/>
        <w:rPr>
          <w:b/>
          <w:sz w:val="24"/>
          <w:szCs w:val="24"/>
        </w:rPr>
      </w:pPr>
      <w:r w:rsidRPr="00B968ED">
        <w:rPr>
          <w:b/>
          <w:sz w:val="24"/>
          <w:szCs w:val="24"/>
        </w:rPr>
        <w:t>5.</w:t>
      </w:r>
      <w:r w:rsidRPr="00B968ED">
        <w:rPr>
          <w:b/>
          <w:sz w:val="24"/>
          <w:szCs w:val="24"/>
        </w:rPr>
        <w:tab/>
        <w:t>FARMAKOLOGISKE EGENSKABER</w:t>
      </w:r>
    </w:p>
    <w:p w14:paraId="4B0AA7A2" w14:textId="77777777" w:rsidR="006F253B" w:rsidRPr="00B968ED" w:rsidRDefault="006F253B" w:rsidP="006F253B">
      <w:pPr>
        <w:tabs>
          <w:tab w:val="left" w:pos="851"/>
        </w:tabs>
        <w:rPr>
          <w:sz w:val="24"/>
          <w:szCs w:val="24"/>
        </w:rPr>
      </w:pPr>
    </w:p>
    <w:p w14:paraId="72CDC0E6" w14:textId="77777777" w:rsidR="006F253B" w:rsidRPr="00B968ED" w:rsidRDefault="006F253B" w:rsidP="006F253B">
      <w:pPr>
        <w:tabs>
          <w:tab w:val="num" w:pos="851"/>
        </w:tabs>
        <w:ind w:left="851" w:hanging="851"/>
        <w:rPr>
          <w:b/>
          <w:sz w:val="24"/>
          <w:szCs w:val="24"/>
        </w:rPr>
      </w:pPr>
      <w:r w:rsidRPr="00B968ED">
        <w:rPr>
          <w:b/>
          <w:sz w:val="24"/>
          <w:szCs w:val="24"/>
        </w:rPr>
        <w:t>5.1</w:t>
      </w:r>
      <w:r w:rsidRPr="00B968ED">
        <w:rPr>
          <w:b/>
          <w:sz w:val="24"/>
          <w:szCs w:val="24"/>
        </w:rPr>
        <w:tab/>
      </w:r>
      <w:proofErr w:type="spellStart"/>
      <w:r w:rsidRPr="00B968ED">
        <w:rPr>
          <w:b/>
          <w:sz w:val="24"/>
          <w:szCs w:val="24"/>
        </w:rPr>
        <w:t>Farmakodynamiske</w:t>
      </w:r>
      <w:proofErr w:type="spellEnd"/>
      <w:r w:rsidRPr="00B968ED">
        <w:rPr>
          <w:b/>
          <w:sz w:val="24"/>
          <w:szCs w:val="24"/>
        </w:rPr>
        <w:t xml:space="preserve"> egenskaber</w:t>
      </w:r>
    </w:p>
    <w:p w14:paraId="5A6E2998" w14:textId="77777777" w:rsidR="00705894" w:rsidRDefault="00705894" w:rsidP="00705894">
      <w:pPr>
        <w:tabs>
          <w:tab w:val="left" w:pos="851"/>
        </w:tabs>
        <w:ind w:left="851" w:hanging="851"/>
        <w:rPr>
          <w:sz w:val="24"/>
          <w:szCs w:val="24"/>
        </w:rPr>
      </w:pPr>
      <w:r>
        <w:rPr>
          <w:sz w:val="24"/>
          <w:szCs w:val="24"/>
        </w:rPr>
        <w:tab/>
      </w:r>
      <w:proofErr w:type="spellStart"/>
      <w:r>
        <w:rPr>
          <w:sz w:val="24"/>
          <w:szCs w:val="24"/>
        </w:rPr>
        <w:t>Farmakoterapeutisk</w:t>
      </w:r>
      <w:proofErr w:type="spellEnd"/>
      <w:r>
        <w:rPr>
          <w:sz w:val="24"/>
          <w:szCs w:val="24"/>
        </w:rPr>
        <w:t xml:space="preserve"> klassifikation: </w:t>
      </w:r>
      <w:proofErr w:type="spellStart"/>
      <w:r>
        <w:rPr>
          <w:sz w:val="24"/>
          <w:szCs w:val="24"/>
        </w:rPr>
        <w:t>Psykoleptika</w:t>
      </w:r>
      <w:proofErr w:type="spellEnd"/>
      <w:r>
        <w:rPr>
          <w:sz w:val="24"/>
          <w:szCs w:val="24"/>
        </w:rPr>
        <w:t>, andre antipsykotika.</w:t>
      </w:r>
    </w:p>
    <w:p w14:paraId="4F3E97BE" w14:textId="77777777" w:rsidR="00705894" w:rsidRPr="00B968ED" w:rsidRDefault="00705894" w:rsidP="00705894">
      <w:pPr>
        <w:tabs>
          <w:tab w:val="left" w:pos="851"/>
        </w:tabs>
        <w:ind w:left="851" w:hanging="851"/>
        <w:rPr>
          <w:sz w:val="24"/>
          <w:szCs w:val="24"/>
        </w:rPr>
      </w:pPr>
      <w:r>
        <w:rPr>
          <w:sz w:val="24"/>
          <w:szCs w:val="24"/>
        </w:rPr>
        <w:tab/>
        <w:t>ATC-kode: N05AX12</w:t>
      </w:r>
    </w:p>
    <w:p w14:paraId="2F50209A" w14:textId="77777777" w:rsidR="00705894" w:rsidRDefault="00705894" w:rsidP="00705894">
      <w:pPr>
        <w:pStyle w:val="Default"/>
        <w:rPr>
          <w:u w:val="single"/>
        </w:rPr>
      </w:pPr>
    </w:p>
    <w:p w14:paraId="2FFF7FD9" w14:textId="77777777" w:rsidR="006F253B" w:rsidRDefault="006F253B" w:rsidP="006F253B">
      <w:pPr>
        <w:pStyle w:val="Default"/>
        <w:ind w:left="851"/>
        <w:rPr>
          <w:u w:val="single"/>
        </w:rPr>
      </w:pPr>
      <w:r>
        <w:rPr>
          <w:u w:val="single"/>
        </w:rPr>
        <w:t xml:space="preserve">Virkningsmekanisme </w:t>
      </w:r>
    </w:p>
    <w:p w14:paraId="77D881BE" w14:textId="77777777" w:rsidR="006F253B" w:rsidRDefault="006F253B" w:rsidP="006F253B">
      <w:pPr>
        <w:pStyle w:val="Default"/>
        <w:ind w:left="851"/>
      </w:pPr>
      <w:r>
        <w:t xml:space="preserve">Det er foreslået, at </w:t>
      </w:r>
      <w:proofErr w:type="spellStart"/>
      <w:r>
        <w:t>aripiprazols</w:t>
      </w:r>
      <w:proofErr w:type="spellEnd"/>
      <w:r>
        <w:t xml:space="preserve"> virkning på skizofreni og bipolar lidelse type 1 medieres gennem en kombination af partiel </w:t>
      </w:r>
      <w:proofErr w:type="spellStart"/>
      <w:r>
        <w:t>agonisme</w:t>
      </w:r>
      <w:proofErr w:type="spellEnd"/>
      <w:r>
        <w:t xml:space="preserve"> på dopamin D2- og serotonin 5-HT1a-receptorer samt antagonisme på serotonin 5-HT2a-receptorer. </w:t>
      </w:r>
      <w:proofErr w:type="spellStart"/>
      <w:r>
        <w:t>Aripiprazol</w:t>
      </w:r>
      <w:proofErr w:type="spellEnd"/>
      <w:r>
        <w:t xml:space="preserve"> viser antagonistiske egenskaber i dyremodeller med dopaminerg hyperaktivitet og </w:t>
      </w:r>
      <w:proofErr w:type="spellStart"/>
      <w:r>
        <w:t>agonistiske</w:t>
      </w:r>
      <w:proofErr w:type="spellEnd"/>
      <w:r>
        <w:t xml:space="preserve"> egenskaber i dyremodeller med dopaminerg </w:t>
      </w:r>
      <w:proofErr w:type="spellStart"/>
      <w:r>
        <w:t>hypoaktivitet</w:t>
      </w:r>
      <w:proofErr w:type="spellEnd"/>
      <w:r>
        <w:t xml:space="preserve">. </w:t>
      </w:r>
      <w:proofErr w:type="spellStart"/>
      <w:r>
        <w:t>Aripiprazol</w:t>
      </w:r>
      <w:proofErr w:type="spellEnd"/>
      <w:r>
        <w:t xml:space="preserve"> har høj bindingsaffinitet </w:t>
      </w:r>
      <w:r>
        <w:rPr>
          <w:i/>
          <w:iCs/>
        </w:rPr>
        <w:t xml:space="preserve">in </w:t>
      </w:r>
      <w:proofErr w:type="spellStart"/>
      <w:r>
        <w:rPr>
          <w:i/>
          <w:iCs/>
        </w:rPr>
        <w:t>vitro</w:t>
      </w:r>
      <w:proofErr w:type="spellEnd"/>
      <w:r>
        <w:rPr>
          <w:i/>
          <w:iCs/>
        </w:rPr>
        <w:t xml:space="preserve"> </w:t>
      </w:r>
      <w:r>
        <w:t xml:space="preserve">for dopamin D2- og D3-, serotonin 5-HT1a- og 5-HT2a-receptorer og moderat affinitet for dopamin D4-, serotonin 5-HT2c- og 5-HT7-, alfa 1-adrenerge og histamin H1-receptorer. </w:t>
      </w:r>
      <w:proofErr w:type="spellStart"/>
      <w:r>
        <w:t>Aripiprazol</w:t>
      </w:r>
      <w:proofErr w:type="spellEnd"/>
      <w:r>
        <w:t xml:space="preserve"> viser også moderat bindingsaffinitet for serotonin-</w:t>
      </w:r>
      <w:proofErr w:type="spellStart"/>
      <w:r>
        <w:t>reuptake</w:t>
      </w:r>
      <w:proofErr w:type="spellEnd"/>
      <w:r>
        <w:t xml:space="preserve"> site og ingen væsentlig affinitet for </w:t>
      </w:r>
      <w:proofErr w:type="spellStart"/>
      <w:r>
        <w:t>muscarine</w:t>
      </w:r>
      <w:proofErr w:type="spellEnd"/>
      <w:r>
        <w:t xml:space="preserve"> receptorer. Interaktion med andre receptorer end dopamin- og serotonin-subtyper kan forklare nogle af de andre kliniske virkninger af </w:t>
      </w:r>
      <w:proofErr w:type="spellStart"/>
      <w:r>
        <w:t>aripiprazol</w:t>
      </w:r>
      <w:proofErr w:type="spellEnd"/>
      <w:r>
        <w:t xml:space="preserve">. </w:t>
      </w:r>
    </w:p>
    <w:p w14:paraId="47F65507" w14:textId="77777777" w:rsidR="006F253B" w:rsidRDefault="006F253B" w:rsidP="006F253B">
      <w:pPr>
        <w:pStyle w:val="Default"/>
        <w:ind w:left="851"/>
      </w:pPr>
    </w:p>
    <w:p w14:paraId="5028C2E3" w14:textId="77777777" w:rsidR="006F253B" w:rsidRDefault="006F253B" w:rsidP="006F253B">
      <w:pPr>
        <w:pStyle w:val="Default"/>
        <w:ind w:left="851"/>
      </w:pPr>
      <w:r>
        <w:t xml:space="preserve">Ved administration af </w:t>
      </w:r>
      <w:proofErr w:type="spellStart"/>
      <w:r>
        <w:t>aripiprazoldoser</w:t>
      </w:r>
      <w:proofErr w:type="spellEnd"/>
      <w:r>
        <w:t xml:space="preserve"> i intervallet 0,5</w:t>
      </w:r>
      <w:r w:rsidR="00327C0A">
        <w:t xml:space="preserve"> mg til </w:t>
      </w:r>
      <w:r>
        <w:t xml:space="preserve">30 mg, en gang daglig til raske personer i 2 uger, sås dosisafhængig reduktion i bindingen af </w:t>
      </w:r>
      <w:r>
        <w:rPr>
          <w:vertAlign w:val="subscript"/>
        </w:rPr>
        <w:t>11</w:t>
      </w:r>
      <w:r>
        <w:t xml:space="preserve">C-racloprid, en D2/D3-receptorligand til </w:t>
      </w:r>
      <w:proofErr w:type="spellStart"/>
      <w:r>
        <w:t>caudatus</w:t>
      </w:r>
      <w:proofErr w:type="spellEnd"/>
      <w:r>
        <w:t xml:space="preserve"> og </w:t>
      </w:r>
      <w:proofErr w:type="spellStart"/>
      <w:r>
        <w:t>putamen</w:t>
      </w:r>
      <w:proofErr w:type="spellEnd"/>
      <w:r>
        <w:t xml:space="preserve"> påvist ved </w:t>
      </w:r>
      <w:proofErr w:type="spellStart"/>
      <w:r>
        <w:t>positronemissionstomografi</w:t>
      </w:r>
      <w:proofErr w:type="spellEnd"/>
      <w:r>
        <w:t xml:space="preserve">. </w:t>
      </w:r>
    </w:p>
    <w:p w14:paraId="46C95408" w14:textId="77777777" w:rsidR="006F253B" w:rsidRDefault="006F253B" w:rsidP="006F253B">
      <w:pPr>
        <w:pStyle w:val="Default"/>
        <w:ind w:left="851"/>
      </w:pPr>
    </w:p>
    <w:p w14:paraId="34A9A161" w14:textId="77777777" w:rsidR="006F253B" w:rsidRDefault="006F253B" w:rsidP="006F253B">
      <w:pPr>
        <w:pStyle w:val="Default"/>
        <w:keepNext/>
        <w:ind w:left="851"/>
        <w:rPr>
          <w:u w:val="single"/>
        </w:rPr>
      </w:pPr>
      <w:r>
        <w:rPr>
          <w:u w:val="single"/>
        </w:rPr>
        <w:lastRenderedPageBreak/>
        <w:t xml:space="preserve">Klinisk virkning og sikkerhed </w:t>
      </w:r>
    </w:p>
    <w:p w14:paraId="6AA0E459" w14:textId="77777777" w:rsidR="006F253B" w:rsidRDefault="006F253B" w:rsidP="006F253B">
      <w:pPr>
        <w:pStyle w:val="Default"/>
        <w:ind w:left="851"/>
        <w:rPr>
          <w:i/>
          <w:iCs/>
        </w:rPr>
      </w:pPr>
    </w:p>
    <w:p w14:paraId="39650991" w14:textId="77777777" w:rsidR="006F253B" w:rsidRDefault="006F253B" w:rsidP="006F253B">
      <w:pPr>
        <w:pStyle w:val="Default"/>
        <w:ind w:left="851"/>
        <w:rPr>
          <w:i/>
          <w:iCs/>
          <w:u w:val="single"/>
        </w:rPr>
      </w:pPr>
      <w:r>
        <w:rPr>
          <w:i/>
          <w:iCs/>
          <w:u w:val="single"/>
        </w:rPr>
        <w:t>Voksne</w:t>
      </w:r>
    </w:p>
    <w:p w14:paraId="742CD458" w14:textId="77777777" w:rsidR="006F253B" w:rsidRDefault="006F253B" w:rsidP="006F253B">
      <w:pPr>
        <w:pStyle w:val="Default"/>
        <w:ind w:left="851"/>
        <w:rPr>
          <w:i/>
          <w:iCs/>
        </w:rPr>
      </w:pPr>
    </w:p>
    <w:p w14:paraId="76DB178C" w14:textId="77777777" w:rsidR="006F253B" w:rsidRDefault="006F253B" w:rsidP="006F253B">
      <w:pPr>
        <w:pStyle w:val="Default"/>
        <w:ind w:left="851"/>
      </w:pPr>
      <w:r>
        <w:rPr>
          <w:i/>
          <w:iCs/>
        </w:rPr>
        <w:t xml:space="preserve">Skizofreni </w:t>
      </w:r>
    </w:p>
    <w:p w14:paraId="4E233F22" w14:textId="77777777" w:rsidR="006F253B" w:rsidRDefault="006F253B" w:rsidP="006F253B">
      <w:pPr>
        <w:pStyle w:val="Default"/>
        <w:ind w:left="851"/>
      </w:pPr>
      <w:r>
        <w:t xml:space="preserve">I tre korterevarende (4-6 uger), placebokontrollerede studier med 1.228 skizofrene, voksne patienter med positive eller negative symptomer var </w:t>
      </w:r>
      <w:proofErr w:type="spellStart"/>
      <w:r>
        <w:t>aripiprazol</w:t>
      </w:r>
      <w:proofErr w:type="spellEnd"/>
      <w:r>
        <w:t xml:space="preserve"> forbundet med statistisk signifikant, større forbedring i psykotiske symptomer sammenlignet med placebo. </w:t>
      </w:r>
    </w:p>
    <w:p w14:paraId="3939DD22" w14:textId="77777777" w:rsidR="006F253B" w:rsidRDefault="006F253B" w:rsidP="006F253B">
      <w:pPr>
        <w:pStyle w:val="Default"/>
        <w:ind w:left="851"/>
      </w:pPr>
      <w:proofErr w:type="spellStart"/>
      <w:r>
        <w:t>Aripiprazol</w:t>
      </w:r>
      <w:proofErr w:type="spellEnd"/>
      <w:r>
        <w:t xml:space="preserve"> er effektivt til at opretholde klinisk forbedring under fortsættelsesbehandling hos voksne patienter med respons på den indledende behandling. I et kontrolleret studie med </w:t>
      </w:r>
      <w:proofErr w:type="spellStart"/>
      <w:r>
        <w:t>haloperidol</w:t>
      </w:r>
      <w:proofErr w:type="spellEnd"/>
      <w:r>
        <w:t xml:space="preserve"> var andelen af responderende patienter, der opretholdt respons på lægemidlet efter 52 uger, den samme i begge grupper (</w:t>
      </w:r>
      <w:proofErr w:type="spellStart"/>
      <w:r>
        <w:t>aripiprazol</w:t>
      </w:r>
      <w:proofErr w:type="spellEnd"/>
      <w:r>
        <w:t xml:space="preserve"> 77 % og </w:t>
      </w:r>
      <w:proofErr w:type="spellStart"/>
      <w:r>
        <w:t>haloperidol</w:t>
      </w:r>
      <w:proofErr w:type="spellEnd"/>
      <w:r>
        <w:t xml:space="preserve"> 73 %). Andelen af patienter, der gennemførte studiet, var signifikant højere for patienter i behandling med </w:t>
      </w:r>
      <w:proofErr w:type="spellStart"/>
      <w:r>
        <w:t>aripiprazol</w:t>
      </w:r>
      <w:proofErr w:type="spellEnd"/>
      <w:r>
        <w:t xml:space="preserve"> (43 %) end med </w:t>
      </w:r>
      <w:proofErr w:type="spellStart"/>
      <w:r>
        <w:t>halperidol</w:t>
      </w:r>
      <w:proofErr w:type="spellEnd"/>
      <w:r>
        <w:t xml:space="preserve"> (30 %). Faktiske scorer på bedømmelsesskalaer anvendt som sekundære endepunkt, herunder PANSS og Montgomery-</w:t>
      </w:r>
      <w:proofErr w:type="spellStart"/>
      <w:r>
        <w:t>Asberg</w:t>
      </w:r>
      <w:proofErr w:type="spellEnd"/>
      <w:r>
        <w:t xml:space="preserve"> Depression Rating </w:t>
      </w:r>
      <w:proofErr w:type="spellStart"/>
      <w:r>
        <w:t>Scale</w:t>
      </w:r>
      <w:proofErr w:type="spellEnd"/>
      <w:r>
        <w:t xml:space="preserve">, viste en signifikant forbedring i forhold til </w:t>
      </w:r>
      <w:proofErr w:type="spellStart"/>
      <w:r>
        <w:t>haloperidol</w:t>
      </w:r>
      <w:proofErr w:type="spellEnd"/>
      <w:r>
        <w:t xml:space="preserve">. </w:t>
      </w:r>
    </w:p>
    <w:p w14:paraId="7BE53CC3" w14:textId="77777777" w:rsidR="006F253B" w:rsidRDefault="006F253B" w:rsidP="006F253B">
      <w:pPr>
        <w:pStyle w:val="Default"/>
        <w:ind w:left="851"/>
      </w:pPr>
    </w:p>
    <w:p w14:paraId="2458F5C2" w14:textId="77777777" w:rsidR="006F253B" w:rsidRDefault="006F253B" w:rsidP="006F253B">
      <w:pPr>
        <w:pStyle w:val="Default"/>
        <w:ind w:left="851"/>
      </w:pPr>
      <w:r>
        <w:t xml:space="preserve">I et 26-ugers, placebokontrolleret studie med voksne stabiliserede patienter med kronisk skizofreni var </w:t>
      </w:r>
      <w:proofErr w:type="spellStart"/>
      <w:r>
        <w:t>aripiprazol</w:t>
      </w:r>
      <w:proofErr w:type="spellEnd"/>
      <w:r>
        <w:t xml:space="preserve"> forbundet med en signifikant større reduktion i tilbagefaldsraten; 34 % i </w:t>
      </w:r>
      <w:proofErr w:type="spellStart"/>
      <w:r>
        <w:t>aripiprazol</w:t>
      </w:r>
      <w:proofErr w:type="spellEnd"/>
      <w:r>
        <w:t xml:space="preserve">-gruppen og 57 % i placebo. </w:t>
      </w:r>
    </w:p>
    <w:p w14:paraId="03D8E321" w14:textId="77777777" w:rsidR="006F253B" w:rsidRDefault="006F253B" w:rsidP="006F253B">
      <w:pPr>
        <w:pStyle w:val="Default"/>
        <w:ind w:left="851"/>
      </w:pPr>
    </w:p>
    <w:p w14:paraId="328E1FB0" w14:textId="77777777" w:rsidR="006F253B" w:rsidRDefault="006F253B" w:rsidP="006F253B">
      <w:pPr>
        <w:pStyle w:val="Default"/>
        <w:ind w:left="851"/>
        <w:rPr>
          <w:i/>
          <w:iCs/>
        </w:rPr>
      </w:pPr>
      <w:r>
        <w:rPr>
          <w:i/>
          <w:iCs/>
        </w:rPr>
        <w:t>Vægtøgning</w:t>
      </w:r>
    </w:p>
    <w:p w14:paraId="11626D58" w14:textId="77777777" w:rsidR="006F253B" w:rsidRDefault="006F253B" w:rsidP="006F253B">
      <w:pPr>
        <w:pStyle w:val="Default"/>
        <w:ind w:left="851"/>
      </w:pPr>
      <w:proofErr w:type="spellStart"/>
      <w:r>
        <w:t>Aripiprazol</w:t>
      </w:r>
      <w:proofErr w:type="spellEnd"/>
      <w:r>
        <w:t xml:space="preserve"> har i kliniske studier ikke vist at forårsage klinisk relevante vægtstigninger. I et 26-ugers, kontrolleret, dobbeltblindt, multinationalt studie med </w:t>
      </w:r>
      <w:proofErr w:type="spellStart"/>
      <w:r>
        <w:t>olanzapin</w:t>
      </w:r>
      <w:proofErr w:type="spellEnd"/>
      <w:r>
        <w:t xml:space="preserve"> til behandling af skizofreni, som inkluderede 314 voksne patienter, og hvor det primære endepunkt var vægtstigning, fandtes signifikant færre patienter at have 7 % eller yderligere vægtstigning i forhold til </w:t>
      </w:r>
      <w:r>
        <w:rPr>
          <w:i/>
          <w:iCs/>
        </w:rPr>
        <w:t xml:space="preserve">baseline </w:t>
      </w:r>
      <w:r>
        <w:t xml:space="preserve">(dvs. en stigning på mindst 5,6 kg for en middel-baselinevægt på </w:t>
      </w:r>
      <w:r>
        <w:rPr>
          <w:rFonts w:ascii="Cambria Math" w:hAnsi="Cambria Math" w:cs="Cambria Math"/>
        </w:rPr>
        <w:t>∼</w:t>
      </w:r>
      <w:r>
        <w:t xml:space="preserve">80,5 kg) med </w:t>
      </w:r>
      <w:proofErr w:type="spellStart"/>
      <w:r>
        <w:t>aripiprazol</w:t>
      </w:r>
      <w:proofErr w:type="spellEnd"/>
      <w:r>
        <w:t xml:space="preserve"> (n = 18 eller 13 % af de </w:t>
      </w:r>
      <w:proofErr w:type="spellStart"/>
      <w:r>
        <w:t>evaluerbare</w:t>
      </w:r>
      <w:proofErr w:type="spellEnd"/>
      <w:r>
        <w:t xml:space="preserve"> patienter) sammenlignet med </w:t>
      </w:r>
      <w:proofErr w:type="spellStart"/>
      <w:r>
        <w:t>olanzapin</w:t>
      </w:r>
      <w:proofErr w:type="spellEnd"/>
      <w:r>
        <w:t xml:space="preserve"> (n = 45 eller 33 % af de </w:t>
      </w:r>
      <w:proofErr w:type="spellStart"/>
      <w:r>
        <w:t>evaluerbare</w:t>
      </w:r>
      <w:proofErr w:type="spellEnd"/>
      <w:r>
        <w:t xml:space="preserve"> patienter). </w:t>
      </w:r>
    </w:p>
    <w:p w14:paraId="08098A9C" w14:textId="77777777" w:rsidR="006F253B" w:rsidRDefault="006F253B" w:rsidP="006F253B">
      <w:pPr>
        <w:pStyle w:val="Default"/>
        <w:ind w:left="851"/>
      </w:pPr>
    </w:p>
    <w:p w14:paraId="71173AA4" w14:textId="77777777" w:rsidR="006F253B" w:rsidRDefault="006F253B" w:rsidP="006F253B">
      <w:pPr>
        <w:pStyle w:val="Default"/>
        <w:ind w:left="851"/>
        <w:rPr>
          <w:i/>
          <w:iCs/>
        </w:rPr>
      </w:pPr>
      <w:r>
        <w:rPr>
          <w:i/>
          <w:iCs/>
        </w:rPr>
        <w:t>Lipidparametre</w:t>
      </w:r>
    </w:p>
    <w:p w14:paraId="233199B8" w14:textId="77777777" w:rsidR="00327C0A" w:rsidRDefault="00327C0A" w:rsidP="00327C0A">
      <w:pPr>
        <w:pStyle w:val="Default"/>
        <w:ind w:left="851"/>
      </w:pPr>
      <w:r>
        <w:rPr>
          <w:iCs/>
        </w:rPr>
        <w:t>I</w:t>
      </w:r>
      <w:r>
        <w:t xml:space="preserve"> en samlet analyse af lipidparametre fra placebokontrollerede kliniske studie med voksne har </w:t>
      </w:r>
      <w:proofErr w:type="spellStart"/>
      <w:r>
        <w:t>aripiprazol</w:t>
      </w:r>
      <w:proofErr w:type="spellEnd"/>
      <w:r>
        <w:t xml:space="preserve"> vist ikke at inducere klinisk relevante ændringer i totalkolesterol, triglycerider, HDL </w:t>
      </w:r>
      <w:commentRangeStart w:id="11"/>
      <w:r w:rsidRPr="001D4BC0">
        <w:t>(</w:t>
      </w:r>
      <w:proofErr w:type="spellStart"/>
      <w:r w:rsidRPr="001D4BC0">
        <w:t>højdensitetslipoprotein</w:t>
      </w:r>
      <w:commentRangeEnd w:id="11"/>
      <w:proofErr w:type="spellEnd"/>
      <w:r>
        <w:rPr>
          <w:rStyle w:val="Kommentarhenvisning"/>
          <w:color w:val="auto"/>
        </w:rPr>
        <w:commentReference w:id="11"/>
      </w:r>
      <w:r w:rsidRPr="001D4BC0">
        <w:t>)</w:t>
      </w:r>
      <w:r>
        <w:t xml:space="preserve"> og LDL </w:t>
      </w:r>
      <w:commentRangeStart w:id="12"/>
      <w:r w:rsidRPr="001D4BC0">
        <w:t>(</w:t>
      </w:r>
      <w:proofErr w:type="spellStart"/>
      <w:r w:rsidRPr="001D4BC0">
        <w:t>lavdensitetslipoprotein</w:t>
      </w:r>
      <w:proofErr w:type="spellEnd"/>
      <w:r w:rsidRPr="001D4BC0">
        <w:t>)</w:t>
      </w:r>
      <w:r>
        <w:t xml:space="preserve">. </w:t>
      </w:r>
      <w:commentRangeEnd w:id="12"/>
      <w:r>
        <w:rPr>
          <w:rStyle w:val="Kommentarhenvisning"/>
          <w:color w:val="auto"/>
        </w:rPr>
        <w:commentReference w:id="12"/>
      </w:r>
    </w:p>
    <w:p w14:paraId="40E2F04D" w14:textId="77777777" w:rsidR="006F253B" w:rsidRDefault="006F253B" w:rsidP="006F253B">
      <w:pPr>
        <w:pStyle w:val="Default"/>
        <w:ind w:left="851"/>
      </w:pPr>
    </w:p>
    <w:p w14:paraId="5D298640" w14:textId="77777777" w:rsidR="006F253B" w:rsidRDefault="006F253B" w:rsidP="006F253B">
      <w:pPr>
        <w:pStyle w:val="Default"/>
        <w:ind w:firstLine="851"/>
      </w:pPr>
      <w:proofErr w:type="spellStart"/>
      <w:r>
        <w:rPr>
          <w:i/>
          <w:iCs/>
        </w:rPr>
        <w:t>Prolaktin</w:t>
      </w:r>
      <w:proofErr w:type="spellEnd"/>
      <w:r>
        <w:rPr>
          <w:i/>
          <w:iCs/>
        </w:rPr>
        <w:t xml:space="preserve"> </w:t>
      </w:r>
    </w:p>
    <w:p w14:paraId="1D101BA5" w14:textId="77777777" w:rsidR="006F253B" w:rsidRDefault="006F253B" w:rsidP="006F253B">
      <w:pPr>
        <w:pStyle w:val="Default"/>
        <w:ind w:left="851"/>
      </w:pPr>
      <w:proofErr w:type="spellStart"/>
      <w:r>
        <w:t>Prolaktin</w:t>
      </w:r>
      <w:proofErr w:type="spellEnd"/>
      <w:r>
        <w:t xml:space="preserve">-niveauerne blev vurderet i alle studier og ved alle doser af </w:t>
      </w:r>
      <w:proofErr w:type="spellStart"/>
      <w:r>
        <w:t>aripiprazol</w:t>
      </w:r>
      <w:proofErr w:type="spellEnd"/>
      <w:r>
        <w:t xml:space="preserve"> (n = 28.242). Forekomsten af </w:t>
      </w:r>
      <w:proofErr w:type="spellStart"/>
      <w:r>
        <w:t>hyperprolaktinæmi</w:t>
      </w:r>
      <w:proofErr w:type="spellEnd"/>
      <w:r>
        <w:t xml:space="preserve"> eller forhøjet </w:t>
      </w:r>
      <w:proofErr w:type="spellStart"/>
      <w:r>
        <w:t>serumprolaktin</w:t>
      </w:r>
      <w:proofErr w:type="spellEnd"/>
      <w:r>
        <w:t xml:space="preserve"> i </w:t>
      </w:r>
      <w:proofErr w:type="spellStart"/>
      <w:r>
        <w:t>aripiprazol</w:t>
      </w:r>
      <w:proofErr w:type="spellEnd"/>
      <w:r>
        <w:t xml:space="preserve">-gruppen (0,3 %) svarede til forekomsten i </w:t>
      </w:r>
      <w:proofErr w:type="spellStart"/>
      <w:r>
        <w:t>placebo-gruppen</w:t>
      </w:r>
      <w:proofErr w:type="spellEnd"/>
      <w:r>
        <w:t xml:space="preserve"> (0,2 %). Hos de patienter, der fik </w:t>
      </w:r>
      <w:proofErr w:type="spellStart"/>
      <w:r>
        <w:t>aripiprazol</w:t>
      </w:r>
      <w:proofErr w:type="spellEnd"/>
      <w:r>
        <w:t xml:space="preserve">, var mediantiden til debut 42 dage og medianvarigheden 34 dage. </w:t>
      </w:r>
    </w:p>
    <w:p w14:paraId="0E014CFB" w14:textId="77777777" w:rsidR="006F253B" w:rsidRDefault="006F253B" w:rsidP="006F253B">
      <w:pPr>
        <w:pStyle w:val="Default"/>
        <w:ind w:left="851"/>
      </w:pPr>
      <w:r>
        <w:t xml:space="preserve">Forekomsten af </w:t>
      </w:r>
      <w:proofErr w:type="spellStart"/>
      <w:r>
        <w:t>hypoprolaktinæmi</w:t>
      </w:r>
      <w:proofErr w:type="spellEnd"/>
      <w:r>
        <w:t xml:space="preserve"> eller nedsat </w:t>
      </w:r>
      <w:proofErr w:type="spellStart"/>
      <w:r>
        <w:t>serumprolaktin</w:t>
      </w:r>
      <w:proofErr w:type="spellEnd"/>
      <w:r>
        <w:t xml:space="preserve"> i </w:t>
      </w:r>
      <w:proofErr w:type="spellStart"/>
      <w:r>
        <w:t>aripiprazol</w:t>
      </w:r>
      <w:proofErr w:type="spellEnd"/>
      <w:r>
        <w:t xml:space="preserve">-gruppen var 0,4 %, mens den var 0,02 % i </w:t>
      </w:r>
      <w:proofErr w:type="spellStart"/>
      <w:r>
        <w:t>placebo-gruppen</w:t>
      </w:r>
      <w:proofErr w:type="spellEnd"/>
      <w:r>
        <w:t xml:space="preserve">. Hos de patienter, der fik </w:t>
      </w:r>
      <w:proofErr w:type="spellStart"/>
      <w:r>
        <w:t>aripiprazol</w:t>
      </w:r>
      <w:proofErr w:type="spellEnd"/>
      <w:r>
        <w:t>, var mediantiden til debut 30 dage og medianvarigheden 194 dage.</w:t>
      </w:r>
    </w:p>
    <w:p w14:paraId="62F2E9F6" w14:textId="77777777" w:rsidR="006F253B" w:rsidRDefault="006F253B" w:rsidP="006F253B">
      <w:pPr>
        <w:pStyle w:val="Default"/>
        <w:ind w:left="851"/>
      </w:pPr>
    </w:p>
    <w:p w14:paraId="1C0665BA" w14:textId="77777777" w:rsidR="006F253B" w:rsidRDefault="006F253B" w:rsidP="006F253B">
      <w:pPr>
        <w:pStyle w:val="Default"/>
        <w:ind w:left="851"/>
      </w:pPr>
      <w:r>
        <w:rPr>
          <w:i/>
          <w:iCs/>
        </w:rPr>
        <w:t xml:space="preserve">Maniske episoder ved bipolar lidelse type I </w:t>
      </w:r>
    </w:p>
    <w:p w14:paraId="3C793E80" w14:textId="77777777" w:rsidR="006F253B" w:rsidRDefault="006F253B" w:rsidP="006F253B">
      <w:pPr>
        <w:pStyle w:val="Default"/>
        <w:ind w:left="851"/>
      </w:pPr>
      <w:r>
        <w:t xml:space="preserve">I to 3-ugers, placebokontrollerede monoterapi-studier med fleksible doser med patienter med manisk eller blandet episode af bipolar lidelse type 1 viste </w:t>
      </w:r>
      <w:proofErr w:type="spellStart"/>
      <w:r>
        <w:t>aripiprazol</w:t>
      </w:r>
      <w:proofErr w:type="spellEnd"/>
      <w:r>
        <w:t xml:space="preserve"> bedre effekt end placebo til reduktion af de maniske symptomer over 3 uger. Disse studier inkluderede patienter med eller uden psykotiske træk og med eller uden et hurtigt skiftende forløb (rapid </w:t>
      </w:r>
      <w:proofErr w:type="spellStart"/>
      <w:r>
        <w:t>cycling</w:t>
      </w:r>
      <w:proofErr w:type="spellEnd"/>
      <w:r>
        <w:t xml:space="preserve"> </w:t>
      </w:r>
      <w:proofErr w:type="spellStart"/>
      <w:r>
        <w:t>course</w:t>
      </w:r>
      <w:proofErr w:type="spellEnd"/>
      <w:r>
        <w:t xml:space="preserve">). </w:t>
      </w:r>
    </w:p>
    <w:p w14:paraId="125F9B9B" w14:textId="77777777" w:rsidR="006F253B" w:rsidRDefault="006F253B" w:rsidP="006F253B">
      <w:pPr>
        <w:pStyle w:val="Default"/>
        <w:ind w:left="851"/>
      </w:pPr>
      <w:r>
        <w:lastRenderedPageBreak/>
        <w:t xml:space="preserve">I et 3-ugers, placebokontrolleret monoterapi-studie med fast dosis med patienter med manisk eller blandet episode med bipolar lidelse type 1 havde </w:t>
      </w:r>
      <w:proofErr w:type="spellStart"/>
      <w:r>
        <w:t>aripiprazol</w:t>
      </w:r>
      <w:proofErr w:type="spellEnd"/>
      <w:r>
        <w:t xml:space="preserve"> ikke bedre effekt end placebo. </w:t>
      </w:r>
    </w:p>
    <w:p w14:paraId="78E13A62" w14:textId="77777777" w:rsidR="006F253B" w:rsidRDefault="006F253B" w:rsidP="006F253B">
      <w:pPr>
        <w:pStyle w:val="Default"/>
        <w:ind w:left="851"/>
      </w:pPr>
      <w:r>
        <w:t xml:space="preserve">I to 12-ugers, placebo- og aktivt kontrollerede monoterapi-studier med patienter med en manisk eller blandet episode af bipolar lidelse type 1, med eller uden psykotiske træk, havde </w:t>
      </w:r>
      <w:proofErr w:type="spellStart"/>
      <w:r>
        <w:t>aripiprazol</w:t>
      </w:r>
      <w:proofErr w:type="spellEnd"/>
      <w:r>
        <w:t xml:space="preserve"> bedre effekt end placebo ved uge 3 og en opretholdelse af effekt sammenlignelig med </w:t>
      </w:r>
      <w:proofErr w:type="spellStart"/>
      <w:r>
        <w:t>lithium</w:t>
      </w:r>
      <w:proofErr w:type="spellEnd"/>
      <w:r>
        <w:t xml:space="preserve"> eller </w:t>
      </w:r>
      <w:proofErr w:type="spellStart"/>
      <w:r>
        <w:t>haloperidol</w:t>
      </w:r>
      <w:proofErr w:type="spellEnd"/>
      <w:r>
        <w:t xml:space="preserve"> ved uge 12. Andelen af patienter i symptomatisk bedring fra mani var også sammenlignelig mellem </w:t>
      </w:r>
      <w:proofErr w:type="spellStart"/>
      <w:r>
        <w:t>aripiprazol</w:t>
      </w:r>
      <w:proofErr w:type="spellEnd"/>
      <w:r>
        <w:t xml:space="preserve"> og </w:t>
      </w:r>
      <w:proofErr w:type="spellStart"/>
      <w:r>
        <w:t>lithium</w:t>
      </w:r>
      <w:proofErr w:type="spellEnd"/>
      <w:r>
        <w:t xml:space="preserve"> eller </w:t>
      </w:r>
      <w:proofErr w:type="spellStart"/>
      <w:r>
        <w:t>haloperidol</w:t>
      </w:r>
      <w:proofErr w:type="spellEnd"/>
      <w:r>
        <w:t xml:space="preserve"> ved uge 12. </w:t>
      </w:r>
    </w:p>
    <w:p w14:paraId="7389C0D4" w14:textId="77777777" w:rsidR="00327C0A" w:rsidRDefault="00327C0A" w:rsidP="00327C0A">
      <w:pPr>
        <w:pStyle w:val="Default"/>
        <w:ind w:left="851"/>
      </w:pPr>
      <w:r>
        <w:t xml:space="preserve">I et 6-ugers, placebokontrolleret studie med patienter med manisk eller blandet episode af bipolar lidelse type 1, med eller uden psykotiske træk, som havde delvist manglende respons på monoterapi med </w:t>
      </w:r>
      <w:proofErr w:type="spellStart"/>
      <w:r>
        <w:t>lithium</w:t>
      </w:r>
      <w:proofErr w:type="spellEnd"/>
      <w:r>
        <w:t xml:space="preserve"> eller </w:t>
      </w:r>
      <w:proofErr w:type="spellStart"/>
      <w:r>
        <w:t>valproat</w:t>
      </w:r>
      <w:proofErr w:type="spellEnd"/>
      <w:r>
        <w:t xml:space="preserve"> efter 2 uger med terapeutiske serumniveauer, medførte tillæg af </w:t>
      </w:r>
      <w:proofErr w:type="spellStart"/>
      <w:r>
        <w:t>aripiprazol</w:t>
      </w:r>
      <w:proofErr w:type="spellEnd"/>
      <w:r>
        <w:t xml:space="preserve"> en forbedring af reduktionen af de maniske symptomer i forhold til monoterapi med </w:t>
      </w:r>
      <w:proofErr w:type="spellStart"/>
      <w:r>
        <w:t>lithium</w:t>
      </w:r>
      <w:proofErr w:type="spellEnd"/>
      <w:r>
        <w:t xml:space="preserve"> eller </w:t>
      </w:r>
      <w:proofErr w:type="spellStart"/>
      <w:r>
        <w:t>valproat</w:t>
      </w:r>
      <w:proofErr w:type="spellEnd"/>
      <w:r>
        <w:t xml:space="preserve">. </w:t>
      </w:r>
    </w:p>
    <w:p w14:paraId="06B76F58" w14:textId="77777777" w:rsidR="00327C0A" w:rsidRDefault="00327C0A" w:rsidP="00327C0A">
      <w:pPr>
        <w:pStyle w:val="Default"/>
        <w:ind w:left="851"/>
      </w:pPr>
      <w:r>
        <w:t xml:space="preserve">I et 26-ugers, placebokontrolleret studie, efterfulgt af en 74-ugers forlængelse, med maniske patienter, som oplevede bedring med </w:t>
      </w:r>
      <w:proofErr w:type="spellStart"/>
      <w:r>
        <w:t>aripiprazol</w:t>
      </w:r>
      <w:proofErr w:type="spellEnd"/>
      <w:r>
        <w:t xml:space="preserve"> under en stabiliseringsfase inden </w:t>
      </w:r>
      <w:proofErr w:type="spellStart"/>
      <w:r>
        <w:t>randomisering</w:t>
      </w:r>
      <w:proofErr w:type="spellEnd"/>
      <w:r>
        <w:t xml:space="preserve">, havde </w:t>
      </w:r>
      <w:proofErr w:type="spellStart"/>
      <w:r>
        <w:t>aripiprazol</w:t>
      </w:r>
      <w:proofErr w:type="spellEnd"/>
      <w:r>
        <w:t xml:space="preserve"> bedre effekt end placebo ved forebyggelse af </w:t>
      </w:r>
      <w:proofErr w:type="gramStart"/>
      <w:r>
        <w:t>bipolar tilbagefald</w:t>
      </w:r>
      <w:proofErr w:type="gramEnd"/>
      <w:r>
        <w:t xml:space="preserve">, primært ved at forebygge tilbagefald af mani, men havde ikke bedre effekt end placebo ved forebyggelse af tilbagefald af depression. </w:t>
      </w:r>
    </w:p>
    <w:p w14:paraId="46372CDB" w14:textId="77777777" w:rsidR="00327C0A" w:rsidRDefault="00327C0A" w:rsidP="00327C0A">
      <w:pPr>
        <w:tabs>
          <w:tab w:val="left" w:pos="851"/>
        </w:tabs>
        <w:ind w:left="851" w:hanging="851"/>
        <w:rPr>
          <w:sz w:val="24"/>
          <w:szCs w:val="24"/>
        </w:rPr>
      </w:pPr>
      <w:r>
        <w:rPr>
          <w:sz w:val="24"/>
          <w:szCs w:val="24"/>
        </w:rPr>
        <w:tab/>
        <w:t xml:space="preserve">I et 52-ugers, placebokontrolleret studie med patienter med en aktuel manisk eller blandet episode af bipolar lidelse type 1, som opnåede vedvarende bedring </w:t>
      </w:r>
      <w:commentRangeStart w:id="13"/>
      <w:r w:rsidRPr="001D4BC0">
        <w:rPr>
          <w:sz w:val="24"/>
          <w:szCs w:val="24"/>
        </w:rPr>
        <w:t xml:space="preserve">(Young Mania Rating </w:t>
      </w:r>
      <w:proofErr w:type="spellStart"/>
      <w:r w:rsidRPr="001D4BC0">
        <w:rPr>
          <w:sz w:val="24"/>
          <w:szCs w:val="24"/>
        </w:rPr>
        <w:t>Scale</w:t>
      </w:r>
      <w:proofErr w:type="spellEnd"/>
      <w:r w:rsidRPr="001D4BC0">
        <w:rPr>
          <w:sz w:val="24"/>
          <w:szCs w:val="24"/>
        </w:rPr>
        <w:t xml:space="preserve"> [YMRS] </w:t>
      </w:r>
      <w:r>
        <w:rPr>
          <w:sz w:val="24"/>
          <w:szCs w:val="24"/>
        </w:rPr>
        <w:t xml:space="preserve">og MADRS med totalscore ≤ 12) med </w:t>
      </w:r>
      <w:proofErr w:type="spellStart"/>
      <w:r>
        <w:rPr>
          <w:sz w:val="24"/>
          <w:szCs w:val="24"/>
        </w:rPr>
        <w:t>aripiprazol</w:t>
      </w:r>
      <w:proofErr w:type="spellEnd"/>
      <w:r>
        <w:rPr>
          <w:sz w:val="24"/>
          <w:szCs w:val="24"/>
        </w:rPr>
        <w:t xml:space="preserve"> (10 mg/</w:t>
      </w:r>
      <w:commentRangeEnd w:id="13"/>
      <w:r>
        <w:rPr>
          <w:rStyle w:val="Kommentarhenvisning"/>
          <w:lang w:eastAsia="da-DK"/>
        </w:rPr>
        <w:commentReference w:id="13"/>
      </w:r>
      <w:r>
        <w:rPr>
          <w:sz w:val="24"/>
          <w:szCs w:val="24"/>
        </w:rPr>
        <w:t xml:space="preserve">dag til 30 mg/dag) som tillægsbehandling til </w:t>
      </w:r>
      <w:proofErr w:type="spellStart"/>
      <w:r>
        <w:rPr>
          <w:sz w:val="24"/>
          <w:szCs w:val="24"/>
        </w:rPr>
        <w:t>lithium</w:t>
      </w:r>
      <w:proofErr w:type="spellEnd"/>
      <w:r>
        <w:rPr>
          <w:sz w:val="24"/>
          <w:szCs w:val="24"/>
        </w:rPr>
        <w:t xml:space="preserve"> eller </w:t>
      </w:r>
      <w:proofErr w:type="spellStart"/>
      <w:r>
        <w:rPr>
          <w:sz w:val="24"/>
          <w:szCs w:val="24"/>
        </w:rPr>
        <w:t>valproat</w:t>
      </w:r>
      <w:proofErr w:type="spellEnd"/>
      <w:r>
        <w:rPr>
          <w:sz w:val="24"/>
          <w:szCs w:val="24"/>
        </w:rPr>
        <w:t xml:space="preserve"> i 12 sammenhængende uger, havde tillægsbehandling med </w:t>
      </w:r>
      <w:proofErr w:type="spellStart"/>
      <w:r>
        <w:rPr>
          <w:sz w:val="24"/>
          <w:szCs w:val="24"/>
        </w:rPr>
        <w:t>aripiprazol</w:t>
      </w:r>
      <w:proofErr w:type="spellEnd"/>
      <w:r>
        <w:rPr>
          <w:sz w:val="24"/>
          <w:szCs w:val="24"/>
        </w:rPr>
        <w:t xml:space="preserve"> overlegenhed i forhold til placebo som tillægsbehandling med en 46 % reduceret risiko (</w:t>
      </w:r>
      <w:proofErr w:type="spellStart"/>
      <w:r>
        <w:rPr>
          <w:sz w:val="24"/>
          <w:szCs w:val="24"/>
        </w:rPr>
        <w:t>hazard</w:t>
      </w:r>
      <w:proofErr w:type="spellEnd"/>
      <w:r>
        <w:rPr>
          <w:sz w:val="24"/>
          <w:szCs w:val="24"/>
        </w:rPr>
        <w:t xml:space="preserve"> ratio på 0,54) for tilbagefald af bipolar lidelse og en 65 % reduceret risiko (</w:t>
      </w:r>
      <w:proofErr w:type="spellStart"/>
      <w:r>
        <w:rPr>
          <w:sz w:val="24"/>
          <w:szCs w:val="24"/>
        </w:rPr>
        <w:t>hazard</w:t>
      </w:r>
      <w:proofErr w:type="spellEnd"/>
      <w:r>
        <w:rPr>
          <w:sz w:val="24"/>
          <w:szCs w:val="24"/>
        </w:rPr>
        <w:t xml:space="preserve"> risiko på 0,35) for tilbagefald af mani, mens der ikke kunne påvises overlegenhed i forhold til placebo til forebyggelse af tilbagefald af depression. </w:t>
      </w:r>
      <w:proofErr w:type="spellStart"/>
      <w:r>
        <w:rPr>
          <w:sz w:val="24"/>
          <w:szCs w:val="24"/>
        </w:rPr>
        <w:t>Aripiprazol</w:t>
      </w:r>
      <w:proofErr w:type="spellEnd"/>
      <w:r>
        <w:rPr>
          <w:sz w:val="24"/>
          <w:szCs w:val="24"/>
        </w:rPr>
        <w:t xml:space="preserve"> som tillægsbehandling viste sig overlegen i forhold til placebo for det sekundære endepunkt </w:t>
      </w:r>
      <w:commentRangeStart w:id="14"/>
      <w:r>
        <w:rPr>
          <w:sz w:val="24"/>
          <w:szCs w:val="24"/>
        </w:rPr>
        <w:t xml:space="preserve">i </w:t>
      </w:r>
      <w:proofErr w:type="spellStart"/>
      <w:r w:rsidRPr="001D4BC0">
        <w:rPr>
          <w:i/>
          <w:sz w:val="24"/>
          <w:szCs w:val="24"/>
        </w:rPr>
        <w:t>Clinical</w:t>
      </w:r>
      <w:proofErr w:type="spellEnd"/>
      <w:r w:rsidRPr="001D4BC0">
        <w:rPr>
          <w:i/>
          <w:sz w:val="24"/>
          <w:szCs w:val="24"/>
        </w:rPr>
        <w:t xml:space="preserve"> Global </w:t>
      </w:r>
      <w:proofErr w:type="spellStart"/>
      <w:r w:rsidRPr="001D4BC0">
        <w:rPr>
          <w:i/>
          <w:sz w:val="24"/>
          <w:szCs w:val="24"/>
        </w:rPr>
        <w:t>Impression</w:t>
      </w:r>
      <w:proofErr w:type="spellEnd"/>
      <w:r w:rsidRPr="001D4BC0">
        <w:rPr>
          <w:i/>
          <w:sz w:val="24"/>
          <w:szCs w:val="24"/>
        </w:rPr>
        <w:t xml:space="preserve"> - Bipolar version</w:t>
      </w:r>
      <w:r w:rsidRPr="001D4BC0">
        <w:rPr>
          <w:sz w:val="24"/>
          <w:szCs w:val="24"/>
        </w:rPr>
        <w:t xml:space="preserve"> (CGI-BP) </w:t>
      </w:r>
      <w:proofErr w:type="spellStart"/>
      <w:r w:rsidRPr="001D4BC0">
        <w:rPr>
          <w:i/>
          <w:sz w:val="24"/>
          <w:szCs w:val="24"/>
        </w:rPr>
        <w:t>Severity</w:t>
      </w:r>
      <w:proofErr w:type="spellEnd"/>
      <w:r w:rsidRPr="001D4BC0">
        <w:rPr>
          <w:i/>
          <w:sz w:val="24"/>
          <w:szCs w:val="24"/>
        </w:rPr>
        <w:t xml:space="preserve"> of </w:t>
      </w:r>
      <w:proofErr w:type="spellStart"/>
      <w:r w:rsidRPr="001D4BC0">
        <w:rPr>
          <w:i/>
          <w:sz w:val="24"/>
          <w:szCs w:val="24"/>
        </w:rPr>
        <w:t>Illness</w:t>
      </w:r>
      <w:proofErr w:type="spellEnd"/>
      <w:r w:rsidRPr="001D4BC0">
        <w:rPr>
          <w:sz w:val="24"/>
          <w:szCs w:val="24"/>
        </w:rPr>
        <w:t>-score (</w:t>
      </w:r>
      <w:r>
        <w:rPr>
          <w:sz w:val="24"/>
          <w:szCs w:val="24"/>
        </w:rPr>
        <w:t xml:space="preserve">SOI; </w:t>
      </w:r>
      <w:r w:rsidRPr="001D4BC0">
        <w:rPr>
          <w:sz w:val="24"/>
          <w:szCs w:val="24"/>
        </w:rPr>
        <w:t>mani).</w:t>
      </w:r>
      <w:commentRangeEnd w:id="14"/>
      <w:r>
        <w:rPr>
          <w:rStyle w:val="Kommentarhenvisning"/>
          <w:lang w:eastAsia="da-DK"/>
        </w:rPr>
        <w:commentReference w:id="14"/>
      </w:r>
    </w:p>
    <w:p w14:paraId="4DC095A4" w14:textId="77777777" w:rsidR="00327C0A" w:rsidRDefault="00327C0A" w:rsidP="00327C0A">
      <w:pPr>
        <w:tabs>
          <w:tab w:val="left" w:pos="851"/>
        </w:tabs>
        <w:ind w:left="851" w:hanging="851"/>
        <w:rPr>
          <w:sz w:val="24"/>
          <w:szCs w:val="24"/>
        </w:rPr>
      </w:pPr>
      <w:r>
        <w:rPr>
          <w:sz w:val="24"/>
          <w:szCs w:val="24"/>
        </w:rPr>
        <w:tab/>
        <w:t xml:space="preserve">I dette studie blev patienterne af </w:t>
      </w:r>
      <w:proofErr w:type="spellStart"/>
      <w:r>
        <w:rPr>
          <w:sz w:val="24"/>
          <w:szCs w:val="24"/>
        </w:rPr>
        <w:t>investigatorerne</w:t>
      </w:r>
      <w:proofErr w:type="spellEnd"/>
      <w:r>
        <w:rPr>
          <w:sz w:val="24"/>
          <w:szCs w:val="24"/>
        </w:rPr>
        <w:t xml:space="preserve"> tildelt enten ikke-blindet </w:t>
      </w:r>
      <w:proofErr w:type="spellStart"/>
      <w:r>
        <w:rPr>
          <w:sz w:val="24"/>
          <w:szCs w:val="24"/>
        </w:rPr>
        <w:t>lithium</w:t>
      </w:r>
      <w:proofErr w:type="spellEnd"/>
      <w:r>
        <w:rPr>
          <w:sz w:val="24"/>
          <w:szCs w:val="24"/>
        </w:rPr>
        <w:t xml:space="preserve"> eller </w:t>
      </w:r>
      <w:proofErr w:type="spellStart"/>
      <w:r>
        <w:rPr>
          <w:sz w:val="24"/>
          <w:szCs w:val="24"/>
        </w:rPr>
        <w:t>valproat</w:t>
      </w:r>
      <w:proofErr w:type="spellEnd"/>
      <w:r>
        <w:rPr>
          <w:sz w:val="24"/>
          <w:szCs w:val="24"/>
        </w:rPr>
        <w:t xml:space="preserve"> monoterapi for at undersøge delvist manglende respons. Patienterne blev stabiliseret i mindst 12 sammenhængende uger med kombinationsbehandling med </w:t>
      </w:r>
      <w:proofErr w:type="spellStart"/>
      <w:r>
        <w:rPr>
          <w:sz w:val="24"/>
          <w:szCs w:val="24"/>
        </w:rPr>
        <w:t>aripiprazol</w:t>
      </w:r>
      <w:proofErr w:type="spellEnd"/>
      <w:r>
        <w:rPr>
          <w:sz w:val="24"/>
          <w:szCs w:val="24"/>
        </w:rPr>
        <w:t xml:space="preserve"> og den samme stemningsstabilisator. </w:t>
      </w:r>
    </w:p>
    <w:p w14:paraId="70398460" w14:textId="77777777" w:rsidR="00327C0A" w:rsidRDefault="00327C0A" w:rsidP="00327C0A">
      <w:pPr>
        <w:pStyle w:val="Default"/>
        <w:ind w:left="851"/>
      </w:pPr>
      <w:r>
        <w:t xml:space="preserve">Stabiliserede patienter blev herefter randomiseret til at fortsætte med at tage den samme stemningsstabilisator med dobbeltblind </w:t>
      </w:r>
      <w:proofErr w:type="spellStart"/>
      <w:r>
        <w:t>aripiprazol</w:t>
      </w:r>
      <w:proofErr w:type="spellEnd"/>
      <w:r>
        <w:t xml:space="preserve"> eller placebo. I den randomiserede fase blev fire stemningsstabilisator-subgrupper undersøgt: </w:t>
      </w:r>
      <w:proofErr w:type="spellStart"/>
      <w:r>
        <w:t>aripiprazol</w:t>
      </w:r>
      <w:proofErr w:type="spellEnd"/>
      <w:r>
        <w:t xml:space="preserve"> + </w:t>
      </w:r>
      <w:proofErr w:type="spellStart"/>
      <w:r>
        <w:t>lithium</w:t>
      </w:r>
      <w:proofErr w:type="spellEnd"/>
      <w:r>
        <w:t xml:space="preserve">, </w:t>
      </w:r>
      <w:proofErr w:type="spellStart"/>
      <w:r>
        <w:t>aripiprazol</w:t>
      </w:r>
      <w:proofErr w:type="spellEnd"/>
      <w:r>
        <w:t xml:space="preserve"> + </w:t>
      </w:r>
      <w:proofErr w:type="spellStart"/>
      <w:r>
        <w:t>valproat</w:t>
      </w:r>
      <w:proofErr w:type="spellEnd"/>
      <w:r>
        <w:t xml:space="preserve">; placebo + </w:t>
      </w:r>
      <w:proofErr w:type="spellStart"/>
      <w:r>
        <w:t>lithium</w:t>
      </w:r>
      <w:proofErr w:type="spellEnd"/>
      <w:r>
        <w:t xml:space="preserve">; placebo + </w:t>
      </w:r>
      <w:proofErr w:type="spellStart"/>
      <w:r>
        <w:t>valproat</w:t>
      </w:r>
      <w:proofErr w:type="spellEnd"/>
      <w:r>
        <w:t xml:space="preserve">. </w:t>
      </w:r>
    </w:p>
    <w:p w14:paraId="699841DF" w14:textId="77777777" w:rsidR="00327C0A" w:rsidRDefault="00327C0A" w:rsidP="00327C0A">
      <w:pPr>
        <w:pStyle w:val="Default"/>
        <w:ind w:left="851"/>
      </w:pPr>
      <w:r>
        <w:t xml:space="preserve">Kaplan-Meier hyppigheden for tilbagefald for alle stemningsepisoder i armen med tillægsbehandling var 16 % for </w:t>
      </w:r>
      <w:proofErr w:type="spellStart"/>
      <w:r>
        <w:t>aripiprazol</w:t>
      </w:r>
      <w:proofErr w:type="spellEnd"/>
      <w:r>
        <w:t xml:space="preserve"> + </w:t>
      </w:r>
      <w:proofErr w:type="spellStart"/>
      <w:r>
        <w:t>lithium</w:t>
      </w:r>
      <w:proofErr w:type="spellEnd"/>
      <w:r>
        <w:t xml:space="preserve"> og 18 % for </w:t>
      </w:r>
      <w:proofErr w:type="spellStart"/>
      <w:r>
        <w:t>aripiprazol</w:t>
      </w:r>
      <w:proofErr w:type="spellEnd"/>
      <w:r>
        <w:t xml:space="preserve"> + </w:t>
      </w:r>
      <w:proofErr w:type="spellStart"/>
      <w:r>
        <w:t>valproat</w:t>
      </w:r>
      <w:proofErr w:type="spellEnd"/>
      <w:r>
        <w:t xml:space="preserve"> sammenlignet med 45 % for placebo + </w:t>
      </w:r>
      <w:proofErr w:type="spellStart"/>
      <w:r>
        <w:t>lithium</w:t>
      </w:r>
      <w:proofErr w:type="spellEnd"/>
      <w:r>
        <w:t xml:space="preserve"> og 19 % for placebo + </w:t>
      </w:r>
      <w:proofErr w:type="spellStart"/>
      <w:r>
        <w:t>valproat</w:t>
      </w:r>
      <w:proofErr w:type="spellEnd"/>
      <w:r>
        <w:t xml:space="preserve">. </w:t>
      </w:r>
    </w:p>
    <w:p w14:paraId="1123F08A" w14:textId="77777777" w:rsidR="006F253B" w:rsidRDefault="006F253B" w:rsidP="006F253B">
      <w:pPr>
        <w:pStyle w:val="Default"/>
        <w:ind w:left="851"/>
      </w:pPr>
    </w:p>
    <w:p w14:paraId="2ACFA085" w14:textId="77777777" w:rsidR="006F253B" w:rsidRDefault="006F253B" w:rsidP="006F253B">
      <w:pPr>
        <w:pStyle w:val="Default"/>
        <w:ind w:left="851"/>
        <w:rPr>
          <w:u w:val="single"/>
        </w:rPr>
      </w:pPr>
      <w:r>
        <w:rPr>
          <w:u w:val="single"/>
        </w:rPr>
        <w:t xml:space="preserve">Pædiatrisk population </w:t>
      </w:r>
    </w:p>
    <w:p w14:paraId="7A4DE59B" w14:textId="77777777" w:rsidR="006F253B" w:rsidRDefault="006F253B" w:rsidP="006F253B">
      <w:pPr>
        <w:pStyle w:val="Default"/>
        <w:ind w:left="851"/>
        <w:rPr>
          <w:i/>
          <w:iCs/>
        </w:rPr>
      </w:pPr>
    </w:p>
    <w:p w14:paraId="196E5C9A" w14:textId="77777777" w:rsidR="006F253B" w:rsidRDefault="006F253B" w:rsidP="006F253B">
      <w:pPr>
        <w:pStyle w:val="Default"/>
        <w:ind w:left="851"/>
        <w:rPr>
          <w:i/>
          <w:iCs/>
        </w:rPr>
      </w:pPr>
      <w:r>
        <w:rPr>
          <w:i/>
          <w:iCs/>
        </w:rPr>
        <w:t>Skizofreni hos unge</w:t>
      </w:r>
    </w:p>
    <w:p w14:paraId="39E34C00" w14:textId="77777777" w:rsidR="006F253B" w:rsidRDefault="006F253B" w:rsidP="006F253B">
      <w:pPr>
        <w:pStyle w:val="Default"/>
        <w:ind w:left="851"/>
      </w:pPr>
      <w:r>
        <w:t>I et 6-ugers placebokontrolleret studie, der involverede 302 skizofrene, unge patienter (13</w:t>
      </w:r>
      <w:r w:rsidR="00327C0A">
        <w:t xml:space="preserve"> til </w:t>
      </w:r>
      <w:r>
        <w:t xml:space="preserve">17 år) med positive eller negative symptomer, var </w:t>
      </w:r>
      <w:proofErr w:type="spellStart"/>
      <w:r>
        <w:t>aripiprazol</w:t>
      </w:r>
      <w:proofErr w:type="spellEnd"/>
      <w:r>
        <w:t xml:space="preserve"> forbundet med statistisk signifikant større forbedring i psykotiske symptomer sammenlignet med placebo. </w:t>
      </w:r>
    </w:p>
    <w:p w14:paraId="5FE75D7C" w14:textId="77777777" w:rsidR="006F253B" w:rsidRDefault="006F253B" w:rsidP="006F253B">
      <w:pPr>
        <w:pStyle w:val="Default"/>
        <w:ind w:left="851"/>
      </w:pPr>
      <w:r>
        <w:t xml:space="preserve">I en delanalyse af de unge patienter mellem 15 og 17 år, som repræsenterede 74 % af den totale inkluderede population, blev effekten bibeholdt i det 26-uger åbne, forlængelsesstudier. </w:t>
      </w:r>
    </w:p>
    <w:p w14:paraId="49FA54CF" w14:textId="77777777" w:rsidR="006F253B" w:rsidRDefault="006F253B" w:rsidP="006F253B">
      <w:pPr>
        <w:pStyle w:val="Default"/>
        <w:ind w:left="851"/>
      </w:pPr>
    </w:p>
    <w:p w14:paraId="23945F38" w14:textId="77777777" w:rsidR="006F253B" w:rsidRDefault="006F253B" w:rsidP="006F253B">
      <w:pPr>
        <w:pStyle w:val="Default"/>
        <w:ind w:left="851"/>
      </w:pPr>
      <w:r>
        <w:t xml:space="preserve">I et 60 til 89 uger langt, randomiseret, dobbelt-blindet, placebo kontrolleret studie med unge (n=146; alder 13-17 år) med skizofreni, blev der påvist en statistisk signifikant forskel i mængden af tilbagefald af psykotiske symptomer mellem gruppen behandlet med </w:t>
      </w:r>
      <w:proofErr w:type="spellStart"/>
      <w:r>
        <w:t>aripiprazol</w:t>
      </w:r>
      <w:proofErr w:type="spellEnd"/>
      <w:r>
        <w:t xml:space="preserve"> (19,39 %) og placebogruppen (37,50 %). Punktestimatet af </w:t>
      </w:r>
      <w:proofErr w:type="spellStart"/>
      <w:r>
        <w:t>hazard</w:t>
      </w:r>
      <w:proofErr w:type="spellEnd"/>
      <w:r>
        <w:t xml:space="preserve"> ratioen (HR) var 0,461 (95 % konfidensinterval, 0,242-0,879) i den fulde population. I sub-gruppe-analyser var punktestimatet for HR 0,495 for individer i alderen 13 til 14 år sammenlignet med 0,454 for individer i alderen 15 til 17 år. Dog var estimatet af HR for den yngre gruppe (13</w:t>
      </w:r>
      <w:r w:rsidR="00327C0A">
        <w:t xml:space="preserve"> til </w:t>
      </w:r>
      <w:r>
        <w:t>14 år) ikke præcis, taget det lave antal individer i gruppen i betragtning (</w:t>
      </w:r>
      <w:proofErr w:type="spellStart"/>
      <w:r>
        <w:t>aripiprazol</w:t>
      </w:r>
      <w:proofErr w:type="spellEnd"/>
      <w:r>
        <w:t>, n=29; placebo, n=12), og konfidensintervallet for estimeringen (interval fra 0,151 til 1,628) tillod ikke, at der blev foretaget nogen konklusioner med hensyn til behandlingseffekt.  Derimod var 95 % konfidensinterval for HR i den ældre sub-gruppe (</w:t>
      </w:r>
      <w:proofErr w:type="spellStart"/>
      <w:r>
        <w:t>aripiprazol</w:t>
      </w:r>
      <w:proofErr w:type="spellEnd"/>
      <w:r>
        <w:t xml:space="preserve">, n=69; placebo, n=36) 0,242 til 0,879, således at en behandlingseffekt kunne konkluderes for den ældre patientgruppe. </w:t>
      </w:r>
    </w:p>
    <w:p w14:paraId="0E15AEE7" w14:textId="77777777" w:rsidR="006F253B" w:rsidRDefault="006F253B" w:rsidP="006F253B">
      <w:pPr>
        <w:pStyle w:val="Default"/>
        <w:ind w:left="851"/>
      </w:pPr>
    </w:p>
    <w:p w14:paraId="70E3994D" w14:textId="77777777" w:rsidR="006F253B" w:rsidRDefault="006F253B" w:rsidP="006F253B">
      <w:pPr>
        <w:pStyle w:val="Default"/>
        <w:ind w:left="851"/>
      </w:pPr>
      <w:r>
        <w:rPr>
          <w:i/>
          <w:iCs/>
        </w:rPr>
        <w:t xml:space="preserve">Maniske episoder ved bipolar lidelse type 1 hos børn og unge </w:t>
      </w:r>
    </w:p>
    <w:p w14:paraId="667D0074" w14:textId="77777777" w:rsidR="00327C0A" w:rsidRDefault="00327C0A" w:rsidP="00327C0A">
      <w:pPr>
        <w:pStyle w:val="Default"/>
        <w:ind w:left="851"/>
      </w:pPr>
      <w:proofErr w:type="spellStart"/>
      <w:r>
        <w:t>Aripiprazol</w:t>
      </w:r>
      <w:proofErr w:type="spellEnd"/>
      <w:r>
        <w:t xml:space="preserve"> blev undersøgt i et 30-ugers placebokontrolleret studie med 296 børn og unge (10-17 år), som opfyldte DSM-IV-</w:t>
      </w:r>
      <w:commentRangeStart w:id="15"/>
      <w:r>
        <w:t xml:space="preserve">kriterierne </w:t>
      </w:r>
      <w:r w:rsidRPr="0073449D">
        <w:rPr>
          <w:i/>
        </w:rPr>
        <w:t>(</w:t>
      </w:r>
      <w:proofErr w:type="spellStart"/>
      <w:r w:rsidRPr="0073449D">
        <w:rPr>
          <w:i/>
        </w:rPr>
        <w:t>Diagnostic</w:t>
      </w:r>
      <w:proofErr w:type="spellEnd"/>
      <w:r w:rsidRPr="0073449D">
        <w:rPr>
          <w:i/>
        </w:rPr>
        <w:t xml:space="preserve"> and Statistical Manual of Mental </w:t>
      </w:r>
      <w:proofErr w:type="spellStart"/>
      <w:r w:rsidRPr="0073449D">
        <w:rPr>
          <w:i/>
        </w:rPr>
        <w:t>Disorders</w:t>
      </w:r>
      <w:proofErr w:type="spellEnd"/>
      <w:r w:rsidRPr="0073449D">
        <w:rPr>
          <w:i/>
        </w:rPr>
        <w:t>)</w:t>
      </w:r>
      <w:r>
        <w:t xml:space="preserve"> </w:t>
      </w:r>
      <w:commentRangeEnd w:id="15"/>
      <w:r>
        <w:rPr>
          <w:rStyle w:val="Kommentarhenvisning"/>
          <w:color w:val="auto"/>
        </w:rPr>
        <w:commentReference w:id="15"/>
      </w:r>
      <w:r>
        <w:t xml:space="preserve">for maniske eller blandede episoder af bipolar lidelse type 1 med eller uden psykotiske træk, og som havde YMRS-score på ≥20 ved </w:t>
      </w:r>
      <w:r>
        <w:rPr>
          <w:i/>
          <w:iCs/>
        </w:rPr>
        <w:t>baseline</w:t>
      </w:r>
      <w:r>
        <w:t xml:space="preserve">. Blandt patienterne, inkluderet i den primære effektanalyse, var 139 patienter diagnosticeret med ADHD som </w:t>
      </w:r>
      <w:proofErr w:type="spellStart"/>
      <w:r>
        <w:t>co</w:t>
      </w:r>
      <w:proofErr w:type="spellEnd"/>
      <w:r>
        <w:t xml:space="preserve">-morbiditet. </w:t>
      </w:r>
    </w:p>
    <w:p w14:paraId="6487481E" w14:textId="77777777" w:rsidR="00327C0A" w:rsidRDefault="00327C0A" w:rsidP="00327C0A">
      <w:pPr>
        <w:pStyle w:val="Default"/>
        <w:ind w:left="851"/>
      </w:pPr>
      <w:proofErr w:type="spellStart"/>
      <w:r>
        <w:t>Aripiprazol</w:t>
      </w:r>
      <w:proofErr w:type="spellEnd"/>
      <w:r>
        <w:t xml:space="preserve"> havde bedre effekt end placebo ved ændring fra </w:t>
      </w:r>
      <w:r>
        <w:rPr>
          <w:i/>
          <w:iCs/>
        </w:rPr>
        <w:t xml:space="preserve">baseline </w:t>
      </w:r>
      <w:r>
        <w:t>ved uge 4 og ved uge 12 målt på total YMRS-score. I en post hoc-analyse var forbedringen sammenlignet med</w:t>
      </w:r>
      <w:r>
        <w:rPr>
          <w:i/>
          <w:iCs/>
        </w:rPr>
        <w:t xml:space="preserve"> </w:t>
      </w:r>
      <w:r>
        <w:t xml:space="preserve">placebo mere udtalt hos patienter med associeret ADHD som </w:t>
      </w:r>
      <w:proofErr w:type="spellStart"/>
      <w:r>
        <w:t>co</w:t>
      </w:r>
      <w:proofErr w:type="spellEnd"/>
      <w:r>
        <w:t>-morbiditet sammenlignet med gruppen uden ADHD, hvor der ikke var nogen forskel sammenlignet med placebo. Forebyggelse af tilbagefald blev ikke påvist.</w:t>
      </w:r>
    </w:p>
    <w:p w14:paraId="34E688E8" w14:textId="77777777" w:rsidR="00327C0A" w:rsidRDefault="00327C0A" w:rsidP="00327C0A">
      <w:pPr>
        <w:tabs>
          <w:tab w:val="left" w:pos="851"/>
        </w:tabs>
        <w:ind w:left="851"/>
        <w:rPr>
          <w:sz w:val="24"/>
          <w:szCs w:val="24"/>
        </w:rPr>
      </w:pPr>
      <w:r>
        <w:rPr>
          <w:sz w:val="24"/>
          <w:szCs w:val="24"/>
        </w:rPr>
        <w:t>De hyppigst forekommende behandlingskrævende bivirkninger hos patienter behandlet med 30 mg var ekstrapyramidale symptomer (28,3 %), døsighed (27,3 %), hovedpine (23,2 %) og kvalme (14,1 %). Den gennemsnitlige vægtstigning i det 30-ugers behandlingsforløb var 2,9 kg sammenlignet med 0,98 kg for patienter behandlet med placebo.</w:t>
      </w:r>
    </w:p>
    <w:p w14:paraId="0B1EF63D" w14:textId="77777777" w:rsidR="006F253B" w:rsidRDefault="006F253B" w:rsidP="006F253B">
      <w:pPr>
        <w:tabs>
          <w:tab w:val="left" w:pos="851"/>
        </w:tabs>
        <w:ind w:left="851"/>
        <w:rPr>
          <w:sz w:val="24"/>
          <w:szCs w:val="24"/>
        </w:rPr>
      </w:pPr>
    </w:p>
    <w:p w14:paraId="3DD9405A" w14:textId="77777777" w:rsidR="006F253B" w:rsidRDefault="006F253B" w:rsidP="006F253B">
      <w:pPr>
        <w:pStyle w:val="Default"/>
        <w:ind w:left="851"/>
      </w:pPr>
      <w:r>
        <w:rPr>
          <w:i/>
          <w:iCs/>
        </w:rPr>
        <w:t xml:space="preserve">Irritabilitet forbundet med autisme hos pædiatriske patienter (se pkt. 4.2) </w:t>
      </w:r>
    </w:p>
    <w:p w14:paraId="52868D64" w14:textId="77777777" w:rsidR="00327C0A" w:rsidRDefault="00327C0A" w:rsidP="00327C0A">
      <w:pPr>
        <w:tabs>
          <w:tab w:val="left" w:pos="851"/>
        </w:tabs>
        <w:ind w:left="851"/>
        <w:rPr>
          <w:sz w:val="24"/>
          <w:szCs w:val="24"/>
        </w:rPr>
      </w:pPr>
      <w:proofErr w:type="spellStart"/>
      <w:r>
        <w:rPr>
          <w:sz w:val="24"/>
          <w:szCs w:val="24"/>
        </w:rPr>
        <w:t>Aripiprazol</w:t>
      </w:r>
      <w:proofErr w:type="spellEnd"/>
      <w:r>
        <w:rPr>
          <w:sz w:val="24"/>
          <w:szCs w:val="24"/>
        </w:rPr>
        <w:t xml:space="preserve"> blev undersøgt hos patienter i aldersgruppen 6 til 17 år i to 8-ugers, placebokontrollerede studie [en fleksibel dosis (2 </w:t>
      </w:r>
      <w:commentRangeStart w:id="16"/>
      <w:r>
        <w:rPr>
          <w:sz w:val="24"/>
          <w:szCs w:val="24"/>
        </w:rPr>
        <w:t>mg/dag til</w:t>
      </w:r>
      <w:commentRangeEnd w:id="16"/>
      <w:r>
        <w:rPr>
          <w:rStyle w:val="Kommentarhenvisning"/>
          <w:lang w:eastAsia="da-DK"/>
        </w:rPr>
        <w:commentReference w:id="16"/>
      </w:r>
      <w:r>
        <w:rPr>
          <w:sz w:val="24"/>
          <w:szCs w:val="24"/>
        </w:rPr>
        <w:t xml:space="preserve"> 15 mg/dag) og en fast dosis (5 </w:t>
      </w:r>
      <w:commentRangeStart w:id="17"/>
      <w:r>
        <w:rPr>
          <w:sz w:val="24"/>
          <w:szCs w:val="24"/>
        </w:rPr>
        <w:t>mg/dag, 10 mg/da</w:t>
      </w:r>
      <w:commentRangeEnd w:id="17"/>
      <w:r>
        <w:rPr>
          <w:rStyle w:val="Kommentarhenvisning"/>
          <w:lang w:eastAsia="da-DK"/>
        </w:rPr>
        <w:commentReference w:id="17"/>
      </w:r>
      <w:r>
        <w:rPr>
          <w:sz w:val="24"/>
          <w:szCs w:val="24"/>
        </w:rPr>
        <w:t xml:space="preserve">g eller 15 mg/dag)] og i et 52-ugers åbent studie. Dosis i disse studier var initialt 2 mg/dag, forhøjet til 5 mg/dag efter en uge og øget ugentligt med 5 mg/dag, indtil måldosis var nået. Mere end 75 % af patienterne var yngre end 13 år. </w:t>
      </w:r>
      <w:proofErr w:type="spellStart"/>
      <w:r>
        <w:rPr>
          <w:sz w:val="24"/>
          <w:szCs w:val="24"/>
        </w:rPr>
        <w:t>Aripiprazol</w:t>
      </w:r>
      <w:proofErr w:type="spellEnd"/>
      <w:r>
        <w:rPr>
          <w:sz w:val="24"/>
          <w:szCs w:val="24"/>
        </w:rPr>
        <w:t xml:space="preserve"> udviste statistisk overlegen virkning sammenlignet med placebo på </w:t>
      </w:r>
      <w:proofErr w:type="spellStart"/>
      <w:r>
        <w:rPr>
          <w:sz w:val="24"/>
          <w:szCs w:val="24"/>
        </w:rPr>
        <w:t>Aberrant</w:t>
      </w:r>
      <w:proofErr w:type="spellEnd"/>
      <w:r>
        <w:rPr>
          <w:sz w:val="24"/>
          <w:szCs w:val="24"/>
        </w:rPr>
        <w:t xml:space="preserve"> </w:t>
      </w:r>
      <w:proofErr w:type="spellStart"/>
      <w:r>
        <w:rPr>
          <w:sz w:val="24"/>
          <w:szCs w:val="24"/>
        </w:rPr>
        <w:t>Behaviour</w:t>
      </w:r>
      <w:proofErr w:type="spellEnd"/>
      <w:r>
        <w:rPr>
          <w:sz w:val="24"/>
          <w:szCs w:val="24"/>
        </w:rPr>
        <w:t xml:space="preserve"> Checklist </w:t>
      </w:r>
      <w:proofErr w:type="spellStart"/>
      <w:r>
        <w:rPr>
          <w:sz w:val="24"/>
          <w:szCs w:val="24"/>
        </w:rPr>
        <w:t>Irritability</w:t>
      </w:r>
      <w:proofErr w:type="spellEnd"/>
      <w:r>
        <w:rPr>
          <w:sz w:val="24"/>
          <w:szCs w:val="24"/>
        </w:rPr>
        <w:t xml:space="preserve">-underskalaen. Den kliniske relevans af disse fund er dog ikke blevet etableret. Sikkerhedsprofilen omfattede vægtøgning og ændring i </w:t>
      </w:r>
      <w:proofErr w:type="spellStart"/>
      <w:r>
        <w:rPr>
          <w:sz w:val="24"/>
          <w:szCs w:val="24"/>
        </w:rPr>
        <w:t>prolaktinniveauet</w:t>
      </w:r>
      <w:proofErr w:type="spellEnd"/>
      <w:r>
        <w:rPr>
          <w:sz w:val="24"/>
          <w:szCs w:val="24"/>
        </w:rPr>
        <w:t xml:space="preserve">. Varigheden af langtidssikkerhedsstudiet var begrænset til 52 uger. I de samlede studier var </w:t>
      </w:r>
      <w:proofErr w:type="spellStart"/>
      <w:r>
        <w:rPr>
          <w:sz w:val="24"/>
          <w:szCs w:val="24"/>
        </w:rPr>
        <w:t>incidensen</w:t>
      </w:r>
      <w:proofErr w:type="spellEnd"/>
      <w:r>
        <w:rPr>
          <w:sz w:val="24"/>
          <w:szCs w:val="24"/>
        </w:rPr>
        <w:t xml:space="preserve"> af lav serum-</w:t>
      </w:r>
      <w:proofErr w:type="spellStart"/>
      <w:r>
        <w:rPr>
          <w:sz w:val="24"/>
          <w:szCs w:val="24"/>
        </w:rPr>
        <w:t>prolaktin</w:t>
      </w:r>
      <w:proofErr w:type="spellEnd"/>
      <w:r>
        <w:rPr>
          <w:sz w:val="24"/>
          <w:szCs w:val="24"/>
        </w:rPr>
        <w:t xml:space="preserve"> hos piger (&lt; 3 </w:t>
      </w:r>
      <w:proofErr w:type="spellStart"/>
      <w:r>
        <w:rPr>
          <w:sz w:val="24"/>
          <w:szCs w:val="24"/>
        </w:rPr>
        <w:t>ng</w:t>
      </w:r>
      <w:proofErr w:type="spellEnd"/>
      <w:r>
        <w:rPr>
          <w:sz w:val="24"/>
          <w:szCs w:val="24"/>
        </w:rPr>
        <w:t xml:space="preserve">/ml) og drenge (&lt; 2 </w:t>
      </w:r>
      <w:proofErr w:type="spellStart"/>
      <w:r>
        <w:rPr>
          <w:sz w:val="24"/>
          <w:szCs w:val="24"/>
        </w:rPr>
        <w:t>ng</w:t>
      </w:r>
      <w:proofErr w:type="spellEnd"/>
      <w:r>
        <w:rPr>
          <w:sz w:val="24"/>
          <w:szCs w:val="24"/>
        </w:rPr>
        <w:t xml:space="preserve">/ml) hos </w:t>
      </w:r>
      <w:proofErr w:type="spellStart"/>
      <w:r>
        <w:rPr>
          <w:sz w:val="24"/>
          <w:szCs w:val="24"/>
        </w:rPr>
        <w:t>aripiprazol</w:t>
      </w:r>
      <w:proofErr w:type="spellEnd"/>
      <w:r>
        <w:rPr>
          <w:sz w:val="24"/>
          <w:szCs w:val="24"/>
        </w:rPr>
        <w:t xml:space="preserve">-behandlede patienter henholdsvis 27/46 (58,7 %) og 258/298 (86,6 %). I de placebokontrollerede studier var den gennemsnitlige vægtstigning 0,4 kg for placebo og 1,6 kg for </w:t>
      </w:r>
      <w:proofErr w:type="spellStart"/>
      <w:r>
        <w:rPr>
          <w:sz w:val="24"/>
          <w:szCs w:val="24"/>
        </w:rPr>
        <w:t>aripiprazol</w:t>
      </w:r>
      <w:proofErr w:type="spellEnd"/>
      <w:r>
        <w:rPr>
          <w:sz w:val="24"/>
          <w:szCs w:val="24"/>
        </w:rPr>
        <w:t>.</w:t>
      </w:r>
    </w:p>
    <w:p w14:paraId="0EEB2739" w14:textId="77777777" w:rsidR="006F253B" w:rsidRDefault="006F253B" w:rsidP="006F253B">
      <w:pPr>
        <w:tabs>
          <w:tab w:val="left" w:pos="851"/>
        </w:tabs>
        <w:ind w:left="851"/>
        <w:rPr>
          <w:sz w:val="24"/>
          <w:szCs w:val="24"/>
        </w:rPr>
      </w:pPr>
    </w:p>
    <w:p w14:paraId="6E4C6CC7" w14:textId="77777777" w:rsidR="006F253B" w:rsidRDefault="006F253B" w:rsidP="006F253B">
      <w:pPr>
        <w:pStyle w:val="Default"/>
        <w:ind w:left="851"/>
      </w:pPr>
      <w:proofErr w:type="spellStart"/>
      <w:r>
        <w:t>Aripiprazol</w:t>
      </w:r>
      <w:proofErr w:type="spellEnd"/>
      <w:r>
        <w:t xml:space="preserve"> blev også undersøgt i et placebokontrolleret, langvarigt vedligeholdelsesstudie. Efter 13-26 ugers stabilisering med </w:t>
      </w:r>
      <w:proofErr w:type="spellStart"/>
      <w:r>
        <w:t>aripiprazol</w:t>
      </w:r>
      <w:proofErr w:type="spellEnd"/>
      <w:r>
        <w:t xml:space="preserve"> (2</w:t>
      </w:r>
      <w:r w:rsidR="00327C0A">
        <w:t xml:space="preserve"> mg/dag til </w:t>
      </w:r>
      <w:r>
        <w:t xml:space="preserve">15 mg/dag) fik patienter med stabil respons enten vedligeholdelse med </w:t>
      </w:r>
      <w:proofErr w:type="spellStart"/>
      <w:r>
        <w:t>aripiprazol</w:t>
      </w:r>
      <w:proofErr w:type="spellEnd"/>
      <w:r>
        <w:t xml:space="preserve"> eller blev skiftet over til placebo i yderligere 16 uger. Kaplan-Meier recidivraten ved uge 16 var 35 % for </w:t>
      </w:r>
      <w:proofErr w:type="spellStart"/>
      <w:r>
        <w:t>aripiprazol</w:t>
      </w:r>
      <w:proofErr w:type="spellEnd"/>
      <w:r>
        <w:t xml:space="preserve"> og 52 % </w:t>
      </w:r>
      <w:r>
        <w:lastRenderedPageBreak/>
        <w:t xml:space="preserve">for placebo; </w:t>
      </w:r>
      <w:proofErr w:type="spellStart"/>
      <w:r>
        <w:t>hazard</w:t>
      </w:r>
      <w:proofErr w:type="spellEnd"/>
      <w:r>
        <w:t xml:space="preserve"> ratio for recidiv inden for 16 uger (</w:t>
      </w:r>
      <w:proofErr w:type="spellStart"/>
      <w:r>
        <w:t>aripiprazol</w:t>
      </w:r>
      <w:proofErr w:type="spellEnd"/>
      <w:r>
        <w:t xml:space="preserve">/placebo) var 0,57 (ikke statistisk signifikant forskel). Den gennemsnitlige vægtstigning i stabiliseringsfasen (op til 26 uger) med </w:t>
      </w:r>
      <w:proofErr w:type="spellStart"/>
      <w:r>
        <w:t>aripiprazol</w:t>
      </w:r>
      <w:proofErr w:type="spellEnd"/>
      <w:r>
        <w:t xml:space="preserve"> var 3,2 kg, og en yderligere gennemsnitlig vægtstigning på 2,2 kg for </w:t>
      </w:r>
      <w:proofErr w:type="spellStart"/>
      <w:r>
        <w:t>aripiprazol</w:t>
      </w:r>
      <w:proofErr w:type="spellEnd"/>
      <w:r>
        <w:t xml:space="preserve">, sammenlignet med 0,6 kg for placebo, blev observeret i den anden fase (16 uger) af studiet. Ekstrapyramidale symptomer blev rapporteret hos 17 % af patienterne, hovedsageligt i stabiliseringsfasen; heraf udgjorde </w:t>
      </w:r>
      <w:proofErr w:type="spellStart"/>
      <w:r>
        <w:t>tremor</w:t>
      </w:r>
      <w:proofErr w:type="spellEnd"/>
      <w:r>
        <w:t xml:space="preserve"> 6,5 %. </w:t>
      </w:r>
    </w:p>
    <w:p w14:paraId="04F5FB8B" w14:textId="77777777" w:rsidR="006F253B" w:rsidRDefault="006F253B" w:rsidP="006F253B">
      <w:pPr>
        <w:pStyle w:val="Default"/>
        <w:ind w:left="851"/>
      </w:pPr>
    </w:p>
    <w:p w14:paraId="6BBFB0AD" w14:textId="77777777" w:rsidR="006F253B" w:rsidRDefault="006F253B" w:rsidP="006F253B">
      <w:pPr>
        <w:pStyle w:val="Default"/>
        <w:ind w:left="851"/>
      </w:pPr>
      <w:r>
        <w:rPr>
          <w:i/>
          <w:iCs/>
        </w:rPr>
        <w:t xml:space="preserve">Tics associeret med Tourettes syndrom hos pædiatriske patienter (se pkt. 4.2) </w:t>
      </w:r>
    </w:p>
    <w:p w14:paraId="33E9CAFE" w14:textId="77777777" w:rsidR="006F253B" w:rsidRDefault="006F253B" w:rsidP="006F253B">
      <w:pPr>
        <w:pStyle w:val="Default"/>
        <w:ind w:left="851"/>
      </w:pPr>
      <w:proofErr w:type="spellStart"/>
      <w:r>
        <w:t>Aripiprazols</w:t>
      </w:r>
      <w:proofErr w:type="spellEnd"/>
      <w:r>
        <w:t xml:space="preserve"> virkning blev undersøgt hos pædiatriske patienter med Tourettes syndrom (</w:t>
      </w:r>
      <w:proofErr w:type="spellStart"/>
      <w:r>
        <w:t>aripiprazol</w:t>
      </w:r>
      <w:proofErr w:type="spellEnd"/>
      <w:r>
        <w:t>: n = 99, placebo: n = 44) i et randomiseret, dobbeltblindet, placebokontrolleret 8-ugers studie med et vægtbaseret fastdosisdesign inden for et dosisområde på 5-20 mg/dag med en startdosis på 2 mg. Patienterne var 7</w:t>
      </w:r>
      <w:r w:rsidR="00327C0A">
        <w:t xml:space="preserve"> til </w:t>
      </w:r>
      <w:r>
        <w:t xml:space="preserve">17 år og havde en gennemsnitlig </w:t>
      </w:r>
      <w:r>
        <w:rPr>
          <w:i/>
          <w:iCs/>
        </w:rPr>
        <w:t>baseline</w:t>
      </w:r>
      <w:r>
        <w:t>-score for samlede tics (</w:t>
      </w:r>
      <w:r>
        <w:rPr>
          <w:i/>
          <w:iCs/>
        </w:rPr>
        <w:t>Total Tic Score</w:t>
      </w:r>
      <w:r>
        <w:t xml:space="preserve">) på 30 på </w:t>
      </w:r>
      <w:r>
        <w:rPr>
          <w:i/>
          <w:iCs/>
        </w:rPr>
        <w:t xml:space="preserve">Yale Global Tic </w:t>
      </w:r>
      <w:proofErr w:type="spellStart"/>
      <w:r>
        <w:rPr>
          <w:i/>
          <w:iCs/>
        </w:rPr>
        <w:t>Severity</w:t>
      </w:r>
      <w:proofErr w:type="spellEnd"/>
      <w:r>
        <w:t xml:space="preserve">-skalaen (TTS-YGTSS). </w:t>
      </w:r>
      <w:proofErr w:type="spellStart"/>
      <w:r>
        <w:t>Aripiprazol</w:t>
      </w:r>
      <w:proofErr w:type="spellEnd"/>
      <w:r>
        <w:t xml:space="preserve"> gav en TTS-YGTSS-forbedring fra baseline til uge 8 på 13,35 i lavdosisgruppen (5 mg eller 10 mg) og på 16,94 i højdosisgruppen (10 mg eller 20 mg); til sammenligning var forbedringen i placebogruppen på 7,09. </w:t>
      </w:r>
    </w:p>
    <w:p w14:paraId="2B1D4CB7" w14:textId="77777777" w:rsidR="006F253B" w:rsidRDefault="006F253B" w:rsidP="006F253B">
      <w:pPr>
        <w:pStyle w:val="Default"/>
        <w:ind w:left="851"/>
      </w:pPr>
    </w:p>
    <w:p w14:paraId="1E14C52D" w14:textId="77777777" w:rsidR="00327C0A" w:rsidRDefault="00327C0A" w:rsidP="00327C0A">
      <w:pPr>
        <w:pStyle w:val="Default"/>
        <w:ind w:left="851"/>
      </w:pPr>
      <w:r>
        <w:t xml:space="preserve">I et randomiseret, dobbeltblindet, placebokontrolleret 10-ugers studie gennemført i Sydkorea blev </w:t>
      </w:r>
      <w:proofErr w:type="spellStart"/>
      <w:r>
        <w:t>aripiprazols</w:t>
      </w:r>
      <w:proofErr w:type="spellEnd"/>
      <w:r>
        <w:t xml:space="preserve"> virkning hos pædiatriske patienter med Tourettes syndrom (</w:t>
      </w:r>
      <w:proofErr w:type="spellStart"/>
      <w:r>
        <w:t>aripiprazol</w:t>
      </w:r>
      <w:proofErr w:type="spellEnd"/>
      <w:r>
        <w:t xml:space="preserve">: n = 32, placebo: n = 29) undersøgt inden for et fleksibelt dosisområde på </w:t>
      </w:r>
      <w:commentRangeStart w:id="18"/>
      <w:r>
        <w:t>2mg/dag til 20 mg/dag med en startdosis på 2 mg. Patienterne var 6 til</w:t>
      </w:r>
      <w:commentRangeEnd w:id="18"/>
      <w:r>
        <w:rPr>
          <w:rStyle w:val="Kommentarhenvisning"/>
          <w:color w:val="auto"/>
        </w:rPr>
        <w:commentReference w:id="18"/>
      </w:r>
      <w:r>
        <w:t xml:space="preserve"> 18 år og havde en gennemsnitlig baseline-score på 29 på TTS-YGTSS-skalaen. </w:t>
      </w:r>
      <w:proofErr w:type="spellStart"/>
      <w:r>
        <w:t>Aripiprazol</w:t>
      </w:r>
      <w:proofErr w:type="spellEnd"/>
      <w:r>
        <w:t xml:space="preserve">-gruppen havde en forbedring på 14,97 på TTS-YGTSS-skalaen fra baseline til uge 10; til sammenligning var forbedringen i placebogruppen på 9,62. </w:t>
      </w:r>
    </w:p>
    <w:p w14:paraId="1DDD07C5" w14:textId="77777777" w:rsidR="006F253B" w:rsidRDefault="006F253B" w:rsidP="006F253B">
      <w:pPr>
        <w:pStyle w:val="Default"/>
        <w:ind w:left="851"/>
      </w:pPr>
    </w:p>
    <w:p w14:paraId="437FE1CA" w14:textId="77777777" w:rsidR="006F253B" w:rsidRDefault="006F253B" w:rsidP="006F253B">
      <w:pPr>
        <w:pStyle w:val="Default"/>
        <w:ind w:left="851"/>
      </w:pPr>
      <w:r>
        <w:t xml:space="preserve">I betragtning af behandlingseffektens størrelsesorden sammenlignet med den store placeboeffekt og de uklare virkninger med hensyn til psykosociale funktioner er den kliniske relevans af virkningsresultaterne i disse to kortvarige studier ikke klarlagt. Der mangler langtidsdata, hvad angår </w:t>
      </w:r>
      <w:proofErr w:type="spellStart"/>
      <w:r>
        <w:t>aripiprazols</w:t>
      </w:r>
      <w:proofErr w:type="spellEnd"/>
      <w:r>
        <w:t xml:space="preserve"> virkning og sikkerhed til behandling af denne udsvingsprægede lidelse. </w:t>
      </w:r>
    </w:p>
    <w:p w14:paraId="1C05D854" w14:textId="77777777" w:rsidR="006F253B" w:rsidRDefault="006F253B" w:rsidP="006F253B">
      <w:pPr>
        <w:pStyle w:val="Default"/>
        <w:ind w:left="851"/>
      </w:pPr>
    </w:p>
    <w:p w14:paraId="2748CF1B" w14:textId="77777777" w:rsidR="006F253B" w:rsidRDefault="006F253B" w:rsidP="006F253B">
      <w:pPr>
        <w:tabs>
          <w:tab w:val="left" w:pos="851"/>
        </w:tabs>
        <w:ind w:left="851"/>
        <w:rPr>
          <w:sz w:val="24"/>
          <w:szCs w:val="24"/>
        </w:rPr>
      </w:pPr>
      <w:r>
        <w:rPr>
          <w:sz w:val="24"/>
          <w:szCs w:val="24"/>
        </w:rPr>
        <w:t xml:space="preserve">Det Europæiske Lægemiddelagentur har udsat forpligtelsen til at fremlægge resultaterne af studier med </w:t>
      </w:r>
      <w:proofErr w:type="spellStart"/>
      <w:r>
        <w:rPr>
          <w:sz w:val="24"/>
          <w:szCs w:val="24"/>
        </w:rPr>
        <w:t>aripiprazol</w:t>
      </w:r>
      <w:proofErr w:type="spellEnd"/>
      <w:r>
        <w:rPr>
          <w:sz w:val="24"/>
          <w:szCs w:val="24"/>
        </w:rPr>
        <w:t xml:space="preserve"> i en eller flere undergrupper af den pædiatriske population ved behandling af skizofreni og bipolar lidelse (se pkt. 4.2 for oplysninger om pædiatrisk anvendelse).</w:t>
      </w:r>
    </w:p>
    <w:p w14:paraId="2F3E0851" w14:textId="77777777" w:rsidR="006F253B" w:rsidRPr="00B968ED" w:rsidRDefault="006F253B" w:rsidP="006F253B">
      <w:pPr>
        <w:tabs>
          <w:tab w:val="left" w:pos="851"/>
        </w:tabs>
        <w:rPr>
          <w:sz w:val="24"/>
          <w:szCs w:val="24"/>
        </w:rPr>
      </w:pPr>
    </w:p>
    <w:p w14:paraId="79D1C62B" w14:textId="77777777" w:rsidR="006F253B" w:rsidRPr="00B968ED" w:rsidRDefault="006F253B" w:rsidP="006F253B">
      <w:pPr>
        <w:tabs>
          <w:tab w:val="left" w:pos="851"/>
        </w:tabs>
        <w:ind w:left="851" w:hanging="851"/>
        <w:rPr>
          <w:b/>
          <w:sz w:val="24"/>
          <w:szCs w:val="24"/>
        </w:rPr>
      </w:pPr>
      <w:r w:rsidRPr="00B968ED">
        <w:rPr>
          <w:b/>
          <w:sz w:val="24"/>
          <w:szCs w:val="24"/>
        </w:rPr>
        <w:t>5.2</w:t>
      </w:r>
      <w:r w:rsidRPr="00B968ED">
        <w:rPr>
          <w:b/>
          <w:sz w:val="24"/>
          <w:szCs w:val="24"/>
        </w:rPr>
        <w:tab/>
      </w:r>
      <w:proofErr w:type="spellStart"/>
      <w:r w:rsidRPr="00B968ED">
        <w:rPr>
          <w:b/>
          <w:sz w:val="24"/>
          <w:szCs w:val="24"/>
        </w:rPr>
        <w:t>Farmakokinetiske</w:t>
      </w:r>
      <w:proofErr w:type="spellEnd"/>
      <w:r w:rsidRPr="00B968ED">
        <w:rPr>
          <w:b/>
          <w:sz w:val="24"/>
          <w:szCs w:val="24"/>
        </w:rPr>
        <w:t xml:space="preserve"> egenskaber</w:t>
      </w:r>
    </w:p>
    <w:p w14:paraId="7FAC490B" w14:textId="77777777" w:rsidR="006F253B" w:rsidRPr="00B968ED" w:rsidRDefault="006F253B" w:rsidP="006F253B">
      <w:pPr>
        <w:pStyle w:val="Default"/>
        <w:ind w:left="851"/>
        <w:rPr>
          <w:u w:val="single"/>
        </w:rPr>
      </w:pPr>
      <w:r w:rsidRPr="00B968ED">
        <w:rPr>
          <w:u w:val="single"/>
        </w:rPr>
        <w:t xml:space="preserve">Absorption </w:t>
      </w:r>
    </w:p>
    <w:p w14:paraId="0F7B1AB8" w14:textId="77777777" w:rsidR="006F253B" w:rsidRPr="00B968ED" w:rsidRDefault="006F253B" w:rsidP="006F253B">
      <w:pPr>
        <w:pStyle w:val="Default"/>
        <w:ind w:left="851"/>
      </w:pPr>
      <w:proofErr w:type="spellStart"/>
      <w:r w:rsidRPr="00B968ED">
        <w:t>Aripiprazol</w:t>
      </w:r>
      <w:proofErr w:type="spellEnd"/>
      <w:r w:rsidRPr="00B968ED">
        <w:t xml:space="preserve"> absorberes godt med maksimal plasmakoncentration inden for 3</w:t>
      </w:r>
      <w:r w:rsidR="00327C0A">
        <w:t xml:space="preserve"> til </w:t>
      </w:r>
      <w:r w:rsidRPr="00B968ED">
        <w:t xml:space="preserve">5 timer efter administration. </w:t>
      </w:r>
      <w:proofErr w:type="spellStart"/>
      <w:r w:rsidRPr="00B968ED">
        <w:t>Aripiprazol</w:t>
      </w:r>
      <w:proofErr w:type="spellEnd"/>
      <w:r w:rsidRPr="00B968ED">
        <w:t xml:space="preserve"> gennemgår minimal præ-systemisk metabolisme. Den absolutte orale biotilgængelighed af tabletformuleringen er 87 %. Måltid med højt fedtindhold påvirker ikke farmakokinetik for </w:t>
      </w:r>
      <w:proofErr w:type="spellStart"/>
      <w:r w:rsidRPr="00B968ED">
        <w:t>aripiprazol</w:t>
      </w:r>
      <w:proofErr w:type="spellEnd"/>
      <w:r w:rsidRPr="00B968ED">
        <w:t xml:space="preserve">. </w:t>
      </w:r>
    </w:p>
    <w:p w14:paraId="00BCB1BB" w14:textId="77777777" w:rsidR="006F253B" w:rsidRPr="00B968ED" w:rsidRDefault="006F253B" w:rsidP="006F253B">
      <w:pPr>
        <w:pStyle w:val="Default"/>
        <w:ind w:left="851"/>
      </w:pPr>
    </w:p>
    <w:p w14:paraId="61FAFED7" w14:textId="77777777" w:rsidR="006F253B" w:rsidRPr="00B968ED" w:rsidRDefault="006F253B" w:rsidP="006F253B">
      <w:pPr>
        <w:pStyle w:val="Default"/>
        <w:ind w:left="851"/>
        <w:rPr>
          <w:u w:val="single"/>
        </w:rPr>
      </w:pPr>
      <w:r w:rsidRPr="00B968ED">
        <w:rPr>
          <w:u w:val="single"/>
        </w:rPr>
        <w:t xml:space="preserve">Fordeling </w:t>
      </w:r>
    </w:p>
    <w:p w14:paraId="750F68E0" w14:textId="77777777" w:rsidR="006F253B" w:rsidRPr="00B968ED" w:rsidRDefault="006F253B" w:rsidP="006F253B">
      <w:pPr>
        <w:pStyle w:val="Default"/>
        <w:ind w:left="851"/>
      </w:pPr>
      <w:proofErr w:type="spellStart"/>
      <w:r w:rsidRPr="00B968ED">
        <w:t>Aripiprazol</w:t>
      </w:r>
      <w:proofErr w:type="spellEnd"/>
      <w:r w:rsidRPr="00B968ED">
        <w:t xml:space="preserve"> fordeles i stor udstrækning, med et faktisk fordelingsvolumen på 4,9 l/kg, indikerende omfattende </w:t>
      </w:r>
      <w:proofErr w:type="spellStart"/>
      <w:r w:rsidRPr="00B968ED">
        <w:t>ekstravaskulær</w:t>
      </w:r>
      <w:proofErr w:type="spellEnd"/>
      <w:r w:rsidRPr="00B968ED">
        <w:t xml:space="preserve"> fordeling. Ved terapeutiske koncentrationer bindes </w:t>
      </w:r>
      <w:proofErr w:type="spellStart"/>
      <w:r w:rsidRPr="00B968ED">
        <w:t>aripiprazol</w:t>
      </w:r>
      <w:proofErr w:type="spellEnd"/>
      <w:r w:rsidRPr="00B968ED">
        <w:t xml:space="preserve"> og </w:t>
      </w:r>
      <w:proofErr w:type="spellStart"/>
      <w:r w:rsidRPr="00B968ED">
        <w:t>dehydro-aripiprazol</w:t>
      </w:r>
      <w:proofErr w:type="spellEnd"/>
      <w:r w:rsidRPr="00B968ED">
        <w:t xml:space="preserve"> mere end 99 % til serumproteiner, primært til albumin. </w:t>
      </w:r>
    </w:p>
    <w:p w14:paraId="6B375ED2" w14:textId="77777777" w:rsidR="006F253B" w:rsidRPr="00B968ED" w:rsidRDefault="006F253B" w:rsidP="006F253B">
      <w:pPr>
        <w:pStyle w:val="Default"/>
        <w:ind w:left="851"/>
      </w:pPr>
    </w:p>
    <w:p w14:paraId="463D8B76" w14:textId="77777777" w:rsidR="006F253B" w:rsidRPr="00B968ED" w:rsidRDefault="006F253B" w:rsidP="006F253B">
      <w:pPr>
        <w:pStyle w:val="Default"/>
        <w:ind w:left="851"/>
        <w:rPr>
          <w:u w:val="single"/>
        </w:rPr>
      </w:pPr>
      <w:r w:rsidRPr="00B968ED">
        <w:rPr>
          <w:u w:val="single"/>
        </w:rPr>
        <w:t xml:space="preserve">Biotransformation </w:t>
      </w:r>
    </w:p>
    <w:p w14:paraId="421BFA5F" w14:textId="77777777" w:rsidR="006F253B" w:rsidRPr="00B968ED" w:rsidRDefault="006F253B" w:rsidP="006F253B">
      <w:pPr>
        <w:tabs>
          <w:tab w:val="left" w:pos="851"/>
        </w:tabs>
        <w:ind w:left="851" w:hanging="851"/>
        <w:rPr>
          <w:sz w:val="24"/>
          <w:szCs w:val="24"/>
        </w:rPr>
      </w:pPr>
      <w:r w:rsidRPr="00B968ED">
        <w:rPr>
          <w:sz w:val="24"/>
          <w:szCs w:val="24"/>
        </w:rPr>
        <w:tab/>
      </w:r>
      <w:proofErr w:type="spellStart"/>
      <w:r w:rsidRPr="00B968ED">
        <w:rPr>
          <w:sz w:val="24"/>
          <w:szCs w:val="24"/>
        </w:rPr>
        <w:t>Aripiprazol</w:t>
      </w:r>
      <w:proofErr w:type="spellEnd"/>
      <w:r w:rsidRPr="00B968ED">
        <w:rPr>
          <w:sz w:val="24"/>
          <w:szCs w:val="24"/>
        </w:rPr>
        <w:t xml:space="preserve"> </w:t>
      </w:r>
      <w:proofErr w:type="spellStart"/>
      <w:r w:rsidRPr="00B968ED">
        <w:rPr>
          <w:sz w:val="24"/>
          <w:szCs w:val="24"/>
        </w:rPr>
        <w:t>metaboliseres</w:t>
      </w:r>
      <w:proofErr w:type="spellEnd"/>
      <w:r w:rsidRPr="00B968ED">
        <w:rPr>
          <w:sz w:val="24"/>
          <w:szCs w:val="24"/>
        </w:rPr>
        <w:t xml:space="preserve"> hovedsageligt i leveren via tre biotransformationsveje: </w:t>
      </w:r>
      <w:proofErr w:type="spellStart"/>
      <w:r w:rsidRPr="00B968ED">
        <w:rPr>
          <w:sz w:val="24"/>
          <w:szCs w:val="24"/>
        </w:rPr>
        <w:t>dehydrogenering</w:t>
      </w:r>
      <w:proofErr w:type="spellEnd"/>
      <w:r w:rsidRPr="00B968ED">
        <w:rPr>
          <w:sz w:val="24"/>
          <w:szCs w:val="24"/>
        </w:rPr>
        <w:t xml:space="preserve">, </w:t>
      </w:r>
      <w:proofErr w:type="spellStart"/>
      <w:r w:rsidRPr="00B968ED">
        <w:rPr>
          <w:sz w:val="24"/>
          <w:szCs w:val="24"/>
        </w:rPr>
        <w:t>hydroxylering</w:t>
      </w:r>
      <w:proofErr w:type="spellEnd"/>
      <w:r w:rsidRPr="00B968ED">
        <w:rPr>
          <w:sz w:val="24"/>
          <w:szCs w:val="24"/>
        </w:rPr>
        <w:t xml:space="preserve"> og N-</w:t>
      </w:r>
      <w:proofErr w:type="spellStart"/>
      <w:r w:rsidRPr="00B968ED">
        <w:rPr>
          <w:sz w:val="24"/>
          <w:szCs w:val="24"/>
        </w:rPr>
        <w:t>dealkylering</w:t>
      </w:r>
      <w:proofErr w:type="spellEnd"/>
      <w:r w:rsidRPr="00B968ED">
        <w:rPr>
          <w:sz w:val="24"/>
          <w:szCs w:val="24"/>
        </w:rPr>
        <w:t xml:space="preserve">. Baseret på </w:t>
      </w:r>
      <w:r w:rsidRPr="00B968ED">
        <w:rPr>
          <w:i/>
          <w:iCs/>
          <w:sz w:val="24"/>
          <w:szCs w:val="24"/>
        </w:rPr>
        <w:t xml:space="preserve">in </w:t>
      </w:r>
      <w:proofErr w:type="spellStart"/>
      <w:r w:rsidRPr="00B968ED">
        <w:rPr>
          <w:i/>
          <w:iCs/>
          <w:sz w:val="24"/>
          <w:szCs w:val="24"/>
        </w:rPr>
        <w:t>vitro</w:t>
      </w:r>
      <w:proofErr w:type="spellEnd"/>
      <w:r w:rsidRPr="00B968ED">
        <w:rPr>
          <w:i/>
          <w:iCs/>
          <w:sz w:val="24"/>
          <w:szCs w:val="24"/>
        </w:rPr>
        <w:t>-</w:t>
      </w:r>
      <w:r w:rsidRPr="00B968ED">
        <w:rPr>
          <w:sz w:val="24"/>
          <w:szCs w:val="24"/>
        </w:rPr>
        <w:t xml:space="preserve">studier er CYP3A4 </w:t>
      </w:r>
      <w:r w:rsidRPr="00B968ED">
        <w:rPr>
          <w:sz w:val="24"/>
          <w:szCs w:val="24"/>
        </w:rPr>
        <w:lastRenderedPageBreak/>
        <w:t xml:space="preserve">og CYP2D6 ansvarlige for </w:t>
      </w:r>
      <w:proofErr w:type="spellStart"/>
      <w:r w:rsidRPr="00B968ED">
        <w:rPr>
          <w:sz w:val="24"/>
          <w:szCs w:val="24"/>
        </w:rPr>
        <w:t>dehydrogenering</w:t>
      </w:r>
      <w:proofErr w:type="spellEnd"/>
      <w:r w:rsidRPr="00B968ED">
        <w:rPr>
          <w:sz w:val="24"/>
          <w:szCs w:val="24"/>
        </w:rPr>
        <w:t xml:space="preserve"> og </w:t>
      </w:r>
      <w:proofErr w:type="spellStart"/>
      <w:r w:rsidRPr="00B968ED">
        <w:rPr>
          <w:sz w:val="24"/>
          <w:szCs w:val="24"/>
        </w:rPr>
        <w:t>hydroxylering</w:t>
      </w:r>
      <w:proofErr w:type="spellEnd"/>
      <w:r w:rsidRPr="00B968ED">
        <w:rPr>
          <w:sz w:val="24"/>
          <w:szCs w:val="24"/>
        </w:rPr>
        <w:t xml:space="preserve"> af </w:t>
      </w:r>
      <w:proofErr w:type="spellStart"/>
      <w:r w:rsidRPr="00B968ED">
        <w:rPr>
          <w:sz w:val="24"/>
          <w:szCs w:val="24"/>
        </w:rPr>
        <w:t>aripiprazol</w:t>
      </w:r>
      <w:proofErr w:type="spellEnd"/>
      <w:r w:rsidRPr="00B968ED">
        <w:rPr>
          <w:sz w:val="24"/>
          <w:szCs w:val="24"/>
        </w:rPr>
        <w:t>, og N-</w:t>
      </w:r>
      <w:proofErr w:type="spellStart"/>
      <w:r w:rsidRPr="00B968ED">
        <w:rPr>
          <w:sz w:val="24"/>
          <w:szCs w:val="24"/>
        </w:rPr>
        <w:t>dealkylering</w:t>
      </w:r>
      <w:proofErr w:type="spellEnd"/>
      <w:r w:rsidRPr="00B968ED">
        <w:rPr>
          <w:sz w:val="24"/>
          <w:szCs w:val="24"/>
        </w:rPr>
        <w:t xml:space="preserve"> katalyseres ved CYP3A4. </w:t>
      </w:r>
      <w:proofErr w:type="spellStart"/>
      <w:r w:rsidRPr="00B968ED">
        <w:rPr>
          <w:sz w:val="24"/>
          <w:szCs w:val="24"/>
        </w:rPr>
        <w:t>Aripiprazol</w:t>
      </w:r>
      <w:proofErr w:type="spellEnd"/>
      <w:r w:rsidRPr="00B968ED">
        <w:rPr>
          <w:sz w:val="24"/>
          <w:szCs w:val="24"/>
        </w:rPr>
        <w:t xml:space="preserve"> er den dominerende lægemiddelhalvdel ved systemisk cirkulation. Ved </w:t>
      </w:r>
      <w:proofErr w:type="spellStart"/>
      <w:r w:rsidRPr="00B968ED">
        <w:rPr>
          <w:sz w:val="24"/>
          <w:szCs w:val="24"/>
        </w:rPr>
        <w:t>steady-state</w:t>
      </w:r>
      <w:proofErr w:type="spellEnd"/>
      <w:r w:rsidRPr="00B968ED">
        <w:rPr>
          <w:sz w:val="24"/>
          <w:szCs w:val="24"/>
        </w:rPr>
        <w:t xml:space="preserve"> repræsenterer </w:t>
      </w:r>
      <w:proofErr w:type="spellStart"/>
      <w:r w:rsidRPr="00B968ED">
        <w:rPr>
          <w:sz w:val="24"/>
          <w:szCs w:val="24"/>
        </w:rPr>
        <w:t>dehydro-aripiprazol</w:t>
      </w:r>
      <w:proofErr w:type="spellEnd"/>
      <w:r w:rsidRPr="00B968ED">
        <w:rPr>
          <w:sz w:val="24"/>
          <w:szCs w:val="24"/>
        </w:rPr>
        <w:t xml:space="preserve">, den aktive metabolit, omkring 40 % af </w:t>
      </w:r>
      <w:proofErr w:type="spellStart"/>
      <w:r w:rsidRPr="00B968ED">
        <w:rPr>
          <w:sz w:val="24"/>
          <w:szCs w:val="24"/>
        </w:rPr>
        <w:t>aripiprazol</w:t>
      </w:r>
      <w:proofErr w:type="spellEnd"/>
      <w:r w:rsidRPr="00B968ED">
        <w:rPr>
          <w:sz w:val="24"/>
          <w:szCs w:val="24"/>
        </w:rPr>
        <w:t xml:space="preserve"> AUC i plasma.</w:t>
      </w:r>
    </w:p>
    <w:p w14:paraId="4660D372" w14:textId="77777777" w:rsidR="006F253B" w:rsidRPr="00B968ED" w:rsidRDefault="006F253B" w:rsidP="006F253B">
      <w:pPr>
        <w:tabs>
          <w:tab w:val="left" w:pos="851"/>
        </w:tabs>
        <w:ind w:left="851" w:hanging="851"/>
        <w:rPr>
          <w:sz w:val="24"/>
          <w:szCs w:val="24"/>
        </w:rPr>
      </w:pPr>
    </w:p>
    <w:p w14:paraId="0B9C9A74" w14:textId="77777777" w:rsidR="006F253B" w:rsidRDefault="006F253B" w:rsidP="006F253B">
      <w:pPr>
        <w:pStyle w:val="Default"/>
        <w:ind w:left="851"/>
        <w:rPr>
          <w:u w:val="single"/>
        </w:rPr>
      </w:pPr>
      <w:r>
        <w:rPr>
          <w:u w:val="single"/>
        </w:rPr>
        <w:t xml:space="preserve">Elimination </w:t>
      </w:r>
    </w:p>
    <w:p w14:paraId="11DE060C" w14:textId="77777777" w:rsidR="006F253B" w:rsidRDefault="006F253B" w:rsidP="006F253B">
      <w:pPr>
        <w:pStyle w:val="Default"/>
        <w:ind w:left="851"/>
      </w:pPr>
      <w:r>
        <w:t xml:space="preserve">Middel-eliminationshalveringstiden for </w:t>
      </w:r>
      <w:proofErr w:type="spellStart"/>
      <w:r>
        <w:t>aripiprazol</w:t>
      </w:r>
      <w:proofErr w:type="spellEnd"/>
      <w:r>
        <w:t xml:space="preserve"> er cirka 75 timer hos ekstensive </w:t>
      </w:r>
      <w:proofErr w:type="spellStart"/>
      <w:r>
        <w:t>omdannere</w:t>
      </w:r>
      <w:proofErr w:type="spellEnd"/>
      <w:r>
        <w:t xml:space="preserve"> via CYP2D6 og cirka 146 timer hos dårlige </w:t>
      </w:r>
      <w:proofErr w:type="spellStart"/>
      <w:r>
        <w:t>omdannere</w:t>
      </w:r>
      <w:proofErr w:type="spellEnd"/>
      <w:r>
        <w:t xml:space="preserve">. </w:t>
      </w:r>
    </w:p>
    <w:p w14:paraId="0D9AACCA" w14:textId="77777777" w:rsidR="006F253B" w:rsidRDefault="006F253B" w:rsidP="006F253B">
      <w:pPr>
        <w:pStyle w:val="Default"/>
        <w:ind w:left="851"/>
      </w:pPr>
      <w:r>
        <w:t>Total-</w:t>
      </w:r>
      <w:proofErr w:type="spellStart"/>
      <w:r>
        <w:t>clearance</w:t>
      </w:r>
      <w:proofErr w:type="spellEnd"/>
      <w:r>
        <w:t xml:space="preserve"> af </w:t>
      </w:r>
      <w:proofErr w:type="spellStart"/>
      <w:r>
        <w:t>aripiprazol</w:t>
      </w:r>
      <w:proofErr w:type="spellEnd"/>
      <w:r>
        <w:t xml:space="preserve"> er 0,7 ml/min/kg, primært </w:t>
      </w:r>
      <w:proofErr w:type="spellStart"/>
      <w:r>
        <w:t>hepatisk</w:t>
      </w:r>
      <w:proofErr w:type="spellEnd"/>
      <w:r>
        <w:t xml:space="preserve">. </w:t>
      </w:r>
    </w:p>
    <w:p w14:paraId="01E37E3B" w14:textId="77777777" w:rsidR="006F253B" w:rsidRDefault="006F253B" w:rsidP="006F253B">
      <w:pPr>
        <w:pStyle w:val="Default"/>
        <w:ind w:left="851"/>
      </w:pPr>
      <w:r>
        <w:t xml:space="preserve">Efter enkelt oral dosis af 14C-mærket </w:t>
      </w:r>
      <w:proofErr w:type="spellStart"/>
      <w:r>
        <w:t>aripiprazol</w:t>
      </w:r>
      <w:proofErr w:type="spellEnd"/>
      <w:r>
        <w:t xml:space="preserve">, blev ca. 27 % af den administrerede radioaktivitet genfundet i urinen og cirka 60 % i fæces. Mindre end 1 % </w:t>
      </w:r>
      <w:proofErr w:type="spellStart"/>
      <w:r>
        <w:t>uomdannet</w:t>
      </w:r>
      <w:proofErr w:type="spellEnd"/>
      <w:r>
        <w:t xml:space="preserve"> </w:t>
      </w:r>
      <w:proofErr w:type="spellStart"/>
      <w:r>
        <w:t>aripiprazol</w:t>
      </w:r>
      <w:proofErr w:type="spellEnd"/>
      <w:r>
        <w:t xml:space="preserve"> blev udskilt i urinen, og ca. 18 % blev genfundet </w:t>
      </w:r>
      <w:proofErr w:type="spellStart"/>
      <w:r>
        <w:t>uomdannet</w:t>
      </w:r>
      <w:proofErr w:type="spellEnd"/>
      <w:r>
        <w:t xml:space="preserve"> i fæces. </w:t>
      </w:r>
    </w:p>
    <w:p w14:paraId="0F6E3D6E" w14:textId="77777777" w:rsidR="006F253B" w:rsidRDefault="006F253B" w:rsidP="006F253B">
      <w:pPr>
        <w:pStyle w:val="Default"/>
      </w:pPr>
    </w:p>
    <w:p w14:paraId="13376DF2" w14:textId="77777777" w:rsidR="006F253B" w:rsidRDefault="006F253B" w:rsidP="006F253B">
      <w:pPr>
        <w:pStyle w:val="Default"/>
        <w:keepNext/>
        <w:ind w:left="851"/>
      </w:pPr>
      <w:r>
        <w:rPr>
          <w:i/>
          <w:iCs/>
        </w:rPr>
        <w:t xml:space="preserve">Pædiatrisk population </w:t>
      </w:r>
    </w:p>
    <w:p w14:paraId="5081A43F" w14:textId="77777777" w:rsidR="006F253B" w:rsidRDefault="006F253B" w:rsidP="006F253B">
      <w:pPr>
        <w:pStyle w:val="Default"/>
        <w:ind w:left="851"/>
      </w:pPr>
      <w:r>
        <w:t xml:space="preserve">Farmakokinetikken af </w:t>
      </w:r>
      <w:proofErr w:type="spellStart"/>
      <w:r>
        <w:t>aripiprazol</w:t>
      </w:r>
      <w:proofErr w:type="spellEnd"/>
      <w:r>
        <w:t xml:space="preserve"> og </w:t>
      </w:r>
      <w:proofErr w:type="spellStart"/>
      <w:r>
        <w:t>dehydro-aripiprazol</w:t>
      </w:r>
      <w:proofErr w:type="spellEnd"/>
      <w:r>
        <w:t xml:space="preserve"> hos pædiatriske patienter i alderen 10-17 år svarede til den hos voksne, efter der er taget højde for forskellen i kropsvægt. </w:t>
      </w:r>
    </w:p>
    <w:p w14:paraId="1886DBBB" w14:textId="77777777" w:rsidR="006F253B" w:rsidRDefault="006F253B" w:rsidP="006F253B">
      <w:pPr>
        <w:pStyle w:val="Default"/>
        <w:ind w:left="851"/>
        <w:rPr>
          <w:u w:val="single"/>
        </w:rPr>
      </w:pPr>
    </w:p>
    <w:p w14:paraId="08A85C6B" w14:textId="77777777" w:rsidR="006F253B" w:rsidRDefault="006F253B" w:rsidP="006F253B">
      <w:pPr>
        <w:pStyle w:val="Default"/>
        <w:ind w:left="851"/>
        <w:rPr>
          <w:u w:val="single"/>
        </w:rPr>
      </w:pPr>
      <w:r>
        <w:rPr>
          <w:u w:val="single"/>
        </w:rPr>
        <w:t xml:space="preserve">Farmakokinetik i særlige patientgrupper </w:t>
      </w:r>
    </w:p>
    <w:p w14:paraId="3DEE3349" w14:textId="77777777" w:rsidR="006F253B" w:rsidRDefault="006F253B" w:rsidP="006F253B">
      <w:pPr>
        <w:pStyle w:val="Default"/>
        <w:ind w:left="851"/>
        <w:rPr>
          <w:i/>
          <w:iCs/>
        </w:rPr>
      </w:pPr>
    </w:p>
    <w:p w14:paraId="76325D1F" w14:textId="77777777" w:rsidR="006F253B" w:rsidRDefault="006F253B" w:rsidP="006F253B">
      <w:pPr>
        <w:pStyle w:val="Default"/>
        <w:keepNext/>
        <w:ind w:left="851"/>
      </w:pPr>
      <w:r>
        <w:rPr>
          <w:i/>
          <w:iCs/>
        </w:rPr>
        <w:t>Ældre</w:t>
      </w:r>
    </w:p>
    <w:p w14:paraId="052B53CB" w14:textId="77777777" w:rsidR="006F253B" w:rsidRDefault="006F253B" w:rsidP="006F253B">
      <w:pPr>
        <w:tabs>
          <w:tab w:val="left" w:pos="851"/>
        </w:tabs>
        <w:ind w:left="851" w:hanging="851"/>
        <w:rPr>
          <w:sz w:val="24"/>
          <w:szCs w:val="24"/>
        </w:rPr>
      </w:pPr>
      <w:r>
        <w:rPr>
          <w:sz w:val="24"/>
          <w:szCs w:val="24"/>
        </w:rPr>
        <w:tab/>
        <w:t xml:space="preserve">Der er ingen forskel på farmakokinetik for </w:t>
      </w:r>
      <w:proofErr w:type="spellStart"/>
      <w:r>
        <w:rPr>
          <w:sz w:val="24"/>
          <w:szCs w:val="24"/>
        </w:rPr>
        <w:t>aripiprazol</w:t>
      </w:r>
      <w:proofErr w:type="spellEnd"/>
      <w:r>
        <w:rPr>
          <w:sz w:val="24"/>
          <w:szCs w:val="24"/>
        </w:rPr>
        <w:t xml:space="preserve"> hos raske, ældre og yngre voksne forsøgspersoner, ligesom der i en </w:t>
      </w:r>
      <w:proofErr w:type="spellStart"/>
      <w:r>
        <w:rPr>
          <w:sz w:val="24"/>
          <w:szCs w:val="24"/>
        </w:rPr>
        <w:t>befolkningsfarmakokinetisk</w:t>
      </w:r>
      <w:proofErr w:type="spellEnd"/>
      <w:r>
        <w:rPr>
          <w:sz w:val="24"/>
          <w:szCs w:val="24"/>
        </w:rPr>
        <w:t xml:space="preserve"> analyse af skizofrene patienter ikke er set påviselig effekt af alder.</w:t>
      </w:r>
    </w:p>
    <w:p w14:paraId="6A3A4B04" w14:textId="77777777" w:rsidR="006F253B" w:rsidRPr="00BB2C3C" w:rsidRDefault="006F253B" w:rsidP="006F253B">
      <w:pPr>
        <w:tabs>
          <w:tab w:val="left" w:pos="851"/>
        </w:tabs>
        <w:ind w:left="851" w:hanging="851"/>
        <w:rPr>
          <w:sz w:val="24"/>
          <w:szCs w:val="24"/>
        </w:rPr>
      </w:pPr>
    </w:p>
    <w:p w14:paraId="595CC21A" w14:textId="77777777" w:rsidR="006F253B" w:rsidRPr="00BB2C3C" w:rsidRDefault="006F253B" w:rsidP="006F253B">
      <w:pPr>
        <w:pStyle w:val="Default"/>
        <w:ind w:left="851"/>
      </w:pPr>
      <w:r w:rsidRPr="00BB2C3C">
        <w:rPr>
          <w:i/>
          <w:iCs/>
        </w:rPr>
        <w:t xml:space="preserve">Køn </w:t>
      </w:r>
    </w:p>
    <w:p w14:paraId="568F3DA1" w14:textId="77777777" w:rsidR="006F253B" w:rsidRPr="00BB2C3C" w:rsidRDefault="006F253B" w:rsidP="006F253B">
      <w:pPr>
        <w:pStyle w:val="Default"/>
        <w:ind w:left="851"/>
      </w:pPr>
      <w:r w:rsidRPr="00BB2C3C">
        <w:t xml:space="preserve">Der er ingen forskel på farmakokinetik for </w:t>
      </w:r>
      <w:proofErr w:type="spellStart"/>
      <w:r w:rsidRPr="00BB2C3C">
        <w:t>aripiprazol</w:t>
      </w:r>
      <w:proofErr w:type="spellEnd"/>
      <w:r w:rsidRPr="00BB2C3C">
        <w:t xml:space="preserve"> hos raske mandlige og kvindelige forsøgspersoner, ligesom der i en </w:t>
      </w:r>
      <w:proofErr w:type="spellStart"/>
      <w:r w:rsidRPr="00BB2C3C">
        <w:t>befolkningsfarmakokinetisk</w:t>
      </w:r>
      <w:proofErr w:type="spellEnd"/>
      <w:r w:rsidRPr="00BB2C3C">
        <w:t xml:space="preserve"> analyse af skizofrene patienter ikke er set påviselig effekt af køn. </w:t>
      </w:r>
    </w:p>
    <w:p w14:paraId="503C2FB1" w14:textId="77777777" w:rsidR="006F253B" w:rsidRPr="00BB2C3C" w:rsidRDefault="006F253B" w:rsidP="006F253B">
      <w:pPr>
        <w:pStyle w:val="Default"/>
        <w:ind w:left="851"/>
      </w:pPr>
    </w:p>
    <w:p w14:paraId="2FFE69DA" w14:textId="77777777" w:rsidR="006F253B" w:rsidRPr="00BB2C3C" w:rsidRDefault="006F253B" w:rsidP="006F253B">
      <w:pPr>
        <w:pStyle w:val="Default"/>
        <w:ind w:left="851"/>
      </w:pPr>
      <w:r w:rsidRPr="00BB2C3C">
        <w:rPr>
          <w:i/>
          <w:iCs/>
        </w:rPr>
        <w:t xml:space="preserve">Rygning </w:t>
      </w:r>
    </w:p>
    <w:p w14:paraId="4E2F8DC9" w14:textId="77777777" w:rsidR="006F253B" w:rsidRPr="00BB2C3C" w:rsidRDefault="006F253B" w:rsidP="006F253B">
      <w:pPr>
        <w:pStyle w:val="Default"/>
        <w:ind w:left="851"/>
      </w:pPr>
      <w:proofErr w:type="spellStart"/>
      <w:r w:rsidRPr="00BB2C3C">
        <w:t>Befolkningsfarmakokinetisk</w:t>
      </w:r>
      <w:proofErr w:type="spellEnd"/>
      <w:r w:rsidRPr="00BB2C3C">
        <w:t xml:space="preserve"> evaluering har ikke vist tegn på klinisk signifikante racerelaterede forskelle, eller at rygning skulle påvirke farmakokinetik for </w:t>
      </w:r>
      <w:proofErr w:type="spellStart"/>
      <w:r w:rsidRPr="00BB2C3C">
        <w:t>aripiprazol</w:t>
      </w:r>
      <w:proofErr w:type="spellEnd"/>
      <w:r w:rsidRPr="00BB2C3C">
        <w:t xml:space="preserve">. </w:t>
      </w:r>
    </w:p>
    <w:p w14:paraId="115F3DB3" w14:textId="77777777" w:rsidR="006F253B" w:rsidRPr="00BB2C3C" w:rsidRDefault="006F253B" w:rsidP="006F253B">
      <w:pPr>
        <w:pStyle w:val="Default"/>
        <w:ind w:left="851"/>
      </w:pPr>
    </w:p>
    <w:p w14:paraId="0DCEC22A" w14:textId="77777777" w:rsidR="006F253B" w:rsidRPr="00BB2C3C" w:rsidRDefault="006F253B" w:rsidP="006F253B">
      <w:pPr>
        <w:pStyle w:val="Default"/>
        <w:ind w:left="851"/>
        <w:rPr>
          <w:i/>
        </w:rPr>
      </w:pPr>
      <w:r w:rsidRPr="00BB2C3C">
        <w:rPr>
          <w:i/>
        </w:rPr>
        <w:t>Race</w:t>
      </w:r>
    </w:p>
    <w:p w14:paraId="4FFB7955" w14:textId="77777777" w:rsidR="006F253B" w:rsidRPr="00BB2C3C" w:rsidRDefault="006F253B" w:rsidP="006F253B">
      <w:pPr>
        <w:pStyle w:val="Default"/>
        <w:ind w:left="851"/>
      </w:pPr>
      <w:r w:rsidRPr="00BB2C3C">
        <w:t xml:space="preserve">I en </w:t>
      </w:r>
      <w:proofErr w:type="spellStart"/>
      <w:r w:rsidRPr="00BB2C3C">
        <w:t>farmakokinetisk</w:t>
      </w:r>
      <w:proofErr w:type="spellEnd"/>
      <w:r w:rsidRPr="00BB2C3C">
        <w:t xml:space="preserve"> populationsanalyse fandt man ingen tegn på racerelaterede forskelle, hvad angår </w:t>
      </w:r>
      <w:proofErr w:type="spellStart"/>
      <w:r w:rsidRPr="00BB2C3C">
        <w:t>aripiprazols</w:t>
      </w:r>
      <w:proofErr w:type="spellEnd"/>
      <w:r w:rsidRPr="00BB2C3C">
        <w:t xml:space="preserve"> farmakokinetik.</w:t>
      </w:r>
    </w:p>
    <w:p w14:paraId="7D6A94EE" w14:textId="77777777" w:rsidR="006F253B" w:rsidRPr="00B968ED" w:rsidRDefault="006F253B" w:rsidP="006F253B">
      <w:pPr>
        <w:pStyle w:val="Default"/>
        <w:ind w:left="851"/>
      </w:pPr>
    </w:p>
    <w:p w14:paraId="7CE0739B" w14:textId="77777777" w:rsidR="006F253B" w:rsidRPr="00B968ED" w:rsidRDefault="006F253B" w:rsidP="006F253B">
      <w:pPr>
        <w:pStyle w:val="Default"/>
        <w:ind w:left="851"/>
      </w:pPr>
      <w:r w:rsidRPr="00B968ED">
        <w:rPr>
          <w:i/>
          <w:iCs/>
        </w:rPr>
        <w:t xml:space="preserve">Nedsat nyrefunktion </w:t>
      </w:r>
    </w:p>
    <w:p w14:paraId="49BFF8F8" w14:textId="77777777" w:rsidR="006F253B" w:rsidRPr="00B968ED" w:rsidRDefault="006F253B" w:rsidP="006F253B">
      <w:pPr>
        <w:pStyle w:val="Default"/>
        <w:ind w:left="851"/>
      </w:pPr>
      <w:proofErr w:type="spellStart"/>
      <w:r w:rsidRPr="00B968ED">
        <w:t>Farmakokinetiske</w:t>
      </w:r>
      <w:proofErr w:type="spellEnd"/>
      <w:r w:rsidRPr="00B968ED">
        <w:t xml:space="preserve"> karakteristika ved </w:t>
      </w:r>
      <w:proofErr w:type="spellStart"/>
      <w:r w:rsidRPr="00B968ED">
        <w:t>aripiprazol</w:t>
      </w:r>
      <w:proofErr w:type="spellEnd"/>
      <w:r w:rsidRPr="00B968ED">
        <w:t xml:space="preserve"> og </w:t>
      </w:r>
      <w:proofErr w:type="spellStart"/>
      <w:r w:rsidRPr="00B968ED">
        <w:t>dehydro-aripiprazol</w:t>
      </w:r>
      <w:proofErr w:type="spellEnd"/>
      <w:r w:rsidRPr="00B968ED">
        <w:t xml:space="preserve"> er fundet at være ens hos patienter med svær nyrelidelse og unge, raske forsøgspersoner. </w:t>
      </w:r>
    </w:p>
    <w:p w14:paraId="64BF1F14" w14:textId="77777777" w:rsidR="006F253B" w:rsidRPr="00B968ED" w:rsidRDefault="006F253B" w:rsidP="006F253B">
      <w:pPr>
        <w:pStyle w:val="Default"/>
        <w:ind w:left="851"/>
      </w:pPr>
    </w:p>
    <w:p w14:paraId="13182C11" w14:textId="77777777" w:rsidR="006F253B" w:rsidRPr="00B968ED" w:rsidRDefault="006F253B" w:rsidP="006E4352">
      <w:pPr>
        <w:pStyle w:val="Default"/>
        <w:keepNext/>
        <w:ind w:left="851"/>
      </w:pPr>
      <w:r w:rsidRPr="00B968ED">
        <w:rPr>
          <w:i/>
          <w:iCs/>
        </w:rPr>
        <w:t xml:space="preserve">Nedsat leverfunktion </w:t>
      </w:r>
    </w:p>
    <w:p w14:paraId="215F4DF0" w14:textId="77777777" w:rsidR="006F253B" w:rsidRPr="00B968ED" w:rsidRDefault="006F253B" w:rsidP="006F253B">
      <w:pPr>
        <w:tabs>
          <w:tab w:val="left" w:pos="851"/>
        </w:tabs>
        <w:ind w:left="851" w:hanging="851"/>
        <w:rPr>
          <w:sz w:val="24"/>
          <w:szCs w:val="24"/>
        </w:rPr>
      </w:pPr>
      <w:r w:rsidRPr="00B968ED">
        <w:rPr>
          <w:sz w:val="24"/>
          <w:szCs w:val="24"/>
        </w:rPr>
        <w:tab/>
        <w:t xml:space="preserve">Et enkeltdosis-studie med patienter med varierende grad af </w:t>
      </w:r>
      <w:proofErr w:type="spellStart"/>
      <w:r w:rsidRPr="00B968ED">
        <w:rPr>
          <w:sz w:val="24"/>
          <w:szCs w:val="24"/>
        </w:rPr>
        <w:t>levercirrhose</w:t>
      </w:r>
      <w:proofErr w:type="spellEnd"/>
      <w:r w:rsidRPr="00B968ED">
        <w:rPr>
          <w:sz w:val="24"/>
          <w:szCs w:val="24"/>
        </w:rPr>
        <w:t xml:space="preserve"> (Child-</w:t>
      </w:r>
      <w:proofErr w:type="spellStart"/>
      <w:r w:rsidRPr="00B968ED">
        <w:rPr>
          <w:sz w:val="24"/>
          <w:szCs w:val="24"/>
        </w:rPr>
        <w:t>Pugh</w:t>
      </w:r>
      <w:proofErr w:type="spellEnd"/>
      <w:r w:rsidRPr="00B968ED">
        <w:rPr>
          <w:sz w:val="24"/>
          <w:szCs w:val="24"/>
        </w:rPr>
        <w:t xml:space="preserve">-klasse A, B og C) har ikke vist, at </w:t>
      </w:r>
      <w:proofErr w:type="spellStart"/>
      <w:r w:rsidRPr="00B968ED">
        <w:rPr>
          <w:sz w:val="24"/>
          <w:szCs w:val="24"/>
        </w:rPr>
        <w:t>hepatisk</w:t>
      </w:r>
      <w:proofErr w:type="spellEnd"/>
      <w:r w:rsidRPr="00B968ED">
        <w:rPr>
          <w:sz w:val="24"/>
          <w:szCs w:val="24"/>
        </w:rPr>
        <w:t xml:space="preserve"> svækkelse skulle have signifikant betydning for farmakokinetik for </w:t>
      </w:r>
      <w:proofErr w:type="spellStart"/>
      <w:r w:rsidRPr="00B968ED">
        <w:rPr>
          <w:sz w:val="24"/>
          <w:szCs w:val="24"/>
        </w:rPr>
        <w:t>aripiprazol</w:t>
      </w:r>
      <w:proofErr w:type="spellEnd"/>
      <w:r w:rsidRPr="00B968ED">
        <w:rPr>
          <w:sz w:val="24"/>
          <w:szCs w:val="24"/>
        </w:rPr>
        <w:t xml:space="preserve"> og </w:t>
      </w:r>
      <w:proofErr w:type="spellStart"/>
      <w:r w:rsidRPr="00B968ED">
        <w:rPr>
          <w:sz w:val="24"/>
          <w:szCs w:val="24"/>
        </w:rPr>
        <w:t>dehydro-aripiprazol</w:t>
      </w:r>
      <w:proofErr w:type="spellEnd"/>
      <w:r w:rsidRPr="00B968ED">
        <w:rPr>
          <w:sz w:val="24"/>
          <w:szCs w:val="24"/>
        </w:rPr>
        <w:t xml:space="preserve">, men undersøgelsen omfattede kun 3 patienter med klasse C </w:t>
      </w:r>
      <w:proofErr w:type="spellStart"/>
      <w:r w:rsidRPr="00B968ED">
        <w:rPr>
          <w:sz w:val="24"/>
          <w:szCs w:val="24"/>
        </w:rPr>
        <w:t>levercirrhose</w:t>
      </w:r>
      <w:proofErr w:type="spellEnd"/>
      <w:r w:rsidRPr="00B968ED">
        <w:rPr>
          <w:sz w:val="24"/>
          <w:szCs w:val="24"/>
        </w:rPr>
        <w:t>, hvilket er utilstrækkelig basis for en konklusion vedrørende metabolisk kapacitet.</w:t>
      </w:r>
    </w:p>
    <w:p w14:paraId="603DA7C8" w14:textId="77777777" w:rsidR="006F253B" w:rsidRPr="00B968ED" w:rsidRDefault="006F253B" w:rsidP="006F253B">
      <w:pPr>
        <w:tabs>
          <w:tab w:val="left" w:pos="851"/>
        </w:tabs>
        <w:rPr>
          <w:sz w:val="24"/>
          <w:szCs w:val="24"/>
        </w:rPr>
      </w:pPr>
    </w:p>
    <w:p w14:paraId="385A9B51" w14:textId="77777777" w:rsidR="006F253B" w:rsidRPr="00B968ED" w:rsidRDefault="006F253B" w:rsidP="006F253B">
      <w:pPr>
        <w:tabs>
          <w:tab w:val="left" w:pos="851"/>
        </w:tabs>
        <w:ind w:left="851" w:hanging="851"/>
        <w:rPr>
          <w:b/>
          <w:sz w:val="24"/>
          <w:szCs w:val="24"/>
        </w:rPr>
      </w:pPr>
      <w:r w:rsidRPr="00B968ED">
        <w:rPr>
          <w:b/>
          <w:sz w:val="24"/>
          <w:szCs w:val="24"/>
        </w:rPr>
        <w:t>5.3</w:t>
      </w:r>
      <w:r w:rsidRPr="00B968ED">
        <w:rPr>
          <w:b/>
          <w:sz w:val="24"/>
          <w:szCs w:val="24"/>
        </w:rPr>
        <w:tab/>
      </w:r>
      <w:r w:rsidR="00705894">
        <w:rPr>
          <w:b/>
          <w:sz w:val="24"/>
          <w:szCs w:val="24"/>
        </w:rPr>
        <w:t>Non-</w:t>
      </w:r>
      <w:r w:rsidRPr="00B968ED">
        <w:rPr>
          <w:b/>
          <w:sz w:val="24"/>
          <w:szCs w:val="24"/>
        </w:rPr>
        <w:t>kliniske sikkerhedsdata</w:t>
      </w:r>
    </w:p>
    <w:p w14:paraId="07054F57" w14:textId="77777777" w:rsidR="006F253B" w:rsidRPr="00B968ED" w:rsidRDefault="006F253B" w:rsidP="006F253B">
      <w:pPr>
        <w:pStyle w:val="Default"/>
        <w:ind w:left="851"/>
      </w:pPr>
      <w:r w:rsidRPr="00B968ED">
        <w:lastRenderedPageBreak/>
        <w:t xml:space="preserve">Prækliniske data viser ingen speciel risiko for mennesker vurderet ud fra konventionelle studier af sikkerhedsfarmakologi, toksicitet efter gentagne doser, genotoksicitet, </w:t>
      </w:r>
      <w:proofErr w:type="spellStart"/>
      <w:r w:rsidRPr="00B968ED">
        <w:t>karcinogenicitet</w:t>
      </w:r>
      <w:proofErr w:type="spellEnd"/>
      <w:r w:rsidRPr="00B968ED">
        <w:t xml:space="preserve"> samt reproduktions- og udviklingstoksicitet. </w:t>
      </w:r>
    </w:p>
    <w:p w14:paraId="71C17912" w14:textId="77777777" w:rsidR="006F253B" w:rsidRPr="00B968ED" w:rsidRDefault="006F253B" w:rsidP="006F253B">
      <w:pPr>
        <w:pStyle w:val="Default"/>
        <w:ind w:left="851"/>
      </w:pPr>
    </w:p>
    <w:p w14:paraId="264E97C9" w14:textId="77777777" w:rsidR="00705894" w:rsidRPr="00B968ED" w:rsidRDefault="00705894" w:rsidP="00705894">
      <w:pPr>
        <w:pStyle w:val="Default"/>
        <w:ind w:left="851"/>
      </w:pPr>
      <w:r w:rsidRPr="00B968ED">
        <w:t>Der er kun observeret signifikante toksikologiske virkninger ved doser eller optagelse, der i væsentlig grad overstiger den maksimale humane eksponering eller optagelse. Disse virkninger vurderes derfor til at være af ringe relevans ved klinisk brug. Dette indbefattede: dosisafhængig binyretoksicitet (</w:t>
      </w:r>
      <w:proofErr w:type="spellStart"/>
      <w:r w:rsidRPr="00B968ED">
        <w:t>lipofuscin</w:t>
      </w:r>
      <w:proofErr w:type="spellEnd"/>
      <w:r w:rsidRPr="00B968ED">
        <w:t xml:space="preserve"> pigmentakkumulering og/eller </w:t>
      </w:r>
      <w:proofErr w:type="spellStart"/>
      <w:r w:rsidRPr="00B968ED">
        <w:t>parenkymalt</w:t>
      </w:r>
      <w:proofErr w:type="spellEnd"/>
      <w:r w:rsidRPr="00B968ED">
        <w:t xml:space="preserve"> celletab) hos rotter efter 104 uger med 20</w:t>
      </w:r>
      <w:r>
        <w:t xml:space="preserve"> </w:t>
      </w:r>
      <w:commentRangeStart w:id="19"/>
      <w:r>
        <w:t xml:space="preserve">mg/kg/dag til </w:t>
      </w:r>
      <w:r w:rsidRPr="00B968ED">
        <w:t>60 mg/kg/dag (3</w:t>
      </w:r>
      <w:r>
        <w:t xml:space="preserve"> til</w:t>
      </w:r>
      <w:commentRangeEnd w:id="19"/>
      <w:r>
        <w:rPr>
          <w:rStyle w:val="Kommentarhenvisning"/>
          <w:color w:val="auto"/>
        </w:rPr>
        <w:commentReference w:id="19"/>
      </w:r>
      <w:r>
        <w:t xml:space="preserve"> </w:t>
      </w:r>
      <w:r w:rsidRPr="00B968ED">
        <w:t>10 gange middel-</w:t>
      </w:r>
      <w:proofErr w:type="spellStart"/>
      <w:r w:rsidRPr="00B968ED">
        <w:t>steady</w:t>
      </w:r>
      <w:proofErr w:type="spellEnd"/>
      <w:r w:rsidRPr="00B968ED">
        <w:t>-</w:t>
      </w:r>
      <w:proofErr w:type="spellStart"/>
      <w:r w:rsidRPr="00B968ED">
        <w:t>state</w:t>
      </w:r>
      <w:proofErr w:type="spellEnd"/>
      <w:r w:rsidRPr="00B968ED">
        <w:t xml:space="preserve"> AUC ved den maksimale, anbefalede humane dosis) samt øget forekomst af binyrekarcinomer og kombinerede </w:t>
      </w:r>
      <w:proofErr w:type="spellStart"/>
      <w:r w:rsidRPr="00B968ED">
        <w:t>binyreadenomer</w:t>
      </w:r>
      <w:proofErr w:type="spellEnd"/>
      <w:r w:rsidRPr="00B968ED">
        <w:t>/karcinomer hos hunrotter ved 60 mg/kg/dag (10 gange middel-</w:t>
      </w:r>
      <w:proofErr w:type="spellStart"/>
      <w:r w:rsidRPr="00B968ED">
        <w:t>steady</w:t>
      </w:r>
      <w:proofErr w:type="spellEnd"/>
      <w:r w:rsidRPr="00B968ED">
        <w:t>-</w:t>
      </w:r>
      <w:proofErr w:type="spellStart"/>
      <w:r w:rsidRPr="00B968ED">
        <w:t>state</w:t>
      </w:r>
      <w:proofErr w:type="spellEnd"/>
      <w:r w:rsidRPr="00B968ED">
        <w:t xml:space="preserve"> AUC ved den maksimale, anbefalede humane dosis). Den højeste ikke-tumorfremkaldende eksponering hos hunrotter var 7 gange den anbefalede humane dosis. </w:t>
      </w:r>
    </w:p>
    <w:p w14:paraId="3021B165" w14:textId="77777777" w:rsidR="00705894" w:rsidRPr="00B968ED" w:rsidRDefault="00705894" w:rsidP="00705894">
      <w:pPr>
        <w:pStyle w:val="Default"/>
        <w:ind w:left="851"/>
      </w:pPr>
    </w:p>
    <w:p w14:paraId="179F2C16" w14:textId="77777777" w:rsidR="00705894" w:rsidRDefault="00705894" w:rsidP="00705894">
      <w:pPr>
        <w:pStyle w:val="Default"/>
        <w:ind w:left="851"/>
      </w:pPr>
      <w:r w:rsidRPr="00B968ED">
        <w:t xml:space="preserve">Derudover sås </w:t>
      </w:r>
      <w:proofErr w:type="spellStart"/>
      <w:r w:rsidRPr="00B968ED">
        <w:t>cholelithiasis</w:t>
      </w:r>
      <w:proofErr w:type="spellEnd"/>
      <w:r w:rsidRPr="00B968ED">
        <w:t xml:space="preserve"> som følge af udfældning af </w:t>
      </w:r>
      <w:proofErr w:type="spellStart"/>
      <w:r w:rsidRPr="00B968ED">
        <w:t>sulfatkonjugater</w:t>
      </w:r>
      <w:proofErr w:type="spellEnd"/>
      <w:r w:rsidRPr="00B968ED">
        <w:t xml:space="preserve"> af </w:t>
      </w:r>
      <w:proofErr w:type="spellStart"/>
      <w:r w:rsidRPr="00B968ED">
        <w:t>hydroxymetabolitter</w:t>
      </w:r>
      <w:proofErr w:type="spellEnd"/>
      <w:r w:rsidRPr="00B968ED">
        <w:t xml:space="preserve"> af </w:t>
      </w:r>
      <w:proofErr w:type="spellStart"/>
      <w:r w:rsidRPr="00B968ED">
        <w:t>aripiprazol</w:t>
      </w:r>
      <w:proofErr w:type="spellEnd"/>
      <w:r w:rsidRPr="00B968ED">
        <w:t xml:space="preserve"> i galden hos aber efter gentagne orale doser på</w:t>
      </w:r>
    </w:p>
    <w:p w14:paraId="506B0AE7" w14:textId="77777777" w:rsidR="00705894" w:rsidRPr="00B968ED" w:rsidRDefault="00705894" w:rsidP="00705894">
      <w:pPr>
        <w:pStyle w:val="Default"/>
        <w:ind w:left="851"/>
      </w:pPr>
      <w:r w:rsidRPr="00B968ED">
        <w:t>25</w:t>
      </w:r>
      <w:r>
        <w:t xml:space="preserve"> </w:t>
      </w:r>
      <w:commentRangeStart w:id="20"/>
      <w:r>
        <w:t xml:space="preserve">mg/kg/dag til </w:t>
      </w:r>
      <w:r w:rsidRPr="00B968ED">
        <w:t>125 mg/kg/dag (1</w:t>
      </w:r>
      <w:r>
        <w:t xml:space="preserve"> til </w:t>
      </w:r>
      <w:r w:rsidRPr="00B968ED">
        <w:t>3 gange middel-</w:t>
      </w:r>
      <w:proofErr w:type="spellStart"/>
      <w:r w:rsidRPr="00B968ED">
        <w:t>steady</w:t>
      </w:r>
      <w:proofErr w:type="spellEnd"/>
      <w:r w:rsidRPr="00B968ED">
        <w:t>-</w:t>
      </w:r>
      <w:proofErr w:type="spellStart"/>
      <w:r w:rsidRPr="00B968ED">
        <w:t>state</w:t>
      </w:r>
      <w:proofErr w:type="spellEnd"/>
      <w:r w:rsidRPr="00B968ED">
        <w:t xml:space="preserve"> AUC ved den maksimale, anbefalede kliniske dosis eller 16</w:t>
      </w:r>
      <w:r>
        <w:t xml:space="preserve"> til</w:t>
      </w:r>
      <w:commentRangeEnd w:id="20"/>
      <w:r>
        <w:rPr>
          <w:rStyle w:val="Kommentarhenvisning"/>
          <w:color w:val="auto"/>
        </w:rPr>
        <w:commentReference w:id="20"/>
      </w:r>
      <w:r>
        <w:t xml:space="preserve"> </w:t>
      </w:r>
      <w:r w:rsidRPr="00B968ED">
        <w:t>81 gange den anbefalede, humane dosis baseret på mg/m</w:t>
      </w:r>
      <w:r w:rsidRPr="00B968ED">
        <w:rPr>
          <w:vertAlign w:val="superscript"/>
        </w:rPr>
        <w:t>2</w:t>
      </w:r>
      <w:r w:rsidRPr="00B968ED">
        <w:t xml:space="preserve">). Koncentrationerne af </w:t>
      </w:r>
      <w:proofErr w:type="spellStart"/>
      <w:r w:rsidRPr="00B968ED">
        <w:t>sulfatkonjugat</w:t>
      </w:r>
      <w:proofErr w:type="spellEnd"/>
      <w:r w:rsidRPr="00B968ED">
        <w:t xml:space="preserve"> af </w:t>
      </w:r>
      <w:proofErr w:type="spellStart"/>
      <w:r w:rsidRPr="00B968ED">
        <w:t>hydroxyaripiprazol</w:t>
      </w:r>
      <w:proofErr w:type="spellEnd"/>
      <w:r w:rsidRPr="00B968ED">
        <w:t xml:space="preserve"> i den humane galdeblære ved den højeste foreslåede dosis (30 mg/dag) var dog ikke mere end 6 % af de galdekoncentrationer, der sås hos aber i 39-ugers studiet og lå godt under (6 %) grænserne for </w:t>
      </w:r>
      <w:r w:rsidRPr="00B968ED">
        <w:rPr>
          <w:i/>
          <w:iCs/>
        </w:rPr>
        <w:t xml:space="preserve">in </w:t>
      </w:r>
      <w:proofErr w:type="spellStart"/>
      <w:r w:rsidRPr="00B968ED">
        <w:rPr>
          <w:i/>
          <w:iCs/>
        </w:rPr>
        <w:t>vitro</w:t>
      </w:r>
      <w:proofErr w:type="spellEnd"/>
      <w:r w:rsidRPr="00B968ED">
        <w:rPr>
          <w:i/>
          <w:iCs/>
        </w:rPr>
        <w:t xml:space="preserve"> </w:t>
      </w:r>
      <w:r w:rsidRPr="00B968ED">
        <w:t xml:space="preserve">opløselighed. </w:t>
      </w:r>
    </w:p>
    <w:p w14:paraId="358E21A0" w14:textId="77777777" w:rsidR="006F253B" w:rsidRPr="00B968ED" w:rsidRDefault="006F253B" w:rsidP="006F253B">
      <w:pPr>
        <w:pStyle w:val="Default"/>
        <w:ind w:left="851"/>
      </w:pPr>
    </w:p>
    <w:p w14:paraId="28ACCB92" w14:textId="77777777" w:rsidR="006F253B" w:rsidRPr="00B968ED" w:rsidRDefault="006F253B" w:rsidP="006F253B">
      <w:pPr>
        <w:pStyle w:val="Default"/>
        <w:ind w:left="851"/>
      </w:pPr>
      <w:r w:rsidRPr="00B968ED">
        <w:t xml:space="preserve">I studier med gentagne doser hos juvenile rotter og hunde var toksicitetsprofilen af </w:t>
      </w:r>
      <w:proofErr w:type="spellStart"/>
      <w:r w:rsidRPr="00B968ED">
        <w:t>aripiprazol</w:t>
      </w:r>
      <w:proofErr w:type="spellEnd"/>
      <w:r w:rsidRPr="00B968ED">
        <w:t xml:space="preserve"> sammenlignelig med den, der blev observeret hos voksne dyr, og der var intet, der tydede på </w:t>
      </w:r>
      <w:proofErr w:type="spellStart"/>
      <w:r w:rsidRPr="00B968ED">
        <w:t>neurotoksicitet</w:t>
      </w:r>
      <w:proofErr w:type="spellEnd"/>
      <w:r w:rsidRPr="00B968ED">
        <w:t xml:space="preserve"> eller bivirkninger på udviklingen. </w:t>
      </w:r>
    </w:p>
    <w:p w14:paraId="080A6EB8" w14:textId="77777777" w:rsidR="006F253B" w:rsidRPr="00B968ED" w:rsidRDefault="006F253B" w:rsidP="006F253B">
      <w:pPr>
        <w:pStyle w:val="Default"/>
        <w:ind w:left="851"/>
      </w:pPr>
    </w:p>
    <w:p w14:paraId="134631AF" w14:textId="77777777" w:rsidR="006F253B" w:rsidRPr="00B968ED" w:rsidRDefault="006F253B" w:rsidP="006F253B">
      <w:pPr>
        <w:tabs>
          <w:tab w:val="left" w:pos="851"/>
        </w:tabs>
        <w:ind w:left="851" w:hanging="851"/>
        <w:rPr>
          <w:sz w:val="24"/>
          <w:szCs w:val="24"/>
        </w:rPr>
      </w:pPr>
      <w:r w:rsidRPr="00B968ED">
        <w:rPr>
          <w:sz w:val="24"/>
          <w:szCs w:val="24"/>
        </w:rPr>
        <w:tab/>
      </w:r>
      <w:proofErr w:type="spellStart"/>
      <w:r w:rsidRPr="00B968ED">
        <w:rPr>
          <w:sz w:val="24"/>
          <w:szCs w:val="24"/>
        </w:rPr>
        <w:t>Aripiprazol</w:t>
      </w:r>
      <w:proofErr w:type="spellEnd"/>
      <w:r w:rsidRPr="00B968ED">
        <w:rPr>
          <w:sz w:val="24"/>
          <w:szCs w:val="24"/>
        </w:rPr>
        <w:t xml:space="preserve"> er, baseret på resultater fra en fuld skala af standard-</w:t>
      </w:r>
      <w:proofErr w:type="spellStart"/>
      <w:r w:rsidRPr="00B968ED">
        <w:rPr>
          <w:sz w:val="24"/>
          <w:szCs w:val="24"/>
        </w:rPr>
        <w:t>genotoksicitetstest</w:t>
      </w:r>
      <w:proofErr w:type="spellEnd"/>
      <w:r w:rsidRPr="00B968ED">
        <w:rPr>
          <w:sz w:val="24"/>
          <w:szCs w:val="24"/>
        </w:rPr>
        <w:t xml:space="preserve">, ikke fundet at være genotoksisk. </w:t>
      </w:r>
      <w:proofErr w:type="spellStart"/>
      <w:r w:rsidRPr="00B968ED">
        <w:rPr>
          <w:sz w:val="24"/>
          <w:szCs w:val="24"/>
        </w:rPr>
        <w:t>Aripiprazol</w:t>
      </w:r>
      <w:proofErr w:type="spellEnd"/>
      <w:r w:rsidRPr="00B968ED">
        <w:rPr>
          <w:sz w:val="24"/>
          <w:szCs w:val="24"/>
        </w:rPr>
        <w:t xml:space="preserve"> har i reproduktionstoksicitetsstudier ikke påvirket fertiliteten. Der er hos rotter observeret udviklingsmæssig toksicitet, herunder dosisafhængig, forsinket </w:t>
      </w:r>
      <w:proofErr w:type="spellStart"/>
      <w:r w:rsidRPr="00B968ED">
        <w:rPr>
          <w:sz w:val="24"/>
          <w:szCs w:val="24"/>
        </w:rPr>
        <w:t>føtal</w:t>
      </w:r>
      <w:proofErr w:type="spellEnd"/>
      <w:r w:rsidRPr="00B968ED">
        <w:rPr>
          <w:sz w:val="24"/>
          <w:szCs w:val="24"/>
        </w:rPr>
        <w:t xml:space="preserve"> </w:t>
      </w:r>
      <w:proofErr w:type="spellStart"/>
      <w:r w:rsidRPr="00B968ED">
        <w:rPr>
          <w:sz w:val="24"/>
          <w:szCs w:val="24"/>
        </w:rPr>
        <w:t>ossifikation</w:t>
      </w:r>
      <w:proofErr w:type="spellEnd"/>
      <w:r w:rsidRPr="00B968ED">
        <w:rPr>
          <w:sz w:val="24"/>
          <w:szCs w:val="24"/>
        </w:rPr>
        <w:t xml:space="preserve"> og mulig </w:t>
      </w:r>
      <w:proofErr w:type="spellStart"/>
      <w:r w:rsidRPr="00B968ED">
        <w:rPr>
          <w:sz w:val="24"/>
          <w:szCs w:val="24"/>
        </w:rPr>
        <w:t>teratogen</w:t>
      </w:r>
      <w:proofErr w:type="spellEnd"/>
      <w:r w:rsidRPr="00B968ED">
        <w:rPr>
          <w:sz w:val="24"/>
          <w:szCs w:val="24"/>
        </w:rPr>
        <w:t xml:space="preserve"> effekt ved doser som resulterede i sub-terapeutisk optagelse (baseret på AUC), og i kaniner ved doser, der resulterede i optagelser henholdsvis 3 og 11 gange middel-</w:t>
      </w:r>
      <w:proofErr w:type="spellStart"/>
      <w:r w:rsidRPr="00B968ED">
        <w:rPr>
          <w:sz w:val="24"/>
          <w:szCs w:val="24"/>
        </w:rPr>
        <w:t>steady</w:t>
      </w:r>
      <w:proofErr w:type="spellEnd"/>
      <w:r w:rsidRPr="00B968ED">
        <w:rPr>
          <w:sz w:val="24"/>
          <w:szCs w:val="24"/>
        </w:rPr>
        <w:t>-</w:t>
      </w:r>
      <w:proofErr w:type="spellStart"/>
      <w:r w:rsidRPr="00B968ED">
        <w:rPr>
          <w:sz w:val="24"/>
          <w:szCs w:val="24"/>
        </w:rPr>
        <w:t>state</w:t>
      </w:r>
      <w:proofErr w:type="spellEnd"/>
      <w:r w:rsidRPr="00B968ED">
        <w:rPr>
          <w:sz w:val="24"/>
          <w:szCs w:val="24"/>
        </w:rPr>
        <w:t xml:space="preserve"> AUC ved maksimal, anbefalet klinisk dosis. Der sås </w:t>
      </w:r>
      <w:proofErr w:type="spellStart"/>
      <w:r w:rsidRPr="00B968ED">
        <w:rPr>
          <w:sz w:val="24"/>
          <w:szCs w:val="24"/>
        </w:rPr>
        <w:t>maternal</w:t>
      </w:r>
      <w:proofErr w:type="spellEnd"/>
      <w:r w:rsidRPr="00B968ED">
        <w:rPr>
          <w:sz w:val="24"/>
          <w:szCs w:val="24"/>
        </w:rPr>
        <w:t xml:space="preserve"> toksicitet ved doser svarende til de, der medfører udviklingsmæssig toksicitet.</w:t>
      </w:r>
    </w:p>
    <w:p w14:paraId="06ECB9D4" w14:textId="77777777" w:rsidR="006F253B" w:rsidRPr="00B968ED" w:rsidRDefault="006F253B" w:rsidP="006F253B">
      <w:pPr>
        <w:tabs>
          <w:tab w:val="left" w:pos="851"/>
        </w:tabs>
        <w:rPr>
          <w:sz w:val="24"/>
          <w:szCs w:val="24"/>
        </w:rPr>
      </w:pPr>
    </w:p>
    <w:p w14:paraId="42A1B6C8" w14:textId="77777777" w:rsidR="006F253B" w:rsidRPr="00B968ED" w:rsidRDefault="006F253B" w:rsidP="006F253B">
      <w:pPr>
        <w:tabs>
          <w:tab w:val="left" w:pos="851"/>
        </w:tabs>
        <w:rPr>
          <w:sz w:val="24"/>
          <w:szCs w:val="24"/>
        </w:rPr>
      </w:pPr>
    </w:p>
    <w:p w14:paraId="50EDFC68" w14:textId="77777777" w:rsidR="006F253B" w:rsidRPr="00B968ED" w:rsidRDefault="006F253B" w:rsidP="006F253B">
      <w:pPr>
        <w:tabs>
          <w:tab w:val="left" w:pos="851"/>
        </w:tabs>
        <w:ind w:left="851" w:hanging="851"/>
        <w:rPr>
          <w:b/>
          <w:sz w:val="24"/>
          <w:szCs w:val="24"/>
        </w:rPr>
      </w:pPr>
      <w:r w:rsidRPr="00B968ED">
        <w:rPr>
          <w:b/>
          <w:sz w:val="24"/>
          <w:szCs w:val="24"/>
        </w:rPr>
        <w:t>6.</w:t>
      </w:r>
      <w:r w:rsidRPr="00B968ED">
        <w:rPr>
          <w:b/>
          <w:sz w:val="24"/>
          <w:szCs w:val="24"/>
        </w:rPr>
        <w:tab/>
        <w:t>FARMACEUTISKE OPLYSNINGER</w:t>
      </w:r>
    </w:p>
    <w:p w14:paraId="54F9153F" w14:textId="77777777" w:rsidR="006F253B" w:rsidRPr="00B968ED" w:rsidRDefault="006F253B" w:rsidP="006F253B">
      <w:pPr>
        <w:tabs>
          <w:tab w:val="left" w:pos="851"/>
        </w:tabs>
        <w:rPr>
          <w:b/>
          <w:sz w:val="24"/>
          <w:szCs w:val="24"/>
        </w:rPr>
      </w:pPr>
    </w:p>
    <w:p w14:paraId="72B0E834" w14:textId="77777777" w:rsidR="006F253B" w:rsidRPr="00B968ED" w:rsidRDefault="006F253B" w:rsidP="006F253B">
      <w:pPr>
        <w:tabs>
          <w:tab w:val="left" w:pos="851"/>
        </w:tabs>
        <w:ind w:left="851" w:hanging="851"/>
        <w:rPr>
          <w:b/>
          <w:sz w:val="24"/>
          <w:szCs w:val="24"/>
        </w:rPr>
      </w:pPr>
      <w:r w:rsidRPr="00B968ED">
        <w:rPr>
          <w:b/>
          <w:sz w:val="24"/>
          <w:szCs w:val="24"/>
        </w:rPr>
        <w:t>6.1</w:t>
      </w:r>
      <w:r w:rsidRPr="00B968ED">
        <w:rPr>
          <w:b/>
          <w:sz w:val="24"/>
          <w:szCs w:val="24"/>
        </w:rPr>
        <w:tab/>
        <w:t>Hjælpestoffer</w:t>
      </w:r>
    </w:p>
    <w:p w14:paraId="07C8F653" w14:textId="77777777" w:rsidR="006F253B" w:rsidRPr="00B968ED" w:rsidRDefault="006F253B" w:rsidP="006F253B">
      <w:pPr>
        <w:tabs>
          <w:tab w:val="left" w:pos="851"/>
        </w:tabs>
        <w:rPr>
          <w:sz w:val="24"/>
          <w:szCs w:val="24"/>
        </w:rPr>
      </w:pPr>
      <w:r w:rsidRPr="00B968ED">
        <w:rPr>
          <w:sz w:val="24"/>
          <w:szCs w:val="24"/>
        </w:rPr>
        <w:tab/>
      </w:r>
      <w:proofErr w:type="spellStart"/>
      <w:r w:rsidRPr="00B968ED">
        <w:rPr>
          <w:sz w:val="24"/>
          <w:szCs w:val="24"/>
        </w:rPr>
        <w:t>Lactosemonohydrat</w:t>
      </w:r>
      <w:proofErr w:type="spellEnd"/>
    </w:p>
    <w:p w14:paraId="439E8320" w14:textId="77777777" w:rsidR="006F253B" w:rsidRPr="00B968ED" w:rsidRDefault="006F253B" w:rsidP="006F253B">
      <w:pPr>
        <w:ind w:left="851"/>
        <w:rPr>
          <w:sz w:val="24"/>
          <w:szCs w:val="24"/>
        </w:rPr>
      </w:pPr>
      <w:r w:rsidRPr="00B968ED">
        <w:rPr>
          <w:sz w:val="24"/>
          <w:szCs w:val="24"/>
        </w:rPr>
        <w:t>Mikrokrystallinsk cellulose</w:t>
      </w:r>
    </w:p>
    <w:p w14:paraId="33194C93" w14:textId="77777777" w:rsidR="006F253B" w:rsidRPr="00B968ED" w:rsidRDefault="006F253B" w:rsidP="006F253B">
      <w:pPr>
        <w:ind w:left="851"/>
        <w:rPr>
          <w:sz w:val="24"/>
          <w:szCs w:val="24"/>
        </w:rPr>
      </w:pPr>
      <w:r w:rsidRPr="00B968ED">
        <w:rPr>
          <w:sz w:val="24"/>
          <w:szCs w:val="24"/>
        </w:rPr>
        <w:t>Majsstivelse</w:t>
      </w:r>
    </w:p>
    <w:p w14:paraId="6C9B7718" w14:textId="77777777" w:rsidR="006F253B" w:rsidRPr="00B968ED" w:rsidRDefault="006F253B" w:rsidP="006F253B">
      <w:pPr>
        <w:ind w:left="851"/>
        <w:rPr>
          <w:sz w:val="24"/>
          <w:szCs w:val="24"/>
        </w:rPr>
      </w:pPr>
      <w:proofErr w:type="spellStart"/>
      <w:r w:rsidRPr="00B968ED">
        <w:rPr>
          <w:sz w:val="24"/>
          <w:szCs w:val="24"/>
        </w:rPr>
        <w:t>Hydroxypropylcellulose</w:t>
      </w:r>
      <w:proofErr w:type="spellEnd"/>
    </w:p>
    <w:p w14:paraId="2334CFCD" w14:textId="77777777" w:rsidR="006F253B" w:rsidRPr="00B968ED" w:rsidRDefault="006F253B" w:rsidP="006F253B">
      <w:pPr>
        <w:ind w:left="851"/>
        <w:rPr>
          <w:sz w:val="24"/>
          <w:szCs w:val="24"/>
        </w:rPr>
      </w:pPr>
      <w:proofErr w:type="spellStart"/>
      <w:r w:rsidRPr="00B968ED">
        <w:rPr>
          <w:sz w:val="24"/>
          <w:szCs w:val="24"/>
        </w:rPr>
        <w:t>Croscarmellosenatrium</w:t>
      </w:r>
      <w:proofErr w:type="spellEnd"/>
    </w:p>
    <w:p w14:paraId="3C14BD85" w14:textId="77777777" w:rsidR="006F253B" w:rsidRDefault="006F253B" w:rsidP="006F253B">
      <w:pPr>
        <w:ind w:left="851"/>
        <w:rPr>
          <w:sz w:val="24"/>
          <w:szCs w:val="24"/>
        </w:rPr>
      </w:pPr>
      <w:proofErr w:type="spellStart"/>
      <w:r w:rsidRPr="00B968ED">
        <w:rPr>
          <w:sz w:val="24"/>
          <w:szCs w:val="24"/>
        </w:rPr>
        <w:t>Magnesiumstearat</w:t>
      </w:r>
      <w:proofErr w:type="spellEnd"/>
    </w:p>
    <w:p w14:paraId="02B76D30" w14:textId="77777777" w:rsidR="006F253B" w:rsidRPr="00B968ED" w:rsidRDefault="006F253B" w:rsidP="006F253B">
      <w:pPr>
        <w:ind w:left="851"/>
        <w:rPr>
          <w:sz w:val="24"/>
          <w:szCs w:val="24"/>
        </w:rPr>
      </w:pPr>
      <w:r w:rsidRPr="00B968ED">
        <w:rPr>
          <w:sz w:val="24"/>
          <w:szCs w:val="24"/>
        </w:rPr>
        <w:t>Gul jernoxid (E172) (kun 5 mg og 15 mg)</w:t>
      </w:r>
    </w:p>
    <w:p w14:paraId="51E4840E" w14:textId="77777777" w:rsidR="006F253B" w:rsidRPr="00B968ED" w:rsidRDefault="006F253B" w:rsidP="006F253B">
      <w:pPr>
        <w:ind w:left="851"/>
        <w:rPr>
          <w:sz w:val="24"/>
          <w:szCs w:val="24"/>
        </w:rPr>
      </w:pPr>
      <w:r w:rsidRPr="00B968ED">
        <w:rPr>
          <w:sz w:val="24"/>
          <w:szCs w:val="24"/>
        </w:rPr>
        <w:t>Rød jernoxid (kun 10 mg og 30 mg)</w:t>
      </w:r>
    </w:p>
    <w:p w14:paraId="46AB0114" w14:textId="77777777" w:rsidR="006F253B" w:rsidRPr="00B968ED" w:rsidRDefault="006F253B" w:rsidP="006F253B">
      <w:pPr>
        <w:tabs>
          <w:tab w:val="left" w:pos="851"/>
        </w:tabs>
        <w:rPr>
          <w:sz w:val="24"/>
          <w:szCs w:val="24"/>
        </w:rPr>
      </w:pPr>
    </w:p>
    <w:p w14:paraId="29552DA4" w14:textId="77777777" w:rsidR="006F253B" w:rsidRPr="00B968ED" w:rsidRDefault="006F253B" w:rsidP="006F253B">
      <w:pPr>
        <w:tabs>
          <w:tab w:val="left" w:pos="851"/>
        </w:tabs>
        <w:ind w:left="851" w:hanging="851"/>
        <w:rPr>
          <w:b/>
          <w:sz w:val="24"/>
          <w:szCs w:val="24"/>
        </w:rPr>
      </w:pPr>
      <w:r w:rsidRPr="00B968ED">
        <w:rPr>
          <w:b/>
          <w:sz w:val="24"/>
          <w:szCs w:val="24"/>
        </w:rPr>
        <w:t>6.2</w:t>
      </w:r>
      <w:r w:rsidRPr="00B968ED">
        <w:rPr>
          <w:b/>
          <w:sz w:val="24"/>
          <w:szCs w:val="24"/>
        </w:rPr>
        <w:tab/>
        <w:t>Uforligeligheder</w:t>
      </w:r>
    </w:p>
    <w:p w14:paraId="43C4AA18" w14:textId="77777777" w:rsidR="006F253B" w:rsidRPr="00B968ED" w:rsidRDefault="006F253B" w:rsidP="006F253B">
      <w:pPr>
        <w:tabs>
          <w:tab w:val="left" w:pos="851"/>
        </w:tabs>
        <w:ind w:left="851" w:hanging="851"/>
        <w:rPr>
          <w:sz w:val="24"/>
          <w:szCs w:val="24"/>
        </w:rPr>
      </w:pPr>
      <w:r w:rsidRPr="00B968ED">
        <w:rPr>
          <w:sz w:val="24"/>
          <w:szCs w:val="24"/>
        </w:rPr>
        <w:lastRenderedPageBreak/>
        <w:tab/>
        <w:t>Ikke relevant.</w:t>
      </w:r>
    </w:p>
    <w:p w14:paraId="6ABE396D" w14:textId="77777777" w:rsidR="006F253B" w:rsidRPr="00B968ED" w:rsidRDefault="006F253B" w:rsidP="006F253B">
      <w:pPr>
        <w:tabs>
          <w:tab w:val="left" w:pos="851"/>
        </w:tabs>
        <w:rPr>
          <w:sz w:val="24"/>
          <w:szCs w:val="24"/>
        </w:rPr>
      </w:pPr>
    </w:p>
    <w:p w14:paraId="1EADFB38" w14:textId="77777777" w:rsidR="006F253B" w:rsidRPr="00B968ED" w:rsidRDefault="006F253B" w:rsidP="006F253B">
      <w:pPr>
        <w:keepNext/>
        <w:tabs>
          <w:tab w:val="left" w:pos="851"/>
        </w:tabs>
        <w:ind w:left="851" w:hanging="851"/>
        <w:rPr>
          <w:b/>
          <w:sz w:val="24"/>
          <w:szCs w:val="24"/>
        </w:rPr>
      </w:pPr>
      <w:r w:rsidRPr="00B968ED">
        <w:rPr>
          <w:b/>
          <w:sz w:val="24"/>
          <w:szCs w:val="24"/>
        </w:rPr>
        <w:t>6.3</w:t>
      </w:r>
      <w:r w:rsidRPr="00B968ED">
        <w:rPr>
          <w:b/>
          <w:sz w:val="24"/>
          <w:szCs w:val="24"/>
        </w:rPr>
        <w:tab/>
        <w:t>Opbevaringstid</w:t>
      </w:r>
    </w:p>
    <w:p w14:paraId="138B470C" w14:textId="77777777" w:rsidR="006F253B" w:rsidRDefault="006F253B" w:rsidP="006F253B">
      <w:pPr>
        <w:tabs>
          <w:tab w:val="left" w:pos="851"/>
        </w:tabs>
        <w:ind w:left="851" w:hanging="851"/>
        <w:rPr>
          <w:sz w:val="24"/>
          <w:szCs w:val="24"/>
        </w:rPr>
      </w:pPr>
      <w:r w:rsidRPr="00B968ED">
        <w:rPr>
          <w:sz w:val="24"/>
          <w:szCs w:val="24"/>
        </w:rPr>
        <w:tab/>
        <w:t>3 år.</w:t>
      </w:r>
    </w:p>
    <w:p w14:paraId="61315792" w14:textId="77777777" w:rsidR="006F253B" w:rsidRDefault="006F253B" w:rsidP="006F253B">
      <w:pPr>
        <w:tabs>
          <w:tab w:val="left" w:pos="851"/>
        </w:tabs>
        <w:ind w:left="851" w:hanging="851"/>
        <w:rPr>
          <w:sz w:val="24"/>
          <w:szCs w:val="24"/>
        </w:rPr>
      </w:pPr>
    </w:p>
    <w:p w14:paraId="3CF96F6E" w14:textId="77777777" w:rsidR="006F253B" w:rsidRDefault="006F253B" w:rsidP="006F253B">
      <w:pPr>
        <w:tabs>
          <w:tab w:val="left" w:pos="851"/>
        </w:tabs>
        <w:ind w:left="851" w:hanging="851"/>
        <w:rPr>
          <w:sz w:val="24"/>
          <w:szCs w:val="24"/>
        </w:rPr>
      </w:pPr>
      <w:r>
        <w:rPr>
          <w:sz w:val="24"/>
          <w:szCs w:val="24"/>
        </w:rPr>
        <w:tab/>
        <w:t>HDPE-beholder:</w:t>
      </w:r>
    </w:p>
    <w:p w14:paraId="48349E4F" w14:textId="77777777" w:rsidR="006F253B" w:rsidRPr="00B968ED" w:rsidRDefault="006F253B" w:rsidP="006F253B">
      <w:pPr>
        <w:tabs>
          <w:tab w:val="left" w:pos="851"/>
        </w:tabs>
        <w:ind w:left="851" w:hanging="851"/>
        <w:rPr>
          <w:sz w:val="24"/>
          <w:szCs w:val="24"/>
        </w:rPr>
      </w:pPr>
      <w:r>
        <w:rPr>
          <w:sz w:val="24"/>
          <w:szCs w:val="24"/>
        </w:rPr>
        <w:tab/>
        <w:t>Holdbarhed efter første åbning: 6 måneder.</w:t>
      </w:r>
    </w:p>
    <w:p w14:paraId="25AA2441" w14:textId="77777777" w:rsidR="006F253B" w:rsidRPr="00B968ED" w:rsidRDefault="006F253B" w:rsidP="006F253B">
      <w:pPr>
        <w:tabs>
          <w:tab w:val="left" w:pos="851"/>
        </w:tabs>
        <w:rPr>
          <w:sz w:val="24"/>
          <w:szCs w:val="24"/>
        </w:rPr>
      </w:pPr>
    </w:p>
    <w:p w14:paraId="0B3D8624" w14:textId="77777777" w:rsidR="006F253B" w:rsidRPr="00B968ED" w:rsidRDefault="006F253B" w:rsidP="006F253B">
      <w:pPr>
        <w:keepNext/>
        <w:tabs>
          <w:tab w:val="left" w:pos="851"/>
        </w:tabs>
        <w:ind w:left="851" w:hanging="851"/>
        <w:rPr>
          <w:b/>
          <w:sz w:val="24"/>
          <w:szCs w:val="24"/>
        </w:rPr>
      </w:pPr>
      <w:r w:rsidRPr="00B968ED">
        <w:rPr>
          <w:b/>
          <w:sz w:val="24"/>
          <w:szCs w:val="24"/>
        </w:rPr>
        <w:t>6.4</w:t>
      </w:r>
      <w:r w:rsidRPr="00B968ED">
        <w:rPr>
          <w:b/>
          <w:sz w:val="24"/>
          <w:szCs w:val="24"/>
        </w:rPr>
        <w:tab/>
        <w:t>Særlige opbevaringsforhold</w:t>
      </w:r>
    </w:p>
    <w:p w14:paraId="524FD337" w14:textId="77777777" w:rsidR="006F253B" w:rsidRPr="00B968ED" w:rsidRDefault="006F253B" w:rsidP="006F253B">
      <w:pPr>
        <w:tabs>
          <w:tab w:val="left" w:pos="851"/>
        </w:tabs>
        <w:ind w:left="851" w:hanging="851"/>
        <w:rPr>
          <w:sz w:val="24"/>
          <w:szCs w:val="24"/>
        </w:rPr>
      </w:pPr>
      <w:r w:rsidRPr="00B968ED">
        <w:rPr>
          <w:sz w:val="24"/>
          <w:szCs w:val="24"/>
        </w:rPr>
        <w:tab/>
        <w:t xml:space="preserve">Dette lægemiddel kræver ingen særlige </w:t>
      </w:r>
      <w:r>
        <w:rPr>
          <w:sz w:val="24"/>
          <w:szCs w:val="24"/>
        </w:rPr>
        <w:t>forholdsregler vedrørende opbevaringen.</w:t>
      </w:r>
    </w:p>
    <w:p w14:paraId="5B66D166" w14:textId="77777777" w:rsidR="006F253B" w:rsidRPr="00B968ED" w:rsidRDefault="006F253B" w:rsidP="006F253B">
      <w:pPr>
        <w:tabs>
          <w:tab w:val="left" w:pos="851"/>
        </w:tabs>
        <w:rPr>
          <w:sz w:val="24"/>
          <w:szCs w:val="24"/>
        </w:rPr>
      </w:pPr>
    </w:p>
    <w:p w14:paraId="127C2FE4" w14:textId="77777777" w:rsidR="006F253B" w:rsidRPr="00B968ED" w:rsidRDefault="006F253B" w:rsidP="006F253B">
      <w:pPr>
        <w:tabs>
          <w:tab w:val="left" w:pos="851"/>
        </w:tabs>
        <w:ind w:left="851" w:hanging="851"/>
        <w:rPr>
          <w:b/>
          <w:sz w:val="24"/>
          <w:szCs w:val="24"/>
        </w:rPr>
      </w:pPr>
      <w:r w:rsidRPr="00B968ED">
        <w:rPr>
          <w:b/>
          <w:sz w:val="24"/>
          <w:szCs w:val="24"/>
        </w:rPr>
        <w:t>6.5</w:t>
      </w:r>
      <w:r w:rsidRPr="00B968ED">
        <w:rPr>
          <w:b/>
          <w:sz w:val="24"/>
          <w:szCs w:val="24"/>
        </w:rPr>
        <w:tab/>
        <w:t>Emballagetype og pakningsstørrelser</w:t>
      </w:r>
    </w:p>
    <w:p w14:paraId="4145FEA4" w14:textId="77777777" w:rsidR="006F253B" w:rsidRPr="00B968ED" w:rsidRDefault="006F253B" w:rsidP="006F253B">
      <w:pPr>
        <w:ind w:left="851"/>
        <w:rPr>
          <w:sz w:val="24"/>
          <w:szCs w:val="24"/>
        </w:rPr>
      </w:pPr>
      <w:r w:rsidRPr="00B968ED">
        <w:rPr>
          <w:sz w:val="24"/>
          <w:szCs w:val="24"/>
        </w:rPr>
        <w:t>OPA/Al/PVC/Al blisterkort</w:t>
      </w:r>
      <w:r>
        <w:rPr>
          <w:sz w:val="24"/>
          <w:szCs w:val="24"/>
        </w:rPr>
        <w:t>.</w:t>
      </w:r>
    </w:p>
    <w:p w14:paraId="3546B7FD" w14:textId="77777777" w:rsidR="006F253B" w:rsidRPr="00B968ED" w:rsidRDefault="006F253B" w:rsidP="006F253B">
      <w:pPr>
        <w:ind w:left="851"/>
        <w:rPr>
          <w:sz w:val="24"/>
          <w:szCs w:val="24"/>
        </w:rPr>
      </w:pPr>
      <w:r w:rsidRPr="00B968ED">
        <w:rPr>
          <w:sz w:val="24"/>
          <w:szCs w:val="24"/>
        </w:rPr>
        <w:t>OPA/Al/PVC/Al enkeltdosisblisterkort</w:t>
      </w:r>
      <w:r>
        <w:rPr>
          <w:sz w:val="24"/>
          <w:szCs w:val="24"/>
        </w:rPr>
        <w:t>.</w:t>
      </w:r>
    </w:p>
    <w:p w14:paraId="750D39A7" w14:textId="77777777" w:rsidR="006F253B" w:rsidRDefault="006F253B" w:rsidP="006F253B">
      <w:pPr>
        <w:ind w:left="851"/>
        <w:rPr>
          <w:sz w:val="24"/>
          <w:szCs w:val="24"/>
        </w:rPr>
      </w:pPr>
    </w:p>
    <w:p w14:paraId="1769A638" w14:textId="77777777" w:rsidR="006F253B" w:rsidRPr="00B10A14" w:rsidRDefault="006F253B" w:rsidP="006F253B">
      <w:pPr>
        <w:ind w:left="851"/>
        <w:rPr>
          <w:sz w:val="24"/>
          <w:szCs w:val="24"/>
          <w:u w:val="single"/>
        </w:rPr>
      </w:pPr>
      <w:r w:rsidRPr="00B10A14">
        <w:rPr>
          <w:sz w:val="24"/>
          <w:szCs w:val="24"/>
          <w:u w:val="single"/>
        </w:rPr>
        <w:t>Pakningsstørrelser</w:t>
      </w:r>
    </w:p>
    <w:p w14:paraId="4B1A7135" w14:textId="77777777" w:rsidR="006F253B" w:rsidRPr="00C564E9" w:rsidRDefault="006F253B" w:rsidP="006F253B">
      <w:pPr>
        <w:ind w:left="851"/>
        <w:rPr>
          <w:sz w:val="24"/>
          <w:szCs w:val="24"/>
        </w:rPr>
      </w:pPr>
      <w:r w:rsidRPr="00C564E9">
        <w:rPr>
          <w:sz w:val="24"/>
          <w:szCs w:val="24"/>
        </w:rPr>
        <w:t>5 mg: 7, 7×1, 14, 14×1, 15, 28, 28×1, 30, 49, 56, 56×1, 60, 98, 98×1 og 100 stk.</w:t>
      </w:r>
    </w:p>
    <w:p w14:paraId="5075E74D" w14:textId="77777777" w:rsidR="006F253B" w:rsidRPr="00C564E9" w:rsidRDefault="006F253B" w:rsidP="006F253B">
      <w:pPr>
        <w:ind w:left="851"/>
        <w:rPr>
          <w:sz w:val="24"/>
          <w:szCs w:val="24"/>
        </w:rPr>
      </w:pPr>
      <w:r w:rsidRPr="00C564E9">
        <w:rPr>
          <w:sz w:val="24"/>
          <w:szCs w:val="24"/>
        </w:rPr>
        <w:t>10 mg</w:t>
      </w:r>
      <w:r>
        <w:rPr>
          <w:sz w:val="24"/>
          <w:szCs w:val="24"/>
        </w:rPr>
        <w:t xml:space="preserve">: </w:t>
      </w:r>
      <w:r w:rsidRPr="00C564E9">
        <w:rPr>
          <w:sz w:val="24"/>
          <w:szCs w:val="24"/>
        </w:rPr>
        <w:t>7, 7×1, 14, 14×1, 28, 28×1, 30, 49, 56, 56×1, 60, 98, 98×1 og 100 stk.</w:t>
      </w:r>
    </w:p>
    <w:p w14:paraId="56376823" w14:textId="77777777" w:rsidR="006F253B" w:rsidRPr="00C564E9" w:rsidRDefault="006F253B" w:rsidP="006F253B">
      <w:pPr>
        <w:ind w:left="851"/>
        <w:rPr>
          <w:sz w:val="24"/>
          <w:szCs w:val="24"/>
        </w:rPr>
      </w:pPr>
      <w:r w:rsidRPr="00C564E9">
        <w:rPr>
          <w:sz w:val="24"/>
          <w:szCs w:val="24"/>
        </w:rPr>
        <w:t>15 mg</w:t>
      </w:r>
      <w:r>
        <w:rPr>
          <w:sz w:val="24"/>
          <w:szCs w:val="24"/>
        </w:rPr>
        <w:t xml:space="preserve">: </w:t>
      </w:r>
      <w:r w:rsidRPr="00C564E9">
        <w:rPr>
          <w:sz w:val="24"/>
          <w:szCs w:val="24"/>
        </w:rPr>
        <w:t>7, 7×1, 14, 14×1, 28, 28×1, 30, 49, 56, 56×1, 60, 98, 98×1 og 100 stk.</w:t>
      </w:r>
    </w:p>
    <w:p w14:paraId="26A2E786" w14:textId="77777777" w:rsidR="006F253B" w:rsidRDefault="006F253B" w:rsidP="006F253B">
      <w:pPr>
        <w:ind w:left="851"/>
        <w:rPr>
          <w:sz w:val="24"/>
          <w:szCs w:val="24"/>
        </w:rPr>
      </w:pPr>
      <w:r w:rsidRPr="00C564E9">
        <w:rPr>
          <w:sz w:val="24"/>
          <w:szCs w:val="24"/>
        </w:rPr>
        <w:t>30 mg</w:t>
      </w:r>
      <w:r>
        <w:rPr>
          <w:sz w:val="24"/>
          <w:szCs w:val="24"/>
        </w:rPr>
        <w:t xml:space="preserve">: </w:t>
      </w:r>
      <w:r w:rsidRPr="00C564E9">
        <w:rPr>
          <w:sz w:val="24"/>
          <w:szCs w:val="24"/>
        </w:rPr>
        <w:t>7, 7×1, 14, 14×1, 28, 28×1, 30, 49, 56, 56×1, 60, 98, 98×1 og 100 stk.</w:t>
      </w:r>
    </w:p>
    <w:p w14:paraId="5298CD3B" w14:textId="77777777" w:rsidR="006F253B" w:rsidRPr="00C564E9" w:rsidRDefault="006F253B" w:rsidP="006F253B">
      <w:pPr>
        <w:ind w:left="851"/>
        <w:rPr>
          <w:sz w:val="24"/>
          <w:szCs w:val="24"/>
        </w:rPr>
      </w:pPr>
    </w:p>
    <w:p w14:paraId="4B062A33" w14:textId="77777777" w:rsidR="006F253B" w:rsidRDefault="006F253B" w:rsidP="006F253B">
      <w:pPr>
        <w:tabs>
          <w:tab w:val="left" w:pos="851"/>
        </w:tabs>
        <w:ind w:left="851" w:hanging="851"/>
        <w:rPr>
          <w:sz w:val="24"/>
          <w:szCs w:val="24"/>
        </w:rPr>
      </w:pPr>
      <w:r w:rsidRPr="00B968ED">
        <w:rPr>
          <w:sz w:val="24"/>
          <w:szCs w:val="24"/>
        </w:rPr>
        <w:tab/>
        <w:t>Ikke alle pakningsstørrelser er nødvendigvis markedsført.</w:t>
      </w:r>
    </w:p>
    <w:p w14:paraId="468DB13B" w14:textId="77777777" w:rsidR="006F253B" w:rsidRDefault="006F253B" w:rsidP="006F253B">
      <w:pPr>
        <w:tabs>
          <w:tab w:val="left" w:pos="851"/>
        </w:tabs>
        <w:ind w:left="851" w:hanging="851"/>
        <w:rPr>
          <w:sz w:val="24"/>
          <w:szCs w:val="24"/>
        </w:rPr>
      </w:pPr>
    </w:p>
    <w:p w14:paraId="44D501F2" w14:textId="77777777" w:rsidR="006F253B" w:rsidRPr="00B968ED" w:rsidRDefault="006F253B" w:rsidP="006F253B">
      <w:pPr>
        <w:tabs>
          <w:tab w:val="left" w:pos="851"/>
        </w:tabs>
        <w:ind w:left="851" w:hanging="851"/>
        <w:rPr>
          <w:sz w:val="24"/>
          <w:szCs w:val="24"/>
        </w:rPr>
      </w:pPr>
      <w:r>
        <w:rPr>
          <w:sz w:val="24"/>
          <w:szCs w:val="24"/>
        </w:rPr>
        <w:tab/>
        <w:t>HDPE-beholder med forseglet skruelåg med integreret tørremiddel. Beholderen indeholder 100 tabletter.</w:t>
      </w:r>
    </w:p>
    <w:p w14:paraId="3AB86EC4" w14:textId="77777777" w:rsidR="006F253B" w:rsidRPr="00B968ED" w:rsidRDefault="006F253B" w:rsidP="006F253B">
      <w:pPr>
        <w:tabs>
          <w:tab w:val="left" w:pos="851"/>
        </w:tabs>
        <w:rPr>
          <w:sz w:val="24"/>
          <w:szCs w:val="24"/>
        </w:rPr>
      </w:pPr>
    </w:p>
    <w:p w14:paraId="507E247A" w14:textId="77777777" w:rsidR="006F253B" w:rsidRPr="00B968ED" w:rsidRDefault="006F253B" w:rsidP="006F253B">
      <w:pPr>
        <w:tabs>
          <w:tab w:val="left" w:pos="851"/>
        </w:tabs>
        <w:ind w:left="851" w:hanging="851"/>
        <w:rPr>
          <w:b/>
          <w:sz w:val="24"/>
          <w:szCs w:val="24"/>
        </w:rPr>
      </w:pPr>
      <w:r w:rsidRPr="00B968ED">
        <w:rPr>
          <w:b/>
          <w:sz w:val="24"/>
          <w:szCs w:val="24"/>
        </w:rPr>
        <w:t>6.6</w:t>
      </w:r>
      <w:r w:rsidRPr="00B968ED">
        <w:rPr>
          <w:b/>
          <w:sz w:val="24"/>
          <w:szCs w:val="24"/>
        </w:rPr>
        <w:tab/>
        <w:t xml:space="preserve">Regler for </w:t>
      </w:r>
      <w:r w:rsidR="00705894">
        <w:rPr>
          <w:b/>
          <w:sz w:val="24"/>
          <w:szCs w:val="24"/>
        </w:rPr>
        <w:t>bortskaffelse</w:t>
      </w:r>
      <w:r w:rsidRPr="00B968ED">
        <w:rPr>
          <w:b/>
          <w:sz w:val="24"/>
          <w:szCs w:val="24"/>
        </w:rPr>
        <w:t xml:space="preserve"> og anden håndtering</w:t>
      </w:r>
    </w:p>
    <w:p w14:paraId="124A3CE8" w14:textId="77777777" w:rsidR="006F253B" w:rsidRPr="00B968ED" w:rsidRDefault="006F253B" w:rsidP="006F253B">
      <w:pPr>
        <w:tabs>
          <w:tab w:val="left" w:pos="851"/>
        </w:tabs>
        <w:ind w:left="851" w:hanging="851"/>
        <w:rPr>
          <w:sz w:val="24"/>
          <w:szCs w:val="24"/>
        </w:rPr>
      </w:pPr>
      <w:r w:rsidRPr="00B968ED">
        <w:rPr>
          <w:sz w:val="24"/>
          <w:szCs w:val="24"/>
        </w:rPr>
        <w:tab/>
        <w:t>Ikke anvendt lægemiddel samt affald heraf skal bortskaffes i henhold til lokale retningslinjer.</w:t>
      </w:r>
    </w:p>
    <w:p w14:paraId="450F48ED" w14:textId="77777777" w:rsidR="006F253B" w:rsidRPr="00B968ED" w:rsidRDefault="006F253B" w:rsidP="006F253B">
      <w:pPr>
        <w:tabs>
          <w:tab w:val="left" w:pos="851"/>
        </w:tabs>
        <w:jc w:val="both"/>
        <w:rPr>
          <w:sz w:val="24"/>
          <w:szCs w:val="24"/>
        </w:rPr>
      </w:pPr>
    </w:p>
    <w:p w14:paraId="766D9239" w14:textId="77777777" w:rsidR="006F253B" w:rsidRPr="00B968ED" w:rsidRDefault="006F253B" w:rsidP="006F253B">
      <w:pPr>
        <w:tabs>
          <w:tab w:val="left" w:pos="851"/>
        </w:tabs>
        <w:ind w:left="851" w:hanging="851"/>
        <w:rPr>
          <w:b/>
          <w:sz w:val="24"/>
          <w:szCs w:val="24"/>
        </w:rPr>
      </w:pPr>
      <w:r w:rsidRPr="00B968ED">
        <w:rPr>
          <w:b/>
          <w:sz w:val="24"/>
          <w:szCs w:val="24"/>
        </w:rPr>
        <w:t>7.</w:t>
      </w:r>
      <w:r w:rsidRPr="00B968ED">
        <w:rPr>
          <w:b/>
          <w:sz w:val="24"/>
          <w:szCs w:val="24"/>
        </w:rPr>
        <w:tab/>
        <w:t>INDEHAVER AF MARKEDSFØRINGSTILLADELSEN</w:t>
      </w:r>
    </w:p>
    <w:p w14:paraId="648F84A6" w14:textId="77777777" w:rsidR="006F253B" w:rsidRPr="00100138" w:rsidRDefault="006F253B" w:rsidP="006F253B">
      <w:pPr>
        <w:tabs>
          <w:tab w:val="left" w:pos="851"/>
        </w:tabs>
        <w:ind w:left="851"/>
        <w:rPr>
          <w:sz w:val="24"/>
          <w:szCs w:val="24"/>
        </w:rPr>
      </w:pPr>
      <w:proofErr w:type="spellStart"/>
      <w:r w:rsidRPr="00100138">
        <w:rPr>
          <w:sz w:val="24"/>
          <w:szCs w:val="24"/>
        </w:rPr>
        <w:t>Teva</w:t>
      </w:r>
      <w:proofErr w:type="spellEnd"/>
      <w:r w:rsidRPr="00100138">
        <w:rPr>
          <w:sz w:val="24"/>
          <w:szCs w:val="24"/>
        </w:rPr>
        <w:t xml:space="preserve"> B.V.</w:t>
      </w:r>
    </w:p>
    <w:p w14:paraId="70E0BC87" w14:textId="77777777" w:rsidR="006F253B" w:rsidRPr="00100138" w:rsidRDefault="006F253B" w:rsidP="006F253B">
      <w:pPr>
        <w:tabs>
          <w:tab w:val="left" w:pos="851"/>
        </w:tabs>
        <w:ind w:left="851"/>
        <w:rPr>
          <w:sz w:val="24"/>
          <w:szCs w:val="24"/>
        </w:rPr>
      </w:pPr>
      <w:proofErr w:type="spellStart"/>
      <w:r w:rsidRPr="00100138">
        <w:rPr>
          <w:sz w:val="24"/>
          <w:szCs w:val="24"/>
        </w:rPr>
        <w:t>Swensweg</w:t>
      </w:r>
      <w:proofErr w:type="spellEnd"/>
      <w:r w:rsidRPr="00100138">
        <w:rPr>
          <w:sz w:val="24"/>
          <w:szCs w:val="24"/>
        </w:rPr>
        <w:t xml:space="preserve"> 5</w:t>
      </w:r>
    </w:p>
    <w:p w14:paraId="78AD7A48" w14:textId="77777777" w:rsidR="006F253B" w:rsidRPr="00100138" w:rsidRDefault="006F253B" w:rsidP="006F253B">
      <w:pPr>
        <w:tabs>
          <w:tab w:val="left" w:pos="851"/>
        </w:tabs>
        <w:ind w:left="851"/>
        <w:rPr>
          <w:sz w:val="24"/>
          <w:szCs w:val="24"/>
        </w:rPr>
      </w:pPr>
      <w:r w:rsidRPr="00100138">
        <w:rPr>
          <w:sz w:val="24"/>
          <w:szCs w:val="24"/>
        </w:rPr>
        <w:t xml:space="preserve">2031 GA </w:t>
      </w:r>
      <w:proofErr w:type="spellStart"/>
      <w:r w:rsidRPr="00100138">
        <w:rPr>
          <w:sz w:val="24"/>
          <w:szCs w:val="24"/>
        </w:rPr>
        <w:t>Haarlem</w:t>
      </w:r>
      <w:proofErr w:type="spellEnd"/>
    </w:p>
    <w:p w14:paraId="32390415" w14:textId="77777777" w:rsidR="006F253B" w:rsidRPr="00100138" w:rsidRDefault="006F253B" w:rsidP="006F253B">
      <w:pPr>
        <w:tabs>
          <w:tab w:val="left" w:pos="851"/>
        </w:tabs>
        <w:ind w:left="851"/>
        <w:rPr>
          <w:sz w:val="24"/>
          <w:szCs w:val="24"/>
        </w:rPr>
      </w:pPr>
      <w:r w:rsidRPr="00100138">
        <w:rPr>
          <w:sz w:val="24"/>
          <w:szCs w:val="24"/>
        </w:rPr>
        <w:t>Holland</w:t>
      </w:r>
    </w:p>
    <w:p w14:paraId="505E7112" w14:textId="77777777" w:rsidR="006F253B" w:rsidRPr="00100138" w:rsidRDefault="006F253B" w:rsidP="006F253B">
      <w:pPr>
        <w:tabs>
          <w:tab w:val="left" w:pos="851"/>
        </w:tabs>
        <w:ind w:left="851"/>
        <w:rPr>
          <w:sz w:val="24"/>
          <w:szCs w:val="24"/>
        </w:rPr>
      </w:pPr>
    </w:p>
    <w:p w14:paraId="52249867" w14:textId="77777777" w:rsidR="006F253B" w:rsidRPr="00100138" w:rsidRDefault="006F253B" w:rsidP="006F253B">
      <w:pPr>
        <w:tabs>
          <w:tab w:val="left" w:pos="851"/>
        </w:tabs>
        <w:ind w:left="851"/>
        <w:rPr>
          <w:b/>
          <w:sz w:val="24"/>
          <w:szCs w:val="24"/>
        </w:rPr>
      </w:pPr>
      <w:r w:rsidRPr="00100138">
        <w:rPr>
          <w:b/>
          <w:sz w:val="24"/>
          <w:szCs w:val="24"/>
        </w:rPr>
        <w:t>Repræsentant</w:t>
      </w:r>
    </w:p>
    <w:p w14:paraId="60F79197" w14:textId="77777777" w:rsidR="006F253B" w:rsidRPr="00100138" w:rsidRDefault="006F253B" w:rsidP="006F253B">
      <w:pPr>
        <w:tabs>
          <w:tab w:val="left" w:pos="851"/>
        </w:tabs>
        <w:ind w:left="851"/>
        <w:rPr>
          <w:sz w:val="24"/>
          <w:szCs w:val="24"/>
        </w:rPr>
      </w:pPr>
      <w:proofErr w:type="spellStart"/>
      <w:r w:rsidRPr="00100138">
        <w:rPr>
          <w:sz w:val="24"/>
          <w:szCs w:val="24"/>
        </w:rPr>
        <w:t>Teva</w:t>
      </w:r>
      <w:proofErr w:type="spellEnd"/>
      <w:r w:rsidRPr="00100138">
        <w:rPr>
          <w:sz w:val="24"/>
          <w:szCs w:val="24"/>
        </w:rPr>
        <w:t xml:space="preserve"> Denmark A/S</w:t>
      </w:r>
    </w:p>
    <w:p w14:paraId="14993675" w14:textId="77777777" w:rsidR="006F253B" w:rsidRDefault="006F253B" w:rsidP="006F253B">
      <w:pPr>
        <w:tabs>
          <w:tab w:val="left" w:pos="851"/>
        </w:tabs>
        <w:ind w:left="851"/>
        <w:rPr>
          <w:sz w:val="24"/>
          <w:szCs w:val="24"/>
        </w:rPr>
      </w:pPr>
      <w:r w:rsidRPr="0037534C">
        <w:rPr>
          <w:sz w:val="24"/>
          <w:szCs w:val="24"/>
        </w:rPr>
        <w:t>Vandtårnsvej 83a</w:t>
      </w:r>
    </w:p>
    <w:p w14:paraId="54CAEFDC" w14:textId="77777777" w:rsidR="006F253B" w:rsidRDefault="006F253B" w:rsidP="006F253B">
      <w:pPr>
        <w:tabs>
          <w:tab w:val="left" w:pos="851"/>
        </w:tabs>
        <w:ind w:left="851" w:hanging="851"/>
        <w:rPr>
          <w:sz w:val="24"/>
          <w:szCs w:val="24"/>
        </w:rPr>
      </w:pPr>
      <w:r>
        <w:rPr>
          <w:sz w:val="24"/>
          <w:szCs w:val="24"/>
        </w:rPr>
        <w:tab/>
        <w:t>2860 Søborg</w:t>
      </w:r>
    </w:p>
    <w:p w14:paraId="08609E19" w14:textId="77777777" w:rsidR="006F253B" w:rsidRPr="00B968ED" w:rsidRDefault="006F253B" w:rsidP="006F253B">
      <w:pPr>
        <w:tabs>
          <w:tab w:val="left" w:pos="851"/>
        </w:tabs>
        <w:ind w:left="851" w:hanging="851"/>
        <w:rPr>
          <w:sz w:val="24"/>
          <w:szCs w:val="24"/>
        </w:rPr>
      </w:pPr>
    </w:p>
    <w:p w14:paraId="7D9DCA05" w14:textId="77777777" w:rsidR="006F253B" w:rsidRPr="00B968ED" w:rsidRDefault="006F253B" w:rsidP="006F253B">
      <w:pPr>
        <w:tabs>
          <w:tab w:val="left" w:pos="851"/>
        </w:tabs>
        <w:ind w:left="851" w:hanging="851"/>
        <w:rPr>
          <w:b/>
          <w:sz w:val="24"/>
          <w:szCs w:val="24"/>
        </w:rPr>
      </w:pPr>
      <w:r w:rsidRPr="00B968ED">
        <w:rPr>
          <w:b/>
          <w:sz w:val="24"/>
          <w:szCs w:val="24"/>
        </w:rPr>
        <w:t>8.</w:t>
      </w:r>
      <w:r w:rsidRPr="00B968ED">
        <w:rPr>
          <w:b/>
          <w:sz w:val="24"/>
          <w:szCs w:val="24"/>
        </w:rPr>
        <w:tab/>
        <w:t>MARKEDSFØRINGSTILLADELSESNUMMER (</w:t>
      </w:r>
      <w:r w:rsidR="00705894">
        <w:rPr>
          <w:b/>
          <w:sz w:val="24"/>
          <w:szCs w:val="24"/>
        </w:rPr>
        <w:t>-</w:t>
      </w:r>
      <w:r w:rsidRPr="00B968ED">
        <w:rPr>
          <w:b/>
          <w:sz w:val="24"/>
          <w:szCs w:val="24"/>
        </w:rPr>
        <w:t>NUMRE)</w:t>
      </w:r>
    </w:p>
    <w:p w14:paraId="295C10B6" w14:textId="77777777" w:rsidR="006F253B" w:rsidRDefault="006F253B" w:rsidP="006F253B">
      <w:pPr>
        <w:tabs>
          <w:tab w:val="left" w:pos="851"/>
          <w:tab w:val="left" w:pos="1560"/>
        </w:tabs>
        <w:ind w:left="851" w:hanging="851"/>
        <w:rPr>
          <w:sz w:val="24"/>
          <w:szCs w:val="24"/>
        </w:rPr>
      </w:pPr>
      <w:r w:rsidRPr="00B968ED">
        <w:rPr>
          <w:sz w:val="24"/>
          <w:szCs w:val="24"/>
        </w:rPr>
        <w:tab/>
      </w:r>
      <w:r>
        <w:rPr>
          <w:sz w:val="24"/>
          <w:szCs w:val="24"/>
        </w:rPr>
        <w:t>5 mg:</w:t>
      </w:r>
      <w:r>
        <w:rPr>
          <w:sz w:val="24"/>
          <w:szCs w:val="24"/>
        </w:rPr>
        <w:tab/>
        <w:t>54307</w:t>
      </w:r>
    </w:p>
    <w:p w14:paraId="4BF9E95D" w14:textId="77777777" w:rsidR="006F253B" w:rsidRDefault="006F253B" w:rsidP="006F253B">
      <w:pPr>
        <w:tabs>
          <w:tab w:val="left" w:pos="851"/>
          <w:tab w:val="left" w:pos="1560"/>
        </w:tabs>
        <w:ind w:left="851" w:hanging="851"/>
        <w:rPr>
          <w:sz w:val="24"/>
          <w:szCs w:val="24"/>
        </w:rPr>
      </w:pPr>
      <w:r>
        <w:rPr>
          <w:sz w:val="24"/>
          <w:szCs w:val="24"/>
        </w:rPr>
        <w:tab/>
        <w:t>10 mg:</w:t>
      </w:r>
      <w:r>
        <w:rPr>
          <w:sz w:val="24"/>
          <w:szCs w:val="24"/>
        </w:rPr>
        <w:tab/>
        <w:t>54308</w:t>
      </w:r>
    </w:p>
    <w:p w14:paraId="4D7A670E" w14:textId="77777777" w:rsidR="006F253B" w:rsidRDefault="006F253B" w:rsidP="006F253B">
      <w:pPr>
        <w:tabs>
          <w:tab w:val="left" w:pos="851"/>
          <w:tab w:val="left" w:pos="1560"/>
        </w:tabs>
        <w:ind w:left="851" w:hanging="851"/>
        <w:rPr>
          <w:sz w:val="24"/>
          <w:szCs w:val="24"/>
        </w:rPr>
      </w:pPr>
      <w:r>
        <w:rPr>
          <w:sz w:val="24"/>
          <w:szCs w:val="24"/>
        </w:rPr>
        <w:tab/>
        <w:t>15 mg:</w:t>
      </w:r>
      <w:r>
        <w:rPr>
          <w:sz w:val="24"/>
          <w:szCs w:val="24"/>
        </w:rPr>
        <w:tab/>
        <w:t>54309</w:t>
      </w:r>
    </w:p>
    <w:p w14:paraId="6BD06EDB" w14:textId="77777777" w:rsidR="006F253B" w:rsidRPr="00B968ED" w:rsidRDefault="006F253B" w:rsidP="006F253B">
      <w:pPr>
        <w:tabs>
          <w:tab w:val="left" w:pos="851"/>
          <w:tab w:val="left" w:pos="1560"/>
        </w:tabs>
        <w:ind w:left="851" w:hanging="851"/>
        <w:rPr>
          <w:sz w:val="24"/>
          <w:szCs w:val="24"/>
        </w:rPr>
      </w:pPr>
      <w:r>
        <w:rPr>
          <w:sz w:val="24"/>
          <w:szCs w:val="24"/>
        </w:rPr>
        <w:tab/>
        <w:t>30 mg:</w:t>
      </w:r>
      <w:r>
        <w:rPr>
          <w:sz w:val="24"/>
          <w:szCs w:val="24"/>
        </w:rPr>
        <w:tab/>
        <w:t>54311</w:t>
      </w:r>
    </w:p>
    <w:p w14:paraId="3639C18B" w14:textId="77777777" w:rsidR="006F253B" w:rsidRPr="00B968ED" w:rsidRDefault="006F253B" w:rsidP="006F253B">
      <w:pPr>
        <w:tabs>
          <w:tab w:val="left" w:pos="851"/>
        </w:tabs>
        <w:jc w:val="both"/>
        <w:rPr>
          <w:sz w:val="24"/>
          <w:szCs w:val="24"/>
        </w:rPr>
      </w:pPr>
    </w:p>
    <w:p w14:paraId="60C2C03E" w14:textId="77777777" w:rsidR="006F253B" w:rsidRPr="00B968ED" w:rsidRDefault="006F253B" w:rsidP="006F253B">
      <w:pPr>
        <w:tabs>
          <w:tab w:val="left" w:pos="851"/>
        </w:tabs>
        <w:ind w:left="851" w:hanging="851"/>
        <w:rPr>
          <w:b/>
          <w:sz w:val="24"/>
          <w:szCs w:val="24"/>
        </w:rPr>
      </w:pPr>
      <w:r w:rsidRPr="00B968ED">
        <w:rPr>
          <w:b/>
          <w:sz w:val="24"/>
          <w:szCs w:val="24"/>
        </w:rPr>
        <w:t>9.</w:t>
      </w:r>
      <w:r w:rsidRPr="00B968ED">
        <w:rPr>
          <w:b/>
          <w:sz w:val="24"/>
          <w:szCs w:val="24"/>
        </w:rPr>
        <w:tab/>
        <w:t>DATO FOR FØRSTE MARKEDSFØRINGSTILLADELSE</w:t>
      </w:r>
    </w:p>
    <w:p w14:paraId="2A56070E" w14:textId="77777777" w:rsidR="006F253B" w:rsidRPr="00B968ED" w:rsidRDefault="006F253B" w:rsidP="006F253B">
      <w:pPr>
        <w:tabs>
          <w:tab w:val="left" w:pos="851"/>
        </w:tabs>
        <w:rPr>
          <w:sz w:val="24"/>
          <w:szCs w:val="24"/>
        </w:rPr>
      </w:pPr>
      <w:r w:rsidRPr="00B968ED">
        <w:rPr>
          <w:sz w:val="24"/>
          <w:szCs w:val="24"/>
        </w:rPr>
        <w:tab/>
      </w:r>
      <w:r>
        <w:rPr>
          <w:sz w:val="24"/>
          <w:szCs w:val="24"/>
        </w:rPr>
        <w:t>21. april 2015</w:t>
      </w:r>
    </w:p>
    <w:p w14:paraId="41597994" w14:textId="77777777" w:rsidR="006F253B" w:rsidRPr="00B968ED" w:rsidRDefault="006F253B" w:rsidP="006F253B">
      <w:pPr>
        <w:tabs>
          <w:tab w:val="left" w:pos="851"/>
        </w:tabs>
        <w:rPr>
          <w:sz w:val="24"/>
          <w:szCs w:val="24"/>
        </w:rPr>
      </w:pPr>
    </w:p>
    <w:p w14:paraId="209A0646" w14:textId="77777777" w:rsidR="006F253B" w:rsidRPr="00B968ED" w:rsidRDefault="006F253B" w:rsidP="006F253B">
      <w:pPr>
        <w:tabs>
          <w:tab w:val="left" w:pos="851"/>
        </w:tabs>
        <w:ind w:left="851" w:hanging="851"/>
        <w:rPr>
          <w:b/>
          <w:sz w:val="24"/>
          <w:szCs w:val="24"/>
        </w:rPr>
      </w:pPr>
      <w:r w:rsidRPr="00B968ED">
        <w:rPr>
          <w:b/>
          <w:sz w:val="24"/>
          <w:szCs w:val="24"/>
        </w:rPr>
        <w:t>10.</w:t>
      </w:r>
      <w:r w:rsidRPr="00B968ED">
        <w:rPr>
          <w:b/>
          <w:sz w:val="24"/>
          <w:szCs w:val="24"/>
        </w:rPr>
        <w:tab/>
        <w:t>DATO FOR ÆNDRING AF TEKSTEN</w:t>
      </w:r>
    </w:p>
    <w:p w14:paraId="4FEF674C" w14:textId="77777777" w:rsidR="006F253B" w:rsidRPr="00DB538F" w:rsidRDefault="006F253B" w:rsidP="006F253B">
      <w:pPr>
        <w:tabs>
          <w:tab w:val="left" w:pos="851"/>
        </w:tabs>
        <w:rPr>
          <w:sz w:val="24"/>
          <w:szCs w:val="24"/>
        </w:rPr>
      </w:pPr>
      <w:r w:rsidRPr="00DB538F">
        <w:rPr>
          <w:sz w:val="24"/>
          <w:szCs w:val="24"/>
        </w:rPr>
        <w:lastRenderedPageBreak/>
        <w:tab/>
      </w:r>
      <w:r w:rsidR="00705894">
        <w:rPr>
          <w:sz w:val="24"/>
          <w:szCs w:val="24"/>
        </w:rPr>
        <w:t>13</w:t>
      </w:r>
      <w:r w:rsidR="00D33DEE">
        <w:rPr>
          <w:sz w:val="24"/>
          <w:szCs w:val="24"/>
        </w:rPr>
        <w:t xml:space="preserve">. </w:t>
      </w:r>
      <w:r w:rsidR="00705894">
        <w:rPr>
          <w:sz w:val="24"/>
          <w:szCs w:val="24"/>
        </w:rPr>
        <w:t>novem</w:t>
      </w:r>
      <w:r w:rsidR="00D33DEE">
        <w:rPr>
          <w:sz w:val="24"/>
          <w:szCs w:val="24"/>
        </w:rPr>
        <w:t>ber 202</w:t>
      </w:r>
      <w:r w:rsidR="00705894">
        <w:rPr>
          <w:sz w:val="24"/>
          <w:szCs w:val="24"/>
        </w:rPr>
        <w:t>3</w:t>
      </w:r>
    </w:p>
    <w:p w14:paraId="2E5AAD78" w14:textId="77777777" w:rsidR="006F253B" w:rsidRPr="004E229D" w:rsidRDefault="006F253B" w:rsidP="006F253B"/>
    <w:p w14:paraId="67BDACC8" w14:textId="77777777" w:rsidR="006F253B" w:rsidRPr="00EB101B" w:rsidRDefault="006F253B" w:rsidP="006F253B"/>
    <w:p w14:paraId="729A6CD7" w14:textId="77777777" w:rsidR="009260DE" w:rsidRPr="006F253B" w:rsidRDefault="009260DE" w:rsidP="006F253B"/>
    <w:sectPr w:rsidR="009260DE" w:rsidRPr="006F253B" w:rsidSect="000259B9">
      <w:footerReference w:type="default" r:id="rId12"/>
      <w:pgSz w:w="11906" w:h="16838" w:code="9"/>
      <w:pgMar w:top="851" w:right="1134" w:bottom="170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DK-LH" w:date="2022-10-10T13:06:00Z" w:initials="LH">
    <w:p w14:paraId="2E4FAE99" w14:textId="77777777" w:rsidR="00685C46" w:rsidRPr="00840B47" w:rsidRDefault="00685C46" w:rsidP="00685C46">
      <w:pPr>
        <w:pStyle w:val="Kommentartekst"/>
        <w:rPr>
          <w:lang w:val="en-US"/>
        </w:rPr>
      </w:pPr>
      <w:r>
        <w:rPr>
          <w:rStyle w:val="Kommentarhenvisning"/>
        </w:rPr>
        <w:annotationRef/>
      </w:r>
      <w:r w:rsidRPr="00840B47">
        <w:rPr>
          <w:lang w:val="en-US"/>
        </w:rPr>
        <w:t>Var 023 – Pending DKMA approval</w:t>
      </w:r>
    </w:p>
  </w:comment>
  <w:comment w:id="2" w:author="RADK-LH" w:date="2022-10-10T13:07:00Z" w:initials="LH">
    <w:p w14:paraId="41E9EDB0" w14:textId="77777777" w:rsidR="00685C46" w:rsidRPr="00840B47" w:rsidRDefault="00685C46" w:rsidP="00685C46">
      <w:pPr>
        <w:pStyle w:val="Kommentartekst"/>
        <w:rPr>
          <w:lang w:val="en-US"/>
        </w:rPr>
      </w:pPr>
      <w:r>
        <w:rPr>
          <w:rStyle w:val="Kommentarhenvisning"/>
        </w:rPr>
        <w:annotationRef/>
      </w:r>
      <w:r w:rsidRPr="00B81424">
        <w:rPr>
          <w:lang w:val="en-US"/>
        </w:rPr>
        <w:t>Var023 – Pending DKMA approval</w:t>
      </w:r>
    </w:p>
  </w:comment>
  <w:comment w:id="3" w:author="RADK-LH" w:date="2022-10-10T13:07:00Z" w:initials="LH">
    <w:p w14:paraId="46504511" w14:textId="77777777" w:rsidR="00685C46" w:rsidRPr="00840B47" w:rsidRDefault="00685C46" w:rsidP="00685C46">
      <w:pPr>
        <w:pStyle w:val="Kommentartekst"/>
        <w:rPr>
          <w:lang w:val="en-US"/>
        </w:rPr>
      </w:pPr>
      <w:r>
        <w:rPr>
          <w:rStyle w:val="Kommentarhenvisning"/>
        </w:rPr>
        <w:annotationRef/>
      </w:r>
      <w:r w:rsidRPr="00B81424">
        <w:rPr>
          <w:lang w:val="en-US"/>
        </w:rPr>
        <w:t>Var023 – Pending DKMA approval</w:t>
      </w:r>
    </w:p>
  </w:comment>
  <w:comment w:id="4" w:author="RADK-LH" w:date="2022-10-10T13:08:00Z" w:initials="LH">
    <w:p w14:paraId="107665A2" w14:textId="77777777" w:rsidR="00685C46" w:rsidRPr="00840B47" w:rsidRDefault="00685C46" w:rsidP="00685C46">
      <w:pPr>
        <w:pStyle w:val="Kommentartekst"/>
        <w:rPr>
          <w:lang w:val="en-US"/>
        </w:rPr>
      </w:pPr>
      <w:r>
        <w:rPr>
          <w:rStyle w:val="Kommentarhenvisning"/>
        </w:rPr>
        <w:annotationRef/>
      </w:r>
      <w:r w:rsidRPr="00B81424">
        <w:rPr>
          <w:lang w:val="en-US"/>
        </w:rPr>
        <w:t>Var023 – Pending DKMA approval</w:t>
      </w:r>
    </w:p>
  </w:comment>
  <w:comment w:id="5" w:author="RADK-LH" w:date="2022-10-10T13:08:00Z" w:initials="LH">
    <w:p w14:paraId="2925C421" w14:textId="77777777" w:rsidR="00685C46" w:rsidRPr="00840B47" w:rsidRDefault="00685C46" w:rsidP="00685C46">
      <w:pPr>
        <w:pStyle w:val="Kommentartekst"/>
        <w:rPr>
          <w:lang w:val="en-US"/>
        </w:rPr>
      </w:pPr>
      <w:r>
        <w:rPr>
          <w:rStyle w:val="Kommentarhenvisning"/>
        </w:rPr>
        <w:annotationRef/>
      </w:r>
      <w:r w:rsidRPr="00B81424">
        <w:rPr>
          <w:lang w:val="en-US"/>
        </w:rPr>
        <w:t>Var023 – Pending DKMA approval</w:t>
      </w:r>
    </w:p>
  </w:comment>
  <w:comment w:id="6" w:author="RADK-LH" w:date="2022-10-10T13:08:00Z" w:initials="LH">
    <w:p w14:paraId="28E1FC62"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7" w:author="RADK-LH" w:date="2022-10-10T13:08:00Z" w:initials="LH">
    <w:p w14:paraId="009BFFA4" w14:textId="77777777" w:rsidR="00327C0A" w:rsidRPr="00840B47" w:rsidRDefault="00327C0A">
      <w:pPr>
        <w:pStyle w:val="Kommentartekst"/>
        <w:rPr>
          <w:lang w:val="en-US"/>
        </w:rPr>
      </w:pPr>
      <w:r>
        <w:rPr>
          <w:rStyle w:val="Kommentarhenvisning"/>
        </w:rPr>
        <w:annotationRef/>
      </w:r>
      <w:r w:rsidRPr="00B81424">
        <w:rPr>
          <w:lang w:val="en-US"/>
        </w:rPr>
        <w:t>Var023 – Pending DKMA approval</w:t>
      </w:r>
    </w:p>
  </w:comment>
  <w:comment w:id="8" w:author="RADK-LH" w:date="2022-10-10T13:08:00Z" w:initials="LH">
    <w:p w14:paraId="7BAAE75A" w14:textId="77777777" w:rsidR="00327C0A" w:rsidRPr="00840B47" w:rsidRDefault="00327C0A">
      <w:pPr>
        <w:pStyle w:val="Kommentartekst"/>
        <w:rPr>
          <w:lang w:val="en-US"/>
        </w:rPr>
      </w:pPr>
      <w:r>
        <w:rPr>
          <w:rStyle w:val="Kommentarhenvisning"/>
        </w:rPr>
        <w:annotationRef/>
      </w:r>
      <w:r w:rsidRPr="00B81424">
        <w:rPr>
          <w:lang w:val="en-US"/>
        </w:rPr>
        <w:t>Var023 – Pending DKMA approval</w:t>
      </w:r>
    </w:p>
  </w:comment>
  <w:comment w:id="9" w:author="RADK-LH" w:date="2022-10-10T13:08:00Z" w:initials="LH">
    <w:p w14:paraId="667A716A"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0" w:author="RADK-LH" w:date="2022-10-10T13:08:00Z" w:initials="LH">
    <w:p w14:paraId="025DCF58"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1" w:author="RADK-LH" w:date="2022-10-10T13:09:00Z" w:initials="LH">
    <w:p w14:paraId="63E822A8"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2" w:author="RADK-LH" w:date="2022-10-10T13:09:00Z" w:initials="LH">
    <w:p w14:paraId="5B867002"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3" w:author="RADK-LH" w:date="2022-10-10T13:09:00Z" w:initials="LH">
    <w:p w14:paraId="4F83D990"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4" w:author="RADK-LH" w:date="2022-10-10T13:09:00Z" w:initials="LH">
    <w:p w14:paraId="103E452E"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5" w:author="RADK-LH" w:date="2022-10-10T13:10:00Z" w:initials="LH">
    <w:p w14:paraId="3FF09D59"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6" w:author="RADK-LH" w:date="2022-10-10T13:10:00Z" w:initials="LH">
    <w:p w14:paraId="0CD13C8C"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7" w:author="RADK-LH" w:date="2022-10-10T13:10:00Z" w:initials="LH">
    <w:p w14:paraId="520C78D6"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8" w:author="RADK-LH" w:date="2022-10-10T13:10:00Z" w:initials="LH">
    <w:p w14:paraId="43848980" w14:textId="77777777" w:rsidR="00327C0A" w:rsidRPr="00840B47" w:rsidRDefault="00327C0A" w:rsidP="00327C0A">
      <w:pPr>
        <w:pStyle w:val="Kommentartekst"/>
        <w:rPr>
          <w:lang w:val="en-US"/>
        </w:rPr>
      </w:pPr>
      <w:r>
        <w:rPr>
          <w:rStyle w:val="Kommentarhenvisning"/>
        </w:rPr>
        <w:annotationRef/>
      </w:r>
      <w:r w:rsidRPr="00B81424">
        <w:rPr>
          <w:lang w:val="en-US"/>
        </w:rPr>
        <w:t>Var023 – Pending DKMA approval</w:t>
      </w:r>
    </w:p>
  </w:comment>
  <w:comment w:id="19" w:author="RADK-LH" w:date="2022-10-10T13:11:00Z" w:initials="LH">
    <w:p w14:paraId="4E9BD295" w14:textId="77777777" w:rsidR="00705894" w:rsidRPr="00840B47" w:rsidRDefault="00705894" w:rsidP="00705894">
      <w:pPr>
        <w:pStyle w:val="Kommentartekst"/>
        <w:rPr>
          <w:lang w:val="en-US"/>
        </w:rPr>
      </w:pPr>
      <w:r>
        <w:rPr>
          <w:rStyle w:val="Kommentarhenvisning"/>
        </w:rPr>
        <w:annotationRef/>
      </w:r>
      <w:r w:rsidRPr="00B81424">
        <w:rPr>
          <w:lang w:val="en-US"/>
        </w:rPr>
        <w:t>Var023 – Pending DKMA approval</w:t>
      </w:r>
    </w:p>
  </w:comment>
  <w:comment w:id="20" w:author="RADK-LH" w:date="2022-10-10T13:11:00Z" w:initials="LH">
    <w:p w14:paraId="4AEA8B39" w14:textId="77777777" w:rsidR="00705894" w:rsidRPr="00840B47" w:rsidRDefault="00705894" w:rsidP="00705894">
      <w:pPr>
        <w:pStyle w:val="Kommentartekst"/>
        <w:rPr>
          <w:lang w:val="en-US"/>
        </w:rPr>
      </w:pPr>
      <w:r>
        <w:rPr>
          <w:rStyle w:val="Kommentarhenvisning"/>
        </w:rPr>
        <w:annotationRef/>
      </w:r>
      <w:r w:rsidRPr="00B81424">
        <w:rPr>
          <w:lang w:val="en-US"/>
        </w:rPr>
        <w:t>Var023 – Pending DKMA approval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4FAE99" w15:done="0"/>
  <w15:commentEx w15:paraId="41E9EDB0" w15:done="0"/>
  <w15:commentEx w15:paraId="46504511" w15:done="0"/>
  <w15:commentEx w15:paraId="107665A2" w15:done="0"/>
  <w15:commentEx w15:paraId="2925C421" w15:done="0"/>
  <w15:commentEx w15:paraId="28E1FC62" w15:done="0"/>
  <w15:commentEx w15:paraId="009BFFA4" w15:done="0"/>
  <w15:commentEx w15:paraId="7BAAE75A" w15:done="0"/>
  <w15:commentEx w15:paraId="667A716A" w15:done="0"/>
  <w15:commentEx w15:paraId="025DCF58" w15:done="0"/>
  <w15:commentEx w15:paraId="63E822A8" w15:done="0"/>
  <w15:commentEx w15:paraId="5B867002" w15:done="0"/>
  <w15:commentEx w15:paraId="4F83D990" w15:done="0"/>
  <w15:commentEx w15:paraId="103E452E" w15:done="0"/>
  <w15:commentEx w15:paraId="3FF09D59" w15:done="0"/>
  <w15:commentEx w15:paraId="0CD13C8C" w15:done="0"/>
  <w15:commentEx w15:paraId="520C78D6" w15:done="0"/>
  <w15:commentEx w15:paraId="43848980" w15:done="0"/>
  <w15:commentEx w15:paraId="4E9BD295" w15:done="0"/>
  <w15:commentEx w15:paraId="4AEA8B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4FAE99" w16cid:durableId="28C831CB"/>
  <w16cid:commentId w16cid:paraId="41E9EDB0" w16cid:durableId="28C831CD"/>
  <w16cid:commentId w16cid:paraId="46504511" w16cid:durableId="28C831CE"/>
  <w16cid:commentId w16cid:paraId="107665A2" w16cid:durableId="28C831D0"/>
  <w16cid:commentId w16cid:paraId="28E1FC62" w16cid:durableId="28C831D2"/>
  <w16cid:commentId w16cid:paraId="009BFFA4" w16cid:durableId="28C831D3"/>
  <w16cid:commentId w16cid:paraId="667A716A" w16cid:durableId="28C831D5"/>
  <w16cid:commentId w16cid:paraId="025DCF58" w16cid:durableId="28C831D6"/>
  <w16cid:commentId w16cid:paraId="63E822A8" w16cid:durableId="28C831DD"/>
  <w16cid:commentId w16cid:paraId="5B867002" w16cid:durableId="28C831DE"/>
  <w16cid:commentId w16cid:paraId="4F83D990" w16cid:durableId="28C831DF"/>
  <w16cid:commentId w16cid:paraId="103E452E" w16cid:durableId="28C831E0"/>
  <w16cid:commentId w16cid:paraId="3FF09D59" w16cid:durableId="28C831E2"/>
  <w16cid:commentId w16cid:paraId="0CD13C8C" w16cid:durableId="28C831E3"/>
  <w16cid:commentId w16cid:paraId="520C78D6" w16cid:durableId="28C831E4"/>
  <w16cid:commentId w16cid:paraId="43848980" w16cid:durableId="28C831E7"/>
  <w16cid:commentId w16cid:paraId="4E9BD295" w16cid:durableId="28C831E9"/>
  <w16cid:commentId w16cid:paraId="4AEA8B39" w16cid:durableId="28C83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F272B" w14:textId="77777777" w:rsidR="00685C46" w:rsidRDefault="00685C46">
      <w:r>
        <w:separator/>
      </w:r>
    </w:p>
  </w:endnote>
  <w:endnote w:type="continuationSeparator" w:id="0">
    <w:p w14:paraId="16A6A1BD" w14:textId="77777777" w:rsidR="00685C46" w:rsidRDefault="0068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E8AD" w14:textId="77777777" w:rsidR="00685C46" w:rsidRDefault="00685C46">
    <w:pPr>
      <w:pStyle w:val="Sidefod"/>
      <w:pBdr>
        <w:bottom w:val="single" w:sz="6" w:space="1" w:color="auto"/>
      </w:pBdr>
    </w:pPr>
  </w:p>
  <w:p w14:paraId="38F83773" w14:textId="77777777" w:rsidR="00685C46" w:rsidRDefault="00685C46" w:rsidP="00C42586">
    <w:pPr>
      <w:pStyle w:val="Sidefod"/>
      <w:tabs>
        <w:tab w:val="clear" w:pos="4819"/>
        <w:tab w:val="left" w:pos="8505"/>
      </w:tabs>
      <w:rPr>
        <w:i/>
        <w:sz w:val="18"/>
        <w:szCs w:val="18"/>
      </w:rPr>
    </w:pPr>
  </w:p>
  <w:p w14:paraId="25740155" w14:textId="77777777" w:rsidR="00685C46" w:rsidRPr="00B373D7" w:rsidRDefault="00685C4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Aripiprazole Teva, tabletter 5 mg, 10 mg,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247E" w14:textId="77777777" w:rsidR="00685C46" w:rsidRDefault="00685C46">
      <w:r>
        <w:separator/>
      </w:r>
    </w:p>
  </w:footnote>
  <w:footnote w:type="continuationSeparator" w:id="0">
    <w:p w14:paraId="027D3E01" w14:textId="77777777" w:rsidR="00685C46" w:rsidRDefault="0068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37BFF"/>
    <w:multiLevelType w:val="hybridMultilevel"/>
    <w:tmpl w:val="24985182"/>
    <w:lvl w:ilvl="0" w:tplc="D67AAC58">
      <w:start w:val="1"/>
      <w:numFmt w:val="bullet"/>
      <w:lvlText w:val="–"/>
      <w:lvlJc w:val="left"/>
      <w:pPr>
        <w:ind w:left="1440" w:hanging="360"/>
      </w:pPr>
      <w:rPr>
        <w:rFonts w:ascii="Times New Roman" w:hAnsi="Times New Roman" w:cs="Times New Roman"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K-LH">
    <w15:presenceInfo w15:providerId="None" w15:userId="RADK-L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3B"/>
    <w:rsid w:val="000259B9"/>
    <w:rsid w:val="00041491"/>
    <w:rsid w:val="00050D16"/>
    <w:rsid w:val="00074F2A"/>
    <w:rsid w:val="000819A4"/>
    <w:rsid w:val="000A1CA8"/>
    <w:rsid w:val="000A466B"/>
    <w:rsid w:val="000B058C"/>
    <w:rsid w:val="000E4EE6"/>
    <w:rsid w:val="001454E2"/>
    <w:rsid w:val="00206CE8"/>
    <w:rsid w:val="0021526C"/>
    <w:rsid w:val="00283A2B"/>
    <w:rsid w:val="002B30AD"/>
    <w:rsid w:val="002C2C01"/>
    <w:rsid w:val="00327C0A"/>
    <w:rsid w:val="003A29AE"/>
    <w:rsid w:val="003A32D7"/>
    <w:rsid w:val="003B4074"/>
    <w:rsid w:val="003C769A"/>
    <w:rsid w:val="003F1838"/>
    <w:rsid w:val="0045746C"/>
    <w:rsid w:val="0049104B"/>
    <w:rsid w:val="004E3B12"/>
    <w:rsid w:val="00532310"/>
    <w:rsid w:val="00560ECC"/>
    <w:rsid w:val="00565F0F"/>
    <w:rsid w:val="00594A86"/>
    <w:rsid w:val="00596D86"/>
    <w:rsid w:val="005F00BE"/>
    <w:rsid w:val="00637F5A"/>
    <w:rsid w:val="006560B1"/>
    <w:rsid w:val="006756DD"/>
    <w:rsid w:val="00685C46"/>
    <w:rsid w:val="006E4352"/>
    <w:rsid w:val="006F253B"/>
    <w:rsid w:val="00705894"/>
    <w:rsid w:val="00737275"/>
    <w:rsid w:val="00740EEC"/>
    <w:rsid w:val="00765FD9"/>
    <w:rsid w:val="0078011A"/>
    <w:rsid w:val="00782AF4"/>
    <w:rsid w:val="00790EE7"/>
    <w:rsid w:val="007B6649"/>
    <w:rsid w:val="0081546F"/>
    <w:rsid w:val="0082576E"/>
    <w:rsid w:val="00844A70"/>
    <w:rsid w:val="00882342"/>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3DEE"/>
    <w:rsid w:val="00D366CF"/>
    <w:rsid w:val="00E108AA"/>
    <w:rsid w:val="00E31812"/>
    <w:rsid w:val="00E3749A"/>
    <w:rsid w:val="00E66E8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38581"/>
  <w15:chartTrackingRefBased/>
  <w15:docId w15:val="{3DA9A073-048D-40D2-9F00-BCD3172D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89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F253B"/>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6F253B"/>
    <w:rPr>
      <w:color w:val="0563C1" w:themeColor="hyperlink"/>
      <w:u w:val="single"/>
    </w:rPr>
  </w:style>
  <w:style w:type="paragraph" w:styleId="Listeafsnit">
    <w:name w:val="List Paragraph"/>
    <w:basedOn w:val="Normal"/>
    <w:uiPriority w:val="34"/>
    <w:qFormat/>
    <w:rsid w:val="006F2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7724</Words>
  <Characters>49131</Characters>
  <Application>Microsoft Office Word</Application>
  <DocSecurity>0</DocSecurity>
  <Lines>409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2021061231 + 2022112281 pkt. 4.2, 4.4., 4.5. 4-6. 4-8. 5.1. 5.2, 5.3 samt QRD</dc:description>
  <cp:lastModifiedBy>Helle Søndersted</cp:lastModifiedBy>
  <cp:revision>2</cp:revision>
  <cp:lastPrinted>2012-08-22T08:53:00Z</cp:lastPrinted>
  <dcterms:created xsi:type="dcterms:W3CDTF">2023-11-13T11:20:00Z</dcterms:created>
  <dcterms:modified xsi:type="dcterms:W3CDTF">2023-11-13T11:20:00Z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