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A9" w:rsidRPr="00C84483" w:rsidRDefault="004F4CA9" w:rsidP="004F4CA9">
      <w:pPr>
        <w:rPr>
          <w:sz w:val="24"/>
          <w:szCs w:val="24"/>
        </w:rPr>
      </w:pPr>
      <w:r>
        <w:rPr>
          <w:noProof/>
          <w:lang w:eastAsia="da-DK"/>
        </w:rPr>
        <w:drawing>
          <wp:inline distT="0" distB="0" distL="0" distR="0" wp14:anchorId="0D02D4C8" wp14:editId="40A9B60D">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529CB" w:rsidRDefault="008529CB" w:rsidP="004F4CA9">
      <w:pPr>
        <w:pStyle w:val="Titel"/>
        <w:tabs>
          <w:tab w:val="right" w:pos="9356"/>
        </w:tabs>
        <w:jc w:val="left"/>
        <w:rPr>
          <w:b w:val="0"/>
          <w:szCs w:val="24"/>
          <w:lang w:eastAsia="en-US"/>
        </w:rPr>
      </w:pPr>
    </w:p>
    <w:p w:rsidR="004F4CA9" w:rsidRPr="00C84483" w:rsidRDefault="004F4CA9" w:rsidP="004F4CA9">
      <w:pPr>
        <w:pStyle w:val="Titel"/>
        <w:tabs>
          <w:tab w:val="right" w:pos="9356"/>
        </w:tabs>
        <w:jc w:val="left"/>
        <w:rPr>
          <w:b w:val="0"/>
          <w:szCs w:val="24"/>
          <w:lang w:eastAsia="en-US"/>
        </w:rPr>
      </w:pPr>
      <w:r w:rsidRPr="00C84483">
        <w:rPr>
          <w:b w:val="0"/>
          <w:szCs w:val="24"/>
          <w:lang w:eastAsia="en-US"/>
        </w:rPr>
        <w:tab/>
      </w:r>
      <w:r w:rsidR="00153781">
        <w:rPr>
          <w:szCs w:val="24"/>
          <w:lang w:eastAsia="en-US"/>
        </w:rPr>
        <w:t>8. januar 2025</w:t>
      </w:r>
    </w:p>
    <w:p w:rsidR="004F4CA9" w:rsidRPr="00C84483" w:rsidRDefault="004F4CA9" w:rsidP="004F4CA9">
      <w:pPr>
        <w:pStyle w:val="Titel"/>
        <w:tabs>
          <w:tab w:val="left" w:pos="8222"/>
        </w:tabs>
        <w:jc w:val="left"/>
        <w:rPr>
          <w:b w:val="0"/>
          <w:szCs w:val="24"/>
        </w:rPr>
      </w:pPr>
    </w:p>
    <w:p w:rsidR="004F4CA9" w:rsidRPr="00C84483" w:rsidRDefault="004F4CA9" w:rsidP="004F4CA9">
      <w:pPr>
        <w:pStyle w:val="Titel"/>
        <w:jc w:val="left"/>
        <w:rPr>
          <w:b w:val="0"/>
          <w:szCs w:val="24"/>
        </w:rPr>
      </w:pPr>
    </w:p>
    <w:p w:rsidR="004F4CA9" w:rsidRPr="00C84483" w:rsidRDefault="004F4CA9" w:rsidP="004F4CA9">
      <w:pPr>
        <w:pStyle w:val="Titel"/>
        <w:jc w:val="left"/>
        <w:rPr>
          <w:b w:val="0"/>
          <w:szCs w:val="24"/>
        </w:rPr>
      </w:pPr>
    </w:p>
    <w:p w:rsidR="004F4CA9" w:rsidRPr="00C84483" w:rsidRDefault="004F4CA9" w:rsidP="004F4CA9">
      <w:pPr>
        <w:jc w:val="center"/>
        <w:rPr>
          <w:b/>
          <w:sz w:val="24"/>
          <w:szCs w:val="24"/>
        </w:rPr>
      </w:pPr>
      <w:r w:rsidRPr="00C84483">
        <w:rPr>
          <w:b/>
          <w:sz w:val="24"/>
          <w:szCs w:val="24"/>
        </w:rPr>
        <w:t>PRODUKTRESUMÉ</w:t>
      </w:r>
    </w:p>
    <w:p w:rsidR="004F4CA9" w:rsidRPr="00C84483" w:rsidRDefault="004F4CA9" w:rsidP="004F4CA9">
      <w:pPr>
        <w:jc w:val="center"/>
        <w:rPr>
          <w:b/>
          <w:sz w:val="24"/>
          <w:szCs w:val="24"/>
        </w:rPr>
      </w:pPr>
    </w:p>
    <w:p w:rsidR="004F4CA9" w:rsidRPr="00C84483" w:rsidRDefault="00FC72D2" w:rsidP="00E46C63">
      <w:pPr>
        <w:tabs>
          <w:tab w:val="left" w:pos="350"/>
          <w:tab w:val="left" w:pos="550"/>
          <w:tab w:val="center" w:pos="4819"/>
        </w:tabs>
        <w:rPr>
          <w:b/>
          <w:sz w:val="24"/>
          <w:szCs w:val="24"/>
        </w:rPr>
      </w:pPr>
      <w:r>
        <w:rPr>
          <w:b/>
          <w:sz w:val="24"/>
          <w:szCs w:val="24"/>
        </w:rPr>
        <w:tab/>
      </w:r>
      <w:r>
        <w:rPr>
          <w:b/>
          <w:sz w:val="24"/>
          <w:szCs w:val="24"/>
        </w:rPr>
        <w:tab/>
      </w:r>
      <w:r w:rsidR="00E46C63">
        <w:rPr>
          <w:b/>
          <w:sz w:val="24"/>
          <w:szCs w:val="24"/>
        </w:rPr>
        <w:tab/>
      </w:r>
      <w:r w:rsidR="004F4CA9" w:rsidRPr="00C84483">
        <w:rPr>
          <w:b/>
          <w:sz w:val="24"/>
          <w:szCs w:val="24"/>
        </w:rPr>
        <w:t>for</w:t>
      </w:r>
    </w:p>
    <w:p w:rsidR="004F4CA9" w:rsidRPr="00C84483" w:rsidRDefault="000D0081" w:rsidP="000D0081">
      <w:pPr>
        <w:tabs>
          <w:tab w:val="left" w:pos="210"/>
        </w:tabs>
        <w:rPr>
          <w:b/>
          <w:sz w:val="24"/>
          <w:szCs w:val="24"/>
        </w:rPr>
      </w:pPr>
      <w:r>
        <w:rPr>
          <w:b/>
          <w:sz w:val="24"/>
          <w:szCs w:val="24"/>
        </w:rPr>
        <w:tab/>
      </w:r>
    </w:p>
    <w:p w:rsidR="004F4CA9" w:rsidRPr="00C84483" w:rsidRDefault="004F4CA9" w:rsidP="004F4CA9">
      <w:pPr>
        <w:jc w:val="center"/>
        <w:rPr>
          <w:b/>
          <w:sz w:val="24"/>
          <w:szCs w:val="24"/>
        </w:rPr>
      </w:pPr>
      <w:r>
        <w:rPr>
          <w:b/>
          <w:sz w:val="24"/>
          <w:szCs w:val="24"/>
        </w:rPr>
        <w:t>Aritavi, hårde enterokapsler</w:t>
      </w:r>
    </w:p>
    <w:p w:rsidR="004F4CA9" w:rsidRPr="00C84483" w:rsidRDefault="004F4CA9" w:rsidP="004F4CA9">
      <w:pPr>
        <w:jc w:val="both"/>
        <w:rPr>
          <w:sz w:val="24"/>
          <w:szCs w:val="24"/>
        </w:rPr>
      </w:pPr>
    </w:p>
    <w:p w:rsidR="004F4CA9" w:rsidRPr="00D86A31" w:rsidRDefault="004F4CA9" w:rsidP="004F4CA9">
      <w:pPr>
        <w:ind w:left="851" w:hanging="851"/>
        <w:jc w:val="both"/>
        <w:rPr>
          <w:sz w:val="24"/>
          <w:szCs w:val="24"/>
        </w:rPr>
      </w:pPr>
    </w:p>
    <w:p w:rsidR="004F4CA9" w:rsidRPr="00D86A31" w:rsidRDefault="004F4CA9" w:rsidP="004F4CA9">
      <w:pPr>
        <w:ind w:left="851" w:hanging="851"/>
        <w:rPr>
          <w:b/>
          <w:sz w:val="24"/>
          <w:szCs w:val="24"/>
        </w:rPr>
      </w:pPr>
      <w:r w:rsidRPr="00D86A31">
        <w:rPr>
          <w:b/>
          <w:sz w:val="24"/>
          <w:szCs w:val="24"/>
        </w:rPr>
        <w:t>0.</w:t>
      </w:r>
      <w:r w:rsidRPr="00D86A31">
        <w:rPr>
          <w:b/>
          <w:sz w:val="24"/>
          <w:szCs w:val="24"/>
        </w:rPr>
        <w:tab/>
        <w:t>D.SP.NR.</w:t>
      </w:r>
    </w:p>
    <w:p w:rsidR="004F4CA9" w:rsidRPr="00D86A31" w:rsidRDefault="004F4CA9" w:rsidP="004F4CA9">
      <w:pPr>
        <w:ind w:left="851" w:hanging="851"/>
        <w:rPr>
          <w:sz w:val="24"/>
          <w:szCs w:val="24"/>
        </w:rPr>
      </w:pPr>
      <w:r w:rsidRPr="00D86A31">
        <w:rPr>
          <w:sz w:val="24"/>
          <w:szCs w:val="24"/>
        </w:rPr>
        <w:tab/>
        <w:t>29429</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1.</w:t>
      </w:r>
      <w:r w:rsidRPr="00D86A31">
        <w:rPr>
          <w:b/>
          <w:sz w:val="24"/>
          <w:szCs w:val="24"/>
        </w:rPr>
        <w:tab/>
        <w:t>LÆGEMIDLETS NAVN</w:t>
      </w:r>
    </w:p>
    <w:p w:rsidR="004F4CA9" w:rsidRPr="00D86A31" w:rsidRDefault="004F4CA9" w:rsidP="004F4CA9">
      <w:pPr>
        <w:ind w:left="851" w:hanging="851"/>
        <w:rPr>
          <w:sz w:val="24"/>
          <w:szCs w:val="24"/>
        </w:rPr>
      </w:pPr>
      <w:r w:rsidRPr="00D86A31">
        <w:rPr>
          <w:sz w:val="24"/>
          <w:szCs w:val="24"/>
        </w:rPr>
        <w:tab/>
        <w:t>Aritavi</w:t>
      </w:r>
    </w:p>
    <w:p w:rsidR="004F4CA9" w:rsidRPr="00D86A31" w:rsidRDefault="004F4CA9" w:rsidP="004F4CA9">
      <w:pPr>
        <w:ind w:left="851" w:hanging="851"/>
        <w:rPr>
          <w:sz w:val="24"/>
          <w:szCs w:val="24"/>
        </w:rPr>
      </w:pPr>
      <w:r w:rsidRPr="00D86A31">
        <w:rPr>
          <w:sz w:val="24"/>
          <w:szCs w:val="24"/>
        </w:rPr>
        <w:tab/>
      </w:r>
    </w:p>
    <w:p w:rsidR="004F4CA9" w:rsidRPr="00D86A31" w:rsidRDefault="004F4CA9" w:rsidP="004F4CA9">
      <w:pPr>
        <w:ind w:left="851" w:hanging="851"/>
        <w:rPr>
          <w:b/>
          <w:sz w:val="24"/>
          <w:szCs w:val="24"/>
        </w:rPr>
      </w:pPr>
      <w:r w:rsidRPr="00D86A31">
        <w:rPr>
          <w:b/>
          <w:sz w:val="24"/>
          <w:szCs w:val="24"/>
        </w:rPr>
        <w:t>2.</w:t>
      </w:r>
      <w:r w:rsidRPr="00D86A31">
        <w:rPr>
          <w:b/>
          <w:sz w:val="24"/>
          <w:szCs w:val="24"/>
        </w:rPr>
        <w:tab/>
        <w:t>KVALITATIV OG KVANTITATIV SAMMENSÆTNING</w:t>
      </w:r>
    </w:p>
    <w:p w:rsidR="008529CB" w:rsidRPr="00D86A31" w:rsidRDefault="004F4CA9" w:rsidP="008529CB">
      <w:pPr>
        <w:widowControl w:val="0"/>
        <w:autoSpaceDE w:val="0"/>
        <w:autoSpaceDN w:val="0"/>
        <w:adjustRightInd w:val="0"/>
        <w:ind w:left="851" w:hanging="851"/>
        <w:rPr>
          <w:color w:val="000000"/>
          <w:sz w:val="24"/>
          <w:szCs w:val="24"/>
        </w:rPr>
      </w:pPr>
      <w:r w:rsidRPr="00D86A31">
        <w:rPr>
          <w:sz w:val="24"/>
          <w:szCs w:val="24"/>
        </w:rPr>
        <w:tab/>
      </w:r>
      <w:r w:rsidR="008529CB" w:rsidRPr="00D86A31">
        <w:rPr>
          <w:color w:val="000000"/>
          <w:sz w:val="24"/>
          <w:szCs w:val="24"/>
        </w:rPr>
        <w:t>Hver kapsel indeholder 30 mg duloxetin (som hydrochlorid).</w:t>
      </w:r>
    </w:p>
    <w:p w:rsidR="008529CB" w:rsidRDefault="008529CB" w:rsidP="008529CB">
      <w:pPr>
        <w:widowControl w:val="0"/>
        <w:autoSpaceDE w:val="0"/>
        <w:autoSpaceDN w:val="0"/>
        <w:adjustRightInd w:val="0"/>
        <w:ind w:left="851"/>
        <w:rPr>
          <w:color w:val="000000"/>
          <w:sz w:val="24"/>
          <w:szCs w:val="24"/>
        </w:rPr>
      </w:pPr>
      <w:r w:rsidRPr="00D86A31">
        <w:rPr>
          <w:color w:val="000000"/>
          <w:sz w:val="24"/>
          <w:szCs w:val="24"/>
          <w:u w:val="single"/>
        </w:rPr>
        <w:t>Hjælpestof, som behandleren skal være opmærksom på</w:t>
      </w:r>
      <w:r w:rsidRPr="00D86A31">
        <w:rPr>
          <w:color w:val="000000"/>
          <w:sz w:val="24"/>
          <w:szCs w:val="24"/>
        </w:rPr>
        <w:t xml:space="preserve"> </w:t>
      </w:r>
    </w:p>
    <w:p w:rsidR="008529CB" w:rsidRPr="00D86A31" w:rsidRDefault="008529CB" w:rsidP="008529CB">
      <w:pPr>
        <w:widowControl w:val="0"/>
        <w:autoSpaceDE w:val="0"/>
        <w:autoSpaceDN w:val="0"/>
        <w:adjustRightInd w:val="0"/>
        <w:ind w:left="851"/>
        <w:rPr>
          <w:color w:val="000000"/>
          <w:sz w:val="24"/>
          <w:szCs w:val="24"/>
        </w:rPr>
      </w:pPr>
      <w:r w:rsidRPr="00D86A31">
        <w:rPr>
          <w:color w:val="000000"/>
          <w:sz w:val="24"/>
          <w:szCs w:val="24"/>
        </w:rPr>
        <w:t>Hver kapsel indeholder 100,6 mg saccharose.</w:t>
      </w:r>
    </w:p>
    <w:p w:rsidR="008529CB" w:rsidRDefault="008529CB" w:rsidP="008529CB">
      <w:pPr>
        <w:widowControl w:val="0"/>
        <w:autoSpaceDE w:val="0"/>
        <w:autoSpaceDN w:val="0"/>
        <w:adjustRightInd w:val="0"/>
        <w:ind w:left="851"/>
        <w:rPr>
          <w:color w:val="000000"/>
          <w:sz w:val="24"/>
          <w:szCs w:val="24"/>
        </w:rPr>
      </w:pPr>
    </w:p>
    <w:p w:rsidR="008529CB" w:rsidRPr="00D86A31" w:rsidRDefault="008529CB" w:rsidP="008529CB">
      <w:pPr>
        <w:widowControl w:val="0"/>
        <w:autoSpaceDE w:val="0"/>
        <w:autoSpaceDN w:val="0"/>
        <w:adjustRightInd w:val="0"/>
        <w:ind w:left="851"/>
        <w:rPr>
          <w:color w:val="000000"/>
          <w:sz w:val="24"/>
          <w:szCs w:val="24"/>
        </w:rPr>
      </w:pPr>
      <w:r w:rsidRPr="00D86A31">
        <w:rPr>
          <w:color w:val="000000"/>
          <w:sz w:val="24"/>
          <w:szCs w:val="24"/>
        </w:rPr>
        <w:t>Hver kapsel indeholder 60 mg duloxetin (som hydrochlorid).</w:t>
      </w:r>
    </w:p>
    <w:p w:rsidR="008529CB" w:rsidRDefault="008529CB" w:rsidP="008529CB">
      <w:pPr>
        <w:widowControl w:val="0"/>
        <w:autoSpaceDE w:val="0"/>
        <w:autoSpaceDN w:val="0"/>
        <w:adjustRightInd w:val="0"/>
        <w:ind w:left="851"/>
        <w:rPr>
          <w:color w:val="000000"/>
          <w:sz w:val="24"/>
          <w:szCs w:val="24"/>
        </w:rPr>
      </w:pPr>
      <w:r w:rsidRPr="00D86A31">
        <w:rPr>
          <w:color w:val="000000"/>
          <w:sz w:val="24"/>
          <w:szCs w:val="24"/>
          <w:u w:val="single"/>
        </w:rPr>
        <w:t>Hjælpestof, som behandleren skal være opmærksom på</w:t>
      </w:r>
      <w:r w:rsidRPr="00D86A31">
        <w:rPr>
          <w:color w:val="000000"/>
          <w:sz w:val="24"/>
          <w:szCs w:val="24"/>
        </w:rPr>
        <w:t xml:space="preserve"> </w:t>
      </w:r>
    </w:p>
    <w:p w:rsidR="008529CB" w:rsidRPr="00D86A31" w:rsidRDefault="008529CB" w:rsidP="008529CB">
      <w:pPr>
        <w:widowControl w:val="0"/>
        <w:autoSpaceDE w:val="0"/>
        <w:autoSpaceDN w:val="0"/>
        <w:adjustRightInd w:val="0"/>
        <w:ind w:left="851"/>
        <w:rPr>
          <w:color w:val="000000"/>
          <w:sz w:val="24"/>
          <w:szCs w:val="24"/>
        </w:rPr>
      </w:pPr>
      <w:r w:rsidRPr="00D86A31">
        <w:rPr>
          <w:color w:val="000000"/>
          <w:sz w:val="24"/>
          <w:szCs w:val="24"/>
        </w:rPr>
        <w:t>Hver kapsel indeholder 201,3 mg saccharose.</w:t>
      </w:r>
    </w:p>
    <w:p w:rsidR="004F4CA9" w:rsidRPr="00D86A31" w:rsidRDefault="004F4CA9" w:rsidP="008529CB">
      <w:pPr>
        <w:widowControl w:val="0"/>
        <w:autoSpaceDE w:val="0"/>
        <w:autoSpaceDN w:val="0"/>
        <w:adjustRightInd w:val="0"/>
        <w:ind w:left="851" w:hanging="851"/>
        <w:rPr>
          <w:color w:val="000000"/>
          <w:sz w:val="24"/>
          <w:szCs w:val="24"/>
        </w:rPr>
      </w:pPr>
    </w:p>
    <w:p w:rsidR="004F4CA9" w:rsidRPr="00D86A31" w:rsidRDefault="004F4CA9" w:rsidP="004F4CA9">
      <w:pPr>
        <w:suppressAutoHyphens/>
        <w:ind w:left="851"/>
        <w:rPr>
          <w:color w:val="000000"/>
          <w:sz w:val="24"/>
          <w:szCs w:val="24"/>
        </w:rPr>
      </w:pPr>
      <w:r w:rsidRPr="00D86A31">
        <w:rPr>
          <w:color w:val="000000"/>
          <w:sz w:val="24"/>
          <w:szCs w:val="24"/>
        </w:rPr>
        <w:t>Alle hjælpestoffer er anført under pkt. 6.1.</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3.</w:t>
      </w:r>
      <w:r w:rsidRPr="00D86A31">
        <w:rPr>
          <w:b/>
          <w:sz w:val="24"/>
          <w:szCs w:val="24"/>
        </w:rPr>
        <w:tab/>
        <w:t>LÆGEMIDDELFORM</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Hårde enterokapsler.</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Uigennemsigtig grå kapselbund med påskriften "DLX 30" og en uigennemsigtig blå kapseltop med påskriften "DLX 30". Længde på 18 mm.</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Uigennemsigtig grå kapselbund med påskriften "DLX 60" og en uigennemsigtig hvid kapseltop med påskriften "DLX 60". Længde på 20,4 mm.</w:t>
      </w:r>
    </w:p>
    <w:p w:rsidR="004F4CA9" w:rsidRPr="00D86A31" w:rsidRDefault="004F4CA9" w:rsidP="004F4CA9">
      <w:pPr>
        <w:ind w:left="851" w:hanging="851"/>
        <w:rPr>
          <w:sz w:val="24"/>
          <w:szCs w:val="24"/>
        </w:rPr>
      </w:pP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w:t>
      </w:r>
      <w:r w:rsidRPr="00D86A31">
        <w:rPr>
          <w:b/>
          <w:sz w:val="24"/>
          <w:szCs w:val="24"/>
        </w:rPr>
        <w:tab/>
        <w:t>KLINISKE OPLYSNINGER</w:t>
      </w:r>
    </w:p>
    <w:p w:rsidR="004F4CA9" w:rsidRPr="00D86A31" w:rsidRDefault="004F4CA9" w:rsidP="004F4CA9">
      <w:pPr>
        <w:ind w:left="851" w:hanging="851"/>
        <w:rPr>
          <w:b/>
          <w:sz w:val="24"/>
          <w:szCs w:val="24"/>
        </w:rPr>
      </w:pPr>
    </w:p>
    <w:p w:rsidR="004F4CA9" w:rsidRPr="00D86A31" w:rsidRDefault="004F4CA9" w:rsidP="004F4CA9">
      <w:pPr>
        <w:ind w:left="851" w:hanging="851"/>
        <w:rPr>
          <w:b/>
          <w:sz w:val="24"/>
          <w:szCs w:val="24"/>
          <w:u w:val="single"/>
        </w:rPr>
      </w:pPr>
      <w:r w:rsidRPr="00D86A31">
        <w:rPr>
          <w:b/>
          <w:sz w:val="24"/>
          <w:szCs w:val="24"/>
        </w:rPr>
        <w:t>4.1</w:t>
      </w:r>
      <w:r w:rsidRPr="00D86A31">
        <w:rPr>
          <w:b/>
          <w:sz w:val="24"/>
          <w:szCs w:val="24"/>
        </w:rPr>
        <w:tab/>
        <w:t>Terapeutiske indikationer</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 xml:space="preserve">Behandling af major depression (moderat til svær depression). </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 xml:space="preserve">Behandling af perifere diabetiske neuropatiske smerter. </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Behandling af generaliseret angst.</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Aritavi er indiceret til voksne.</w:t>
      </w:r>
    </w:p>
    <w:p w:rsidR="004F4CA9" w:rsidRPr="00D86A31" w:rsidRDefault="004F4CA9" w:rsidP="004F4CA9">
      <w:pPr>
        <w:ind w:left="851" w:hanging="851"/>
        <w:rPr>
          <w:rFonts w:eastAsia="MS Mincho"/>
          <w:color w:val="000000"/>
          <w:sz w:val="24"/>
          <w:szCs w:val="24"/>
          <w:lang w:eastAsia="ja-JP"/>
        </w:rPr>
      </w:pPr>
    </w:p>
    <w:p w:rsidR="004F4CA9" w:rsidRPr="00D86A31" w:rsidRDefault="004F4CA9" w:rsidP="004F4CA9">
      <w:pPr>
        <w:ind w:left="851"/>
        <w:rPr>
          <w:rFonts w:eastAsia="MS Mincho"/>
          <w:color w:val="000000"/>
          <w:sz w:val="24"/>
          <w:szCs w:val="24"/>
          <w:lang w:eastAsia="ja-JP"/>
        </w:rPr>
      </w:pPr>
      <w:r w:rsidRPr="00D86A31">
        <w:rPr>
          <w:rFonts w:eastAsia="MS Mincho"/>
          <w:color w:val="000000"/>
          <w:sz w:val="24"/>
          <w:szCs w:val="24"/>
          <w:lang w:eastAsia="ja-JP"/>
        </w:rPr>
        <w:t>Der henvises til pkt. 5.1 for yderligere information.</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4.2</w:t>
      </w:r>
      <w:r w:rsidRPr="00D86A31">
        <w:rPr>
          <w:b/>
          <w:sz w:val="24"/>
          <w:szCs w:val="24"/>
        </w:rPr>
        <w:tab/>
        <w:t xml:space="preserve">Dosering og </w:t>
      </w:r>
      <w:r w:rsidR="009E762A">
        <w:rPr>
          <w:b/>
          <w:sz w:val="24"/>
          <w:szCs w:val="24"/>
        </w:rPr>
        <w:t>administration</w:t>
      </w:r>
    </w:p>
    <w:p w:rsidR="004F4CA9" w:rsidRPr="00D86A31" w:rsidRDefault="004F4CA9" w:rsidP="004F4CA9">
      <w:pPr>
        <w:ind w:left="851" w:hanging="851"/>
        <w:rPr>
          <w:noProof/>
          <w:sz w:val="24"/>
          <w:szCs w:val="24"/>
          <w:u w:val="single"/>
        </w:rPr>
      </w:pPr>
      <w:r w:rsidRPr="00D86A31">
        <w:rPr>
          <w:sz w:val="24"/>
          <w:szCs w:val="24"/>
        </w:rPr>
        <w:tab/>
      </w:r>
      <w:r w:rsidRPr="00D86A31">
        <w:rPr>
          <w:noProof/>
          <w:sz w:val="24"/>
          <w:szCs w:val="24"/>
          <w:u w:val="single"/>
        </w:rPr>
        <w:t>Dosering</w:t>
      </w:r>
    </w:p>
    <w:p w:rsidR="004F4CA9" w:rsidRPr="00D86A31" w:rsidRDefault="004F4CA9" w:rsidP="004F4CA9">
      <w:pPr>
        <w:ind w:left="851" w:hanging="851"/>
        <w:rPr>
          <w:noProof/>
          <w:sz w:val="24"/>
          <w:szCs w:val="24"/>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Major depression (moderat til svær depression)</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Startdosis samt den anbefalede vedligeholdelsesdosis er 60 mg én gang dagligt uden hensyntagen til måltider. Doseringer over 60 mg én gang dagligt op til maksimaldosis på 120 mg dagligt er evalueret ud fra et sikkerhedsmæssigt perspektiv i kliniske studier. Der er dog ingen kliniske beviser for, at patienter, som ikke reagerer på den først anbefalede dosis, har gavn af dosisoptitreringer.</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Terapeutisk respons ses sædvanligvis efter 2-4 ugers behandling.</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Efter konsolidering af det antidepressive respons anbefales det at fortsætte behandlingen i adskillelige måneder for at undgå tilbagefald. Hos patienter, som responderer på duloxetin, og som tidligere gentagne gange har haft moderate til svære depressioner, bør yderligere langtidsbehandling med en dosis på 60 til 120 mg/dag overvejes.</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Generaliseret angst</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Den anbefalede startdosis til patienter med generaliseret angst er 30 mg én gang dagligt uden hensyn til måltider. Til patienter med utilstrækkeligt respons bør dosis øges til 60 mg, som er den normale vedligeholdelsesdosis til de fleste patienter.</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Til patienter med samtidig moderat til svær depression er begyndelses- og vedligeholdelsesdosis 60 mg en gang daglig (se også ovenstående dosisanbefaling).</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Doser op til 120 mg daglig har vist effekt og er blevet evalueret fra et sikkerhedsmæssigt perspektiv i kliniske studier. Hos patienter med utilstrækkeligt respons på 60 mg kan mulig optrapning til 90 mg eller 120 mg derfor overvejes. Dosisoptrapning bør baseres på klinisk respons og tolerabilitet.</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Efter respons er konsolideret, tilrådes det at fortsætte behandling i flere måneder for at undgå tilbagefald.</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Perifere diabetiske neuropatiske smerter</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Startdosis samt den anbefalede vedligeholdelsesdosis er 60 mg daglig uden hensyntagen til måltider. Doseringer over 60 mg én gang daglig op til maksimaldosis på 120 mg dagligt i ligeligt fordelte doser er evalueret ud fra et sikkerhedsmæssigt perspektiv i kliniske studier. Der ses store inter-individuelle variationer i plasmakoncentrationen af duloxetin (se pkt. 5.2). Derfor kan nogle patienter, som ikke responderer tilstrækkeligt på 60 mg, drage nytte af en højere dosis.</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Respons på behandlingen bør evalueres efter 2 måneder. Hos patienter med utilstrækkeligt initialt respons er yderligere respons efter dette tidspunkt usandsynligt.</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Den terapeutiske effekt bør vurderes med jævne mellemrum (mindst hver tredje måned) (se pkt. 5.1).</w:t>
      </w:r>
    </w:p>
    <w:p w:rsidR="004F4CA9" w:rsidRPr="006B3179" w:rsidRDefault="004F4CA9" w:rsidP="004F4CA9">
      <w:pPr>
        <w:widowControl w:val="0"/>
        <w:autoSpaceDE w:val="0"/>
        <w:autoSpaceDN w:val="0"/>
        <w:adjustRightInd w:val="0"/>
        <w:ind w:left="851" w:hanging="851"/>
        <w:rPr>
          <w:rFonts w:eastAsia="MS Mincho"/>
          <w:iCs/>
          <w:color w:val="000000"/>
          <w:sz w:val="24"/>
          <w:szCs w:val="24"/>
          <w:lang w:eastAsia="ja-JP"/>
        </w:rPr>
      </w:pPr>
      <w:r>
        <w:rPr>
          <w:rFonts w:eastAsia="MS Mincho"/>
          <w:i/>
          <w:iCs/>
          <w:color w:val="000000"/>
          <w:sz w:val="24"/>
          <w:szCs w:val="24"/>
          <w:lang w:eastAsia="ja-JP"/>
        </w:rPr>
        <w:br w:type="page"/>
      </w:r>
    </w:p>
    <w:p w:rsidR="003F24A7" w:rsidRPr="002F2904" w:rsidRDefault="003F24A7" w:rsidP="003F24A7">
      <w:pPr>
        <w:widowControl w:val="0"/>
        <w:autoSpaceDE w:val="0"/>
        <w:autoSpaceDN w:val="0"/>
        <w:adjustRightInd w:val="0"/>
        <w:ind w:left="851"/>
        <w:rPr>
          <w:rFonts w:eastAsia="MS Mincho"/>
          <w:iCs/>
          <w:color w:val="000000"/>
          <w:sz w:val="24"/>
          <w:szCs w:val="24"/>
          <w:u w:val="single"/>
          <w:lang w:eastAsia="ja-JP"/>
        </w:rPr>
      </w:pPr>
      <w:r w:rsidRPr="002F2904">
        <w:rPr>
          <w:rFonts w:eastAsia="MS Mincho"/>
          <w:iCs/>
          <w:color w:val="000000"/>
          <w:sz w:val="24"/>
          <w:szCs w:val="24"/>
          <w:u w:val="single"/>
          <w:lang w:eastAsia="ja-JP"/>
        </w:rPr>
        <w:lastRenderedPageBreak/>
        <w:t>Særlige populationer</w:t>
      </w:r>
    </w:p>
    <w:p w:rsidR="003F24A7" w:rsidRPr="002F2904" w:rsidRDefault="003F24A7" w:rsidP="003F24A7">
      <w:pPr>
        <w:widowControl w:val="0"/>
        <w:autoSpaceDE w:val="0"/>
        <w:autoSpaceDN w:val="0"/>
        <w:adjustRightInd w:val="0"/>
        <w:ind w:left="851" w:hanging="851"/>
        <w:rPr>
          <w:rFonts w:eastAsia="MS Mincho"/>
          <w:i/>
          <w:iCs/>
          <w:color w:val="000000"/>
          <w:sz w:val="24"/>
          <w:szCs w:val="24"/>
          <w:lang w:eastAsia="ja-JP"/>
        </w:rPr>
      </w:pPr>
    </w:p>
    <w:p w:rsidR="003F24A7" w:rsidRPr="002F2904" w:rsidRDefault="003F24A7" w:rsidP="003F24A7">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Ældre</w:t>
      </w:r>
    </w:p>
    <w:p w:rsidR="003F24A7" w:rsidRPr="002F2904"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Dosisjustering ved behandling af ældre patienter udelukkende på grund af alder anbefales ikke. Der bør dog som for alle andre lægemidler udvises forsigtighed ved behandling af ældre, især ved behandling med 120 mg duloxetin daglig for moderate til svære depressioner eller generaliseret angst, da der er begrænsede data tilgængelige (se pkt. 4.4 og 5.2).</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Nedsat leverfunktion</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Aritavi må ikke gives til patienter med nedsat leverfunktion på grund af leversygdom (se pkt. 4.3 og 5.2).</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Nedsat nyrefunktion</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Dosisjustering er ikke nødvendig til patienter med let eller moderat nedsat nyrefunktion (kreatininclearance 30-80 ml/min). Aritavi må ikke bruges til patienter med svært nedsat nyrefunktion (kreatininclearance &lt;30 ml/min, se pkt. 4.3).</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Pædiatrisk population</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Duloxetin bør ikke anvendes til børn og unge under 18 år til behandling af major depression (moderat til svær depression) på grund af problemstillinger vedrørende sikkerhed og virkning (se pkt. 4.4, 4.8, 5.1).</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Duloxetins sikkerhed og virkning ved behandling af generaliseret angst hos pædiatriske patienter i alderen 7-17 år er ikke klarlagt. De foreliggende data er beskrevet i pkt. 4.8, 5.1 og 5.2.</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Duloxetins sikkerhed og virkning ved behandling af perifere diabetiske neuropatiske smerter er ikke klarlagt. Der foreligger ingen data.</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Afbrydelse af behandling</w:t>
      </w:r>
    </w:p>
    <w:p w:rsidR="004F4CA9" w:rsidRPr="00D86A31" w:rsidRDefault="004F4CA9" w:rsidP="004F4CA9">
      <w:pPr>
        <w:ind w:left="851"/>
        <w:rPr>
          <w:rFonts w:eastAsia="MS Mincho"/>
          <w:color w:val="000000"/>
          <w:sz w:val="24"/>
          <w:szCs w:val="24"/>
          <w:lang w:eastAsia="ja-JP"/>
        </w:rPr>
      </w:pPr>
      <w:r w:rsidRPr="00D86A31">
        <w:rPr>
          <w:rFonts w:eastAsia="MS Mincho"/>
          <w:color w:val="000000"/>
          <w:sz w:val="24"/>
          <w:szCs w:val="24"/>
          <w:lang w:eastAsia="ja-JP"/>
        </w:rPr>
        <w:t>Pludselig afbrydelse af behandlingen bør undgås. Ved ophør af behandling med Aritavi skal dosis gradvis reduceres over en periode på mindst en til to uger for at mindske risikoen for seponerings- symptomer (se pkt. 4.4 og 4.8). Ved forekomst af utålelige symptomer efter en nedsættelse af dosis eller ved seponering kan det overvejes at vende tilbage til den tidligere ordinerede dosis. Derefter kan lægen fortsætte nedsættelse af dosis – denne gang i flere trin.</w:t>
      </w:r>
    </w:p>
    <w:p w:rsidR="004F4CA9" w:rsidRPr="00D86A31" w:rsidRDefault="004F4CA9" w:rsidP="004F4CA9">
      <w:pPr>
        <w:ind w:left="851" w:hanging="851"/>
        <w:rPr>
          <w:sz w:val="24"/>
          <w:szCs w:val="24"/>
        </w:rPr>
      </w:pPr>
    </w:p>
    <w:p w:rsidR="004F4CA9" w:rsidRPr="00D86A31" w:rsidRDefault="004F4CA9" w:rsidP="004F4CA9">
      <w:pPr>
        <w:ind w:left="851"/>
        <w:rPr>
          <w:sz w:val="24"/>
          <w:szCs w:val="24"/>
          <w:u w:val="single"/>
        </w:rPr>
      </w:pPr>
      <w:r w:rsidRPr="00D86A31">
        <w:rPr>
          <w:sz w:val="24"/>
          <w:szCs w:val="24"/>
          <w:u w:val="single"/>
        </w:rPr>
        <w:t>Administration</w:t>
      </w:r>
    </w:p>
    <w:p w:rsidR="004F4CA9" w:rsidRDefault="004F4CA9" w:rsidP="004F4CA9">
      <w:pPr>
        <w:ind w:left="851"/>
        <w:rPr>
          <w:color w:val="000000"/>
          <w:sz w:val="24"/>
          <w:szCs w:val="24"/>
        </w:rPr>
      </w:pPr>
      <w:r w:rsidRPr="00D86A31">
        <w:rPr>
          <w:color w:val="000000"/>
          <w:sz w:val="24"/>
          <w:szCs w:val="24"/>
        </w:rPr>
        <w:t>Til oral brug</w:t>
      </w:r>
      <w:r w:rsidR="006B2014">
        <w:rPr>
          <w:color w:val="000000"/>
          <w:sz w:val="24"/>
          <w:szCs w:val="24"/>
        </w:rPr>
        <w:t>.</w:t>
      </w:r>
    </w:p>
    <w:p w:rsidR="006B2014" w:rsidRPr="00D86A31" w:rsidRDefault="006B2014" w:rsidP="006B2014">
      <w:pPr>
        <w:ind w:left="851"/>
        <w:rPr>
          <w:noProof/>
          <w:sz w:val="24"/>
          <w:szCs w:val="24"/>
        </w:rPr>
      </w:pPr>
      <w:r>
        <w:rPr>
          <w:color w:val="000000"/>
          <w:sz w:val="24"/>
          <w:szCs w:val="24"/>
        </w:rPr>
        <w:t>Kapslerne skal synkes hele.</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4.3</w:t>
      </w:r>
      <w:r w:rsidRPr="00D86A31">
        <w:rPr>
          <w:b/>
          <w:sz w:val="24"/>
          <w:szCs w:val="24"/>
        </w:rPr>
        <w:tab/>
        <w:t>Kontraindikationer</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Overfølsomhed over for det aktive stof eller over for et eller flere af hjælpestofferne anført i pkt. 6.1.</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Samtidig anvendelse af Aritavi og ikke-selektive, irreversible monoaminoxidasehæmmere (MAO-hæmmere) er kontraindiceret (se pkt. 4.5).</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Leversygdomme resulterende i nedsat leverfunktion (se pkt. 5.2).</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lastRenderedPageBreak/>
        <w:t>Aritavi må ikke anvendes sammen med potente CYP1A2 hæmmere, som fluvoxamin, ciprofloxacin eller enoxacin, idet kombinationen resulterer i forhøjet plasmakoncentration af duloxetin (se pkt. 4.5).</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Svært nedsat nyrefunktion (kreatinin-clearance &lt; 30 ml/min.) (se pkt. 4.4).</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ind w:left="851"/>
        <w:rPr>
          <w:sz w:val="24"/>
          <w:szCs w:val="24"/>
        </w:rPr>
      </w:pPr>
      <w:r w:rsidRPr="00D86A31">
        <w:rPr>
          <w:rFonts w:eastAsia="MS Mincho"/>
          <w:color w:val="000000"/>
          <w:sz w:val="24"/>
          <w:szCs w:val="24"/>
          <w:lang w:eastAsia="ja-JP"/>
        </w:rPr>
        <w:t>For patienter med ukontrolleret hypertension er opstart af behandling med Aritavi kontraindiceret, da det kan udsætte patienterne for en potentiel risiko for hypertensive kriser (se pkt. 4.4 og 4.8).</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4.4</w:t>
      </w:r>
      <w:r w:rsidRPr="00D86A31">
        <w:rPr>
          <w:b/>
          <w:sz w:val="24"/>
          <w:szCs w:val="24"/>
        </w:rPr>
        <w:tab/>
        <w:t>Særlige advarsler og forsigtighedsregler vedrørende brugen</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r w:rsidRPr="00D86A31">
        <w:rPr>
          <w:sz w:val="24"/>
          <w:szCs w:val="24"/>
        </w:rPr>
        <w:tab/>
      </w:r>
      <w:r w:rsidRPr="00D86A31">
        <w:rPr>
          <w:rFonts w:eastAsia="MS Mincho"/>
          <w:i/>
          <w:iCs/>
          <w:color w:val="000000"/>
          <w:sz w:val="24"/>
          <w:szCs w:val="24"/>
          <w:lang w:eastAsia="ja-JP"/>
        </w:rPr>
        <w:t>Mani og krampeanfald</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Aritavi skal anvendes med forsigtighed til patienter med en anamnese med mani eller en diagnose med bipolar forstyrrelse og/eller krampeanfald.</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Mydriasis</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Der er rapporteret om tilfælde af mydriasis i forbindelse med duloxetin, og der skal derfor udvises forsigtighed ved udskrivning af Aritavi til patienter med forhøjet intraokulært tryk eller til patienter med risiko for akut snævervinklet glaukom.</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Blodtryk og hjertefrekvens</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Duloxetin har været forbundet med en øgning af blodtrykket og klinisk signifikant hypertension hos nogle patienter. Dette kan skyldes duloxetins noradrenerge effekt. For duloxetin er der rapporteret tilfælde af hypertensive kriser, specielt hos patienter med allerede eksisterende hypertension. Hos patienter med kendt hypertension og/eller anden hjertelidelse anbefales det derfor, at blodtrykket monitoreres, særligt i løbet af den første måned af behandlingen. Duloxetin bør bruges med forsigtighed til patienter, hvis tilstand kan bringes i fare ved øget hjertefrekvens eller øget blodtryk. Der bør ligeledes udvises forsigtighed, når duloxetin bruges sammen med lægemidler, der kan forringe dets metabolisme (se pkt. 4.5). Hos patienter som oplever et vedvarende forhøjet blodtryk under behandling med duloxetin, bør enten reduktion af eller gradvis ophør med behandlingen overvejes (se pkt. 4.8). Hos patienter med ukontrolleret hypertension bør behandling med duloxetin ikke sættes i gang (se pkt. 4.3).</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Nedsat nyrefunktion</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Forhøjede plasmakoncentrationer af duloxetin forekommer hos patienter med svært nedsat nyrefunktion i hæmodialyse (kreatininclearance &lt; 30 ml/min.). For patienter med svært nedsat nyrefunktion se pkt. 4.3. For information om patienter med let til moderat nyreinsufficiens se pkt. 4.2.</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153781" w:rsidRPr="00D86A31" w:rsidRDefault="00153781" w:rsidP="00153781">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Serotoninsyndrom</w:t>
      </w:r>
      <w:r>
        <w:rPr>
          <w:rFonts w:eastAsia="MS Mincho"/>
          <w:i/>
          <w:iCs/>
          <w:color w:val="000000"/>
          <w:sz w:val="24"/>
          <w:szCs w:val="24"/>
          <w:lang w:eastAsia="ja-JP"/>
        </w:rPr>
        <w:t>/malignt neuroleptikasyndrom</w:t>
      </w:r>
    </w:p>
    <w:p w:rsidR="00153781" w:rsidRPr="00D86A31" w:rsidRDefault="00153781" w:rsidP="00153781">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Som ved andre serotonerge lægemidler kan den potentielt livstruende tilstand serotoninsyndrom</w:t>
      </w:r>
      <w:r>
        <w:rPr>
          <w:rFonts w:eastAsia="MS Mincho"/>
          <w:color w:val="000000"/>
          <w:sz w:val="24"/>
          <w:szCs w:val="24"/>
          <w:lang w:eastAsia="ja-JP"/>
        </w:rPr>
        <w:t xml:space="preserve"> eller malignt neuroleptikasyndrom (MNS)</w:t>
      </w:r>
      <w:r w:rsidRPr="00D86A31">
        <w:rPr>
          <w:rFonts w:eastAsia="MS Mincho"/>
          <w:color w:val="000000"/>
          <w:sz w:val="24"/>
          <w:szCs w:val="24"/>
          <w:lang w:eastAsia="ja-JP"/>
        </w:rPr>
        <w:t xml:space="preserve"> forekomme ved behandling med duloxetin, især i kombination med andre serotonerge lægemidler (inklusive SSRI’er, SNRI’er, tricykliske antidepressiva og triptaner), med lægemidler, som hæmmer metabolismen af serotonin som f.eks. MAO-hæmmere, eller med antipsykotika eller andre dopaminantagonister, som kan påvirke de serotonerge transmittersystemer (se pkt. 4.3 og 4.5).</w:t>
      </w:r>
    </w:p>
    <w:p w:rsidR="00153781" w:rsidRPr="00D86A31" w:rsidRDefault="00153781" w:rsidP="00153781">
      <w:pPr>
        <w:widowControl w:val="0"/>
        <w:autoSpaceDE w:val="0"/>
        <w:autoSpaceDN w:val="0"/>
        <w:adjustRightInd w:val="0"/>
        <w:ind w:left="851" w:hanging="851"/>
        <w:rPr>
          <w:rFonts w:eastAsia="MS Mincho"/>
          <w:color w:val="000000"/>
          <w:sz w:val="24"/>
          <w:szCs w:val="24"/>
          <w:lang w:eastAsia="ja-JP"/>
        </w:rPr>
      </w:pPr>
    </w:p>
    <w:p w:rsidR="00153781" w:rsidRPr="00D86A31" w:rsidRDefault="00153781" w:rsidP="00153781">
      <w:pPr>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 xml:space="preserve">Symptomer på serotoninsyndrom kan omfatte ændringer i mentaltilstanden (f.eks. agitation, hallucinationer, koma), autonom ustabilitet (f.eks. takykardi, ustabilt blodtryk, </w:t>
      </w:r>
      <w:r w:rsidRPr="00D86A31">
        <w:rPr>
          <w:rFonts w:eastAsia="MS Mincho"/>
          <w:color w:val="000000"/>
          <w:sz w:val="24"/>
          <w:szCs w:val="24"/>
          <w:lang w:eastAsia="ja-JP"/>
        </w:rPr>
        <w:lastRenderedPageBreak/>
        <w:t>hypertermi), neuromuskulære afvigelser (f.eks. hyperreflexia, manglende koordination) og/eller gastrointestinale symptomer (f.eks. kvalme, opkastning, diarré).</w:t>
      </w:r>
      <w:r>
        <w:rPr>
          <w:rFonts w:eastAsia="MS Mincho"/>
          <w:color w:val="000000"/>
          <w:sz w:val="24"/>
          <w:szCs w:val="24"/>
          <w:lang w:eastAsia="ja-JP"/>
        </w:rPr>
        <w:t xml:space="preserve"> Serotoninsyndrom kan i sin mest alvorlige form ligne MNS, som omfatter hypertermi, muskelstivhed, forhøjede serumkreatininkinaseniveauer, autonom ustabilitet med mulige hurtige udsving i vitalparametre og ændringer i mentaltilstanden.</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B82623" w:rsidRPr="00D86A31" w:rsidRDefault="00B82623" w:rsidP="00B82623">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Hvis samtidig behandling med duloxetin og andre serotonerge lægemidler</w:t>
      </w:r>
      <w:r w:rsidRPr="00905EA8">
        <w:rPr>
          <w:rFonts w:eastAsia="MS Mincho"/>
          <w:color w:val="000000"/>
          <w:sz w:val="24"/>
          <w:szCs w:val="24"/>
          <w:lang w:eastAsia="ja-JP"/>
        </w:rPr>
        <w:t>/neuroleptika</w:t>
      </w:r>
      <w:r w:rsidRPr="00D86A31">
        <w:rPr>
          <w:rFonts w:eastAsia="MS Mincho"/>
          <w:color w:val="000000"/>
          <w:sz w:val="24"/>
          <w:szCs w:val="24"/>
          <w:lang w:eastAsia="ja-JP"/>
        </w:rPr>
        <w:t>, som kan påvirke det serotonerge og/eller dopaminerge neurotransmittersystem, er klinisk påkrævet, anbefales det nøje at følge patienten, særligt i starten af behandlingen og ved øgning af dosis.</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bookmarkStart w:id="0" w:name="_GoBack"/>
      <w:bookmarkEnd w:id="0"/>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Perikon</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Bivirkninger kan forekomme hyppigere ved samtidig brug af Aritavi og naturlægemidler der indeholder perikon (hypericum perforatum).</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Selvmord</w:t>
      </w: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 xml:space="preserve">Moderate til svære depressioner og generaliseret angst: </w:t>
      </w:r>
      <w:r w:rsidRPr="00D86A31">
        <w:rPr>
          <w:rFonts w:eastAsia="MS Mincho"/>
          <w:color w:val="000000"/>
          <w:sz w:val="24"/>
          <w:szCs w:val="24"/>
          <w:lang w:eastAsia="ja-JP"/>
        </w:rPr>
        <w:t>Depression er forbundet med en øget risiko for selvmordstanker, at forvolde skade på sig selv og selvmord (selvmordsrelaterede handlinger). Risikoen forbliver indtil, at der er signifikant remission. Da der muligvis ikke sker nogen forbedring i tilstanden i de første få uger eller mere af behandlingen, skal patienterne overvåges nøje, indtil der er sket en forbedring. Det er generel klinisk erfaring, at risikoen for selvmord kan stige i de tidlige stadier af behandlingen.</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Andre psykiske tilstande, som Aritavi ordineres til, kan ligeledes være forbundet med en øget risiko for selvmordsrelaterede handlinger. Disse tilstande kan yderligere være tilstede samtidigt med moderate til svære depressioner. De samme forholdsregler, som iagttages ved behandling af patienter med moderate til svære depressioner, bør derfor tages ved behandling af patienter med andre psykiske sygdomme.</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Det er kendt at patienter, der tidligere har udført selvmordsrelaterede handlinger, eller patienter, der før behandlingsstart har udvist en signifikant grad af selvmordsforestillinger, har en større risiko for selvmordstanker eller selvmordsadfærd og bør følges nøje under behandlingen. En metaanalyse af placebokontrollerede kliniske studier af antidepressive lægemidler til behandling af psykiske lidelser viste en forøget risiko for selvmordsadfærd med antidepressiva sammenlignet med placebo hos patienter under 25 år.</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Der er blevet rapporteret tilfælde af selvmordstanker og -adfærd under duloxetinbehandling eller tidligt efter behandlingens ophør (se pkt. 4.8).</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Patienter, og specielt højrisikopatienter, i medicinsk behandling bør følges nøje, især tidligt i behandlingen og efter dosisændringer. Det skal gøres klart for patienter og pårørende, at det er nødvendigt at være opmærksom på enhver forværring af tilstanden, selvmordsrelateret adfærd eller selvmordstanker samt usædvanlige ændringer i opførsel og straks at søge lægehjælp, hvis disse symptomer viser sig.</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 xml:space="preserve">Perifere diabetiske neuropatiske smerter: </w:t>
      </w:r>
      <w:r w:rsidRPr="00D86A31">
        <w:rPr>
          <w:rFonts w:eastAsia="MS Mincho"/>
          <w:color w:val="000000"/>
          <w:sz w:val="24"/>
          <w:szCs w:val="24"/>
          <w:lang w:eastAsia="ja-JP"/>
        </w:rPr>
        <w:t xml:space="preserve">Som for andre lægemidler med lignende farmakologisk virkning (antidepressiva) er der blevet rapporteret isolerede tilfælde af selvmordsforestillinger og -adfærd under duloxetinbehandling eller kort efter behandlingsophør. Se ovenstående angående risikofaktorer for selvmord under depression. Læger bør opfordre patienter til at rapportere alle bekymrende tanker eller følelser, de </w:t>
      </w:r>
      <w:r w:rsidRPr="00D86A31">
        <w:rPr>
          <w:rFonts w:eastAsia="MS Mincho"/>
          <w:color w:val="000000"/>
          <w:sz w:val="24"/>
          <w:szCs w:val="24"/>
          <w:lang w:eastAsia="ja-JP"/>
        </w:rPr>
        <w:lastRenderedPageBreak/>
        <w:t>måtte have på et hvilket som helst tidspunkt.</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E2006B">
      <w:pPr>
        <w:keepNext/>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Pædiatrisk population</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Aritavi bør ikke bruges til behandling af børn og unge under 18 år. I kliniske studier blev selvmordsrelateret adfærd (selvmordsforsøg og selvmordstanker) og fjendtlighed (overvejende aggression, modsættende adfærd og vrede) hyppigere observeret hos børn og unge behandlet med</w:t>
      </w:r>
      <w:r>
        <w:rPr>
          <w:rFonts w:eastAsia="MS Mincho"/>
          <w:color w:val="000000"/>
          <w:sz w:val="24"/>
          <w:szCs w:val="24"/>
          <w:lang w:eastAsia="ja-JP"/>
        </w:rPr>
        <w:t xml:space="preserve"> </w:t>
      </w:r>
      <w:r w:rsidRPr="00D86A31">
        <w:rPr>
          <w:rFonts w:eastAsia="MS Mincho"/>
          <w:color w:val="000000"/>
          <w:sz w:val="24"/>
          <w:szCs w:val="24"/>
          <w:lang w:eastAsia="ja-JP"/>
        </w:rPr>
        <w:t>antidepressiva sammenlignet med placebobehandlede. Hvis der alligevel tages en beslutning om at behandle på baggrund af kliniske behov, skal patienten overvåges nøje for opdukken af selvmordssymptomer (se pkt. 5.1). Derudover mangler der data for langtidssikkerheden hos børn og unge hvad angår vækst, modning, kognitiv udvikling og adfærdsudvikling (se pkt. 4.8).</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3F24A7" w:rsidRPr="002F2904" w:rsidRDefault="003F24A7" w:rsidP="003F24A7">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Blødning</w:t>
      </w:r>
    </w:p>
    <w:p w:rsidR="003F24A7" w:rsidRPr="002F2904"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 xml:space="preserve">Blødningsabnormaliteter såsom ekkymoser, purpura og gastrointestinal blødning er set ved brug af selektive serotoningenoptags-hæmmere – (SSRI-præparater) og serotonin/noradrenalin- genoptagshæmmere (SNRI-præparater), herunder duloxetin. </w:t>
      </w:r>
      <w:r>
        <w:t xml:space="preserve">Duloxetin kan øge risikoen for postpartum blødning (se pkt. 4.6). </w:t>
      </w:r>
      <w:r w:rsidRPr="002F2904">
        <w:rPr>
          <w:rFonts w:eastAsia="MS Mincho"/>
          <w:color w:val="000000"/>
          <w:sz w:val="24"/>
          <w:szCs w:val="24"/>
          <w:lang w:eastAsia="ja-JP"/>
        </w:rPr>
        <w:t>Det anbefales at udvise forsigtighed hos patienter i behandling med antikoagulantia og/eller lægemidler (f.eks. NSAID eller acetylsalisylsyre), som påvirker trombocytfunktionen, og hos patienter med kendt blødningstendens.</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Hyponatriæmi</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Hyponatriæmi, herunder tilfælde med serum-natriumværdier under 110 mmol/l, er blevet rapporteret efter indgivelse af duloxetin. Hyponatriæmi kan skyldes et syndrom med uhensigtsmæssig sekretion af anti-diuretisk hormon (SIADH). Hovedparten af hyponatriæmi-tilfældene blev observeret hos ældre, især med nylige tilfælde af forstyrrelser i væskebalancen eller med tilstande, som disponerer for dette. Der skal udvises forsigtighed ved behandling af patienter med øget risiko for hyponatriæmi, såsom ældre, cirrotiske eller dehydrerede patienter samt patienter i behandling med diuretika.</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3F24A7" w:rsidRPr="002F2904" w:rsidRDefault="003F24A7" w:rsidP="003F24A7">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Behandlingsophør</w:t>
      </w:r>
    </w:p>
    <w:p w:rsidR="004F4CA9" w:rsidRPr="00D86A31"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Seponeringssymptomer ved behandlingsophør ses hyppigt, især hvis behandlingen stoppes pludseligt (se pkt. 4.8). I kliniske studier er der observeret utilsigtede hændelser ved pludselig afbrydelse af behandlingen hos ca. 45</w:t>
      </w:r>
      <w:r>
        <w:rPr>
          <w:rFonts w:eastAsia="MS Mincho"/>
          <w:color w:val="000000"/>
          <w:sz w:val="24"/>
          <w:szCs w:val="24"/>
          <w:lang w:eastAsia="ja-JP"/>
        </w:rPr>
        <w:t xml:space="preserve"> </w:t>
      </w:r>
      <w:r w:rsidRPr="002F2904">
        <w:rPr>
          <w:rFonts w:eastAsia="MS Mincho"/>
          <w:color w:val="000000"/>
          <w:sz w:val="24"/>
          <w:szCs w:val="24"/>
          <w:lang w:eastAsia="ja-JP"/>
        </w:rPr>
        <w:t>% af patienterne der blev behandlet duloxetin og 23</w:t>
      </w:r>
      <w:r>
        <w:rPr>
          <w:rFonts w:eastAsia="MS Mincho"/>
          <w:color w:val="000000"/>
          <w:sz w:val="24"/>
          <w:szCs w:val="24"/>
          <w:lang w:eastAsia="ja-JP"/>
        </w:rPr>
        <w:t xml:space="preserve"> </w:t>
      </w:r>
      <w:r w:rsidRPr="002F2904">
        <w:rPr>
          <w:rFonts w:eastAsia="MS Mincho"/>
          <w:color w:val="000000"/>
          <w:sz w:val="24"/>
          <w:szCs w:val="24"/>
          <w:lang w:eastAsia="ja-JP"/>
        </w:rPr>
        <w:t xml:space="preserve">% af patienterne, der fik placebo. Risikoen for seponeringssymptomer set for SSRI og SNRI kan afhænge af flere faktorer blandt andet behandlingsvarigheden, dosis og hvor hurtigt dosis reduceres. </w:t>
      </w:r>
      <w:r w:rsidR="004F4CA9" w:rsidRPr="00D86A31">
        <w:rPr>
          <w:rFonts w:eastAsia="MS Mincho"/>
          <w:color w:val="000000"/>
          <w:sz w:val="24"/>
          <w:szCs w:val="24"/>
          <w:lang w:eastAsia="ja-JP"/>
        </w:rPr>
        <w:t>De mest almindelige bivirkninger er anført under punkt 4.8. Disse symptomer er generelt lette til moderate, for nogle patienter kan de dog være svære i intensitet. Symptomerne vil sædvanligvis opstå inden for de første fem dage efter behandlingsophør. Der har dog været meget sjældne rapporter om tilfælde med disse symptomer hos patienter, der utilsigtet har glemt en dosis. Generelt er disse symptomer selvbegrænsende og forsvinder sædvanligvis inden for 2 uger, selvom de i nogle tilfælde kan vare ved i længere tid (2-3 måneder eller flere). Ved afbrydelse af behandling anbefales det derfor, at duloxetin gradvis nedtrappes over en periode på ikke mindre end 2 uger i henhold til patientens behov (se pkt. 4.2.).</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3F24A7" w:rsidRPr="002F2904" w:rsidRDefault="003F24A7" w:rsidP="003F24A7">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Ældre</w:t>
      </w:r>
    </w:p>
    <w:p w:rsidR="003F24A7" w:rsidRPr="002F2904"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 xml:space="preserve">Der er begrænsede data om brug af </w:t>
      </w:r>
      <w:r>
        <w:rPr>
          <w:rFonts w:eastAsia="MS Mincho"/>
          <w:color w:val="000000"/>
          <w:sz w:val="24"/>
          <w:szCs w:val="24"/>
          <w:lang w:eastAsia="ja-JP"/>
        </w:rPr>
        <w:t xml:space="preserve">120 mg </w:t>
      </w:r>
      <w:r w:rsidRPr="002F2904">
        <w:rPr>
          <w:rFonts w:eastAsia="MS Mincho"/>
          <w:color w:val="000000"/>
          <w:sz w:val="24"/>
          <w:szCs w:val="24"/>
          <w:lang w:eastAsia="ja-JP"/>
        </w:rPr>
        <w:t>duloxetin til ældre patienter med moderat til svær depression eller generaliseret angst. Der bør derfor udvises forsigtighed ved behandling af ældre patienter med maksimaldosis (se pkt. 4.2 og 5.2).</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5E3321" w:rsidRPr="00D86A31" w:rsidRDefault="005E3321" w:rsidP="00E2006B">
      <w:pPr>
        <w:keepNext/>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lastRenderedPageBreak/>
        <w:t>Akatisi/psykomotorisk uro</w:t>
      </w:r>
    </w:p>
    <w:p w:rsidR="005E3321" w:rsidRDefault="005E3321" w:rsidP="00E2006B">
      <w:pPr>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Brugen af duloxetin er forbundet med udvikling af akatisi, der kommer til udtryk ved subjektivt ubehag eller pinefuld uro samt et behov for ofte at ændre position i følgeskab med manglende evne til at sidde eller stå stille. Der er størst sandsynlighed for, at det forekommer inden for de første par uger af behandlingsforløbet. Det kan muligvis være skadeligt for patienter, der udvikler disse symptomer, at øge dosis.</w:t>
      </w:r>
    </w:p>
    <w:p w:rsidR="002272D5" w:rsidRDefault="002272D5" w:rsidP="005E3321">
      <w:pPr>
        <w:widowControl w:val="0"/>
        <w:autoSpaceDE w:val="0"/>
        <w:autoSpaceDN w:val="0"/>
        <w:adjustRightInd w:val="0"/>
        <w:ind w:left="851"/>
        <w:rPr>
          <w:rFonts w:eastAsia="MS Mincho"/>
          <w:color w:val="000000"/>
          <w:sz w:val="24"/>
          <w:szCs w:val="24"/>
          <w:lang w:eastAsia="ja-JP"/>
        </w:rPr>
      </w:pPr>
    </w:p>
    <w:p w:rsidR="003F24A7" w:rsidRPr="002F2904" w:rsidRDefault="003F24A7" w:rsidP="003F24A7">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Lægemidler indeholdende duloxetin</w:t>
      </w:r>
    </w:p>
    <w:p w:rsidR="003F24A7" w:rsidRPr="002F2904"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Duloxetin benyttes under forskellige varemærker til flere indikationer (behandling af diabetiske neuropatiske smerter, moderate til svære depressioner, generaliseret angst og stress-inkontinens). Brug af mere end et af disse præparater samtidig bør undgås.</w:t>
      </w:r>
    </w:p>
    <w:p w:rsidR="005E3321" w:rsidRPr="00D86A31" w:rsidRDefault="005E3321" w:rsidP="005E3321">
      <w:pPr>
        <w:widowControl w:val="0"/>
        <w:autoSpaceDE w:val="0"/>
        <w:autoSpaceDN w:val="0"/>
        <w:adjustRightInd w:val="0"/>
        <w:ind w:left="851" w:hanging="851"/>
        <w:rPr>
          <w:rFonts w:eastAsia="MS Mincho"/>
          <w:color w:val="000000"/>
          <w:sz w:val="24"/>
          <w:szCs w:val="24"/>
          <w:lang w:eastAsia="ja-JP"/>
        </w:rPr>
      </w:pPr>
    </w:p>
    <w:p w:rsidR="005E3321" w:rsidRPr="00D86A31" w:rsidRDefault="005E3321" w:rsidP="005E3321">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Hepatitis/forhøjede leverenzymer</w:t>
      </w:r>
    </w:p>
    <w:p w:rsidR="005E3321" w:rsidRPr="00D86A31" w:rsidRDefault="005E3321" w:rsidP="005E3321">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Tilfælde af leverskade herunder svært forhøjede leverenzymer (&gt;10 gange den normale øvre grænse), hepatitis og gulsot er sjældent rapporteret for duloxetin (se pkt. 4.8). De fleste skete inden</w:t>
      </w:r>
      <w:r>
        <w:rPr>
          <w:rFonts w:eastAsia="MS Mincho"/>
          <w:color w:val="000000"/>
          <w:sz w:val="24"/>
          <w:szCs w:val="24"/>
          <w:lang w:eastAsia="ja-JP"/>
        </w:rPr>
        <w:t xml:space="preserve"> </w:t>
      </w:r>
      <w:r w:rsidRPr="00D86A31">
        <w:rPr>
          <w:rFonts w:eastAsia="MS Mincho"/>
          <w:color w:val="000000"/>
          <w:sz w:val="24"/>
          <w:szCs w:val="24"/>
          <w:lang w:eastAsia="ja-JP"/>
        </w:rPr>
        <w:t>for de første 4 måneder af behandlingen. Det mønster, der tegner sig for leverskade, er overvejende</w:t>
      </w:r>
      <w:r>
        <w:rPr>
          <w:rFonts w:eastAsia="MS Mincho"/>
          <w:color w:val="000000"/>
          <w:sz w:val="24"/>
          <w:szCs w:val="24"/>
          <w:lang w:eastAsia="ja-JP"/>
        </w:rPr>
        <w:t xml:space="preserve"> </w:t>
      </w:r>
      <w:r w:rsidRPr="00D86A31">
        <w:rPr>
          <w:rFonts w:eastAsia="MS Mincho"/>
          <w:color w:val="000000"/>
          <w:sz w:val="24"/>
          <w:szCs w:val="24"/>
          <w:lang w:eastAsia="ja-JP"/>
        </w:rPr>
        <w:t>hepatocellulært. Duloxetin bør bruges med forsigtighed til patienter i behandling med andre lægemidler, som er forbundet med leverskade.</w:t>
      </w:r>
    </w:p>
    <w:p w:rsidR="005E3321" w:rsidRPr="00D86A31" w:rsidRDefault="005E3321" w:rsidP="005E3321">
      <w:pPr>
        <w:widowControl w:val="0"/>
        <w:autoSpaceDE w:val="0"/>
        <w:autoSpaceDN w:val="0"/>
        <w:adjustRightInd w:val="0"/>
        <w:ind w:left="851" w:hanging="851"/>
        <w:rPr>
          <w:rFonts w:eastAsia="MS Mincho"/>
          <w:i/>
          <w:iCs/>
          <w:color w:val="000000"/>
          <w:sz w:val="24"/>
          <w:szCs w:val="24"/>
          <w:lang w:eastAsia="ja-JP"/>
        </w:rPr>
      </w:pPr>
    </w:p>
    <w:p w:rsidR="003F24A7" w:rsidRPr="002F2904" w:rsidRDefault="003F24A7" w:rsidP="003F24A7">
      <w:pPr>
        <w:pStyle w:val="Default"/>
        <w:ind w:firstLine="851"/>
        <w:rPr>
          <w:rFonts w:ascii="Times New Roman" w:eastAsia="MS Mincho" w:hAnsi="Times New Roman" w:cs="Times New Roman"/>
          <w:i/>
          <w:lang w:eastAsia="ja-JP"/>
        </w:rPr>
      </w:pPr>
      <w:r w:rsidRPr="002F2904">
        <w:rPr>
          <w:rFonts w:ascii="Times New Roman" w:eastAsia="MS Mincho" w:hAnsi="Times New Roman" w:cs="Times New Roman"/>
          <w:i/>
          <w:lang w:eastAsia="ja-JP"/>
        </w:rPr>
        <w:t xml:space="preserve">Seksuel dysfunktion </w:t>
      </w:r>
    </w:p>
    <w:p w:rsidR="003F24A7" w:rsidRPr="002F2904"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Selektive serotoningenoptagelseshæmmere (SSRI)/serotonin- og noradrenalingenoptagelseshæmmere (SNRI) kan give symptomer på seksuel dysfunktion (se pkt. 4.8). Der har været indberetninger om langvarig seksuel dysfunktion, hvor symptomerne er blevet ved på trods af seponering af SSRI/SNRI.</w:t>
      </w:r>
    </w:p>
    <w:p w:rsidR="003F24A7" w:rsidRDefault="003F24A7" w:rsidP="003F24A7">
      <w:pPr>
        <w:widowControl w:val="0"/>
        <w:autoSpaceDE w:val="0"/>
        <w:autoSpaceDN w:val="0"/>
        <w:adjustRightInd w:val="0"/>
        <w:ind w:left="851" w:hanging="851"/>
        <w:rPr>
          <w:rFonts w:eastAsia="MS Mincho"/>
          <w:i/>
          <w:iCs/>
          <w:color w:val="000000"/>
          <w:sz w:val="24"/>
          <w:szCs w:val="24"/>
          <w:lang w:eastAsia="ja-JP"/>
        </w:rPr>
      </w:pPr>
    </w:p>
    <w:p w:rsidR="003F24A7" w:rsidRPr="00A566E8" w:rsidRDefault="003F24A7" w:rsidP="003F24A7">
      <w:pPr>
        <w:widowControl w:val="0"/>
        <w:autoSpaceDE w:val="0"/>
        <w:autoSpaceDN w:val="0"/>
        <w:adjustRightInd w:val="0"/>
        <w:ind w:left="851"/>
        <w:rPr>
          <w:rFonts w:eastAsia="MS Mincho"/>
          <w:iCs/>
          <w:color w:val="000000"/>
          <w:sz w:val="24"/>
          <w:szCs w:val="24"/>
          <w:u w:val="single"/>
          <w:lang w:eastAsia="ja-JP"/>
        </w:rPr>
      </w:pPr>
      <w:r w:rsidRPr="00A566E8">
        <w:rPr>
          <w:rFonts w:eastAsia="MS Mincho"/>
          <w:iCs/>
          <w:color w:val="000000"/>
          <w:sz w:val="24"/>
          <w:szCs w:val="24"/>
          <w:u w:val="single"/>
          <w:lang w:eastAsia="ja-JP"/>
        </w:rPr>
        <w:t>Hjælpestof</w:t>
      </w:r>
    </w:p>
    <w:p w:rsidR="003F24A7" w:rsidRPr="002F2904" w:rsidRDefault="003F24A7" w:rsidP="003F24A7">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Saccharose</w:t>
      </w:r>
    </w:p>
    <w:p w:rsidR="003F24A7" w:rsidRPr="002F2904" w:rsidRDefault="003F24A7" w:rsidP="003F24A7">
      <w:pPr>
        <w:suppressAutoHyphens/>
        <w:ind w:left="851"/>
        <w:rPr>
          <w:sz w:val="24"/>
          <w:szCs w:val="24"/>
        </w:rPr>
      </w:pPr>
      <w:r w:rsidRPr="002F2904">
        <w:rPr>
          <w:rFonts w:eastAsia="MS Mincho"/>
          <w:color w:val="000000"/>
          <w:sz w:val="24"/>
          <w:szCs w:val="24"/>
          <w:lang w:eastAsia="ja-JP"/>
        </w:rPr>
        <w:t>Aritavi hårde enterokapsler indeholder saccharose og bør ikke anvendes til patienter med arvelig fructoseintolerans, glucose/galactose malabsorption eller saccharose/isomaltase-mangel.</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4.5</w:t>
      </w:r>
      <w:r w:rsidRPr="00D86A31">
        <w:rPr>
          <w:b/>
          <w:sz w:val="24"/>
          <w:szCs w:val="24"/>
        </w:rPr>
        <w:tab/>
        <w:t>Interaktion med andre lægemidler og andre former for interaktion</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r w:rsidRPr="00D86A31">
        <w:rPr>
          <w:sz w:val="24"/>
          <w:szCs w:val="24"/>
        </w:rPr>
        <w:tab/>
      </w:r>
      <w:r w:rsidRPr="00D86A31">
        <w:rPr>
          <w:rFonts w:eastAsia="MS Mincho"/>
          <w:i/>
          <w:iCs/>
          <w:color w:val="000000"/>
          <w:sz w:val="24"/>
          <w:szCs w:val="24"/>
          <w:lang w:eastAsia="ja-JP"/>
        </w:rPr>
        <w:t>Monoaminoxidasehæmmere (MAO-hæmmere)</w:t>
      </w:r>
      <w:r w:rsidRPr="00D86A31">
        <w:rPr>
          <w:rFonts w:eastAsia="MS Mincho"/>
          <w:color w:val="000000"/>
          <w:sz w:val="24"/>
          <w:szCs w:val="24"/>
          <w:lang w:eastAsia="ja-JP"/>
        </w:rPr>
        <w:t xml:space="preserve">: På grund af risikoen for serotoninsyndrom må duloxetin ikke anvendes sammen med ikke-selektive, irreversible monoaminoxidasehæmmere (MAO- hæmmere) eller i mindst 14 dage efter afbrudt behandling med en MAO-hæmmer. På baggrund af duloxetins halveringstid skal der gå mindst 5 dage efter endt behandling med Aritavi, før en behandling med en MAO-hæmmer påbegyndes (se </w:t>
      </w:r>
      <w:r>
        <w:rPr>
          <w:rFonts w:eastAsia="MS Mincho"/>
          <w:color w:val="000000"/>
          <w:sz w:val="24"/>
          <w:szCs w:val="24"/>
          <w:lang w:eastAsia="ja-JP"/>
        </w:rPr>
        <w:t>pkt.</w:t>
      </w:r>
      <w:r w:rsidRPr="00D86A31">
        <w:rPr>
          <w:rFonts w:eastAsia="MS Mincho"/>
          <w:color w:val="000000"/>
          <w:sz w:val="24"/>
          <w:szCs w:val="24"/>
          <w:lang w:eastAsia="ja-JP"/>
        </w:rPr>
        <w:t xml:space="preserve"> 4.3).</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Samtidig brug af Aritavi og selektive, reversible MAO-hæmmere, som f.eks. moclobemid, anbefales ikke (se pkt. 4.4). Det antibiotiske lægemiddel linezolid er en reversibel ikke-</w:t>
      </w:r>
      <w:proofErr w:type="gramStart"/>
      <w:r w:rsidRPr="00D86A31">
        <w:rPr>
          <w:rFonts w:eastAsia="MS Mincho"/>
          <w:color w:val="000000"/>
          <w:sz w:val="24"/>
          <w:szCs w:val="24"/>
          <w:lang w:eastAsia="ja-JP"/>
        </w:rPr>
        <w:t>selektiv</w:t>
      </w:r>
      <w:proofErr w:type="gramEnd"/>
      <w:r w:rsidRPr="00D86A31">
        <w:rPr>
          <w:rFonts w:eastAsia="MS Mincho"/>
          <w:color w:val="000000"/>
          <w:sz w:val="24"/>
          <w:szCs w:val="24"/>
          <w:lang w:eastAsia="ja-JP"/>
        </w:rPr>
        <w:t xml:space="preserve"> MAO-hæmmer og bør ikke gives til patienter, der er i behandling med Aritavi (se </w:t>
      </w:r>
      <w:r>
        <w:rPr>
          <w:rFonts w:eastAsia="MS Mincho"/>
          <w:color w:val="000000"/>
          <w:sz w:val="24"/>
          <w:szCs w:val="24"/>
          <w:lang w:eastAsia="ja-JP"/>
        </w:rPr>
        <w:t>pkt.</w:t>
      </w:r>
      <w:r w:rsidRPr="00D86A31">
        <w:rPr>
          <w:rFonts w:eastAsia="MS Mincho"/>
          <w:color w:val="000000"/>
          <w:sz w:val="24"/>
          <w:szCs w:val="24"/>
          <w:lang w:eastAsia="ja-JP"/>
        </w:rPr>
        <w:t xml:space="preserve"> 4.4).</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3F24A7"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i/>
          <w:iCs/>
          <w:color w:val="000000"/>
          <w:sz w:val="24"/>
          <w:szCs w:val="24"/>
          <w:lang w:eastAsia="ja-JP"/>
        </w:rPr>
        <w:t>CYP1A2-hæmmere</w:t>
      </w:r>
      <w:r w:rsidRPr="00D86A31">
        <w:rPr>
          <w:rFonts w:eastAsia="MS Mincho"/>
          <w:color w:val="000000"/>
          <w:sz w:val="24"/>
          <w:szCs w:val="24"/>
          <w:lang w:eastAsia="ja-JP"/>
        </w:rPr>
        <w:t xml:space="preserve">: </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 xml:space="preserve">Da CYP1A2 er involveret i metaboliseringen af duloxetin, vil samtidig behandling med duloxetin og potente CYP1A2-hæmmere sandsynligvis medføre højere koncentrationer af duloxetin. Fluvoxamin (100 mg én gang daglig), en potent CYP1A2-hæmmer, mindskede den tilsyneladende plasmaclearance af duloxetin med omtrent 77 % og øgede </w:t>
      </w:r>
      <w:r w:rsidRPr="00D86A31">
        <w:rPr>
          <w:sz w:val="24"/>
          <w:szCs w:val="24"/>
        </w:rPr>
        <w:t>AUC</w:t>
      </w:r>
      <w:r w:rsidRPr="00D86A31">
        <w:rPr>
          <w:sz w:val="24"/>
          <w:szCs w:val="24"/>
          <w:vertAlign w:val="subscript"/>
        </w:rPr>
        <w:t>o-t</w:t>
      </w:r>
      <w:r w:rsidRPr="00D86A31">
        <w:rPr>
          <w:sz w:val="24"/>
          <w:szCs w:val="24"/>
        </w:rPr>
        <w:t xml:space="preserve"> </w:t>
      </w:r>
      <w:r w:rsidRPr="00D86A31">
        <w:rPr>
          <w:rFonts w:eastAsia="MS Mincho"/>
          <w:color w:val="000000"/>
          <w:sz w:val="24"/>
          <w:szCs w:val="24"/>
          <w:lang w:eastAsia="ja-JP"/>
        </w:rPr>
        <w:t>6 gange. Aritavi bør derfor ikke gives i kombination med potente CYP1A2-hæmmere som fluvoxamin (se pkt. 4.3).</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3F24A7"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i/>
          <w:iCs/>
          <w:color w:val="000000"/>
          <w:sz w:val="24"/>
          <w:szCs w:val="24"/>
          <w:lang w:eastAsia="ja-JP"/>
        </w:rPr>
        <w:t>CNS-lægemidler</w:t>
      </w:r>
      <w:r w:rsidRPr="00D86A31">
        <w:rPr>
          <w:rFonts w:eastAsia="MS Mincho"/>
          <w:color w:val="000000"/>
          <w:sz w:val="24"/>
          <w:szCs w:val="24"/>
          <w:lang w:eastAsia="ja-JP"/>
        </w:rPr>
        <w:t xml:space="preserve">: </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Bortset fra de her i afsnittet nævnte interaktioner er risikoen ved brug af duloxetin i kombination med andre CNS-aktive lægemidler ikke blevet systematisk undersøgt. Som konsekvens heraf anbefales det at udvise forsigtighed, når Aritavi tages sammen med andre centralt virkende lægemidler eller stoffer, herunder alkohol og sederende lægemidler (f.eks. benzodiazepiner, morphinlignende præparater, antipsykotika, phenobarbital, sederende antihistaminer).</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8529CB" w:rsidRDefault="008529CB" w:rsidP="008529CB">
      <w:pPr>
        <w:widowControl w:val="0"/>
        <w:autoSpaceDE w:val="0"/>
        <w:autoSpaceDN w:val="0"/>
        <w:adjustRightInd w:val="0"/>
        <w:ind w:left="851"/>
        <w:rPr>
          <w:rFonts w:eastAsia="MS Mincho"/>
          <w:color w:val="000000"/>
          <w:sz w:val="24"/>
          <w:szCs w:val="24"/>
          <w:lang w:eastAsia="ja-JP"/>
        </w:rPr>
      </w:pPr>
      <w:r w:rsidRPr="00D86A31">
        <w:rPr>
          <w:rFonts w:eastAsia="MS Mincho"/>
          <w:i/>
          <w:iCs/>
          <w:color w:val="000000"/>
          <w:sz w:val="24"/>
          <w:szCs w:val="24"/>
          <w:lang w:eastAsia="ja-JP"/>
        </w:rPr>
        <w:t>Serotonerge lægemidler</w:t>
      </w:r>
      <w:r w:rsidRPr="00D86A31">
        <w:rPr>
          <w:rFonts w:eastAsia="MS Mincho"/>
          <w:color w:val="000000"/>
          <w:sz w:val="24"/>
          <w:szCs w:val="24"/>
          <w:lang w:eastAsia="ja-JP"/>
        </w:rPr>
        <w:t xml:space="preserve">: </w:t>
      </w:r>
    </w:p>
    <w:p w:rsidR="008529CB" w:rsidRPr="00D86A31" w:rsidRDefault="008529CB" w:rsidP="008529CB">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Der er i sjældne tilfælde rapporteret om serotoninsyndrom hos patienter i behandling med SSRI/SNRI-præparater sammen med serotonerge lægemidler. Det anbefales at udvise forsigtighed, hvis Aritavi anvendes sammen med serotonerge lægemidler som SSRI-præparater, SNRI-præparater, tricykliske antidepressiva (f.eks.</w:t>
      </w:r>
      <w:r>
        <w:rPr>
          <w:rFonts w:eastAsia="MS Mincho"/>
          <w:color w:val="000000"/>
          <w:sz w:val="24"/>
          <w:szCs w:val="24"/>
          <w:lang w:eastAsia="ja-JP"/>
        </w:rPr>
        <w:t xml:space="preserve"> </w:t>
      </w:r>
      <w:r w:rsidRPr="00D86A31">
        <w:rPr>
          <w:rFonts w:eastAsia="MS Mincho"/>
          <w:color w:val="000000"/>
          <w:sz w:val="24"/>
          <w:szCs w:val="24"/>
          <w:lang w:eastAsia="ja-JP"/>
        </w:rPr>
        <w:t>clomipramin eller amitriptylin), MAO-hæmmere som moclobemid eller linezolid, perikon (</w:t>
      </w:r>
      <w:r w:rsidRPr="00D86A31">
        <w:rPr>
          <w:rFonts w:eastAsia="MS Mincho"/>
          <w:i/>
          <w:iCs/>
          <w:color w:val="000000"/>
          <w:sz w:val="24"/>
          <w:szCs w:val="24"/>
          <w:lang w:eastAsia="ja-JP"/>
        </w:rPr>
        <w:t>Hypericum perforatum</w:t>
      </w:r>
      <w:r w:rsidRPr="00D86A31">
        <w:rPr>
          <w:rFonts w:eastAsia="MS Mincho"/>
          <w:color w:val="000000"/>
          <w:sz w:val="24"/>
          <w:szCs w:val="24"/>
          <w:lang w:eastAsia="ja-JP"/>
        </w:rPr>
        <w:t xml:space="preserve">) eller triptaner, tramadol, </w:t>
      </w:r>
      <w:r>
        <w:rPr>
          <w:rFonts w:eastAsia="MS Mincho"/>
          <w:color w:val="000000"/>
          <w:sz w:val="24"/>
          <w:szCs w:val="24"/>
          <w:lang w:eastAsia="ja-JP"/>
        </w:rPr>
        <w:t xml:space="preserve">buprenorphin, </w:t>
      </w:r>
      <w:r w:rsidRPr="00D86A31">
        <w:rPr>
          <w:rFonts w:eastAsia="MS Mincho"/>
          <w:color w:val="000000"/>
          <w:sz w:val="24"/>
          <w:szCs w:val="24"/>
          <w:lang w:eastAsia="ja-JP"/>
        </w:rPr>
        <w:t xml:space="preserve">pethidin og tryptophan (se </w:t>
      </w:r>
      <w:r>
        <w:rPr>
          <w:rFonts w:eastAsia="MS Mincho"/>
          <w:color w:val="000000"/>
          <w:sz w:val="24"/>
          <w:szCs w:val="24"/>
          <w:lang w:eastAsia="ja-JP"/>
        </w:rPr>
        <w:t>pkt.</w:t>
      </w:r>
      <w:r w:rsidRPr="00D86A31">
        <w:rPr>
          <w:rFonts w:eastAsia="MS Mincho"/>
          <w:color w:val="000000"/>
          <w:sz w:val="24"/>
          <w:szCs w:val="24"/>
          <w:lang w:eastAsia="ja-JP"/>
        </w:rPr>
        <w:t xml:space="preserve"> 4.4).</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Cs/>
          <w:color w:val="000000"/>
          <w:sz w:val="24"/>
          <w:szCs w:val="24"/>
          <w:u w:val="single"/>
          <w:lang w:eastAsia="ja-JP"/>
        </w:rPr>
      </w:pPr>
      <w:r w:rsidRPr="00D86A31">
        <w:rPr>
          <w:rFonts w:eastAsia="MS Mincho"/>
          <w:iCs/>
          <w:color w:val="000000"/>
          <w:sz w:val="24"/>
          <w:szCs w:val="24"/>
          <w:u w:val="single"/>
          <w:lang w:eastAsia="ja-JP"/>
        </w:rPr>
        <w:t>Duloxetins virkning på andre lægemidler</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3F24A7"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i/>
          <w:iCs/>
          <w:color w:val="000000"/>
          <w:sz w:val="24"/>
          <w:szCs w:val="24"/>
          <w:lang w:eastAsia="ja-JP"/>
        </w:rPr>
        <w:t>Lægemidler, der metaboliseres via CYP1A2</w:t>
      </w:r>
      <w:r w:rsidRPr="00D86A31">
        <w:rPr>
          <w:rFonts w:eastAsia="MS Mincho"/>
          <w:color w:val="000000"/>
          <w:sz w:val="24"/>
          <w:szCs w:val="24"/>
          <w:lang w:eastAsia="ja-JP"/>
        </w:rPr>
        <w:t xml:space="preserve">: </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Theophyllins (et CYP1A2-substrat) farmakokinetik blev ikke påvirket signifikant ved samtidig behandling med duloxetin (60 mg to gange daglig).</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3F24A7"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i/>
          <w:iCs/>
          <w:color w:val="000000"/>
          <w:sz w:val="24"/>
          <w:szCs w:val="24"/>
          <w:lang w:eastAsia="ja-JP"/>
        </w:rPr>
        <w:t>Lægemidler, der metaboliseres via CYP2D6</w:t>
      </w:r>
      <w:r w:rsidRPr="002F2904">
        <w:rPr>
          <w:rFonts w:eastAsia="MS Mincho"/>
          <w:color w:val="000000"/>
          <w:sz w:val="24"/>
          <w:szCs w:val="24"/>
          <w:lang w:eastAsia="ja-JP"/>
        </w:rPr>
        <w:t xml:space="preserve">: </w:t>
      </w:r>
    </w:p>
    <w:p w:rsidR="003F24A7" w:rsidRPr="002F2904" w:rsidRDefault="003F24A7" w:rsidP="003F24A7">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 xml:space="preserve">Duloxetin er en moderat CYP2D6-hæmmer. Når duloxetin blev givet i doser af 60 mg to gange dagligt sammen med en enkelt dosis af desipramin, et CYP2D6-substrat, blev AUC for desipramin forøget 3 gange. Samtidig behandling med duloxetin (40 mg to gange daglig) forøger </w:t>
      </w:r>
      <w:r w:rsidRPr="002F2904">
        <w:rPr>
          <w:rFonts w:eastAsia="MS Mincho"/>
          <w:iCs/>
          <w:color w:val="000000"/>
          <w:sz w:val="24"/>
          <w:szCs w:val="24"/>
          <w:lang w:eastAsia="ja-JP"/>
        </w:rPr>
        <w:t>steady state</w:t>
      </w:r>
      <w:r w:rsidRPr="002F2904">
        <w:rPr>
          <w:rFonts w:eastAsia="MS Mincho"/>
          <w:i/>
          <w:iCs/>
          <w:color w:val="000000"/>
          <w:sz w:val="24"/>
          <w:szCs w:val="24"/>
          <w:lang w:eastAsia="ja-JP"/>
        </w:rPr>
        <w:t xml:space="preserve"> </w:t>
      </w:r>
      <w:r w:rsidRPr="002F2904">
        <w:rPr>
          <w:rFonts w:eastAsia="MS Mincho"/>
          <w:color w:val="000000"/>
          <w:sz w:val="24"/>
          <w:szCs w:val="24"/>
          <w:lang w:eastAsia="ja-JP"/>
        </w:rPr>
        <w:t>AUC for tolterodin (2 mg to gange daglig) med 71</w:t>
      </w:r>
      <w:r>
        <w:rPr>
          <w:rFonts w:eastAsia="MS Mincho"/>
          <w:color w:val="000000"/>
          <w:sz w:val="24"/>
          <w:szCs w:val="24"/>
          <w:lang w:eastAsia="ja-JP"/>
        </w:rPr>
        <w:t xml:space="preserve"> </w:t>
      </w:r>
      <w:r w:rsidRPr="002F2904">
        <w:rPr>
          <w:rFonts w:eastAsia="MS Mincho"/>
          <w:color w:val="000000"/>
          <w:sz w:val="24"/>
          <w:szCs w:val="24"/>
          <w:lang w:eastAsia="ja-JP"/>
        </w:rPr>
        <w:t>%, men påvirker ikke farmakokinetikken for tolterodins aktive 5-hydroxy-metabolit, og der anbefales ingen dosisjustering. Det anbefales at udvise forsigtighed ved administration af Aritavi sammen med præparater, som hovedsageligt metaboliseres via CYP2D6 (risperidon, tricycliske antidepressiva [TCA’er] såsom nortriptylin, amitriptylin og imipramin), specielt hvis disse præparater har et snævert terapeutisk indeks (som f.eks. flecainid, propafenon og metoprolol).</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3F24A7"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i/>
          <w:iCs/>
          <w:color w:val="000000"/>
          <w:sz w:val="24"/>
          <w:szCs w:val="24"/>
          <w:lang w:eastAsia="ja-JP"/>
        </w:rPr>
        <w:t>P-piller og andre steroider</w:t>
      </w:r>
      <w:r w:rsidRPr="00D86A31">
        <w:rPr>
          <w:rFonts w:eastAsia="MS Mincho"/>
          <w:color w:val="000000"/>
          <w:sz w:val="24"/>
          <w:szCs w:val="24"/>
          <w:lang w:eastAsia="ja-JP"/>
        </w:rPr>
        <w:t xml:space="preserve">: </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 xml:space="preserve">Resultater fra </w:t>
      </w:r>
      <w:r w:rsidRPr="00D86A31">
        <w:rPr>
          <w:rFonts w:eastAsia="MS Mincho"/>
          <w:i/>
          <w:iCs/>
          <w:color w:val="000000"/>
          <w:sz w:val="24"/>
          <w:szCs w:val="24"/>
          <w:lang w:eastAsia="ja-JP"/>
        </w:rPr>
        <w:t>in vitro</w:t>
      </w:r>
      <w:r w:rsidRPr="00D86A31">
        <w:rPr>
          <w:rFonts w:eastAsia="MS Mincho"/>
          <w:color w:val="000000"/>
          <w:sz w:val="24"/>
          <w:szCs w:val="24"/>
          <w:lang w:eastAsia="ja-JP"/>
        </w:rPr>
        <w:t xml:space="preserve">-studier viser, at duloxetin ikke inducerer CYP3A's katalytiske aktivitet. Der er ikke udført specifikke </w:t>
      </w:r>
      <w:r w:rsidRPr="00D86A31">
        <w:rPr>
          <w:rFonts w:eastAsia="MS Mincho"/>
          <w:i/>
          <w:iCs/>
          <w:color w:val="000000"/>
          <w:sz w:val="24"/>
          <w:szCs w:val="24"/>
          <w:lang w:eastAsia="ja-JP"/>
        </w:rPr>
        <w:t>in vivo</w:t>
      </w:r>
      <w:r w:rsidRPr="00D86A31">
        <w:rPr>
          <w:rFonts w:eastAsia="MS Mincho"/>
          <w:color w:val="000000"/>
          <w:sz w:val="24"/>
          <w:szCs w:val="24"/>
          <w:lang w:eastAsia="ja-JP"/>
        </w:rPr>
        <w:t>-interaktionsstudier.</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2272D5" w:rsidRDefault="002272D5" w:rsidP="002272D5">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 xml:space="preserve">Antikoagulantia og antitrombotiske </w:t>
      </w:r>
      <w:r>
        <w:rPr>
          <w:rFonts w:eastAsia="MS Mincho"/>
          <w:i/>
          <w:iCs/>
          <w:color w:val="000000"/>
          <w:sz w:val="24"/>
          <w:szCs w:val="24"/>
          <w:lang w:eastAsia="ja-JP"/>
        </w:rPr>
        <w:t>læge</w:t>
      </w:r>
      <w:r w:rsidRPr="002F2904">
        <w:rPr>
          <w:rFonts w:eastAsia="MS Mincho"/>
          <w:i/>
          <w:iCs/>
          <w:color w:val="000000"/>
          <w:sz w:val="24"/>
          <w:szCs w:val="24"/>
          <w:lang w:eastAsia="ja-JP"/>
        </w:rPr>
        <w:t xml:space="preserve">midler: </w:t>
      </w:r>
    </w:p>
    <w:p w:rsidR="004F4CA9" w:rsidRDefault="002272D5" w:rsidP="00153781">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 xml:space="preserve">Der bør udvises forsigtighed, når duloxetin gives sammen med orale antikoagulantia eller antitrombotiske </w:t>
      </w:r>
      <w:r>
        <w:rPr>
          <w:rFonts w:eastAsia="MS Mincho"/>
          <w:color w:val="000000"/>
          <w:sz w:val="24"/>
          <w:szCs w:val="24"/>
          <w:lang w:eastAsia="ja-JP"/>
        </w:rPr>
        <w:t>læge</w:t>
      </w:r>
      <w:r w:rsidRPr="002F2904">
        <w:rPr>
          <w:rFonts w:eastAsia="MS Mincho"/>
          <w:color w:val="000000"/>
          <w:sz w:val="24"/>
          <w:szCs w:val="24"/>
          <w:lang w:eastAsia="ja-JP"/>
        </w:rPr>
        <w:t xml:space="preserve">midler på grund af en potentiel øget risiko for blødning, der kan tilskrives en farmakodynamisk interaktion. Endvidere er der rapporteret stigning i INR-værdier, når duloxetin blev givet til patienter, der samtidigt blev behandlet med warfarin. Hos raske forsøgspersoner i et klinisk farmakologisk studie resulterede co-administration af duloxetin med warfarin ved </w:t>
      </w:r>
      <w:r w:rsidRPr="002F2904">
        <w:rPr>
          <w:rFonts w:eastAsia="MS Mincho"/>
          <w:i/>
          <w:iCs/>
          <w:color w:val="000000"/>
          <w:sz w:val="24"/>
          <w:szCs w:val="24"/>
          <w:lang w:eastAsia="ja-JP"/>
        </w:rPr>
        <w:t xml:space="preserve">steady state </w:t>
      </w:r>
      <w:r w:rsidRPr="002F2904">
        <w:rPr>
          <w:rFonts w:eastAsia="MS Mincho"/>
          <w:color w:val="000000"/>
          <w:sz w:val="24"/>
          <w:szCs w:val="24"/>
          <w:lang w:eastAsia="ja-JP"/>
        </w:rPr>
        <w:t>dog ikke i en klinisk signifikant ændring i INR fra baseline eller i farmakokinetikken af R- eller S-warfarin.</w:t>
      </w:r>
    </w:p>
    <w:p w:rsidR="00153781" w:rsidRPr="00153781" w:rsidRDefault="00153781" w:rsidP="00153781">
      <w:pPr>
        <w:widowControl w:val="0"/>
        <w:autoSpaceDE w:val="0"/>
        <w:autoSpaceDN w:val="0"/>
        <w:adjustRightInd w:val="0"/>
        <w:ind w:left="851"/>
        <w:rPr>
          <w:rFonts w:eastAsia="MS Mincho"/>
          <w:color w:val="000000"/>
          <w:sz w:val="24"/>
          <w:szCs w:val="24"/>
          <w:lang w:eastAsia="ja-JP"/>
        </w:rPr>
      </w:pPr>
    </w:p>
    <w:p w:rsidR="004F4CA9" w:rsidRPr="00D86A31" w:rsidRDefault="004F4CA9" w:rsidP="00153781">
      <w:pPr>
        <w:keepNext/>
        <w:widowControl w:val="0"/>
        <w:autoSpaceDE w:val="0"/>
        <w:autoSpaceDN w:val="0"/>
        <w:adjustRightInd w:val="0"/>
        <w:ind w:left="851"/>
        <w:rPr>
          <w:rFonts w:eastAsia="MS Mincho"/>
          <w:iCs/>
          <w:color w:val="000000"/>
          <w:sz w:val="24"/>
          <w:szCs w:val="24"/>
          <w:u w:val="single"/>
          <w:lang w:eastAsia="ja-JP"/>
        </w:rPr>
      </w:pPr>
      <w:r w:rsidRPr="00D86A31">
        <w:rPr>
          <w:rFonts w:eastAsia="MS Mincho"/>
          <w:iCs/>
          <w:color w:val="000000"/>
          <w:sz w:val="24"/>
          <w:szCs w:val="24"/>
          <w:u w:val="single"/>
          <w:lang w:eastAsia="ja-JP"/>
        </w:rPr>
        <w:lastRenderedPageBreak/>
        <w:t>Andre lægemidlers virkning på duloxetin</w:t>
      </w:r>
    </w:p>
    <w:p w:rsidR="004F4CA9" w:rsidRPr="00D86A31" w:rsidRDefault="004F4CA9" w:rsidP="00E2006B">
      <w:pPr>
        <w:keepNext/>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E2006B">
      <w:pPr>
        <w:autoSpaceDE w:val="0"/>
        <w:autoSpaceDN w:val="0"/>
        <w:adjustRightInd w:val="0"/>
        <w:ind w:left="851"/>
        <w:rPr>
          <w:rFonts w:eastAsia="MS Mincho"/>
          <w:color w:val="000000"/>
          <w:sz w:val="24"/>
          <w:szCs w:val="24"/>
          <w:lang w:eastAsia="ja-JP"/>
        </w:rPr>
      </w:pPr>
      <w:r w:rsidRPr="00D86A31">
        <w:rPr>
          <w:rFonts w:eastAsia="MS Mincho"/>
          <w:i/>
          <w:iCs/>
          <w:color w:val="000000"/>
          <w:sz w:val="24"/>
          <w:szCs w:val="24"/>
          <w:lang w:eastAsia="ja-JP"/>
        </w:rPr>
        <w:t>Antacida og H</w:t>
      </w:r>
      <w:r w:rsidRPr="00D86A31">
        <w:rPr>
          <w:rFonts w:eastAsia="MS Mincho"/>
          <w:i/>
          <w:iCs/>
          <w:color w:val="000000"/>
          <w:position w:val="-4"/>
          <w:sz w:val="24"/>
          <w:szCs w:val="24"/>
          <w:lang w:eastAsia="ja-JP"/>
        </w:rPr>
        <w:t>2</w:t>
      </w:r>
      <w:r w:rsidRPr="00D86A31">
        <w:rPr>
          <w:rFonts w:eastAsia="MS Mincho"/>
          <w:i/>
          <w:iCs/>
          <w:color w:val="000000"/>
          <w:sz w:val="24"/>
          <w:szCs w:val="24"/>
          <w:lang w:eastAsia="ja-JP"/>
        </w:rPr>
        <w:t>-antagonister</w:t>
      </w:r>
      <w:r w:rsidRPr="00D86A31">
        <w:rPr>
          <w:rFonts w:eastAsia="MS Mincho"/>
          <w:color w:val="000000"/>
          <w:sz w:val="24"/>
          <w:szCs w:val="24"/>
          <w:lang w:eastAsia="ja-JP"/>
        </w:rPr>
        <w:t>: Samtidig administration af duloxetin med aluminium- og magnesiumholdige antacida eller med famotidin har ingen signifikant virkning på absorptionshastigheden eller absorptionsfraktionen af duloxetin efter en oral dosis på 40 mg.</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2272D5" w:rsidRPr="002F2904" w:rsidRDefault="002272D5" w:rsidP="002272D5">
      <w:pPr>
        <w:ind w:left="851"/>
        <w:rPr>
          <w:sz w:val="24"/>
          <w:szCs w:val="24"/>
        </w:rPr>
      </w:pPr>
      <w:r w:rsidRPr="002F2904">
        <w:rPr>
          <w:rFonts w:eastAsia="MS Mincho"/>
          <w:i/>
          <w:iCs/>
          <w:color w:val="000000"/>
          <w:sz w:val="24"/>
          <w:szCs w:val="24"/>
          <w:lang w:eastAsia="ja-JP"/>
        </w:rPr>
        <w:t xml:space="preserve">CYP1A2-induktorer: </w:t>
      </w:r>
      <w:r w:rsidRPr="002F2904">
        <w:rPr>
          <w:rFonts w:eastAsia="MS Mincho"/>
          <w:color w:val="000000"/>
          <w:sz w:val="24"/>
          <w:szCs w:val="24"/>
          <w:lang w:eastAsia="ja-JP"/>
        </w:rPr>
        <w:t>Befolkningsfarmakokinetiske analyser har vist, at rygere har næsten 50</w:t>
      </w:r>
      <w:r>
        <w:rPr>
          <w:rFonts w:eastAsia="MS Mincho"/>
          <w:color w:val="000000"/>
          <w:sz w:val="24"/>
          <w:szCs w:val="24"/>
          <w:lang w:eastAsia="ja-JP"/>
        </w:rPr>
        <w:t xml:space="preserve"> </w:t>
      </w:r>
      <w:r w:rsidRPr="002F2904">
        <w:rPr>
          <w:rFonts w:eastAsia="MS Mincho"/>
          <w:color w:val="000000"/>
          <w:sz w:val="24"/>
          <w:szCs w:val="24"/>
          <w:lang w:eastAsia="ja-JP"/>
        </w:rPr>
        <w:t>% lavere plasmakoncentration af duloxetin sammenlignet med ikke-rygere.</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4.6</w:t>
      </w:r>
      <w:r w:rsidRPr="00D86A31">
        <w:rPr>
          <w:b/>
          <w:sz w:val="24"/>
          <w:szCs w:val="24"/>
        </w:rPr>
        <w:tab/>
      </w:r>
      <w:r w:rsidR="009E762A">
        <w:rPr>
          <w:b/>
          <w:sz w:val="24"/>
          <w:szCs w:val="24"/>
        </w:rPr>
        <w:t>Fertilitet, g</w:t>
      </w:r>
      <w:r w:rsidRPr="00D86A31">
        <w:rPr>
          <w:b/>
          <w:sz w:val="24"/>
          <w:szCs w:val="24"/>
        </w:rPr>
        <w:t>raviditet og amning</w:t>
      </w:r>
    </w:p>
    <w:p w:rsidR="004F4CA9" w:rsidRPr="00D86A31" w:rsidRDefault="004F4CA9" w:rsidP="004F4CA9">
      <w:pPr>
        <w:widowControl w:val="0"/>
        <w:autoSpaceDE w:val="0"/>
        <w:autoSpaceDN w:val="0"/>
        <w:adjustRightInd w:val="0"/>
        <w:ind w:left="851" w:hanging="851"/>
        <w:rPr>
          <w:rFonts w:eastAsia="MS Mincho"/>
          <w:iCs/>
          <w:color w:val="000000"/>
          <w:sz w:val="24"/>
          <w:szCs w:val="24"/>
          <w:u w:val="single"/>
          <w:lang w:eastAsia="ja-JP"/>
        </w:rPr>
      </w:pPr>
      <w:r w:rsidRPr="00D86A31">
        <w:rPr>
          <w:sz w:val="24"/>
          <w:szCs w:val="24"/>
        </w:rPr>
        <w:tab/>
      </w:r>
      <w:r w:rsidRPr="00D86A31">
        <w:rPr>
          <w:rFonts w:eastAsia="MS Mincho"/>
          <w:iCs/>
          <w:color w:val="000000"/>
          <w:sz w:val="24"/>
          <w:szCs w:val="24"/>
          <w:u w:val="single"/>
          <w:lang w:eastAsia="ja-JP"/>
        </w:rPr>
        <w:t>Fertilitet</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Pr>
          <w:rFonts w:eastAsia="MS Mincho"/>
          <w:color w:val="000000"/>
          <w:sz w:val="24"/>
          <w:szCs w:val="24"/>
          <w:lang w:eastAsia="ja-JP"/>
        </w:rPr>
        <w:t>I dyreforsøg påvirker d</w:t>
      </w:r>
      <w:r w:rsidRPr="00D86A31">
        <w:rPr>
          <w:rFonts w:eastAsia="MS Mincho"/>
          <w:color w:val="000000"/>
          <w:sz w:val="24"/>
          <w:szCs w:val="24"/>
          <w:lang w:eastAsia="ja-JP"/>
        </w:rPr>
        <w:t>uloxetin ikke han-fertilitet, og påvirkning af hun-fertilitet er kun set ved doser, som forårsagede maternel toksicitet.</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8529CB" w:rsidRPr="00D86A31" w:rsidRDefault="008529CB" w:rsidP="008529CB">
      <w:pPr>
        <w:keepNext/>
        <w:widowControl w:val="0"/>
        <w:autoSpaceDE w:val="0"/>
        <w:autoSpaceDN w:val="0"/>
        <w:adjustRightInd w:val="0"/>
        <w:ind w:left="851"/>
        <w:rPr>
          <w:rFonts w:eastAsia="MS Mincho"/>
          <w:iCs/>
          <w:color w:val="000000"/>
          <w:sz w:val="24"/>
          <w:szCs w:val="24"/>
          <w:u w:val="single"/>
          <w:lang w:eastAsia="ja-JP"/>
        </w:rPr>
      </w:pPr>
      <w:r w:rsidRPr="00D86A31">
        <w:rPr>
          <w:rFonts w:eastAsia="MS Mincho"/>
          <w:iCs/>
          <w:color w:val="000000"/>
          <w:sz w:val="24"/>
          <w:szCs w:val="24"/>
          <w:u w:val="single"/>
          <w:lang w:eastAsia="ja-JP"/>
        </w:rPr>
        <w:t>Graviditet</w:t>
      </w:r>
    </w:p>
    <w:p w:rsidR="008529CB" w:rsidRPr="00D86A31" w:rsidRDefault="008529CB" w:rsidP="008529CB">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Dyrestudier har vist reproduktions- toksicitet ved systemisk indgift af duloxetin i doser (AUC) mindre end den maksimale kliniske dosis (se pkt. 5.3).</w:t>
      </w:r>
    </w:p>
    <w:p w:rsidR="008529CB" w:rsidRPr="00D86A31" w:rsidRDefault="008529CB" w:rsidP="008529CB">
      <w:pPr>
        <w:widowControl w:val="0"/>
        <w:autoSpaceDE w:val="0"/>
        <w:autoSpaceDN w:val="0"/>
        <w:adjustRightInd w:val="0"/>
        <w:ind w:left="851" w:hanging="851"/>
        <w:rPr>
          <w:rFonts w:eastAsia="MS Mincho"/>
          <w:color w:val="000000"/>
          <w:sz w:val="24"/>
          <w:szCs w:val="24"/>
          <w:lang w:eastAsia="ja-JP"/>
        </w:rPr>
      </w:pPr>
    </w:p>
    <w:p w:rsidR="008529CB" w:rsidRDefault="008529CB" w:rsidP="008529CB">
      <w:pPr>
        <w:ind w:left="851"/>
      </w:pPr>
      <w:r w:rsidRPr="00925CE5">
        <w:t xml:space="preserve">To store observationsstudier tyder ikke på, at der er en samlet øget risiko for større medfødt misdannelse (et studie fra USA, hvor 2.500 blev eksponeret for duloxetin i første trimester og et studie fra EU, hvor 1.500 blev eksponeret for duloxetin i første trimester). En analyse af specifikke misdannelser, såsom misdannelser i hjertet, viser ikke entydige resultater. </w:t>
      </w:r>
    </w:p>
    <w:p w:rsidR="008529CB" w:rsidRPr="00925CE5" w:rsidRDefault="008529CB" w:rsidP="008529CB">
      <w:pPr>
        <w:ind w:left="851"/>
      </w:pPr>
      <w:r w:rsidRPr="00925CE5">
        <w:t>I EU-studiet var moderens eksponering for duloxetin sent i graviditeten (på ethvert tidspunkt fra 20 ugers gestationssalder til fødslen) forbundet med en øget risiko for præmatur fødsel (mindre end 2 gange, svarende til cirka 6 yderligere præmature fødsler pr. 100 kvinder behandlet med duloxetin sent i graviditeten). Størstedelen forekom mellem 35 og 36 ugers graviditet. Denne sammenhæng blev ikke set i det amerikanske studie. I USA har observationsdata vist en øget risiko (mindre end 2 gange) for postpartum blødning efter eksponering for duloxetin inden for 1 måned inden fødslen.</w:t>
      </w:r>
    </w:p>
    <w:p w:rsidR="008529CB" w:rsidRPr="00D86A31" w:rsidRDefault="008529CB" w:rsidP="008529CB">
      <w:pPr>
        <w:widowControl w:val="0"/>
        <w:autoSpaceDE w:val="0"/>
        <w:autoSpaceDN w:val="0"/>
        <w:adjustRightInd w:val="0"/>
        <w:ind w:left="851" w:hanging="851"/>
        <w:rPr>
          <w:rFonts w:eastAsia="MS Mincho"/>
          <w:color w:val="000000"/>
          <w:sz w:val="24"/>
          <w:szCs w:val="24"/>
          <w:lang w:val="nb-NO" w:eastAsia="ja-JP"/>
        </w:rPr>
      </w:pPr>
    </w:p>
    <w:p w:rsidR="008529CB" w:rsidRPr="00D86A31" w:rsidRDefault="008529CB" w:rsidP="008529CB">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val="nb-NO" w:eastAsia="ja-JP"/>
        </w:rPr>
        <w:t xml:space="preserve">Epidemiologiske data tyder på, at brug af SSRI-præparater under graviditet, især sent i graviditeten, kan øge risikoen for persisterende pulmonal hypertension hos nyfødte (PPHN). </w:t>
      </w:r>
      <w:r w:rsidRPr="00D86A31">
        <w:rPr>
          <w:rFonts w:eastAsia="MS Mincho"/>
          <w:color w:val="000000"/>
          <w:sz w:val="24"/>
          <w:szCs w:val="24"/>
          <w:lang w:eastAsia="ja-JP"/>
        </w:rPr>
        <w:t>Skønt der ikke foreligger studier, som har undersøgt sammenhængen mellem PPHN og behandling med SNRI, kan risikoen herfor ikke udelukkes for duloxetin, når den lignende virkningsmekanisme tages i betragtning (hæmning af serotonin-genoptag).</w:t>
      </w:r>
    </w:p>
    <w:p w:rsidR="008529CB" w:rsidRPr="00D86A31" w:rsidRDefault="008529CB" w:rsidP="008529CB">
      <w:pPr>
        <w:widowControl w:val="0"/>
        <w:autoSpaceDE w:val="0"/>
        <w:autoSpaceDN w:val="0"/>
        <w:adjustRightInd w:val="0"/>
        <w:ind w:left="851" w:hanging="851"/>
        <w:rPr>
          <w:rFonts w:eastAsia="MS Mincho"/>
          <w:color w:val="000000"/>
          <w:sz w:val="24"/>
          <w:szCs w:val="24"/>
          <w:lang w:eastAsia="ja-JP"/>
        </w:rPr>
      </w:pPr>
    </w:p>
    <w:p w:rsidR="008529CB" w:rsidRPr="00D86A31" w:rsidRDefault="008529CB" w:rsidP="008529CB">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Som for andre serotonerge lægemidler kan seponeringssymptomer forekomme hos det nyfødte barn, hvis moderen har indtaget duloxetin i den sidste del af graviditeten. Seponeringssymptomer set i forbindelse med duloxetin omfatter hypotoni, tremor, spjætteri, spisebesvær, åndedrætsbesvær og krampeanfald. De fleste tilfælde optrådte ved fødslen eller inden for få dage efter fødslen.</w:t>
      </w:r>
    </w:p>
    <w:p w:rsidR="008529CB" w:rsidRPr="00D86A31" w:rsidRDefault="008529CB" w:rsidP="008529CB">
      <w:pPr>
        <w:widowControl w:val="0"/>
        <w:autoSpaceDE w:val="0"/>
        <w:autoSpaceDN w:val="0"/>
        <w:adjustRightInd w:val="0"/>
        <w:ind w:left="851" w:hanging="851"/>
        <w:rPr>
          <w:rFonts w:eastAsia="MS Mincho"/>
          <w:color w:val="000000"/>
          <w:sz w:val="24"/>
          <w:szCs w:val="24"/>
          <w:lang w:eastAsia="ja-JP"/>
        </w:rPr>
      </w:pPr>
    </w:p>
    <w:p w:rsidR="008529CB" w:rsidRPr="002F2904" w:rsidRDefault="008529CB" w:rsidP="008529CB">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Aritavi bør kun bruges under graviditeten, hvis de potentielle behandlingsfordele opvejer de potentielle risici for fosteret. Kvinder, der bliver gravide eller har planer om at blive gravide under behandlingen, bør gøre deres læge opmærksom på dette.</w:t>
      </w:r>
    </w:p>
    <w:p w:rsidR="008529CB" w:rsidRPr="002F2904" w:rsidRDefault="008529CB" w:rsidP="008529CB">
      <w:pPr>
        <w:widowControl w:val="0"/>
        <w:autoSpaceDE w:val="0"/>
        <w:autoSpaceDN w:val="0"/>
        <w:adjustRightInd w:val="0"/>
        <w:ind w:left="851" w:hanging="851"/>
        <w:rPr>
          <w:rFonts w:eastAsia="MS Mincho"/>
          <w:i/>
          <w:iCs/>
          <w:color w:val="000000"/>
          <w:sz w:val="24"/>
          <w:szCs w:val="24"/>
          <w:lang w:eastAsia="ja-JP"/>
        </w:rPr>
      </w:pPr>
    </w:p>
    <w:p w:rsidR="008529CB" w:rsidRPr="002F2904" w:rsidRDefault="008529CB" w:rsidP="008529CB">
      <w:pPr>
        <w:widowControl w:val="0"/>
        <w:autoSpaceDE w:val="0"/>
        <w:autoSpaceDN w:val="0"/>
        <w:adjustRightInd w:val="0"/>
        <w:ind w:left="851"/>
        <w:rPr>
          <w:rFonts w:eastAsia="MS Mincho"/>
          <w:iCs/>
          <w:color w:val="000000"/>
          <w:sz w:val="24"/>
          <w:szCs w:val="24"/>
          <w:u w:val="single"/>
          <w:lang w:eastAsia="ja-JP"/>
        </w:rPr>
      </w:pPr>
      <w:r w:rsidRPr="002F2904">
        <w:rPr>
          <w:rFonts w:eastAsia="MS Mincho"/>
          <w:iCs/>
          <w:color w:val="000000"/>
          <w:sz w:val="24"/>
          <w:szCs w:val="24"/>
          <w:u w:val="single"/>
          <w:lang w:eastAsia="ja-JP"/>
        </w:rPr>
        <w:t>Amning</w:t>
      </w:r>
    </w:p>
    <w:p w:rsidR="008529CB" w:rsidRPr="002F2904" w:rsidRDefault="008529CB" w:rsidP="008529CB">
      <w:pPr>
        <w:ind w:left="851"/>
        <w:rPr>
          <w:rFonts w:eastAsia="MS Mincho"/>
          <w:color w:val="000000"/>
          <w:sz w:val="24"/>
          <w:szCs w:val="24"/>
          <w:lang w:eastAsia="ja-JP"/>
        </w:rPr>
      </w:pPr>
      <w:r w:rsidRPr="002F2904">
        <w:rPr>
          <w:rFonts w:eastAsia="MS Mincho"/>
          <w:color w:val="000000"/>
          <w:sz w:val="24"/>
          <w:szCs w:val="24"/>
          <w:lang w:eastAsia="ja-JP"/>
        </w:rPr>
        <w:t xml:space="preserve">Der udskilles meget lidt duloxetin i modermælken. Dette er baseret på et studie med 6 mælkeproducerende patienter, der ikke ammede deres børn. Den anslåede dosis i mg/kg, som et spædbarn ville modtage, er omkring 0,14 % af moderens dosis (se pkt. 5.2). </w:t>
      </w:r>
      <w:r w:rsidRPr="002F2904">
        <w:rPr>
          <w:rFonts w:eastAsia="MS Mincho"/>
          <w:color w:val="000000"/>
          <w:sz w:val="24"/>
          <w:szCs w:val="24"/>
          <w:lang w:eastAsia="ja-JP"/>
        </w:rPr>
        <w:lastRenderedPageBreak/>
        <w:t>Eftersom sikkerheden af duloxetin hos spædbørn ikke er kendt, frarådes behandling med Aritavi i ammeperioden.</w:t>
      </w:r>
    </w:p>
    <w:p w:rsidR="004F4CA9" w:rsidRPr="00D86A31" w:rsidRDefault="004F4CA9" w:rsidP="004F4CA9">
      <w:pPr>
        <w:ind w:left="851"/>
        <w:rPr>
          <w:sz w:val="24"/>
          <w:szCs w:val="24"/>
        </w:rPr>
      </w:pPr>
    </w:p>
    <w:p w:rsidR="004F4CA9" w:rsidRPr="00D86A31" w:rsidRDefault="004F4CA9" w:rsidP="004F4CA9">
      <w:pPr>
        <w:ind w:left="851" w:hanging="851"/>
        <w:rPr>
          <w:b/>
          <w:sz w:val="24"/>
          <w:szCs w:val="24"/>
        </w:rPr>
      </w:pPr>
      <w:r w:rsidRPr="00D86A31">
        <w:rPr>
          <w:b/>
          <w:sz w:val="24"/>
          <w:szCs w:val="24"/>
        </w:rPr>
        <w:t>4.7</w:t>
      </w:r>
      <w:r w:rsidRPr="00D86A31">
        <w:rPr>
          <w:b/>
          <w:sz w:val="24"/>
          <w:szCs w:val="24"/>
        </w:rPr>
        <w:tab/>
        <w:t xml:space="preserve">Virkning på evnen til at føre motorkøretøj </w:t>
      </w:r>
      <w:r w:rsidR="009E762A">
        <w:rPr>
          <w:b/>
          <w:sz w:val="24"/>
          <w:szCs w:val="24"/>
        </w:rPr>
        <w:t>og</w:t>
      </w:r>
      <w:r w:rsidRPr="00D86A31">
        <w:rPr>
          <w:b/>
          <w:sz w:val="24"/>
          <w:szCs w:val="24"/>
        </w:rPr>
        <w:t xml:space="preserve"> betjene maskiner</w:t>
      </w:r>
    </w:p>
    <w:p w:rsidR="004F4CA9" w:rsidRPr="00D86A31" w:rsidRDefault="004F4CA9" w:rsidP="004F4CA9">
      <w:pPr>
        <w:widowControl w:val="0"/>
        <w:autoSpaceDE w:val="0"/>
        <w:autoSpaceDN w:val="0"/>
        <w:adjustRightInd w:val="0"/>
        <w:ind w:left="851" w:hanging="851"/>
        <w:rPr>
          <w:color w:val="000000"/>
          <w:sz w:val="24"/>
          <w:szCs w:val="24"/>
        </w:rPr>
      </w:pPr>
      <w:r w:rsidRPr="00D86A31">
        <w:rPr>
          <w:sz w:val="24"/>
          <w:szCs w:val="24"/>
        </w:rPr>
        <w:tab/>
      </w:r>
      <w:r>
        <w:rPr>
          <w:sz w:val="24"/>
          <w:szCs w:val="24"/>
        </w:rPr>
        <w:t>Ikke mærkning.</w:t>
      </w:r>
    </w:p>
    <w:p w:rsidR="004F4CA9" w:rsidRPr="00955D76" w:rsidRDefault="004F4CA9" w:rsidP="004F4CA9">
      <w:pPr>
        <w:widowControl w:val="0"/>
        <w:autoSpaceDE w:val="0"/>
        <w:autoSpaceDN w:val="0"/>
        <w:adjustRightInd w:val="0"/>
        <w:ind w:left="851"/>
        <w:rPr>
          <w:color w:val="000000"/>
          <w:sz w:val="24"/>
          <w:szCs w:val="24"/>
        </w:rPr>
      </w:pPr>
      <w:r w:rsidRPr="00D86A31">
        <w:rPr>
          <w:color w:val="000000"/>
          <w:sz w:val="24"/>
          <w:szCs w:val="24"/>
        </w:rPr>
        <w:t>Der er ikke foretaget undersøgelser af virkningen på evnen til at føre motorkøretøj eller betjene maskiner. Duloxetin kan være forbundet med sedation og svimmelhed. Patienterne bør informeres om,</w:t>
      </w:r>
      <w:r>
        <w:rPr>
          <w:color w:val="000000"/>
          <w:sz w:val="24"/>
          <w:szCs w:val="24"/>
        </w:rPr>
        <w:t xml:space="preserve"> </w:t>
      </w:r>
      <w:r w:rsidRPr="00D86A31">
        <w:rPr>
          <w:color w:val="000000"/>
          <w:sz w:val="24"/>
          <w:szCs w:val="24"/>
        </w:rPr>
        <w:t>at hvis de oplever sedation eller svimmelhed, bør de undgå muligt farlige aktiviteter såsom bilkørsel og betjening af maskiner.</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4.8</w:t>
      </w:r>
      <w:r w:rsidRPr="00D86A31">
        <w:rPr>
          <w:b/>
          <w:sz w:val="24"/>
          <w:szCs w:val="24"/>
        </w:rPr>
        <w:tab/>
        <w:t>Bivirkninger</w:t>
      </w:r>
    </w:p>
    <w:p w:rsidR="002272D5" w:rsidRPr="002F2904" w:rsidRDefault="002272D5" w:rsidP="002272D5">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Resumé af sikkerhedsprofilen</w:t>
      </w: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De hyppigst rapporterede bivirkninger hos patienter i behandling med duloxetin var kvalme, hovedpine, mundtørhed, søvnighed og svimmelhed. Imidlertid var størstedelen af de hyppigst forekommende bivirkninger milde til moderate, de indtrådte typisk i starten af behandlingen, og de fleste bivirkninger aftog ved fortsat behandling.</w:t>
      </w:r>
    </w:p>
    <w:p w:rsidR="002272D5" w:rsidRPr="002F2904" w:rsidRDefault="002272D5" w:rsidP="002272D5">
      <w:pPr>
        <w:widowControl w:val="0"/>
        <w:autoSpaceDE w:val="0"/>
        <w:autoSpaceDN w:val="0"/>
        <w:adjustRightInd w:val="0"/>
        <w:ind w:left="851" w:hanging="851"/>
        <w:rPr>
          <w:rFonts w:eastAsia="MS Mincho"/>
          <w:color w:val="000000"/>
          <w:sz w:val="24"/>
          <w:szCs w:val="24"/>
          <w:lang w:eastAsia="ja-JP"/>
        </w:rPr>
      </w:pPr>
    </w:p>
    <w:p w:rsidR="002272D5" w:rsidRPr="002F2904" w:rsidRDefault="002272D5" w:rsidP="002272D5">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Resumé af bivirkninger i tabelform</w:t>
      </w: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Tabel 1 viser observerede bivirkninger fra spontane rapporter samt fra placebo-kontrollerede kliniske studier.</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153781" w:rsidRPr="00D86A31" w:rsidRDefault="00153781" w:rsidP="00153781">
      <w:pPr>
        <w:widowControl w:val="0"/>
        <w:autoSpaceDE w:val="0"/>
        <w:autoSpaceDN w:val="0"/>
        <w:adjustRightInd w:val="0"/>
        <w:ind w:left="851"/>
        <w:rPr>
          <w:rFonts w:eastAsia="MS Mincho"/>
          <w:i/>
          <w:iCs/>
          <w:color w:val="000000"/>
          <w:sz w:val="24"/>
          <w:szCs w:val="24"/>
          <w:lang w:eastAsia="ja-JP"/>
        </w:rPr>
      </w:pPr>
      <w:r w:rsidRPr="00D86A31">
        <w:rPr>
          <w:rFonts w:eastAsia="MS Mincho"/>
          <w:i/>
          <w:iCs/>
          <w:color w:val="000000"/>
          <w:sz w:val="24"/>
          <w:szCs w:val="24"/>
          <w:lang w:eastAsia="ja-JP"/>
        </w:rPr>
        <w:t>Tabel 1: Bivirkninger</w:t>
      </w:r>
    </w:p>
    <w:p w:rsidR="00153781" w:rsidRPr="00D86A31" w:rsidRDefault="00153781" w:rsidP="00153781">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Estimeret hyppighed: Meget almindelig (≥1/10), almindelig (≥1/100 til &lt;1/10), ikke almindelig (≥1/1.000 til &lt;1/100), sjælden (≥1/10.000 til &lt;1/1.000), meget sjælden (&lt;1/10.000)</w:t>
      </w:r>
      <w:r>
        <w:rPr>
          <w:rFonts w:eastAsia="MS Mincho"/>
          <w:color w:val="000000"/>
          <w:sz w:val="24"/>
          <w:szCs w:val="24"/>
          <w:lang w:eastAsia="ja-JP"/>
        </w:rPr>
        <w:t xml:space="preserve">, </w:t>
      </w:r>
      <w:r w:rsidRPr="004E7243">
        <w:rPr>
          <w:rFonts w:eastAsia="MS Mincho"/>
          <w:color w:val="000000"/>
          <w:sz w:val="24"/>
          <w:szCs w:val="24"/>
          <w:lang w:eastAsia="ja-JP"/>
        </w:rPr>
        <w:t>ikke kendt (kan ikke estimeres ud fra forhåndenværende data)</w:t>
      </w:r>
      <w:r w:rsidRPr="00D86A31">
        <w:rPr>
          <w:rFonts w:eastAsia="MS Mincho"/>
          <w:color w:val="000000"/>
          <w:sz w:val="24"/>
          <w:szCs w:val="24"/>
          <w:lang w:eastAsia="ja-JP"/>
        </w:rPr>
        <w:t>.</w:t>
      </w:r>
    </w:p>
    <w:p w:rsidR="004F4CA9" w:rsidRPr="00D86A31" w:rsidRDefault="004F4CA9" w:rsidP="004F4CA9">
      <w:pPr>
        <w:ind w:left="851" w:hanging="851"/>
        <w:rPr>
          <w:rFonts w:eastAsia="MS Mincho"/>
          <w:color w:val="000000"/>
          <w:sz w:val="24"/>
          <w:szCs w:val="24"/>
          <w:lang w:eastAsia="ja-JP"/>
        </w:rPr>
      </w:pPr>
    </w:p>
    <w:p w:rsidR="004F4CA9" w:rsidRPr="00D86A31" w:rsidRDefault="004F4CA9" w:rsidP="004F4CA9">
      <w:pPr>
        <w:ind w:left="851"/>
        <w:rPr>
          <w:rFonts w:eastAsia="MS Mincho"/>
          <w:color w:val="000000"/>
          <w:sz w:val="24"/>
          <w:szCs w:val="24"/>
          <w:lang w:eastAsia="ja-JP"/>
        </w:rPr>
      </w:pPr>
      <w:r w:rsidRPr="00D86A31">
        <w:rPr>
          <w:rFonts w:eastAsia="MS Mincho"/>
          <w:color w:val="000000"/>
          <w:sz w:val="24"/>
          <w:szCs w:val="24"/>
          <w:lang w:eastAsia="ja-JP"/>
        </w:rPr>
        <w:t>Inden for hver enkelt frekvensgruppe er bivirkningerne opstillet efter, hvor alvorlige de er. De alvorligste bivirkninger er anført først.</w:t>
      </w:r>
    </w:p>
    <w:p w:rsidR="004F4CA9" w:rsidRPr="00D86A31" w:rsidRDefault="004F4CA9" w:rsidP="004F4CA9">
      <w:pPr>
        <w:ind w:left="851" w:hanging="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597"/>
        <w:gridCol w:w="2550"/>
        <w:gridCol w:w="1768"/>
        <w:gridCol w:w="1166"/>
        <w:gridCol w:w="1243"/>
      </w:tblGrid>
      <w:tr w:rsidR="00153781" w:rsidRPr="006B3179" w:rsidTr="003E6CF4">
        <w:trPr>
          <w:tblHeader/>
        </w:trPr>
        <w:tc>
          <w:tcPr>
            <w:tcW w:w="677"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center"/>
              <w:rPr>
                <w:b/>
                <w:sz w:val="22"/>
                <w:szCs w:val="22"/>
              </w:rPr>
            </w:pPr>
            <w:r w:rsidRPr="006B3179">
              <w:rPr>
                <w:b/>
                <w:sz w:val="22"/>
                <w:szCs w:val="22"/>
              </w:rPr>
              <w:t>Meget almindelig</w:t>
            </w: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center"/>
              <w:rPr>
                <w:b/>
                <w:sz w:val="22"/>
                <w:szCs w:val="22"/>
              </w:rPr>
            </w:pPr>
            <w:r w:rsidRPr="006B3179">
              <w:rPr>
                <w:b/>
                <w:sz w:val="22"/>
                <w:szCs w:val="22"/>
              </w:rPr>
              <w:t>Almindelig</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center"/>
              <w:rPr>
                <w:b/>
                <w:sz w:val="22"/>
                <w:szCs w:val="22"/>
              </w:rPr>
            </w:pPr>
            <w:r w:rsidRPr="006B3179">
              <w:rPr>
                <w:b/>
                <w:sz w:val="22"/>
                <w:szCs w:val="22"/>
              </w:rPr>
              <w:t>Ikke almindelig</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center"/>
              <w:rPr>
                <w:b/>
                <w:sz w:val="22"/>
                <w:szCs w:val="22"/>
              </w:rPr>
            </w:pPr>
            <w:r w:rsidRPr="006B3179">
              <w:rPr>
                <w:b/>
                <w:sz w:val="22"/>
                <w:szCs w:val="22"/>
              </w:rPr>
              <w:t>Sjælden</w:t>
            </w:r>
          </w:p>
        </w:tc>
        <w:tc>
          <w:tcPr>
            <w:tcW w:w="60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center"/>
              <w:rPr>
                <w:b/>
                <w:sz w:val="22"/>
                <w:szCs w:val="22"/>
              </w:rPr>
            </w:pPr>
            <w:r w:rsidRPr="006B3179">
              <w:rPr>
                <w:b/>
                <w:sz w:val="22"/>
                <w:szCs w:val="22"/>
              </w:rPr>
              <w:t>Meget sjælden</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jc w:val="center"/>
              <w:rPr>
                <w:b/>
                <w:sz w:val="22"/>
                <w:szCs w:val="22"/>
              </w:rPr>
            </w:pPr>
            <w:r>
              <w:rPr>
                <w:b/>
                <w:sz w:val="22"/>
                <w:szCs w:val="22"/>
              </w:rPr>
              <w:t>Ikke kendt</w:t>
            </w: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Infektioner og parasitære sygdomme</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829"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Laryngitis</w:t>
            </w:r>
          </w:p>
        </w:tc>
        <w:tc>
          <w:tcPr>
            <w:tcW w:w="91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Immunsystemet</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829"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1324"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u w:val="single"/>
              </w:rPr>
            </w:pPr>
            <w:r w:rsidRPr="006B3179">
              <w:rPr>
                <w:color w:val="000000"/>
                <w:sz w:val="22"/>
                <w:szCs w:val="22"/>
              </w:rPr>
              <w:t xml:space="preserve">Anafylaktisk reaktion </w:t>
            </w:r>
            <w:r w:rsidRPr="006B3179">
              <w:rPr>
                <w:color w:val="000000"/>
                <w:sz w:val="22"/>
                <w:szCs w:val="22"/>
              </w:rPr>
              <w:br/>
              <w:t>Overfølsomhed</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Det endokrine system</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829"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1324"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Hypo-tyreoidisme</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u w:val="single"/>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Metabolisme og ernæring</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sz w:val="22"/>
                <w:szCs w:val="22"/>
              </w:rPr>
              <w:t>Nedsat appetit</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sz w:val="22"/>
                <w:szCs w:val="22"/>
              </w:rPr>
              <w:t>Hyperglykæmi (især rapporteret hos patienter med diabetes)</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Dehydrering</w:t>
            </w:r>
          </w:p>
          <w:p w:rsidR="00153781" w:rsidRPr="006B3179" w:rsidRDefault="00153781" w:rsidP="003E6CF4">
            <w:pPr>
              <w:rPr>
                <w:i/>
                <w:sz w:val="22"/>
                <w:szCs w:val="22"/>
              </w:rPr>
            </w:pPr>
            <w:r w:rsidRPr="006B3179">
              <w:rPr>
                <w:sz w:val="22"/>
                <w:szCs w:val="22"/>
              </w:rPr>
              <w:t>Hyponatriæmi SIADH</w:t>
            </w:r>
            <w:r w:rsidRPr="006B3179">
              <w:rPr>
                <w:sz w:val="22"/>
                <w:szCs w:val="22"/>
                <w:vertAlign w:val="superscript"/>
              </w:rPr>
              <w:t>6</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rPr>
          <w:trHeight w:val="321"/>
        </w:trPr>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Psykiske forstyrrelser</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widowControl w:val="0"/>
              <w:autoSpaceDE w:val="0"/>
              <w:autoSpaceDN w:val="0"/>
              <w:adjustRightInd w:val="0"/>
              <w:rPr>
                <w:rFonts w:eastAsia="MS Mincho"/>
                <w:color w:val="000000"/>
                <w:sz w:val="22"/>
                <w:szCs w:val="22"/>
                <w:lang w:eastAsia="ja-JP"/>
              </w:rPr>
            </w:pPr>
            <w:r w:rsidRPr="006B3179">
              <w:rPr>
                <w:rFonts w:eastAsia="MS Mincho"/>
                <w:color w:val="000000"/>
                <w:sz w:val="22"/>
                <w:szCs w:val="22"/>
                <w:lang w:eastAsia="ja-JP"/>
              </w:rPr>
              <w:t xml:space="preserve">Søvnløshed </w:t>
            </w:r>
          </w:p>
          <w:p w:rsidR="00153781" w:rsidRPr="006B3179" w:rsidRDefault="00153781" w:rsidP="003E6CF4">
            <w:pPr>
              <w:widowControl w:val="0"/>
              <w:autoSpaceDE w:val="0"/>
              <w:autoSpaceDN w:val="0"/>
              <w:adjustRightInd w:val="0"/>
              <w:rPr>
                <w:rFonts w:eastAsia="MS Mincho"/>
                <w:color w:val="000000"/>
                <w:sz w:val="22"/>
                <w:szCs w:val="22"/>
                <w:lang w:eastAsia="ja-JP"/>
              </w:rPr>
            </w:pPr>
            <w:r w:rsidRPr="006B3179">
              <w:rPr>
                <w:rFonts w:eastAsia="MS Mincho"/>
                <w:color w:val="000000"/>
                <w:sz w:val="22"/>
                <w:szCs w:val="22"/>
                <w:lang w:eastAsia="ja-JP"/>
              </w:rPr>
              <w:t>Uro</w:t>
            </w:r>
          </w:p>
          <w:p w:rsidR="00153781" w:rsidRPr="006B3179" w:rsidRDefault="00153781" w:rsidP="003E6CF4">
            <w:pPr>
              <w:rPr>
                <w:rFonts w:eastAsia="MS Mincho"/>
                <w:color w:val="000000"/>
                <w:sz w:val="22"/>
                <w:szCs w:val="22"/>
                <w:lang w:eastAsia="ja-JP"/>
              </w:rPr>
            </w:pPr>
            <w:r w:rsidRPr="006B3179">
              <w:rPr>
                <w:rFonts w:eastAsia="MS Mincho"/>
                <w:color w:val="000000"/>
                <w:sz w:val="22"/>
                <w:szCs w:val="22"/>
                <w:lang w:eastAsia="ja-JP"/>
              </w:rPr>
              <w:t xml:space="preserve">Nedsat libido Angst </w:t>
            </w:r>
          </w:p>
          <w:p w:rsidR="00153781" w:rsidRPr="006B3179" w:rsidRDefault="00153781" w:rsidP="003E6CF4">
            <w:pPr>
              <w:rPr>
                <w:i/>
                <w:sz w:val="22"/>
                <w:szCs w:val="22"/>
              </w:rPr>
            </w:pPr>
            <w:r w:rsidRPr="006B3179">
              <w:rPr>
                <w:rFonts w:eastAsia="MS Mincho"/>
                <w:color w:val="000000"/>
                <w:sz w:val="22"/>
                <w:szCs w:val="22"/>
                <w:lang w:eastAsia="ja-JP"/>
              </w:rPr>
              <w:t>Abnorm orgasme Abnorme drømme</w:t>
            </w:r>
          </w:p>
        </w:tc>
        <w:tc>
          <w:tcPr>
            <w:tcW w:w="1324"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rPr>
            </w:pPr>
            <w:r w:rsidRPr="006B3179">
              <w:rPr>
                <w:sz w:val="22"/>
                <w:szCs w:val="22"/>
              </w:rPr>
              <w:t>Selvmordstanker</w:t>
            </w:r>
            <w:r w:rsidRPr="006B3179">
              <w:rPr>
                <w:sz w:val="22"/>
                <w:szCs w:val="22"/>
                <w:vertAlign w:val="superscript"/>
              </w:rPr>
              <w:t>5,7</w:t>
            </w:r>
          </w:p>
          <w:p w:rsidR="00153781" w:rsidRPr="006B3179" w:rsidRDefault="00153781" w:rsidP="003E6CF4">
            <w:pPr>
              <w:widowControl w:val="0"/>
              <w:autoSpaceDE w:val="0"/>
              <w:autoSpaceDN w:val="0"/>
              <w:adjustRightInd w:val="0"/>
              <w:rPr>
                <w:sz w:val="22"/>
                <w:szCs w:val="22"/>
              </w:rPr>
            </w:pPr>
            <w:r w:rsidRPr="006B3179">
              <w:rPr>
                <w:sz w:val="22"/>
                <w:szCs w:val="22"/>
              </w:rPr>
              <w:t>Søvnforstyrrelser Tænderskæren Desorientering</w:t>
            </w:r>
          </w:p>
          <w:p w:rsidR="00153781" w:rsidRPr="006B3179" w:rsidRDefault="00153781" w:rsidP="003E6CF4">
            <w:pPr>
              <w:widowControl w:val="0"/>
              <w:autoSpaceDE w:val="0"/>
              <w:autoSpaceDN w:val="0"/>
              <w:adjustRightInd w:val="0"/>
              <w:rPr>
                <w:i/>
                <w:sz w:val="22"/>
                <w:szCs w:val="22"/>
              </w:rPr>
            </w:pPr>
            <w:r w:rsidRPr="006B3179">
              <w:rPr>
                <w:sz w:val="22"/>
                <w:szCs w:val="22"/>
              </w:rPr>
              <w:t xml:space="preserve">Apati </w:t>
            </w:r>
          </w:p>
          <w:p w:rsidR="00153781" w:rsidRPr="006B3179" w:rsidRDefault="00153781" w:rsidP="003E6CF4">
            <w:pPr>
              <w:rPr>
                <w:i/>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Selvmords-adfærd</w:t>
            </w:r>
            <w:r w:rsidRPr="006B3179">
              <w:rPr>
                <w:sz w:val="22"/>
                <w:szCs w:val="22"/>
                <w:vertAlign w:val="superscript"/>
              </w:rPr>
              <w:t>5,7</w:t>
            </w:r>
          </w:p>
          <w:p w:rsidR="00153781" w:rsidRPr="006B3179" w:rsidRDefault="00153781" w:rsidP="003E6CF4">
            <w:pPr>
              <w:rPr>
                <w:sz w:val="22"/>
                <w:szCs w:val="22"/>
              </w:rPr>
            </w:pPr>
            <w:r w:rsidRPr="006B3179">
              <w:rPr>
                <w:sz w:val="22"/>
                <w:szCs w:val="22"/>
              </w:rPr>
              <w:t>Mani Hallucinationer</w:t>
            </w:r>
          </w:p>
          <w:p w:rsidR="00153781" w:rsidRPr="006B3179" w:rsidRDefault="00153781" w:rsidP="003E6CF4">
            <w:pPr>
              <w:rPr>
                <w:i/>
                <w:sz w:val="22"/>
                <w:szCs w:val="22"/>
              </w:rPr>
            </w:pPr>
            <w:r w:rsidRPr="006B3179">
              <w:rPr>
                <w:sz w:val="22"/>
                <w:szCs w:val="22"/>
              </w:rPr>
              <w:t>Aggression og vrede</w:t>
            </w:r>
            <w:r w:rsidRPr="006B3179">
              <w:rPr>
                <w:sz w:val="22"/>
                <w:szCs w:val="22"/>
                <w:vertAlign w:val="superscript"/>
              </w:rPr>
              <w:t>4</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keepNext/>
              <w:rPr>
                <w:i/>
                <w:sz w:val="22"/>
                <w:szCs w:val="22"/>
              </w:rPr>
            </w:pPr>
            <w:r w:rsidRPr="006B3179">
              <w:rPr>
                <w:i/>
                <w:sz w:val="22"/>
                <w:szCs w:val="22"/>
              </w:rPr>
              <w:lastRenderedPageBreak/>
              <w:t>Nervesystemet</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keepNext/>
              <w:rPr>
                <w:i/>
                <w:sz w:val="22"/>
                <w:szCs w:val="22"/>
              </w:rPr>
            </w:pPr>
          </w:p>
        </w:tc>
      </w:tr>
      <w:tr w:rsidR="00153781" w:rsidRPr="005B7472" w:rsidTr="003E6CF4">
        <w:tc>
          <w:tcPr>
            <w:tcW w:w="677"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Hovedpine</w:t>
            </w:r>
          </w:p>
          <w:p w:rsidR="00153781" w:rsidRPr="006B3179" w:rsidRDefault="00153781" w:rsidP="003E6CF4">
            <w:pPr>
              <w:rPr>
                <w:i/>
                <w:sz w:val="22"/>
                <w:szCs w:val="22"/>
              </w:rPr>
            </w:pPr>
            <w:r w:rsidRPr="006B3179">
              <w:rPr>
                <w:sz w:val="22"/>
                <w:szCs w:val="22"/>
              </w:rPr>
              <w:t>Søvnighed</w:t>
            </w: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Svimmelhed</w:t>
            </w:r>
          </w:p>
          <w:p w:rsidR="00153781" w:rsidRPr="006B3179" w:rsidRDefault="00153781" w:rsidP="003E6CF4">
            <w:pPr>
              <w:rPr>
                <w:sz w:val="22"/>
                <w:szCs w:val="22"/>
              </w:rPr>
            </w:pPr>
            <w:r w:rsidRPr="006B3179">
              <w:rPr>
                <w:sz w:val="22"/>
                <w:szCs w:val="22"/>
              </w:rPr>
              <w:t>Letargi</w:t>
            </w:r>
          </w:p>
          <w:p w:rsidR="00153781" w:rsidRPr="006B3179" w:rsidRDefault="00153781" w:rsidP="003E6CF4">
            <w:pPr>
              <w:rPr>
                <w:i/>
                <w:sz w:val="22"/>
                <w:szCs w:val="22"/>
              </w:rPr>
            </w:pPr>
            <w:r w:rsidRPr="006B3179">
              <w:rPr>
                <w:sz w:val="22"/>
                <w:szCs w:val="22"/>
              </w:rPr>
              <w:t>Tremor Paræstesier</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Myoclonus</w:t>
            </w:r>
          </w:p>
          <w:p w:rsidR="00153781" w:rsidRPr="006B3179" w:rsidRDefault="00153781" w:rsidP="003E6CF4">
            <w:pPr>
              <w:rPr>
                <w:sz w:val="22"/>
                <w:szCs w:val="22"/>
              </w:rPr>
            </w:pPr>
            <w:r w:rsidRPr="006B3179">
              <w:rPr>
                <w:sz w:val="22"/>
                <w:szCs w:val="22"/>
              </w:rPr>
              <w:t>Akatisi</w:t>
            </w:r>
            <w:r w:rsidRPr="006B3179">
              <w:rPr>
                <w:sz w:val="22"/>
                <w:szCs w:val="22"/>
                <w:vertAlign w:val="superscript"/>
              </w:rPr>
              <w:t>7</w:t>
            </w:r>
          </w:p>
          <w:p w:rsidR="00153781" w:rsidRPr="006B3179" w:rsidRDefault="00153781" w:rsidP="003E6CF4">
            <w:pPr>
              <w:rPr>
                <w:sz w:val="22"/>
                <w:szCs w:val="22"/>
              </w:rPr>
            </w:pPr>
            <w:r w:rsidRPr="006B3179">
              <w:rPr>
                <w:sz w:val="22"/>
                <w:szCs w:val="22"/>
              </w:rPr>
              <w:t>Nervøsitet</w:t>
            </w:r>
          </w:p>
          <w:p w:rsidR="00153781" w:rsidRPr="006B3179" w:rsidRDefault="00153781" w:rsidP="003E6CF4">
            <w:pPr>
              <w:rPr>
                <w:sz w:val="22"/>
                <w:szCs w:val="22"/>
              </w:rPr>
            </w:pPr>
            <w:r w:rsidRPr="006B3179">
              <w:rPr>
                <w:sz w:val="22"/>
                <w:szCs w:val="22"/>
              </w:rPr>
              <w:t xml:space="preserve">Koncentrationsbesvær </w:t>
            </w:r>
          </w:p>
          <w:p w:rsidR="00153781" w:rsidRPr="006B3179" w:rsidRDefault="00153781" w:rsidP="003E6CF4">
            <w:pPr>
              <w:rPr>
                <w:sz w:val="22"/>
                <w:szCs w:val="22"/>
              </w:rPr>
            </w:pPr>
            <w:r w:rsidRPr="006B3179">
              <w:rPr>
                <w:sz w:val="22"/>
                <w:szCs w:val="22"/>
              </w:rPr>
              <w:t>Dysgeusi</w:t>
            </w:r>
            <w:r w:rsidRPr="006B3179">
              <w:rPr>
                <w:sz w:val="22"/>
                <w:szCs w:val="22"/>
              </w:rPr>
              <w:br/>
              <w:t>Dyskinesi</w:t>
            </w:r>
            <w:r w:rsidRPr="006B3179">
              <w:rPr>
                <w:sz w:val="22"/>
                <w:szCs w:val="22"/>
              </w:rPr>
              <w:br/>
              <w:t>Uro i benene</w:t>
            </w:r>
          </w:p>
          <w:p w:rsidR="00153781" w:rsidRPr="006B3179" w:rsidRDefault="00153781" w:rsidP="003E6CF4">
            <w:pPr>
              <w:rPr>
                <w:i/>
                <w:sz w:val="22"/>
                <w:szCs w:val="22"/>
              </w:rPr>
            </w:pPr>
            <w:r w:rsidRPr="006B3179">
              <w:rPr>
                <w:sz w:val="22"/>
                <w:szCs w:val="22"/>
              </w:rPr>
              <w:t>Dårlig søvnkvalitet</w:t>
            </w:r>
          </w:p>
        </w:tc>
        <w:tc>
          <w:tcPr>
            <w:tcW w:w="918" w:type="pct"/>
            <w:tcBorders>
              <w:top w:val="single" w:sz="4" w:space="0" w:color="auto"/>
              <w:left w:val="single" w:sz="4" w:space="0" w:color="auto"/>
              <w:bottom w:val="single" w:sz="4" w:space="0" w:color="auto"/>
              <w:right w:val="single" w:sz="4" w:space="0" w:color="auto"/>
            </w:tcBorders>
            <w:hideMark/>
          </w:tcPr>
          <w:p w:rsidR="00153781" w:rsidRPr="0078275F" w:rsidRDefault="00153781" w:rsidP="003E6CF4">
            <w:pPr>
              <w:rPr>
                <w:sz w:val="22"/>
                <w:szCs w:val="22"/>
                <w:lang w:val="sv-SE"/>
              </w:rPr>
            </w:pPr>
            <w:r w:rsidRPr="0078275F">
              <w:rPr>
                <w:sz w:val="22"/>
                <w:szCs w:val="22"/>
                <w:lang w:val="sv-SE"/>
              </w:rPr>
              <w:t>Serotonin syndrom</w:t>
            </w:r>
            <w:r w:rsidRPr="0078275F">
              <w:rPr>
                <w:sz w:val="22"/>
                <w:szCs w:val="22"/>
                <w:vertAlign w:val="superscript"/>
                <w:lang w:val="sv-SE"/>
              </w:rPr>
              <w:t>6</w:t>
            </w:r>
          </w:p>
          <w:p w:rsidR="00153781" w:rsidRPr="0078275F" w:rsidRDefault="00153781" w:rsidP="003E6CF4">
            <w:pPr>
              <w:rPr>
                <w:sz w:val="22"/>
                <w:szCs w:val="22"/>
                <w:lang w:val="sv-SE"/>
              </w:rPr>
            </w:pPr>
            <w:r w:rsidRPr="0078275F">
              <w:rPr>
                <w:sz w:val="22"/>
                <w:szCs w:val="22"/>
                <w:lang w:val="sv-SE"/>
              </w:rPr>
              <w:t>Kramper</w:t>
            </w:r>
            <w:r w:rsidRPr="0078275F">
              <w:rPr>
                <w:sz w:val="22"/>
                <w:szCs w:val="22"/>
                <w:vertAlign w:val="superscript"/>
                <w:lang w:val="sv-SE"/>
              </w:rPr>
              <w:t>1</w:t>
            </w:r>
          </w:p>
          <w:p w:rsidR="00153781" w:rsidRPr="0078275F" w:rsidRDefault="00153781" w:rsidP="003E6CF4">
            <w:pPr>
              <w:rPr>
                <w:sz w:val="22"/>
                <w:szCs w:val="22"/>
                <w:lang w:val="sv-SE"/>
              </w:rPr>
            </w:pPr>
            <w:r w:rsidRPr="0078275F">
              <w:rPr>
                <w:sz w:val="22"/>
                <w:szCs w:val="22"/>
                <w:lang w:val="sv-SE"/>
              </w:rPr>
              <w:t>Psykomotorisk uro</w:t>
            </w:r>
            <w:r w:rsidRPr="0078275F">
              <w:rPr>
                <w:sz w:val="22"/>
                <w:szCs w:val="22"/>
                <w:vertAlign w:val="superscript"/>
                <w:lang w:val="sv-SE"/>
              </w:rPr>
              <w:t>6</w:t>
            </w:r>
          </w:p>
          <w:p w:rsidR="00153781" w:rsidRPr="0078275F" w:rsidRDefault="00153781" w:rsidP="003E6CF4">
            <w:pPr>
              <w:rPr>
                <w:i/>
                <w:sz w:val="22"/>
                <w:szCs w:val="22"/>
                <w:lang w:val="sv-SE"/>
              </w:rPr>
            </w:pPr>
            <w:r w:rsidRPr="0078275F">
              <w:rPr>
                <w:sz w:val="22"/>
                <w:szCs w:val="22"/>
                <w:lang w:val="sv-SE"/>
              </w:rPr>
              <w:t>Ekstrapyramidale symptomer</w:t>
            </w:r>
            <w:r w:rsidRPr="0078275F">
              <w:rPr>
                <w:sz w:val="22"/>
                <w:szCs w:val="22"/>
                <w:vertAlign w:val="superscript"/>
                <w:lang w:val="sv-SE"/>
              </w:rPr>
              <w:t>6</w:t>
            </w:r>
          </w:p>
        </w:tc>
        <w:tc>
          <w:tcPr>
            <w:tcW w:w="608" w:type="pct"/>
            <w:tcBorders>
              <w:top w:val="single" w:sz="4" w:space="0" w:color="auto"/>
              <w:left w:val="single" w:sz="4" w:space="0" w:color="auto"/>
              <w:bottom w:val="single" w:sz="4" w:space="0" w:color="auto"/>
              <w:right w:val="single" w:sz="4" w:space="0" w:color="auto"/>
            </w:tcBorders>
          </w:tcPr>
          <w:p w:rsidR="00153781" w:rsidRPr="0078275F" w:rsidRDefault="00153781" w:rsidP="003E6CF4">
            <w:pPr>
              <w:rPr>
                <w:i/>
                <w:sz w:val="22"/>
                <w:szCs w:val="22"/>
                <w:lang w:val="sv-SE"/>
              </w:rPr>
            </w:pPr>
          </w:p>
        </w:tc>
        <w:tc>
          <w:tcPr>
            <w:tcW w:w="643" w:type="pct"/>
            <w:tcBorders>
              <w:top w:val="single" w:sz="4" w:space="0" w:color="auto"/>
              <w:left w:val="single" w:sz="4" w:space="0" w:color="auto"/>
              <w:bottom w:val="single" w:sz="4" w:space="0" w:color="auto"/>
              <w:right w:val="single" w:sz="4" w:space="0" w:color="auto"/>
            </w:tcBorders>
          </w:tcPr>
          <w:p w:rsidR="00153781" w:rsidRPr="0078275F" w:rsidRDefault="00153781" w:rsidP="003E6CF4">
            <w:pPr>
              <w:rPr>
                <w:i/>
                <w:sz w:val="22"/>
                <w:szCs w:val="22"/>
                <w:lang w:val="sv-SE"/>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sz w:val="22"/>
                <w:szCs w:val="22"/>
              </w:rPr>
              <w:t>Øjne</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Sløret syn</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Mydriasis</w:t>
            </w:r>
          </w:p>
          <w:p w:rsidR="00153781" w:rsidRPr="006B3179" w:rsidRDefault="00153781" w:rsidP="003E6CF4">
            <w:pPr>
              <w:rPr>
                <w:i/>
                <w:sz w:val="22"/>
                <w:szCs w:val="22"/>
              </w:rPr>
            </w:pPr>
            <w:r w:rsidRPr="006B3179">
              <w:rPr>
                <w:sz w:val="22"/>
                <w:szCs w:val="22"/>
              </w:rPr>
              <w:t>Nedsat syn</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Glaukom</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sz w:val="22"/>
                <w:szCs w:val="22"/>
              </w:rPr>
              <w:t>Øre og labyrint</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Tinnitus</w:t>
            </w:r>
            <w:r w:rsidRPr="006B3179">
              <w:rPr>
                <w:sz w:val="22"/>
                <w:szCs w:val="22"/>
                <w:vertAlign w:val="superscript"/>
              </w:rPr>
              <w:t>1</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Vertigo</w:t>
            </w:r>
          </w:p>
          <w:p w:rsidR="00153781" w:rsidRPr="006B3179" w:rsidRDefault="00153781" w:rsidP="003E6CF4">
            <w:pPr>
              <w:rPr>
                <w:i/>
                <w:sz w:val="22"/>
                <w:szCs w:val="22"/>
              </w:rPr>
            </w:pPr>
            <w:r w:rsidRPr="006B3179">
              <w:rPr>
                <w:sz w:val="22"/>
                <w:szCs w:val="22"/>
              </w:rPr>
              <w:t>Ørepine</w:t>
            </w:r>
          </w:p>
        </w:tc>
        <w:tc>
          <w:tcPr>
            <w:tcW w:w="91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keepNext/>
              <w:rPr>
                <w:i/>
                <w:sz w:val="22"/>
                <w:szCs w:val="22"/>
              </w:rPr>
            </w:pPr>
            <w:r w:rsidRPr="006B3179">
              <w:rPr>
                <w:i/>
                <w:sz w:val="22"/>
                <w:szCs w:val="22"/>
              </w:rPr>
              <w:t>Hjerte</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keepNext/>
              <w:rPr>
                <w:i/>
                <w:sz w:val="22"/>
                <w:szCs w:val="22"/>
              </w:rPr>
            </w:pPr>
          </w:p>
        </w:tc>
      </w:tr>
      <w:tr w:rsidR="00153781" w:rsidRPr="00B82623"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Palpitationer</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Takykardi</w:t>
            </w:r>
          </w:p>
          <w:p w:rsidR="00153781" w:rsidRPr="006B3179" w:rsidRDefault="00153781" w:rsidP="003E6CF4">
            <w:pPr>
              <w:rPr>
                <w:i/>
                <w:sz w:val="22"/>
                <w:szCs w:val="22"/>
              </w:rPr>
            </w:pPr>
            <w:r w:rsidRPr="006B3179">
              <w:rPr>
                <w:sz w:val="22"/>
                <w:szCs w:val="22"/>
              </w:rPr>
              <w:t>Supra-ventrikulær</w:t>
            </w:r>
            <w:r w:rsidRPr="006B3179">
              <w:rPr>
                <w:sz w:val="22"/>
                <w:szCs w:val="22"/>
              </w:rPr>
              <w:br/>
              <w:t>arytmi, hovedsagelig atrieflimren</w:t>
            </w:r>
          </w:p>
        </w:tc>
        <w:tc>
          <w:tcPr>
            <w:tcW w:w="91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3E6CF4" w:rsidRDefault="00153781" w:rsidP="003E6CF4">
            <w:pPr>
              <w:rPr>
                <w:iCs/>
                <w:sz w:val="22"/>
                <w:szCs w:val="22"/>
                <w:lang w:val="en-US"/>
              </w:rPr>
            </w:pPr>
            <w:r w:rsidRPr="003E6CF4">
              <w:rPr>
                <w:iCs/>
                <w:sz w:val="22"/>
                <w:szCs w:val="22"/>
                <w:lang w:val="en-US"/>
              </w:rPr>
              <w:t>Stress-</w:t>
            </w:r>
          </w:p>
          <w:p w:rsidR="00153781" w:rsidRPr="003E6CF4" w:rsidRDefault="00153781" w:rsidP="003E6CF4">
            <w:pPr>
              <w:rPr>
                <w:iCs/>
                <w:sz w:val="22"/>
                <w:szCs w:val="22"/>
                <w:lang w:val="en-US"/>
              </w:rPr>
            </w:pPr>
            <w:r w:rsidRPr="003E6CF4">
              <w:rPr>
                <w:iCs/>
                <w:sz w:val="22"/>
                <w:szCs w:val="22"/>
                <w:lang w:val="en-US"/>
              </w:rPr>
              <w:t>kardiomyo-</w:t>
            </w:r>
          </w:p>
          <w:p w:rsidR="00153781" w:rsidRPr="003E6CF4" w:rsidRDefault="00153781" w:rsidP="003E6CF4">
            <w:pPr>
              <w:rPr>
                <w:iCs/>
                <w:sz w:val="22"/>
                <w:szCs w:val="22"/>
                <w:lang w:val="en-US"/>
              </w:rPr>
            </w:pPr>
            <w:r w:rsidRPr="003E6CF4">
              <w:rPr>
                <w:iCs/>
                <w:sz w:val="22"/>
                <w:szCs w:val="22"/>
                <w:lang w:val="en-US"/>
              </w:rPr>
              <w:t>pati (takotsubo</w:t>
            </w:r>
          </w:p>
          <w:p w:rsidR="00153781" w:rsidRPr="003E6CF4" w:rsidRDefault="00153781" w:rsidP="003E6CF4">
            <w:pPr>
              <w:rPr>
                <w:iCs/>
                <w:sz w:val="22"/>
                <w:szCs w:val="22"/>
                <w:lang w:val="en-US"/>
              </w:rPr>
            </w:pPr>
            <w:r w:rsidRPr="003E6CF4">
              <w:rPr>
                <w:iCs/>
                <w:sz w:val="22"/>
                <w:szCs w:val="22"/>
                <w:lang w:val="en-US"/>
              </w:rPr>
              <w:t>kardiomyo-</w:t>
            </w:r>
          </w:p>
          <w:p w:rsidR="00153781" w:rsidRPr="003E6CF4" w:rsidRDefault="00153781" w:rsidP="003E6CF4">
            <w:pPr>
              <w:rPr>
                <w:iCs/>
                <w:sz w:val="22"/>
                <w:szCs w:val="22"/>
                <w:lang w:val="en-US"/>
              </w:rPr>
            </w:pPr>
            <w:r w:rsidRPr="003E6CF4">
              <w:rPr>
                <w:iCs/>
                <w:sz w:val="22"/>
                <w:szCs w:val="22"/>
                <w:lang w:val="en-US"/>
              </w:rPr>
              <w:t>pati</w:t>
            </w: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Vaskulære sygdomme</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Forhøjet blodtryk</w:t>
            </w:r>
            <w:r w:rsidRPr="006B3179">
              <w:rPr>
                <w:sz w:val="22"/>
                <w:szCs w:val="22"/>
                <w:vertAlign w:val="superscript"/>
              </w:rPr>
              <w:t>3</w:t>
            </w:r>
          </w:p>
          <w:p w:rsidR="00153781" w:rsidRPr="006B3179" w:rsidRDefault="00153781" w:rsidP="003E6CF4">
            <w:pPr>
              <w:rPr>
                <w:i/>
                <w:sz w:val="22"/>
                <w:szCs w:val="22"/>
              </w:rPr>
            </w:pPr>
            <w:r w:rsidRPr="006B3179">
              <w:rPr>
                <w:sz w:val="22"/>
                <w:szCs w:val="22"/>
              </w:rPr>
              <w:t>Rødmen</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both"/>
              <w:rPr>
                <w:sz w:val="22"/>
                <w:szCs w:val="22"/>
              </w:rPr>
            </w:pPr>
            <w:r w:rsidRPr="006B3179">
              <w:rPr>
                <w:sz w:val="22"/>
                <w:szCs w:val="22"/>
              </w:rPr>
              <w:t>Synkope</w:t>
            </w:r>
            <w:r w:rsidRPr="006B3179">
              <w:rPr>
                <w:sz w:val="22"/>
                <w:szCs w:val="22"/>
                <w:vertAlign w:val="superscript"/>
              </w:rPr>
              <w:t>2</w:t>
            </w:r>
          </w:p>
          <w:p w:rsidR="00153781" w:rsidRPr="006B3179" w:rsidRDefault="00153781" w:rsidP="003E6CF4">
            <w:pPr>
              <w:jc w:val="both"/>
              <w:rPr>
                <w:sz w:val="22"/>
                <w:szCs w:val="22"/>
                <w:vertAlign w:val="superscript"/>
              </w:rPr>
            </w:pPr>
            <w:r w:rsidRPr="006B3179">
              <w:rPr>
                <w:sz w:val="22"/>
                <w:szCs w:val="22"/>
              </w:rPr>
              <w:t>Hypertension</w:t>
            </w:r>
            <w:r w:rsidRPr="006B3179">
              <w:rPr>
                <w:sz w:val="22"/>
                <w:szCs w:val="22"/>
                <w:vertAlign w:val="superscript"/>
              </w:rPr>
              <w:t>3,7</w:t>
            </w:r>
          </w:p>
          <w:p w:rsidR="00153781" w:rsidRPr="006B3179" w:rsidRDefault="00153781" w:rsidP="003E6CF4">
            <w:pPr>
              <w:jc w:val="both"/>
              <w:rPr>
                <w:sz w:val="22"/>
                <w:szCs w:val="22"/>
              </w:rPr>
            </w:pPr>
            <w:r w:rsidRPr="006B3179">
              <w:rPr>
                <w:sz w:val="22"/>
                <w:szCs w:val="22"/>
              </w:rPr>
              <w:t>Ortostatisk hypotension</w:t>
            </w:r>
            <w:r w:rsidRPr="006B3179">
              <w:rPr>
                <w:sz w:val="22"/>
                <w:szCs w:val="22"/>
                <w:vertAlign w:val="superscript"/>
              </w:rPr>
              <w:t>2</w:t>
            </w:r>
          </w:p>
          <w:p w:rsidR="00153781" w:rsidRPr="006B3179" w:rsidRDefault="00153781" w:rsidP="003E6CF4">
            <w:pPr>
              <w:jc w:val="both"/>
              <w:rPr>
                <w:i/>
                <w:sz w:val="22"/>
                <w:szCs w:val="22"/>
              </w:rPr>
            </w:pPr>
            <w:r w:rsidRPr="006B3179">
              <w:rPr>
                <w:sz w:val="22"/>
                <w:szCs w:val="22"/>
              </w:rPr>
              <w:t>Perifer kuldefornemmelse</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Hypertensiv krise</w:t>
            </w:r>
            <w:r w:rsidRPr="006B3179">
              <w:rPr>
                <w:sz w:val="22"/>
                <w:szCs w:val="22"/>
                <w:vertAlign w:val="superscript"/>
              </w:rPr>
              <w:t>3,6</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keepNext/>
              <w:rPr>
                <w:i/>
                <w:sz w:val="22"/>
                <w:szCs w:val="22"/>
              </w:rPr>
            </w:pPr>
            <w:r w:rsidRPr="006B3179">
              <w:rPr>
                <w:i/>
                <w:iCs/>
                <w:color w:val="000000"/>
                <w:sz w:val="22"/>
                <w:szCs w:val="22"/>
              </w:rPr>
              <w:t>Luftveje, thorax og mediastinum</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keepNext/>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Gaben</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Halsen snører sig sammen</w:t>
            </w:r>
          </w:p>
          <w:p w:rsidR="00153781" w:rsidRPr="006B3179" w:rsidRDefault="00153781" w:rsidP="003E6CF4">
            <w:pPr>
              <w:jc w:val="both"/>
              <w:rPr>
                <w:sz w:val="22"/>
                <w:szCs w:val="22"/>
              </w:rPr>
            </w:pPr>
            <w:r w:rsidRPr="006B3179">
              <w:rPr>
                <w:sz w:val="22"/>
                <w:szCs w:val="22"/>
              </w:rPr>
              <w:t>Epistaxis</w:t>
            </w:r>
          </w:p>
        </w:tc>
        <w:tc>
          <w:tcPr>
            <w:tcW w:w="918" w:type="pct"/>
            <w:tcBorders>
              <w:top w:val="single" w:sz="4" w:space="0" w:color="auto"/>
              <w:left w:val="single" w:sz="4" w:space="0" w:color="auto"/>
              <w:bottom w:val="single" w:sz="4" w:space="0" w:color="auto"/>
              <w:right w:val="single" w:sz="4" w:space="0" w:color="auto"/>
            </w:tcBorders>
          </w:tcPr>
          <w:p w:rsidR="00153781" w:rsidRDefault="00153781" w:rsidP="003E6CF4">
            <w:pPr>
              <w:rPr>
                <w:sz w:val="22"/>
                <w:szCs w:val="22"/>
              </w:rPr>
            </w:pPr>
            <w:r>
              <w:rPr>
                <w:sz w:val="22"/>
                <w:szCs w:val="22"/>
              </w:rPr>
              <w:t>Interstitiel lungesygdom</w:t>
            </w:r>
            <w:r w:rsidRPr="00523D4C">
              <w:rPr>
                <w:sz w:val="22"/>
                <w:szCs w:val="22"/>
                <w:vertAlign w:val="superscript"/>
              </w:rPr>
              <w:t>10</w:t>
            </w:r>
            <w:r>
              <w:rPr>
                <w:sz w:val="22"/>
                <w:szCs w:val="22"/>
              </w:rPr>
              <w:t xml:space="preserve"> </w:t>
            </w:r>
          </w:p>
          <w:p w:rsidR="00153781" w:rsidRPr="006B3179" w:rsidRDefault="00153781" w:rsidP="003E6CF4">
            <w:pPr>
              <w:rPr>
                <w:sz w:val="22"/>
                <w:szCs w:val="22"/>
              </w:rPr>
            </w:pPr>
            <w:r>
              <w:rPr>
                <w:sz w:val="22"/>
                <w:szCs w:val="22"/>
              </w:rPr>
              <w:t>Eosinofil pneumoni</w:t>
            </w:r>
            <w:r w:rsidRPr="00523D4C">
              <w:rPr>
                <w:sz w:val="22"/>
                <w:szCs w:val="22"/>
                <w:vertAlign w:val="superscript"/>
              </w:rPr>
              <w:t>6</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Mave-tarm-kanalen</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Kvalme</w:t>
            </w:r>
          </w:p>
          <w:p w:rsidR="00153781" w:rsidRPr="006B3179" w:rsidRDefault="00153781" w:rsidP="003E6CF4">
            <w:pPr>
              <w:rPr>
                <w:i/>
                <w:sz w:val="22"/>
                <w:szCs w:val="22"/>
              </w:rPr>
            </w:pPr>
            <w:r w:rsidRPr="006B3179">
              <w:rPr>
                <w:sz w:val="22"/>
                <w:szCs w:val="22"/>
              </w:rPr>
              <w:t>Mundtørhed</w:t>
            </w:r>
          </w:p>
        </w:tc>
        <w:tc>
          <w:tcPr>
            <w:tcW w:w="829" w:type="pct"/>
            <w:tcBorders>
              <w:top w:val="single" w:sz="4" w:space="0" w:color="auto"/>
              <w:left w:val="single" w:sz="4" w:space="0" w:color="auto"/>
              <w:bottom w:val="single" w:sz="4" w:space="0" w:color="auto"/>
              <w:right w:val="single" w:sz="4" w:space="0" w:color="auto"/>
            </w:tcBorders>
            <w:hideMark/>
          </w:tcPr>
          <w:p w:rsidR="00153781" w:rsidRDefault="00153781" w:rsidP="003E6CF4">
            <w:pPr>
              <w:rPr>
                <w:color w:val="000000"/>
                <w:sz w:val="22"/>
                <w:szCs w:val="22"/>
              </w:rPr>
            </w:pPr>
            <w:r w:rsidRPr="006B3179">
              <w:rPr>
                <w:color w:val="000000"/>
                <w:sz w:val="22"/>
                <w:szCs w:val="22"/>
              </w:rPr>
              <w:t xml:space="preserve">Obstipation </w:t>
            </w:r>
          </w:p>
          <w:p w:rsidR="00153781" w:rsidRPr="006B3179" w:rsidRDefault="00153781" w:rsidP="003E6CF4">
            <w:pPr>
              <w:rPr>
                <w:color w:val="000000"/>
                <w:sz w:val="22"/>
                <w:szCs w:val="22"/>
              </w:rPr>
            </w:pPr>
            <w:r w:rsidRPr="006B3179">
              <w:rPr>
                <w:color w:val="000000"/>
                <w:sz w:val="22"/>
                <w:szCs w:val="22"/>
              </w:rPr>
              <w:t xml:space="preserve">Diarré </w:t>
            </w:r>
          </w:p>
          <w:p w:rsidR="00153781" w:rsidRDefault="00153781" w:rsidP="003E6CF4">
            <w:pPr>
              <w:rPr>
                <w:color w:val="000000"/>
                <w:sz w:val="22"/>
                <w:szCs w:val="22"/>
              </w:rPr>
            </w:pPr>
            <w:r w:rsidRPr="006B3179">
              <w:rPr>
                <w:color w:val="000000"/>
                <w:sz w:val="22"/>
                <w:szCs w:val="22"/>
              </w:rPr>
              <w:t xml:space="preserve">Abdominal smerter Opkastning Dyspepsi </w:t>
            </w:r>
          </w:p>
          <w:p w:rsidR="00153781" w:rsidRPr="006B3179" w:rsidRDefault="00153781" w:rsidP="003E6CF4">
            <w:pPr>
              <w:rPr>
                <w:sz w:val="22"/>
                <w:szCs w:val="22"/>
              </w:rPr>
            </w:pPr>
            <w:r w:rsidRPr="006B3179">
              <w:rPr>
                <w:color w:val="000000"/>
                <w:sz w:val="22"/>
                <w:szCs w:val="22"/>
              </w:rPr>
              <w:t>Flatulens</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both"/>
              <w:rPr>
                <w:sz w:val="22"/>
                <w:szCs w:val="22"/>
              </w:rPr>
            </w:pPr>
            <w:r w:rsidRPr="006B3179">
              <w:rPr>
                <w:sz w:val="22"/>
                <w:szCs w:val="22"/>
              </w:rPr>
              <w:t>Gastrointestinal blødning</w:t>
            </w:r>
            <w:r w:rsidRPr="006B3179">
              <w:rPr>
                <w:sz w:val="22"/>
                <w:szCs w:val="22"/>
                <w:vertAlign w:val="superscript"/>
              </w:rPr>
              <w:t>7</w:t>
            </w:r>
          </w:p>
          <w:p w:rsidR="00153781" w:rsidRDefault="00153781" w:rsidP="003E6CF4">
            <w:pPr>
              <w:jc w:val="both"/>
              <w:rPr>
                <w:sz w:val="22"/>
                <w:szCs w:val="22"/>
              </w:rPr>
            </w:pPr>
            <w:r w:rsidRPr="006B3179">
              <w:rPr>
                <w:sz w:val="22"/>
                <w:szCs w:val="22"/>
              </w:rPr>
              <w:t xml:space="preserve">Gastroenteritis </w:t>
            </w:r>
          </w:p>
          <w:p w:rsidR="00153781" w:rsidRPr="006B3179" w:rsidRDefault="00153781" w:rsidP="003E6CF4">
            <w:pPr>
              <w:jc w:val="both"/>
              <w:rPr>
                <w:sz w:val="22"/>
                <w:szCs w:val="22"/>
              </w:rPr>
            </w:pPr>
            <w:r w:rsidRPr="006B3179">
              <w:rPr>
                <w:sz w:val="22"/>
                <w:szCs w:val="22"/>
              </w:rPr>
              <w:t>Opstød</w:t>
            </w:r>
            <w:r w:rsidRPr="006B3179">
              <w:rPr>
                <w:sz w:val="22"/>
                <w:szCs w:val="22"/>
              </w:rPr>
              <w:br/>
              <w:t xml:space="preserve">Gastritis </w:t>
            </w:r>
            <w:r w:rsidRPr="006B3179">
              <w:rPr>
                <w:sz w:val="22"/>
                <w:szCs w:val="22"/>
              </w:rPr>
              <w:br/>
              <w:t>Dysfagi</w:t>
            </w:r>
          </w:p>
        </w:tc>
        <w:tc>
          <w:tcPr>
            <w:tcW w:w="918" w:type="pct"/>
            <w:tcBorders>
              <w:top w:val="single" w:sz="4" w:space="0" w:color="auto"/>
              <w:left w:val="single" w:sz="4" w:space="0" w:color="auto"/>
              <w:bottom w:val="single" w:sz="4" w:space="0" w:color="auto"/>
              <w:right w:val="single" w:sz="4" w:space="0" w:color="auto"/>
            </w:tcBorders>
            <w:hideMark/>
          </w:tcPr>
          <w:p w:rsidR="00153781" w:rsidRDefault="00153781" w:rsidP="003E6CF4">
            <w:pPr>
              <w:rPr>
                <w:sz w:val="22"/>
                <w:szCs w:val="22"/>
              </w:rPr>
            </w:pPr>
            <w:r>
              <w:rPr>
                <w:sz w:val="22"/>
                <w:szCs w:val="22"/>
              </w:rPr>
              <w:t>Stomatitis</w:t>
            </w:r>
          </w:p>
          <w:p w:rsidR="00153781" w:rsidRDefault="00153781" w:rsidP="003E6CF4">
            <w:pPr>
              <w:rPr>
                <w:sz w:val="22"/>
                <w:szCs w:val="22"/>
              </w:rPr>
            </w:pPr>
            <w:r>
              <w:rPr>
                <w:sz w:val="22"/>
                <w:szCs w:val="22"/>
              </w:rPr>
              <w:t>Hæmatokeksi</w:t>
            </w:r>
          </w:p>
          <w:p w:rsidR="00153781" w:rsidRDefault="00153781" w:rsidP="003E6CF4">
            <w:pPr>
              <w:rPr>
                <w:sz w:val="22"/>
                <w:szCs w:val="22"/>
              </w:rPr>
            </w:pPr>
            <w:r>
              <w:rPr>
                <w:sz w:val="22"/>
                <w:szCs w:val="22"/>
              </w:rPr>
              <w:t>Dårlig ånde</w:t>
            </w:r>
          </w:p>
          <w:p w:rsidR="00153781" w:rsidRPr="006B3179" w:rsidRDefault="00153781" w:rsidP="003E6CF4">
            <w:pPr>
              <w:rPr>
                <w:sz w:val="22"/>
                <w:szCs w:val="22"/>
              </w:rPr>
            </w:pPr>
            <w:r>
              <w:rPr>
                <w:sz w:val="22"/>
                <w:szCs w:val="22"/>
              </w:rPr>
              <w:t>Mikroskopisk kolitis</w:t>
            </w:r>
            <w:r>
              <w:rPr>
                <w:sz w:val="22"/>
                <w:szCs w:val="22"/>
                <w:vertAlign w:val="superscript"/>
              </w:rPr>
              <w:t>9</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sz w:val="22"/>
                <w:szCs w:val="22"/>
              </w:rPr>
              <w:t>Lever og galdeveje</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rPr>
            </w:pP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vertAlign w:val="superscript"/>
              </w:rPr>
            </w:pPr>
            <w:r w:rsidRPr="006B3179">
              <w:rPr>
                <w:sz w:val="22"/>
                <w:szCs w:val="22"/>
              </w:rPr>
              <w:t>Hepatitis</w:t>
            </w:r>
            <w:r w:rsidRPr="006B3179">
              <w:rPr>
                <w:sz w:val="22"/>
                <w:szCs w:val="22"/>
                <w:vertAlign w:val="superscript"/>
              </w:rPr>
              <w:t>3</w:t>
            </w:r>
          </w:p>
          <w:p w:rsidR="00153781" w:rsidRPr="006B3179" w:rsidRDefault="00153781" w:rsidP="003E6CF4">
            <w:pPr>
              <w:rPr>
                <w:sz w:val="22"/>
                <w:szCs w:val="22"/>
              </w:rPr>
            </w:pPr>
            <w:r w:rsidRPr="006B3179">
              <w:rPr>
                <w:color w:val="000000"/>
                <w:sz w:val="22"/>
                <w:szCs w:val="22"/>
              </w:rPr>
              <w:t>Forhøjede leverenzymer (ALAT, ASAT, basisk fosfatase) Akut leverskade</w:t>
            </w:r>
            <w:r w:rsidRPr="006B3179">
              <w:rPr>
                <w:sz w:val="22"/>
                <w:szCs w:val="22"/>
              </w:rPr>
              <w:t xml:space="preserve"> </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both"/>
              <w:rPr>
                <w:sz w:val="22"/>
                <w:szCs w:val="22"/>
                <w:vertAlign w:val="superscript"/>
              </w:rPr>
            </w:pPr>
            <w:r w:rsidRPr="006B3179">
              <w:rPr>
                <w:sz w:val="22"/>
                <w:szCs w:val="22"/>
              </w:rPr>
              <w:t>Leversvigt</w:t>
            </w:r>
            <w:r w:rsidRPr="006B3179">
              <w:rPr>
                <w:sz w:val="22"/>
                <w:szCs w:val="22"/>
                <w:vertAlign w:val="superscript"/>
              </w:rPr>
              <w:t>6</w:t>
            </w:r>
          </w:p>
          <w:p w:rsidR="00153781" w:rsidRPr="006B3179" w:rsidRDefault="00153781" w:rsidP="003E6CF4">
            <w:pPr>
              <w:jc w:val="both"/>
              <w:rPr>
                <w:sz w:val="22"/>
                <w:szCs w:val="22"/>
              </w:rPr>
            </w:pPr>
            <w:r w:rsidRPr="006B3179">
              <w:rPr>
                <w:sz w:val="22"/>
                <w:szCs w:val="22"/>
              </w:rPr>
              <w:t>Ikterus</w:t>
            </w:r>
            <w:r w:rsidRPr="006B3179">
              <w:rPr>
                <w:sz w:val="22"/>
                <w:szCs w:val="22"/>
                <w:vertAlign w:val="superscript"/>
              </w:rPr>
              <w:t>6</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iCs/>
                <w:color w:val="000000"/>
                <w:sz w:val="22"/>
                <w:szCs w:val="22"/>
              </w:rPr>
            </w:pPr>
            <w:r w:rsidRPr="006B3179">
              <w:rPr>
                <w:i/>
                <w:iCs/>
                <w:color w:val="000000"/>
                <w:sz w:val="22"/>
                <w:szCs w:val="22"/>
              </w:rPr>
              <w:t>Hud og subkutane væv</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Øget perspiration</w:t>
            </w:r>
          </w:p>
          <w:p w:rsidR="00153781" w:rsidRPr="006B3179" w:rsidRDefault="00153781" w:rsidP="003E6CF4">
            <w:pPr>
              <w:rPr>
                <w:sz w:val="22"/>
                <w:szCs w:val="22"/>
              </w:rPr>
            </w:pPr>
            <w:r w:rsidRPr="006B3179">
              <w:rPr>
                <w:sz w:val="22"/>
                <w:szCs w:val="22"/>
              </w:rPr>
              <w:t>Udslæt</w:t>
            </w:r>
          </w:p>
        </w:tc>
        <w:tc>
          <w:tcPr>
            <w:tcW w:w="1324"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jc w:val="both"/>
              <w:rPr>
                <w:sz w:val="22"/>
                <w:szCs w:val="22"/>
              </w:rPr>
            </w:pPr>
            <w:r w:rsidRPr="006B3179">
              <w:rPr>
                <w:sz w:val="22"/>
                <w:szCs w:val="22"/>
              </w:rPr>
              <w:t>Nattesved</w:t>
            </w:r>
          </w:p>
          <w:p w:rsidR="00153781" w:rsidRPr="006B3179" w:rsidRDefault="00153781" w:rsidP="003E6CF4">
            <w:pPr>
              <w:jc w:val="both"/>
              <w:rPr>
                <w:sz w:val="22"/>
                <w:szCs w:val="22"/>
              </w:rPr>
            </w:pPr>
            <w:r w:rsidRPr="006B3179">
              <w:rPr>
                <w:sz w:val="22"/>
                <w:szCs w:val="22"/>
              </w:rPr>
              <w:t>Urticaria</w:t>
            </w:r>
          </w:p>
          <w:p w:rsidR="00153781" w:rsidRDefault="00153781" w:rsidP="003E6CF4">
            <w:pPr>
              <w:jc w:val="both"/>
              <w:rPr>
                <w:color w:val="000000"/>
                <w:sz w:val="22"/>
                <w:szCs w:val="22"/>
              </w:rPr>
            </w:pPr>
            <w:r w:rsidRPr="006B3179">
              <w:rPr>
                <w:color w:val="000000"/>
                <w:sz w:val="22"/>
                <w:szCs w:val="22"/>
              </w:rPr>
              <w:t>Kontakt</w:t>
            </w:r>
            <w:r>
              <w:rPr>
                <w:color w:val="000000"/>
                <w:sz w:val="22"/>
                <w:szCs w:val="22"/>
              </w:rPr>
              <w:t>d</w:t>
            </w:r>
            <w:r w:rsidRPr="006B3179">
              <w:rPr>
                <w:color w:val="000000"/>
                <w:sz w:val="22"/>
                <w:szCs w:val="22"/>
              </w:rPr>
              <w:t xml:space="preserve">ermatitis Koldsved </w:t>
            </w:r>
          </w:p>
          <w:p w:rsidR="00153781" w:rsidRPr="006B3179" w:rsidRDefault="00153781" w:rsidP="003E6CF4">
            <w:pPr>
              <w:jc w:val="both"/>
              <w:rPr>
                <w:color w:val="000000"/>
                <w:sz w:val="22"/>
                <w:szCs w:val="22"/>
              </w:rPr>
            </w:pPr>
            <w:r w:rsidRPr="006B3179">
              <w:rPr>
                <w:color w:val="000000"/>
                <w:sz w:val="22"/>
                <w:szCs w:val="22"/>
              </w:rPr>
              <w:t xml:space="preserve">Lysfølsomheds- reaktioner </w:t>
            </w:r>
          </w:p>
          <w:p w:rsidR="00153781" w:rsidRPr="006B3179" w:rsidRDefault="00153781" w:rsidP="003E6CF4">
            <w:pPr>
              <w:jc w:val="both"/>
              <w:rPr>
                <w:color w:val="000000"/>
                <w:sz w:val="22"/>
                <w:szCs w:val="22"/>
              </w:rPr>
            </w:pPr>
            <w:r w:rsidRPr="006B3179">
              <w:rPr>
                <w:color w:val="000000"/>
                <w:sz w:val="22"/>
                <w:szCs w:val="22"/>
              </w:rPr>
              <w:lastRenderedPageBreak/>
              <w:t>Øget tendens til at få blå mærker</w:t>
            </w:r>
          </w:p>
          <w:p w:rsidR="00153781" w:rsidRPr="006B3179" w:rsidRDefault="00153781" w:rsidP="003E6CF4">
            <w:pPr>
              <w:jc w:val="both"/>
              <w:rPr>
                <w:sz w:val="22"/>
                <w:szCs w:val="22"/>
              </w:rPr>
            </w:pP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lastRenderedPageBreak/>
              <w:t>Stevens-Johnsons syndrom</w:t>
            </w:r>
            <w:r w:rsidRPr="006B3179">
              <w:rPr>
                <w:sz w:val="22"/>
                <w:szCs w:val="22"/>
                <w:vertAlign w:val="superscript"/>
              </w:rPr>
              <w:t>6</w:t>
            </w:r>
          </w:p>
          <w:p w:rsidR="00153781" w:rsidRPr="006B3179" w:rsidRDefault="00153781" w:rsidP="003E6CF4">
            <w:pPr>
              <w:rPr>
                <w:sz w:val="22"/>
                <w:szCs w:val="22"/>
              </w:rPr>
            </w:pPr>
            <w:r w:rsidRPr="006B3179">
              <w:rPr>
                <w:sz w:val="22"/>
                <w:szCs w:val="22"/>
              </w:rPr>
              <w:t>Angioødem</w:t>
            </w:r>
            <w:r w:rsidRPr="006B3179">
              <w:rPr>
                <w:sz w:val="22"/>
                <w:szCs w:val="22"/>
                <w:vertAlign w:val="superscript"/>
              </w:rPr>
              <w:t>6</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r>
              <w:rPr>
                <w:sz w:val="22"/>
                <w:szCs w:val="22"/>
              </w:rPr>
              <w:t>Kutan vaskulitis</w:t>
            </w:r>
          </w:p>
        </w:tc>
        <w:tc>
          <w:tcPr>
            <w:tcW w:w="643" w:type="pct"/>
            <w:tcBorders>
              <w:top w:val="single" w:sz="4" w:space="0" w:color="auto"/>
              <w:left w:val="single" w:sz="4" w:space="0" w:color="auto"/>
              <w:bottom w:val="single" w:sz="4" w:space="0" w:color="auto"/>
              <w:right w:val="single" w:sz="4" w:space="0" w:color="auto"/>
            </w:tcBorders>
          </w:tcPr>
          <w:p w:rsidR="00153781" w:rsidRDefault="00153781" w:rsidP="003E6CF4">
            <w:pPr>
              <w:rPr>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Knogler, led, muskler og bindevæv</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both"/>
              <w:rPr>
                <w:sz w:val="22"/>
                <w:szCs w:val="22"/>
              </w:rPr>
            </w:pPr>
            <w:r w:rsidRPr="006B3179">
              <w:rPr>
                <w:sz w:val="22"/>
                <w:szCs w:val="22"/>
              </w:rPr>
              <w:t>Muskulo-skeletale smerter</w:t>
            </w:r>
          </w:p>
          <w:p w:rsidR="00153781" w:rsidRPr="006B3179" w:rsidRDefault="00153781" w:rsidP="003E6CF4">
            <w:pPr>
              <w:jc w:val="both"/>
              <w:rPr>
                <w:sz w:val="22"/>
                <w:szCs w:val="22"/>
              </w:rPr>
            </w:pPr>
            <w:r w:rsidRPr="006B3179">
              <w:rPr>
                <w:sz w:val="22"/>
                <w:szCs w:val="22"/>
              </w:rPr>
              <w:t>Muskelspasmer</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Muskelstivhed</w:t>
            </w:r>
          </w:p>
          <w:p w:rsidR="00153781" w:rsidRPr="006B3179" w:rsidRDefault="00153781" w:rsidP="003E6CF4">
            <w:pPr>
              <w:rPr>
                <w:sz w:val="22"/>
                <w:szCs w:val="22"/>
              </w:rPr>
            </w:pPr>
            <w:r w:rsidRPr="006B3179">
              <w:rPr>
                <w:sz w:val="22"/>
                <w:szCs w:val="22"/>
              </w:rPr>
              <w:t>Muskelsitren</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Trismus</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sz w:val="22"/>
                <w:szCs w:val="22"/>
              </w:rPr>
              <w:t>Nyrer og urinveje</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Dysuri</w:t>
            </w:r>
          </w:p>
          <w:p w:rsidR="00153781" w:rsidRPr="006B3179" w:rsidRDefault="00153781" w:rsidP="003E6CF4">
            <w:pPr>
              <w:rPr>
                <w:sz w:val="22"/>
                <w:szCs w:val="22"/>
              </w:rPr>
            </w:pPr>
            <w:r w:rsidRPr="006B3179">
              <w:rPr>
                <w:sz w:val="22"/>
                <w:szCs w:val="22"/>
              </w:rPr>
              <w:t>Pollakisuri</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Urinretention</w:t>
            </w:r>
          </w:p>
          <w:p w:rsidR="00153781" w:rsidRPr="006B3179" w:rsidRDefault="00153781" w:rsidP="003E6CF4">
            <w:pPr>
              <w:rPr>
                <w:sz w:val="22"/>
                <w:szCs w:val="22"/>
              </w:rPr>
            </w:pPr>
            <w:r w:rsidRPr="006B3179">
              <w:rPr>
                <w:sz w:val="22"/>
                <w:szCs w:val="22"/>
              </w:rPr>
              <w:t>Besværet vandladning</w:t>
            </w:r>
          </w:p>
          <w:p w:rsidR="00153781" w:rsidRPr="006B3179" w:rsidRDefault="00153781" w:rsidP="003E6CF4">
            <w:pPr>
              <w:rPr>
                <w:sz w:val="22"/>
                <w:szCs w:val="22"/>
              </w:rPr>
            </w:pPr>
            <w:r w:rsidRPr="006B3179">
              <w:rPr>
                <w:sz w:val="22"/>
                <w:szCs w:val="22"/>
              </w:rPr>
              <w:t>Natlig vandladning</w:t>
            </w:r>
          </w:p>
          <w:p w:rsidR="00153781" w:rsidRPr="006B3179" w:rsidRDefault="00153781" w:rsidP="003E6CF4">
            <w:pPr>
              <w:rPr>
                <w:sz w:val="22"/>
                <w:szCs w:val="22"/>
              </w:rPr>
            </w:pPr>
            <w:r w:rsidRPr="006B3179">
              <w:rPr>
                <w:sz w:val="22"/>
                <w:szCs w:val="22"/>
              </w:rPr>
              <w:t>Polyuri</w:t>
            </w:r>
          </w:p>
          <w:p w:rsidR="00153781" w:rsidRPr="006B3179" w:rsidRDefault="00153781" w:rsidP="003E6CF4">
            <w:pPr>
              <w:rPr>
                <w:sz w:val="22"/>
                <w:szCs w:val="22"/>
              </w:rPr>
            </w:pPr>
            <w:r w:rsidRPr="006B3179">
              <w:rPr>
                <w:sz w:val="22"/>
                <w:szCs w:val="22"/>
              </w:rPr>
              <w:t>Nedsat urinmængde</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Abnorm urinlugt</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Det reproduktive system og mammae</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Erektil</w:t>
            </w:r>
            <w:r w:rsidRPr="006B3179">
              <w:rPr>
                <w:sz w:val="22"/>
                <w:szCs w:val="22"/>
              </w:rPr>
              <w:br/>
              <w:t>dysfunktion Ejakulations- forstyrrelser Forsinket ejakulation</w:t>
            </w:r>
          </w:p>
        </w:tc>
        <w:tc>
          <w:tcPr>
            <w:tcW w:w="1324" w:type="pct"/>
            <w:tcBorders>
              <w:top w:val="single" w:sz="4" w:space="0" w:color="auto"/>
              <w:left w:val="single" w:sz="4" w:space="0" w:color="auto"/>
              <w:bottom w:val="single" w:sz="4" w:space="0" w:color="auto"/>
              <w:right w:val="single" w:sz="4" w:space="0" w:color="auto"/>
            </w:tcBorders>
            <w:hideMark/>
          </w:tcPr>
          <w:p w:rsidR="00153781" w:rsidRDefault="00153781" w:rsidP="003E6CF4">
            <w:pPr>
              <w:rPr>
                <w:color w:val="000000"/>
                <w:sz w:val="22"/>
                <w:szCs w:val="22"/>
              </w:rPr>
            </w:pPr>
            <w:r w:rsidRPr="006B3179">
              <w:rPr>
                <w:color w:val="000000"/>
                <w:sz w:val="22"/>
                <w:szCs w:val="22"/>
              </w:rPr>
              <w:t>Gynækologisk blødning</w:t>
            </w:r>
          </w:p>
          <w:p w:rsidR="00153781" w:rsidRDefault="00153781" w:rsidP="003E6CF4">
            <w:pPr>
              <w:rPr>
                <w:color w:val="000000"/>
                <w:sz w:val="22"/>
                <w:szCs w:val="22"/>
              </w:rPr>
            </w:pPr>
            <w:r w:rsidRPr="006B3179">
              <w:rPr>
                <w:color w:val="000000"/>
                <w:sz w:val="22"/>
                <w:szCs w:val="22"/>
              </w:rPr>
              <w:t>Menstruationsforstyrrelser</w:t>
            </w:r>
          </w:p>
          <w:p w:rsidR="00153781" w:rsidRDefault="00153781" w:rsidP="003E6CF4">
            <w:pPr>
              <w:rPr>
                <w:color w:val="000000"/>
                <w:sz w:val="22"/>
                <w:szCs w:val="22"/>
              </w:rPr>
            </w:pPr>
            <w:r w:rsidRPr="006B3179">
              <w:rPr>
                <w:color w:val="000000"/>
                <w:sz w:val="22"/>
                <w:szCs w:val="22"/>
              </w:rPr>
              <w:t>Seksuel dysfunktion</w:t>
            </w:r>
          </w:p>
          <w:p w:rsidR="00153781" w:rsidRPr="006B3179" w:rsidRDefault="00153781" w:rsidP="003E6CF4">
            <w:pPr>
              <w:rPr>
                <w:sz w:val="22"/>
                <w:szCs w:val="22"/>
              </w:rPr>
            </w:pPr>
            <w:r w:rsidRPr="006B3179">
              <w:rPr>
                <w:color w:val="000000"/>
                <w:sz w:val="22"/>
                <w:szCs w:val="22"/>
              </w:rPr>
              <w:t>Smerter i testiklerne</w:t>
            </w:r>
          </w:p>
        </w:tc>
        <w:tc>
          <w:tcPr>
            <w:tcW w:w="918" w:type="pct"/>
            <w:tcBorders>
              <w:top w:val="single" w:sz="4" w:space="0" w:color="auto"/>
              <w:left w:val="single" w:sz="4" w:space="0" w:color="auto"/>
              <w:bottom w:val="single" w:sz="4" w:space="0" w:color="auto"/>
              <w:right w:val="single" w:sz="4" w:space="0" w:color="auto"/>
            </w:tcBorders>
            <w:hideMark/>
          </w:tcPr>
          <w:p w:rsidR="00153781" w:rsidRDefault="00153781" w:rsidP="003E6CF4">
            <w:pPr>
              <w:rPr>
                <w:color w:val="000000"/>
                <w:sz w:val="22"/>
                <w:szCs w:val="22"/>
              </w:rPr>
            </w:pPr>
            <w:r w:rsidRPr="002F2904">
              <w:rPr>
                <w:color w:val="000000"/>
                <w:sz w:val="22"/>
                <w:szCs w:val="22"/>
              </w:rPr>
              <w:t>Menopausale symptomer Galaktorré Hyperprolaktin æmi</w:t>
            </w:r>
          </w:p>
          <w:p w:rsidR="00153781" w:rsidRPr="002F2904" w:rsidRDefault="00153781" w:rsidP="003E6CF4">
            <w:pPr>
              <w:rPr>
                <w:sz w:val="22"/>
                <w:szCs w:val="22"/>
              </w:rPr>
            </w:pPr>
            <w:r>
              <w:t>Postpartum blødning</w:t>
            </w:r>
            <w:r w:rsidRPr="00A566E8">
              <w:rPr>
                <w:vertAlign w:val="superscript"/>
              </w:rPr>
              <w:t>6</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iCs/>
                <w:color w:val="000000"/>
                <w:sz w:val="22"/>
                <w:szCs w:val="22"/>
              </w:rPr>
              <w:t>Almene symptomer og reaktioner på administrationsstedet</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iCs/>
                <w:color w:val="000000"/>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Fald</w:t>
            </w:r>
            <w:r w:rsidRPr="006B3179">
              <w:rPr>
                <w:sz w:val="22"/>
                <w:szCs w:val="22"/>
                <w:vertAlign w:val="superscript"/>
              </w:rPr>
              <w:t>8</w:t>
            </w:r>
          </w:p>
          <w:p w:rsidR="00153781" w:rsidRPr="006B3179" w:rsidRDefault="00153781" w:rsidP="003E6CF4">
            <w:pPr>
              <w:rPr>
                <w:sz w:val="22"/>
                <w:szCs w:val="22"/>
              </w:rPr>
            </w:pPr>
            <w:r w:rsidRPr="006B3179">
              <w:rPr>
                <w:sz w:val="22"/>
                <w:szCs w:val="22"/>
              </w:rPr>
              <w:t>Træthed</w:t>
            </w:r>
          </w:p>
        </w:tc>
        <w:tc>
          <w:tcPr>
            <w:tcW w:w="1324"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Brystsmerter</w:t>
            </w:r>
            <w:r w:rsidRPr="006B3179">
              <w:rPr>
                <w:sz w:val="22"/>
                <w:szCs w:val="22"/>
                <w:vertAlign w:val="superscript"/>
              </w:rPr>
              <w:t>7</w:t>
            </w:r>
          </w:p>
          <w:p w:rsidR="00153781" w:rsidRPr="006B3179" w:rsidRDefault="00153781" w:rsidP="003E6CF4">
            <w:pPr>
              <w:rPr>
                <w:sz w:val="22"/>
                <w:szCs w:val="22"/>
              </w:rPr>
            </w:pPr>
            <w:r w:rsidRPr="006B3179">
              <w:rPr>
                <w:sz w:val="22"/>
                <w:szCs w:val="22"/>
              </w:rPr>
              <w:t>Generel unormal følelse</w:t>
            </w:r>
          </w:p>
          <w:p w:rsidR="00153781" w:rsidRPr="006B3179" w:rsidRDefault="00153781" w:rsidP="003E6CF4">
            <w:pPr>
              <w:rPr>
                <w:sz w:val="22"/>
                <w:szCs w:val="22"/>
              </w:rPr>
            </w:pPr>
            <w:r w:rsidRPr="006B3179">
              <w:rPr>
                <w:sz w:val="22"/>
                <w:szCs w:val="22"/>
              </w:rPr>
              <w:t>Føler sig kold</w:t>
            </w:r>
          </w:p>
          <w:p w:rsidR="00153781" w:rsidRPr="006B3179" w:rsidRDefault="00153781" w:rsidP="003E6CF4">
            <w:pPr>
              <w:rPr>
                <w:sz w:val="22"/>
                <w:szCs w:val="22"/>
              </w:rPr>
            </w:pPr>
            <w:r w:rsidRPr="006B3179">
              <w:rPr>
                <w:sz w:val="22"/>
                <w:szCs w:val="22"/>
              </w:rPr>
              <w:t>Tørst</w:t>
            </w:r>
          </w:p>
          <w:p w:rsidR="00153781" w:rsidRPr="006B3179" w:rsidRDefault="00153781" w:rsidP="003E6CF4">
            <w:pPr>
              <w:rPr>
                <w:sz w:val="22"/>
                <w:szCs w:val="22"/>
              </w:rPr>
            </w:pPr>
            <w:r w:rsidRPr="006B3179">
              <w:rPr>
                <w:sz w:val="22"/>
                <w:szCs w:val="22"/>
              </w:rPr>
              <w:t>Kuldegysninger</w:t>
            </w:r>
          </w:p>
          <w:p w:rsidR="00153781" w:rsidRPr="006B3179" w:rsidRDefault="00153781" w:rsidP="003E6CF4">
            <w:pPr>
              <w:rPr>
                <w:sz w:val="22"/>
                <w:szCs w:val="22"/>
              </w:rPr>
            </w:pPr>
            <w:r w:rsidRPr="006B3179">
              <w:rPr>
                <w:sz w:val="22"/>
                <w:szCs w:val="22"/>
              </w:rPr>
              <w:t>Føler sig syg</w:t>
            </w:r>
          </w:p>
          <w:p w:rsidR="00153781" w:rsidRPr="006B3179" w:rsidRDefault="00153781" w:rsidP="003E6CF4">
            <w:pPr>
              <w:rPr>
                <w:sz w:val="22"/>
                <w:szCs w:val="22"/>
              </w:rPr>
            </w:pPr>
            <w:r w:rsidRPr="006B3179">
              <w:rPr>
                <w:sz w:val="22"/>
                <w:szCs w:val="22"/>
              </w:rPr>
              <w:t>Varmefølelse</w:t>
            </w:r>
          </w:p>
          <w:p w:rsidR="00153781" w:rsidRPr="006B3179" w:rsidRDefault="00153781" w:rsidP="003E6CF4">
            <w:pPr>
              <w:rPr>
                <w:sz w:val="22"/>
                <w:szCs w:val="22"/>
              </w:rPr>
            </w:pPr>
            <w:r w:rsidRPr="006B3179">
              <w:rPr>
                <w:sz w:val="22"/>
                <w:szCs w:val="22"/>
              </w:rPr>
              <w:t>Gangforstyrrelse</w:t>
            </w:r>
          </w:p>
        </w:tc>
        <w:tc>
          <w:tcPr>
            <w:tcW w:w="91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sz w:val="22"/>
                <w:szCs w:val="22"/>
              </w:rPr>
            </w:pP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4357" w:type="pct"/>
            <w:gridSpan w:val="5"/>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i/>
                <w:sz w:val="22"/>
                <w:szCs w:val="22"/>
              </w:rPr>
            </w:pPr>
            <w:r w:rsidRPr="006B3179">
              <w:rPr>
                <w:i/>
                <w:sz w:val="22"/>
                <w:szCs w:val="22"/>
              </w:rPr>
              <w:t>Undersøgelsers</w:t>
            </w: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r w:rsidR="00153781" w:rsidRPr="006B3179" w:rsidTr="003E6CF4">
        <w:tc>
          <w:tcPr>
            <w:tcW w:w="677"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829"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rPr>
                <w:sz w:val="22"/>
                <w:szCs w:val="22"/>
              </w:rPr>
            </w:pPr>
            <w:r w:rsidRPr="006B3179">
              <w:rPr>
                <w:sz w:val="22"/>
                <w:szCs w:val="22"/>
              </w:rPr>
              <w:t>Vægttab</w:t>
            </w:r>
          </w:p>
        </w:tc>
        <w:tc>
          <w:tcPr>
            <w:tcW w:w="1324" w:type="pct"/>
            <w:tcBorders>
              <w:top w:val="single" w:sz="4" w:space="0" w:color="auto"/>
              <w:left w:val="single" w:sz="4" w:space="0" w:color="auto"/>
              <w:bottom w:val="single" w:sz="4" w:space="0" w:color="auto"/>
              <w:right w:val="single" w:sz="4" w:space="0" w:color="auto"/>
            </w:tcBorders>
            <w:hideMark/>
          </w:tcPr>
          <w:p w:rsidR="00153781" w:rsidRDefault="00153781" w:rsidP="003E6CF4">
            <w:pPr>
              <w:rPr>
                <w:color w:val="000000"/>
                <w:sz w:val="22"/>
                <w:szCs w:val="22"/>
              </w:rPr>
            </w:pPr>
            <w:r w:rsidRPr="006B3179">
              <w:rPr>
                <w:color w:val="000000"/>
                <w:sz w:val="22"/>
                <w:szCs w:val="22"/>
              </w:rPr>
              <w:t xml:space="preserve">Vægtstigning </w:t>
            </w:r>
          </w:p>
          <w:p w:rsidR="00153781" w:rsidRDefault="00153781" w:rsidP="003E6CF4">
            <w:pPr>
              <w:rPr>
                <w:color w:val="000000"/>
                <w:sz w:val="22"/>
                <w:szCs w:val="22"/>
              </w:rPr>
            </w:pPr>
            <w:r w:rsidRPr="006B3179">
              <w:rPr>
                <w:color w:val="000000"/>
                <w:sz w:val="22"/>
                <w:szCs w:val="22"/>
              </w:rPr>
              <w:t>Forhøjet kreatinfosfo-</w:t>
            </w:r>
            <w:r w:rsidRPr="006B3179">
              <w:rPr>
                <w:color w:val="000000"/>
                <w:sz w:val="22"/>
                <w:szCs w:val="22"/>
              </w:rPr>
              <w:br/>
              <w:t xml:space="preserve">kinase i blodet </w:t>
            </w:r>
          </w:p>
          <w:p w:rsidR="00153781" w:rsidRPr="006B3179" w:rsidRDefault="00153781" w:rsidP="003E6CF4">
            <w:pPr>
              <w:rPr>
                <w:sz w:val="22"/>
                <w:szCs w:val="22"/>
              </w:rPr>
            </w:pPr>
            <w:r w:rsidRPr="006B3179">
              <w:rPr>
                <w:color w:val="000000"/>
                <w:sz w:val="22"/>
                <w:szCs w:val="22"/>
              </w:rPr>
              <w:t>Forhøjet kalium i blodet</w:t>
            </w:r>
          </w:p>
        </w:tc>
        <w:tc>
          <w:tcPr>
            <w:tcW w:w="918" w:type="pct"/>
            <w:tcBorders>
              <w:top w:val="single" w:sz="4" w:space="0" w:color="auto"/>
              <w:left w:val="single" w:sz="4" w:space="0" w:color="auto"/>
              <w:bottom w:val="single" w:sz="4" w:space="0" w:color="auto"/>
              <w:right w:val="single" w:sz="4" w:space="0" w:color="auto"/>
            </w:tcBorders>
            <w:hideMark/>
          </w:tcPr>
          <w:p w:rsidR="00153781" w:rsidRPr="006B3179" w:rsidRDefault="00153781" w:rsidP="003E6CF4">
            <w:pPr>
              <w:jc w:val="both"/>
              <w:rPr>
                <w:sz w:val="22"/>
                <w:szCs w:val="22"/>
              </w:rPr>
            </w:pPr>
            <w:r w:rsidRPr="006B3179">
              <w:rPr>
                <w:color w:val="000000"/>
                <w:sz w:val="22"/>
                <w:szCs w:val="22"/>
              </w:rPr>
              <w:t>Forhøjet kolesterol i blodet</w:t>
            </w:r>
          </w:p>
        </w:tc>
        <w:tc>
          <w:tcPr>
            <w:tcW w:w="608"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c>
          <w:tcPr>
            <w:tcW w:w="643" w:type="pct"/>
            <w:tcBorders>
              <w:top w:val="single" w:sz="4" w:space="0" w:color="auto"/>
              <w:left w:val="single" w:sz="4" w:space="0" w:color="auto"/>
              <w:bottom w:val="single" w:sz="4" w:space="0" w:color="auto"/>
              <w:right w:val="single" w:sz="4" w:space="0" w:color="auto"/>
            </w:tcBorders>
          </w:tcPr>
          <w:p w:rsidR="00153781" w:rsidRPr="006B3179" w:rsidRDefault="00153781" w:rsidP="003E6CF4">
            <w:pPr>
              <w:rPr>
                <w:i/>
                <w:sz w:val="22"/>
                <w:szCs w:val="22"/>
              </w:rPr>
            </w:pPr>
          </w:p>
        </w:tc>
      </w:tr>
    </w:tbl>
    <w:p w:rsidR="004F4CA9" w:rsidRPr="00D86A31" w:rsidRDefault="004F4CA9" w:rsidP="004F4CA9">
      <w:pPr>
        <w:ind w:left="851" w:hanging="851"/>
        <w:rPr>
          <w:i/>
          <w:noProof/>
          <w:sz w:val="24"/>
          <w:szCs w:val="24"/>
        </w:rPr>
      </w:pPr>
    </w:p>
    <w:p w:rsidR="004F4CA9" w:rsidRPr="00955D76" w:rsidRDefault="004F4CA9" w:rsidP="004F4CA9">
      <w:pPr>
        <w:rPr>
          <w:sz w:val="24"/>
          <w:szCs w:val="24"/>
        </w:rPr>
      </w:pPr>
      <w:r w:rsidRPr="00955D76">
        <w:rPr>
          <w:sz w:val="24"/>
          <w:szCs w:val="24"/>
          <w:vertAlign w:val="superscript"/>
        </w:rPr>
        <w:t>1</w:t>
      </w:r>
      <w:r w:rsidRPr="00955D76">
        <w:rPr>
          <w:sz w:val="24"/>
          <w:szCs w:val="24"/>
        </w:rPr>
        <w:t xml:space="preserve"> Der er også rapporteret tilfælde af kramper og tinnitus efter behandlingsophør.</w:t>
      </w:r>
    </w:p>
    <w:p w:rsidR="004F4CA9" w:rsidRPr="00955D76" w:rsidRDefault="004F4CA9" w:rsidP="004F4CA9">
      <w:pPr>
        <w:rPr>
          <w:sz w:val="24"/>
          <w:szCs w:val="24"/>
        </w:rPr>
      </w:pPr>
      <w:r w:rsidRPr="00955D76">
        <w:rPr>
          <w:sz w:val="24"/>
          <w:szCs w:val="24"/>
          <w:vertAlign w:val="superscript"/>
        </w:rPr>
        <w:t>2</w:t>
      </w:r>
      <w:r w:rsidRPr="00955D76">
        <w:rPr>
          <w:sz w:val="24"/>
          <w:szCs w:val="24"/>
        </w:rPr>
        <w:t xml:space="preserve"> Sager med ortostatisk hypotension og synkope er blevet rapporteret - særligt i behandlingsopstarten</w:t>
      </w:r>
    </w:p>
    <w:p w:rsidR="004F4CA9" w:rsidRPr="00955D76" w:rsidRDefault="004F4CA9" w:rsidP="004F4CA9">
      <w:pPr>
        <w:rPr>
          <w:sz w:val="24"/>
          <w:szCs w:val="24"/>
        </w:rPr>
      </w:pPr>
      <w:r w:rsidRPr="00955D76">
        <w:rPr>
          <w:sz w:val="24"/>
          <w:szCs w:val="24"/>
          <w:vertAlign w:val="superscript"/>
        </w:rPr>
        <w:t>3</w:t>
      </w:r>
      <w:r w:rsidRPr="00955D76">
        <w:rPr>
          <w:sz w:val="24"/>
          <w:szCs w:val="24"/>
        </w:rPr>
        <w:t xml:space="preserve"> Se pkt</w:t>
      </w:r>
      <w:r>
        <w:rPr>
          <w:sz w:val="24"/>
          <w:szCs w:val="24"/>
        </w:rPr>
        <w:t>.</w:t>
      </w:r>
      <w:r w:rsidRPr="00955D76">
        <w:rPr>
          <w:sz w:val="24"/>
          <w:szCs w:val="24"/>
        </w:rPr>
        <w:t xml:space="preserve"> 4.4.</w:t>
      </w:r>
    </w:p>
    <w:p w:rsidR="004F4CA9" w:rsidRPr="00955D76" w:rsidRDefault="004F4CA9" w:rsidP="004F4CA9">
      <w:pPr>
        <w:rPr>
          <w:sz w:val="24"/>
          <w:szCs w:val="24"/>
        </w:rPr>
      </w:pPr>
      <w:r w:rsidRPr="00955D76">
        <w:rPr>
          <w:sz w:val="24"/>
          <w:szCs w:val="24"/>
          <w:vertAlign w:val="superscript"/>
        </w:rPr>
        <w:t>4</w:t>
      </w:r>
      <w:r w:rsidRPr="00955D76">
        <w:rPr>
          <w:sz w:val="24"/>
          <w:szCs w:val="24"/>
        </w:rPr>
        <w:t xml:space="preserve"> Sager med aggression og vrede er blevet rapporteret, især tidligt i behandlingen eller efter behandlingsophør.</w:t>
      </w:r>
    </w:p>
    <w:p w:rsidR="004F4CA9" w:rsidRPr="00955D76" w:rsidRDefault="004F4CA9" w:rsidP="004F4CA9">
      <w:pPr>
        <w:rPr>
          <w:sz w:val="24"/>
          <w:szCs w:val="24"/>
        </w:rPr>
      </w:pPr>
      <w:r w:rsidRPr="00955D76">
        <w:rPr>
          <w:sz w:val="24"/>
          <w:szCs w:val="24"/>
          <w:vertAlign w:val="superscript"/>
        </w:rPr>
        <w:t>5</w:t>
      </w:r>
      <w:r w:rsidRPr="00955D76">
        <w:rPr>
          <w:sz w:val="24"/>
          <w:szCs w:val="24"/>
        </w:rPr>
        <w:t xml:space="preserve"> Sager med selvmordsforestillinger og -adfærd er blevet rapporteret under duloxetinbehandling eller tidligt efter behandlingsophør (se pkt. 4.4).</w:t>
      </w:r>
    </w:p>
    <w:p w:rsidR="004F4CA9" w:rsidRPr="00955D76" w:rsidRDefault="004F4CA9" w:rsidP="004F4CA9">
      <w:pPr>
        <w:rPr>
          <w:sz w:val="24"/>
          <w:szCs w:val="24"/>
        </w:rPr>
      </w:pPr>
      <w:r w:rsidRPr="00955D76">
        <w:rPr>
          <w:sz w:val="24"/>
          <w:szCs w:val="24"/>
          <w:vertAlign w:val="superscript"/>
        </w:rPr>
        <w:t>6</w:t>
      </w:r>
      <w:r w:rsidRPr="00955D76">
        <w:rPr>
          <w:sz w:val="24"/>
          <w:szCs w:val="24"/>
        </w:rPr>
        <w:t xml:space="preserve"> Estimeret hyppighed af bivirkninger rapporteret efter markedsføring; ikke set i placebo-kontrollerede kliniske studier.</w:t>
      </w:r>
    </w:p>
    <w:p w:rsidR="004F4CA9" w:rsidRPr="00955D76" w:rsidRDefault="004F4CA9" w:rsidP="004F4CA9">
      <w:pPr>
        <w:rPr>
          <w:sz w:val="24"/>
          <w:szCs w:val="24"/>
        </w:rPr>
      </w:pPr>
      <w:r w:rsidRPr="00955D76">
        <w:rPr>
          <w:sz w:val="24"/>
          <w:szCs w:val="24"/>
          <w:vertAlign w:val="superscript"/>
        </w:rPr>
        <w:t>7</w:t>
      </w:r>
      <w:r w:rsidRPr="00955D76">
        <w:rPr>
          <w:sz w:val="24"/>
          <w:szCs w:val="24"/>
        </w:rPr>
        <w:t xml:space="preserve"> Ikke statistisk signifikant forskellig fra placebo.</w:t>
      </w:r>
    </w:p>
    <w:p w:rsidR="004F4CA9" w:rsidRDefault="004F4CA9" w:rsidP="004F4CA9">
      <w:pPr>
        <w:rPr>
          <w:sz w:val="24"/>
          <w:szCs w:val="24"/>
        </w:rPr>
      </w:pPr>
      <w:r w:rsidRPr="00955D76">
        <w:rPr>
          <w:sz w:val="24"/>
          <w:szCs w:val="24"/>
          <w:vertAlign w:val="superscript"/>
        </w:rPr>
        <w:t>8</w:t>
      </w:r>
      <w:r w:rsidRPr="00955D76">
        <w:rPr>
          <w:sz w:val="24"/>
          <w:szCs w:val="24"/>
        </w:rPr>
        <w:t xml:space="preserve"> Fald var hyppigst hos ældre (</w:t>
      </w:r>
      <w:r w:rsidRPr="00955D76">
        <w:rPr>
          <w:i/>
          <w:iCs/>
          <w:sz w:val="24"/>
          <w:szCs w:val="24"/>
        </w:rPr>
        <w:t>≥</w:t>
      </w:r>
      <w:r w:rsidRPr="00955D76">
        <w:rPr>
          <w:sz w:val="24"/>
          <w:szCs w:val="24"/>
        </w:rPr>
        <w:t>65 år)</w:t>
      </w:r>
    </w:p>
    <w:p w:rsidR="004F4CA9" w:rsidRDefault="004F4CA9" w:rsidP="004F4CA9">
      <w:pPr>
        <w:rPr>
          <w:sz w:val="24"/>
          <w:szCs w:val="24"/>
        </w:rPr>
      </w:pPr>
      <w:r>
        <w:rPr>
          <w:sz w:val="24"/>
          <w:szCs w:val="24"/>
          <w:vertAlign w:val="superscript"/>
        </w:rPr>
        <w:t xml:space="preserve">9 </w:t>
      </w:r>
      <w:r>
        <w:rPr>
          <w:sz w:val="24"/>
          <w:szCs w:val="24"/>
        </w:rPr>
        <w:t>Estimeret hyppighed baseret på data fra alle kliniske studier.</w:t>
      </w:r>
    </w:p>
    <w:p w:rsidR="004F4CA9" w:rsidRDefault="004F4CA9" w:rsidP="004F4CA9">
      <w:pPr>
        <w:rPr>
          <w:sz w:val="24"/>
          <w:szCs w:val="24"/>
        </w:rPr>
      </w:pPr>
      <w:r w:rsidRPr="00523D4C">
        <w:rPr>
          <w:sz w:val="24"/>
          <w:szCs w:val="24"/>
          <w:vertAlign w:val="superscript"/>
        </w:rPr>
        <w:t>10</w:t>
      </w:r>
      <w:r>
        <w:rPr>
          <w:sz w:val="24"/>
          <w:szCs w:val="24"/>
        </w:rPr>
        <w:t xml:space="preserve"> Estimeret hyppighed baseret på placebokontrollerede kliniske studier.</w:t>
      </w:r>
    </w:p>
    <w:p w:rsidR="004F4CA9" w:rsidRPr="00D86A31" w:rsidRDefault="004F4CA9" w:rsidP="004F4CA9">
      <w:pPr>
        <w:widowControl w:val="0"/>
        <w:autoSpaceDE w:val="0"/>
        <w:autoSpaceDN w:val="0"/>
        <w:adjustRightInd w:val="0"/>
        <w:ind w:left="851" w:hanging="851"/>
        <w:rPr>
          <w:color w:val="000000"/>
          <w:sz w:val="24"/>
          <w:szCs w:val="24"/>
        </w:rPr>
      </w:pPr>
    </w:p>
    <w:p w:rsidR="002272D5" w:rsidRPr="002F2904" w:rsidRDefault="002272D5" w:rsidP="002272D5">
      <w:pPr>
        <w:widowControl w:val="0"/>
        <w:autoSpaceDE w:val="0"/>
        <w:autoSpaceDN w:val="0"/>
        <w:adjustRightInd w:val="0"/>
        <w:ind w:left="851"/>
        <w:rPr>
          <w:i/>
          <w:iCs/>
          <w:color w:val="000000"/>
          <w:sz w:val="24"/>
          <w:szCs w:val="24"/>
        </w:rPr>
      </w:pPr>
      <w:r w:rsidRPr="002F2904">
        <w:rPr>
          <w:i/>
          <w:iCs/>
          <w:color w:val="000000"/>
          <w:sz w:val="24"/>
          <w:szCs w:val="24"/>
        </w:rPr>
        <w:lastRenderedPageBreak/>
        <w:t>Beskrivelse af udvalgte bivirkninger</w:t>
      </w:r>
    </w:p>
    <w:p w:rsidR="002272D5" w:rsidRPr="002F2904" w:rsidRDefault="002272D5" w:rsidP="002272D5">
      <w:pPr>
        <w:widowControl w:val="0"/>
        <w:autoSpaceDE w:val="0"/>
        <w:autoSpaceDN w:val="0"/>
        <w:adjustRightInd w:val="0"/>
        <w:ind w:left="851"/>
        <w:rPr>
          <w:color w:val="000000"/>
          <w:sz w:val="24"/>
          <w:szCs w:val="24"/>
        </w:rPr>
      </w:pPr>
      <w:r w:rsidRPr="002F2904">
        <w:rPr>
          <w:color w:val="000000"/>
          <w:sz w:val="24"/>
          <w:szCs w:val="24"/>
        </w:rPr>
        <w:t>Seponering af duloxetin (særlig ved pludseligt ophør) medfører hyppigt seponeringssymptomer. De almindeligste bivirkninger er svimmelhed, sensoriske forstyrrelser (inklusive paræstesier og følelsen af elektriske stød, især i hovedet), søvnforstyrrelser (inklusive søvnløshed og intense drømme), træthed, søvnighed, opstemthed eller angst, kvalme og/eller opkastning, rysten, hovedpine, myalgi, irritabilitet, dia</w:t>
      </w:r>
      <w:r>
        <w:rPr>
          <w:color w:val="000000"/>
          <w:sz w:val="24"/>
          <w:szCs w:val="24"/>
        </w:rPr>
        <w:t>r</w:t>
      </w:r>
      <w:r w:rsidRPr="002F2904">
        <w:rPr>
          <w:color w:val="000000"/>
          <w:sz w:val="24"/>
          <w:szCs w:val="24"/>
        </w:rPr>
        <w:t>ré, hyperhidrosis og vertigo.</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Generelt for SSRI- og SNRI-præparater er disse symptomer lette til moderate og selvbegrænsende, selvom de hos nogle patienter kan være svære og/eller vedvare i længere tid. Det anbefales derfor at nedtrappe behandlingen gradvist, når behandling med duloxetin ikke længere er nødvendigt (se pkt. 4.2 og 4.4).</w:t>
      </w:r>
    </w:p>
    <w:p w:rsidR="004F4CA9" w:rsidRPr="00D86A31" w:rsidRDefault="004F4CA9" w:rsidP="004F4CA9">
      <w:pPr>
        <w:widowControl w:val="0"/>
        <w:autoSpaceDE w:val="0"/>
        <w:autoSpaceDN w:val="0"/>
        <w:adjustRightInd w:val="0"/>
        <w:ind w:left="851" w:hanging="851"/>
        <w:rPr>
          <w:color w:val="000000"/>
          <w:sz w:val="24"/>
          <w:szCs w:val="24"/>
        </w:rPr>
      </w:pPr>
    </w:p>
    <w:p w:rsidR="002272D5" w:rsidRPr="002F2904" w:rsidRDefault="002272D5" w:rsidP="002272D5">
      <w:pPr>
        <w:widowControl w:val="0"/>
        <w:autoSpaceDE w:val="0"/>
        <w:autoSpaceDN w:val="0"/>
        <w:adjustRightInd w:val="0"/>
        <w:ind w:left="851"/>
        <w:rPr>
          <w:color w:val="000000"/>
          <w:sz w:val="24"/>
          <w:szCs w:val="24"/>
        </w:rPr>
      </w:pPr>
      <w:r w:rsidRPr="002F2904">
        <w:rPr>
          <w:color w:val="000000"/>
          <w:sz w:val="24"/>
          <w:szCs w:val="24"/>
        </w:rPr>
        <w:t xml:space="preserve">I 12-ugers akut fasen i 3 kliniske studier med duloxetin hos patienter med diabetisk neuropatisk smerte blev der observeret en lille men statistisk signifikant stigning i faste blodglucose hos duloxetinbehandlede patienter. </w:t>
      </w:r>
      <w:r w:rsidRPr="002F2904">
        <w:rPr>
          <w:sz w:val="24"/>
          <w:szCs w:val="24"/>
        </w:rPr>
        <w:t>HbA1c</w:t>
      </w:r>
      <w:r w:rsidRPr="002F2904">
        <w:rPr>
          <w:color w:val="000000"/>
          <w:position w:val="-4"/>
          <w:sz w:val="24"/>
          <w:szCs w:val="24"/>
        </w:rPr>
        <w:t xml:space="preserve"> </w:t>
      </w:r>
      <w:r w:rsidRPr="002F2904">
        <w:rPr>
          <w:color w:val="000000"/>
          <w:sz w:val="24"/>
          <w:szCs w:val="24"/>
        </w:rPr>
        <w:t xml:space="preserve">var stabilt hos både duloxetinbehandlede og placebobehandlede patienter. I ekstensionsfasen af disse studier, som varede op til 52 uger, var der en stigning i </w:t>
      </w:r>
      <w:r w:rsidRPr="002F2904">
        <w:rPr>
          <w:sz w:val="24"/>
          <w:szCs w:val="24"/>
        </w:rPr>
        <w:t>HbA1c</w:t>
      </w:r>
      <w:r w:rsidRPr="002F2904">
        <w:rPr>
          <w:color w:val="000000"/>
          <w:position w:val="-4"/>
          <w:sz w:val="24"/>
          <w:szCs w:val="24"/>
        </w:rPr>
        <w:t xml:space="preserve"> </w:t>
      </w:r>
      <w:r w:rsidRPr="002F2904">
        <w:rPr>
          <w:color w:val="000000"/>
          <w:sz w:val="24"/>
          <w:szCs w:val="24"/>
        </w:rPr>
        <w:t>både i duloxetin- og standardbehandling-grupperne, men den gennemsnitlige stigning var 0,3</w:t>
      </w:r>
      <w:r>
        <w:rPr>
          <w:color w:val="000000"/>
          <w:sz w:val="24"/>
          <w:szCs w:val="24"/>
        </w:rPr>
        <w:t xml:space="preserve"> </w:t>
      </w:r>
      <w:r w:rsidRPr="002F2904">
        <w:rPr>
          <w:color w:val="000000"/>
          <w:sz w:val="24"/>
          <w:szCs w:val="24"/>
        </w:rPr>
        <w:t xml:space="preserve">% større i gruppen behandlet med duloxetin. Der var også en lille stigning i faste blodglucose og i </w:t>
      </w:r>
      <w:proofErr w:type="gramStart"/>
      <w:r w:rsidRPr="002F2904">
        <w:rPr>
          <w:color w:val="000000"/>
          <w:sz w:val="24"/>
          <w:szCs w:val="24"/>
        </w:rPr>
        <w:t>total kolesterol</w:t>
      </w:r>
      <w:proofErr w:type="gramEnd"/>
      <w:r w:rsidRPr="002F2904">
        <w:rPr>
          <w:color w:val="000000"/>
          <w:sz w:val="24"/>
          <w:szCs w:val="24"/>
        </w:rPr>
        <w:t xml:space="preserve"> hos de duloxetinbehandlede patienter i modsætning til gruppen, der modtog standardbehandling. Her viste laboratorieprøverne en lille sænkning.</w:t>
      </w:r>
    </w:p>
    <w:p w:rsidR="002272D5" w:rsidRPr="002F2904" w:rsidRDefault="002272D5" w:rsidP="002272D5">
      <w:pPr>
        <w:widowControl w:val="0"/>
        <w:autoSpaceDE w:val="0"/>
        <w:autoSpaceDN w:val="0"/>
        <w:adjustRightInd w:val="0"/>
        <w:ind w:left="851" w:hanging="851"/>
        <w:rPr>
          <w:color w:val="000000"/>
          <w:sz w:val="24"/>
          <w:szCs w:val="24"/>
        </w:rPr>
      </w:pPr>
    </w:p>
    <w:p w:rsidR="002272D5" w:rsidRPr="002F2904" w:rsidRDefault="002272D5" w:rsidP="002272D5">
      <w:pPr>
        <w:widowControl w:val="0"/>
        <w:autoSpaceDE w:val="0"/>
        <w:autoSpaceDN w:val="0"/>
        <w:adjustRightInd w:val="0"/>
        <w:ind w:left="851"/>
        <w:rPr>
          <w:color w:val="000000"/>
          <w:sz w:val="24"/>
          <w:szCs w:val="24"/>
        </w:rPr>
      </w:pPr>
      <w:r w:rsidRPr="002F2904">
        <w:rPr>
          <w:color w:val="000000"/>
          <w:sz w:val="24"/>
          <w:szCs w:val="24"/>
        </w:rPr>
        <w:t>De hjertefrekvenskorrigerede QT-intervaller hos duloxetinbehandlede patienter adskilte sig ikke fra dem, der blev observeret hos placebobehandlede patienter. Der blev ikke observeret nogen klinisk signifikante forskelle på QT, PR, QRS eller QTcB</w:t>
      </w:r>
      <w:r>
        <w:rPr>
          <w:color w:val="000000"/>
          <w:sz w:val="24"/>
          <w:szCs w:val="24"/>
        </w:rPr>
        <w:t>-</w:t>
      </w:r>
      <w:r w:rsidRPr="002F2904">
        <w:rPr>
          <w:color w:val="000000"/>
          <w:sz w:val="24"/>
          <w:szCs w:val="24"/>
        </w:rPr>
        <w:t>målinger mellem duloxetinbehandlede og placebobehandlede patienter.</w:t>
      </w:r>
    </w:p>
    <w:p w:rsidR="002272D5" w:rsidRPr="002F2904" w:rsidRDefault="002272D5" w:rsidP="002272D5">
      <w:pPr>
        <w:widowControl w:val="0"/>
        <w:autoSpaceDE w:val="0"/>
        <w:autoSpaceDN w:val="0"/>
        <w:adjustRightInd w:val="0"/>
        <w:ind w:left="851" w:hanging="851"/>
        <w:rPr>
          <w:color w:val="000000"/>
          <w:sz w:val="24"/>
          <w:szCs w:val="24"/>
        </w:rPr>
      </w:pPr>
    </w:p>
    <w:p w:rsidR="002272D5" w:rsidRPr="002F2904" w:rsidRDefault="002272D5" w:rsidP="002272D5">
      <w:pPr>
        <w:widowControl w:val="0"/>
        <w:autoSpaceDE w:val="0"/>
        <w:autoSpaceDN w:val="0"/>
        <w:adjustRightInd w:val="0"/>
        <w:ind w:left="851"/>
        <w:rPr>
          <w:i/>
          <w:iCs/>
          <w:color w:val="000000"/>
          <w:sz w:val="24"/>
          <w:szCs w:val="24"/>
        </w:rPr>
      </w:pPr>
      <w:r w:rsidRPr="002F2904">
        <w:rPr>
          <w:i/>
          <w:iCs/>
          <w:color w:val="000000"/>
          <w:sz w:val="24"/>
          <w:szCs w:val="24"/>
        </w:rPr>
        <w:t>Pædiatrisk population</w:t>
      </w:r>
    </w:p>
    <w:p w:rsidR="002272D5" w:rsidRPr="002F2904" w:rsidRDefault="002272D5" w:rsidP="002272D5">
      <w:pPr>
        <w:widowControl w:val="0"/>
        <w:autoSpaceDE w:val="0"/>
        <w:autoSpaceDN w:val="0"/>
        <w:adjustRightInd w:val="0"/>
        <w:ind w:left="851"/>
        <w:rPr>
          <w:color w:val="000000"/>
          <w:sz w:val="24"/>
          <w:szCs w:val="24"/>
        </w:rPr>
      </w:pPr>
      <w:r w:rsidRPr="002F2904">
        <w:rPr>
          <w:color w:val="000000"/>
          <w:sz w:val="24"/>
          <w:szCs w:val="24"/>
        </w:rPr>
        <w:t>I alt blev 509 pædiatriske patienter i alderen 7 til 17 år med moderat til svær depression og 241 pædiatriske patienter i alderen 7 til 17 år med generaliseret angst behandlet med duloxetin i kliniske studier. Generelt lignede bivirkningsprofilen for duloxetin hos børn og unge bivirkningsprofilen hos voksne.</w:t>
      </w:r>
    </w:p>
    <w:p w:rsidR="002272D5" w:rsidRPr="002F2904" w:rsidRDefault="002272D5" w:rsidP="002272D5">
      <w:pPr>
        <w:widowControl w:val="0"/>
        <w:autoSpaceDE w:val="0"/>
        <w:autoSpaceDN w:val="0"/>
        <w:adjustRightInd w:val="0"/>
        <w:ind w:left="851"/>
        <w:rPr>
          <w:color w:val="000000"/>
          <w:sz w:val="24"/>
          <w:szCs w:val="24"/>
        </w:rPr>
      </w:pPr>
      <w:r w:rsidRPr="002F2904">
        <w:rPr>
          <w:color w:val="000000"/>
          <w:sz w:val="24"/>
          <w:szCs w:val="24"/>
        </w:rPr>
        <w:t xml:space="preserve">I alt 467 pædiatriske patienter, som initialt blev randomiseret til behandling med duloxetin i kliniske studier, havde efter 10 uger et gennemsnitligt vægttab på 0,1 kg sammenlignet med en gennemsnitlig vægtstigning på 0,9 kg hos 353 placebobehandlede patienter. I løbet af en efterfølgende 4-6 måneders forlængelsesperiode tenderede disse patienter i gennemsnit til at genvinde deres forventede </w:t>
      </w:r>
      <w:r w:rsidRPr="002F2904">
        <w:rPr>
          <w:i/>
          <w:iCs/>
          <w:color w:val="000000"/>
          <w:sz w:val="24"/>
          <w:szCs w:val="24"/>
        </w:rPr>
        <w:t>baseline-</w:t>
      </w:r>
      <w:r w:rsidRPr="002F2904">
        <w:rPr>
          <w:color w:val="000000"/>
          <w:sz w:val="24"/>
          <w:szCs w:val="24"/>
        </w:rPr>
        <w:t>vægtpercentil baseret på populationsdata fra kønsmatchede jævnaldrende.</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ind w:left="851"/>
        <w:rPr>
          <w:color w:val="000000"/>
          <w:sz w:val="24"/>
          <w:szCs w:val="24"/>
        </w:rPr>
      </w:pPr>
      <w:r w:rsidRPr="00D86A31">
        <w:rPr>
          <w:color w:val="000000"/>
          <w:sz w:val="24"/>
          <w:szCs w:val="24"/>
        </w:rPr>
        <w:t>I studier af op til 9 måneders varighed sås et overordnet gennemsnitligt fald på 1 % i højdepercentilen (et fald på 2 % hos børn (7-11 år) og en stigning på 0,3 % hos unge (12-17 år)) hos pædiatriske patienter behandlet med duloxetin (se pkt. 4.4).</w:t>
      </w:r>
    </w:p>
    <w:p w:rsidR="004F4CA9" w:rsidRPr="00D86A31" w:rsidRDefault="004F4CA9" w:rsidP="004F4CA9">
      <w:pPr>
        <w:ind w:left="851" w:hanging="851"/>
        <w:rPr>
          <w:i/>
          <w:noProof/>
          <w:sz w:val="24"/>
          <w:szCs w:val="24"/>
        </w:rPr>
      </w:pPr>
    </w:p>
    <w:p w:rsidR="004F4CA9" w:rsidRDefault="004F4CA9" w:rsidP="004F4CA9">
      <w:pPr>
        <w:autoSpaceDE w:val="0"/>
        <w:autoSpaceDN w:val="0"/>
        <w:ind w:left="851"/>
        <w:rPr>
          <w:sz w:val="24"/>
          <w:szCs w:val="24"/>
          <w:u w:val="single"/>
          <w:lang w:eastAsia="da-DK"/>
        </w:rPr>
      </w:pPr>
      <w:r>
        <w:rPr>
          <w:sz w:val="24"/>
          <w:szCs w:val="24"/>
          <w:u w:val="single"/>
        </w:rPr>
        <w:t>Indberetning af formodede bivirkninger</w:t>
      </w:r>
    </w:p>
    <w:p w:rsidR="004F4CA9" w:rsidRDefault="004F4CA9" w:rsidP="004F4CA9">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8529CB">
        <w:rPr>
          <w:sz w:val="24"/>
          <w:szCs w:val="24"/>
        </w:rPr>
        <w:t>S</w:t>
      </w:r>
      <w:r>
        <w:rPr>
          <w:sz w:val="24"/>
          <w:szCs w:val="24"/>
        </w:rPr>
        <w:t>undhedsperson</w:t>
      </w:r>
      <w:r w:rsidR="008529CB">
        <w:rPr>
          <w:sz w:val="24"/>
          <w:szCs w:val="24"/>
        </w:rPr>
        <w:t>er</w:t>
      </w:r>
      <w:r>
        <w:rPr>
          <w:sz w:val="24"/>
          <w:szCs w:val="24"/>
        </w:rPr>
        <w:t xml:space="preserve"> anmodes om at indberette alle formodede bivirkninger via:</w:t>
      </w:r>
    </w:p>
    <w:p w:rsidR="004F4CA9" w:rsidRDefault="004F4CA9" w:rsidP="004F4CA9">
      <w:pPr>
        <w:ind w:left="851"/>
        <w:rPr>
          <w:sz w:val="24"/>
          <w:szCs w:val="24"/>
        </w:rPr>
      </w:pPr>
    </w:p>
    <w:p w:rsidR="004F4CA9" w:rsidRDefault="004F4CA9" w:rsidP="004F4CA9">
      <w:pPr>
        <w:ind w:left="851"/>
        <w:rPr>
          <w:sz w:val="24"/>
          <w:szCs w:val="24"/>
        </w:rPr>
      </w:pPr>
      <w:r>
        <w:rPr>
          <w:sz w:val="24"/>
          <w:szCs w:val="24"/>
        </w:rPr>
        <w:t xml:space="preserve">Lægemiddelstyrelsen </w:t>
      </w:r>
    </w:p>
    <w:p w:rsidR="004F4CA9" w:rsidRDefault="004F4CA9" w:rsidP="004F4CA9">
      <w:pPr>
        <w:ind w:left="851"/>
        <w:rPr>
          <w:sz w:val="24"/>
          <w:szCs w:val="24"/>
        </w:rPr>
      </w:pPr>
      <w:r>
        <w:rPr>
          <w:sz w:val="24"/>
          <w:szCs w:val="24"/>
        </w:rPr>
        <w:t>Axel Heides Gade 1</w:t>
      </w:r>
    </w:p>
    <w:p w:rsidR="004F4CA9" w:rsidRDefault="004F4CA9" w:rsidP="004F4CA9">
      <w:pPr>
        <w:ind w:left="851"/>
        <w:rPr>
          <w:sz w:val="24"/>
          <w:szCs w:val="24"/>
        </w:rPr>
      </w:pPr>
      <w:r>
        <w:rPr>
          <w:sz w:val="24"/>
          <w:szCs w:val="24"/>
        </w:rPr>
        <w:lastRenderedPageBreak/>
        <w:t>DK-2300 København S</w:t>
      </w:r>
    </w:p>
    <w:p w:rsidR="004F4CA9" w:rsidRPr="00E705A8" w:rsidRDefault="004F4CA9" w:rsidP="004F4CA9">
      <w:pPr>
        <w:ind w:left="851"/>
        <w:rPr>
          <w:sz w:val="24"/>
          <w:szCs w:val="24"/>
        </w:rPr>
      </w:pPr>
      <w:r w:rsidRPr="00E705A8">
        <w:rPr>
          <w:sz w:val="24"/>
          <w:szCs w:val="24"/>
        </w:rPr>
        <w:t xml:space="preserve">Websted: </w:t>
      </w:r>
      <w:hyperlink r:id="rId8" w:history="1">
        <w:r w:rsidRPr="00E705A8">
          <w:rPr>
            <w:rStyle w:val="Hyperlink"/>
          </w:rPr>
          <w:t>www.meldenbivirkning.dk</w:t>
        </w:r>
      </w:hyperlink>
    </w:p>
    <w:p w:rsidR="004F4CA9" w:rsidRPr="00E705A8" w:rsidRDefault="004F4CA9" w:rsidP="004F4CA9">
      <w:pPr>
        <w:pStyle w:val="Sidehoved"/>
        <w:tabs>
          <w:tab w:val="clear" w:pos="4819"/>
          <w:tab w:val="clear" w:pos="9638"/>
        </w:tabs>
        <w:ind w:left="851" w:hanging="851"/>
        <w:rPr>
          <w:szCs w:val="24"/>
        </w:rPr>
      </w:pPr>
    </w:p>
    <w:p w:rsidR="004F4CA9" w:rsidRPr="00D86A31" w:rsidRDefault="004F4CA9" w:rsidP="004F4CA9">
      <w:pPr>
        <w:ind w:left="851" w:hanging="851"/>
        <w:rPr>
          <w:b/>
          <w:sz w:val="24"/>
          <w:szCs w:val="24"/>
        </w:rPr>
      </w:pPr>
      <w:r w:rsidRPr="00D86A31">
        <w:rPr>
          <w:b/>
          <w:sz w:val="24"/>
          <w:szCs w:val="24"/>
        </w:rPr>
        <w:t>4.9</w:t>
      </w:r>
      <w:r w:rsidRPr="00D86A31">
        <w:rPr>
          <w:b/>
          <w:sz w:val="24"/>
          <w:szCs w:val="24"/>
        </w:rPr>
        <w:tab/>
        <w:t>Overdosering</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Der er rapporteret tilfælde af overdosering af duloxetin, alene eller i kombination med andre lægemidler, i doser på 5400 mg. Der er sket dødsfald, hovedsageligt med samtidig overdosering af andre lægemidler. Der har dog også været tilfælde med duloxetin alene i doser på omkring 1000 mg. Tegn og symptomer på overdosering (duloxetin alene eller sammen med andre lægemidler) omfatter: Søvnighed, koma, serotoninsyndrom, kramper, opkastning og takykardi.</w:t>
      </w:r>
    </w:p>
    <w:p w:rsidR="004F4CA9" w:rsidRPr="00D86A31" w:rsidRDefault="004F4CA9" w:rsidP="004F4CA9">
      <w:pPr>
        <w:ind w:left="851" w:hanging="851"/>
        <w:rPr>
          <w:rFonts w:eastAsia="MS Mincho"/>
          <w:color w:val="000000"/>
          <w:sz w:val="24"/>
          <w:szCs w:val="24"/>
          <w:lang w:eastAsia="ja-JP"/>
        </w:rPr>
      </w:pPr>
    </w:p>
    <w:p w:rsidR="004F4CA9" w:rsidRPr="00D86A31" w:rsidRDefault="004F4CA9" w:rsidP="004F4CA9">
      <w:pPr>
        <w:ind w:left="851"/>
        <w:rPr>
          <w:sz w:val="24"/>
          <w:szCs w:val="24"/>
        </w:rPr>
      </w:pPr>
      <w:r w:rsidRPr="00D86A31">
        <w:rPr>
          <w:rFonts w:eastAsia="MS Mincho"/>
          <w:color w:val="000000"/>
          <w:sz w:val="24"/>
          <w:szCs w:val="24"/>
          <w:lang w:eastAsia="ja-JP"/>
        </w:rPr>
        <w:t>Der kendes ingen antidot mod duloxetin men i tilfælde af serotoninsyndrom, kan specifik behandling (såsom for cyproheptadin og/eller temperatur 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Duloxetin har stor fordelingsvolumen, og forceret diurese, hæmoperfusion og udskiftningstransfusion har sandsynligvis ingen gavnlig virkning.</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4.10</w:t>
      </w:r>
      <w:r w:rsidRPr="00D86A31">
        <w:rPr>
          <w:b/>
          <w:sz w:val="24"/>
          <w:szCs w:val="24"/>
        </w:rPr>
        <w:tab/>
        <w:t>Udlevering</w:t>
      </w:r>
    </w:p>
    <w:p w:rsidR="00B7748A" w:rsidRPr="002272D5" w:rsidRDefault="004F4CA9" w:rsidP="002272D5">
      <w:pPr>
        <w:ind w:left="851" w:hanging="851"/>
        <w:rPr>
          <w:sz w:val="24"/>
          <w:szCs w:val="24"/>
        </w:rPr>
      </w:pPr>
      <w:r w:rsidRPr="00D86A31">
        <w:rPr>
          <w:sz w:val="24"/>
          <w:szCs w:val="24"/>
        </w:rPr>
        <w:tab/>
      </w:r>
      <w:r>
        <w:rPr>
          <w:sz w:val="24"/>
          <w:szCs w:val="24"/>
        </w:rPr>
        <w:t>B</w:t>
      </w:r>
    </w:p>
    <w:p w:rsidR="00B7748A" w:rsidRDefault="00B7748A" w:rsidP="004F4CA9">
      <w:pPr>
        <w:ind w:left="851" w:hanging="851"/>
        <w:rPr>
          <w:b/>
          <w:sz w:val="24"/>
          <w:szCs w:val="24"/>
        </w:rPr>
      </w:pPr>
    </w:p>
    <w:p w:rsidR="00B7748A" w:rsidRDefault="00B7748A" w:rsidP="004F4CA9">
      <w:pPr>
        <w:ind w:left="851" w:hanging="851"/>
        <w:rPr>
          <w:b/>
          <w:sz w:val="24"/>
          <w:szCs w:val="24"/>
        </w:rPr>
      </w:pPr>
    </w:p>
    <w:p w:rsidR="004F4CA9" w:rsidRPr="00D86A31" w:rsidRDefault="004F4CA9" w:rsidP="004F4CA9">
      <w:pPr>
        <w:ind w:left="851" w:hanging="851"/>
        <w:rPr>
          <w:b/>
          <w:sz w:val="24"/>
          <w:szCs w:val="24"/>
        </w:rPr>
      </w:pPr>
      <w:r w:rsidRPr="00D86A31">
        <w:rPr>
          <w:b/>
          <w:sz w:val="24"/>
          <w:szCs w:val="24"/>
        </w:rPr>
        <w:t>5.</w:t>
      </w:r>
      <w:r w:rsidRPr="00D86A31">
        <w:rPr>
          <w:b/>
          <w:sz w:val="24"/>
          <w:szCs w:val="24"/>
        </w:rPr>
        <w:tab/>
        <w:t>FARMAKOLOGISKE EGENSKABER</w:t>
      </w:r>
    </w:p>
    <w:p w:rsidR="004F4CA9" w:rsidRDefault="004F4CA9" w:rsidP="004F4CA9">
      <w:pPr>
        <w:ind w:left="851" w:hanging="851"/>
        <w:rPr>
          <w:b/>
          <w:sz w:val="24"/>
          <w:szCs w:val="24"/>
        </w:rPr>
      </w:pPr>
    </w:p>
    <w:p w:rsidR="004F4CA9" w:rsidRPr="00D86A31" w:rsidRDefault="004F4CA9" w:rsidP="004F4CA9">
      <w:pPr>
        <w:ind w:left="851" w:hanging="851"/>
        <w:rPr>
          <w:b/>
          <w:sz w:val="24"/>
          <w:szCs w:val="24"/>
        </w:rPr>
      </w:pPr>
      <w:r w:rsidRPr="00D86A31">
        <w:rPr>
          <w:b/>
          <w:sz w:val="24"/>
          <w:szCs w:val="24"/>
        </w:rPr>
        <w:t>5.1</w:t>
      </w:r>
      <w:r w:rsidRPr="00D86A31">
        <w:rPr>
          <w:b/>
          <w:sz w:val="24"/>
          <w:szCs w:val="24"/>
        </w:rPr>
        <w:tab/>
        <w:t>Farmakodynamiske egenskaber</w:t>
      </w:r>
    </w:p>
    <w:p w:rsidR="009E762A" w:rsidRDefault="004F4CA9" w:rsidP="004F4CA9">
      <w:pPr>
        <w:ind w:left="851" w:hanging="851"/>
        <w:rPr>
          <w:sz w:val="24"/>
          <w:szCs w:val="24"/>
        </w:rPr>
      </w:pPr>
      <w:r w:rsidRPr="00D86A31">
        <w:rPr>
          <w:sz w:val="24"/>
          <w:szCs w:val="24"/>
        </w:rPr>
        <w:tab/>
      </w:r>
      <w:r w:rsidR="009E762A" w:rsidRPr="00C922B2">
        <w:rPr>
          <w:sz w:val="24"/>
          <w:szCs w:val="24"/>
        </w:rPr>
        <w:t>Farmakoterapeutisk klassifikation:</w:t>
      </w:r>
      <w:r w:rsidR="009E762A">
        <w:rPr>
          <w:sz w:val="24"/>
          <w:szCs w:val="24"/>
        </w:rPr>
        <w:t xml:space="preserve"> </w:t>
      </w:r>
      <w:r w:rsidR="009E762A" w:rsidRPr="00D86A31">
        <w:rPr>
          <w:color w:val="000000"/>
          <w:sz w:val="24"/>
          <w:szCs w:val="24"/>
        </w:rPr>
        <w:t>Andre antidepressiva</w:t>
      </w:r>
      <w:r w:rsidR="00153781">
        <w:rPr>
          <w:color w:val="000000"/>
          <w:sz w:val="24"/>
          <w:szCs w:val="24"/>
        </w:rPr>
        <w:t>,</w:t>
      </w:r>
      <w:r w:rsidR="009E762A">
        <w:rPr>
          <w:color w:val="000000"/>
          <w:sz w:val="24"/>
          <w:szCs w:val="24"/>
        </w:rPr>
        <w:t xml:space="preserve"> </w:t>
      </w:r>
      <w:r w:rsidR="009E762A" w:rsidRPr="00D86A31">
        <w:rPr>
          <w:color w:val="000000"/>
          <w:sz w:val="24"/>
          <w:szCs w:val="24"/>
        </w:rPr>
        <w:t>ATC-kode: N06AX21.</w:t>
      </w:r>
    </w:p>
    <w:p w:rsidR="009E762A" w:rsidRDefault="009E762A" w:rsidP="004F4CA9">
      <w:pPr>
        <w:ind w:left="851" w:hanging="851"/>
        <w:rPr>
          <w:sz w:val="24"/>
          <w:szCs w:val="24"/>
        </w:rPr>
      </w:pPr>
    </w:p>
    <w:p w:rsidR="004F4CA9" w:rsidRPr="00D86A31" w:rsidRDefault="004F4CA9" w:rsidP="009E762A">
      <w:pPr>
        <w:ind w:left="851"/>
        <w:rPr>
          <w:iCs/>
          <w:color w:val="000000"/>
          <w:sz w:val="24"/>
          <w:szCs w:val="24"/>
          <w:u w:val="single"/>
        </w:rPr>
      </w:pPr>
      <w:r w:rsidRPr="00D86A31">
        <w:rPr>
          <w:iCs/>
          <w:color w:val="000000"/>
          <w:sz w:val="24"/>
          <w:szCs w:val="24"/>
          <w:u w:val="single"/>
        </w:rPr>
        <w:t>Virkningsmekanisme</w:t>
      </w: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Duloxetin er en kombineret serotonin- (5-HT) og noradrenalin (NA)-genoptagelses</w:t>
      </w:r>
      <w:r>
        <w:rPr>
          <w:color w:val="000000"/>
          <w:sz w:val="24"/>
          <w:szCs w:val="24"/>
        </w:rPr>
        <w:softHyphen/>
      </w:r>
      <w:r w:rsidRPr="00D86A31">
        <w:rPr>
          <w:color w:val="000000"/>
          <w:sz w:val="24"/>
          <w:szCs w:val="24"/>
        </w:rPr>
        <w:t>hæmmer. Det hæmmer svagt dopamingenoptagelsen uden nogen signifikant affinitet til histaminerge, dopaminerge, kolinerge og adrenerge receptorer. Afhængig af dosis forøger duloxetin ekstracellulær serotonin og noradrenalin i forskellige dele af hjernen hos dyr.</w:t>
      </w:r>
    </w:p>
    <w:p w:rsidR="004F4CA9" w:rsidRPr="00D86A31" w:rsidRDefault="004F4CA9" w:rsidP="004F4CA9">
      <w:pPr>
        <w:widowControl w:val="0"/>
        <w:autoSpaceDE w:val="0"/>
        <w:autoSpaceDN w:val="0"/>
        <w:adjustRightInd w:val="0"/>
        <w:ind w:left="851" w:hanging="851"/>
        <w:rPr>
          <w:i/>
          <w:iCs/>
          <w:color w:val="000000"/>
          <w:sz w:val="24"/>
          <w:szCs w:val="24"/>
        </w:rPr>
      </w:pPr>
    </w:p>
    <w:p w:rsidR="004F4CA9" w:rsidRPr="00D86A31" w:rsidRDefault="004F4CA9" w:rsidP="004F4CA9">
      <w:pPr>
        <w:widowControl w:val="0"/>
        <w:autoSpaceDE w:val="0"/>
        <w:autoSpaceDN w:val="0"/>
        <w:adjustRightInd w:val="0"/>
        <w:ind w:left="851"/>
        <w:rPr>
          <w:iCs/>
          <w:color w:val="000000"/>
          <w:sz w:val="24"/>
          <w:szCs w:val="24"/>
          <w:u w:val="single"/>
        </w:rPr>
      </w:pPr>
      <w:r w:rsidRPr="00D86A31">
        <w:rPr>
          <w:iCs/>
          <w:color w:val="000000"/>
          <w:sz w:val="24"/>
          <w:szCs w:val="24"/>
          <w:u w:val="single"/>
        </w:rPr>
        <w:t>Farmakodynamisk virkning</w:t>
      </w: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Duloxetin normaliserede smertetærsklen i flere prækliniske modeller af neuropatisk og inflammatorisk smerte og svækkede smerteoplevelsen i en model af vedvarende smerte. Den smertehæmmende virkning af duloxetin menes at være et resultat af en potensering af descenderende smertehæmmende baner i centralnervesystemet.</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iCs/>
          <w:color w:val="000000"/>
          <w:sz w:val="24"/>
          <w:szCs w:val="24"/>
          <w:u w:val="single"/>
        </w:rPr>
      </w:pPr>
      <w:r w:rsidRPr="00D86A31">
        <w:rPr>
          <w:iCs/>
          <w:color w:val="000000"/>
          <w:sz w:val="24"/>
          <w:szCs w:val="24"/>
          <w:u w:val="single"/>
        </w:rPr>
        <w:t>Klinisk virkning og sikkerhed</w:t>
      </w:r>
    </w:p>
    <w:p w:rsidR="004F4CA9" w:rsidRPr="00D86A31" w:rsidRDefault="004F4CA9" w:rsidP="004F4CA9">
      <w:pPr>
        <w:widowControl w:val="0"/>
        <w:autoSpaceDE w:val="0"/>
        <w:autoSpaceDN w:val="0"/>
        <w:adjustRightInd w:val="0"/>
        <w:ind w:left="851"/>
        <w:rPr>
          <w:color w:val="000000"/>
          <w:sz w:val="24"/>
          <w:szCs w:val="24"/>
        </w:rPr>
      </w:pPr>
      <w:r w:rsidRPr="00D86A31">
        <w:rPr>
          <w:i/>
          <w:iCs/>
          <w:color w:val="000000"/>
          <w:sz w:val="24"/>
          <w:szCs w:val="24"/>
        </w:rPr>
        <w:t>Moderate til svære depressioner:</w:t>
      </w:r>
      <w:r>
        <w:rPr>
          <w:i/>
          <w:iCs/>
          <w:color w:val="000000"/>
          <w:sz w:val="24"/>
          <w:szCs w:val="24"/>
        </w:rPr>
        <w:t xml:space="preserve"> </w:t>
      </w:r>
      <w:r w:rsidRPr="00D86A31">
        <w:rPr>
          <w:color w:val="000000"/>
          <w:sz w:val="24"/>
          <w:szCs w:val="24"/>
        </w:rPr>
        <w:t xml:space="preserve">I et klinisk forsøgsprogram med 3.158 patienter (svarende til eksponering i 1.285 patientår) blev </w:t>
      </w:r>
      <w:r w:rsidRPr="00D86A31">
        <w:rPr>
          <w:rFonts w:eastAsia="MS Mincho"/>
          <w:color w:val="000000"/>
          <w:sz w:val="24"/>
          <w:szCs w:val="24"/>
          <w:lang w:eastAsia="ja-JP"/>
        </w:rPr>
        <w:t>duloxetin</w:t>
      </w:r>
      <w:r w:rsidRPr="00D86A31">
        <w:rPr>
          <w:color w:val="000000"/>
          <w:sz w:val="24"/>
          <w:szCs w:val="24"/>
        </w:rPr>
        <w:t xml:space="preserve"> undersøgt mod DSM-IV kriterierne for moderate til svære depressioner. Effekten af </w:t>
      </w:r>
      <w:r w:rsidRPr="00D86A31">
        <w:rPr>
          <w:rFonts w:eastAsia="MS Mincho"/>
          <w:color w:val="000000"/>
          <w:sz w:val="24"/>
          <w:szCs w:val="24"/>
          <w:lang w:eastAsia="ja-JP"/>
        </w:rPr>
        <w:t>duloxetin</w:t>
      </w:r>
      <w:r w:rsidRPr="00D86A31">
        <w:rPr>
          <w:color w:val="000000"/>
          <w:sz w:val="24"/>
          <w:szCs w:val="24"/>
        </w:rPr>
        <w:t xml:space="preserve"> er vist med den anbefalede faste dosis på 60 mg én gang daglig i tre ud af tre randomiserede dobbeltblinde, placebo-kontrollerede akutstudier med fastlagt dosis hos voksne ambulante patienter med moderate til svære depressioner. Som helhed er der vist effekt af </w:t>
      </w:r>
      <w:r w:rsidRPr="00D86A31">
        <w:rPr>
          <w:rFonts w:eastAsia="MS Mincho"/>
          <w:color w:val="000000"/>
          <w:sz w:val="24"/>
          <w:szCs w:val="24"/>
          <w:lang w:eastAsia="ja-JP"/>
        </w:rPr>
        <w:t>duloxetin</w:t>
      </w:r>
      <w:r w:rsidRPr="00D86A31">
        <w:rPr>
          <w:color w:val="000000"/>
          <w:sz w:val="24"/>
          <w:szCs w:val="24"/>
        </w:rPr>
        <w:t xml:space="preserve"> ved en daglig fast dosering mellem 60 og 120 mg i fem ud af syv randomiserede dobbeltblinde, placebokontrollerede akutstudier med fastlagt dosis på voksne ambulante patienter med moderate til svære depressioner.</w:t>
      </w:r>
    </w:p>
    <w:p w:rsidR="004F4CA9" w:rsidRPr="00D86A31" w:rsidRDefault="004F4CA9" w:rsidP="004F4CA9">
      <w:pPr>
        <w:widowControl w:val="0"/>
        <w:autoSpaceDE w:val="0"/>
        <w:autoSpaceDN w:val="0"/>
        <w:adjustRightInd w:val="0"/>
        <w:ind w:left="851" w:hanging="851"/>
        <w:rPr>
          <w:color w:val="000000"/>
          <w:sz w:val="24"/>
          <w:szCs w:val="24"/>
        </w:rPr>
      </w:pPr>
    </w:p>
    <w:p w:rsidR="002272D5" w:rsidRPr="002F2904" w:rsidRDefault="002272D5" w:rsidP="00E2006B">
      <w:pPr>
        <w:autoSpaceDE w:val="0"/>
        <w:autoSpaceDN w:val="0"/>
        <w:adjustRightInd w:val="0"/>
        <w:ind w:left="851"/>
        <w:rPr>
          <w:color w:val="000000"/>
          <w:sz w:val="24"/>
          <w:szCs w:val="24"/>
        </w:rPr>
      </w:pPr>
      <w:r w:rsidRPr="002F2904">
        <w:rPr>
          <w:rFonts w:eastAsia="MS Mincho"/>
          <w:color w:val="000000"/>
          <w:sz w:val="24"/>
          <w:szCs w:val="24"/>
          <w:lang w:eastAsia="ja-JP"/>
        </w:rPr>
        <w:t>Duloxetin</w:t>
      </w:r>
      <w:r w:rsidRPr="002F2904">
        <w:rPr>
          <w:color w:val="000000"/>
          <w:sz w:val="24"/>
          <w:szCs w:val="24"/>
        </w:rPr>
        <w:t xml:space="preserve"> var signifikant bedre end placebo målt som forbedring i total score på Hamilton 17- punkts skalaen (HAM-D) (inklusiv</w:t>
      </w:r>
      <w:r>
        <w:rPr>
          <w:color w:val="000000"/>
          <w:sz w:val="24"/>
          <w:szCs w:val="24"/>
        </w:rPr>
        <w:t>e</w:t>
      </w:r>
      <w:r w:rsidRPr="002F2904">
        <w:rPr>
          <w:color w:val="000000"/>
          <w:sz w:val="24"/>
          <w:szCs w:val="24"/>
        </w:rPr>
        <w:t xml:space="preserve"> både følelses og somatiske symptomer ved depression). Data for virkning og bedring viste sig også statistisk signifikant bedre for </w:t>
      </w:r>
      <w:r w:rsidRPr="002F2904">
        <w:rPr>
          <w:rFonts w:eastAsia="MS Mincho"/>
          <w:color w:val="000000"/>
          <w:sz w:val="24"/>
          <w:szCs w:val="24"/>
          <w:lang w:eastAsia="ja-JP"/>
        </w:rPr>
        <w:t>duloxetin</w:t>
      </w:r>
      <w:r w:rsidRPr="002F2904">
        <w:rPr>
          <w:color w:val="000000"/>
          <w:sz w:val="24"/>
          <w:szCs w:val="24"/>
        </w:rPr>
        <w:t xml:space="preserve"> sammenlignet med placebo. Kun en lille del af de inkluderede patienter i de vigtigste kliniske studier led af svære depressioner (basislin</w:t>
      </w:r>
      <w:r>
        <w:rPr>
          <w:color w:val="000000"/>
          <w:sz w:val="24"/>
          <w:szCs w:val="24"/>
        </w:rPr>
        <w:t>j</w:t>
      </w:r>
      <w:r w:rsidRPr="002F2904">
        <w:rPr>
          <w:color w:val="000000"/>
          <w:sz w:val="24"/>
          <w:szCs w:val="24"/>
        </w:rPr>
        <w:t>e HAM-D&gt;25).</w:t>
      </w:r>
    </w:p>
    <w:p w:rsidR="004F4CA9" w:rsidRPr="00D86A31" w:rsidRDefault="004F4CA9" w:rsidP="004F4CA9">
      <w:pPr>
        <w:widowControl w:val="0"/>
        <w:autoSpaceDE w:val="0"/>
        <w:autoSpaceDN w:val="0"/>
        <w:adjustRightInd w:val="0"/>
        <w:ind w:left="851" w:hanging="851"/>
        <w:rPr>
          <w:color w:val="000000"/>
          <w:sz w:val="24"/>
          <w:szCs w:val="24"/>
        </w:rPr>
      </w:pPr>
    </w:p>
    <w:p w:rsidR="002272D5" w:rsidRPr="002F2904" w:rsidRDefault="002272D5" w:rsidP="002272D5">
      <w:pPr>
        <w:widowControl w:val="0"/>
        <w:autoSpaceDE w:val="0"/>
        <w:autoSpaceDN w:val="0"/>
        <w:adjustRightInd w:val="0"/>
        <w:ind w:left="851"/>
        <w:rPr>
          <w:color w:val="000000"/>
          <w:sz w:val="24"/>
          <w:szCs w:val="24"/>
        </w:rPr>
      </w:pPr>
      <w:r w:rsidRPr="002F2904">
        <w:rPr>
          <w:color w:val="000000"/>
          <w:sz w:val="24"/>
          <w:szCs w:val="24"/>
        </w:rPr>
        <w:t xml:space="preserve">I et studie med forebyggelse af tilbagefald, hvor patienterne blev randomiserede til enten </w:t>
      </w:r>
      <w:r w:rsidRPr="002F2904">
        <w:rPr>
          <w:rFonts w:eastAsia="MS Mincho"/>
          <w:color w:val="000000"/>
          <w:sz w:val="24"/>
          <w:szCs w:val="24"/>
          <w:lang w:eastAsia="ja-JP"/>
        </w:rPr>
        <w:t>duloxetin</w:t>
      </w:r>
      <w:r w:rsidRPr="002F2904">
        <w:rPr>
          <w:color w:val="000000"/>
          <w:sz w:val="24"/>
          <w:szCs w:val="24"/>
        </w:rPr>
        <w:t xml:space="preserve"> 60 mg eller placebo i yderligere 6 måneder, efter 12-ugers akut behandling med open-label </w:t>
      </w:r>
      <w:r w:rsidRPr="002F2904">
        <w:rPr>
          <w:rFonts w:eastAsia="MS Mincho"/>
          <w:color w:val="000000"/>
          <w:sz w:val="24"/>
          <w:szCs w:val="24"/>
          <w:lang w:eastAsia="ja-JP"/>
        </w:rPr>
        <w:t>duloxetin</w:t>
      </w:r>
      <w:r w:rsidRPr="002F2904">
        <w:rPr>
          <w:color w:val="000000"/>
          <w:sz w:val="24"/>
          <w:szCs w:val="24"/>
        </w:rPr>
        <w:t xml:space="preserve"> 60 mg én gang daglig viste </w:t>
      </w:r>
      <w:r w:rsidRPr="002F2904">
        <w:rPr>
          <w:rFonts w:eastAsia="MS Mincho"/>
          <w:color w:val="000000"/>
          <w:sz w:val="24"/>
          <w:szCs w:val="24"/>
          <w:lang w:eastAsia="ja-JP"/>
        </w:rPr>
        <w:t>duloxetin</w:t>
      </w:r>
      <w:r w:rsidRPr="002F2904">
        <w:rPr>
          <w:color w:val="000000"/>
          <w:sz w:val="24"/>
          <w:szCs w:val="24"/>
        </w:rPr>
        <w:t xml:space="preserve"> 60 mg én gang daglig sig statistisk signifikant bedre end placebo (p=0,004) på den primære parameter, som var forebyggelsen af depressive tilbagefald målt som tid til tilbagefald. Hyppigheden af tilbagefald i den 6-måneders dobbeltblinde followup-periode var henholdsvis 17</w:t>
      </w:r>
      <w:r>
        <w:rPr>
          <w:color w:val="000000"/>
          <w:sz w:val="24"/>
          <w:szCs w:val="24"/>
        </w:rPr>
        <w:t xml:space="preserve"> </w:t>
      </w:r>
      <w:r w:rsidRPr="002F2904">
        <w:rPr>
          <w:color w:val="000000"/>
          <w:sz w:val="24"/>
          <w:szCs w:val="24"/>
        </w:rPr>
        <w:t>% for duloxetin og 29</w:t>
      </w:r>
      <w:r>
        <w:rPr>
          <w:color w:val="000000"/>
          <w:sz w:val="24"/>
          <w:szCs w:val="24"/>
        </w:rPr>
        <w:t xml:space="preserve"> </w:t>
      </w:r>
      <w:r w:rsidRPr="002F2904">
        <w:rPr>
          <w:color w:val="000000"/>
          <w:sz w:val="24"/>
          <w:szCs w:val="24"/>
        </w:rPr>
        <w:t>% for placebo.</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I løbet af 52 ugers placebo-kontrolleret dobbeltblind behandling, havde duloxetin-behandlede patienter med tilbagevendende moderat til svær depression, en signifikant længere symptomfri periode (p &lt; 0,001) sammenlignet med placebo-randomiserede patienter. Alle patienter havde tidligere responderet på duloxetin i en ublindet duloxetin-behandlingsperiode (28 til 34 uger) med en dosis på 60 til 120 mg/dag. I løbet af den 52 uger lange placebo-kontrollerede dobbeltblinde behandlingsperiode oplevede 14,4 % af de duloxetin-behandlede patienter og 33,1 % af de placebo- behandlede patienter en tilbagevenden af deres depressive symptomer (p&lt;0,001).</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 xml:space="preserve">I et studie med ældre depressive patienter (≥ 65 år), som viste en statistisk signifikant forskel i reduktionen i HAMD17-scoren for duloxetinbehandlede patienter sammenlignet med placebo, blev effekten af </w:t>
      </w:r>
      <w:r w:rsidRPr="00D86A31">
        <w:rPr>
          <w:rFonts w:eastAsia="MS Mincho"/>
          <w:color w:val="000000"/>
          <w:sz w:val="24"/>
          <w:szCs w:val="24"/>
          <w:lang w:eastAsia="ja-JP"/>
        </w:rPr>
        <w:t>duloxetin</w:t>
      </w:r>
      <w:r w:rsidRPr="00D86A31">
        <w:rPr>
          <w:color w:val="000000"/>
          <w:sz w:val="24"/>
          <w:szCs w:val="24"/>
        </w:rPr>
        <w:t xml:space="preserve"> 60 mg en gang daglig særligt undersøgt. Den procentvise del af de ældre patienter, som kunne tåle behandlingen med </w:t>
      </w:r>
      <w:r w:rsidRPr="00D86A31">
        <w:rPr>
          <w:rFonts w:eastAsia="MS Mincho"/>
          <w:color w:val="000000"/>
          <w:sz w:val="24"/>
          <w:szCs w:val="24"/>
          <w:lang w:eastAsia="ja-JP"/>
        </w:rPr>
        <w:t>duloxetin</w:t>
      </w:r>
      <w:r w:rsidRPr="00D86A31">
        <w:rPr>
          <w:color w:val="000000"/>
          <w:sz w:val="24"/>
          <w:szCs w:val="24"/>
        </w:rPr>
        <w:t xml:space="preserve"> 60 mg en gang daglig var sammenlignelig med den, der blev set hos yngre voksne. Data for ældre patienter udsat for den maksimale dosis (120 mg daglig) er dog begrænset, og det anbefales derfor, at der udvises forsigtighed, når denne befolkningsgruppe behandles.</w:t>
      </w:r>
    </w:p>
    <w:p w:rsidR="004F4CA9" w:rsidRDefault="004F4CA9" w:rsidP="004F4CA9">
      <w:pPr>
        <w:widowControl w:val="0"/>
        <w:autoSpaceDE w:val="0"/>
        <w:autoSpaceDN w:val="0"/>
        <w:adjustRightInd w:val="0"/>
        <w:ind w:left="851" w:hanging="851"/>
        <w:rPr>
          <w:i/>
          <w:iCs/>
          <w:color w:val="000000"/>
          <w:sz w:val="24"/>
          <w:szCs w:val="24"/>
        </w:rPr>
      </w:pPr>
    </w:p>
    <w:p w:rsidR="004F4CA9" w:rsidRPr="00D86A31" w:rsidRDefault="004F4CA9" w:rsidP="004F4CA9">
      <w:pPr>
        <w:widowControl w:val="0"/>
        <w:autoSpaceDE w:val="0"/>
        <w:autoSpaceDN w:val="0"/>
        <w:adjustRightInd w:val="0"/>
        <w:ind w:left="851"/>
        <w:rPr>
          <w:i/>
          <w:iCs/>
          <w:color w:val="000000"/>
          <w:sz w:val="24"/>
          <w:szCs w:val="24"/>
        </w:rPr>
      </w:pPr>
      <w:r w:rsidRPr="00D86A31">
        <w:rPr>
          <w:i/>
          <w:iCs/>
          <w:color w:val="000000"/>
          <w:sz w:val="24"/>
          <w:szCs w:val="24"/>
        </w:rPr>
        <w:t>Generaliseret angst:</w:t>
      </w:r>
    </w:p>
    <w:p w:rsidR="004F4CA9" w:rsidRPr="00D86A31" w:rsidRDefault="004F4CA9" w:rsidP="004F4CA9">
      <w:pPr>
        <w:widowControl w:val="0"/>
        <w:autoSpaceDE w:val="0"/>
        <w:autoSpaceDN w:val="0"/>
        <w:adjustRightInd w:val="0"/>
        <w:ind w:left="851"/>
        <w:rPr>
          <w:color w:val="000000"/>
          <w:sz w:val="24"/>
          <w:szCs w:val="24"/>
        </w:rPr>
      </w:pPr>
      <w:r w:rsidRPr="00D86A31">
        <w:rPr>
          <w:rFonts w:eastAsia="MS Mincho"/>
          <w:color w:val="000000"/>
          <w:sz w:val="24"/>
          <w:szCs w:val="24"/>
          <w:lang w:eastAsia="ja-JP"/>
        </w:rPr>
        <w:t>Duloxetin</w:t>
      </w:r>
      <w:r w:rsidRPr="00D86A31">
        <w:rPr>
          <w:color w:val="000000"/>
          <w:sz w:val="24"/>
          <w:szCs w:val="24"/>
        </w:rPr>
        <w:t xml:space="preserve"> viste statistisk signifikant fordel i forhold til placebo i fem ud af fem studier inklusive fire randomiserede, dobbeltblinde, placebokontrollerede akutstudier og et studie af forebyggelse af tilbagefald hos voksne patienter med generaliseret angst.</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color w:val="000000"/>
          <w:sz w:val="24"/>
          <w:szCs w:val="24"/>
        </w:rPr>
      </w:pPr>
      <w:r w:rsidRPr="00D86A31">
        <w:rPr>
          <w:rFonts w:eastAsia="MS Mincho"/>
          <w:color w:val="000000"/>
          <w:sz w:val="24"/>
          <w:szCs w:val="24"/>
          <w:lang w:eastAsia="ja-JP"/>
        </w:rPr>
        <w:t>Duloxetin</w:t>
      </w:r>
      <w:r w:rsidRPr="00D86A31">
        <w:rPr>
          <w:color w:val="000000"/>
          <w:sz w:val="24"/>
          <w:szCs w:val="24"/>
        </w:rPr>
        <w:t xml:space="preserve"> viste statistisk signifikant fordel i forhold til placebo målt som bedring på Hamilton Anxiety Scale (HAM-A) totalscore og på Sheehan Disability Scale (SDS) som score for total funktionel hæmning. Graden af respons og bedring var også højere med </w:t>
      </w:r>
      <w:r w:rsidRPr="00D86A31">
        <w:rPr>
          <w:rFonts w:eastAsia="MS Mincho"/>
          <w:color w:val="000000"/>
          <w:sz w:val="24"/>
          <w:szCs w:val="24"/>
          <w:lang w:eastAsia="ja-JP"/>
        </w:rPr>
        <w:t>duloxetin</w:t>
      </w:r>
      <w:r w:rsidRPr="00D86A31">
        <w:rPr>
          <w:color w:val="000000"/>
          <w:sz w:val="24"/>
          <w:szCs w:val="24"/>
        </w:rPr>
        <w:t xml:space="preserve"> sammenlignet med placebo. </w:t>
      </w:r>
      <w:r w:rsidRPr="00D86A31">
        <w:rPr>
          <w:rFonts w:eastAsia="MS Mincho"/>
          <w:color w:val="000000"/>
          <w:sz w:val="24"/>
          <w:szCs w:val="24"/>
          <w:lang w:eastAsia="ja-JP"/>
        </w:rPr>
        <w:t>Duloxetin</w:t>
      </w:r>
      <w:r w:rsidRPr="00D86A31">
        <w:rPr>
          <w:color w:val="000000"/>
          <w:sz w:val="24"/>
          <w:szCs w:val="24"/>
        </w:rPr>
        <w:t xml:space="preserve"> viste sammenlignelige resultater med venlafaxin udtrykt i HAM-A totalscore.</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 xml:space="preserve">I et studie med forebyggelse af tilbagefald blev de patienter, som responderede på 6 måneders akut behandling med open-label </w:t>
      </w:r>
      <w:r w:rsidRPr="00D86A31">
        <w:rPr>
          <w:rFonts w:eastAsia="MS Mincho"/>
          <w:color w:val="000000"/>
          <w:sz w:val="24"/>
          <w:szCs w:val="24"/>
          <w:lang w:eastAsia="ja-JP"/>
        </w:rPr>
        <w:t>duloxetin</w:t>
      </w:r>
      <w:r w:rsidRPr="00D86A31">
        <w:rPr>
          <w:color w:val="000000"/>
          <w:sz w:val="24"/>
          <w:szCs w:val="24"/>
        </w:rPr>
        <w:t xml:space="preserve">, randomiseret til enten </w:t>
      </w:r>
      <w:r w:rsidRPr="00D86A31">
        <w:rPr>
          <w:rFonts w:eastAsia="MS Mincho"/>
          <w:color w:val="000000"/>
          <w:sz w:val="24"/>
          <w:szCs w:val="24"/>
          <w:lang w:eastAsia="ja-JP"/>
        </w:rPr>
        <w:t>duloxetin</w:t>
      </w:r>
      <w:r w:rsidRPr="00D86A31">
        <w:rPr>
          <w:color w:val="000000"/>
          <w:sz w:val="24"/>
          <w:szCs w:val="24"/>
        </w:rPr>
        <w:t xml:space="preserve"> eller placebo i yderligere 6 måneder. </w:t>
      </w:r>
      <w:r w:rsidRPr="00D86A31">
        <w:rPr>
          <w:rFonts w:eastAsia="MS Mincho"/>
          <w:color w:val="000000"/>
          <w:sz w:val="24"/>
          <w:szCs w:val="24"/>
          <w:lang w:eastAsia="ja-JP"/>
        </w:rPr>
        <w:t>Duloxetin</w:t>
      </w:r>
      <w:r w:rsidRPr="00D86A31">
        <w:rPr>
          <w:color w:val="000000"/>
          <w:sz w:val="24"/>
          <w:szCs w:val="24"/>
        </w:rPr>
        <w:t xml:space="preserve"> 60 mg til 120 mg en gang daglig viste statistisk signifikant fordel sammenlignet med placebo (p&lt;0.0001) ved forebyggelse af tilbagefald målt som tid til tilbagefald. Incidensen af tilbagefald under den 6-måneders dobbeltblinde followup periode var 14 % for </w:t>
      </w:r>
      <w:r w:rsidRPr="00D86A31">
        <w:rPr>
          <w:rFonts w:eastAsia="MS Mincho"/>
          <w:color w:val="000000"/>
          <w:sz w:val="24"/>
          <w:szCs w:val="24"/>
          <w:lang w:eastAsia="ja-JP"/>
        </w:rPr>
        <w:t>duloxetin</w:t>
      </w:r>
      <w:r w:rsidRPr="00D86A31">
        <w:rPr>
          <w:color w:val="000000"/>
          <w:sz w:val="24"/>
          <w:szCs w:val="24"/>
        </w:rPr>
        <w:t xml:space="preserve"> og 42 % for placebo.</w:t>
      </w: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 xml:space="preserve">Effekten af </w:t>
      </w:r>
      <w:r w:rsidRPr="00D86A31">
        <w:rPr>
          <w:rFonts w:eastAsia="MS Mincho"/>
          <w:color w:val="000000"/>
          <w:sz w:val="24"/>
          <w:szCs w:val="24"/>
          <w:lang w:eastAsia="ja-JP"/>
        </w:rPr>
        <w:t>duloxetin</w:t>
      </w:r>
      <w:r w:rsidRPr="00D86A31">
        <w:rPr>
          <w:color w:val="000000"/>
          <w:sz w:val="24"/>
          <w:szCs w:val="24"/>
        </w:rPr>
        <w:t xml:space="preserve"> 30-120 mg (fleksibel dosering) en gang dagligt hos ældre patienter (&gt; 65 år) med generaliseret angst blev evalueret i et studie, som viste statistisk signifikant </w:t>
      </w:r>
      <w:r w:rsidRPr="00D86A31">
        <w:rPr>
          <w:color w:val="000000"/>
          <w:sz w:val="24"/>
          <w:szCs w:val="24"/>
        </w:rPr>
        <w:lastRenderedPageBreak/>
        <w:t xml:space="preserve">forbedring i HAM-A- totalscoren hos duloxetinbehandlede patienter sammenlignet med placebobehandlede patienter. Virkningen og sikkerheden af </w:t>
      </w:r>
      <w:r w:rsidRPr="00D86A31">
        <w:rPr>
          <w:rFonts w:eastAsia="MS Mincho"/>
          <w:color w:val="000000"/>
          <w:sz w:val="24"/>
          <w:szCs w:val="24"/>
          <w:lang w:eastAsia="ja-JP"/>
        </w:rPr>
        <w:t>duloxetin</w:t>
      </w:r>
      <w:r w:rsidRPr="00D86A31">
        <w:rPr>
          <w:color w:val="000000"/>
          <w:sz w:val="24"/>
          <w:szCs w:val="24"/>
        </w:rPr>
        <w:t xml:space="preserve"> 30-120 mg en gang dagligt hos ældre patienter med generaliseret angst svarede til virkningen og sikkerheden observeret i studier med yngre voksne patienter. Der er dog begrænsede data vedrørende den maksimale dosis (120 mg dagligt) hos ældre patienter, hvorfor det anbefales at udvise forsigtighed, når denne dosis bruges hos den ældre population.</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i/>
          <w:iCs/>
          <w:color w:val="000000"/>
          <w:sz w:val="24"/>
          <w:szCs w:val="24"/>
        </w:rPr>
      </w:pPr>
      <w:r w:rsidRPr="00D86A31">
        <w:rPr>
          <w:i/>
          <w:iCs/>
          <w:color w:val="000000"/>
          <w:sz w:val="24"/>
          <w:szCs w:val="24"/>
        </w:rPr>
        <w:t xml:space="preserve">Perifere diabetiske neuropatiske smerter: </w:t>
      </w:r>
      <w:r w:rsidRPr="00D86A31">
        <w:rPr>
          <w:color w:val="000000"/>
          <w:sz w:val="24"/>
          <w:szCs w:val="24"/>
        </w:rPr>
        <w:t xml:space="preserve">Effekten af </w:t>
      </w:r>
      <w:r w:rsidRPr="00D86A31">
        <w:rPr>
          <w:rFonts w:eastAsia="MS Mincho"/>
          <w:color w:val="000000"/>
          <w:sz w:val="24"/>
          <w:szCs w:val="24"/>
          <w:lang w:eastAsia="ja-JP"/>
        </w:rPr>
        <w:t>duloxetin</w:t>
      </w:r>
      <w:r w:rsidRPr="00D86A31">
        <w:rPr>
          <w:color w:val="000000"/>
          <w:sz w:val="24"/>
          <w:szCs w:val="24"/>
        </w:rPr>
        <w:t xml:space="preserve"> som en behandling af diabetiske neuropatiske smerter blev etableret i 2 randomiserede 12-ugers, dobbeltblinde, placebokontrollerede studier med fast dosis hos voksne (22 til</w:t>
      </w:r>
      <w:r w:rsidRPr="00D86A31">
        <w:rPr>
          <w:i/>
          <w:iCs/>
          <w:color w:val="000000"/>
          <w:sz w:val="24"/>
          <w:szCs w:val="24"/>
        </w:rPr>
        <w:t xml:space="preserve"> </w:t>
      </w:r>
      <w:r w:rsidRPr="00D86A31">
        <w:rPr>
          <w:color w:val="000000"/>
          <w:sz w:val="24"/>
          <w:szCs w:val="24"/>
        </w:rPr>
        <w:t>88 år), som havde haft diabetiske neuropatiske smerter i mindst 6 måneder. Patienter, som levede op til diagnose kriterierne for moderat til svær depression, blev ekskluderet fra disse studier. Det primære endepunkt var den ugentlige middelværdi af 24-timers gennemsnitlig smerte, som blev noteret hver dag af patienterne i dagbog målt på en 11-punkts Likert skala.</w:t>
      </w:r>
    </w:p>
    <w:p w:rsidR="004F4CA9" w:rsidRPr="00D86A31" w:rsidRDefault="004F4CA9" w:rsidP="004F4CA9">
      <w:pPr>
        <w:widowControl w:val="0"/>
        <w:autoSpaceDE w:val="0"/>
        <w:autoSpaceDN w:val="0"/>
        <w:adjustRightInd w:val="0"/>
        <w:ind w:left="851" w:hanging="851"/>
        <w:rPr>
          <w:color w:val="000000"/>
          <w:sz w:val="24"/>
          <w:szCs w:val="24"/>
        </w:rPr>
      </w:pPr>
    </w:p>
    <w:p w:rsidR="002272D5" w:rsidRPr="002F2904" w:rsidRDefault="002272D5" w:rsidP="002272D5">
      <w:pPr>
        <w:widowControl w:val="0"/>
        <w:autoSpaceDE w:val="0"/>
        <w:autoSpaceDN w:val="0"/>
        <w:adjustRightInd w:val="0"/>
        <w:ind w:left="851"/>
        <w:rPr>
          <w:color w:val="000000"/>
          <w:sz w:val="24"/>
          <w:szCs w:val="24"/>
        </w:rPr>
      </w:pPr>
      <w:r w:rsidRPr="002F2904">
        <w:rPr>
          <w:rFonts w:eastAsia="MS Mincho"/>
          <w:color w:val="000000"/>
          <w:sz w:val="24"/>
          <w:szCs w:val="24"/>
          <w:lang w:eastAsia="ja-JP"/>
        </w:rPr>
        <w:t>Duloxetin</w:t>
      </w:r>
      <w:r w:rsidRPr="002F2904">
        <w:rPr>
          <w:color w:val="000000"/>
          <w:sz w:val="24"/>
          <w:szCs w:val="24"/>
        </w:rPr>
        <w:t xml:space="preserve"> blev givet i to forskellige dagsdoser: 60 mg én gang daglig og 60 mg to gange daglig. Begge studier viste en signifikant smertereduktion sammenlignet med placebo. Hos nogle patienter var effekten tydelig i den første uge af behandlingen. Forskellen i den gennemsnitlige forbedring mellem de to aktive behandlingsarme var ikke signifikant. Mindst 30</w:t>
      </w:r>
      <w:r>
        <w:rPr>
          <w:color w:val="000000"/>
          <w:sz w:val="24"/>
          <w:szCs w:val="24"/>
        </w:rPr>
        <w:t xml:space="preserve"> </w:t>
      </w:r>
      <w:r w:rsidRPr="002F2904">
        <w:rPr>
          <w:color w:val="000000"/>
          <w:sz w:val="24"/>
          <w:szCs w:val="24"/>
        </w:rPr>
        <w:t>% smertereduktion blev observeret hos ca. 65</w:t>
      </w:r>
      <w:r>
        <w:rPr>
          <w:color w:val="000000"/>
          <w:sz w:val="24"/>
          <w:szCs w:val="24"/>
        </w:rPr>
        <w:t xml:space="preserve"> </w:t>
      </w:r>
      <w:r w:rsidRPr="002F2904">
        <w:rPr>
          <w:color w:val="000000"/>
          <w:sz w:val="24"/>
          <w:szCs w:val="24"/>
        </w:rPr>
        <w:t>% duloxetinbehandlede patienter mod 40</w:t>
      </w:r>
      <w:r>
        <w:rPr>
          <w:color w:val="000000"/>
          <w:sz w:val="24"/>
          <w:szCs w:val="24"/>
        </w:rPr>
        <w:t xml:space="preserve"> </w:t>
      </w:r>
      <w:r w:rsidRPr="002F2904">
        <w:rPr>
          <w:color w:val="000000"/>
          <w:sz w:val="24"/>
          <w:szCs w:val="24"/>
        </w:rPr>
        <w:t>% placebobehandlede. De tilsvarende tal for mindst 50</w:t>
      </w:r>
      <w:r>
        <w:rPr>
          <w:color w:val="000000"/>
          <w:sz w:val="24"/>
          <w:szCs w:val="24"/>
        </w:rPr>
        <w:t xml:space="preserve"> </w:t>
      </w:r>
      <w:r w:rsidRPr="002F2904">
        <w:rPr>
          <w:color w:val="000000"/>
          <w:sz w:val="24"/>
          <w:szCs w:val="24"/>
        </w:rPr>
        <w:t>% smertereduktion var henholdsvis 50</w:t>
      </w:r>
      <w:r>
        <w:rPr>
          <w:color w:val="000000"/>
          <w:sz w:val="24"/>
          <w:szCs w:val="24"/>
        </w:rPr>
        <w:t xml:space="preserve"> </w:t>
      </w:r>
      <w:r w:rsidRPr="002F2904">
        <w:rPr>
          <w:color w:val="000000"/>
          <w:sz w:val="24"/>
          <w:szCs w:val="24"/>
        </w:rPr>
        <w:t>% og 26</w:t>
      </w:r>
      <w:r>
        <w:rPr>
          <w:color w:val="000000"/>
          <w:sz w:val="24"/>
          <w:szCs w:val="24"/>
        </w:rPr>
        <w:t xml:space="preserve"> </w:t>
      </w:r>
      <w:r w:rsidRPr="002F2904">
        <w:rPr>
          <w:color w:val="000000"/>
          <w:sz w:val="24"/>
          <w:szCs w:val="24"/>
        </w:rPr>
        <w:t>%. Klinisk respons (mindst 50</w:t>
      </w:r>
      <w:r>
        <w:rPr>
          <w:color w:val="000000"/>
          <w:sz w:val="24"/>
          <w:szCs w:val="24"/>
        </w:rPr>
        <w:t xml:space="preserve"> </w:t>
      </w:r>
      <w:r w:rsidRPr="002F2904">
        <w:rPr>
          <w:color w:val="000000"/>
          <w:sz w:val="24"/>
          <w:szCs w:val="24"/>
        </w:rPr>
        <w:t>% smertereduktion) blev analyseret i forhold til om, patienten havde oplevet somnolens under behandlingen. Hos patienter, som ikke havde oplevet somnolens, blev der observeret klinisk respons hos 47</w:t>
      </w:r>
      <w:r>
        <w:rPr>
          <w:color w:val="000000"/>
          <w:sz w:val="24"/>
          <w:szCs w:val="24"/>
        </w:rPr>
        <w:t xml:space="preserve"> </w:t>
      </w:r>
      <w:r w:rsidRPr="002F2904">
        <w:rPr>
          <w:color w:val="000000"/>
          <w:sz w:val="24"/>
          <w:szCs w:val="24"/>
        </w:rPr>
        <w:t>% af de duloxetinbehandlede patienter og 27</w:t>
      </w:r>
      <w:r>
        <w:rPr>
          <w:color w:val="000000"/>
          <w:sz w:val="24"/>
          <w:szCs w:val="24"/>
        </w:rPr>
        <w:t xml:space="preserve"> </w:t>
      </w:r>
      <w:r w:rsidRPr="002F2904">
        <w:rPr>
          <w:color w:val="000000"/>
          <w:sz w:val="24"/>
          <w:szCs w:val="24"/>
        </w:rPr>
        <w:t>% af de placebobehandlede patienter. Hos patienter, som havde oplevet somnolens, blev der målt klinisk respons hos 60</w:t>
      </w:r>
      <w:r>
        <w:rPr>
          <w:color w:val="000000"/>
          <w:sz w:val="24"/>
          <w:szCs w:val="24"/>
        </w:rPr>
        <w:t xml:space="preserve"> </w:t>
      </w:r>
      <w:r w:rsidRPr="002F2904">
        <w:rPr>
          <w:color w:val="000000"/>
          <w:sz w:val="24"/>
          <w:szCs w:val="24"/>
        </w:rPr>
        <w:t>% af de duloxetinbehandlede patienterne og 30</w:t>
      </w:r>
      <w:r>
        <w:rPr>
          <w:color w:val="000000"/>
          <w:sz w:val="24"/>
          <w:szCs w:val="24"/>
        </w:rPr>
        <w:t xml:space="preserve"> </w:t>
      </w:r>
      <w:r w:rsidRPr="002F2904">
        <w:rPr>
          <w:color w:val="000000"/>
          <w:sz w:val="24"/>
          <w:szCs w:val="24"/>
        </w:rPr>
        <w:t>% af de placebobehandlede patienter. Det er usandsynligt, at patienter, som ikke opnåede en smertereduktion på 30</w:t>
      </w:r>
      <w:r>
        <w:rPr>
          <w:color w:val="000000"/>
          <w:sz w:val="24"/>
          <w:szCs w:val="24"/>
        </w:rPr>
        <w:t xml:space="preserve"> </w:t>
      </w:r>
      <w:r w:rsidRPr="002F2904">
        <w:rPr>
          <w:color w:val="000000"/>
          <w:sz w:val="24"/>
          <w:szCs w:val="24"/>
        </w:rPr>
        <w:t>% indenfor 60 dage, skulle kunne opnå dette niveau af smertereduktion ved yderligere behandling.</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 xml:space="preserve">Hos de patienter, som responderede på 8-ugers akut behandling med 60 mg </w:t>
      </w:r>
      <w:r w:rsidRPr="00D86A31">
        <w:rPr>
          <w:rFonts w:eastAsia="MS Mincho"/>
          <w:color w:val="000000"/>
          <w:sz w:val="24"/>
          <w:szCs w:val="24"/>
          <w:lang w:eastAsia="ja-JP"/>
        </w:rPr>
        <w:t>duloxetin</w:t>
      </w:r>
      <w:r w:rsidRPr="00D86A31">
        <w:rPr>
          <w:color w:val="000000"/>
          <w:sz w:val="24"/>
          <w:szCs w:val="24"/>
        </w:rPr>
        <w:t xml:space="preserve"> en gang daglig i et open-label, langtids, ukontrolleret studie, holdt smertereduktionen i yderligere 6 måneder. Det blev målt som ændring på det 24 timers gennemsnitlige smerteindeks BriefPainInventory (BPI).</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iCs/>
          <w:color w:val="000000"/>
          <w:sz w:val="24"/>
          <w:szCs w:val="24"/>
          <w:u w:val="single"/>
        </w:rPr>
      </w:pPr>
      <w:r w:rsidRPr="00D86A31">
        <w:rPr>
          <w:iCs/>
          <w:color w:val="000000"/>
          <w:sz w:val="24"/>
          <w:szCs w:val="24"/>
          <w:u w:val="single"/>
        </w:rPr>
        <w:t>Pædiatrisk population</w:t>
      </w: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Duloxetin er ikke blevet undersøgt hos patienter under 7 år. Der er gennemført to randomiserede, dobbeltblindede parallel-studier med 800 pædiatriske patienter i alderen 7-17 år med moderat t</w:t>
      </w:r>
      <w:r>
        <w:rPr>
          <w:color w:val="000000"/>
          <w:sz w:val="24"/>
          <w:szCs w:val="24"/>
        </w:rPr>
        <w:t>il svær depression (se pkt. 4.2</w:t>
      </w:r>
      <w:r w:rsidRPr="00D86A31">
        <w:rPr>
          <w:color w:val="000000"/>
          <w:sz w:val="24"/>
          <w:szCs w:val="24"/>
        </w:rPr>
        <w:t xml:space="preserve">). I disse to studier indgik en 10 ugers akutfase med placebo og aktiv (fluoxetin) kontrol efterfulgt af en 6 måneders behandlingsfase med aktiv kontrol. Hverken duloxetin (30-120 mg) eller den aktive kontrolarm (fluoxetin 20-40 mg) adskilte sig statistisk set fra placebo, hvad angår ændring fra </w:t>
      </w:r>
      <w:r w:rsidRPr="00D86A31">
        <w:rPr>
          <w:i/>
          <w:iCs/>
          <w:color w:val="000000"/>
          <w:sz w:val="24"/>
          <w:szCs w:val="24"/>
        </w:rPr>
        <w:t xml:space="preserve">baseline </w:t>
      </w:r>
      <w:r w:rsidRPr="00D86A31">
        <w:rPr>
          <w:color w:val="000000"/>
          <w:sz w:val="24"/>
          <w:szCs w:val="24"/>
        </w:rPr>
        <w:t xml:space="preserve">til endepunkt i den samlede score på </w:t>
      </w:r>
      <w:r w:rsidRPr="00D86A31">
        <w:rPr>
          <w:i/>
          <w:iCs/>
          <w:color w:val="000000"/>
          <w:sz w:val="24"/>
          <w:szCs w:val="24"/>
        </w:rPr>
        <w:t xml:space="preserve">Children’s Depression Rating Scale-Revised </w:t>
      </w:r>
      <w:r w:rsidRPr="00D86A31">
        <w:rPr>
          <w:color w:val="000000"/>
          <w:sz w:val="24"/>
          <w:szCs w:val="24"/>
        </w:rPr>
        <w:t xml:space="preserve">(CDRS-R). Afbrydelse af behandlingen pga. bivirkninger skete oftere hos duloxetinbehandlede patienter sammenlignet med fluoxetinbehandlede, som regel pga. kvalme. Selvmordsrelateret adfærd blev indberettet i løbet af den 10 uger lange akutfase med aktiv behandling (duloxetin 0/333 [0 %], fluoxetin 2/225 [0,9 %], placebo 1/220 [0,5 %]). I løbet af studiets 36 ugers varighed udviste 6 ud af 333 patienter, som initialt var randomiseret til duloxetin, og 3 ud af 225 patienter initialt randomiseret til fluoxetin selvmordsrelateret adfærd (eksponeringsjusteret forekomst var 0,039 hændelser pr. patientår for duloxetin og 0,026 for fluoxetin). Derudover udviste en patient, som skiftede </w:t>
      </w:r>
      <w:r w:rsidRPr="00D86A31">
        <w:rPr>
          <w:color w:val="000000"/>
          <w:sz w:val="24"/>
          <w:szCs w:val="24"/>
        </w:rPr>
        <w:lastRenderedPageBreak/>
        <w:t>fra placebo til duloxetin, selvmordsrelateret adfærd under behandlingen med duloxetin.</w:t>
      </w:r>
    </w:p>
    <w:p w:rsidR="004F4CA9" w:rsidRPr="00D86A31" w:rsidRDefault="004F4CA9" w:rsidP="004F4CA9">
      <w:pPr>
        <w:widowControl w:val="0"/>
        <w:autoSpaceDE w:val="0"/>
        <w:autoSpaceDN w:val="0"/>
        <w:adjustRightInd w:val="0"/>
        <w:ind w:left="851" w:hanging="851"/>
        <w:rPr>
          <w:color w:val="000000"/>
          <w:sz w:val="24"/>
          <w:szCs w:val="24"/>
        </w:rPr>
      </w:pPr>
    </w:p>
    <w:p w:rsidR="004F4CA9" w:rsidRPr="00D86A31" w:rsidRDefault="004F4CA9" w:rsidP="004F4CA9">
      <w:pPr>
        <w:widowControl w:val="0"/>
        <w:autoSpaceDE w:val="0"/>
        <w:autoSpaceDN w:val="0"/>
        <w:adjustRightInd w:val="0"/>
        <w:ind w:left="851"/>
        <w:rPr>
          <w:color w:val="000000"/>
          <w:sz w:val="24"/>
          <w:szCs w:val="24"/>
        </w:rPr>
      </w:pPr>
      <w:r w:rsidRPr="00D86A31">
        <w:rPr>
          <w:color w:val="000000"/>
          <w:sz w:val="24"/>
          <w:szCs w:val="24"/>
        </w:rPr>
        <w:t>Der er gennemført et dobbeltblindet, randomiseret, placebokontrolleret studie med 272 patienter i alderen 7-17 år med generaliseret angst. I studiet indgik en 10 ugers placebokontrolleret akutfase efterfulgt af en forlænget behandlingsperiode på 18 uger. I studiet blev der anvendt et fleksibelt dosisregime for at muliggøre en langsom dosiseskalering fra 30 mg en gang daglig til højere doser (maksimalt 120 mg en gang daglig). Behandling med duloxetin gav en statistisk signifikant større forbedring af symptomerne på generaliseret angst målt med PARS (</w:t>
      </w:r>
      <w:r w:rsidRPr="00D86A31">
        <w:rPr>
          <w:i/>
          <w:iCs/>
          <w:color w:val="000000"/>
          <w:sz w:val="24"/>
          <w:szCs w:val="24"/>
        </w:rPr>
        <w:t>Paediatric Anxiety Rating Scale</w:t>
      </w:r>
      <w:r w:rsidRPr="00D86A31">
        <w:rPr>
          <w:color w:val="000000"/>
          <w:sz w:val="24"/>
          <w:szCs w:val="24"/>
        </w:rPr>
        <w:t>) sværhedsscore for generaliseret angst (gennemsnitlig forskel på 2,7 point [95 % CI 1,3-4,0] mellem duloxetin og placebo) efter 10 ugers behandling. Vedligeholdelse af virkning er ikke blevet evalueret. Der var ikke statistisk signifikant forskel i seponeringfrekvens på grund af bivirkninger mellem duloxetingruppen og placebogruppen i løbet af akutfasen på 10 uger. To patienter, som skiftede fra placebo til duloxetin efter akutfasen, udviste selvmordsrelateret adfærd under behandlingen med duloxetin i forlængelsesfasen. Der foreligger ikke en overordnet benefit/risk-konklusion for denne aldersgruppe (se også pkt. 4.2 og 4.8).</w:t>
      </w:r>
    </w:p>
    <w:p w:rsidR="004F4CA9" w:rsidRPr="00D86A31" w:rsidRDefault="004F4CA9" w:rsidP="004F4CA9">
      <w:pPr>
        <w:suppressAutoHyphens/>
        <w:ind w:left="851" w:hanging="851"/>
        <w:rPr>
          <w:color w:val="000000"/>
          <w:sz w:val="24"/>
          <w:szCs w:val="24"/>
        </w:rPr>
      </w:pPr>
    </w:p>
    <w:p w:rsidR="002272D5" w:rsidRPr="00A566E8" w:rsidRDefault="002272D5" w:rsidP="002272D5">
      <w:pPr>
        <w:suppressAutoHyphens/>
        <w:ind w:left="851"/>
        <w:rPr>
          <w:sz w:val="24"/>
          <w:szCs w:val="24"/>
        </w:rPr>
      </w:pPr>
      <w:r w:rsidRPr="00A566E8">
        <w:rPr>
          <w:sz w:val="24"/>
          <w:szCs w:val="24"/>
        </w:rPr>
        <w:t>Der er gennemført et enkelt studie med pædiatriske patienter med juvenil primær fibromyalgi syndrom (JPFS), hvor den duloxetinbehandlede gruppe ikke adskilte sig fra placebogruppen for det primære effektmål. Der er derved ikke vist effekt i denne pædiatriske patientpopulation. Det randomiserede, dobbeltblindede, placebokontrollerede, parallelgruppe studie med duloxetin blev gennemført med 184 unge i alderen 13 til 18 år (gennemsnitsalder 15,53 år) med JPFS. Studiet inkluderede en 13 ugers dobbeltblindet periode hvor patienter blev randomiseret til duloxetin 30 mg/60 mg eller placebo dagligt. Duloxetin viste ingen effekt på reduktion af smerte for det primære endepunkt, målt ved gennemsnitligt smerteindeks i henhold til Brief Pain Inventory (BPI): gennemsnitlig ændring fra baseline ved mindste kvadraters metode (LS) i BPI gennemsnitlig smertescore ved 13 uger var -0,97 i placebogruppen sammenlignet med -1,62 i gruppen duloxetin 30/60 mg (p = 0,052). Sikkerhedsresultaterne fra dette studie var i overensstemmelse med den kendte sikkerhedsprofil for duloxetin.</w:t>
      </w:r>
    </w:p>
    <w:p w:rsidR="002272D5" w:rsidRPr="002F2904" w:rsidRDefault="002272D5" w:rsidP="002272D5">
      <w:pPr>
        <w:suppressAutoHyphens/>
        <w:ind w:left="851" w:hanging="851"/>
        <w:rPr>
          <w:color w:val="000000"/>
          <w:sz w:val="24"/>
          <w:szCs w:val="24"/>
        </w:rPr>
      </w:pPr>
    </w:p>
    <w:p w:rsidR="002272D5" w:rsidRPr="002F2904" w:rsidRDefault="002272D5" w:rsidP="002272D5">
      <w:pPr>
        <w:ind w:left="851"/>
        <w:rPr>
          <w:sz w:val="24"/>
          <w:szCs w:val="24"/>
        </w:rPr>
      </w:pPr>
      <w:r w:rsidRPr="002F2904">
        <w:rPr>
          <w:color w:val="000000"/>
          <w:sz w:val="24"/>
          <w:szCs w:val="24"/>
        </w:rPr>
        <w:t xml:space="preserve">Det Europæiske Lægemiddelagentur har dispenseret fra kravet om at fremlægge resultaterne af studier med </w:t>
      </w:r>
      <w:r>
        <w:rPr>
          <w:color w:val="000000"/>
          <w:sz w:val="24"/>
          <w:szCs w:val="24"/>
        </w:rPr>
        <w:t xml:space="preserve">referenceproduktet indeholdende </w:t>
      </w:r>
      <w:r w:rsidRPr="002F2904">
        <w:rPr>
          <w:rFonts w:eastAsia="MS Mincho"/>
          <w:color w:val="000000"/>
          <w:sz w:val="24"/>
          <w:szCs w:val="24"/>
          <w:lang w:eastAsia="ja-JP"/>
        </w:rPr>
        <w:t>duloxetin</w:t>
      </w:r>
      <w:r w:rsidRPr="002F2904">
        <w:rPr>
          <w:color w:val="000000"/>
          <w:sz w:val="24"/>
          <w:szCs w:val="24"/>
        </w:rPr>
        <w:t xml:space="preserve"> i alle undergrupper af den pædiatriske population med moderat til svær depression, diabetisk neuropatisk smerte og generaliseret angst (se pkt. 4.2 for oplysninger om pædiatrisk anvendelse).</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5.2</w:t>
      </w:r>
      <w:r w:rsidRPr="00D86A31">
        <w:rPr>
          <w:b/>
          <w:sz w:val="24"/>
          <w:szCs w:val="24"/>
        </w:rPr>
        <w:tab/>
        <w:t>Farmakokinetiske egenskaber</w:t>
      </w:r>
    </w:p>
    <w:p w:rsidR="002272D5" w:rsidRPr="002F2904" w:rsidRDefault="004F4CA9" w:rsidP="002272D5">
      <w:pPr>
        <w:widowControl w:val="0"/>
        <w:autoSpaceDE w:val="0"/>
        <w:autoSpaceDN w:val="0"/>
        <w:adjustRightInd w:val="0"/>
        <w:ind w:left="851" w:hanging="851"/>
        <w:rPr>
          <w:rFonts w:eastAsia="MS Mincho"/>
          <w:color w:val="000000"/>
          <w:sz w:val="24"/>
          <w:szCs w:val="24"/>
          <w:lang w:eastAsia="ja-JP"/>
        </w:rPr>
      </w:pPr>
      <w:r w:rsidRPr="00D86A31">
        <w:rPr>
          <w:sz w:val="24"/>
          <w:szCs w:val="24"/>
        </w:rPr>
        <w:tab/>
      </w:r>
      <w:r w:rsidR="002272D5" w:rsidRPr="002F2904">
        <w:rPr>
          <w:rFonts w:eastAsia="MS Mincho"/>
          <w:color w:val="000000"/>
          <w:sz w:val="24"/>
          <w:szCs w:val="24"/>
          <w:lang w:eastAsia="ja-JP"/>
        </w:rPr>
        <w:t>Duloxetin indgives som en enkelt enantiomer. Duloxetin metaboliseres i udstrakt grad af oxiderende enzymer (CYP1A2 og det polymorfe CYP2D6) efterfulgt af konjugering. Duloxetins farmakokinetik viser stor variation mellem patienter (generelt 50-60</w:t>
      </w:r>
      <w:r w:rsidR="002272D5">
        <w:rPr>
          <w:rFonts w:eastAsia="MS Mincho"/>
          <w:color w:val="000000"/>
          <w:sz w:val="24"/>
          <w:szCs w:val="24"/>
          <w:lang w:eastAsia="ja-JP"/>
        </w:rPr>
        <w:t xml:space="preserve"> </w:t>
      </w:r>
      <w:r w:rsidR="002272D5" w:rsidRPr="002F2904">
        <w:rPr>
          <w:rFonts w:eastAsia="MS Mincho"/>
          <w:color w:val="000000"/>
          <w:sz w:val="24"/>
          <w:szCs w:val="24"/>
          <w:lang w:eastAsia="ja-JP"/>
        </w:rPr>
        <w:t>%), delvist på grund af køn, alder, ryger-/ikke- rygerstatus og CYP2D6-metaboliseringsstatus.</w:t>
      </w:r>
    </w:p>
    <w:p w:rsidR="002272D5" w:rsidRPr="002F2904" w:rsidRDefault="002272D5" w:rsidP="002272D5">
      <w:pPr>
        <w:widowControl w:val="0"/>
        <w:autoSpaceDE w:val="0"/>
        <w:autoSpaceDN w:val="0"/>
        <w:adjustRightInd w:val="0"/>
        <w:ind w:left="851" w:hanging="851"/>
        <w:rPr>
          <w:rFonts w:eastAsia="MS Mincho"/>
          <w:i/>
          <w:iCs/>
          <w:color w:val="000000"/>
          <w:sz w:val="24"/>
          <w:szCs w:val="24"/>
          <w:lang w:eastAsia="ja-JP"/>
        </w:rPr>
      </w:pPr>
    </w:p>
    <w:p w:rsidR="002272D5" w:rsidRPr="002F2904" w:rsidRDefault="002272D5" w:rsidP="002272D5">
      <w:pPr>
        <w:widowControl w:val="0"/>
        <w:autoSpaceDE w:val="0"/>
        <w:autoSpaceDN w:val="0"/>
        <w:adjustRightInd w:val="0"/>
        <w:ind w:left="851"/>
        <w:rPr>
          <w:rFonts w:eastAsia="MS Mincho"/>
          <w:iCs/>
          <w:color w:val="000000"/>
          <w:sz w:val="24"/>
          <w:szCs w:val="24"/>
          <w:u w:val="single"/>
          <w:lang w:eastAsia="ja-JP"/>
        </w:rPr>
      </w:pPr>
      <w:r w:rsidRPr="002F2904">
        <w:rPr>
          <w:rFonts w:eastAsia="MS Mincho"/>
          <w:iCs/>
          <w:color w:val="000000"/>
          <w:sz w:val="24"/>
          <w:szCs w:val="24"/>
          <w:u w:val="single"/>
          <w:lang w:eastAsia="ja-JP"/>
        </w:rPr>
        <w:t>Absorption</w:t>
      </w: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 xml:space="preserve">Duloxetin absorberes godt efter oral indgift med </w:t>
      </w:r>
      <w:r w:rsidRPr="002F2904">
        <w:rPr>
          <w:sz w:val="24"/>
          <w:szCs w:val="24"/>
        </w:rPr>
        <w:t>C</w:t>
      </w:r>
      <w:r w:rsidRPr="002F2904">
        <w:rPr>
          <w:sz w:val="24"/>
          <w:szCs w:val="24"/>
          <w:vertAlign w:val="subscript"/>
        </w:rPr>
        <w:t>max</w:t>
      </w:r>
      <w:r w:rsidRPr="002F2904">
        <w:rPr>
          <w:rFonts w:eastAsia="MS Mincho"/>
          <w:color w:val="000000"/>
          <w:position w:val="-4"/>
          <w:sz w:val="24"/>
          <w:szCs w:val="24"/>
          <w:lang w:eastAsia="ja-JP"/>
        </w:rPr>
        <w:t xml:space="preserve"> </w:t>
      </w:r>
      <w:r w:rsidRPr="002F2904">
        <w:rPr>
          <w:rFonts w:eastAsia="MS Mincho"/>
          <w:color w:val="000000"/>
          <w:sz w:val="24"/>
          <w:szCs w:val="24"/>
          <w:lang w:eastAsia="ja-JP"/>
        </w:rPr>
        <w:t>6 timer efter dosisindgift. Den absolutte orale biotilgængelighed for duloxetin ligger på 32-80</w:t>
      </w:r>
      <w:r>
        <w:rPr>
          <w:rFonts w:eastAsia="MS Mincho"/>
          <w:color w:val="000000"/>
          <w:sz w:val="24"/>
          <w:szCs w:val="24"/>
          <w:lang w:eastAsia="ja-JP"/>
        </w:rPr>
        <w:t xml:space="preserve"> </w:t>
      </w:r>
      <w:r w:rsidRPr="002F2904">
        <w:rPr>
          <w:rFonts w:eastAsia="MS Mincho"/>
          <w:color w:val="000000"/>
          <w:sz w:val="24"/>
          <w:szCs w:val="24"/>
          <w:lang w:eastAsia="ja-JP"/>
        </w:rPr>
        <w:t>% (gns. på 50</w:t>
      </w:r>
      <w:r>
        <w:rPr>
          <w:rFonts w:eastAsia="MS Mincho"/>
          <w:color w:val="000000"/>
          <w:sz w:val="24"/>
          <w:szCs w:val="24"/>
          <w:lang w:eastAsia="ja-JP"/>
        </w:rPr>
        <w:t xml:space="preserve"> </w:t>
      </w:r>
      <w:r w:rsidRPr="002F2904">
        <w:rPr>
          <w:rFonts w:eastAsia="MS Mincho"/>
          <w:color w:val="000000"/>
          <w:sz w:val="24"/>
          <w:szCs w:val="24"/>
          <w:lang w:eastAsia="ja-JP"/>
        </w:rPr>
        <w:t>%). Fødeindtagelse udsætter tidspunktet for opnåelse af den maksimale koncentration fra 6 til 10 timer og mindsker omfanget af absorptionen marginalt (omtrent 11</w:t>
      </w:r>
      <w:r>
        <w:rPr>
          <w:rFonts w:eastAsia="MS Mincho"/>
          <w:color w:val="000000"/>
          <w:sz w:val="24"/>
          <w:szCs w:val="24"/>
          <w:lang w:eastAsia="ja-JP"/>
        </w:rPr>
        <w:t xml:space="preserve"> </w:t>
      </w:r>
      <w:r w:rsidRPr="002F2904">
        <w:rPr>
          <w:rFonts w:eastAsia="MS Mincho"/>
          <w:color w:val="000000"/>
          <w:sz w:val="24"/>
          <w:szCs w:val="24"/>
          <w:lang w:eastAsia="ja-JP"/>
        </w:rPr>
        <w:t>%). Disse ændringer har ingen klinisk signifikans.</w:t>
      </w:r>
    </w:p>
    <w:p w:rsidR="002272D5" w:rsidRPr="002F2904" w:rsidRDefault="002272D5" w:rsidP="002272D5">
      <w:pPr>
        <w:widowControl w:val="0"/>
        <w:autoSpaceDE w:val="0"/>
        <w:autoSpaceDN w:val="0"/>
        <w:adjustRightInd w:val="0"/>
        <w:ind w:left="851" w:hanging="851"/>
        <w:rPr>
          <w:rFonts w:eastAsia="MS Mincho"/>
          <w:color w:val="000000"/>
          <w:sz w:val="24"/>
          <w:szCs w:val="24"/>
          <w:lang w:eastAsia="ja-JP"/>
        </w:rPr>
      </w:pPr>
    </w:p>
    <w:p w:rsidR="002272D5" w:rsidRPr="002F2904" w:rsidRDefault="002272D5" w:rsidP="00E2006B">
      <w:pPr>
        <w:keepNext/>
        <w:widowControl w:val="0"/>
        <w:autoSpaceDE w:val="0"/>
        <w:autoSpaceDN w:val="0"/>
        <w:adjustRightInd w:val="0"/>
        <w:ind w:left="851"/>
        <w:rPr>
          <w:rFonts w:eastAsia="MS Mincho"/>
          <w:iCs/>
          <w:color w:val="000000"/>
          <w:sz w:val="24"/>
          <w:szCs w:val="24"/>
          <w:u w:val="single"/>
          <w:lang w:eastAsia="ja-JP"/>
        </w:rPr>
      </w:pPr>
      <w:r w:rsidRPr="002F2904">
        <w:rPr>
          <w:rFonts w:eastAsia="MS Mincho"/>
          <w:iCs/>
          <w:color w:val="000000"/>
          <w:sz w:val="24"/>
          <w:szCs w:val="24"/>
          <w:u w:val="single"/>
          <w:lang w:eastAsia="ja-JP"/>
        </w:rPr>
        <w:lastRenderedPageBreak/>
        <w:t xml:space="preserve">Fordeling </w:t>
      </w:r>
    </w:p>
    <w:p w:rsidR="002272D5" w:rsidRPr="002F2904" w:rsidRDefault="002272D5" w:rsidP="00E2006B">
      <w:pPr>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Ca. 96</w:t>
      </w:r>
      <w:r>
        <w:rPr>
          <w:rFonts w:eastAsia="MS Mincho"/>
          <w:color w:val="000000"/>
          <w:sz w:val="24"/>
          <w:szCs w:val="24"/>
          <w:lang w:eastAsia="ja-JP"/>
        </w:rPr>
        <w:t xml:space="preserve"> </w:t>
      </w:r>
      <w:r w:rsidRPr="002F2904">
        <w:rPr>
          <w:rFonts w:eastAsia="MS Mincho"/>
          <w:color w:val="000000"/>
          <w:sz w:val="24"/>
          <w:szCs w:val="24"/>
          <w:lang w:eastAsia="ja-JP"/>
        </w:rPr>
        <w:t>% af duloxetin er bundet til humane plasmaproteiner. Duloxetin bindes til både albumin og alfa-1-syre-glykoprotein. Proteinbindingen påvirkes ikke af nedsat nyre- eller leverfunktion.</w:t>
      </w:r>
    </w:p>
    <w:p w:rsidR="004F4CA9" w:rsidRPr="00D86A31" w:rsidRDefault="004F4CA9" w:rsidP="002272D5">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iCs/>
          <w:color w:val="000000"/>
          <w:sz w:val="24"/>
          <w:szCs w:val="24"/>
          <w:u w:val="single"/>
          <w:lang w:eastAsia="ja-JP"/>
        </w:rPr>
      </w:pPr>
      <w:r w:rsidRPr="00D86A31">
        <w:rPr>
          <w:rFonts w:eastAsia="MS Mincho"/>
          <w:iCs/>
          <w:color w:val="000000"/>
          <w:sz w:val="24"/>
          <w:szCs w:val="24"/>
          <w:u w:val="single"/>
          <w:lang w:eastAsia="ja-JP"/>
        </w:rPr>
        <w:t>Biotransformation</w:t>
      </w:r>
      <w:r w:rsidRPr="00D86A31">
        <w:rPr>
          <w:rFonts w:eastAsia="MS Mincho"/>
          <w:iCs/>
          <w:color w:val="000000"/>
          <w:sz w:val="24"/>
          <w:szCs w:val="24"/>
          <w:u w:val="single"/>
          <w:lang w:eastAsia="ja-JP"/>
        </w:rPr>
        <w:br/>
      </w:r>
      <w:r w:rsidRPr="00D86A31">
        <w:rPr>
          <w:rFonts w:eastAsia="MS Mincho"/>
          <w:color w:val="000000"/>
          <w:sz w:val="24"/>
          <w:szCs w:val="24"/>
          <w:lang w:eastAsia="ja-JP"/>
        </w:rPr>
        <w:t xml:space="preserve">Duloxetin metaboliseres i udstrakt grad, og metabolitterne udskilles hovedsageligt med urinen. Både cytochrom P450-2D6 og -1A2 katalyserer dannelsen af de to hovedmetabolitter: glukuronidkonjugat af 4-hydroxy-duloxetin og sulfatkonjugat af 5-hydroxy-6-methoxy-duloxetin. På baggrund af </w:t>
      </w:r>
      <w:r w:rsidRPr="00D86A31">
        <w:rPr>
          <w:rFonts w:eastAsia="MS Mincho"/>
          <w:i/>
          <w:iCs/>
          <w:color w:val="000000"/>
          <w:sz w:val="24"/>
          <w:szCs w:val="24"/>
          <w:lang w:eastAsia="ja-JP"/>
        </w:rPr>
        <w:t>in vitro</w:t>
      </w:r>
      <w:r w:rsidRPr="00D86A31">
        <w:rPr>
          <w:rFonts w:eastAsia="MS Mincho"/>
          <w:color w:val="000000"/>
          <w:sz w:val="24"/>
          <w:szCs w:val="24"/>
          <w:lang w:eastAsia="ja-JP"/>
        </w:rPr>
        <w:t>-studier betragtes duloxetins cirkulerende metabolitter som farmakologisk inaktive. Duloxetins farmakokinetiske egenskaber er ikke blevet specifikt undersøgt hos patienter, som har en ringe CYP2D6 metabolisering. Begrænsede data tyder på, at duloxetin plasmaniveauet hos disse patienter er højere.</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iCs/>
          <w:color w:val="000000"/>
          <w:sz w:val="24"/>
          <w:szCs w:val="24"/>
          <w:u w:val="single"/>
          <w:lang w:eastAsia="ja-JP"/>
        </w:rPr>
        <w:t>Elimination</w:t>
      </w:r>
      <w:r w:rsidRPr="00D86A31">
        <w:rPr>
          <w:rFonts w:eastAsia="MS Mincho"/>
          <w:iCs/>
          <w:color w:val="000000"/>
          <w:sz w:val="24"/>
          <w:szCs w:val="24"/>
          <w:u w:val="single"/>
          <w:lang w:eastAsia="ja-JP"/>
        </w:rPr>
        <w:br/>
      </w:r>
      <w:r w:rsidRPr="00D86A31">
        <w:rPr>
          <w:rFonts w:eastAsia="MS Mincho"/>
          <w:color w:val="000000"/>
          <w:sz w:val="24"/>
          <w:szCs w:val="24"/>
          <w:lang w:eastAsia="ja-JP"/>
        </w:rPr>
        <w:t>Halveringstiden for duloxetin ligger på 8-17 timer (gns. 12 timer). Efter en intravenøs dosis ligger duloxetins plasmaclearance på 22-46 l/t. (gns. på 36 l/t.). Efter en oral dosis ligger den tilsyneladende plasmaclearance for duloxetin på 33-261 l/t. (gns. 101 l/t.).</w:t>
      </w:r>
    </w:p>
    <w:p w:rsidR="004F4CA9" w:rsidRPr="00D86A31" w:rsidRDefault="004F4CA9" w:rsidP="004F4CA9">
      <w:pPr>
        <w:widowControl w:val="0"/>
        <w:autoSpaceDE w:val="0"/>
        <w:autoSpaceDN w:val="0"/>
        <w:adjustRightInd w:val="0"/>
        <w:ind w:left="851" w:hanging="851"/>
        <w:rPr>
          <w:rFonts w:eastAsia="MS Mincho"/>
          <w:i/>
          <w:iCs/>
          <w:color w:val="000000"/>
          <w:sz w:val="24"/>
          <w:szCs w:val="24"/>
          <w:lang w:eastAsia="ja-JP"/>
        </w:rPr>
      </w:pPr>
    </w:p>
    <w:p w:rsidR="002272D5" w:rsidRPr="002F2904" w:rsidRDefault="002272D5" w:rsidP="002272D5">
      <w:pPr>
        <w:widowControl w:val="0"/>
        <w:autoSpaceDE w:val="0"/>
        <w:autoSpaceDN w:val="0"/>
        <w:adjustRightInd w:val="0"/>
        <w:ind w:left="851"/>
        <w:rPr>
          <w:rFonts w:eastAsia="MS Mincho"/>
          <w:iCs/>
          <w:color w:val="000000"/>
          <w:sz w:val="24"/>
          <w:szCs w:val="24"/>
          <w:u w:val="single"/>
          <w:lang w:eastAsia="ja-JP"/>
        </w:rPr>
      </w:pPr>
      <w:r w:rsidRPr="002F2904">
        <w:rPr>
          <w:rFonts w:eastAsia="MS Mincho"/>
          <w:iCs/>
          <w:color w:val="000000"/>
          <w:sz w:val="24"/>
          <w:szCs w:val="24"/>
          <w:u w:val="single"/>
          <w:lang w:eastAsia="ja-JP"/>
        </w:rPr>
        <w:t>Særlige patientgrupper</w:t>
      </w:r>
    </w:p>
    <w:p w:rsidR="002272D5"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i/>
          <w:iCs/>
          <w:color w:val="000000"/>
          <w:sz w:val="24"/>
          <w:szCs w:val="24"/>
          <w:lang w:eastAsia="ja-JP"/>
        </w:rPr>
        <w:t>Køn</w:t>
      </w:r>
      <w:r w:rsidRPr="002F2904">
        <w:rPr>
          <w:rFonts w:eastAsia="MS Mincho"/>
          <w:color w:val="000000"/>
          <w:sz w:val="24"/>
          <w:szCs w:val="24"/>
          <w:lang w:eastAsia="ja-JP"/>
        </w:rPr>
        <w:t xml:space="preserve"> </w:t>
      </w: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Der er fundet farmakokinetiske forskelle mellem mænd og kvinder (den tilsyneladende plasmaclearance er omkring 50</w:t>
      </w:r>
      <w:r>
        <w:rPr>
          <w:rFonts w:eastAsia="MS Mincho"/>
          <w:color w:val="000000"/>
          <w:sz w:val="24"/>
          <w:szCs w:val="24"/>
          <w:lang w:eastAsia="ja-JP"/>
        </w:rPr>
        <w:t xml:space="preserve"> </w:t>
      </w:r>
      <w:r w:rsidRPr="002F2904">
        <w:rPr>
          <w:rFonts w:eastAsia="MS Mincho"/>
          <w:color w:val="000000"/>
          <w:sz w:val="24"/>
          <w:szCs w:val="24"/>
          <w:lang w:eastAsia="ja-JP"/>
        </w:rPr>
        <w:t>% lavere hos kvinder). Det overlap, der er i de kønsbaserede farmakokinetiske forskelle i clearanceområdet, retfærdiggør ikke en anbefaling om lavere dosis til kvindelige patienter.</w:t>
      </w:r>
    </w:p>
    <w:p w:rsidR="002272D5" w:rsidRPr="002F2904" w:rsidRDefault="002272D5" w:rsidP="002272D5">
      <w:pPr>
        <w:widowControl w:val="0"/>
        <w:autoSpaceDE w:val="0"/>
        <w:autoSpaceDN w:val="0"/>
        <w:adjustRightInd w:val="0"/>
        <w:ind w:left="851" w:hanging="851"/>
        <w:rPr>
          <w:rFonts w:eastAsia="MS Mincho"/>
          <w:color w:val="000000"/>
          <w:sz w:val="24"/>
          <w:szCs w:val="24"/>
          <w:lang w:eastAsia="ja-JP"/>
        </w:rPr>
      </w:pPr>
    </w:p>
    <w:p w:rsidR="002272D5"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i/>
          <w:iCs/>
          <w:color w:val="000000"/>
          <w:sz w:val="24"/>
          <w:szCs w:val="24"/>
          <w:lang w:eastAsia="ja-JP"/>
        </w:rPr>
        <w:t>Alder</w:t>
      </w:r>
      <w:r w:rsidRPr="002F2904">
        <w:rPr>
          <w:rFonts w:eastAsia="MS Mincho"/>
          <w:color w:val="000000"/>
          <w:sz w:val="24"/>
          <w:szCs w:val="24"/>
          <w:lang w:eastAsia="ja-JP"/>
        </w:rPr>
        <w:t xml:space="preserve"> </w:t>
      </w: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Der er fundet farmakokinetiske forskelle mellem yngre og ældre kvinder (≥ 65 år) (AUC- værdien forøges med ca. 25</w:t>
      </w:r>
      <w:r>
        <w:rPr>
          <w:rFonts w:eastAsia="MS Mincho"/>
          <w:color w:val="000000"/>
          <w:sz w:val="24"/>
          <w:szCs w:val="24"/>
          <w:lang w:eastAsia="ja-JP"/>
        </w:rPr>
        <w:t xml:space="preserve"> </w:t>
      </w:r>
      <w:r w:rsidRPr="002F2904">
        <w:rPr>
          <w:rFonts w:eastAsia="MS Mincho"/>
          <w:color w:val="000000"/>
          <w:sz w:val="24"/>
          <w:szCs w:val="24"/>
          <w:lang w:eastAsia="ja-JP"/>
        </w:rPr>
        <w:t>%, og halveringstiden er ca. 25</w:t>
      </w:r>
      <w:r>
        <w:rPr>
          <w:rFonts w:eastAsia="MS Mincho"/>
          <w:color w:val="000000"/>
          <w:sz w:val="24"/>
          <w:szCs w:val="24"/>
          <w:lang w:eastAsia="ja-JP"/>
        </w:rPr>
        <w:t xml:space="preserve"> </w:t>
      </w:r>
      <w:r w:rsidRPr="002F2904">
        <w:rPr>
          <w:rFonts w:eastAsia="MS Mincho"/>
          <w:color w:val="000000"/>
          <w:sz w:val="24"/>
          <w:szCs w:val="24"/>
          <w:lang w:eastAsia="ja-JP"/>
        </w:rPr>
        <w:t>% længere hos ældre) men omfanget af disse forandringer er ikke tilstrækkelige til at retfærdiggøre dosisjusteringer. Det er en generel anbefaling, at der bør udvises forsigtighed ved behandling af ældre (se pkt. 4.2 og 4.4).</w:t>
      </w:r>
    </w:p>
    <w:p w:rsidR="002272D5" w:rsidRPr="002F2904" w:rsidRDefault="002272D5" w:rsidP="002272D5">
      <w:pPr>
        <w:widowControl w:val="0"/>
        <w:autoSpaceDE w:val="0"/>
        <w:autoSpaceDN w:val="0"/>
        <w:adjustRightInd w:val="0"/>
        <w:ind w:left="851" w:hanging="851"/>
        <w:rPr>
          <w:rFonts w:eastAsia="MS Mincho"/>
          <w:i/>
          <w:iCs/>
          <w:color w:val="000000"/>
          <w:sz w:val="24"/>
          <w:szCs w:val="24"/>
          <w:lang w:eastAsia="ja-JP"/>
        </w:rPr>
      </w:pPr>
    </w:p>
    <w:p w:rsidR="002272D5"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i/>
          <w:iCs/>
          <w:color w:val="000000"/>
          <w:sz w:val="24"/>
          <w:szCs w:val="24"/>
          <w:lang w:eastAsia="ja-JP"/>
        </w:rPr>
        <w:t>Nedsat nyrefunktion</w:t>
      </w:r>
      <w:r w:rsidRPr="002F2904">
        <w:rPr>
          <w:rFonts w:eastAsia="MS Mincho"/>
          <w:color w:val="000000"/>
          <w:sz w:val="24"/>
          <w:szCs w:val="24"/>
          <w:lang w:eastAsia="ja-JP"/>
        </w:rPr>
        <w:t xml:space="preserve"> </w:t>
      </w: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Patienter med terminal nyresygdom i dialysebehandling havde et dobbelt så højt duloxetin-</w:t>
      </w:r>
      <w:r w:rsidRPr="002F2904">
        <w:rPr>
          <w:sz w:val="24"/>
          <w:szCs w:val="24"/>
        </w:rPr>
        <w:t>C</w:t>
      </w:r>
      <w:r w:rsidRPr="002F2904">
        <w:rPr>
          <w:sz w:val="24"/>
          <w:szCs w:val="24"/>
          <w:vertAlign w:val="subscript"/>
        </w:rPr>
        <w:t>max</w:t>
      </w:r>
      <w:r w:rsidRPr="002F2904">
        <w:rPr>
          <w:rFonts w:eastAsia="MS Mincho"/>
          <w:color w:val="000000"/>
          <w:position w:val="-4"/>
          <w:sz w:val="24"/>
          <w:szCs w:val="24"/>
          <w:lang w:eastAsia="ja-JP"/>
        </w:rPr>
        <w:t xml:space="preserve"> </w:t>
      </w:r>
      <w:r w:rsidRPr="002F2904">
        <w:rPr>
          <w:rFonts w:eastAsia="MS Mincho"/>
          <w:color w:val="000000"/>
          <w:sz w:val="24"/>
          <w:szCs w:val="24"/>
          <w:lang w:eastAsia="ja-JP"/>
        </w:rPr>
        <w:t>og dobbelt så høje AUC-værdier som raske patienter. Farmakokinetiske data på duloxetin er begrænset hos patienter med let til moderat nedsat nyrefunktion.</w:t>
      </w:r>
    </w:p>
    <w:p w:rsidR="002272D5" w:rsidRPr="002F2904" w:rsidRDefault="002272D5" w:rsidP="002272D5">
      <w:pPr>
        <w:widowControl w:val="0"/>
        <w:autoSpaceDE w:val="0"/>
        <w:autoSpaceDN w:val="0"/>
        <w:adjustRightInd w:val="0"/>
        <w:ind w:left="851" w:hanging="851"/>
        <w:rPr>
          <w:rFonts w:eastAsia="MS Mincho"/>
          <w:color w:val="000000"/>
          <w:sz w:val="24"/>
          <w:szCs w:val="24"/>
          <w:lang w:eastAsia="ja-JP"/>
        </w:rPr>
      </w:pP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i/>
          <w:iCs/>
          <w:color w:val="000000"/>
          <w:sz w:val="24"/>
          <w:szCs w:val="24"/>
          <w:lang w:eastAsia="ja-JP"/>
        </w:rPr>
        <w:t>Nedsat leverfunktion</w:t>
      </w:r>
      <w:r w:rsidRPr="002F2904">
        <w:rPr>
          <w:rFonts w:eastAsia="MS Mincho"/>
          <w:color w:val="000000"/>
          <w:sz w:val="24"/>
          <w:szCs w:val="24"/>
          <w:lang w:eastAsia="ja-JP"/>
        </w:rPr>
        <w:t>: Moderat leversygdom (Child-Pugh-gruppe B) påvirkede duloxetins farmakokinetik. Sammenlignet med raske patienter var den tilsyneladende plasmaclearance for duloxetin 79</w:t>
      </w:r>
      <w:r>
        <w:rPr>
          <w:rFonts w:eastAsia="MS Mincho"/>
          <w:color w:val="000000"/>
          <w:sz w:val="24"/>
          <w:szCs w:val="24"/>
          <w:lang w:eastAsia="ja-JP"/>
        </w:rPr>
        <w:t xml:space="preserve"> </w:t>
      </w:r>
      <w:r w:rsidRPr="002F2904">
        <w:rPr>
          <w:rFonts w:eastAsia="MS Mincho"/>
          <w:color w:val="000000"/>
          <w:sz w:val="24"/>
          <w:szCs w:val="24"/>
          <w:lang w:eastAsia="ja-JP"/>
        </w:rPr>
        <w:t>% lavere, den tilsyneladende terminale halveringstid var 2,3 gange længere, og AUC var 3,7 gange højere hos patienter med moderat leversygdom. Der er ikke foretaget studier af farmakokinetikken for duloxetin og dens metabolitter hos patienter med let eller svært nedsat leverfunktion.</w:t>
      </w:r>
    </w:p>
    <w:p w:rsidR="002272D5" w:rsidRPr="002F2904" w:rsidRDefault="002272D5" w:rsidP="002272D5">
      <w:pPr>
        <w:widowControl w:val="0"/>
        <w:autoSpaceDE w:val="0"/>
        <w:autoSpaceDN w:val="0"/>
        <w:adjustRightInd w:val="0"/>
        <w:ind w:left="851" w:hanging="851"/>
        <w:rPr>
          <w:rFonts w:eastAsia="MS Mincho"/>
          <w:color w:val="000000"/>
          <w:sz w:val="24"/>
          <w:szCs w:val="24"/>
          <w:lang w:eastAsia="ja-JP"/>
        </w:rPr>
      </w:pPr>
    </w:p>
    <w:p w:rsidR="002272D5" w:rsidRDefault="002272D5" w:rsidP="002272D5">
      <w:pPr>
        <w:widowControl w:val="0"/>
        <w:autoSpaceDE w:val="0"/>
        <w:autoSpaceDN w:val="0"/>
        <w:adjustRightInd w:val="0"/>
        <w:ind w:left="851"/>
        <w:rPr>
          <w:rFonts w:eastAsia="MS Mincho"/>
          <w:i/>
          <w:iCs/>
          <w:color w:val="000000"/>
          <w:sz w:val="24"/>
          <w:szCs w:val="24"/>
          <w:lang w:eastAsia="ja-JP"/>
        </w:rPr>
      </w:pPr>
      <w:r w:rsidRPr="002F2904">
        <w:rPr>
          <w:rFonts w:eastAsia="MS Mincho"/>
          <w:i/>
          <w:iCs/>
          <w:color w:val="000000"/>
          <w:sz w:val="24"/>
          <w:szCs w:val="24"/>
          <w:lang w:eastAsia="ja-JP"/>
        </w:rPr>
        <w:t>Ammende mødre</w:t>
      </w:r>
    </w:p>
    <w:p w:rsidR="002272D5" w:rsidRPr="002F2904" w:rsidRDefault="002272D5" w:rsidP="002272D5">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 xml:space="preserve">Duloxetins fordeling i kroppen blev undersøgt hos 6 ammende kvinder, som havde født mindst 12 uger forinden. Der blev fundet duloxetin i mælken. </w:t>
      </w:r>
      <w:r w:rsidRPr="002F2904">
        <w:rPr>
          <w:rFonts w:eastAsia="MS Mincho"/>
          <w:i/>
          <w:iCs/>
          <w:color w:val="000000"/>
          <w:sz w:val="24"/>
          <w:szCs w:val="24"/>
          <w:lang w:eastAsia="ja-JP"/>
        </w:rPr>
        <w:t xml:space="preserve">Steady state </w:t>
      </w:r>
      <w:r w:rsidRPr="002F2904">
        <w:rPr>
          <w:rFonts w:eastAsia="MS Mincho"/>
          <w:color w:val="000000"/>
          <w:sz w:val="24"/>
          <w:szCs w:val="24"/>
          <w:lang w:eastAsia="ja-JP"/>
        </w:rPr>
        <w:t xml:space="preserve">koncentrationerne i human mælk er ca. en fjerdedel af plasmakoncentrationerne. Mængden af duloxetin i human mælk er ca. 7 μg/dag under en dosering på 40 mg to gange daglig. </w:t>
      </w:r>
      <w:r w:rsidRPr="002F2904">
        <w:rPr>
          <w:rFonts w:eastAsia="MS Mincho"/>
          <w:color w:val="000000"/>
          <w:sz w:val="24"/>
          <w:szCs w:val="24"/>
          <w:lang w:eastAsia="ja-JP"/>
        </w:rPr>
        <w:lastRenderedPageBreak/>
        <w:t>Laktation påvirkede ikke duloxetins farmakokinetik.</w:t>
      </w:r>
    </w:p>
    <w:p w:rsidR="002272D5" w:rsidRPr="002F2904" w:rsidRDefault="002272D5" w:rsidP="002272D5">
      <w:pPr>
        <w:widowControl w:val="0"/>
        <w:autoSpaceDE w:val="0"/>
        <w:autoSpaceDN w:val="0"/>
        <w:adjustRightInd w:val="0"/>
        <w:ind w:left="851" w:hanging="851"/>
        <w:rPr>
          <w:rFonts w:eastAsia="MS Mincho"/>
          <w:color w:val="000000"/>
          <w:sz w:val="24"/>
          <w:szCs w:val="24"/>
          <w:lang w:eastAsia="ja-JP"/>
        </w:rPr>
      </w:pPr>
    </w:p>
    <w:p w:rsidR="002272D5" w:rsidRDefault="002272D5" w:rsidP="002272D5">
      <w:pPr>
        <w:ind w:left="851"/>
        <w:rPr>
          <w:rFonts w:eastAsia="MS Mincho"/>
          <w:color w:val="000000"/>
          <w:sz w:val="24"/>
          <w:szCs w:val="24"/>
          <w:lang w:eastAsia="ja-JP"/>
        </w:rPr>
      </w:pPr>
      <w:r w:rsidRPr="002F2904">
        <w:rPr>
          <w:rFonts w:eastAsia="MS Mincho"/>
          <w:i/>
          <w:iCs/>
          <w:color w:val="000000"/>
          <w:sz w:val="24"/>
          <w:szCs w:val="24"/>
          <w:lang w:eastAsia="ja-JP"/>
        </w:rPr>
        <w:t>Pædiatrisk population</w:t>
      </w:r>
    </w:p>
    <w:p w:rsidR="002272D5" w:rsidRPr="002F2904" w:rsidRDefault="002272D5" w:rsidP="002272D5">
      <w:pPr>
        <w:ind w:left="851"/>
        <w:rPr>
          <w:sz w:val="24"/>
          <w:szCs w:val="24"/>
        </w:rPr>
      </w:pPr>
      <w:r w:rsidRPr="002F2904">
        <w:rPr>
          <w:rFonts w:eastAsia="MS Mincho"/>
          <w:color w:val="000000"/>
          <w:sz w:val="24"/>
          <w:szCs w:val="24"/>
          <w:lang w:eastAsia="ja-JP"/>
        </w:rPr>
        <w:t xml:space="preserve">Duloxetins farmakokinetik ved oral behandling med 20 til 120 mg en gang daglig hos pædiatriske patienter i alderen 7 til 17 år med moderat til svær depression, er karakteriseret ved brug af populationsmodelleringsanalyser baseret på data fra tre studier. De modelforventede </w:t>
      </w:r>
      <w:r w:rsidRPr="002F2904">
        <w:rPr>
          <w:rFonts w:eastAsia="MS Mincho"/>
          <w:i/>
          <w:iCs/>
          <w:color w:val="000000"/>
          <w:sz w:val="24"/>
          <w:szCs w:val="24"/>
          <w:lang w:eastAsia="ja-JP"/>
        </w:rPr>
        <w:t>steady state</w:t>
      </w:r>
      <w:r w:rsidRPr="002F2904">
        <w:rPr>
          <w:rFonts w:eastAsia="MS Mincho"/>
          <w:color w:val="000000"/>
          <w:sz w:val="24"/>
          <w:szCs w:val="24"/>
          <w:lang w:eastAsia="ja-JP"/>
        </w:rPr>
        <w:t>-plasmaskoncentrationer af duloxetin hos pædiatriske patienter var generelt inden for koncentrationsintervallet observeret hos voksne patienter.</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5.3</w:t>
      </w:r>
      <w:r w:rsidRPr="00D86A31">
        <w:rPr>
          <w:b/>
          <w:sz w:val="24"/>
          <w:szCs w:val="24"/>
        </w:rPr>
        <w:tab/>
      </w:r>
      <w:r w:rsidR="009E762A">
        <w:rPr>
          <w:b/>
          <w:sz w:val="24"/>
          <w:szCs w:val="24"/>
        </w:rPr>
        <w:t>Non-</w:t>
      </w:r>
      <w:r w:rsidRPr="00D86A31">
        <w:rPr>
          <w:b/>
          <w:sz w:val="24"/>
          <w:szCs w:val="24"/>
        </w:rPr>
        <w:t>kliniske sikkerhedsdata</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r w:rsidRPr="00D86A31">
        <w:rPr>
          <w:sz w:val="24"/>
          <w:szCs w:val="24"/>
        </w:rPr>
        <w:tab/>
      </w:r>
      <w:r w:rsidRPr="00D86A31">
        <w:rPr>
          <w:rFonts w:eastAsia="MS Mincho"/>
          <w:color w:val="000000"/>
          <w:sz w:val="24"/>
          <w:szCs w:val="24"/>
          <w:lang w:eastAsia="ja-JP"/>
        </w:rPr>
        <w:t>Duloxetin var ikke genotoksisk i en række standardtest og var ikke karcinogent hos rotter. I karcinogenitetsstudiet med rotter blev der set celler med flere cellekerner i leveren i fravær af andre histopatologiske ændringer. Den underliggende mekanisme og den kliniske relevans er uvis. Hunmus, som modtog duloxetin i 2 år, havde forøget incidens af hepatocellulære adenomer og karcinomer ved den høje dosis (144 mg/kg/dag), men disse blev betragtet som værende sekundære til den mikrosomale enzyminduktion i leveren. Relevansen af disse data fra mus i forhold til mennesker kendes ikke. Hunrotter, som fik duloxetin (45 mg/kg/dag) før og under parring samt i den tidlige drægtighedsperiode, havde nedsat fødeindtagelse og kropsvægt, afbrydelse af brunstcyklussen, et nedsat indeks for levende fødsler og overlevelse af afkom samt forsinket vækst hos afkommet ved udsættelse for systemisk påvirkning estimeret til at være højst ved den maksimale kliniske eksponering (AUC). I et embryotoxicitetstudie foretaget på kaniner blev der observeret en højere incidens af kardiovaskulære- og knogle-deformationer, hvor hunkaninerne blev udsat for systemiske påvirkninger under den maksimale kliniske eksponering (AUC). I et andet studie, hvor et andet salt af duloxetin blev testet, blev der ikke observeret nogen deformationer. Duloxetin fremkaldte adfærdsmæssige bivirkninger hos afkommet i et præ-/postnatal toksicitetstudie hos rotter, hvor hunrotter blev udsat for systemiske påvirkninger under den maksimale kliniske eksponering (AUC).</w:t>
      </w:r>
    </w:p>
    <w:p w:rsidR="004F4CA9" w:rsidRPr="00D86A31" w:rsidRDefault="004F4CA9" w:rsidP="004F4CA9">
      <w:pPr>
        <w:numPr>
          <w:ilvl w:val="12"/>
          <w:numId w:val="0"/>
        </w:numPr>
        <w:ind w:left="851" w:right="11" w:hanging="851"/>
        <w:rPr>
          <w:rFonts w:eastAsia="MS Mincho"/>
          <w:color w:val="000000"/>
          <w:sz w:val="24"/>
          <w:szCs w:val="24"/>
          <w:lang w:eastAsia="ja-JP"/>
        </w:rPr>
      </w:pPr>
    </w:p>
    <w:p w:rsidR="004F4CA9" w:rsidRPr="00D86A31" w:rsidRDefault="004F4CA9" w:rsidP="004F4CA9">
      <w:pPr>
        <w:numPr>
          <w:ilvl w:val="12"/>
          <w:numId w:val="0"/>
        </w:numPr>
        <w:ind w:left="851" w:right="11"/>
        <w:rPr>
          <w:sz w:val="24"/>
          <w:szCs w:val="24"/>
        </w:rPr>
      </w:pPr>
      <w:r w:rsidRPr="00D86A31">
        <w:rPr>
          <w:rFonts w:eastAsia="MS Mincho"/>
          <w:color w:val="000000"/>
          <w:sz w:val="24"/>
          <w:szCs w:val="24"/>
          <w:lang w:eastAsia="ja-JP"/>
        </w:rPr>
        <w:t>Studier med rotteunger viser en forbigående påvirkning af neuroadfærd samt signifikant nedsat kropsvægt og fødeindtagelse, induktion af leverenzymer og hepatoceullær vakuolisering ved 45 mg/kg/dag. Duloxetins overordnede toksicitetsprofil hos rotteunger svarede til den beskrevet hos voksne rotter. Det niveau, hvor der ikke blev observeret virkninger, blev fastlagt til 20 mg/kg/dag.</w:t>
      </w:r>
    </w:p>
    <w:p w:rsidR="004F4CA9" w:rsidRPr="00D86A31" w:rsidRDefault="004F4CA9" w:rsidP="004F4CA9">
      <w:pPr>
        <w:ind w:left="851" w:hanging="851"/>
        <w:rPr>
          <w:sz w:val="24"/>
          <w:szCs w:val="24"/>
        </w:rPr>
      </w:pP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6.</w:t>
      </w:r>
      <w:r w:rsidRPr="00D86A31">
        <w:rPr>
          <w:b/>
          <w:sz w:val="24"/>
          <w:szCs w:val="24"/>
        </w:rPr>
        <w:tab/>
        <w:t>FARMACEUTISKE OPLYSNINGER</w:t>
      </w:r>
    </w:p>
    <w:p w:rsidR="004F4CA9" w:rsidRPr="00D86A31" w:rsidRDefault="004F4CA9" w:rsidP="004F4CA9">
      <w:pPr>
        <w:ind w:left="851" w:hanging="851"/>
        <w:rPr>
          <w:b/>
          <w:sz w:val="24"/>
          <w:szCs w:val="24"/>
        </w:rPr>
      </w:pPr>
    </w:p>
    <w:p w:rsidR="004F4CA9" w:rsidRPr="00D86A31" w:rsidRDefault="004F4CA9" w:rsidP="004F4CA9">
      <w:pPr>
        <w:ind w:left="851" w:hanging="851"/>
        <w:rPr>
          <w:b/>
          <w:sz w:val="24"/>
          <w:szCs w:val="24"/>
        </w:rPr>
      </w:pPr>
      <w:r w:rsidRPr="00D86A31">
        <w:rPr>
          <w:b/>
          <w:sz w:val="24"/>
          <w:szCs w:val="24"/>
        </w:rPr>
        <w:t>6.1</w:t>
      </w:r>
      <w:r w:rsidRPr="00D86A31">
        <w:rPr>
          <w:b/>
          <w:sz w:val="24"/>
          <w:szCs w:val="24"/>
        </w:rPr>
        <w:tab/>
        <w:t>Hjælpestoffer</w:t>
      </w:r>
    </w:p>
    <w:p w:rsidR="008529CB" w:rsidRPr="002F2904" w:rsidRDefault="004F4CA9" w:rsidP="008529CB">
      <w:pPr>
        <w:widowControl w:val="0"/>
        <w:autoSpaceDE w:val="0"/>
        <w:autoSpaceDN w:val="0"/>
        <w:adjustRightInd w:val="0"/>
        <w:ind w:left="851" w:hanging="851"/>
        <w:rPr>
          <w:rFonts w:eastAsia="MS Mincho"/>
          <w:bCs/>
          <w:color w:val="000000"/>
          <w:sz w:val="24"/>
          <w:szCs w:val="24"/>
          <w:u w:val="single"/>
          <w:lang w:eastAsia="ja-JP"/>
        </w:rPr>
      </w:pPr>
      <w:r w:rsidRPr="00D86A31">
        <w:rPr>
          <w:sz w:val="24"/>
          <w:szCs w:val="24"/>
        </w:rPr>
        <w:tab/>
      </w:r>
      <w:r w:rsidR="008529CB" w:rsidRPr="002F2904">
        <w:rPr>
          <w:rFonts w:eastAsia="MS Mincho"/>
          <w:bCs/>
          <w:color w:val="000000"/>
          <w:sz w:val="24"/>
          <w:szCs w:val="24"/>
          <w:u w:val="single"/>
          <w:lang w:eastAsia="ja-JP"/>
        </w:rPr>
        <w:t>Kapselindhold</w:t>
      </w:r>
    </w:p>
    <w:p w:rsidR="008529CB" w:rsidRPr="002F2904" w:rsidRDefault="008529CB" w:rsidP="008529CB">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Saccharosekugler (saccharose, majsstivelse)</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 xml:space="preserve">Hypromellosephthalat (HP-55) </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Hypromellose (E15 V)</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Triethylcitrat</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Hydroxypropylcellulose</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Talcum</w:t>
      </w:r>
    </w:p>
    <w:p w:rsidR="008529CB" w:rsidRPr="0036352A" w:rsidRDefault="008529CB" w:rsidP="008529CB">
      <w:pPr>
        <w:widowControl w:val="0"/>
        <w:autoSpaceDE w:val="0"/>
        <w:autoSpaceDN w:val="0"/>
        <w:adjustRightInd w:val="0"/>
        <w:ind w:left="851"/>
        <w:rPr>
          <w:rFonts w:eastAsia="MS Mincho"/>
          <w:b/>
          <w:bCs/>
          <w:color w:val="000000"/>
          <w:sz w:val="24"/>
          <w:szCs w:val="24"/>
          <w:lang w:val="en-US" w:eastAsia="ja-JP"/>
        </w:rPr>
      </w:pPr>
    </w:p>
    <w:p w:rsidR="008529CB" w:rsidRPr="0036352A" w:rsidRDefault="008529CB" w:rsidP="008529CB">
      <w:pPr>
        <w:widowControl w:val="0"/>
        <w:autoSpaceDE w:val="0"/>
        <w:autoSpaceDN w:val="0"/>
        <w:adjustRightInd w:val="0"/>
        <w:ind w:left="851"/>
        <w:rPr>
          <w:rFonts w:eastAsia="MS Mincho"/>
          <w:bCs/>
          <w:color w:val="000000"/>
          <w:sz w:val="24"/>
          <w:szCs w:val="24"/>
          <w:u w:val="single"/>
          <w:lang w:val="en-US" w:eastAsia="ja-JP"/>
        </w:rPr>
      </w:pPr>
      <w:r w:rsidRPr="0036352A">
        <w:rPr>
          <w:rFonts w:eastAsia="MS Mincho"/>
          <w:bCs/>
          <w:color w:val="000000"/>
          <w:sz w:val="24"/>
          <w:szCs w:val="24"/>
          <w:u w:val="single"/>
          <w:lang w:val="en-US" w:eastAsia="ja-JP"/>
        </w:rPr>
        <w:t>Kapselskal</w:t>
      </w:r>
    </w:p>
    <w:p w:rsidR="008529CB" w:rsidRPr="0036352A" w:rsidRDefault="008529CB" w:rsidP="008529CB">
      <w:pPr>
        <w:widowControl w:val="0"/>
        <w:autoSpaceDE w:val="0"/>
        <w:autoSpaceDN w:val="0"/>
        <w:adjustRightInd w:val="0"/>
        <w:ind w:left="851"/>
        <w:rPr>
          <w:rFonts w:eastAsia="MS Mincho"/>
          <w:i/>
          <w:color w:val="000000"/>
          <w:sz w:val="24"/>
          <w:szCs w:val="24"/>
          <w:lang w:val="en-US" w:eastAsia="ja-JP"/>
        </w:rPr>
      </w:pPr>
      <w:r w:rsidRPr="0036352A">
        <w:rPr>
          <w:rFonts w:eastAsia="MS Mincho"/>
          <w:i/>
          <w:color w:val="000000"/>
          <w:sz w:val="24"/>
          <w:szCs w:val="24"/>
          <w:lang w:val="en-US" w:eastAsia="ja-JP"/>
        </w:rPr>
        <w:t>30 mg</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 xml:space="preserve">Hypromellose (E464) </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Titandioxid (E171)</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lastRenderedPageBreak/>
        <w:t xml:space="preserve">Brilliant blue FCF (E133) </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 xml:space="preserve">Sort jernoxid (E172) </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Printblæk</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p>
    <w:p w:rsidR="008529CB" w:rsidRPr="0036352A" w:rsidRDefault="008529CB" w:rsidP="008529CB">
      <w:pPr>
        <w:widowControl w:val="0"/>
        <w:autoSpaceDE w:val="0"/>
        <w:autoSpaceDN w:val="0"/>
        <w:adjustRightInd w:val="0"/>
        <w:ind w:left="851"/>
        <w:rPr>
          <w:rFonts w:eastAsia="MS Mincho"/>
          <w:i/>
          <w:color w:val="000000"/>
          <w:sz w:val="24"/>
          <w:szCs w:val="24"/>
          <w:lang w:val="en-US" w:eastAsia="ja-JP"/>
        </w:rPr>
      </w:pPr>
      <w:r w:rsidRPr="0036352A">
        <w:rPr>
          <w:rFonts w:eastAsia="MS Mincho"/>
          <w:i/>
          <w:color w:val="000000"/>
          <w:sz w:val="24"/>
          <w:szCs w:val="24"/>
          <w:lang w:val="en-US" w:eastAsia="ja-JP"/>
        </w:rPr>
        <w:t>60 mg</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 xml:space="preserve">Hypromellose (E464) </w:t>
      </w:r>
      <w:r w:rsidRPr="0036352A">
        <w:rPr>
          <w:rFonts w:eastAsia="MS Mincho"/>
          <w:color w:val="000000"/>
          <w:sz w:val="24"/>
          <w:szCs w:val="24"/>
          <w:lang w:val="en-US" w:eastAsia="ja-JP"/>
        </w:rPr>
        <w:br/>
        <w:t>Titandioxid (E171)</w:t>
      </w:r>
    </w:p>
    <w:p w:rsidR="008529CB" w:rsidRPr="0036352A" w:rsidRDefault="008529CB" w:rsidP="008529CB">
      <w:pPr>
        <w:widowControl w:val="0"/>
        <w:autoSpaceDE w:val="0"/>
        <w:autoSpaceDN w:val="0"/>
        <w:adjustRightInd w:val="0"/>
        <w:ind w:left="851"/>
        <w:rPr>
          <w:rFonts w:eastAsia="MS Mincho"/>
          <w:color w:val="000000"/>
          <w:sz w:val="24"/>
          <w:szCs w:val="24"/>
          <w:lang w:val="en-US" w:eastAsia="ja-JP"/>
        </w:rPr>
      </w:pPr>
      <w:r w:rsidRPr="0036352A">
        <w:rPr>
          <w:rFonts w:eastAsia="MS Mincho"/>
          <w:color w:val="000000"/>
          <w:sz w:val="24"/>
          <w:szCs w:val="24"/>
          <w:lang w:val="en-US" w:eastAsia="ja-JP"/>
        </w:rPr>
        <w:t>Sort jernoxid (E172)</w:t>
      </w:r>
      <w:r w:rsidRPr="0036352A">
        <w:rPr>
          <w:rFonts w:eastAsia="MS Mincho"/>
          <w:color w:val="000000"/>
          <w:sz w:val="24"/>
          <w:szCs w:val="24"/>
          <w:lang w:val="en-US" w:eastAsia="ja-JP"/>
        </w:rPr>
        <w:br/>
        <w:t>Printblæk</w:t>
      </w:r>
    </w:p>
    <w:p w:rsidR="008529CB" w:rsidRPr="0036352A" w:rsidRDefault="008529CB" w:rsidP="008529CB">
      <w:pPr>
        <w:widowControl w:val="0"/>
        <w:autoSpaceDE w:val="0"/>
        <w:autoSpaceDN w:val="0"/>
        <w:adjustRightInd w:val="0"/>
        <w:ind w:left="851" w:hanging="851"/>
        <w:rPr>
          <w:rFonts w:eastAsia="MS Mincho"/>
          <w:color w:val="000000"/>
          <w:sz w:val="24"/>
          <w:szCs w:val="24"/>
          <w:lang w:val="en-US" w:eastAsia="ja-JP"/>
        </w:rPr>
      </w:pPr>
    </w:p>
    <w:p w:rsidR="008529CB" w:rsidRPr="0036352A" w:rsidRDefault="008529CB" w:rsidP="008529CB">
      <w:pPr>
        <w:widowControl w:val="0"/>
        <w:autoSpaceDE w:val="0"/>
        <w:autoSpaceDN w:val="0"/>
        <w:adjustRightInd w:val="0"/>
        <w:ind w:left="851" w:hanging="851"/>
        <w:rPr>
          <w:rFonts w:eastAsia="MS Mincho"/>
          <w:color w:val="000000"/>
          <w:sz w:val="24"/>
          <w:szCs w:val="24"/>
          <w:lang w:val="en-US" w:eastAsia="ja-JP"/>
        </w:rPr>
      </w:pPr>
    </w:p>
    <w:p w:rsidR="008529CB" w:rsidRPr="002F2904" w:rsidRDefault="008529CB" w:rsidP="008529CB">
      <w:pPr>
        <w:widowControl w:val="0"/>
        <w:autoSpaceDE w:val="0"/>
        <w:autoSpaceDN w:val="0"/>
        <w:adjustRightInd w:val="0"/>
        <w:ind w:left="851"/>
        <w:rPr>
          <w:rFonts w:eastAsia="MS Mincho"/>
          <w:color w:val="000000"/>
          <w:sz w:val="24"/>
          <w:szCs w:val="24"/>
          <w:lang w:eastAsia="ja-JP"/>
        </w:rPr>
      </w:pPr>
      <w:r w:rsidRPr="002F2904">
        <w:rPr>
          <w:rFonts w:eastAsia="MS Mincho"/>
          <w:i/>
          <w:color w:val="000000"/>
          <w:sz w:val="24"/>
          <w:szCs w:val="24"/>
          <w:lang w:eastAsia="ja-JP"/>
        </w:rPr>
        <w:t>Printblæk indeholder</w:t>
      </w:r>
      <w:r w:rsidRPr="002F2904">
        <w:rPr>
          <w:rFonts w:eastAsia="MS Mincho"/>
          <w:i/>
          <w:color w:val="000000"/>
          <w:sz w:val="24"/>
          <w:szCs w:val="24"/>
          <w:lang w:eastAsia="ja-JP"/>
        </w:rPr>
        <w:br/>
      </w:r>
      <w:r w:rsidRPr="002F2904">
        <w:rPr>
          <w:rFonts w:eastAsia="MS Mincho"/>
          <w:color w:val="000000"/>
          <w:sz w:val="24"/>
          <w:szCs w:val="24"/>
          <w:lang w:eastAsia="ja-JP"/>
        </w:rPr>
        <w:t>Shellac</w:t>
      </w:r>
      <w:r w:rsidRPr="002F2904">
        <w:rPr>
          <w:rFonts w:eastAsia="MS Mincho"/>
          <w:color w:val="000000"/>
          <w:sz w:val="24"/>
          <w:szCs w:val="24"/>
          <w:lang w:eastAsia="ja-JP"/>
        </w:rPr>
        <w:br/>
        <w:t>Propylenglycol</w:t>
      </w:r>
    </w:p>
    <w:p w:rsidR="008529CB" w:rsidRPr="002F2904" w:rsidRDefault="008529CB" w:rsidP="008529CB">
      <w:pPr>
        <w:widowControl w:val="0"/>
        <w:autoSpaceDE w:val="0"/>
        <w:autoSpaceDN w:val="0"/>
        <w:adjustRightInd w:val="0"/>
        <w:ind w:left="851"/>
        <w:rPr>
          <w:rFonts w:eastAsia="MS Mincho"/>
          <w:color w:val="000000"/>
          <w:sz w:val="24"/>
          <w:szCs w:val="24"/>
          <w:lang w:eastAsia="ja-JP"/>
        </w:rPr>
      </w:pPr>
      <w:r w:rsidRPr="002F2904">
        <w:rPr>
          <w:rFonts w:eastAsia="MS Mincho"/>
          <w:color w:val="000000"/>
          <w:sz w:val="24"/>
          <w:szCs w:val="24"/>
          <w:lang w:eastAsia="ja-JP"/>
        </w:rPr>
        <w:t>Sort jernoxid (E172)</w:t>
      </w:r>
    </w:p>
    <w:p w:rsidR="002272D5" w:rsidRPr="002F2904" w:rsidRDefault="008529CB" w:rsidP="008529CB">
      <w:pPr>
        <w:widowControl w:val="0"/>
        <w:autoSpaceDE w:val="0"/>
        <w:autoSpaceDN w:val="0"/>
        <w:adjustRightInd w:val="0"/>
        <w:ind w:left="851"/>
        <w:rPr>
          <w:sz w:val="24"/>
          <w:szCs w:val="24"/>
        </w:rPr>
      </w:pPr>
      <w:r w:rsidRPr="002F2904">
        <w:rPr>
          <w:rFonts w:eastAsia="MS Mincho"/>
          <w:color w:val="000000"/>
          <w:sz w:val="24"/>
          <w:szCs w:val="24"/>
          <w:lang w:eastAsia="ja-JP"/>
        </w:rPr>
        <w:t>Kaliumhydroxid</w:t>
      </w:r>
    </w:p>
    <w:p w:rsidR="004F4CA9" w:rsidRPr="0078275F" w:rsidRDefault="004F4CA9" w:rsidP="002272D5">
      <w:pPr>
        <w:widowControl w:val="0"/>
        <w:autoSpaceDE w:val="0"/>
        <w:autoSpaceDN w:val="0"/>
        <w:adjustRightInd w:val="0"/>
        <w:ind w:left="851" w:hanging="851"/>
        <w:rPr>
          <w:sz w:val="24"/>
          <w:szCs w:val="24"/>
        </w:rPr>
      </w:pPr>
    </w:p>
    <w:p w:rsidR="004F4CA9" w:rsidRPr="00D86A31" w:rsidRDefault="004F4CA9" w:rsidP="002272D5">
      <w:pPr>
        <w:keepNext/>
        <w:ind w:left="851" w:hanging="851"/>
        <w:rPr>
          <w:b/>
          <w:sz w:val="24"/>
          <w:szCs w:val="24"/>
        </w:rPr>
      </w:pPr>
      <w:r w:rsidRPr="00D86A31">
        <w:rPr>
          <w:b/>
          <w:sz w:val="24"/>
          <w:szCs w:val="24"/>
        </w:rPr>
        <w:t>6.2</w:t>
      </w:r>
      <w:r w:rsidRPr="00D86A31">
        <w:rPr>
          <w:b/>
          <w:sz w:val="24"/>
          <w:szCs w:val="24"/>
        </w:rPr>
        <w:tab/>
        <w:t>Uforligeligheder</w:t>
      </w:r>
    </w:p>
    <w:p w:rsidR="004F4CA9" w:rsidRPr="00D86A31" w:rsidRDefault="004F4CA9" w:rsidP="004F4CA9">
      <w:pPr>
        <w:ind w:left="851"/>
        <w:rPr>
          <w:sz w:val="24"/>
          <w:szCs w:val="24"/>
        </w:rPr>
      </w:pPr>
      <w:r w:rsidRPr="00D86A31">
        <w:rPr>
          <w:sz w:val="24"/>
          <w:szCs w:val="24"/>
        </w:rPr>
        <w:t>Ikke relevant.</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6.3</w:t>
      </w:r>
      <w:r w:rsidRPr="00D86A31">
        <w:rPr>
          <w:b/>
          <w:sz w:val="24"/>
          <w:szCs w:val="24"/>
        </w:rPr>
        <w:tab/>
        <w:t>Opbevaringstid</w:t>
      </w:r>
    </w:p>
    <w:p w:rsidR="004F4CA9" w:rsidRPr="00D86A31" w:rsidRDefault="004F4CA9" w:rsidP="004F4CA9">
      <w:pPr>
        <w:ind w:left="851"/>
        <w:rPr>
          <w:sz w:val="24"/>
          <w:szCs w:val="24"/>
        </w:rPr>
      </w:pPr>
      <w:r>
        <w:rPr>
          <w:spacing w:val="-3"/>
          <w:sz w:val="24"/>
          <w:szCs w:val="24"/>
        </w:rPr>
        <w:t>2 år.</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6.4</w:t>
      </w:r>
      <w:r w:rsidRPr="00D86A31">
        <w:rPr>
          <w:b/>
          <w:sz w:val="24"/>
          <w:szCs w:val="24"/>
        </w:rPr>
        <w:tab/>
        <w:t>Særlige opbevaringsforhold</w:t>
      </w:r>
    </w:p>
    <w:p w:rsidR="004F4CA9" w:rsidRPr="00D86A31" w:rsidRDefault="004F4CA9" w:rsidP="002272D5">
      <w:pPr>
        <w:ind w:left="851" w:hanging="851"/>
        <w:rPr>
          <w:sz w:val="24"/>
          <w:szCs w:val="24"/>
          <w:highlight w:val="yellow"/>
        </w:rPr>
      </w:pPr>
      <w:r w:rsidRPr="00D86A31">
        <w:rPr>
          <w:sz w:val="24"/>
          <w:szCs w:val="24"/>
        </w:rPr>
        <w:tab/>
      </w:r>
      <w:r w:rsidR="002272D5" w:rsidRPr="002F2904">
        <w:rPr>
          <w:color w:val="000000"/>
          <w:sz w:val="24"/>
          <w:szCs w:val="24"/>
        </w:rPr>
        <w:t>Må ikke opbevares ved temperaturer over 25</w:t>
      </w:r>
      <w:r w:rsidR="002272D5">
        <w:rPr>
          <w:color w:val="000000"/>
          <w:sz w:val="24"/>
          <w:szCs w:val="24"/>
        </w:rPr>
        <w:t xml:space="preserve"> </w:t>
      </w:r>
      <w:r w:rsidR="002272D5" w:rsidRPr="002F2904">
        <w:rPr>
          <w:color w:val="000000"/>
          <w:sz w:val="24"/>
          <w:szCs w:val="24"/>
        </w:rPr>
        <w:t>°C.</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6.5</w:t>
      </w:r>
      <w:r w:rsidRPr="00D86A31">
        <w:rPr>
          <w:b/>
          <w:sz w:val="24"/>
          <w:szCs w:val="24"/>
        </w:rPr>
        <w:tab/>
        <w:t>Emballagetype og pakningsstørrelser</w:t>
      </w:r>
    </w:p>
    <w:p w:rsidR="004F4CA9" w:rsidRPr="00D86A31" w:rsidRDefault="004F4CA9" w:rsidP="004F4CA9">
      <w:pPr>
        <w:widowControl w:val="0"/>
        <w:autoSpaceDE w:val="0"/>
        <w:autoSpaceDN w:val="0"/>
        <w:adjustRightInd w:val="0"/>
        <w:ind w:left="851"/>
        <w:rPr>
          <w:rFonts w:eastAsia="MS Mincho"/>
          <w:color w:val="000000"/>
          <w:sz w:val="24"/>
          <w:szCs w:val="24"/>
          <w:lang w:eastAsia="ja-JP"/>
        </w:rPr>
      </w:pPr>
      <w:r w:rsidRPr="00D86A31">
        <w:rPr>
          <w:rFonts w:eastAsia="MS Mincho"/>
          <w:color w:val="000000"/>
          <w:sz w:val="24"/>
          <w:szCs w:val="24"/>
          <w:lang w:eastAsia="ja-JP"/>
        </w:rPr>
        <w:t xml:space="preserve">HDPE-beholdere med </w:t>
      </w:r>
      <w:r>
        <w:rPr>
          <w:rFonts w:eastAsia="MS Mincho"/>
          <w:color w:val="000000"/>
          <w:sz w:val="24"/>
          <w:szCs w:val="24"/>
          <w:lang w:eastAsia="ja-JP"/>
        </w:rPr>
        <w:t>skruelåg af polypropylen (PP) med integreret silicagel som</w:t>
      </w:r>
      <w:r w:rsidRPr="00D86A31">
        <w:rPr>
          <w:rFonts w:eastAsia="MS Mincho"/>
          <w:color w:val="000000"/>
          <w:sz w:val="24"/>
          <w:szCs w:val="24"/>
          <w:lang w:eastAsia="ja-JP"/>
        </w:rPr>
        <w:t xml:space="preserve"> tørremiddel.</w:t>
      </w:r>
    </w:p>
    <w:p w:rsidR="004F4CA9" w:rsidRPr="00D86A31" w:rsidRDefault="004F4CA9" w:rsidP="004F4CA9">
      <w:pPr>
        <w:widowControl w:val="0"/>
        <w:autoSpaceDE w:val="0"/>
        <w:autoSpaceDN w:val="0"/>
        <w:adjustRightInd w:val="0"/>
        <w:ind w:left="851" w:hanging="851"/>
        <w:rPr>
          <w:rFonts w:eastAsia="MS Mincho"/>
          <w:color w:val="000000"/>
          <w:sz w:val="24"/>
          <w:szCs w:val="24"/>
          <w:lang w:eastAsia="ja-JP"/>
        </w:rPr>
      </w:pPr>
    </w:p>
    <w:p w:rsidR="004F4CA9" w:rsidRDefault="004F4CA9" w:rsidP="004F4CA9">
      <w:pPr>
        <w:suppressAutoHyphens/>
        <w:ind w:left="851"/>
        <w:rPr>
          <w:rFonts w:eastAsia="MS Mincho"/>
          <w:color w:val="000000"/>
          <w:sz w:val="24"/>
          <w:szCs w:val="24"/>
          <w:lang w:eastAsia="ja-JP"/>
        </w:rPr>
      </w:pPr>
      <w:r w:rsidRPr="00D86A31">
        <w:rPr>
          <w:rFonts w:eastAsia="MS Mincho"/>
          <w:i/>
          <w:color w:val="000000"/>
          <w:sz w:val="24"/>
          <w:szCs w:val="24"/>
          <w:lang w:eastAsia="ja-JP"/>
        </w:rPr>
        <w:t>Pakningsstørrelser 30 mg</w:t>
      </w:r>
      <w:r w:rsidRPr="00D86A31">
        <w:rPr>
          <w:rFonts w:eastAsia="MS Mincho"/>
          <w:color w:val="000000"/>
          <w:sz w:val="24"/>
          <w:szCs w:val="24"/>
          <w:lang w:eastAsia="ja-JP"/>
        </w:rPr>
        <w:t>: 28, 30, 56, 60, 84, 90, 98 og 100 kapsler.</w:t>
      </w:r>
      <w:r w:rsidRPr="00D86A31">
        <w:rPr>
          <w:rFonts w:eastAsia="MS Mincho"/>
          <w:color w:val="000000"/>
          <w:sz w:val="24"/>
          <w:szCs w:val="24"/>
          <w:lang w:eastAsia="ja-JP"/>
        </w:rPr>
        <w:br/>
      </w:r>
      <w:r w:rsidRPr="00D86A31">
        <w:rPr>
          <w:rFonts w:eastAsia="MS Mincho"/>
          <w:i/>
          <w:color w:val="000000"/>
          <w:sz w:val="24"/>
          <w:szCs w:val="24"/>
          <w:lang w:eastAsia="ja-JP"/>
        </w:rPr>
        <w:t>Pakningsstørrelser 60 mg</w:t>
      </w:r>
      <w:r w:rsidRPr="00D86A31">
        <w:rPr>
          <w:rFonts w:eastAsia="MS Mincho"/>
          <w:color w:val="000000"/>
          <w:sz w:val="24"/>
          <w:szCs w:val="24"/>
          <w:lang w:eastAsia="ja-JP"/>
        </w:rPr>
        <w:t>: 28, 30, 56, 60, 84 og 90 kapsler.</w:t>
      </w:r>
    </w:p>
    <w:p w:rsidR="004F4CA9" w:rsidRDefault="004F4CA9" w:rsidP="004F4CA9">
      <w:pPr>
        <w:suppressAutoHyphens/>
        <w:ind w:left="851"/>
        <w:rPr>
          <w:rFonts w:eastAsia="MS Mincho"/>
          <w:color w:val="000000"/>
          <w:sz w:val="24"/>
          <w:szCs w:val="24"/>
          <w:lang w:eastAsia="ja-JP"/>
        </w:rPr>
      </w:pPr>
    </w:p>
    <w:p w:rsidR="004F4CA9" w:rsidRDefault="004F4CA9" w:rsidP="004F4CA9">
      <w:pPr>
        <w:ind w:firstLine="851"/>
        <w:rPr>
          <w:szCs w:val="22"/>
        </w:rPr>
      </w:pPr>
      <w:r>
        <w:rPr>
          <w:szCs w:val="22"/>
        </w:rPr>
        <w:t>AL/AL blister:</w:t>
      </w:r>
    </w:p>
    <w:p w:rsidR="004F4CA9" w:rsidRDefault="004F4CA9" w:rsidP="004F4CA9">
      <w:pPr>
        <w:ind w:firstLine="851"/>
        <w:rPr>
          <w:szCs w:val="22"/>
        </w:rPr>
      </w:pPr>
      <w:r>
        <w:rPr>
          <w:i/>
          <w:szCs w:val="22"/>
        </w:rPr>
        <w:t>Pakningsstørrelser 30 mg:</w:t>
      </w:r>
      <w:r>
        <w:rPr>
          <w:szCs w:val="22"/>
        </w:rPr>
        <w:t xml:space="preserve"> 7, 10, 14, 28, 30 og 100 kapsler.</w:t>
      </w:r>
    </w:p>
    <w:p w:rsidR="004F4CA9" w:rsidRPr="00B7748A" w:rsidRDefault="004F4CA9" w:rsidP="00B7748A">
      <w:pPr>
        <w:ind w:firstLine="851"/>
        <w:rPr>
          <w:szCs w:val="22"/>
        </w:rPr>
      </w:pPr>
      <w:r>
        <w:rPr>
          <w:i/>
          <w:szCs w:val="22"/>
        </w:rPr>
        <w:t>Pakningsstørrelser 60 mg:</w:t>
      </w:r>
      <w:r>
        <w:rPr>
          <w:szCs w:val="22"/>
        </w:rPr>
        <w:t xml:space="preserve"> 7, 10, 14, 28, 30, 56 og 100 kapsler.</w:t>
      </w:r>
    </w:p>
    <w:p w:rsidR="004F4CA9" w:rsidRPr="00D86A31" w:rsidRDefault="004F4CA9" w:rsidP="004F4CA9">
      <w:pPr>
        <w:suppressAutoHyphens/>
        <w:ind w:left="851" w:hanging="851"/>
        <w:rPr>
          <w:rFonts w:eastAsia="MS Mincho"/>
          <w:color w:val="000000"/>
          <w:sz w:val="24"/>
          <w:szCs w:val="24"/>
          <w:lang w:eastAsia="ja-JP"/>
        </w:rPr>
      </w:pPr>
    </w:p>
    <w:p w:rsidR="004F4CA9" w:rsidRPr="00D86A31" w:rsidRDefault="004F4CA9" w:rsidP="004F4CA9">
      <w:pPr>
        <w:suppressAutoHyphens/>
        <w:ind w:left="851"/>
        <w:rPr>
          <w:sz w:val="24"/>
          <w:szCs w:val="24"/>
        </w:rPr>
      </w:pPr>
      <w:r w:rsidRPr="00D86A31">
        <w:rPr>
          <w:rFonts w:eastAsia="MS Mincho"/>
          <w:color w:val="000000"/>
          <w:sz w:val="24"/>
          <w:szCs w:val="24"/>
          <w:lang w:eastAsia="ja-JP"/>
        </w:rPr>
        <w:t>Ikke alle pakningsstørrelser er nødvendigvis markedsført.</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6.6</w:t>
      </w:r>
      <w:r w:rsidRPr="00D86A31">
        <w:rPr>
          <w:b/>
          <w:sz w:val="24"/>
          <w:szCs w:val="24"/>
        </w:rPr>
        <w:tab/>
        <w:t xml:space="preserve">Regler for </w:t>
      </w:r>
      <w:r w:rsidR="009E762A">
        <w:rPr>
          <w:b/>
          <w:sz w:val="24"/>
          <w:szCs w:val="24"/>
        </w:rPr>
        <w:t>bortskaffelse</w:t>
      </w:r>
      <w:r w:rsidRPr="00D86A31">
        <w:rPr>
          <w:b/>
          <w:sz w:val="24"/>
          <w:szCs w:val="24"/>
        </w:rPr>
        <w:t xml:space="preserve"> og anden håndtering</w:t>
      </w:r>
    </w:p>
    <w:p w:rsidR="004F4CA9" w:rsidRPr="00D86A31" w:rsidRDefault="004F4CA9" w:rsidP="004F4CA9">
      <w:pPr>
        <w:ind w:left="851"/>
        <w:rPr>
          <w:sz w:val="24"/>
          <w:szCs w:val="24"/>
        </w:rPr>
      </w:pPr>
      <w:r w:rsidRPr="00D86A31">
        <w:rPr>
          <w:sz w:val="24"/>
          <w:szCs w:val="24"/>
        </w:rPr>
        <w:t>Ingen særlige forholdsregler.</w:t>
      </w:r>
    </w:p>
    <w:p w:rsidR="004F4CA9" w:rsidRPr="00D86A31" w:rsidRDefault="004F4CA9" w:rsidP="004F4CA9">
      <w:pPr>
        <w:ind w:left="851" w:hanging="851"/>
        <w:jc w:val="both"/>
        <w:rPr>
          <w:sz w:val="24"/>
          <w:szCs w:val="24"/>
        </w:rPr>
      </w:pPr>
    </w:p>
    <w:p w:rsidR="004F4CA9" w:rsidRPr="00D86A31" w:rsidRDefault="004F4CA9" w:rsidP="004F4CA9">
      <w:pPr>
        <w:ind w:left="851" w:hanging="851"/>
        <w:rPr>
          <w:b/>
          <w:sz w:val="24"/>
          <w:szCs w:val="24"/>
        </w:rPr>
      </w:pPr>
      <w:r w:rsidRPr="00D86A31">
        <w:rPr>
          <w:b/>
          <w:sz w:val="24"/>
          <w:szCs w:val="24"/>
        </w:rPr>
        <w:t>7.</w:t>
      </w:r>
      <w:r w:rsidRPr="00D86A31">
        <w:rPr>
          <w:b/>
          <w:sz w:val="24"/>
          <w:szCs w:val="24"/>
        </w:rPr>
        <w:tab/>
        <w:t>INDEHAVER AF MARKEDSFØRINGSTILLADELSEN</w:t>
      </w:r>
    </w:p>
    <w:p w:rsidR="009E762A" w:rsidRPr="00E936CE" w:rsidRDefault="009E762A" w:rsidP="009E762A">
      <w:pPr>
        <w:tabs>
          <w:tab w:val="left" w:pos="851"/>
        </w:tabs>
        <w:ind w:left="851"/>
        <w:jc w:val="both"/>
        <w:rPr>
          <w:sz w:val="24"/>
          <w:szCs w:val="24"/>
          <w:lang w:val="en-US"/>
        </w:rPr>
      </w:pPr>
      <w:r w:rsidRPr="00E936CE">
        <w:rPr>
          <w:sz w:val="24"/>
          <w:szCs w:val="24"/>
          <w:lang w:val="en-US"/>
        </w:rPr>
        <w:t>Teva B.V.</w:t>
      </w:r>
    </w:p>
    <w:p w:rsidR="009E762A" w:rsidRPr="00E936CE" w:rsidRDefault="009E762A" w:rsidP="009E762A">
      <w:pPr>
        <w:tabs>
          <w:tab w:val="left" w:pos="851"/>
        </w:tabs>
        <w:ind w:left="851"/>
        <w:jc w:val="both"/>
        <w:rPr>
          <w:sz w:val="24"/>
          <w:szCs w:val="24"/>
          <w:lang w:val="en-US"/>
        </w:rPr>
      </w:pPr>
      <w:r w:rsidRPr="00E936CE">
        <w:rPr>
          <w:sz w:val="24"/>
          <w:szCs w:val="24"/>
          <w:lang w:val="en-US"/>
        </w:rPr>
        <w:t>Swensweg 5</w:t>
      </w:r>
    </w:p>
    <w:p w:rsidR="009E762A" w:rsidRPr="00E936CE" w:rsidRDefault="009E762A" w:rsidP="009E762A">
      <w:pPr>
        <w:tabs>
          <w:tab w:val="left" w:pos="851"/>
        </w:tabs>
        <w:ind w:left="851"/>
        <w:jc w:val="both"/>
        <w:rPr>
          <w:sz w:val="24"/>
          <w:szCs w:val="24"/>
          <w:lang w:val="en-US"/>
        </w:rPr>
      </w:pPr>
      <w:r w:rsidRPr="00E936CE">
        <w:rPr>
          <w:sz w:val="24"/>
          <w:szCs w:val="24"/>
          <w:lang w:val="en-US"/>
        </w:rPr>
        <w:t>2031 GA Haarlem</w:t>
      </w:r>
    </w:p>
    <w:p w:rsidR="004F4CA9" w:rsidRDefault="009E762A" w:rsidP="009E762A">
      <w:pPr>
        <w:ind w:left="851"/>
        <w:rPr>
          <w:sz w:val="24"/>
          <w:szCs w:val="24"/>
          <w:lang w:val="en-US"/>
        </w:rPr>
      </w:pPr>
      <w:r w:rsidRPr="00E936CE">
        <w:rPr>
          <w:sz w:val="24"/>
          <w:szCs w:val="24"/>
          <w:lang w:val="en-US"/>
        </w:rPr>
        <w:t>Holland</w:t>
      </w:r>
    </w:p>
    <w:p w:rsidR="009E762A" w:rsidRDefault="009E762A" w:rsidP="009E762A">
      <w:pPr>
        <w:ind w:left="851"/>
        <w:rPr>
          <w:b/>
          <w:noProof/>
          <w:sz w:val="24"/>
          <w:szCs w:val="24"/>
          <w:lang w:val="en-US"/>
        </w:rPr>
      </w:pPr>
    </w:p>
    <w:p w:rsidR="004F4CA9" w:rsidRPr="00D86A31" w:rsidRDefault="004F4CA9" w:rsidP="00E2006B">
      <w:pPr>
        <w:keepNext/>
        <w:ind w:left="851"/>
        <w:rPr>
          <w:b/>
          <w:noProof/>
          <w:sz w:val="24"/>
          <w:szCs w:val="24"/>
          <w:lang w:val="en-US"/>
        </w:rPr>
      </w:pPr>
      <w:r w:rsidRPr="00D86A31">
        <w:rPr>
          <w:b/>
          <w:noProof/>
          <w:sz w:val="24"/>
          <w:szCs w:val="24"/>
          <w:lang w:val="en-US"/>
        </w:rPr>
        <w:lastRenderedPageBreak/>
        <w:t>Repræsentant</w:t>
      </w:r>
    </w:p>
    <w:p w:rsidR="004F4CA9" w:rsidRPr="00414638" w:rsidRDefault="004F4CA9" w:rsidP="00E2006B">
      <w:pPr>
        <w:keepNext/>
        <w:tabs>
          <w:tab w:val="left" w:pos="0"/>
          <w:tab w:val="left" w:pos="851"/>
        </w:tabs>
        <w:ind w:left="851" w:hanging="851"/>
        <w:rPr>
          <w:spacing w:val="-3"/>
          <w:sz w:val="24"/>
          <w:szCs w:val="24"/>
          <w:lang w:val="en-US"/>
        </w:rPr>
      </w:pPr>
      <w:r>
        <w:rPr>
          <w:spacing w:val="-3"/>
          <w:szCs w:val="24"/>
          <w:lang w:val="en-US"/>
        </w:rPr>
        <w:tab/>
      </w:r>
      <w:r w:rsidRPr="00414638">
        <w:rPr>
          <w:spacing w:val="-3"/>
          <w:sz w:val="24"/>
          <w:szCs w:val="24"/>
          <w:lang w:val="en-US"/>
        </w:rPr>
        <w:t>Teva Denmark A/S</w:t>
      </w:r>
    </w:p>
    <w:p w:rsidR="004F4CA9" w:rsidRPr="009A3D8C" w:rsidRDefault="004F4CA9" w:rsidP="00E2006B">
      <w:pPr>
        <w:keepNext/>
        <w:tabs>
          <w:tab w:val="left" w:pos="0"/>
          <w:tab w:val="left" w:pos="851"/>
        </w:tabs>
        <w:ind w:left="850" w:firstLine="1"/>
        <w:rPr>
          <w:spacing w:val="-3"/>
          <w:sz w:val="24"/>
          <w:szCs w:val="24"/>
        </w:rPr>
      </w:pPr>
      <w:r w:rsidRPr="009A3D8C">
        <w:rPr>
          <w:spacing w:val="-3"/>
          <w:sz w:val="24"/>
          <w:szCs w:val="24"/>
        </w:rPr>
        <w:t xml:space="preserve">Vandtårnsvej 83A </w:t>
      </w:r>
    </w:p>
    <w:p w:rsidR="004F4CA9" w:rsidRPr="00D86A31" w:rsidRDefault="004F4CA9" w:rsidP="004F4CA9">
      <w:pPr>
        <w:numPr>
          <w:ilvl w:val="12"/>
          <w:numId w:val="0"/>
        </w:numPr>
        <w:ind w:left="851" w:right="-2"/>
        <w:rPr>
          <w:noProof/>
          <w:sz w:val="24"/>
          <w:szCs w:val="24"/>
        </w:rPr>
      </w:pPr>
      <w:r w:rsidRPr="00414638">
        <w:rPr>
          <w:spacing w:val="-3"/>
          <w:sz w:val="24"/>
          <w:szCs w:val="24"/>
        </w:rPr>
        <w:t>2860 Søborg</w:t>
      </w:r>
    </w:p>
    <w:p w:rsidR="009E762A" w:rsidRPr="00D86A31" w:rsidRDefault="009E762A" w:rsidP="00153781">
      <w:pPr>
        <w:rPr>
          <w:sz w:val="24"/>
          <w:szCs w:val="24"/>
        </w:rPr>
      </w:pPr>
    </w:p>
    <w:p w:rsidR="004F4CA9" w:rsidRPr="00D86A31" w:rsidRDefault="004F4CA9" w:rsidP="004F4CA9">
      <w:pPr>
        <w:ind w:left="851" w:hanging="851"/>
        <w:rPr>
          <w:b/>
          <w:sz w:val="24"/>
          <w:szCs w:val="24"/>
        </w:rPr>
      </w:pPr>
      <w:r w:rsidRPr="00D86A31">
        <w:rPr>
          <w:b/>
          <w:sz w:val="24"/>
          <w:szCs w:val="24"/>
        </w:rPr>
        <w:t>8.</w:t>
      </w:r>
      <w:r w:rsidRPr="00D86A31">
        <w:rPr>
          <w:b/>
          <w:sz w:val="24"/>
          <w:szCs w:val="24"/>
        </w:rPr>
        <w:tab/>
        <w:t>MARKEDSFØRINGSTILLADELSESNUMMER (</w:t>
      </w:r>
      <w:r w:rsidR="009E762A">
        <w:rPr>
          <w:b/>
          <w:sz w:val="24"/>
          <w:szCs w:val="24"/>
        </w:rPr>
        <w:t>-</w:t>
      </w:r>
      <w:r w:rsidRPr="00D86A31">
        <w:rPr>
          <w:b/>
          <w:sz w:val="24"/>
          <w:szCs w:val="24"/>
        </w:rPr>
        <w:t>NUMRE)</w:t>
      </w:r>
    </w:p>
    <w:p w:rsidR="004F4CA9" w:rsidRPr="000C000F" w:rsidRDefault="004F4CA9" w:rsidP="004F4CA9">
      <w:pPr>
        <w:ind w:left="851" w:hanging="851"/>
        <w:rPr>
          <w:spacing w:val="-3"/>
          <w:sz w:val="24"/>
          <w:szCs w:val="24"/>
        </w:rPr>
      </w:pPr>
      <w:r w:rsidRPr="00D86A31">
        <w:rPr>
          <w:sz w:val="24"/>
          <w:szCs w:val="24"/>
        </w:rPr>
        <w:tab/>
      </w:r>
      <w:r w:rsidRPr="000C000F">
        <w:rPr>
          <w:spacing w:val="-3"/>
          <w:sz w:val="24"/>
          <w:szCs w:val="24"/>
        </w:rPr>
        <w:t>30 mg:</w:t>
      </w:r>
      <w:r w:rsidRPr="000C000F">
        <w:rPr>
          <w:bCs/>
          <w:sz w:val="24"/>
          <w:szCs w:val="24"/>
        </w:rPr>
        <w:t xml:space="preserve"> 54673</w:t>
      </w:r>
    </w:p>
    <w:p w:rsidR="004F4CA9" w:rsidRPr="000C000F" w:rsidRDefault="004F4CA9" w:rsidP="004F4CA9">
      <w:pPr>
        <w:ind w:left="851"/>
        <w:rPr>
          <w:sz w:val="24"/>
          <w:szCs w:val="24"/>
        </w:rPr>
      </w:pPr>
      <w:r w:rsidRPr="000C000F">
        <w:rPr>
          <w:sz w:val="24"/>
          <w:szCs w:val="24"/>
        </w:rPr>
        <w:t xml:space="preserve">60 mg: </w:t>
      </w:r>
      <w:r w:rsidRPr="000C000F">
        <w:rPr>
          <w:bCs/>
          <w:sz w:val="24"/>
          <w:szCs w:val="24"/>
        </w:rPr>
        <w:t>54674</w:t>
      </w:r>
    </w:p>
    <w:p w:rsidR="004F4CA9" w:rsidRPr="00D86A31" w:rsidRDefault="004F4CA9" w:rsidP="004F4CA9">
      <w:pPr>
        <w:ind w:left="851" w:hanging="851"/>
        <w:jc w:val="both"/>
        <w:rPr>
          <w:sz w:val="24"/>
          <w:szCs w:val="24"/>
        </w:rPr>
      </w:pPr>
    </w:p>
    <w:p w:rsidR="004F4CA9" w:rsidRPr="00D86A31" w:rsidRDefault="004F4CA9" w:rsidP="004F4CA9">
      <w:pPr>
        <w:ind w:left="851" w:hanging="851"/>
        <w:rPr>
          <w:b/>
          <w:sz w:val="24"/>
          <w:szCs w:val="24"/>
        </w:rPr>
      </w:pPr>
      <w:r w:rsidRPr="00D86A31">
        <w:rPr>
          <w:b/>
          <w:sz w:val="24"/>
          <w:szCs w:val="24"/>
        </w:rPr>
        <w:t>9.</w:t>
      </w:r>
      <w:r w:rsidRPr="00D86A31">
        <w:rPr>
          <w:b/>
          <w:sz w:val="24"/>
          <w:szCs w:val="24"/>
        </w:rPr>
        <w:tab/>
        <w:t>DATO FOR FØRSTE MARKEDSFØRINGSTILLADELSE</w:t>
      </w:r>
    </w:p>
    <w:p w:rsidR="004F4CA9" w:rsidRPr="00D86A31" w:rsidRDefault="004F4CA9" w:rsidP="004F4CA9">
      <w:pPr>
        <w:ind w:left="851" w:hanging="851"/>
        <w:rPr>
          <w:sz w:val="24"/>
          <w:szCs w:val="24"/>
        </w:rPr>
      </w:pPr>
      <w:r w:rsidRPr="00D86A31">
        <w:rPr>
          <w:sz w:val="24"/>
          <w:szCs w:val="24"/>
        </w:rPr>
        <w:tab/>
        <w:t>7. juli 2015</w:t>
      </w:r>
    </w:p>
    <w:p w:rsidR="004F4CA9" w:rsidRPr="00D86A31" w:rsidRDefault="004F4CA9" w:rsidP="004F4CA9">
      <w:pPr>
        <w:ind w:left="851" w:hanging="851"/>
        <w:rPr>
          <w:sz w:val="24"/>
          <w:szCs w:val="24"/>
        </w:rPr>
      </w:pPr>
    </w:p>
    <w:p w:rsidR="004F4CA9" w:rsidRPr="00D86A31" w:rsidRDefault="004F4CA9" w:rsidP="004F4CA9">
      <w:pPr>
        <w:ind w:left="851" w:hanging="851"/>
        <w:rPr>
          <w:b/>
          <w:sz w:val="24"/>
          <w:szCs w:val="24"/>
        </w:rPr>
      </w:pPr>
      <w:r w:rsidRPr="00D86A31">
        <w:rPr>
          <w:b/>
          <w:sz w:val="24"/>
          <w:szCs w:val="24"/>
        </w:rPr>
        <w:t>10.</w:t>
      </w:r>
      <w:r w:rsidRPr="00D86A31">
        <w:rPr>
          <w:b/>
          <w:sz w:val="24"/>
          <w:szCs w:val="24"/>
        </w:rPr>
        <w:tab/>
        <w:t>DATO FOR ÆNDRING AF TEKSTEN</w:t>
      </w:r>
    </w:p>
    <w:p w:rsidR="009260DE" w:rsidRPr="004F4CA9" w:rsidRDefault="00153781" w:rsidP="008529CB">
      <w:pPr>
        <w:ind w:left="851" w:hanging="851"/>
      </w:pPr>
      <w:r>
        <w:rPr>
          <w:sz w:val="24"/>
          <w:szCs w:val="24"/>
        </w:rPr>
        <w:tab/>
        <w:t>8. januar 2025</w:t>
      </w:r>
    </w:p>
    <w:sectPr w:rsidR="009260DE" w:rsidRPr="004F4CA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4A7" w:rsidRDefault="003F24A7">
      <w:r>
        <w:separator/>
      </w:r>
    </w:p>
  </w:endnote>
  <w:endnote w:type="continuationSeparator" w:id="0">
    <w:p w:rsidR="003F24A7" w:rsidRDefault="003F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4A7" w:rsidRDefault="003F24A7">
    <w:pPr>
      <w:pStyle w:val="Sidefod"/>
      <w:pBdr>
        <w:bottom w:val="single" w:sz="6" w:space="1" w:color="auto"/>
      </w:pBdr>
    </w:pPr>
  </w:p>
  <w:p w:rsidR="003F24A7" w:rsidRDefault="003F24A7" w:rsidP="00C42586">
    <w:pPr>
      <w:pStyle w:val="Sidefod"/>
      <w:tabs>
        <w:tab w:val="clear" w:pos="4819"/>
        <w:tab w:val="left" w:pos="8505"/>
      </w:tabs>
      <w:rPr>
        <w:i/>
        <w:sz w:val="18"/>
        <w:szCs w:val="18"/>
      </w:rPr>
    </w:pPr>
  </w:p>
  <w:p w:rsidR="003F24A7" w:rsidRPr="00B373D7" w:rsidRDefault="003F24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Aritavi, hårde enterokapsler 30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4A7" w:rsidRDefault="003F24A7">
      <w:r>
        <w:separator/>
      </w:r>
    </w:p>
  </w:footnote>
  <w:footnote w:type="continuationSeparator" w:id="0">
    <w:p w:rsidR="003F24A7" w:rsidRDefault="003F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9"/>
    <w:rsid w:val="000259B9"/>
    <w:rsid w:val="00027752"/>
    <w:rsid w:val="00041491"/>
    <w:rsid w:val="00050D16"/>
    <w:rsid w:val="00074F2A"/>
    <w:rsid w:val="000A1CA8"/>
    <w:rsid w:val="000A466B"/>
    <w:rsid w:val="000B058C"/>
    <w:rsid w:val="000B3E5D"/>
    <w:rsid w:val="000D0081"/>
    <w:rsid w:val="000E4EE6"/>
    <w:rsid w:val="0014283A"/>
    <w:rsid w:val="001454E2"/>
    <w:rsid w:val="00153781"/>
    <w:rsid w:val="00187ACF"/>
    <w:rsid w:val="001F450B"/>
    <w:rsid w:val="00206CE8"/>
    <w:rsid w:val="0021526C"/>
    <w:rsid w:val="002272D5"/>
    <w:rsid w:val="00241296"/>
    <w:rsid w:val="00271FEB"/>
    <w:rsid w:val="00283A2B"/>
    <w:rsid w:val="002B30AD"/>
    <w:rsid w:val="002C2C01"/>
    <w:rsid w:val="0036352A"/>
    <w:rsid w:val="003756E5"/>
    <w:rsid w:val="003A29AE"/>
    <w:rsid w:val="003A32D7"/>
    <w:rsid w:val="003B4074"/>
    <w:rsid w:val="003C769A"/>
    <w:rsid w:val="003D3A2D"/>
    <w:rsid w:val="003F1838"/>
    <w:rsid w:val="003F24A7"/>
    <w:rsid w:val="0045746C"/>
    <w:rsid w:val="0049104B"/>
    <w:rsid w:val="004E3B12"/>
    <w:rsid w:val="004F4CA9"/>
    <w:rsid w:val="00532310"/>
    <w:rsid w:val="00560ECC"/>
    <w:rsid w:val="00565F0F"/>
    <w:rsid w:val="00594A86"/>
    <w:rsid w:val="00596D86"/>
    <w:rsid w:val="005B7472"/>
    <w:rsid w:val="005D68D7"/>
    <w:rsid w:val="005E3321"/>
    <w:rsid w:val="006155D1"/>
    <w:rsid w:val="00637F5A"/>
    <w:rsid w:val="006456B2"/>
    <w:rsid w:val="006560B1"/>
    <w:rsid w:val="006756DD"/>
    <w:rsid w:val="006B2014"/>
    <w:rsid w:val="00737275"/>
    <w:rsid w:val="00740EEC"/>
    <w:rsid w:val="00747041"/>
    <w:rsid w:val="0078011A"/>
    <w:rsid w:val="0078275F"/>
    <w:rsid w:val="00782AF4"/>
    <w:rsid w:val="00790EE7"/>
    <w:rsid w:val="007B6649"/>
    <w:rsid w:val="0081546F"/>
    <w:rsid w:val="0082576E"/>
    <w:rsid w:val="008529CB"/>
    <w:rsid w:val="0087028C"/>
    <w:rsid w:val="008F2C1C"/>
    <w:rsid w:val="00907F75"/>
    <w:rsid w:val="009260DE"/>
    <w:rsid w:val="0093258A"/>
    <w:rsid w:val="00960367"/>
    <w:rsid w:val="009C7BA3"/>
    <w:rsid w:val="009D1F5A"/>
    <w:rsid w:val="009E762A"/>
    <w:rsid w:val="00B003BF"/>
    <w:rsid w:val="00B373D7"/>
    <w:rsid w:val="00B7748A"/>
    <w:rsid w:val="00B82623"/>
    <w:rsid w:val="00C36276"/>
    <w:rsid w:val="00C42586"/>
    <w:rsid w:val="00C60CCD"/>
    <w:rsid w:val="00C84483"/>
    <w:rsid w:val="00C95551"/>
    <w:rsid w:val="00CB20D7"/>
    <w:rsid w:val="00D020B0"/>
    <w:rsid w:val="00D11748"/>
    <w:rsid w:val="00D366CF"/>
    <w:rsid w:val="00E108AA"/>
    <w:rsid w:val="00E2006B"/>
    <w:rsid w:val="00E31812"/>
    <w:rsid w:val="00E3749A"/>
    <w:rsid w:val="00E46C63"/>
    <w:rsid w:val="00E56738"/>
    <w:rsid w:val="00E705A8"/>
    <w:rsid w:val="00E7437F"/>
    <w:rsid w:val="00E865B8"/>
    <w:rsid w:val="00EC0B9B"/>
    <w:rsid w:val="00ED3BAD"/>
    <w:rsid w:val="00ED5E9F"/>
    <w:rsid w:val="00F66D4F"/>
    <w:rsid w:val="00FA13DC"/>
    <w:rsid w:val="00FB6D01"/>
    <w:rsid w:val="00FC72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2FFD7-7A40-4E7C-ADF7-95D84208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F4CA9"/>
    <w:rPr>
      <w:color w:val="0000FF"/>
      <w:u w:val="single"/>
    </w:rPr>
  </w:style>
  <w:style w:type="paragraph" w:customStyle="1" w:styleId="Default">
    <w:name w:val="Default"/>
    <w:rsid w:val="005E332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7515</Words>
  <Characters>45843</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2024081914  - pkt. 4.4, 4.8</dc:description>
  <cp:lastModifiedBy>Iman El Kadiri</cp:lastModifiedBy>
  <cp:revision>4</cp:revision>
  <cp:lastPrinted>2012-08-22T08:53:00Z</cp:lastPrinted>
  <dcterms:created xsi:type="dcterms:W3CDTF">2024-12-20T03:37:00Z</dcterms:created>
  <dcterms:modified xsi:type="dcterms:W3CDTF">2025-01-08T05:45:00Z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