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EDD9C" w14:textId="77777777" w:rsidR="009260DE" w:rsidRPr="00693334"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0D8C0BAD" wp14:editId="50A8A21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16B9C41" w14:textId="2DFE9D9A" w:rsidR="009260DE" w:rsidRPr="00693334" w:rsidRDefault="009260DE" w:rsidP="009260DE">
      <w:pPr>
        <w:pStyle w:val="Titel"/>
        <w:tabs>
          <w:tab w:val="right" w:pos="9356"/>
        </w:tabs>
        <w:jc w:val="left"/>
        <w:rPr>
          <w:b w:val="0"/>
          <w:szCs w:val="24"/>
          <w:lang w:eastAsia="en-US"/>
        </w:rPr>
      </w:pPr>
      <w:r w:rsidRPr="00693334">
        <w:rPr>
          <w:b w:val="0"/>
          <w:szCs w:val="24"/>
          <w:lang w:eastAsia="en-US"/>
        </w:rPr>
        <w:tab/>
      </w:r>
      <w:r w:rsidR="00BA3D37" w:rsidRPr="00693334">
        <w:rPr>
          <w:szCs w:val="24"/>
        </w:rPr>
        <w:t>21</w:t>
      </w:r>
      <w:r w:rsidR="007A5124" w:rsidRPr="00693334">
        <w:rPr>
          <w:szCs w:val="24"/>
        </w:rPr>
        <w:t xml:space="preserve">. </w:t>
      </w:r>
      <w:r w:rsidR="00BA3D37" w:rsidRPr="00693334">
        <w:rPr>
          <w:szCs w:val="24"/>
        </w:rPr>
        <w:t>februar</w:t>
      </w:r>
      <w:r w:rsidR="007A5124" w:rsidRPr="00693334">
        <w:rPr>
          <w:szCs w:val="24"/>
        </w:rPr>
        <w:t xml:space="preserve"> 202</w:t>
      </w:r>
      <w:r w:rsidR="00BA3D37" w:rsidRPr="00693334">
        <w:rPr>
          <w:szCs w:val="24"/>
        </w:rPr>
        <w:t>5</w:t>
      </w:r>
    </w:p>
    <w:p w14:paraId="7856470C" w14:textId="2E394A13" w:rsidR="009260DE" w:rsidRPr="00693334" w:rsidRDefault="009260DE" w:rsidP="009260DE">
      <w:pPr>
        <w:pStyle w:val="Titel"/>
        <w:tabs>
          <w:tab w:val="left" w:pos="8222"/>
        </w:tabs>
        <w:jc w:val="left"/>
        <w:rPr>
          <w:b w:val="0"/>
          <w:szCs w:val="24"/>
        </w:rPr>
      </w:pPr>
    </w:p>
    <w:p w14:paraId="20F0849B" w14:textId="1EFB765C" w:rsidR="009260DE" w:rsidRPr="00693334" w:rsidRDefault="009260DE" w:rsidP="009260DE">
      <w:pPr>
        <w:pStyle w:val="Titel"/>
        <w:jc w:val="left"/>
        <w:rPr>
          <w:b w:val="0"/>
          <w:szCs w:val="24"/>
        </w:rPr>
      </w:pPr>
    </w:p>
    <w:p w14:paraId="2FF8737A" w14:textId="5D201682" w:rsidR="0023392C" w:rsidRPr="00693334" w:rsidRDefault="0023392C" w:rsidP="009260DE">
      <w:pPr>
        <w:pStyle w:val="Titel"/>
        <w:jc w:val="left"/>
        <w:rPr>
          <w:b w:val="0"/>
          <w:szCs w:val="24"/>
        </w:rPr>
      </w:pPr>
    </w:p>
    <w:p w14:paraId="461C01DB" w14:textId="77777777" w:rsidR="009260DE" w:rsidRPr="00693334" w:rsidRDefault="009260DE" w:rsidP="009260DE">
      <w:pPr>
        <w:pStyle w:val="Titel"/>
        <w:jc w:val="left"/>
        <w:rPr>
          <w:b w:val="0"/>
          <w:szCs w:val="24"/>
        </w:rPr>
      </w:pPr>
    </w:p>
    <w:p w14:paraId="3B7FF657" w14:textId="77777777" w:rsidR="009260DE" w:rsidRPr="00693334" w:rsidRDefault="009260DE" w:rsidP="009260DE">
      <w:pPr>
        <w:jc w:val="center"/>
        <w:rPr>
          <w:b/>
          <w:sz w:val="24"/>
          <w:szCs w:val="24"/>
        </w:rPr>
      </w:pPr>
      <w:r w:rsidRPr="00693334">
        <w:rPr>
          <w:b/>
          <w:sz w:val="24"/>
          <w:szCs w:val="24"/>
        </w:rPr>
        <w:t>PRODUKTRESUMÉ</w:t>
      </w:r>
    </w:p>
    <w:p w14:paraId="371A41E5" w14:textId="77777777" w:rsidR="009260DE" w:rsidRPr="00693334" w:rsidRDefault="009260DE" w:rsidP="009260DE">
      <w:pPr>
        <w:jc w:val="center"/>
        <w:rPr>
          <w:b/>
          <w:sz w:val="24"/>
          <w:szCs w:val="24"/>
        </w:rPr>
      </w:pPr>
    </w:p>
    <w:p w14:paraId="055EC350" w14:textId="77777777" w:rsidR="009260DE" w:rsidRPr="00693334" w:rsidRDefault="009260DE" w:rsidP="009260DE">
      <w:pPr>
        <w:jc w:val="center"/>
        <w:rPr>
          <w:b/>
          <w:sz w:val="24"/>
          <w:szCs w:val="24"/>
        </w:rPr>
      </w:pPr>
      <w:r w:rsidRPr="00693334">
        <w:rPr>
          <w:b/>
          <w:sz w:val="24"/>
          <w:szCs w:val="24"/>
        </w:rPr>
        <w:t>for</w:t>
      </w:r>
    </w:p>
    <w:p w14:paraId="1F7794BA" w14:textId="77777777" w:rsidR="000B058C" w:rsidRPr="00693334" w:rsidRDefault="000B058C" w:rsidP="009260DE">
      <w:pPr>
        <w:jc w:val="center"/>
        <w:rPr>
          <w:b/>
          <w:sz w:val="24"/>
          <w:szCs w:val="24"/>
        </w:rPr>
      </w:pPr>
    </w:p>
    <w:p w14:paraId="4991740B" w14:textId="7AE8776B" w:rsidR="009260DE" w:rsidRPr="00693334" w:rsidRDefault="008C4C60" w:rsidP="009260DE">
      <w:pPr>
        <w:jc w:val="center"/>
        <w:rPr>
          <w:b/>
          <w:sz w:val="24"/>
          <w:szCs w:val="24"/>
        </w:rPr>
      </w:pPr>
      <w:r w:rsidRPr="00693334">
        <w:rPr>
          <w:b/>
          <w:sz w:val="24"/>
          <w:szCs w:val="24"/>
        </w:rPr>
        <w:t>Arixobat, oral opløsning</w:t>
      </w:r>
    </w:p>
    <w:p w14:paraId="6C1DA6FB" w14:textId="77777777" w:rsidR="009260DE" w:rsidRPr="00693334" w:rsidRDefault="009260DE" w:rsidP="009260DE">
      <w:pPr>
        <w:jc w:val="both"/>
        <w:rPr>
          <w:sz w:val="24"/>
          <w:szCs w:val="24"/>
        </w:rPr>
      </w:pPr>
    </w:p>
    <w:p w14:paraId="489BD4FB" w14:textId="77777777" w:rsidR="009260DE" w:rsidRPr="00693334" w:rsidRDefault="009260DE" w:rsidP="009260DE">
      <w:pPr>
        <w:jc w:val="both"/>
        <w:rPr>
          <w:sz w:val="24"/>
          <w:szCs w:val="24"/>
        </w:rPr>
      </w:pPr>
    </w:p>
    <w:p w14:paraId="1D468D4F" w14:textId="77777777" w:rsidR="009260DE" w:rsidRPr="00693334" w:rsidRDefault="009260DE" w:rsidP="009260DE">
      <w:pPr>
        <w:tabs>
          <w:tab w:val="left" w:pos="851"/>
        </w:tabs>
        <w:ind w:left="851" w:hanging="851"/>
        <w:rPr>
          <w:b/>
          <w:sz w:val="24"/>
          <w:szCs w:val="24"/>
        </w:rPr>
      </w:pPr>
      <w:r w:rsidRPr="00693334">
        <w:rPr>
          <w:b/>
          <w:sz w:val="24"/>
          <w:szCs w:val="24"/>
        </w:rPr>
        <w:t>0.</w:t>
      </w:r>
      <w:r w:rsidRPr="00693334">
        <w:rPr>
          <w:b/>
          <w:sz w:val="24"/>
          <w:szCs w:val="24"/>
        </w:rPr>
        <w:tab/>
        <w:t>D.SP.NR.</w:t>
      </w:r>
    </w:p>
    <w:p w14:paraId="36A7C74C" w14:textId="7E15BA91" w:rsidR="009260DE" w:rsidRPr="00693334" w:rsidRDefault="008C4C60" w:rsidP="009260DE">
      <w:pPr>
        <w:tabs>
          <w:tab w:val="left" w:pos="851"/>
        </w:tabs>
        <w:ind w:left="851"/>
        <w:rPr>
          <w:sz w:val="24"/>
          <w:szCs w:val="24"/>
        </w:rPr>
      </w:pPr>
      <w:r w:rsidRPr="00693334">
        <w:rPr>
          <w:sz w:val="24"/>
          <w:szCs w:val="24"/>
        </w:rPr>
        <w:t>31683</w:t>
      </w:r>
    </w:p>
    <w:p w14:paraId="5D957FE8" w14:textId="77777777" w:rsidR="009260DE" w:rsidRPr="00693334" w:rsidRDefault="009260DE" w:rsidP="009260DE">
      <w:pPr>
        <w:tabs>
          <w:tab w:val="left" w:pos="851"/>
        </w:tabs>
        <w:ind w:left="851"/>
        <w:rPr>
          <w:sz w:val="24"/>
          <w:szCs w:val="24"/>
        </w:rPr>
      </w:pPr>
    </w:p>
    <w:p w14:paraId="4B58C431" w14:textId="77777777" w:rsidR="009260DE" w:rsidRPr="00693334" w:rsidRDefault="009260DE" w:rsidP="009260DE">
      <w:pPr>
        <w:tabs>
          <w:tab w:val="left" w:pos="851"/>
        </w:tabs>
        <w:ind w:left="851" w:hanging="851"/>
        <w:rPr>
          <w:b/>
          <w:sz w:val="24"/>
          <w:szCs w:val="24"/>
        </w:rPr>
      </w:pPr>
      <w:r w:rsidRPr="00693334">
        <w:rPr>
          <w:b/>
          <w:sz w:val="24"/>
          <w:szCs w:val="24"/>
        </w:rPr>
        <w:t>1.</w:t>
      </w:r>
      <w:r w:rsidRPr="00693334">
        <w:rPr>
          <w:b/>
          <w:sz w:val="24"/>
          <w:szCs w:val="24"/>
        </w:rPr>
        <w:tab/>
        <w:t>LÆGEMIDLETS NAVN</w:t>
      </w:r>
    </w:p>
    <w:p w14:paraId="276B6EA2" w14:textId="06DED068" w:rsidR="009260DE" w:rsidRPr="00693334" w:rsidRDefault="008C4C60" w:rsidP="009260DE">
      <w:pPr>
        <w:tabs>
          <w:tab w:val="left" w:pos="851"/>
        </w:tabs>
        <w:ind w:left="851"/>
        <w:rPr>
          <w:sz w:val="24"/>
          <w:szCs w:val="24"/>
        </w:rPr>
      </w:pPr>
      <w:r w:rsidRPr="00693334">
        <w:rPr>
          <w:sz w:val="24"/>
          <w:szCs w:val="24"/>
        </w:rPr>
        <w:t>Arixobat</w:t>
      </w:r>
    </w:p>
    <w:p w14:paraId="5F8006BB" w14:textId="77777777" w:rsidR="009260DE" w:rsidRPr="00693334" w:rsidRDefault="009260DE" w:rsidP="009260DE">
      <w:pPr>
        <w:tabs>
          <w:tab w:val="left" w:pos="851"/>
        </w:tabs>
        <w:ind w:left="851"/>
        <w:rPr>
          <w:sz w:val="24"/>
          <w:szCs w:val="24"/>
        </w:rPr>
      </w:pPr>
    </w:p>
    <w:p w14:paraId="4D8F1185" w14:textId="77777777" w:rsidR="009260DE" w:rsidRPr="00693334" w:rsidRDefault="009260DE" w:rsidP="009260DE">
      <w:pPr>
        <w:tabs>
          <w:tab w:val="left" w:pos="851"/>
        </w:tabs>
        <w:ind w:left="851" w:hanging="851"/>
        <w:rPr>
          <w:b/>
          <w:sz w:val="24"/>
          <w:szCs w:val="24"/>
        </w:rPr>
      </w:pPr>
      <w:r w:rsidRPr="00693334">
        <w:rPr>
          <w:b/>
          <w:sz w:val="24"/>
          <w:szCs w:val="24"/>
        </w:rPr>
        <w:t>2.</w:t>
      </w:r>
      <w:r w:rsidRPr="00693334">
        <w:rPr>
          <w:b/>
          <w:sz w:val="24"/>
          <w:szCs w:val="24"/>
        </w:rPr>
        <w:tab/>
        <w:t>KVALITATIV OG KVANTITATIV SAMMENSÆTNING</w:t>
      </w:r>
    </w:p>
    <w:p w14:paraId="0A187B2E" w14:textId="1FD6624C" w:rsidR="00BA3D37" w:rsidRPr="00693334" w:rsidRDefault="00BA3D37" w:rsidP="007A5124">
      <w:pPr>
        <w:tabs>
          <w:tab w:val="left" w:pos="851"/>
        </w:tabs>
        <w:ind w:left="851"/>
        <w:rPr>
          <w:sz w:val="24"/>
          <w:szCs w:val="24"/>
        </w:rPr>
      </w:pPr>
      <w:r w:rsidRPr="00693334">
        <w:rPr>
          <w:sz w:val="24"/>
          <w:szCs w:val="24"/>
        </w:rPr>
        <w:t>Hver ml opløsning indeholder 500 mg natriumoxybat.</w:t>
      </w:r>
    </w:p>
    <w:p w14:paraId="7E85B31B" w14:textId="77777777" w:rsidR="00BA3D37" w:rsidRPr="00693334" w:rsidRDefault="00BA3D37" w:rsidP="007A5124">
      <w:pPr>
        <w:tabs>
          <w:tab w:val="left" w:pos="851"/>
        </w:tabs>
        <w:ind w:left="851"/>
        <w:rPr>
          <w:sz w:val="24"/>
          <w:szCs w:val="24"/>
        </w:rPr>
      </w:pPr>
    </w:p>
    <w:p w14:paraId="44B97E25" w14:textId="2AA80019" w:rsidR="007A5124" w:rsidRPr="00693334" w:rsidRDefault="007A5124" w:rsidP="007A5124">
      <w:pPr>
        <w:tabs>
          <w:tab w:val="left" w:pos="851"/>
        </w:tabs>
        <w:ind w:left="851"/>
        <w:rPr>
          <w:sz w:val="24"/>
          <w:szCs w:val="24"/>
        </w:rPr>
      </w:pPr>
      <w:r w:rsidRPr="00693334">
        <w:rPr>
          <w:sz w:val="24"/>
          <w:szCs w:val="24"/>
        </w:rPr>
        <w:t>Hjælpestof(fer), som behandleren skal være opmærksom på:</w:t>
      </w:r>
    </w:p>
    <w:p w14:paraId="1B29291C" w14:textId="0FD463DC" w:rsidR="007A5124" w:rsidRPr="00693334" w:rsidRDefault="007A5124" w:rsidP="007A5124">
      <w:pPr>
        <w:tabs>
          <w:tab w:val="left" w:pos="851"/>
        </w:tabs>
        <w:ind w:left="851"/>
        <w:rPr>
          <w:sz w:val="24"/>
          <w:szCs w:val="24"/>
        </w:rPr>
      </w:pPr>
      <w:r w:rsidRPr="00693334">
        <w:rPr>
          <w:sz w:val="24"/>
          <w:szCs w:val="24"/>
        </w:rPr>
        <w:t>Arixobat indeholder natrium (se pkt. 4.4).</w:t>
      </w:r>
    </w:p>
    <w:p w14:paraId="06CC39DF" w14:textId="77777777" w:rsidR="009260DE" w:rsidRPr="00693334" w:rsidRDefault="009260DE" w:rsidP="009260DE">
      <w:pPr>
        <w:tabs>
          <w:tab w:val="left" w:pos="851"/>
        </w:tabs>
        <w:ind w:left="851"/>
        <w:rPr>
          <w:sz w:val="24"/>
          <w:szCs w:val="24"/>
        </w:rPr>
      </w:pPr>
    </w:p>
    <w:p w14:paraId="63D4DA9B" w14:textId="77777777" w:rsidR="009260DE" w:rsidRPr="00693334" w:rsidRDefault="009260DE" w:rsidP="009260DE">
      <w:pPr>
        <w:tabs>
          <w:tab w:val="left" w:pos="851"/>
        </w:tabs>
        <w:ind w:left="851" w:hanging="851"/>
        <w:rPr>
          <w:b/>
          <w:sz w:val="24"/>
          <w:szCs w:val="24"/>
        </w:rPr>
      </w:pPr>
      <w:r w:rsidRPr="00693334">
        <w:rPr>
          <w:b/>
          <w:sz w:val="24"/>
          <w:szCs w:val="24"/>
        </w:rPr>
        <w:t>3.</w:t>
      </w:r>
      <w:r w:rsidRPr="00693334">
        <w:rPr>
          <w:b/>
          <w:sz w:val="24"/>
          <w:szCs w:val="24"/>
        </w:rPr>
        <w:tab/>
        <w:t>LÆGEMIDDELFORM</w:t>
      </w:r>
    </w:p>
    <w:p w14:paraId="3BBD10C2" w14:textId="1BD8EB18" w:rsidR="005352C3" w:rsidRPr="00693334" w:rsidRDefault="005352C3" w:rsidP="005352C3">
      <w:pPr>
        <w:tabs>
          <w:tab w:val="left" w:pos="851"/>
        </w:tabs>
        <w:ind w:left="851"/>
        <w:rPr>
          <w:sz w:val="24"/>
          <w:szCs w:val="24"/>
          <w:lang w:eastAsia="da-DK"/>
        </w:rPr>
      </w:pPr>
      <w:r w:rsidRPr="00693334">
        <w:rPr>
          <w:sz w:val="24"/>
          <w:szCs w:val="24"/>
        </w:rPr>
        <w:t>Oral opløsning</w:t>
      </w:r>
    </w:p>
    <w:p w14:paraId="5F38C7EE" w14:textId="77777777" w:rsidR="005352C3" w:rsidRPr="00693334" w:rsidRDefault="005352C3" w:rsidP="005352C3">
      <w:pPr>
        <w:tabs>
          <w:tab w:val="left" w:pos="851"/>
        </w:tabs>
        <w:ind w:left="851"/>
        <w:rPr>
          <w:sz w:val="24"/>
          <w:szCs w:val="24"/>
        </w:rPr>
      </w:pPr>
      <w:r w:rsidRPr="00693334">
        <w:rPr>
          <w:sz w:val="24"/>
          <w:szCs w:val="24"/>
        </w:rPr>
        <w:t>Klar.</w:t>
      </w:r>
    </w:p>
    <w:p w14:paraId="7F762EA1" w14:textId="77777777" w:rsidR="009260DE" w:rsidRPr="00693334" w:rsidRDefault="009260DE" w:rsidP="009260DE">
      <w:pPr>
        <w:tabs>
          <w:tab w:val="left" w:pos="851"/>
        </w:tabs>
        <w:ind w:left="851"/>
        <w:rPr>
          <w:sz w:val="24"/>
          <w:szCs w:val="24"/>
        </w:rPr>
      </w:pPr>
    </w:p>
    <w:p w14:paraId="73E7C84D" w14:textId="77777777" w:rsidR="009260DE" w:rsidRPr="00693334" w:rsidRDefault="009260DE" w:rsidP="009260DE">
      <w:pPr>
        <w:tabs>
          <w:tab w:val="left" w:pos="851"/>
        </w:tabs>
        <w:ind w:left="851"/>
        <w:rPr>
          <w:sz w:val="24"/>
          <w:szCs w:val="24"/>
        </w:rPr>
      </w:pPr>
    </w:p>
    <w:p w14:paraId="1DFC2EE1" w14:textId="77777777" w:rsidR="009260DE" w:rsidRPr="00693334" w:rsidRDefault="009260DE" w:rsidP="009260DE">
      <w:pPr>
        <w:tabs>
          <w:tab w:val="left" w:pos="851"/>
        </w:tabs>
        <w:ind w:left="851" w:hanging="851"/>
        <w:rPr>
          <w:b/>
          <w:sz w:val="24"/>
          <w:szCs w:val="24"/>
        </w:rPr>
      </w:pPr>
      <w:r w:rsidRPr="00693334">
        <w:rPr>
          <w:b/>
          <w:sz w:val="24"/>
          <w:szCs w:val="24"/>
        </w:rPr>
        <w:t>4.</w:t>
      </w:r>
      <w:r w:rsidRPr="00693334">
        <w:rPr>
          <w:b/>
          <w:sz w:val="24"/>
          <w:szCs w:val="24"/>
        </w:rPr>
        <w:tab/>
        <w:t>KLINISKE OPLYSNINGER</w:t>
      </w:r>
    </w:p>
    <w:p w14:paraId="6E9F3FC8" w14:textId="77777777" w:rsidR="009260DE" w:rsidRPr="00693334" w:rsidRDefault="009260DE" w:rsidP="009260DE">
      <w:pPr>
        <w:tabs>
          <w:tab w:val="left" w:pos="851"/>
        </w:tabs>
        <w:ind w:left="851"/>
        <w:rPr>
          <w:b/>
          <w:sz w:val="24"/>
          <w:szCs w:val="24"/>
        </w:rPr>
      </w:pPr>
    </w:p>
    <w:p w14:paraId="6E5ED7E3" w14:textId="77777777" w:rsidR="009260DE" w:rsidRPr="00693334" w:rsidRDefault="009260DE" w:rsidP="009260DE">
      <w:pPr>
        <w:tabs>
          <w:tab w:val="left" w:pos="851"/>
        </w:tabs>
        <w:ind w:left="851" w:hanging="851"/>
        <w:rPr>
          <w:b/>
          <w:sz w:val="24"/>
          <w:szCs w:val="24"/>
          <w:u w:val="single"/>
        </w:rPr>
      </w:pPr>
      <w:r w:rsidRPr="00693334">
        <w:rPr>
          <w:b/>
          <w:sz w:val="24"/>
          <w:szCs w:val="24"/>
        </w:rPr>
        <w:t>4.1</w:t>
      </w:r>
      <w:r w:rsidRPr="00693334">
        <w:rPr>
          <w:b/>
          <w:sz w:val="24"/>
          <w:szCs w:val="24"/>
        </w:rPr>
        <w:tab/>
        <w:t>Terapeutiske indikationer</w:t>
      </w:r>
    </w:p>
    <w:p w14:paraId="3FB53201" w14:textId="17CD6B66" w:rsidR="005352C3" w:rsidRPr="00693334" w:rsidRDefault="005352C3" w:rsidP="005352C3">
      <w:pPr>
        <w:tabs>
          <w:tab w:val="left" w:pos="851"/>
        </w:tabs>
        <w:ind w:left="851"/>
        <w:rPr>
          <w:sz w:val="24"/>
          <w:szCs w:val="24"/>
          <w:lang w:eastAsia="da-DK"/>
        </w:rPr>
      </w:pPr>
      <w:r w:rsidRPr="00693334">
        <w:rPr>
          <w:sz w:val="24"/>
          <w:szCs w:val="24"/>
        </w:rPr>
        <w:t>Behandling af narkolepsi med katapleksi hos voksne patienter</w:t>
      </w:r>
      <w:r w:rsidR="00BA3D37" w:rsidRPr="00693334">
        <w:rPr>
          <w:sz w:val="24"/>
          <w:szCs w:val="24"/>
        </w:rPr>
        <w:t>, unge og børn fra 7 år.</w:t>
      </w:r>
    </w:p>
    <w:p w14:paraId="07366C39" w14:textId="77777777" w:rsidR="009260DE" w:rsidRPr="00693334" w:rsidRDefault="009260DE" w:rsidP="009260DE">
      <w:pPr>
        <w:tabs>
          <w:tab w:val="left" w:pos="851"/>
        </w:tabs>
        <w:ind w:left="851"/>
        <w:rPr>
          <w:sz w:val="24"/>
          <w:szCs w:val="24"/>
        </w:rPr>
      </w:pPr>
    </w:p>
    <w:p w14:paraId="4DE27FCD" w14:textId="129F8425" w:rsidR="009260DE" w:rsidRPr="00693334" w:rsidRDefault="009260DE" w:rsidP="009260DE">
      <w:pPr>
        <w:tabs>
          <w:tab w:val="left" w:pos="851"/>
        </w:tabs>
        <w:ind w:left="851" w:hanging="851"/>
        <w:rPr>
          <w:b/>
          <w:sz w:val="24"/>
          <w:szCs w:val="24"/>
        </w:rPr>
      </w:pPr>
      <w:r w:rsidRPr="00693334">
        <w:rPr>
          <w:b/>
          <w:sz w:val="24"/>
          <w:szCs w:val="24"/>
        </w:rPr>
        <w:t>4.2</w:t>
      </w:r>
      <w:r w:rsidRPr="00693334">
        <w:rPr>
          <w:b/>
          <w:sz w:val="24"/>
          <w:szCs w:val="24"/>
        </w:rPr>
        <w:tab/>
        <w:t xml:space="preserve">Dosering og </w:t>
      </w:r>
      <w:r w:rsidR="0062292A" w:rsidRPr="00693334">
        <w:rPr>
          <w:b/>
          <w:sz w:val="24"/>
          <w:szCs w:val="24"/>
        </w:rPr>
        <w:t>administration</w:t>
      </w:r>
    </w:p>
    <w:p w14:paraId="1063A7EB" w14:textId="78612F70" w:rsidR="007A5124" w:rsidRPr="00693334" w:rsidRDefault="007A5124" w:rsidP="007A5124">
      <w:pPr>
        <w:tabs>
          <w:tab w:val="left" w:pos="851"/>
        </w:tabs>
        <w:ind w:left="851"/>
        <w:rPr>
          <w:sz w:val="24"/>
          <w:szCs w:val="24"/>
        </w:rPr>
      </w:pPr>
      <w:r w:rsidRPr="00693334">
        <w:rPr>
          <w:sz w:val="24"/>
          <w:szCs w:val="24"/>
        </w:rPr>
        <w:t>Behandlingen bør påbegyndes og fortsættes under vejledning af en læge med erfaring i behandling af</w:t>
      </w:r>
      <w:r w:rsidR="00BA3D37" w:rsidRPr="00693334">
        <w:rPr>
          <w:sz w:val="24"/>
          <w:szCs w:val="24"/>
        </w:rPr>
        <w:t xml:space="preserve"> narkolepsi. Læger skal nøje overholde kontraindikationer, advarsler og forsigtighedsregler.</w:t>
      </w:r>
    </w:p>
    <w:p w14:paraId="5A2D94F2" w14:textId="77777777" w:rsidR="007A5124" w:rsidRPr="00693334" w:rsidRDefault="007A5124" w:rsidP="007A5124">
      <w:pPr>
        <w:tabs>
          <w:tab w:val="left" w:pos="851"/>
        </w:tabs>
        <w:ind w:left="851"/>
        <w:rPr>
          <w:sz w:val="24"/>
          <w:szCs w:val="24"/>
        </w:rPr>
      </w:pPr>
    </w:p>
    <w:p w14:paraId="29DA7291" w14:textId="6BDB0E60" w:rsidR="007A5124" w:rsidRPr="00693334" w:rsidRDefault="007A5124" w:rsidP="007A5124">
      <w:pPr>
        <w:tabs>
          <w:tab w:val="left" w:pos="851"/>
        </w:tabs>
        <w:ind w:left="851"/>
        <w:rPr>
          <w:sz w:val="24"/>
          <w:szCs w:val="24"/>
          <w:u w:val="single"/>
        </w:rPr>
      </w:pPr>
      <w:r w:rsidRPr="00693334">
        <w:rPr>
          <w:sz w:val="24"/>
          <w:szCs w:val="24"/>
          <w:u w:val="single"/>
        </w:rPr>
        <w:t>Dosering</w:t>
      </w:r>
    </w:p>
    <w:p w14:paraId="4DC36525" w14:textId="30E61A98" w:rsidR="00BA3D37" w:rsidRPr="00693334" w:rsidRDefault="00BA3D37" w:rsidP="00BA3D37">
      <w:pPr>
        <w:tabs>
          <w:tab w:val="left" w:pos="851"/>
        </w:tabs>
        <w:ind w:left="851"/>
        <w:rPr>
          <w:sz w:val="24"/>
          <w:szCs w:val="24"/>
          <w:u w:val="single"/>
          <w:lang w:eastAsia="da-DK"/>
        </w:rPr>
      </w:pPr>
      <w:r w:rsidRPr="00693334">
        <w:rPr>
          <w:sz w:val="24"/>
          <w:szCs w:val="24"/>
          <w:u w:val="single"/>
        </w:rPr>
        <w:t>Voksne</w:t>
      </w:r>
    </w:p>
    <w:p w14:paraId="3C69EE68" w14:textId="77777777" w:rsidR="007A5124" w:rsidRPr="00693334" w:rsidRDefault="007A5124" w:rsidP="007A5124">
      <w:pPr>
        <w:tabs>
          <w:tab w:val="left" w:pos="851"/>
        </w:tabs>
        <w:ind w:left="851"/>
        <w:rPr>
          <w:sz w:val="24"/>
          <w:szCs w:val="24"/>
        </w:rPr>
      </w:pPr>
      <w:r w:rsidRPr="00693334">
        <w:rPr>
          <w:sz w:val="24"/>
          <w:szCs w:val="24"/>
        </w:rPr>
        <w:t xml:space="preserve">Den anbefalede startdosis er 4,5 g natriumoxybat/dag fordelt på to lige store doser á 2,25 g/dosis. Dosis bør titreres til effekt baseret på virkning og tolerabilitet (se pkt. 4.4) til maksimalt 9 g/dag fordelt på to lige store doser á 4,5 g/dosis ved op- eller nedjustering i intervaller på 1,5 g/dag (dvs. 0,75 g/dosis). Det anbefales, at der minimum går 1 til 2 uger </w:t>
      </w:r>
      <w:r w:rsidRPr="00693334">
        <w:rPr>
          <w:sz w:val="24"/>
          <w:szCs w:val="24"/>
        </w:rPr>
        <w:lastRenderedPageBreak/>
        <w:t>mellem hver øgning af dosis. Den daglige dosis på 9 g/dag bør ikke overskrides på grund af muligheden for svære symptomer ved doser på 18 g/dag eller mere (se pkt. 4.4).</w:t>
      </w:r>
    </w:p>
    <w:p w14:paraId="46EBDB6E" w14:textId="77777777" w:rsidR="007A5124" w:rsidRPr="00693334" w:rsidRDefault="007A5124" w:rsidP="007A5124">
      <w:pPr>
        <w:tabs>
          <w:tab w:val="left" w:pos="851"/>
        </w:tabs>
        <w:ind w:left="851"/>
        <w:rPr>
          <w:sz w:val="24"/>
          <w:szCs w:val="24"/>
        </w:rPr>
      </w:pPr>
    </w:p>
    <w:p w14:paraId="614DE805" w14:textId="77777777" w:rsidR="007A5124" w:rsidRPr="00693334" w:rsidRDefault="007A5124" w:rsidP="007A5124">
      <w:pPr>
        <w:tabs>
          <w:tab w:val="left" w:pos="851"/>
        </w:tabs>
        <w:ind w:left="851"/>
        <w:rPr>
          <w:sz w:val="24"/>
          <w:szCs w:val="24"/>
        </w:rPr>
      </w:pPr>
      <w:r w:rsidRPr="00693334">
        <w:rPr>
          <w:sz w:val="24"/>
          <w:szCs w:val="24"/>
        </w:rPr>
        <w:t>Enkeltdoser på 4,5 g bør ikke gives, medmindre patienten tidligere er titreret til dette dosisniveau.</w:t>
      </w:r>
    </w:p>
    <w:p w14:paraId="704C617D" w14:textId="77777777" w:rsidR="005352C3" w:rsidRPr="00693334" w:rsidRDefault="005352C3" w:rsidP="00BA3D37">
      <w:pPr>
        <w:tabs>
          <w:tab w:val="left" w:pos="851"/>
        </w:tabs>
        <w:rPr>
          <w:sz w:val="24"/>
          <w:szCs w:val="24"/>
        </w:rPr>
      </w:pPr>
    </w:p>
    <w:p w14:paraId="223C618C" w14:textId="049A297A" w:rsidR="007A5124" w:rsidRPr="00693334" w:rsidRDefault="007A5124" w:rsidP="007A5124">
      <w:pPr>
        <w:tabs>
          <w:tab w:val="left" w:pos="851"/>
        </w:tabs>
        <w:ind w:left="851"/>
        <w:rPr>
          <w:sz w:val="24"/>
          <w:szCs w:val="24"/>
        </w:rPr>
      </w:pPr>
      <w:r w:rsidRPr="00693334">
        <w:rPr>
          <w:sz w:val="24"/>
          <w:szCs w:val="24"/>
          <w:u w:val="single"/>
        </w:rPr>
        <w:t>Ophør med natriumoxybat-behandlingen</w:t>
      </w:r>
    </w:p>
    <w:p w14:paraId="01770185" w14:textId="77777777" w:rsidR="007A5124" w:rsidRPr="00693334" w:rsidRDefault="007A5124" w:rsidP="007A5124">
      <w:pPr>
        <w:tabs>
          <w:tab w:val="left" w:pos="851"/>
        </w:tabs>
        <w:ind w:left="851"/>
        <w:rPr>
          <w:sz w:val="24"/>
          <w:szCs w:val="24"/>
        </w:rPr>
      </w:pPr>
      <w:r w:rsidRPr="00693334">
        <w:rPr>
          <w:sz w:val="24"/>
          <w:szCs w:val="24"/>
        </w:rPr>
        <w:t>Effekten ved ophør med natriumoxybat har ikke været systematisk evalueret i kontrollerede, kliniske studier (se pkt. 4.4).</w:t>
      </w:r>
    </w:p>
    <w:p w14:paraId="0C86410A" w14:textId="77777777" w:rsidR="007A5124" w:rsidRPr="00693334" w:rsidRDefault="007A5124" w:rsidP="007A5124">
      <w:pPr>
        <w:tabs>
          <w:tab w:val="left" w:pos="851"/>
        </w:tabs>
        <w:ind w:left="851"/>
        <w:rPr>
          <w:sz w:val="24"/>
          <w:szCs w:val="24"/>
        </w:rPr>
      </w:pPr>
      <w:r w:rsidRPr="00693334">
        <w:rPr>
          <w:sz w:val="24"/>
          <w:szCs w:val="24"/>
        </w:rPr>
        <w:t>Hvis patienten ophører med at tage lægemidlet i mere end 14 dage i træk, bør titrering genoptages fra laveste dosis.</w:t>
      </w:r>
    </w:p>
    <w:p w14:paraId="7D338C7D" w14:textId="77777777" w:rsidR="005352C3" w:rsidRPr="00693334" w:rsidRDefault="005352C3" w:rsidP="005352C3">
      <w:pPr>
        <w:tabs>
          <w:tab w:val="left" w:pos="851"/>
        </w:tabs>
        <w:ind w:left="851"/>
        <w:rPr>
          <w:sz w:val="24"/>
          <w:szCs w:val="24"/>
        </w:rPr>
      </w:pPr>
    </w:p>
    <w:p w14:paraId="79CC8497" w14:textId="4B98A0CC" w:rsidR="005352C3" w:rsidRPr="00693334" w:rsidRDefault="005352C3" w:rsidP="007A5124">
      <w:pPr>
        <w:tabs>
          <w:tab w:val="left" w:pos="851"/>
        </w:tabs>
        <w:ind w:left="851"/>
        <w:rPr>
          <w:i/>
          <w:sz w:val="24"/>
          <w:szCs w:val="24"/>
        </w:rPr>
      </w:pPr>
      <w:r w:rsidRPr="00693334">
        <w:rPr>
          <w:i/>
          <w:sz w:val="24"/>
          <w:szCs w:val="24"/>
          <w:u w:val="single"/>
        </w:rPr>
        <w:t>Særlige populationer</w:t>
      </w:r>
    </w:p>
    <w:p w14:paraId="36079A3B" w14:textId="77777777" w:rsidR="005352C3" w:rsidRPr="00693334" w:rsidRDefault="005352C3" w:rsidP="005352C3">
      <w:pPr>
        <w:tabs>
          <w:tab w:val="left" w:pos="851"/>
        </w:tabs>
        <w:ind w:left="851"/>
        <w:rPr>
          <w:i/>
          <w:sz w:val="24"/>
          <w:szCs w:val="24"/>
        </w:rPr>
      </w:pPr>
      <w:r w:rsidRPr="00693334">
        <w:rPr>
          <w:i/>
          <w:sz w:val="24"/>
          <w:szCs w:val="24"/>
        </w:rPr>
        <w:t>Ældre</w:t>
      </w:r>
    </w:p>
    <w:p w14:paraId="5CB48932" w14:textId="77777777" w:rsidR="005352C3" w:rsidRPr="00693334" w:rsidRDefault="005352C3" w:rsidP="005352C3">
      <w:pPr>
        <w:tabs>
          <w:tab w:val="left" w:pos="851"/>
        </w:tabs>
        <w:ind w:left="851"/>
        <w:rPr>
          <w:sz w:val="24"/>
          <w:szCs w:val="24"/>
        </w:rPr>
      </w:pPr>
      <w:r w:rsidRPr="00693334">
        <w:rPr>
          <w:sz w:val="24"/>
          <w:szCs w:val="24"/>
        </w:rPr>
        <w:t>Ældre patienter skal monitoreres nøje for hæmning af motoriske og/eller kognitive funktioner under behandling med natriumoxybat (se pkt. 4.4.).</w:t>
      </w:r>
    </w:p>
    <w:p w14:paraId="1500331C" w14:textId="77777777" w:rsidR="005352C3" w:rsidRPr="00693334" w:rsidRDefault="005352C3" w:rsidP="005352C3">
      <w:pPr>
        <w:tabs>
          <w:tab w:val="left" w:pos="851"/>
        </w:tabs>
        <w:ind w:left="851"/>
        <w:rPr>
          <w:sz w:val="24"/>
          <w:szCs w:val="24"/>
        </w:rPr>
      </w:pPr>
    </w:p>
    <w:p w14:paraId="43B57AE2" w14:textId="77777777" w:rsidR="005352C3" w:rsidRPr="00693334" w:rsidRDefault="005352C3" w:rsidP="005352C3">
      <w:pPr>
        <w:tabs>
          <w:tab w:val="left" w:pos="851"/>
        </w:tabs>
        <w:ind w:left="851"/>
        <w:rPr>
          <w:i/>
          <w:sz w:val="24"/>
          <w:szCs w:val="24"/>
        </w:rPr>
      </w:pPr>
      <w:r w:rsidRPr="00693334">
        <w:rPr>
          <w:i/>
          <w:sz w:val="24"/>
          <w:szCs w:val="24"/>
        </w:rPr>
        <w:t>Nedsat leverfunktion</w:t>
      </w:r>
    </w:p>
    <w:p w14:paraId="24381568" w14:textId="77777777" w:rsidR="005352C3" w:rsidRPr="00693334" w:rsidRDefault="005352C3" w:rsidP="005352C3">
      <w:pPr>
        <w:tabs>
          <w:tab w:val="left" w:pos="851"/>
        </w:tabs>
        <w:ind w:left="851"/>
        <w:rPr>
          <w:sz w:val="24"/>
          <w:szCs w:val="24"/>
        </w:rPr>
      </w:pPr>
      <w:r w:rsidRPr="00693334">
        <w:rPr>
          <w:sz w:val="24"/>
          <w:szCs w:val="24"/>
        </w:rPr>
        <w:t>Den initiale dosis bør halveres til alle patienter med nedsat leverfunktion, og respons på dosisøgninger skal monitoreres nøje (se pkt. 4.4 og 5.2).</w:t>
      </w:r>
    </w:p>
    <w:p w14:paraId="169A0070" w14:textId="77777777" w:rsidR="005352C3" w:rsidRPr="00693334" w:rsidRDefault="005352C3" w:rsidP="005352C3">
      <w:pPr>
        <w:tabs>
          <w:tab w:val="left" w:pos="851"/>
        </w:tabs>
        <w:ind w:left="851"/>
        <w:rPr>
          <w:sz w:val="24"/>
          <w:szCs w:val="24"/>
        </w:rPr>
      </w:pPr>
    </w:p>
    <w:p w14:paraId="2D0F915F" w14:textId="77777777" w:rsidR="005352C3" w:rsidRPr="00693334" w:rsidRDefault="005352C3" w:rsidP="005352C3">
      <w:pPr>
        <w:tabs>
          <w:tab w:val="left" w:pos="851"/>
        </w:tabs>
        <w:ind w:left="851"/>
        <w:rPr>
          <w:i/>
          <w:sz w:val="24"/>
          <w:szCs w:val="24"/>
        </w:rPr>
      </w:pPr>
      <w:r w:rsidRPr="00693334">
        <w:rPr>
          <w:i/>
          <w:sz w:val="24"/>
          <w:szCs w:val="24"/>
        </w:rPr>
        <w:t>Nedsat nyrefunktion</w:t>
      </w:r>
    </w:p>
    <w:p w14:paraId="4948A455" w14:textId="77777777" w:rsidR="005352C3" w:rsidRPr="00693334" w:rsidRDefault="005352C3" w:rsidP="005352C3">
      <w:pPr>
        <w:tabs>
          <w:tab w:val="left" w:pos="851"/>
        </w:tabs>
        <w:ind w:left="851"/>
        <w:rPr>
          <w:sz w:val="24"/>
          <w:szCs w:val="24"/>
        </w:rPr>
      </w:pPr>
      <w:r w:rsidRPr="00693334">
        <w:rPr>
          <w:sz w:val="24"/>
          <w:szCs w:val="24"/>
        </w:rPr>
        <w:t>Alle patienter med nedsat nyrefunktion bør overveje anbefaling om reducering af natriumindtag (se pkt. 4.4).</w:t>
      </w:r>
    </w:p>
    <w:p w14:paraId="02D51AEA" w14:textId="77777777" w:rsidR="005352C3" w:rsidRPr="00693334" w:rsidRDefault="005352C3" w:rsidP="005352C3">
      <w:pPr>
        <w:tabs>
          <w:tab w:val="left" w:pos="851"/>
        </w:tabs>
        <w:ind w:left="851"/>
        <w:rPr>
          <w:sz w:val="24"/>
          <w:szCs w:val="24"/>
        </w:rPr>
      </w:pPr>
    </w:p>
    <w:p w14:paraId="447621CE" w14:textId="77777777" w:rsidR="005352C3" w:rsidRPr="00693334" w:rsidRDefault="005352C3" w:rsidP="005352C3">
      <w:pPr>
        <w:tabs>
          <w:tab w:val="left" w:pos="851"/>
        </w:tabs>
        <w:ind w:left="851"/>
        <w:rPr>
          <w:i/>
          <w:sz w:val="24"/>
          <w:szCs w:val="24"/>
        </w:rPr>
      </w:pPr>
      <w:r w:rsidRPr="00693334">
        <w:rPr>
          <w:i/>
          <w:sz w:val="24"/>
          <w:szCs w:val="24"/>
          <w:u w:val="single"/>
        </w:rPr>
        <w:t>Pædiatrisk population</w:t>
      </w:r>
    </w:p>
    <w:p w14:paraId="4AE6EF47" w14:textId="7CFECD83" w:rsidR="00BA3D37" w:rsidRPr="00693334" w:rsidRDefault="00BA3D37" w:rsidP="00BA3D37">
      <w:pPr>
        <w:tabs>
          <w:tab w:val="left" w:pos="851"/>
        </w:tabs>
        <w:ind w:left="851"/>
        <w:rPr>
          <w:sz w:val="24"/>
          <w:szCs w:val="24"/>
        </w:rPr>
      </w:pPr>
      <w:r w:rsidRPr="00693334">
        <w:rPr>
          <w:sz w:val="24"/>
          <w:szCs w:val="24"/>
        </w:rPr>
        <w:t>Unge og børn fra 7 år med en legemsvægt på mindst 15 kg:</w:t>
      </w:r>
    </w:p>
    <w:p w14:paraId="18764938" w14:textId="77777777" w:rsidR="00BA3D37" w:rsidRPr="00693334" w:rsidRDefault="00BA3D37" w:rsidP="00BA3D37">
      <w:pPr>
        <w:tabs>
          <w:tab w:val="left" w:pos="851"/>
        </w:tabs>
        <w:ind w:left="851"/>
        <w:rPr>
          <w:sz w:val="24"/>
          <w:szCs w:val="24"/>
        </w:rPr>
      </w:pPr>
    </w:p>
    <w:p w14:paraId="0CE39555" w14:textId="77777777" w:rsidR="00BA3D37" w:rsidRPr="00693334" w:rsidRDefault="00BA3D37" w:rsidP="00BA3D37">
      <w:pPr>
        <w:tabs>
          <w:tab w:val="left" w:pos="851"/>
        </w:tabs>
        <w:ind w:left="851"/>
        <w:rPr>
          <w:sz w:val="24"/>
          <w:szCs w:val="24"/>
        </w:rPr>
      </w:pPr>
      <w:r w:rsidRPr="00693334">
        <w:rPr>
          <w:sz w:val="24"/>
          <w:szCs w:val="24"/>
        </w:rPr>
        <w:t>Natriumoxybat administreres oralt to gange om natten. Doseringsanbefalinger findes i tabel 1.</w:t>
      </w:r>
    </w:p>
    <w:p w14:paraId="11E482E6" w14:textId="77777777" w:rsidR="00BA3D37" w:rsidRPr="00693334" w:rsidRDefault="00BA3D37" w:rsidP="00BA3D37">
      <w:pPr>
        <w:tabs>
          <w:tab w:val="left" w:pos="851"/>
        </w:tabs>
        <w:ind w:left="851"/>
        <w:rPr>
          <w:sz w:val="24"/>
          <w:szCs w:val="24"/>
        </w:rPr>
      </w:pPr>
    </w:p>
    <w:p w14:paraId="067E5AB2" w14:textId="77777777" w:rsidR="00BA3D37" w:rsidRPr="00693334" w:rsidRDefault="00BA3D37" w:rsidP="00BA3D37">
      <w:pPr>
        <w:tabs>
          <w:tab w:val="left" w:pos="851"/>
        </w:tabs>
        <w:ind w:left="851"/>
        <w:rPr>
          <w:b/>
          <w:bCs/>
          <w:sz w:val="24"/>
          <w:szCs w:val="24"/>
        </w:rPr>
      </w:pPr>
      <w:r w:rsidRPr="00693334">
        <w:rPr>
          <w:b/>
          <w:bCs/>
          <w:sz w:val="24"/>
          <w:szCs w:val="24"/>
        </w:rPr>
        <w:t>Tabel 1. Anbefalet dosisinitiering og -titrering af natriumoxybat til pædiatriske patienter</w:t>
      </w:r>
    </w:p>
    <w:p w14:paraId="386A076D" w14:textId="77777777" w:rsidR="00BA3D37" w:rsidRPr="00693334" w:rsidRDefault="00BA3D37" w:rsidP="00BA3D37">
      <w:pPr>
        <w:tabs>
          <w:tab w:val="left" w:pos="851"/>
        </w:tabs>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71"/>
        <w:gridCol w:w="2289"/>
        <w:gridCol w:w="2152"/>
      </w:tblGrid>
      <w:tr w:rsidR="00BA3D37" w:rsidRPr="00693334" w14:paraId="0439D0B7" w14:textId="77777777" w:rsidTr="00BA3D37">
        <w:tc>
          <w:tcPr>
            <w:tcW w:w="2231" w:type="dxa"/>
            <w:tcBorders>
              <w:top w:val="single" w:sz="4" w:space="0" w:color="auto"/>
              <w:left w:val="single" w:sz="4" w:space="0" w:color="auto"/>
              <w:bottom w:val="single" w:sz="4" w:space="0" w:color="auto"/>
              <w:right w:val="single" w:sz="4" w:space="0" w:color="auto"/>
            </w:tcBorders>
            <w:hideMark/>
          </w:tcPr>
          <w:p w14:paraId="56ABB33E"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Patientens vægt</w:t>
            </w:r>
          </w:p>
        </w:tc>
        <w:tc>
          <w:tcPr>
            <w:tcW w:w="2232" w:type="dxa"/>
            <w:tcBorders>
              <w:top w:val="single" w:sz="4" w:space="0" w:color="auto"/>
              <w:left w:val="single" w:sz="4" w:space="0" w:color="auto"/>
              <w:bottom w:val="single" w:sz="4" w:space="0" w:color="auto"/>
              <w:right w:val="single" w:sz="4" w:space="0" w:color="auto"/>
            </w:tcBorders>
            <w:hideMark/>
          </w:tcPr>
          <w:p w14:paraId="140838C7"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 xml:space="preserve">Samlet daglig initialdosis (tages i 2 opdelte </w:t>
            </w:r>
            <w:proofErr w:type="gramStart"/>
            <w:r w:rsidRPr="00693334">
              <w:rPr>
                <w:rFonts w:eastAsia="Calibri"/>
                <w:sz w:val="24"/>
                <w:szCs w:val="24"/>
              </w:rPr>
              <w:t>doser)*</w:t>
            </w:r>
            <w:proofErr w:type="gramEnd"/>
          </w:p>
        </w:tc>
        <w:tc>
          <w:tcPr>
            <w:tcW w:w="2320" w:type="dxa"/>
            <w:tcBorders>
              <w:top w:val="single" w:sz="4" w:space="0" w:color="auto"/>
              <w:left w:val="single" w:sz="4" w:space="0" w:color="auto"/>
              <w:bottom w:val="single" w:sz="4" w:space="0" w:color="auto"/>
              <w:right w:val="single" w:sz="4" w:space="0" w:color="auto"/>
            </w:tcBorders>
            <w:hideMark/>
          </w:tcPr>
          <w:p w14:paraId="1A76E94F"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Titreringsregime (til klinisk effekt)</w:t>
            </w:r>
          </w:p>
        </w:tc>
        <w:tc>
          <w:tcPr>
            <w:tcW w:w="2220" w:type="dxa"/>
            <w:tcBorders>
              <w:top w:val="single" w:sz="4" w:space="0" w:color="auto"/>
              <w:left w:val="single" w:sz="4" w:space="0" w:color="auto"/>
              <w:bottom w:val="single" w:sz="4" w:space="0" w:color="auto"/>
              <w:right w:val="single" w:sz="4" w:space="0" w:color="auto"/>
            </w:tcBorders>
            <w:hideMark/>
          </w:tcPr>
          <w:p w14:paraId="5EE14C52"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Anbefalet maksimal samlet daglig dosis</w:t>
            </w:r>
          </w:p>
        </w:tc>
      </w:tr>
      <w:tr w:rsidR="00BA3D37" w:rsidRPr="00693334" w14:paraId="4B0E2FCC" w14:textId="77777777" w:rsidTr="00BA3D37">
        <w:tc>
          <w:tcPr>
            <w:tcW w:w="2231" w:type="dxa"/>
            <w:tcBorders>
              <w:top w:val="single" w:sz="4" w:space="0" w:color="auto"/>
              <w:left w:val="single" w:sz="4" w:space="0" w:color="auto"/>
              <w:bottom w:val="single" w:sz="4" w:space="0" w:color="auto"/>
              <w:right w:val="single" w:sz="4" w:space="0" w:color="auto"/>
            </w:tcBorders>
            <w:hideMark/>
          </w:tcPr>
          <w:p w14:paraId="3908B7AD"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15 kg - &lt; 20 kg</w:t>
            </w:r>
          </w:p>
        </w:tc>
        <w:tc>
          <w:tcPr>
            <w:tcW w:w="2232" w:type="dxa"/>
            <w:tcBorders>
              <w:top w:val="single" w:sz="4" w:space="0" w:color="auto"/>
              <w:left w:val="single" w:sz="4" w:space="0" w:color="auto"/>
              <w:bottom w:val="single" w:sz="4" w:space="0" w:color="auto"/>
              <w:right w:val="single" w:sz="4" w:space="0" w:color="auto"/>
            </w:tcBorders>
            <w:hideMark/>
          </w:tcPr>
          <w:p w14:paraId="1E7B2E5C"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 1 g/dag</w:t>
            </w:r>
          </w:p>
        </w:tc>
        <w:tc>
          <w:tcPr>
            <w:tcW w:w="2320" w:type="dxa"/>
            <w:tcBorders>
              <w:top w:val="single" w:sz="4" w:space="0" w:color="auto"/>
              <w:left w:val="single" w:sz="4" w:space="0" w:color="auto"/>
              <w:bottom w:val="single" w:sz="4" w:space="0" w:color="auto"/>
              <w:right w:val="single" w:sz="4" w:space="0" w:color="auto"/>
            </w:tcBorders>
            <w:hideMark/>
          </w:tcPr>
          <w:p w14:paraId="76AE2FF9"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 0,5 g/dag/uge</w:t>
            </w:r>
          </w:p>
        </w:tc>
        <w:tc>
          <w:tcPr>
            <w:tcW w:w="2220" w:type="dxa"/>
            <w:vMerge w:val="restart"/>
            <w:tcBorders>
              <w:top w:val="single" w:sz="4" w:space="0" w:color="auto"/>
              <w:left w:val="single" w:sz="4" w:space="0" w:color="auto"/>
              <w:bottom w:val="single" w:sz="4" w:space="0" w:color="auto"/>
              <w:right w:val="single" w:sz="4" w:space="0" w:color="auto"/>
            </w:tcBorders>
            <w:hideMark/>
          </w:tcPr>
          <w:p w14:paraId="13735846"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0,2 g/kg/dag</w:t>
            </w:r>
          </w:p>
        </w:tc>
      </w:tr>
      <w:tr w:rsidR="00BA3D37" w:rsidRPr="00693334" w14:paraId="6838A911" w14:textId="77777777" w:rsidTr="00BA3D37">
        <w:tc>
          <w:tcPr>
            <w:tcW w:w="2231" w:type="dxa"/>
            <w:tcBorders>
              <w:top w:val="single" w:sz="4" w:space="0" w:color="auto"/>
              <w:left w:val="single" w:sz="4" w:space="0" w:color="auto"/>
              <w:bottom w:val="single" w:sz="4" w:space="0" w:color="auto"/>
              <w:right w:val="single" w:sz="4" w:space="0" w:color="auto"/>
            </w:tcBorders>
            <w:hideMark/>
          </w:tcPr>
          <w:p w14:paraId="7A4C920D"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20 kg - &lt; 30 kg</w:t>
            </w:r>
          </w:p>
        </w:tc>
        <w:tc>
          <w:tcPr>
            <w:tcW w:w="2232" w:type="dxa"/>
            <w:tcBorders>
              <w:top w:val="single" w:sz="4" w:space="0" w:color="auto"/>
              <w:left w:val="single" w:sz="4" w:space="0" w:color="auto"/>
              <w:bottom w:val="single" w:sz="4" w:space="0" w:color="auto"/>
              <w:right w:val="single" w:sz="4" w:space="0" w:color="auto"/>
            </w:tcBorders>
            <w:hideMark/>
          </w:tcPr>
          <w:p w14:paraId="668C00F8"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 2 g/dag</w:t>
            </w:r>
          </w:p>
        </w:tc>
        <w:tc>
          <w:tcPr>
            <w:tcW w:w="2320" w:type="dxa"/>
            <w:tcBorders>
              <w:top w:val="single" w:sz="4" w:space="0" w:color="auto"/>
              <w:left w:val="single" w:sz="4" w:space="0" w:color="auto"/>
              <w:bottom w:val="single" w:sz="4" w:space="0" w:color="auto"/>
              <w:right w:val="single" w:sz="4" w:space="0" w:color="auto"/>
            </w:tcBorders>
            <w:hideMark/>
          </w:tcPr>
          <w:p w14:paraId="240E1ADD"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 1 g/dag/uge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951EC" w14:textId="77777777" w:rsidR="00BA3D37" w:rsidRPr="00693334" w:rsidRDefault="00BA3D37">
            <w:pPr>
              <w:rPr>
                <w:rFonts w:eastAsia="Calibri"/>
                <w:sz w:val="24"/>
                <w:szCs w:val="24"/>
              </w:rPr>
            </w:pPr>
          </w:p>
        </w:tc>
      </w:tr>
      <w:tr w:rsidR="00BA3D37" w:rsidRPr="00693334" w14:paraId="1989F38F" w14:textId="77777777" w:rsidTr="00BA3D37">
        <w:tc>
          <w:tcPr>
            <w:tcW w:w="2231" w:type="dxa"/>
            <w:tcBorders>
              <w:top w:val="single" w:sz="4" w:space="0" w:color="auto"/>
              <w:left w:val="single" w:sz="4" w:space="0" w:color="auto"/>
              <w:bottom w:val="single" w:sz="4" w:space="0" w:color="auto"/>
              <w:right w:val="single" w:sz="4" w:space="0" w:color="auto"/>
            </w:tcBorders>
            <w:hideMark/>
          </w:tcPr>
          <w:p w14:paraId="60BAE550"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30 kg - &lt; 45 kg</w:t>
            </w:r>
          </w:p>
        </w:tc>
        <w:tc>
          <w:tcPr>
            <w:tcW w:w="2232" w:type="dxa"/>
            <w:tcBorders>
              <w:top w:val="single" w:sz="4" w:space="0" w:color="auto"/>
              <w:left w:val="single" w:sz="4" w:space="0" w:color="auto"/>
              <w:bottom w:val="single" w:sz="4" w:space="0" w:color="auto"/>
              <w:right w:val="single" w:sz="4" w:space="0" w:color="auto"/>
            </w:tcBorders>
            <w:hideMark/>
          </w:tcPr>
          <w:p w14:paraId="7CFC1CBA"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 3 g/dag</w:t>
            </w:r>
          </w:p>
        </w:tc>
        <w:tc>
          <w:tcPr>
            <w:tcW w:w="2320" w:type="dxa"/>
            <w:tcBorders>
              <w:top w:val="single" w:sz="4" w:space="0" w:color="auto"/>
              <w:left w:val="single" w:sz="4" w:space="0" w:color="auto"/>
              <w:bottom w:val="single" w:sz="4" w:space="0" w:color="auto"/>
              <w:right w:val="single" w:sz="4" w:space="0" w:color="auto"/>
            </w:tcBorders>
            <w:hideMark/>
          </w:tcPr>
          <w:p w14:paraId="6EE716A2"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 1 g/dag/uge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C49DA" w14:textId="77777777" w:rsidR="00BA3D37" w:rsidRPr="00693334" w:rsidRDefault="00BA3D37">
            <w:pPr>
              <w:rPr>
                <w:rFonts w:eastAsia="Calibri"/>
                <w:sz w:val="24"/>
                <w:szCs w:val="24"/>
              </w:rPr>
            </w:pPr>
          </w:p>
        </w:tc>
      </w:tr>
      <w:tr w:rsidR="00BA3D37" w:rsidRPr="00693334" w14:paraId="24CD7369" w14:textId="77777777" w:rsidTr="00BA3D37">
        <w:tc>
          <w:tcPr>
            <w:tcW w:w="2231" w:type="dxa"/>
            <w:tcBorders>
              <w:top w:val="single" w:sz="4" w:space="0" w:color="auto"/>
              <w:left w:val="single" w:sz="4" w:space="0" w:color="auto"/>
              <w:bottom w:val="single" w:sz="4" w:space="0" w:color="auto"/>
              <w:right w:val="single" w:sz="4" w:space="0" w:color="auto"/>
            </w:tcBorders>
            <w:hideMark/>
          </w:tcPr>
          <w:p w14:paraId="5C5173BD"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 45 kg</w:t>
            </w:r>
          </w:p>
        </w:tc>
        <w:tc>
          <w:tcPr>
            <w:tcW w:w="2232" w:type="dxa"/>
            <w:tcBorders>
              <w:top w:val="single" w:sz="4" w:space="0" w:color="auto"/>
              <w:left w:val="single" w:sz="4" w:space="0" w:color="auto"/>
              <w:bottom w:val="single" w:sz="4" w:space="0" w:color="auto"/>
              <w:right w:val="single" w:sz="4" w:space="0" w:color="auto"/>
            </w:tcBorders>
            <w:hideMark/>
          </w:tcPr>
          <w:p w14:paraId="3BD1FBBE"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 4,5 g/dag</w:t>
            </w:r>
          </w:p>
        </w:tc>
        <w:tc>
          <w:tcPr>
            <w:tcW w:w="2320" w:type="dxa"/>
            <w:tcBorders>
              <w:top w:val="single" w:sz="4" w:space="0" w:color="auto"/>
              <w:left w:val="single" w:sz="4" w:space="0" w:color="auto"/>
              <w:bottom w:val="single" w:sz="4" w:space="0" w:color="auto"/>
              <w:right w:val="single" w:sz="4" w:space="0" w:color="auto"/>
            </w:tcBorders>
            <w:hideMark/>
          </w:tcPr>
          <w:p w14:paraId="01B378F3"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 1,5 g/dag/uge</w:t>
            </w:r>
          </w:p>
        </w:tc>
        <w:tc>
          <w:tcPr>
            <w:tcW w:w="2220" w:type="dxa"/>
            <w:tcBorders>
              <w:top w:val="single" w:sz="4" w:space="0" w:color="auto"/>
              <w:left w:val="single" w:sz="4" w:space="0" w:color="auto"/>
              <w:bottom w:val="single" w:sz="4" w:space="0" w:color="auto"/>
              <w:right w:val="single" w:sz="4" w:space="0" w:color="auto"/>
            </w:tcBorders>
            <w:hideMark/>
          </w:tcPr>
          <w:p w14:paraId="5D33BC58" w14:textId="77777777" w:rsidR="00BA3D37" w:rsidRPr="00693334" w:rsidRDefault="00BA3D37" w:rsidP="00BA3D37">
            <w:pPr>
              <w:tabs>
                <w:tab w:val="left" w:pos="851"/>
              </w:tabs>
              <w:jc w:val="center"/>
              <w:rPr>
                <w:rFonts w:eastAsia="Calibri"/>
                <w:sz w:val="24"/>
                <w:szCs w:val="24"/>
              </w:rPr>
            </w:pPr>
            <w:r w:rsidRPr="00693334">
              <w:rPr>
                <w:rFonts w:eastAsia="Calibri"/>
                <w:sz w:val="24"/>
                <w:szCs w:val="24"/>
              </w:rPr>
              <w:t>9 g/dag</w:t>
            </w:r>
          </w:p>
        </w:tc>
      </w:tr>
    </w:tbl>
    <w:p w14:paraId="78D13BCA" w14:textId="77777777" w:rsidR="00BA3D37" w:rsidRPr="00693334" w:rsidRDefault="00BA3D37" w:rsidP="00BA3D37">
      <w:pPr>
        <w:tabs>
          <w:tab w:val="left" w:pos="851"/>
        </w:tabs>
        <w:ind w:left="851"/>
        <w:rPr>
          <w:sz w:val="24"/>
          <w:szCs w:val="24"/>
        </w:rPr>
      </w:pPr>
      <w:r w:rsidRPr="00693334">
        <w:rPr>
          <w:sz w:val="24"/>
          <w:szCs w:val="24"/>
        </w:rPr>
        <w:t>*Ved sengetid og 2,5 til 4 timer senere. Hos børn, der sover mere end 8 timer pr. nat, kan natriumoxybat gives efter sengetid, når barnet er i sengen, i to lige store doser med 2,5 til 4 timers mellemrum.</w:t>
      </w:r>
    </w:p>
    <w:p w14:paraId="0DEF9A83" w14:textId="77777777" w:rsidR="00BA3D37" w:rsidRPr="00693334" w:rsidRDefault="00BA3D37" w:rsidP="00BA3D37">
      <w:pPr>
        <w:tabs>
          <w:tab w:val="left" w:pos="851"/>
        </w:tabs>
        <w:ind w:left="851"/>
        <w:rPr>
          <w:sz w:val="24"/>
          <w:szCs w:val="24"/>
        </w:rPr>
      </w:pPr>
    </w:p>
    <w:p w14:paraId="3C075D3F" w14:textId="77777777" w:rsidR="00BA3D37" w:rsidRPr="00693334" w:rsidRDefault="00BA3D37" w:rsidP="00BA3D37">
      <w:pPr>
        <w:pStyle w:val="Default"/>
        <w:ind w:left="850"/>
      </w:pPr>
      <w:r w:rsidRPr="00693334">
        <w:t xml:space="preserve">Dosis bør titreres gradvist til virkning baseret på effektivitet og tolerabilitet (se pkt. 4.4). Det anbefales, at der minimum går 1 til 2 uger mellem hver dosisøgning. Dosisanbefalinger for natriumoxybat (initialdosis, titreringsregime og maksimal dosis) til pædiatriske patienter er baseret på legemsvægt. Derfor skal patienternes legemsvægt kontrolleres med regelmæssige mellemrum, især under titrering, for at sikre, at den korrekte dosis natriumoxybat administreres. </w:t>
      </w:r>
    </w:p>
    <w:p w14:paraId="01910292" w14:textId="77777777" w:rsidR="00BA3D37" w:rsidRPr="00693334" w:rsidRDefault="00BA3D37" w:rsidP="00BA3D37">
      <w:pPr>
        <w:pStyle w:val="Default"/>
        <w:ind w:left="850"/>
      </w:pPr>
    </w:p>
    <w:p w14:paraId="331C55DC" w14:textId="77777777" w:rsidR="00BA3D37" w:rsidRPr="00693334" w:rsidRDefault="00BA3D37" w:rsidP="00BA3D37">
      <w:pPr>
        <w:pStyle w:val="Default"/>
        <w:ind w:left="850"/>
      </w:pPr>
      <w:r w:rsidRPr="00693334">
        <w:t xml:space="preserve">Den anbefalede maksimale samlede daglige dosis er 0,2 g/kg/dag hos pædiatriske patienter, der vejer mindre end 45 kg. Hos pædiatriske patienter, der vejer 45 kg eller mere, er den maksimale samlede daglige dosis 9 g/dag. </w:t>
      </w:r>
    </w:p>
    <w:p w14:paraId="6116A2F3" w14:textId="77777777" w:rsidR="00BA3D37" w:rsidRPr="00693334" w:rsidRDefault="00BA3D37" w:rsidP="00BA3D37">
      <w:pPr>
        <w:pStyle w:val="Default"/>
        <w:ind w:left="850"/>
      </w:pPr>
    </w:p>
    <w:p w14:paraId="3C763B4D" w14:textId="77777777" w:rsidR="00BA3D37" w:rsidRPr="00693334" w:rsidRDefault="00BA3D37" w:rsidP="00BA3D37">
      <w:pPr>
        <w:pStyle w:val="Default"/>
        <w:ind w:left="850"/>
      </w:pPr>
      <w:r w:rsidRPr="00693334">
        <w:t xml:space="preserve">Ved samtidig administration af natriumoxybat og valproat (se pkt. 4.5), bør dosis af natriumoxybat reduceres med 20 %, f.eks. 4,8 g/dag i stedet for 6 g/dag. </w:t>
      </w:r>
    </w:p>
    <w:p w14:paraId="1ECDD43D" w14:textId="77777777" w:rsidR="00BA3D37" w:rsidRPr="00693334" w:rsidRDefault="00BA3D37" w:rsidP="00BA3D37">
      <w:pPr>
        <w:tabs>
          <w:tab w:val="left" w:pos="851"/>
        </w:tabs>
        <w:ind w:left="850"/>
        <w:rPr>
          <w:sz w:val="24"/>
          <w:szCs w:val="24"/>
        </w:rPr>
      </w:pPr>
    </w:p>
    <w:p w14:paraId="5953E4C7" w14:textId="77777777" w:rsidR="00BA3D37" w:rsidRPr="00693334" w:rsidRDefault="00BA3D37" w:rsidP="00BA3D37">
      <w:pPr>
        <w:tabs>
          <w:tab w:val="left" w:pos="851"/>
        </w:tabs>
        <w:ind w:left="850"/>
        <w:rPr>
          <w:sz w:val="24"/>
          <w:szCs w:val="24"/>
        </w:rPr>
      </w:pPr>
      <w:r w:rsidRPr="00693334">
        <w:rPr>
          <w:sz w:val="24"/>
          <w:szCs w:val="24"/>
        </w:rPr>
        <w:t>Natriumoxybats sikkerhed og virkning hos børn under 7 år er ikke klarlagt, og natriumoxybat anbefales derfor ikke til børn under 7 år. Børn, der vejer under 15 kg, bør ikke få natriumoxybat.</w:t>
      </w:r>
    </w:p>
    <w:p w14:paraId="0B78CD6B" w14:textId="77777777" w:rsidR="005352C3" w:rsidRPr="00693334" w:rsidRDefault="005352C3" w:rsidP="005352C3">
      <w:pPr>
        <w:tabs>
          <w:tab w:val="left" w:pos="851"/>
        </w:tabs>
        <w:ind w:left="851"/>
        <w:rPr>
          <w:sz w:val="24"/>
          <w:szCs w:val="24"/>
        </w:rPr>
      </w:pPr>
    </w:p>
    <w:p w14:paraId="45467D0B" w14:textId="2935E2BF" w:rsidR="007A5124" w:rsidRPr="00693334" w:rsidRDefault="007A5124" w:rsidP="007A5124">
      <w:pPr>
        <w:tabs>
          <w:tab w:val="left" w:pos="851"/>
        </w:tabs>
        <w:ind w:left="851"/>
        <w:rPr>
          <w:sz w:val="24"/>
          <w:szCs w:val="24"/>
          <w:u w:val="single"/>
        </w:rPr>
      </w:pPr>
      <w:r w:rsidRPr="00693334">
        <w:rPr>
          <w:sz w:val="24"/>
          <w:szCs w:val="24"/>
          <w:u w:val="single"/>
        </w:rPr>
        <w:t>Administration</w:t>
      </w:r>
    </w:p>
    <w:p w14:paraId="3C37E1B8" w14:textId="561F1686" w:rsidR="007A5124" w:rsidRPr="00693334" w:rsidRDefault="007A5124" w:rsidP="007A5124">
      <w:pPr>
        <w:tabs>
          <w:tab w:val="left" w:pos="851"/>
        </w:tabs>
        <w:ind w:left="851"/>
        <w:rPr>
          <w:sz w:val="24"/>
          <w:szCs w:val="24"/>
        </w:rPr>
      </w:pPr>
      <w:r w:rsidRPr="00693334">
        <w:rPr>
          <w:sz w:val="24"/>
          <w:szCs w:val="24"/>
        </w:rPr>
        <w:t>Arixobat bør indtages oralt ved sengetid og igen 2,5 til 4 timer senere. Det anbefales, at begge doser Arixobat klargøres samtidigt før sengetid.</w:t>
      </w:r>
    </w:p>
    <w:p w14:paraId="01AFEDDF" w14:textId="77777777" w:rsidR="00BA3D37" w:rsidRPr="00693334" w:rsidRDefault="00BA3D37" w:rsidP="007A5124">
      <w:pPr>
        <w:tabs>
          <w:tab w:val="left" w:pos="851"/>
        </w:tabs>
        <w:ind w:left="851"/>
        <w:rPr>
          <w:sz w:val="24"/>
          <w:szCs w:val="24"/>
        </w:rPr>
      </w:pPr>
    </w:p>
    <w:p w14:paraId="5E290F48" w14:textId="2DB643F8" w:rsidR="007A5124" w:rsidRPr="00693334" w:rsidRDefault="007A5124" w:rsidP="00BA3D37">
      <w:pPr>
        <w:tabs>
          <w:tab w:val="left" w:pos="851"/>
        </w:tabs>
        <w:ind w:left="851"/>
        <w:rPr>
          <w:sz w:val="24"/>
          <w:szCs w:val="24"/>
          <w:lang w:eastAsia="da-DK"/>
        </w:rPr>
      </w:pPr>
      <w:r w:rsidRPr="00693334">
        <w:rPr>
          <w:sz w:val="24"/>
          <w:szCs w:val="24"/>
        </w:rPr>
        <w:t xml:space="preserve">Arixobat leveres med en målesprøjte med måleinddeling og to 90 ml doseringsbægre med børnesikret låg. Hver afmålt dosis Arixobat skal hældes i doseringsbægret og fortyndes med 60 ml vand før indtagelsen. Da mad signifikant nedsætter biotilgængeligheden af natriumoxybat, bør </w:t>
      </w:r>
      <w:r w:rsidR="00BA3D37" w:rsidRPr="00693334">
        <w:rPr>
          <w:sz w:val="24"/>
          <w:szCs w:val="24"/>
        </w:rPr>
        <w:t>både voksne og pædiatriske patienter spise senest flere (2-3) timer før indtagelse af den første dosis Arixobat ved sengetid. Voksne og pædiatriske patienter bør altid overholde samme tidsinterval mellem dosering og måltider. Efter fortynding skal opløsningen indtages inden for 24 timer; hvis opløsningen ikke anvendes inden for 24 timer, skal den kasseres.</w:t>
      </w:r>
    </w:p>
    <w:p w14:paraId="683C3484" w14:textId="77777777" w:rsidR="007A5124" w:rsidRPr="00693334" w:rsidRDefault="007A5124" w:rsidP="007A5124">
      <w:pPr>
        <w:tabs>
          <w:tab w:val="left" w:pos="851"/>
        </w:tabs>
        <w:ind w:left="851"/>
        <w:rPr>
          <w:sz w:val="24"/>
          <w:szCs w:val="24"/>
        </w:rPr>
      </w:pPr>
    </w:p>
    <w:p w14:paraId="68B7935A" w14:textId="77777777" w:rsidR="007A5124" w:rsidRPr="00693334" w:rsidRDefault="007A5124" w:rsidP="007A5124">
      <w:pPr>
        <w:tabs>
          <w:tab w:val="left" w:pos="851"/>
        </w:tabs>
        <w:ind w:left="851"/>
        <w:rPr>
          <w:sz w:val="24"/>
          <w:szCs w:val="24"/>
        </w:rPr>
      </w:pPr>
      <w:r w:rsidRPr="00693334">
        <w:rPr>
          <w:sz w:val="24"/>
          <w:szCs w:val="24"/>
        </w:rPr>
        <w:t>Patienten bør kun bruge sprøjten, som findes i pakningen for Arixobat. Andre natriumoxybat-indeholdende produkter med forskellige styrker findes, og brug af forskellige sprøjter kan resultere i en overdosis. Alvorlige bivirkninger, såsom respirationsdepression, krampeanfald og psykose, kan fremkomme (se pkt. 4.8 og pkt. 4.9).</w:t>
      </w:r>
    </w:p>
    <w:p w14:paraId="138D3494" w14:textId="77777777" w:rsidR="009260DE" w:rsidRPr="00693334" w:rsidRDefault="009260DE" w:rsidP="009260DE">
      <w:pPr>
        <w:tabs>
          <w:tab w:val="left" w:pos="851"/>
        </w:tabs>
        <w:ind w:left="851"/>
        <w:rPr>
          <w:sz w:val="24"/>
          <w:szCs w:val="24"/>
        </w:rPr>
      </w:pPr>
    </w:p>
    <w:p w14:paraId="2B26D5BA" w14:textId="77777777" w:rsidR="009260DE" w:rsidRPr="00693334" w:rsidRDefault="009260DE" w:rsidP="009260DE">
      <w:pPr>
        <w:tabs>
          <w:tab w:val="left" w:pos="851"/>
        </w:tabs>
        <w:ind w:left="851" w:hanging="851"/>
        <w:rPr>
          <w:b/>
          <w:sz w:val="24"/>
          <w:szCs w:val="24"/>
        </w:rPr>
      </w:pPr>
      <w:r w:rsidRPr="00693334">
        <w:rPr>
          <w:b/>
          <w:sz w:val="24"/>
          <w:szCs w:val="24"/>
        </w:rPr>
        <w:t>4.3</w:t>
      </w:r>
      <w:r w:rsidRPr="00693334">
        <w:rPr>
          <w:b/>
          <w:sz w:val="24"/>
          <w:szCs w:val="24"/>
        </w:rPr>
        <w:tab/>
        <w:t>Kontraindikationer</w:t>
      </w:r>
    </w:p>
    <w:p w14:paraId="40CB3401" w14:textId="77777777" w:rsidR="007A5124" w:rsidRPr="00693334" w:rsidRDefault="007A5124" w:rsidP="007A5124">
      <w:pPr>
        <w:tabs>
          <w:tab w:val="left" w:pos="851"/>
        </w:tabs>
        <w:ind w:left="851"/>
        <w:rPr>
          <w:sz w:val="24"/>
          <w:szCs w:val="24"/>
        </w:rPr>
      </w:pPr>
      <w:r w:rsidRPr="00693334">
        <w:rPr>
          <w:sz w:val="24"/>
          <w:szCs w:val="24"/>
        </w:rPr>
        <w:t xml:space="preserve">Overfølsomhed over for det aktive stof eller over for et eller flere af hjælpestofferne anført i pkt. 6.1. </w:t>
      </w:r>
    </w:p>
    <w:p w14:paraId="4E96E507" w14:textId="77777777" w:rsidR="007A5124" w:rsidRPr="00693334" w:rsidRDefault="007A5124" w:rsidP="00095F20">
      <w:pPr>
        <w:numPr>
          <w:ilvl w:val="0"/>
          <w:numId w:val="7"/>
        </w:numPr>
        <w:tabs>
          <w:tab w:val="left" w:pos="851"/>
        </w:tabs>
        <w:ind w:left="1418" w:hanging="567"/>
        <w:rPr>
          <w:sz w:val="24"/>
          <w:szCs w:val="24"/>
        </w:rPr>
      </w:pPr>
      <w:r w:rsidRPr="00693334">
        <w:rPr>
          <w:sz w:val="24"/>
          <w:szCs w:val="24"/>
        </w:rPr>
        <w:t>Patienter med alvorlig depression.</w:t>
      </w:r>
    </w:p>
    <w:p w14:paraId="0DDD0F25" w14:textId="77777777" w:rsidR="007A5124" w:rsidRPr="00693334" w:rsidRDefault="007A5124" w:rsidP="00095F20">
      <w:pPr>
        <w:numPr>
          <w:ilvl w:val="0"/>
          <w:numId w:val="7"/>
        </w:numPr>
        <w:tabs>
          <w:tab w:val="left" w:pos="851"/>
        </w:tabs>
        <w:ind w:left="1418" w:hanging="567"/>
        <w:rPr>
          <w:sz w:val="24"/>
          <w:szCs w:val="24"/>
        </w:rPr>
      </w:pPr>
      <w:r w:rsidRPr="00693334">
        <w:rPr>
          <w:sz w:val="24"/>
          <w:szCs w:val="24"/>
        </w:rPr>
        <w:t xml:space="preserve">Patienter med succinylsemialdehyddehydrogenasemangel. </w:t>
      </w:r>
    </w:p>
    <w:p w14:paraId="749AAA7F" w14:textId="77777777" w:rsidR="007A5124" w:rsidRPr="00693334" w:rsidRDefault="007A5124" w:rsidP="00095F20">
      <w:pPr>
        <w:numPr>
          <w:ilvl w:val="0"/>
          <w:numId w:val="7"/>
        </w:numPr>
        <w:tabs>
          <w:tab w:val="left" w:pos="851"/>
        </w:tabs>
        <w:ind w:left="1418" w:hanging="567"/>
        <w:rPr>
          <w:sz w:val="24"/>
          <w:szCs w:val="24"/>
        </w:rPr>
      </w:pPr>
      <w:r w:rsidRPr="00693334">
        <w:rPr>
          <w:sz w:val="24"/>
          <w:szCs w:val="24"/>
        </w:rPr>
        <w:t>Patienter i behandling med opioider eller barbiturater.</w:t>
      </w:r>
    </w:p>
    <w:p w14:paraId="7AA9307F" w14:textId="77777777" w:rsidR="009260DE" w:rsidRPr="00693334" w:rsidRDefault="009260DE" w:rsidP="009260DE">
      <w:pPr>
        <w:tabs>
          <w:tab w:val="left" w:pos="851"/>
        </w:tabs>
        <w:ind w:left="851"/>
        <w:rPr>
          <w:sz w:val="24"/>
          <w:szCs w:val="24"/>
        </w:rPr>
      </w:pPr>
    </w:p>
    <w:p w14:paraId="47B6726B" w14:textId="2C76570E" w:rsidR="009260DE" w:rsidRPr="00693334" w:rsidRDefault="009260DE" w:rsidP="009260DE">
      <w:pPr>
        <w:tabs>
          <w:tab w:val="left" w:pos="851"/>
        </w:tabs>
        <w:ind w:left="851" w:hanging="851"/>
        <w:rPr>
          <w:b/>
          <w:sz w:val="24"/>
          <w:szCs w:val="24"/>
        </w:rPr>
      </w:pPr>
      <w:r w:rsidRPr="00693334">
        <w:rPr>
          <w:b/>
          <w:sz w:val="24"/>
          <w:szCs w:val="24"/>
        </w:rPr>
        <w:t>4.4</w:t>
      </w:r>
      <w:r w:rsidRPr="00693334">
        <w:rPr>
          <w:b/>
          <w:sz w:val="24"/>
          <w:szCs w:val="24"/>
        </w:rPr>
        <w:tab/>
        <w:t>Særlige advarsler og forsigtighedsregler vedrørende brugen</w:t>
      </w:r>
    </w:p>
    <w:p w14:paraId="52F67100" w14:textId="77777777" w:rsidR="0062292A" w:rsidRPr="00693334" w:rsidRDefault="0062292A" w:rsidP="009260DE">
      <w:pPr>
        <w:tabs>
          <w:tab w:val="left" w:pos="851"/>
        </w:tabs>
        <w:ind w:left="851" w:hanging="851"/>
        <w:rPr>
          <w:b/>
          <w:sz w:val="24"/>
          <w:szCs w:val="24"/>
        </w:rPr>
      </w:pPr>
    </w:p>
    <w:p w14:paraId="3C6FDC43" w14:textId="5F736A34" w:rsidR="0062292A" w:rsidRPr="00693334" w:rsidRDefault="0062292A" w:rsidP="0062292A">
      <w:pPr>
        <w:pBdr>
          <w:top w:val="single" w:sz="4" w:space="1" w:color="auto"/>
          <w:left w:val="single" w:sz="4" w:space="4" w:color="auto"/>
          <w:bottom w:val="single" w:sz="4" w:space="1" w:color="auto"/>
          <w:right w:val="single" w:sz="4" w:space="4" w:color="auto"/>
        </w:pBdr>
        <w:tabs>
          <w:tab w:val="left" w:pos="851"/>
        </w:tabs>
        <w:ind w:left="851"/>
        <w:rPr>
          <w:b/>
          <w:bCs/>
          <w:sz w:val="24"/>
          <w:szCs w:val="24"/>
        </w:rPr>
      </w:pPr>
      <w:r w:rsidRPr="00693334">
        <w:rPr>
          <w:b/>
          <w:bCs/>
          <w:sz w:val="24"/>
          <w:szCs w:val="24"/>
        </w:rPr>
        <w:t>Natriumoxybat har potentialet til at fremkalde respirationsdepression.</w:t>
      </w:r>
    </w:p>
    <w:p w14:paraId="2A61C850" w14:textId="77777777" w:rsidR="0062292A" w:rsidRPr="00693334" w:rsidRDefault="0062292A" w:rsidP="0062292A">
      <w:pPr>
        <w:tabs>
          <w:tab w:val="left" w:pos="851"/>
        </w:tabs>
        <w:ind w:left="851"/>
        <w:rPr>
          <w:sz w:val="24"/>
          <w:szCs w:val="24"/>
        </w:rPr>
      </w:pPr>
    </w:p>
    <w:p w14:paraId="29E0FE56" w14:textId="77777777" w:rsidR="00BA3D37" w:rsidRPr="00693334" w:rsidRDefault="00BA3D37" w:rsidP="00BA3D37">
      <w:pPr>
        <w:tabs>
          <w:tab w:val="left" w:pos="851"/>
        </w:tabs>
        <w:ind w:left="851"/>
        <w:rPr>
          <w:sz w:val="24"/>
          <w:szCs w:val="24"/>
          <w:lang w:eastAsia="da-DK"/>
        </w:rPr>
      </w:pPr>
      <w:r w:rsidRPr="00693334">
        <w:rPr>
          <w:sz w:val="24"/>
          <w:szCs w:val="24"/>
          <w:u w:val="single"/>
        </w:rPr>
        <w:t>Respirations- og CNS-depression</w:t>
      </w:r>
    </w:p>
    <w:p w14:paraId="3789E350" w14:textId="3FE24523" w:rsidR="00BA3D37" w:rsidRPr="00693334" w:rsidRDefault="00BA3D37" w:rsidP="00BA3D37">
      <w:pPr>
        <w:tabs>
          <w:tab w:val="left" w:pos="851"/>
        </w:tabs>
        <w:ind w:left="851"/>
        <w:rPr>
          <w:sz w:val="24"/>
          <w:szCs w:val="24"/>
        </w:rPr>
      </w:pPr>
      <w:r w:rsidRPr="00693334">
        <w:rPr>
          <w:sz w:val="24"/>
          <w:szCs w:val="24"/>
        </w:rPr>
        <w:t xml:space="preserve">Arixobat har også potentiale til at fremkalde respirationsdepression. Patienterne bør vurderes for søvnapnø før behandling, og der skal udvises forsigtighed, når behandling overvejes. Apnø og respirationsdepression har været observeret hos fastende raske personer efter et enkelt indtag på 4,5 g (det dobbelte af den anbefalede startdosis). I forbindelse med overvågning efter markedsføring er det observeret, at brugen af natriumoxybat kan prædisponere patienterne for kvælningsfornemmelse under søvn. Patienter bør udspørges angående tegn på depression af centralnervesystemet (CNS) eller respirationsdepression. Særlig forsigtighed bør udvises over for patienter med en underliggende respirationslidelse. Patienterne bør monitoreres for tegn på </w:t>
      </w:r>
      <w:r w:rsidRPr="00693334">
        <w:rPr>
          <w:sz w:val="24"/>
          <w:szCs w:val="24"/>
        </w:rPr>
        <w:lastRenderedPageBreak/>
        <w:t>respirationsdepression under behandlingen. På grund af øget risiko for søvnapnø bør patienter med et BMI ≥ 40 kg/m</w:t>
      </w:r>
      <w:r w:rsidRPr="00693334">
        <w:rPr>
          <w:sz w:val="24"/>
          <w:szCs w:val="24"/>
          <w:vertAlign w:val="superscript"/>
        </w:rPr>
        <w:t>2</w:t>
      </w:r>
      <w:r w:rsidRPr="00693334">
        <w:rPr>
          <w:sz w:val="24"/>
          <w:szCs w:val="24"/>
        </w:rPr>
        <w:t xml:space="preserve"> monitoreres nøje, mens de tager natriumoxybat.</w:t>
      </w:r>
    </w:p>
    <w:p w14:paraId="78575734" w14:textId="77777777" w:rsidR="0062292A" w:rsidRPr="00693334" w:rsidRDefault="0062292A" w:rsidP="0062292A">
      <w:pPr>
        <w:tabs>
          <w:tab w:val="left" w:pos="851"/>
        </w:tabs>
        <w:ind w:left="851"/>
        <w:rPr>
          <w:sz w:val="24"/>
          <w:szCs w:val="24"/>
        </w:rPr>
      </w:pPr>
    </w:p>
    <w:p w14:paraId="49B97082" w14:textId="3E98C8D7" w:rsidR="0062292A" w:rsidRPr="00693334" w:rsidRDefault="0062292A" w:rsidP="0062292A">
      <w:pPr>
        <w:tabs>
          <w:tab w:val="left" w:pos="851"/>
        </w:tabs>
        <w:ind w:left="851"/>
        <w:rPr>
          <w:sz w:val="24"/>
          <w:szCs w:val="24"/>
        </w:rPr>
      </w:pPr>
      <w:r w:rsidRPr="00693334">
        <w:rPr>
          <w:sz w:val="24"/>
          <w:szCs w:val="24"/>
        </w:rPr>
        <w:t>Ca. 80 % af patienterne, som blev behandlet med natriumoxybat i kliniske studier, fortsatte brugen af CNS-stimulantia. Hvorvidt dette havde en effekt på respirationen om natten, er uvist. Før øgning af natriumoxybatdosis bør den ordinerende læge være opmærksom på, at søvnapnø forekommer hos op til 50 % af patienter med narkolepsi.</w:t>
      </w:r>
    </w:p>
    <w:p w14:paraId="6A1E0690" w14:textId="77777777" w:rsidR="0062292A" w:rsidRPr="00693334" w:rsidRDefault="0062292A" w:rsidP="0062292A">
      <w:pPr>
        <w:tabs>
          <w:tab w:val="left" w:pos="851"/>
        </w:tabs>
        <w:ind w:left="851"/>
        <w:rPr>
          <w:sz w:val="24"/>
          <w:szCs w:val="24"/>
        </w:rPr>
      </w:pPr>
    </w:p>
    <w:p w14:paraId="1CEEAC43" w14:textId="77777777" w:rsidR="0062292A" w:rsidRPr="00693334" w:rsidRDefault="0062292A" w:rsidP="00095F20">
      <w:pPr>
        <w:numPr>
          <w:ilvl w:val="0"/>
          <w:numId w:val="8"/>
        </w:numPr>
        <w:ind w:left="1276" w:hanging="491"/>
        <w:rPr>
          <w:sz w:val="24"/>
          <w:szCs w:val="24"/>
          <w:u w:val="single"/>
        </w:rPr>
      </w:pPr>
      <w:r w:rsidRPr="00693334">
        <w:rPr>
          <w:i/>
          <w:iCs/>
          <w:sz w:val="24"/>
          <w:szCs w:val="24"/>
          <w:u w:val="single"/>
        </w:rPr>
        <w:t>Benzodiazepiner</w:t>
      </w:r>
    </w:p>
    <w:p w14:paraId="0B535A0A" w14:textId="77777777" w:rsidR="0062292A" w:rsidRPr="00693334" w:rsidRDefault="0062292A" w:rsidP="0062292A">
      <w:pPr>
        <w:tabs>
          <w:tab w:val="left" w:pos="1418"/>
        </w:tabs>
        <w:ind w:left="1276"/>
        <w:rPr>
          <w:sz w:val="24"/>
          <w:szCs w:val="24"/>
        </w:rPr>
      </w:pPr>
      <w:r w:rsidRPr="00693334">
        <w:rPr>
          <w:sz w:val="24"/>
          <w:szCs w:val="24"/>
        </w:rPr>
        <w:t>På grund af muligheden for øget risiko for respirationsdepression bør samtidig brug af benzodiazepiner og natriumoxybat undgås.</w:t>
      </w:r>
    </w:p>
    <w:p w14:paraId="17B1E0FE" w14:textId="77777777" w:rsidR="0062292A" w:rsidRPr="00693334" w:rsidRDefault="0062292A" w:rsidP="0062292A">
      <w:pPr>
        <w:tabs>
          <w:tab w:val="left" w:pos="851"/>
        </w:tabs>
        <w:ind w:left="851"/>
        <w:rPr>
          <w:sz w:val="24"/>
          <w:szCs w:val="24"/>
        </w:rPr>
      </w:pPr>
    </w:p>
    <w:p w14:paraId="1E111BF6" w14:textId="77777777" w:rsidR="0062292A" w:rsidRPr="00693334" w:rsidRDefault="0062292A" w:rsidP="00095F20">
      <w:pPr>
        <w:numPr>
          <w:ilvl w:val="0"/>
          <w:numId w:val="8"/>
        </w:numPr>
        <w:tabs>
          <w:tab w:val="left" w:pos="851"/>
        </w:tabs>
        <w:ind w:left="1276" w:hanging="425"/>
        <w:rPr>
          <w:sz w:val="24"/>
          <w:szCs w:val="24"/>
          <w:u w:val="single"/>
        </w:rPr>
      </w:pPr>
      <w:r w:rsidRPr="00693334">
        <w:rPr>
          <w:i/>
          <w:iCs/>
          <w:sz w:val="24"/>
          <w:szCs w:val="24"/>
          <w:u w:val="single"/>
        </w:rPr>
        <w:t>Alkohol og CNS-supprimerende lægemidler</w:t>
      </w:r>
    </w:p>
    <w:p w14:paraId="116A5BE0" w14:textId="77777777" w:rsidR="0062292A" w:rsidRPr="00693334" w:rsidRDefault="0062292A" w:rsidP="0062292A">
      <w:pPr>
        <w:ind w:left="1276"/>
        <w:rPr>
          <w:sz w:val="24"/>
          <w:szCs w:val="24"/>
        </w:rPr>
      </w:pPr>
      <w:r w:rsidRPr="00693334">
        <w:rPr>
          <w:sz w:val="24"/>
          <w:szCs w:val="24"/>
        </w:rPr>
        <w:t>Kombineret brug af alkohol eller ethvert CNS-supprimerende lægemiddel og natriumoxybat kan resultere i potensering af natriumoxybats CNS-supprimerende virkning samt en øget risiko for respirationsdepression. Derfor bør patienter advares mod at indtage alkohol sammen med natriumoxybat.</w:t>
      </w:r>
    </w:p>
    <w:p w14:paraId="385359FF" w14:textId="77777777" w:rsidR="0062292A" w:rsidRPr="00693334" w:rsidRDefault="0062292A" w:rsidP="0062292A">
      <w:pPr>
        <w:tabs>
          <w:tab w:val="left" w:pos="851"/>
        </w:tabs>
        <w:ind w:left="851"/>
        <w:rPr>
          <w:sz w:val="24"/>
          <w:szCs w:val="24"/>
        </w:rPr>
      </w:pPr>
    </w:p>
    <w:p w14:paraId="70B05943" w14:textId="77777777" w:rsidR="0062292A" w:rsidRPr="00693334" w:rsidRDefault="0062292A" w:rsidP="00095F20">
      <w:pPr>
        <w:numPr>
          <w:ilvl w:val="0"/>
          <w:numId w:val="9"/>
        </w:numPr>
        <w:tabs>
          <w:tab w:val="left" w:pos="851"/>
        </w:tabs>
        <w:ind w:left="1276"/>
        <w:rPr>
          <w:sz w:val="24"/>
          <w:szCs w:val="24"/>
          <w:u w:val="single"/>
        </w:rPr>
      </w:pPr>
      <w:r w:rsidRPr="00693334">
        <w:rPr>
          <w:i/>
          <w:iCs/>
          <w:sz w:val="24"/>
          <w:szCs w:val="24"/>
          <w:u w:val="single"/>
        </w:rPr>
        <w:t>Gamma-hydroxybutyrat (GHB)-dehydrogenase-hæmmere</w:t>
      </w:r>
    </w:p>
    <w:p w14:paraId="385D4013" w14:textId="6253BF94" w:rsidR="0062292A" w:rsidRPr="00693334" w:rsidRDefault="0062292A" w:rsidP="0062292A">
      <w:pPr>
        <w:ind w:left="1276"/>
        <w:rPr>
          <w:sz w:val="24"/>
          <w:szCs w:val="24"/>
        </w:rPr>
      </w:pPr>
      <w:r w:rsidRPr="00693334">
        <w:rPr>
          <w:sz w:val="24"/>
          <w:szCs w:val="24"/>
        </w:rPr>
        <w:t>Der skal udvises forsigtighed hos patienter, som samtidig behandles</w:t>
      </w:r>
      <w:r w:rsidR="00BA3D37" w:rsidRPr="00693334">
        <w:rPr>
          <w:sz w:val="24"/>
          <w:szCs w:val="24"/>
        </w:rPr>
        <w:t xml:space="preserve"> med</w:t>
      </w:r>
      <w:r w:rsidRPr="00693334">
        <w:rPr>
          <w:sz w:val="24"/>
          <w:szCs w:val="24"/>
        </w:rPr>
        <w:t xml:space="preserve"> </w:t>
      </w:r>
      <w:r w:rsidR="00BA3D37" w:rsidRPr="00693334">
        <w:rPr>
          <w:sz w:val="24"/>
          <w:szCs w:val="24"/>
        </w:rPr>
        <w:t xml:space="preserve">valproat eller </w:t>
      </w:r>
      <w:r w:rsidRPr="00693334">
        <w:rPr>
          <w:sz w:val="24"/>
          <w:szCs w:val="24"/>
        </w:rPr>
        <w:t>med andre GHB-dehydrogenase-hæmmere, da der er set farmakokinetiske og farmakodynamiske interaktioner, når natriumoxybat administreres samtidigt med valproat (se pkt. 4.5).</w:t>
      </w:r>
    </w:p>
    <w:p w14:paraId="6C6FDF8F" w14:textId="065DAD6F" w:rsidR="0062292A" w:rsidRPr="00693334" w:rsidRDefault="0062292A" w:rsidP="0062292A">
      <w:pPr>
        <w:tabs>
          <w:tab w:val="left" w:pos="851"/>
        </w:tabs>
        <w:ind w:left="1276"/>
        <w:rPr>
          <w:sz w:val="24"/>
          <w:szCs w:val="24"/>
        </w:rPr>
      </w:pPr>
      <w:r w:rsidRPr="00693334">
        <w:rPr>
          <w:sz w:val="24"/>
          <w:szCs w:val="24"/>
        </w:rPr>
        <w:t>Hvis der er behov for samtidig administration, skal dosisjustering overvejes. Derudover bør patientens respons og tolerabilitet nøje monitoreres og dosis tilpasses i overensstemmelse hermed.</w:t>
      </w:r>
    </w:p>
    <w:p w14:paraId="1AE055CE" w14:textId="77777777" w:rsidR="0062292A" w:rsidRPr="00693334" w:rsidRDefault="0062292A" w:rsidP="0062292A">
      <w:pPr>
        <w:tabs>
          <w:tab w:val="left" w:pos="851"/>
        </w:tabs>
        <w:ind w:left="1276"/>
        <w:rPr>
          <w:sz w:val="24"/>
          <w:szCs w:val="24"/>
        </w:rPr>
      </w:pPr>
    </w:p>
    <w:p w14:paraId="2B488632" w14:textId="77777777" w:rsidR="0062292A" w:rsidRPr="00693334" w:rsidRDefault="0062292A" w:rsidP="00095F20">
      <w:pPr>
        <w:numPr>
          <w:ilvl w:val="0"/>
          <w:numId w:val="9"/>
        </w:numPr>
        <w:tabs>
          <w:tab w:val="left" w:pos="851"/>
        </w:tabs>
        <w:ind w:left="1276"/>
        <w:rPr>
          <w:sz w:val="24"/>
          <w:szCs w:val="24"/>
          <w:u w:val="single"/>
        </w:rPr>
      </w:pPr>
      <w:r w:rsidRPr="00693334">
        <w:rPr>
          <w:i/>
          <w:iCs/>
          <w:sz w:val="24"/>
          <w:szCs w:val="24"/>
          <w:u w:val="single"/>
        </w:rPr>
        <w:t>Topiramat</w:t>
      </w:r>
    </w:p>
    <w:p w14:paraId="1850F526" w14:textId="77777777" w:rsidR="0062292A" w:rsidRPr="00693334" w:rsidRDefault="0062292A" w:rsidP="0062292A">
      <w:pPr>
        <w:ind w:left="1276"/>
        <w:rPr>
          <w:sz w:val="24"/>
          <w:szCs w:val="24"/>
        </w:rPr>
      </w:pPr>
      <w:r w:rsidRPr="00693334">
        <w:rPr>
          <w:sz w:val="24"/>
          <w:szCs w:val="24"/>
        </w:rPr>
        <w:t>Der har været klinisk(e) observation(er) af koma og forhøjet GBH-plasmakoncentration efter samtidig administration af natriumoxybat og topiramat. Derfor bør patienter advares mod at bruge topiramat sammen med natriumoxybat (se pkt. 4.5).</w:t>
      </w:r>
    </w:p>
    <w:p w14:paraId="74D96321" w14:textId="77777777" w:rsidR="0062292A" w:rsidRPr="00693334" w:rsidRDefault="0062292A" w:rsidP="0062292A">
      <w:pPr>
        <w:tabs>
          <w:tab w:val="left" w:pos="851"/>
        </w:tabs>
        <w:ind w:left="851"/>
        <w:rPr>
          <w:sz w:val="24"/>
          <w:szCs w:val="24"/>
        </w:rPr>
      </w:pPr>
    </w:p>
    <w:p w14:paraId="52BCEF42" w14:textId="77777777" w:rsidR="0062292A" w:rsidRPr="00693334" w:rsidRDefault="0062292A" w:rsidP="0062292A">
      <w:pPr>
        <w:tabs>
          <w:tab w:val="left" w:pos="851"/>
        </w:tabs>
        <w:ind w:left="851"/>
        <w:rPr>
          <w:sz w:val="24"/>
          <w:szCs w:val="24"/>
        </w:rPr>
      </w:pPr>
      <w:r w:rsidRPr="00693334">
        <w:rPr>
          <w:sz w:val="24"/>
          <w:szCs w:val="24"/>
          <w:u w:val="single"/>
        </w:rPr>
        <w:t>Misbrugspotentiale og afhængighed</w:t>
      </w:r>
    </w:p>
    <w:p w14:paraId="55E83BE6" w14:textId="0359A97F" w:rsidR="0062292A" w:rsidRPr="00693334" w:rsidRDefault="00B61F1B" w:rsidP="0062292A">
      <w:pPr>
        <w:tabs>
          <w:tab w:val="left" w:pos="851"/>
        </w:tabs>
        <w:ind w:left="851"/>
        <w:rPr>
          <w:sz w:val="24"/>
          <w:szCs w:val="24"/>
        </w:rPr>
      </w:pPr>
      <w:r w:rsidRPr="00693334">
        <w:rPr>
          <w:sz w:val="24"/>
          <w:szCs w:val="24"/>
        </w:rPr>
        <w:t>Natriumoxybat</w:t>
      </w:r>
      <w:r w:rsidR="0062292A" w:rsidRPr="00693334">
        <w:rPr>
          <w:sz w:val="24"/>
          <w:szCs w:val="24"/>
        </w:rPr>
        <w:t xml:space="preserve">, som er et natriumsalt af GHB, er et CNS-depressivt aktivt stof med velkendt misbrugspotentiale. </w:t>
      </w:r>
    </w:p>
    <w:p w14:paraId="3533A400" w14:textId="6DD31562" w:rsidR="0062292A" w:rsidRPr="00693334" w:rsidRDefault="0062292A" w:rsidP="0062292A">
      <w:pPr>
        <w:tabs>
          <w:tab w:val="left" w:pos="851"/>
        </w:tabs>
        <w:ind w:left="851"/>
        <w:rPr>
          <w:sz w:val="24"/>
          <w:szCs w:val="24"/>
        </w:rPr>
      </w:pPr>
      <w:r w:rsidRPr="00693334">
        <w:rPr>
          <w:sz w:val="24"/>
          <w:szCs w:val="24"/>
        </w:rPr>
        <w:t>Før behandlingen bør lægen evaluere patienter med tidligere stofmisbrug eller disposition for udvikling af stofmisbrug. Patienterne bør monitoreres rutinemæssigt, og ved mistanke om misbrug bør natriumoxybat seponeres.</w:t>
      </w:r>
    </w:p>
    <w:p w14:paraId="1927527E" w14:textId="77777777" w:rsidR="0062292A" w:rsidRPr="00693334" w:rsidRDefault="0062292A" w:rsidP="0062292A">
      <w:pPr>
        <w:tabs>
          <w:tab w:val="left" w:pos="851"/>
        </w:tabs>
        <w:ind w:left="851"/>
        <w:rPr>
          <w:sz w:val="24"/>
          <w:szCs w:val="24"/>
        </w:rPr>
      </w:pPr>
    </w:p>
    <w:p w14:paraId="149471FC" w14:textId="77777777" w:rsidR="0062292A" w:rsidRPr="00693334" w:rsidRDefault="0062292A" w:rsidP="0062292A">
      <w:pPr>
        <w:tabs>
          <w:tab w:val="left" w:pos="851"/>
        </w:tabs>
        <w:ind w:left="851"/>
        <w:rPr>
          <w:sz w:val="24"/>
          <w:szCs w:val="24"/>
        </w:rPr>
      </w:pPr>
      <w:r w:rsidRPr="00693334">
        <w:rPr>
          <w:sz w:val="24"/>
          <w:szCs w:val="24"/>
        </w:rPr>
        <w:t>Der har været rapporteret tilfælde af afhængighed efter ulovlig brug af GHB ved hyppigt gentagne doser (18 til 250 g/dag) ud over det terapeutiske dosisinterval. Selv om der ikke er klar evidens for, at patienter i behandling med natriumoxybat i terapeutiske doser skulle kunne blive afhængige, kan dette ikke udelukkes.</w:t>
      </w:r>
    </w:p>
    <w:p w14:paraId="1DE58B98" w14:textId="77777777" w:rsidR="0062292A" w:rsidRPr="00693334" w:rsidRDefault="0062292A" w:rsidP="0062292A">
      <w:pPr>
        <w:tabs>
          <w:tab w:val="left" w:pos="851"/>
        </w:tabs>
        <w:ind w:left="851"/>
        <w:rPr>
          <w:sz w:val="24"/>
          <w:szCs w:val="24"/>
        </w:rPr>
      </w:pPr>
    </w:p>
    <w:p w14:paraId="0A28FECB" w14:textId="77777777" w:rsidR="0062292A" w:rsidRPr="00693334" w:rsidRDefault="0062292A" w:rsidP="0062292A">
      <w:pPr>
        <w:tabs>
          <w:tab w:val="left" w:pos="851"/>
        </w:tabs>
        <w:ind w:left="851"/>
        <w:rPr>
          <w:sz w:val="24"/>
          <w:szCs w:val="24"/>
        </w:rPr>
      </w:pPr>
      <w:r w:rsidRPr="00693334">
        <w:rPr>
          <w:sz w:val="24"/>
          <w:szCs w:val="24"/>
          <w:u w:val="single"/>
        </w:rPr>
        <w:t>Patienter med porfyri</w:t>
      </w:r>
    </w:p>
    <w:p w14:paraId="61C36A8A" w14:textId="70533B4D" w:rsidR="0062292A" w:rsidRPr="00693334" w:rsidRDefault="00B61F1B" w:rsidP="0062292A">
      <w:pPr>
        <w:tabs>
          <w:tab w:val="left" w:pos="851"/>
        </w:tabs>
        <w:ind w:left="851"/>
        <w:rPr>
          <w:sz w:val="24"/>
          <w:szCs w:val="24"/>
        </w:rPr>
      </w:pPr>
      <w:r w:rsidRPr="00693334">
        <w:rPr>
          <w:sz w:val="24"/>
          <w:szCs w:val="24"/>
        </w:rPr>
        <w:t xml:space="preserve">Natriumoxybat </w:t>
      </w:r>
      <w:r w:rsidR="0062292A" w:rsidRPr="00693334">
        <w:rPr>
          <w:sz w:val="24"/>
          <w:szCs w:val="24"/>
        </w:rPr>
        <w:t xml:space="preserve">anses ikke for sikkert til patienter med porfyri, da det har vist sig at føre til porfyri hos dyr og i </w:t>
      </w:r>
      <w:r w:rsidR="0062292A" w:rsidRPr="00693334">
        <w:rPr>
          <w:i/>
          <w:sz w:val="24"/>
          <w:szCs w:val="24"/>
        </w:rPr>
        <w:t>in vitro</w:t>
      </w:r>
      <w:r w:rsidR="0062292A" w:rsidRPr="00693334">
        <w:rPr>
          <w:sz w:val="24"/>
          <w:szCs w:val="24"/>
        </w:rPr>
        <w:t>-systemer.</w:t>
      </w:r>
    </w:p>
    <w:p w14:paraId="20DB2433" w14:textId="77777777" w:rsidR="0062292A" w:rsidRPr="00693334" w:rsidRDefault="0062292A" w:rsidP="0062292A">
      <w:pPr>
        <w:tabs>
          <w:tab w:val="left" w:pos="851"/>
        </w:tabs>
        <w:ind w:left="851"/>
        <w:rPr>
          <w:sz w:val="24"/>
          <w:szCs w:val="24"/>
        </w:rPr>
      </w:pPr>
    </w:p>
    <w:p w14:paraId="120879DE" w14:textId="77777777" w:rsidR="0062292A" w:rsidRPr="00693334" w:rsidRDefault="0062292A" w:rsidP="0062292A">
      <w:pPr>
        <w:tabs>
          <w:tab w:val="left" w:pos="851"/>
        </w:tabs>
        <w:ind w:left="851"/>
        <w:rPr>
          <w:sz w:val="24"/>
          <w:szCs w:val="24"/>
        </w:rPr>
      </w:pPr>
      <w:r w:rsidRPr="00693334">
        <w:rPr>
          <w:sz w:val="24"/>
          <w:szCs w:val="24"/>
          <w:u w:val="single"/>
        </w:rPr>
        <w:t>Neuropsykiatriske forhold</w:t>
      </w:r>
    </w:p>
    <w:p w14:paraId="6A37FC1C" w14:textId="7B414765" w:rsidR="0062292A" w:rsidRPr="00693334" w:rsidRDefault="0062292A" w:rsidP="0062292A">
      <w:pPr>
        <w:tabs>
          <w:tab w:val="left" w:pos="851"/>
        </w:tabs>
        <w:ind w:left="851"/>
        <w:rPr>
          <w:sz w:val="24"/>
          <w:szCs w:val="24"/>
        </w:rPr>
      </w:pPr>
      <w:r w:rsidRPr="00693334">
        <w:rPr>
          <w:sz w:val="24"/>
          <w:szCs w:val="24"/>
        </w:rPr>
        <w:lastRenderedPageBreak/>
        <w:t>Patienter kan blive konfuse under behandling med natriumoxybat. Hvis dette sker, bør patienten evalueres grundigt, og passende intervention bør overvejes på individuel basis. Andre neuropsykiatriske forhold inkluderer angst, psykose, paranoia, hallucinationer og agitation. Udvikling af tankeforstyrrelser, herunder tanker om at begå voldelige handlinger (herunder at skade andre) og/eller adfærdsmæssige abnormiteter, når patienter er i behandling med natriumoxybat, kræver omhyggelig og omgående evaluering.</w:t>
      </w:r>
    </w:p>
    <w:p w14:paraId="125CEF9F" w14:textId="77777777" w:rsidR="00B61F1B" w:rsidRPr="00693334" w:rsidRDefault="00B61F1B" w:rsidP="0062292A">
      <w:pPr>
        <w:tabs>
          <w:tab w:val="left" w:pos="851"/>
        </w:tabs>
        <w:ind w:left="851"/>
        <w:rPr>
          <w:sz w:val="24"/>
          <w:szCs w:val="24"/>
        </w:rPr>
      </w:pPr>
    </w:p>
    <w:p w14:paraId="1E108815" w14:textId="3BA1A9E7" w:rsidR="00B61F1B" w:rsidRPr="00693334" w:rsidRDefault="00B61F1B" w:rsidP="00B61F1B">
      <w:pPr>
        <w:tabs>
          <w:tab w:val="left" w:pos="851"/>
        </w:tabs>
        <w:ind w:left="851"/>
        <w:rPr>
          <w:sz w:val="24"/>
          <w:szCs w:val="24"/>
          <w:lang w:eastAsia="da-DK"/>
        </w:rPr>
      </w:pPr>
      <w:r w:rsidRPr="00693334">
        <w:rPr>
          <w:sz w:val="24"/>
          <w:szCs w:val="24"/>
        </w:rPr>
        <w:t>Udvikling af depression, mens patienter er i behandling med natriumoxybat, kræver omhyggelig og omgående evaluering. Patienter med tidligere affektive lidelser (herunder depressiv sygdom, angst og bipolar lidelse), selvmordsforsøg og psykose bør monitoreres særligt omhyggeligt med hensyn til udvikling af depressive symptomer og/eller suicidale tanker under behandling med natriumoxybat. Brug af natriumoxybater kontraindiceret til patienter med major depression (pkt. 4.3).</w:t>
      </w:r>
    </w:p>
    <w:p w14:paraId="1F8485C8" w14:textId="77777777" w:rsidR="0062292A" w:rsidRPr="00693334" w:rsidRDefault="0062292A" w:rsidP="0062292A">
      <w:pPr>
        <w:tabs>
          <w:tab w:val="left" w:pos="851"/>
        </w:tabs>
        <w:ind w:left="851"/>
        <w:rPr>
          <w:sz w:val="24"/>
          <w:szCs w:val="24"/>
        </w:rPr>
      </w:pPr>
    </w:p>
    <w:p w14:paraId="3A0D1316" w14:textId="77777777" w:rsidR="0062292A" w:rsidRPr="00693334" w:rsidRDefault="0062292A" w:rsidP="0062292A">
      <w:pPr>
        <w:tabs>
          <w:tab w:val="left" w:pos="851"/>
        </w:tabs>
        <w:ind w:left="851"/>
        <w:rPr>
          <w:sz w:val="24"/>
          <w:szCs w:val="24"/>
        </w:rPr>
      </w:pPr>
      <w:r w:rsidRPr="00693334">
        <w:rPr>
          <w:sz w:val="24"/>
          <w:szCs w:val="24"/>
        </w:rPr>
        <w:t>Hvis en patient oplever inkontinens for urin eller afføring under natriumoxybatbehandling, bør den ordinerende læge tilstræbe, at der foretages undersøgelser for at udelukke underliggende ætiologi.</w:t>
      </w:r>
    </w:p>
    <w:p w14:paraId="22A20D22" w14:textId="77777777" w:rsidR="0062292A" w:rsidRPr="00693334" w:rsidRDefault="0062292A" w:rsidP="0062292A">
      <w:pPr>
        <w:tabs>
          <w:tab w:val="left" w:pos="851"/>
        </w:tabs>
        <w:ind w:left="851"/>
        <w:rPr>
          <w:sz w:val="24"/>
          <w:szCs w:val="24"/>
        </w:rPr>
      </w:pPr>
    </w:p>
    <w:p w14:paraId="3DDE9889" w14:textId="77777777" w:rsidR="0062292A" w:rsidRPr="00693334" w:rsidRDefault="0062292A" w:rsidP="0062292A">
      <w:pPr>
        <w:tabs>
          <w:tab w:val="left" w:pos="851"/>
        </w:tabs>
        <w:ind w:left="851"/>
        <w:rPr>
          <w:sz w:val="24"/>
          <w:szCs w:val="24"/>
        </w:rPr>
      </w:pPr>
      <w:r w:rsidRPr="00693334">
        <w:rPr>
          <w:sz w:val="24"/>
          <w:szCs w:val="24"/>
        </w:rPr>
        <w:t>Der er rapporteret søvngængeri hos patienter, som i kliniske studier er behandlet med natriumoxybat. Det er uklart, om nogle eller alle disse episoder svarer til egentlig somnambulisme (en parasomni, der opstår under non-REM-søvn) eller til en anden specifik medicinsk lidelse. Risikoen for skade eller selvpåført skade bør tages i betragtning hos enhver patient, som går i søvne. Derfor skal episoder med søvngængeri evalueres grundigt, og passende foranstaltninger skal overvejes.</w:t>
      </w:r>
    </w:p>
    <w:p w14:paraId="1F8E88AD" w14:textId="77777777" w:rsidR="0062292A" w:rsidRPr="00693334" w:rsidRDefault="0062292A" w:rsidP="0062292A">
      <w:pPr>
        <w:tabs>
          <w:tab w:val="left" w:pos="851"/>
        </w:tabs>
        <w:ind w:left="851"/>
        <w:rPr>
          <w:sz w:val="24"/>
          <w:szCs w:val="24"/>
        </w:rPr>
      </w:pPr>
    </w:p>
    <w:p w14:paraId="3ECD8B69" w14:textId="77777777" w:rsidR="00B61F1B" w:rsidRPr="00693334" w:rsidRDefault="00B61F1B" w:rsidP="00B61F1B">
      <w:pPr>
        <w:pStyle w:val="Default"/>
        <w:ind w:left="850"/>
        <w:rPr>
          <w:u w:val="single"/>
        </w:rPr>
      </w:pPr>
      <w:r w:rsidRPr="00693334">
        <w:rPr>
          <w:u w:val="single"/>
        </w:rPr>
        <w:t>Pædiatrisk population:</w:t>
      </w:r>
    </w:p>
    <w:p w14:paraId="6E6A05D8" w14:textId="77777777" w:rsidR="00B61F1B" w:rsidRPr="00693334" w:rsidRDefault="00B61F1B" w:rsidP="00B61F1B">
      <w:pPr>
        <w:pStyle w:val="Default"/>
        <w:ind w:left="850"/>
      </w:pPr>
    </w:p>
    <w:p w14:paraId="746F3357" w14:textId="77777777" w:rsidR="00B61F1B" w:rsidRPr="00693334" w:rsidRDefault="00B61F1B" w:rsidP="00B61F1B">
      <w:pPr>
        <w:pStyle w:val="Default"/>
        <w:ind w:left="850"/>
        <w:rPr>
          <w:i/>
          <w:iCs/>
        </w:rPr>
      </w:pPr>
      <w:r w:rsidRPr="00693334">
        <w:rPr>
          <w:i/>
          <w:iCs/>
        </w:rPr>
        <w:t xml:space="preserve">Monitorering under titreringsfasen </w:t>
      </w:r>
    </w:p>
    <w:p w14:paraId="691184D1" w14:textId="77777777" w:rsidR="00B61F1B" w:rsidRPr="00693334" w:rsidRDefault="00B61F1B" w:rsidP="00B61F1B">
      <w:pPr>
        <w:pStyle w:val="Default"/>
        <w:ind w:left="850"/>
      </w:pPr>
      <w:r w:rsidRPr="00693334">
        <w:t xml:space="preserve">Patientens tolerabilitet, især med hensyn til potentielle tegn på centralnervesystems- og respirationsdepression, skal monitoreres nøje ved hver dosisøgning under titrering. Omhyggelig monitorering bør omfatte, at forældrene/omsorgspersonerne observerer barnets vejrtrækning efter indtagelse af natriumoxybat for at vurdere, om der er abnormitet i vejrtrækningen i de første 2 timer, f.eks. højlydt vejrtrækning, søvnapnø, læbe-/ansigtscyanose. Hvis der observeres unormal vejrtrækning, skal der søges lægehjælp. Hvis der bemærkes abnormitet efter den første dosis, bør den anden dosis ikke administreres. Hvis der ikke bemærkes abnormitet, kan den anden dosis administreres. Den anden dosis bør ikke gives tidligere end 2,5 timer eller senere end 4 timer efter den første dosis. I individuelle tilfælde, f.eks. hvis det er usikkert, om forældrene/omsorgspersonerne kan varetage omhyggelig monitorering som beskrevet, anbefales natriumoxybat ikke, medmindre der kan arrangeres lægeligt opsyn med behandlingen. </w:t>
      </w:r>
    </w:p>
    <w:p w14:paraId="60213BA3" w14:textId="77777777" w:rsidR="00B61F1B" w:rsidRPr="00693334" w:rsidRDefault="00B61F1B" w:rsidP="00B61F1B">
      <w:pPr>
        <w:pStyle w:val="Default"/>
        <w:ind w:left="850"/>
      </w:pPr>
      <w:r w:rsidRPr="00693334">
        <w:t xml:space="preserve">Hvis der er tvivl om administration af en dosis, må der ikke administreres endnu en dosis; dette er for at reducere risikoen for overdosering. </w:t>
      </w:r>
    </w:p>
    <w:p w14:paraId="75F9C3C3" w14:textId="77777777" w:rsidR="00B61F1B" w:rsidRPr="00693334" w:rsidRDefault="00B61F1B" w:rsidP="00B61F1B">
      <w:pPr>
        <w:pStyle w:val="Default"/>
        <w:ind w:left="850"/>
        <w:rPr>
          <w:i/>
          <w:iCs/>
        </w:rPr>
      </w:pPr>
    </w:p>
    <w:p w14:paraId="09D81118" w14:textId="77777777" w:rsidR="00B61F1B" w:rsidRPr="00693334" w:rsidRDefault="00B61F1B" w:rsidP="00B61F1B">
      <w:pPr>
        <w:pStyle w:val="Default"/>
        <w:ind w:left="850"/>
      </w:pPr>
      <w:r w:rsidRPr="00693334">
        <w:rPr>
          <w:i/>
          <w:iCs/>
        </w:rPr>
        <w:t xml:space="preserve">Vægttab </w:t>
      </w:r>
    </w:p>
    <w:p w14:paraId="411485EF" w14:textId="77777777" w:rsidR="00B61F1B" w:rsidRPr="00693334" w:rsidRDefault="00B61F1B" w:rsidP="00B61F1B">
      <w:pPr>
        <w:pStyle w:val="Default"/>
        <w:ind w:left="850"/>
      </w:pPr>
      <w:r w:rsidRPr="00693334">
        <w:t xml:space="preserve">Vægttab er almindeligt blandt patienter, der får behandling med natriumoxybat (se pkt. 4.8). Hos pædiatriske patienter er det vigtigt, at deres vægt kontrolleres med regelmæssige mellemrum, især under dosistitrering, for at sikre, at den korrekte dosis natriumoxybat administreres (se pkt. 4.2). </w:t>
      </w:r>
    </w:p>
    <w:p w14:paraId="4B62EEDA" w14:textId="77777777" w:rsidR="00B61F1B" w:rsidRPr="00693334" w:rsidRDefault="00B61F1B" w:rsidP="00B61F1B">
      <w:pPr>
        <w:pStyle w:val="Default"/>
        <w:ind w:left="850"/>
        <w:rPr>
          <w:i/>
          <w:iCs/>
        </w:rPr>
      </w:pPr>
    </w:p>
    <w:p w14:paraId="2D71F08C" w14:textId="77777777" w:rsidR="00B61F1B" w:rsidRPr="00693334" w:rsidRDefault="00B61F1B" w:rsidP="00B61F1B">
      <w:pPr>
        <w:pStyle w:val="Default"/>
        <w:ind w:left="850"/>
      </w:pPr>
      <w:r w:rsidRPr="00693334">
        <w:rPr>
          <w:i/>
          <w:iCs/>
        </w:rPr>
        <w:t xml:space="preserve">Neuropsykiatriske hændelser </w:t>
      </w:r>
    </w:p>
    <w:p w14:paraId="0725EC0D" w14:textId="77777777" w:rsidR="00B61F1B" w:rsidRPr="00693334" w:rsidRDefault="00B61F1B" w:rsidP="00B61F1B">
      <w:pPr>
        <w:pStyle w:val="Default"/>
        <w:ind w:left="850"/>
      </w:pPr>
      <w:r w:rsidRPr="00693334">
        <w:lastRenderedPageBreak/>
        <w:t xml:space="preserve">Der skal udvises særlig forsigtighed hos børn og unge i forhold til vurdering af potentielle suicidale eller depressive tilstande, før behandling med natriumoxybat påbegyndes (se pkt. 4.8), og for at monitorere eventuelle behandlingsrelaterede hændelser. </w:t>
      </w:r>
    </w:p>
    <w:p w14:paraId="54DD633F" w14:textId="77777777" w:rsidR="00B61F1B" w:rsidRPr="00693334" w:rsidRDefault="00B61F1B" w:rsidP="00B61F1B">
      <w:pPr>
        <w:pStyle w:val="Default"/>
        <w:ind w:left="850"/>
        <w:rPr>
          <w:i/>
          <w:iCs/>
        </w:rPr>
      </w:pPr>
    </w:p>
    <w:p w14:paraId="4C354E63" w14:textId="77777777" w:rsidR="00B61F1B" w:rsidRPr="00693334" w:rsidRDefault="00B61F1B" w:rsidP="00B61F1B">
      <w:pPr>
        <w:pStyle w:val="Default"/>
        <w:keepNext/>
        <w:ind w:left="851"/>
      </w:pPr>
      <w:r w:rsidRPr="00693334">
        <w:rPr>
          <w:i/>
          <w:iCs/>
        </w:rPr>
        <w:t xml:space="preserve">Alkohol- og CNS-depressiva </w:t>
      </w:r>
    </w:p>
    <w:p w14:paraId="340D1863" w14:textId="77777777" w:rsidR="00B61F1B" w:rsidRPr="00693334" w:rsidRDefault="00B61F1B" w:rsidP="00B61F1B">
      <w:pPr>
        <w:keepNext/>
        <w:tabs>
          <w:tab w:val="left" w:pos="851"/>
        </w:tabs>
        <w:ind w:left="851"/>
        <w:rPr>
          <w:sz w:val="24"/>
          <w:szCs w:val="24"/>
        </w:rPr>
      </w:pPr>
      <w:r w:rsidRPr="00693334">
        <w:rPr>
          <w:sz w:val="24"/>
          <w:szCs w:val="24"/>
        </w:rPr>
        <w:t>I betragtning af risikoen for alkoholindtag blandt unge, skal det bemærkes, at alkohol kan øge natriumoxybats CNS- og respirationsdepressive virkninger yderligere hos børn – unge, der tager natriumoxybat (se pkt. 4.5).</w:t>
      </w:r>
    </w:p>
    <w:p w14:paraId="756D616F" w14:textId="77777777" w:rsidR="00B61F1B" w:rsidRPr="00693334" w:rsidRDefault="00B61F1B" w:rsidP="00B61F1B">
      <w:pPr>
        <w:tabs>
          <w:tab w:val="left" w:pos="851"/>
        </w:tabs>
        <w:ind w:left="851"/>
        <w:rPr>
          <w:sz w:val="24"/>
          <w:szCs w:val="24"/>
        </w:rPr>
      </w:pPr>
    </w:p>
    <w:p w14:paraId="38DF7143" w14:textId="48B65055" w:rsidR="00B61F1B" w:rsidRPr="00693334" w:rsidRDefault="00B61F1B" w:rsidP="00B61F1B">
      <w:pPr>
        <w:tabs>
          <w:tab w:val="left" w:pos="851"/>
        </w:tabs>
        <w:ind w:left="851"/>
        <w:rPr>
          <w:sz w:val="24"/>
          <w:szCs w:val="24"/>
        </w:rPr>
      </w:pPr>
      <w:r w:rsidRPr="00693334">
        <w:rPr>
          <w:color w:val="000000"/>
          <w:sz w:val="24"/>
          <w:szCs w:val="24"/>
          <w:u w:val="single"/>
        </w:rPr>
        <w:t>Arixobat indeholder natrium.</w:t>
      </w:r>
    </w:p>
    <w:p w14:paraId="6F08E5CA" w14:textId="77777777" w:rsidR="00B61F1B" w:rsidRPr="00693334" w:rsidRDefault="00B61F1B" w:rsidP="00B61F1B">
      <w:pPr>
        <w:pStyle w:val="Default"/>
        <w:ind w:left="850"/>
      </w:pPr>
      <w:r w:rsidRPr="00693334">
        <w:t xml:space="preserve">Dette lægemiddel indeholder 0,41 g natrium pr. 2,25 g natriumoxybat-dosis, svarende til 20 % af den WHO anbefalede maksimale daglige indtagelse af 2 g natrium for en voksen. </w:t>
      </w:r>
    </w:p>
    <w:p w14:paraId="4364570A" w14:textId="77777777" w:rsidR="00B61F1B" w:rsidRPr="00693334" w:rsidRDefault="00B61F1B" w:rsidP="00B61F1B">
      <w:pPr>
        <w:pStyle w:val="Default"/>
        <w:ind w:left="850"/>
      </w:pPr>
      <w:r w:rsidRPr="00693334">
        <w:t xml:space="preserve">Den maksimale daglige dosis af dette lægemiddel svarer til 82 % af den WHO anbefalede maksimale daglige indtagelse af natrium. </w:t>
      </w:r>
    </w:p>
    <w:p w14:paraId="7B6C00C2" w14:textId="77777777" w:rsidR="00B61F1B" w:rsidRPr="00693334" w:rsidRDefault="00B61F1B" w:rsidP="00B61F1B">
      <w:pPr>
        <w:pStyle w:val="Default"/>
        <w:ind w:left="850"/>
      </w:pPr>
      <w:r w:rsidRPr="00693334">
        <w:t xml:space="preserve">Arixobat anses som havende ”højdosis” natrium. Dette bør især tages i betragtning hos personer, der følger en diæt med lavt natriumindhold. </w:t>
      </w:r>
    </w:p>
    <w:p w14:paraId="7966026B" w14:textId="77777777" w:rsidR="00B61F1B" w:rsidRPr="00693334" w:rsidRDefault="00B61F1B" w:rsidP="00B61F1B">
      <w:pPr>
        <w:tabs>
          <w:tab w:val="left" w:pos="851"/>
        </w:tabs>
        <w:ind w:left="850"/>
        <w:rPr>
          <w:sz w:val="24"/>
          <w:szCs w:val="24"/>
        </w:rPr>
      </w:pPr>
      <w:r w:rsidRPr="00693334">
        <w:rPr>
          <w:sz w:val="24"/>
          <w:szCs w:val="24"/>
        </w:rPr>
        <w:t>Anbefaling om at reducere natriumindtag bør nøje overvejes ved behandling af patienter med hjertesvigt, hypertension eller nedsat nyrefunktion (se pkt. 4.2 og 4.9).</w:t>
      </w:r>
    </w:p>
    <w:p w14:paraId="5E2D4DD2" w14:textId="77777777" w:rsidR="0062292A" w:rsidRPr="00693334" w:rsidRDefault="0062292A" w:rsidP="0062292A">
      <w:pPr>
        <w:tabs>
          <w:tab w:val="left" w:pos="851"/>
        </w:tabs>
        <w:ind w:left="851"/>
        <w:rPr>
          <w:sz w:val="24"/>
          <w:szCs w:val="24"/>
        </w:rPr>
      </w:pPr>
    </w:p>
    <w:p w14:paraId="0B0F59AB" w14:textId="77777777" w:rsidR="0062292A" w:rsidRPr="00693334" w:rsidRDefault="0062292A" w:rsidP="0062292A">
      <w:pPr>
        <w:tabs>
          <w:tab w:val="left" w:pos="851"/>
        </w:tabs>
        <w:ind w:left="851"/>
        <w:rPr>
          <w:sz w:val="24"/>
          <w:szCs w:val="24"/>
        </w:rPr>
      </w:pPr>
      <w:r w:rsidRPr="00693334">
        <w:rPr>
          <w:sz w:val="24"/>
          <w:szCs w:val="24"/>
          <w:u w:val="single"/>
        </w:rPr>
        <w:t>Ældre</w:t>
      </w:r>
    </w:p>
    <w:p w14:paraId="66EFA992" w14:textId="77777777" w:rsidR="0062292A" w:rsidRPr="00693334" w:rsidRDefault="0062292A" w:rsidP="0062292A">
      <w:pPr>
        <w:tabs>
          <w:tab w:val="left" w:pos="851"/>
        </w:tabs>
        <w:ind w:left="851"/>
        <w:rPr>
          <w:sz w:val="24"/>
          <w:szCs w:val="24"/>
        </w:rPr>
      </w:pPr>
      <w:r w:rsidRPr="00693334">
        <w:rPr>
          <w:sz w:val="24"/>
          <w:szCs w:val="24"/>
        </w:rPr>
        <w:t>Der er meget begrænset erfaring med behandling med natriumoxybat hos ældre. Ældre patienter bør derfor monitoreres nøje for hæmmet motorisk og/eller kognitiv funktion under behandling med natriumoxybat.</w:t>
      </w:r>
    </w:p>
    <w:p w14:paraId="13492593" w14:textId="77777777" w:rsidR="0062292A" w:rsidRPr="00693334" w:rsidRDefault="0062292A" w:rsidP="0062292A">
      <w:pPr>
        <w:tabs>
          <w:tab w:val="left" w:pos="851"/>
        </w:tabs>
        <w:ind w:left="851"/>
        <w:rPr>
          <w:sz w:val="24"/>
          <w:szCs w:val="24"/>
        </w:rPr>
      </w:pPr>
    </w:p>
    <w:p w14:paraId="3ED94B29" w14:textId="77777777" w:rsidR="0062292A" w:rsidRPr="00693334" w:rsidRDefault="0062292A" w:rsidP="0062292A">
      <w:pPr>
        <w:tabs>
          <w:tab w:val="left" w:pos="851"/>
        </w:tabs>
        <w:ind w:left="851"/>
        <w:rPr>
          <w:sz w:val="24"/>
          <w:szCs w:val="24"/>
          <w:u w:val="single"/>
        </w:rPr>
      </w:pPr>
    </w:p>
    <w:p w14:paraId="78334294" w14:textId="535A00B0" w:rsidR="0062292A" w:rsidRPr="00693334" w:rsidRDefault="0062292A" w:rsidP="0062292A">
      <w:pPr>
        <w:tabs>
          <w:tab w:val="left" w:pos="851"/>
        </w:tabs>
        <w:ind w:left="851"/>
        <w:rPr>
          <w:sz w:val="24"/>
          <w:szCs w:val="24"/>
        </w:rPr>
      </w:pPr>
      <w:r w:rsidRPr="00693334">
        <w:rPr>
          <w:sz w:val="24"/>
          <w:szCs w:val="24"/>
          <w:u w:val="single"/>
        </w:rPr>
        <w:t>Epilepsipatienter</w:t>
      </w:r>
    </w:p>
    <w:p w14:paraId="618E2139" w14:textId="77777777" w:rsidR="0062292A" w:rsidRPr="00693334" w:rsidRDefault="0062292A" w:rsidP="0062292A">
      <w:pPr>
        <w:tabs>
          <w:tab w:val="left" w:pos="851"/>
        </w:tabs>
        <w:ind w:left="851"/>
        <w:rPr>
          <w:sz w:val="24"/>
          <w:szCs w:val="24"/>
        </w:rPr>
      </w:pPr>
      <w:r w:rsidRPr="00693334">
        <w:rPr>
          <w:sz w:val="24"/>
          <w:szCs w:val="24"/>
        </w:rPr>
        <w:t>Krampeanfald er set hos patienter behandlet med natriumoxybat. Hos patienter med epilepsi, er sikkerhed og virkning af natriumoxybat ikke blevet klarlagt; derfor kan brug heraf ikke anbefales.</w:t>
      </w:r>
    </w:p>
    <w:p w14:paraId="249D727B" w14:textId="77777777" w:rsidR="0062292A" w:rsidRPr="00693334" w:rsidRDefault="0062292A" w:rsidP="0062292A">
      <w:pPr>
        <w:tabs>
          <w:tab w:val="left" w:pos="851"/>
        </w:tabs>
        <w:ind w:left="851"/>
        <w:rPr>
          <w:sz w:val="24"/>
          <w:szCs w:val="24"/>
        </w:rPr>
      </w:pPr>
    </w:p>
    <w:p w14:paraId="473DAC4E" w14:textId="77777777" w:rsidR="0062292A" w:rsidRPr="00693334" w:rsidRDefault="0062292A" w:rsidP="0062292A">
      <w:pPr>
        <w:tabs>
          <w:tab w:val="left" w:pos="851"/>
        </w:tabs>
        <w:ind w:left="851"/>
        <w:rPr>
          <w:sz w:val="24"/>
          <w:szCs w:val="24"/>
        </w:rPr>
      </w:pPr>
      <w:r w:rsidRPr="00693334">
        <w:rPr>
          <w:sz w:val="24"/>
          <w:szCs w:val="24"/>
          <w:u w:val="single"/>
        </w:rPr>
        <w:t>Rebound-effekt og abstinenssymptomer</w:t>
      </w:r>
    </w:p>
    <w:p w14:paraId="2407FB16" w14:textId="77777777" w:rsidR="0062292A" w:rsidRPr="00693334" w:rsidRDefault="0062292A" w:rsidP="0062292A">
      <w:pPr>
        <w:tabs>
          <w:tab w:val="left" w:pos="851"/>
        </w:tabs>
        <w:ind w:left="851"/>
        <w:rPr>
          <w:sz w:val="24"/>
          <w:szCs w:val="24"/>
        </w:rPr>
      </w:pPr>
      <w:r w:rsidRPr="00693334">
        <w:rPr>
          <w:sz w:val="24"/>
          <w:szCs w:val="24"/>
        </w:rPr>
        <w:t>Effekten ved ophør med natriumoxybat har ikke været systematisk evalueret i kontrollerede, kliniske studier. Hos nogle patienter kan katapleksi vende tilbage med øget frekvens ved ophør med natriumoxybatbehandling, men dette kan dog skyldes den naturlige variabilitet af sygdommen. Selv om erfaring fra kliniske studier med natriumoxybat til narkolepsi-/katapleksipatienter i terapeutiske doser ikke udviser klar evidens for abstinenssymptomer, er der i sjældne tilfælde observeret episoder med insomnia, hovedpine, angst, svimmelhed, søvnforstyrrelser, somnolens, hallucinationer og psykotiske lidelser efter ophør med GHB.</w:t>
      </w:r>
    </w:p>
    <w:p w14:paraId="61385128" w14:textId="77777777" w:rsidR="0062292A" w:rsidRPr="00693334" w:rsidRDefault="0062292A" w:rsidP="0062292A">
      <w:pPr>
        <w:tabs>
          <w:tab w:val="left" w:pos="851"/>
        </w:tabs>
        <w:ind w:left="851"/>
        <w:rPr>
          <w:sz w:val="24"/>
          <w:szCs w:val="24"/>
        </w:rPr>
      </w:pPr>
    </w:p>
    <w:p w14:paraId="488E6763" w14:textId="77777777" w:rsidR="0062292A" w:rsidRPr="00693334" w:rsidRDefault="0062292A" w:rsidP="0062292A">
      <w:pPr>
        <w:tabs>
          <w:tab w:val="left" w:pos="851"/>
        </w:tabs>
        <w:ind w:left="851"/>
        <w:rPr>
          <w:sz w:val="24"/>
          <w:szCs w:val="24"/>
          <w:u w:val="single"/>
        </w:rPr>
      </w:pPr>
      <w:r w:rsidRPr="00693334">
        <w:rPr>
          <w:sz w:val="24"/>
          <w:szCs w:val="24"/>
          <w:u w:val="single"/>
        </w:rPr>
        <w:t>Arixobat indeholder natrium.</w:t>
      </w:r>
    </w:p>
    <w:p w14:paraId="1A212479" w14:textId="77777777" w:rsidR="0062292A" w:rsidRPr="00693334" w:rsidRDefault="0062292A" w:rsidP="0062292A">
      <w:pPr>
        <w:tabs>
          <w:tab w:val="left" w:pos="851"/>
        </w:tabs>
        <w:ind w:left="851"/>
        <w:rPr>
          <w:sz w:val="24"/>
          <w:szCs w:val="24"/>
        </w:rPr>
      </w:pPr>
      <w:r w:rsidRPr="00693334">
        <w:rPr>
          <w:sz w:val="24"/>
          <w:szCs w:val="24"/>
        </w:rPr>
        <w:t xml:space="preserve">Dette lægemiddel indeholder 0,41 g natrium pr. 2,25 g dosis svarende til 20 % af den WHO anbefalede </w:t>
      </w:r>
      <w:proofErr w:type="gramStart"/>
      <w:r w:rsidRPr="00693334">
        <w:rPr>
          <w:sz w:val="24"/>
          <w:szCs w:val="24"/>
        </w:rPr>
        <w:t>maximale</w:t>
      </w:r>
      <w:proofErr w:type="gramEnd"/>
      <w:r w:rsidRPr="00693334">
        <w:rPr>
          <w:sz w:val="24"/>
          <w:szCs w:val="24"/>
        </w:rPr>
        <w:t xml:space="preserve"> daglige indtagelse af 2 g natrium for en voksen.</w:t>
      </w:r>
    </w:p>
    <w:p w14:paraId="4F1F96D2" w14:textId="77777777" w:rsidR="009260DE" w:rsidRPr="00693334" w:rsidRDefault="009260DE" w:rsidP="009260DE">
      <w:pPr>
        <w:tabs>
          <w:tab w:val="left" w:pos="851"/>
        </w:tabs>
        <w:ind w:left="851"/>
        <w:rPr>
          <w:sz w:val="24"/>
          <w:szCs w:val="24"/>
        </w:rPr>
      </w:pPr>
    </w:p>
    <w:p w14:paraId="09E9CD49" w14:textId="77777777" w:rsidR="009260DE" w:rsidRPr="00693334" w:rsidRDefault="009260DE" w:rsidP="009260DE">
      <w:pPr>
        <w:tabs>
          <w:tab w:val="left" w:pos="851"/>
        </w:tabs>
        <w:ind w:left="851" w:hanging="851"/>
        <w:rPr>
          <w:b/>
          <w:sz w:val="24"/>
          <w:szCs w:val="24"/>
        </w:rPr>
      </w:pPr>
      <w:r w:rsidRPr="00693334">
        <w:rPr>
          <w:b/>
          <w:sz w:val="24"/>
          <w:szCs w:val="24"/>
        </w:rPr>
        <w:t>4.5</w:t>
      </w:r>
      <w:r w:rsidRPr="00693334">
        <w:rPr>
          <w:b/>
          <w:sz w:val="24"/>
          <w:szCs w:val="24"/>
        </w:rPr>
        <w:tab/>
        <w:t>Interaktion med andre lægemidler og andre former for interaktion</w:t>
      </w:r>
    </w:p>
    <w:p w14:paraId="238B5F8A" w14:textId="1534B6E8" w:rsidR="0062292A" w:rsidRPr="00693334" w:rsidRDefault="0062292A" w:rsidP="0062292A">
      <w:pPr>
        <w:tabs>
          <w:tab w:val="left" w:pos="851"/>
        </w:tabs>
        <w:ind w:left="851"/>
        <w:rPr>
          <w:sz w:val="24"/>
          <w:szCs w:val="24"/>
        </w:rPr>
      </w:pPr>
      <w:r w:rsidRPr="00693334">
        <w:rPr>
          <w:sz w:val="24"/>
          <w:szCs w:val="24"/>
        </w:rPr>
        <w:t>Kombineret brug af alkohol og natriumoxybat kan resultere i forstærkning af natriumoxybats CNS- depressive virkning. Patienter bør advares mod indtagelse af enhver form for alkoholisk drik i forbindelse med natriumoxybat.</w:t>
      </w:r>
    </w:p>
    <w:p w14:paraId="22599695" w14:textId="77777777" w:rsidR="00B61F1B" w:rsidRPr="00693334" w:rsidRDefault="00B61F1B" w:rsidP="0062292A">
      <w:pPr>
        <w:tabs>
          <w:tab w:val="left" w:pos="851"/>
        </w:tabs>
        <w:ind w:left="851"/>
        <w:rPr>
          <w:sz w:val="24"/>
          <w:szCs w:val="24"/>
        </w:rPr>
      </w:pPr>
    </w:p>
    <w:p w14:paraId="1DF25007" w14:textId="392D8349" w:rsidR="0062292A" w:rsidRPr="00693334" w:rsidRDefault="00B61F1B" w:rsidP="0062292A">
      <w:pPr>
        <w:tabs>
          <w:tab w:val="left" w:pos="851"/>
        </w:tabs>
        <w:ind w:left="851"/>
        <w:rPr>
          <w:sz w:val="24"/>
          <w:szCs w:val="24"/>
        </w:rPr>
      </w:pPr>
      <w:r w:rsidRPr="00693334">
        <w:rPr>
          <w:sz w:val="24"/>
          <w:szCs w:val="24"/>
        </w:rPr>
        <w:t xml:space="preserve">Natriumoxybat </w:t>
      </w:r>
      <w:r w:rsidR="0062292A" w:rsidRPr="00693334">
        <w:rPr>
          <w:sz w:val="24"/>
          <w:szCs w:val="24"/>
        </w:rPr>
        <w:t>bør ikke anvendes i kombination med sedative hypnotika eller andre CNS-depressive lægemidler.</w:t>
      </w:r>
    </w:p>
    <w:p w14:paraId="73F4F16F" w14:textId="77777777" w:rsidR="0062292A" w:rsidRPr="00693334" w:rsidRDefault="0062292A" w:rsidP="0062292A">
      <w:pPr>
        <w:tabs>
          <w:tab w:val="left" w:pos="851"/>
        </w:tabs>
        <w:ind w:left="851"/>
        <w:rPr>
          <w:sz w:val="24"/>
          <w:szCs w:val="24"/>
        </w:rPr>
      </w:pPr>
    </w:p>
    <w:p w14:paraId="16DF27D0" w14:textId="77777777" w:rsidR="0062292A" w:rsidRPr="00693334" w:rsidRDefault="0062292A" w:rsidP="0062292A">
      <w:pPr>
        <w:tabs>
          <w:tab w:val="left" w:pos="851"/>
        </w:tabs>
        <w:ind w:left="851"/>
        <w:rPr>
          <w:iCs/>
          <w:sz w:val="24"/>
          <w:szCs w:val="24"/>
          <w:u w:val="single"/>
        </w:rPr>
      </w:pPr>
      <w:r w:rsidRPr="00693334">
        <w:rPr>
          <w:iCs/>
          <w:sz w:val="24"/>
          <w:szCs w:val="24"/>
          <w:u w:val="single"/>
        </w:rPr>
        <w:t>Sedativa og hypnotika</w:t>
      </w:r>
    </w:p>
    <w:p w14:paraId="0A070D0A" w14:textId="77777777" w:rsidR="0062292A" w:rsidRPr="00693334" w:rsidRDefault="0062292A" w:rsidP="0062292A">
      <w:pPr>
        <w:tabs>
          <w:tab w:val="left" w:pos="851"/>
        </w:tabs>
        <w:ind w:left="851"/>
        <w:rPr>
          <w:sz w:val="24"/>
          <w:szCs w:val="24"/>
        </w:rPr>
      </w:pPr>
      <w:r w:rsidRPr="00693334">
        <w:rPr>
          <w:sz w:val="24"/>
          <w:szCs w:val="24"/>
        </w:rPr>
        <w:t>Lægemiddelinteraktionsstudier hos raske voksne med natriumoxybat (enkelt dosis på 2,25 g) og lorazepam (enkelt dosis på 2 mg) og zolpidemtartrat (enkelt dosis på 5 mg) viste ingen farmakokinetiske interaktioner. Øget søvnighed blev observeret efter samtidig administration af natriumoxybat (2,25 g) og lorazepam (2 mg). Farmakodynamisk interaktion med zolpidem er ikke blevet vurderet. Når højere doser på op til 9 g/dag natriumoxybat kombineres med højere doser hypnotikum (inden for det anbefalede dosisinterval) kan farmakodynamiske interaktioner med symptomer på CNS-depression og/eller respirationsdepression ikke udelukkes (se pkt. 4.3).</w:t>
      </w:r>
    </w:p>
    <w:p w14:paraId="4B8BEE22" w14:textId="77777777" w:rsidR="0062292A" w:rsidRPr="00693334" w:rsidRDefault="0062292A" w:rsidP="0062292A">
      <w:pPr>
        <w:tabs>
          <w:tab w:val="left" w:pos="851"/>
        </w:tabs>
        <w:ind w:left="851"/>
        <w:rPr>
          <w:sz w:val="24"/>
          <w:szCs w:val="24"/>
        </w:rPr>
      </w:pPr>
    </w:p>
    <w:p w14:paraId="523B5C5A" w14:textId="77777777" w:rsidR="0062292A" w:rsidRPr="00693334" w:rsidRDefault="0062292A" w:rsidP="0062292A">
      <w:pPr>
        <w:tabs>
          <w:tab w:val="left" w:pos="851"/>
        </w:tabs>
        <w:ind w:left="851"/>
        <w:rPr>
          <w:iCs/>
          <w:sz w:val="24"/>
          <w:szCs w:val="24"/>
          <w:u w:val="single"/>
        </w:rPr>
      </w:pPr>
      <w:r w:rsidRPr="00693334">
        <w:rPr>
          <w:iCs/>
          <w:sz w:val="24"/>
          <w:szCs w:val="24"/>
          <w:u w:val="single"/>
        </w:rPr>
        <w:t>Tramadol</w:t>
      </w:r>
    </w:p>
    <w:p w14:paraId="4A52C5E8" w14:textId="77777777" w:rsidR="0062292A" w:rsidRPr="00693334" w:rsidRDefault="0062292A" w:rsidP="0062292A">
      <w:pPr>
        <w:tabs>
          <w:tab w:val="left" w:pos="851"/>
        </w:tabs>
        <w:ind w:left="851"/>
        <w:rPr>
          <w:sz w:val="24"/>
          <w:szCs w:val="24"/>
        </w:rPr>
      </w:pPr>
      <w:r w:rsidRPr="00693334">
        <w:rPr>
          <w:sz w:val="24"/>
          <w:szCs w:val="24"/>
        </w:rPr>
        <w:t>Et interaktionsstudie hos raske voksne med natriumoxybat (enkelt dosis på 2,25 g) og tramadol (enkelt dosis på 100 mg) viste ingen farmakokinetisk/farmakodynamisk interaktion. Når højere doser på op til 9 g/dag natriumoxybat kombineres med højere doser opioider (inden for det anbefalede dosisinterval) kan farmakodynamiske interaktioner med symptomer på CNS-depression og/eller respirationsdepression ikke udelukkes (se pkt. 4.3).</w:t>
      </w:r>
    </w:p>
    <w:p w14:paraId="647F2D9F" w14:textId="77777777" w:rsidR="0062292A" w:rsidRPr="00693334" w:rsidRDefault="0062292A" w:rsidP="0062292A">
      <w:pPr>
        <w:tabs>
          <w:tab w:val="left" w:pos="851"/>
        </w:tabs>
        <w:ind w:left="851"/>
        <w:rPr>
          <w:sz w:val="24"/>
          <w:szCs w:val="24"/>
        </w:rPr>
      </w:pPr>
    </w:p>
    <w:p w14:paraId="7E060C84" w14:textId="77777777" w:rsidR="0062292A" w:rsidRPr="00693334" w:rsidRDefault="0062292A" w:rsidP="0062292A">
      <w:pPr>
        <w:tabs>
          <w:tab w:val="left" w:pos="851"/>
        </w:tabs>
        <w:ind w:left="851"/>
        <w:rPr>
          <w:iCs/>
          <w:sz w:val="24"/>
          <w:szCs w:val="24"/>
        </w:rPr>
      </w:pPr>
      <w:r w:rsidRPr="00693334">
        <w:rPr>
          <w:iCs/>
          <w:sz w:val="24"/>
          <w:szCs w:val="24"/>
        </w:rPr>
        <w:t>Antidepressiva</w:t>
      </w:r>
    </w:p>
    <w:p w14:paraId="491B2966" w14:textId="77777777" w:rsidR="0062292A" w:rsidRPr="00693334" w:rsidRDefault="0062292A" w:rsidP="0062292A">
      <w:pPr>
        <w:tabs>
          <w:tab w:val="left" w:pos="851"/>
        </w:tabs>
        <w:ind w:left="851"/>
        <w:rPr>
          <w:sz w:val="24"/>
          <w:szCs w:val="24"/>
        </w:rPr>
      </w:pPr>
      <w:r w:rsidRPr="00693334">
        <w:rPr>
          <w:sz w:val="24"/>
          <w:szCs w:val="24"/>
        </w:rPr>
        <w:t xml:space="preserve">Lægemiddelinteraktionsstudier hos raske voksne viste ingen farmakokinetiske interaktioner mellem natriumoxybat (enkelt dosis på 2,25 g) og de 2 antidepressiva protriptylinhydrochlorid (enkelt dosis på 10 mg) og duloxetin (60 mg ved steady state). Der sås ingen additiv effekt på søvnighed, når man sammenlignede enkeltdoser af natriumoxybat alene (2,25 g) og natriumoxybat (2,25 g) i kombination med duloxetin (60 mg ved steady state). Antidepressiva har været anvendt til behandling af katapleksi. En mulig </w:t>
      </w:r>
      <w:proofErr w:type="gramStart"/>
      <w:r w:rsidRPr="00693334">
        <w:rPr>
          <w:sz w:val="24"/>
          <w:szCs w:val="24"/>
        </w:rPr>
        <w:t>additiv effekt</w:t>
      </w:r>
      <w:proofErr w:type="gramEnd"/>
      <w:r w:rsidRPr="00693334">
        <w:rPr>
          <w:sz w:val="24"/>
          <w:szCs w:val="24"/>
        </w:rPr>
        <w:t xml:space="preserve"> af antidepressiva og natriumoxybat kan ikke udelukkes. Bivirkningsfrekvensen øges, når natriumoxybat administreres sammen med tricykliske antidepressiva.</w:t>
      </w:r>
    </w:p>
    <w:p w14:paraId="32101B3A" w14:textId="77777777" w:rsidR="0062292A" w:rsidRPr="00693334" w:rsidRDefault="0062292A" w:rsidP="0062292A">
      <w:pPr>
        <w:tabs>
          <w:tab w:val="left" w:pos="851"/>
        </w:tabs>
        <w:ind w:left="851"/>
        <w:rPr>
          <w:sz w:val="24"/>
          <w:szCs w:val="24"/>
        </w:rPr>
      </w:pPr>
    </w:p>
    <w:p w14:paraId="2EF14C80" w14:textId="77777777" w:rsidR="0062292A" w:rsidRPr="00693334" w:rsidRDefault="0062292A" w:rsidP="0062292A">
      <w:pPr>
        <w:tabs>
          <w:tab w:val="left" w:pos="851"/>
        </w:tabs>
        <w:ind w:left="851"/>
        <w:rPr>
          <w:iCs/>
          <w:sz w:val="24"/>
          <w:szCs w:val="24"/>
          <w:u w:val="single"/>
        </w:rPr>
      </w:pPr>
      <w:r w:rsidRPr="00693334">
        <w:rPr>
          <w:iCs/>
          <w:sz w:val="24"/>
          <w:szCs w:val="24"/>
          <w:u w:val="single"/>
        </w:rPr>
        <w:t>Modafinil</w:t>
      </w:r>
    </w:p>
    <w:p w14:paraId="7A108876" w14:textId="177B7871" w:rsidR="0062292A" w:rsidRPr="00693334" w:rsidRDefault="0062292A" w:rsidP="0062292A">
      <w:pPr>
        <w:tabs>
          <w:tab w:val="left" w:pos="851"/>
        </w:tabs>
        <w:ind w:left="851"/>
        <w:rPr>
          <w:sz w:val="24"/>
          <w:szCs w:val="24"/>
        </w:rPr>
      </w:pPr>
      <w:r w:rsidRPr="00693334">
        <w:rPr>
          <w:sz w:val="24"/>
          <w:szCs w:val="24"/>
        </w:rPr>
        <w:t xml:space="preserve">Et lægemiddelinteraktionsstudie hos raske voksne viste ingen farmakokinetisk interaktion mellem natriumoxybat (enkelt dosis på 4,5 g) og modafinil (enkelt dosis på 200 mg). </w:t>
      </w:r>
      <w:r w:rsidR="00B61F1B" w:rsidRPr="00693334">
        <w:rPr>
          <w:sz w:val="24"/>
          <w:szCs w:val="24"/>
        </w:rPr>
        <w:t xml:space="preserve">Natriumoxybat </w:t>
      </w:r>
      <w:r w:rsidRPr="00693334">
        <w:rPr>
          <w:sz w:val="24"/>
          <w:szCs w:val="24"/>
        </w:rPr>
        <w:t>har været administreret sammen med CNS-stimulerende lægemidler hos ca. 80 % af patienterne i kliniske studier med narkolepsi. Hvorvidt dette påvirkede respirationen om natten, er ikke kendt.</w:t>
      </w:r>
    </w:p>
    <w:p w14:paraId="67501F62" w14:textId="77777777" w:rsidR="0062292A" w:rsidRPr="00693334" w:rsidRDefault="0062292A" w:rsidP="0062292A">
      <w:pPr>
        <w:tabs>
          <w:tab w:val="left" w:pos="851"/>
        </w:tabs>
        <w:ind w:left="851"/>
        <w:rPr>
          <w:sz w:val="24"/>
          <w:szCs w:val="24"/>
        </w:rPr>
      </w:pPr>
    </w:p>
    <w:p w14:paraId="07D0F102" w14:textId="77777777" w:rsidR="0062292A" w:rsidRPr="00693334" w:rsidRDefault="0062292A" w:rsidP="0062292A">
      <w:pPr>
        <w:tabs>
          <w:tab w:val="left" w:pos="851"/>
        </w:tabs>
        <w:ind w:left="851"/>
        <w:rPr>
          <w:iCs/>
          <w:sz w:val="24"/>
          <w:szCs w:val="24"/>
          <w:u w:val="single"/>
        </w:rPr>
      </w:pPr>
      <w:r w:rsidRPr="00693334">
        <w:rPr>
          <w:iCs/>
          <w:sz w:val="24"/>
          <w:szCs w:val="24"/>
          <w:u w:val="single"/>
        </w:rPr>
        <w:t>Omeprazol</w:t>
      </w:r>
    </w:p>
    <w:p w14:paraId="75BA9D9C" w14:textId="77777777" w:rsidR="0062292A" w:rsidRPr="00693334" w:rsidRDefault="0062292A" w:rsidP="0062292A">
      <w:pPr>
        <w:tabs>
          <w:tab w:val="left" w:pos="851"/>
        </w:tabs>
        <w:ind w:left="851"/>
        <w:rPr>
          <w:sz w:val="24"/>
          <w:szCs w:val="24"/>
        </w:rPr>
      </w:pPr>
      <w:r w:rsidRPr="00693334">
        <w:rPr>
          <w:sz w:val="24"/>
          <w:szCs w:val="24"/>
        </w:rPr>
        <w:t>Samtidig administration af omeprazol har ingen klinisk signifikant effekt på natriumoxybats farmakokinetik. Dosis af natriumoxybat kræver derfor ingen justering, når det gives sammen med proton-pumpe-hæmmere.</w:t>
      </w:r>
    </w:p>
    <w:p w14:paraId="133D593E" w14:textId="77777777" w:rsidR="0062292A" w:rsidRPr="00693334" w:rsidRDefault="0062292A" w:rsidP="0062292A">
      <w:pPr>
        <w:tabs>
          <w:tab w:val="left" w:pos="851"/>
        </w:tabs>
        <w:ind w:left="851"/>
        <w:rPr>
          <w:sz w:val="24"/>
          <w:szCs w:val="24"/>
        </w:rPr>
      </w:pPr>
    </w:p>
    <w:p w14:paraId="339564D5" w14:textId="77777777" w:rsidR="0062292A" w:rsidRPr="00693334" w:rsidRDefault="0062292A" w:rsidP="0062292A">
      <w:pPr>
        <w:tabs>
          <w:tab w:val="left" w:pos="851"/>
        </w:tabs>
        <w:ind w:left="851"/>
        <w:rPr>
          <w:iCs/>
          <w:sz w:val="24"/>
          <w:szCs w:val="24"/>
          <w:u w:val="single"/>
        </w:rPr>
      </w:pPr>
      <w:r w:rsidRPr="00693334">
        <w:rPr>
          <w:iCs/>
          <w:sz w:val="24"/>
          <w:szCs w:val="24"/>
          <w:u w:val="single"/>
        </w:rPr>
        <w:t>Ibuprofen</w:t>
      </w:r>
    </w:p>
    <w:p w14:paraId="054A19E5" w14:textId="77777777" w:rsidR="0062292A" w:rsidRPr="00693334" w:rsidRDefault="0062292A" w:rsidP="0062292A">
      <w:pPr>
        <w:tabs>
          <w:tab w:val="left" w:pos="851"/>
        </w:tabs>
        <w:ind w:left="851"/>
        <w:rPr>
          <w:sz w:val="24"/>
          <w:szCs w:val="24"/>
        </w:rPr>
      </w:pPr>
      <w:r w:rsidRPr="00693334">
        <w:rPr>
          <w:sz w:val="24"/>
          <w:szCs w:val="24"/>
        </w:rPr>
        <w:t>Lægemiddelinteraktionsstudier hos raske voksne viste ingen farmakokinetiske interaktioner mellem natriumoxybat og ibuprofen.</w:t>
      </w:r>
    </w:p>
    <w:p w14:paraId="06D029DB" w14:textId="77777777" w:rsidR="0062292A" w:rsidRPr="00693334" w:rsidRDefault="0062292A" w:rsidP="0062292A">
      <w:pPr>
        <w:tabs>
          <w:tab w:val="left" w:pos="851"/>
        </w:tabs>
        <w:ind w:left="851"/>
        <w:rPr>
          <w:sz w:val="24"/>
          <w:szCs w:val="24"/>
        </w:rPr>
      </w:pPr>
    </w:p>
    <w:p w14:paraId="7AE26ADB" w14:textId="77777777" w:rsidR="0062292A" w:rsidRPr="00693334" w:rsidRDefault="0062292A" w:rsidP="0062292A">
      <w:pPr>
        <w:tabs>
          <w:tab w:val="left" w:pos="851"/>
        </w:tabs>
        <w:ind w:left="851"/>
        <w:rPr>
          <w:iCs/>
          <w:sz w:val="24"/>
          <w:szCs w:val="24"/>
          <w:u w:val="single"/>
        </w:rPr>
      </w:pPr>
      <w:r w:rsidRPr="00693334">
        <w:rPr>
          <w:iCs/>
          <w:sz w:val="24"/>
          <w:szCs w:val="24"/>
          <w:u w:val="single"/>
        </w:rPr>
        <w:t>Diclofenac</w:t>
      </w:r>
    </w:p>
    <w:p w14:paraId="5B2A4B84" w14:textId="6282F995" w:rsidR="0062292A" w:rsidRPr="00693334" w:rsidRDefault="0062292A" w:rsidP="0062292A">
      <w:pPr>
        <w:tabs>
          <w:tab w:val="left" w:pos="851"/>
        </w:tabs>
        <w:ind w:left="851"/>
        <w:rPr>
          <w:sz w:val="24"/>
          <w:szCs w:val="24"/>
        </w:rPr>
      </w:pPr>
      <w:r w:rsidRPr="00693334">
        <w:rPr>
          <w:sz w:val="24"/>
          <w:szCs w:val="24"/>
        </w:rPr>
        <w:t xml:space="preserve">Lægemiddelinteraktionsstudier hos raske voksne viste ingen farmakokinetiske interaktioner mellem natriumoxybat og diclofenac. Samtidig administration af natriumoxybat og diclofenac hos raske frivillige reducerede den nedsatte opmærksomhed forårsaget af administration af </w:t>
      </w:r>
      <w:r w:rsidR="00B61F1B" w:rsidRPr="00693334">
        <w:rPr>
          <w:sz w:val="24"/>
          <w:szCs w:val="24"/>
        </w:rPr>
        <w:t xml:space="preserve">Natriumoxybat </w:t>
      </w:r>
      <w:r w:rsidRPr="00693334">
        <w:rPr>
          <w:sz w:val="24"/>
          <w:szCs w:val="24"/>
        </w:rPr>
        <w:t>alene målt ved psykometriske tests.</w:t>
      </w:r>
    </w:p>
    <w:p w14:paraId="009FFFD1" w14:textId="77777777" w:rsidR="0062292A" w:rsidRPr="00693334" w:rsidRDefault="0062292A" w:rsidP="0062292A">
      <w:pPr>
        <w:tabs>
          <w:tab w:val="left" w:pos="851"/>
        </w:tabs>
        <w:ind w:left="851"/>
        <w:rPr>
          <w:sz w:val="24"/>
          <w:szCs w:val="24"/>
        </w:rPr>
      </w:pPr>
    </w:p>
    <w:p w14:paraId="1525A7E1" w14:textId="77777777" w:rsidR="0062292A" w:rsidRPr="00693334" w:rsidRDefault="0062292A" w:rsidP="0062292A">
      <w:pPr>
        <w:tabs>
          <w:tab w:val="left" w:pos="851"/>
        </w:tabs>
        <w:ind w:left="851"/>
        <w:rPr>
          <w:iCs/>
          <w:sz w:val="24"/>
          <w:szCs w:val="24"/>
          <w:u w:val="single"/>
        </w:rPr>
      </w:pPr>
      <w:r w:rsidRPr="00693334">
        <w:rPr>
          <w:iCs/>
          <w:sz w:val="24"/>
          <w:szCs w:val="24"/>
          <w:u w:val="single"/>
        </w:rPr>
        <w:lastRenderedPageBreak/>
        <w:t>GHB-dehydrogenase-hæmmere</w:t>
      </w:r>
    </w:p>
    <w:p w14:paraId="60A629FF" w14:textId="77777777" w:rsidR="0062292A" w:rsidRPr="00693334" w:rsidRDefault="0062292A" w:rsidP="0062292A">
      <w:pPr>
        <w:tabs>
          <w:tab w:val="left" w:pos="851"/>
        </w:tabs>
        <w:ind w:left="851"/>
        <w:rPr>
          <w:sz w:val="24"/>
          <w:szCs w:val="24"/>
        </w:rPr>
      </w:pPr>
      <w:r w:rsidRPr="00693334">
        <w:rPr>
          <w:sz w:val="24"/>
          <w:szCs w:val="24"/>
        </w:rPr>
        <w:t>Da natriumoxybat metaboliseres af GHB-dehydrogenase, er der en potentiel risiko for interaktion med lægemidler, som stimulerer eller hæmmer dette enzym (f.eks. valproat, phenytoin og ethosuximid) (se pkt. 4.4).</w:t>
      </w:r>
    </w:p>
    <w:p w14:paraId="61A5F703" w14:textId="77777777" w:rsidR="0062292A" w:rsidRPr="00693334" w:rsidRDefault="0062292A" w:rsidP="0062292A">
      <w:pPr>
        <w:tabs>
          <w:tab w:val="left" w:pos="851"/>
        </w:tabs>
        <w:ind w:left="851"/>
        <w:rPr>
          <w:sz w:val="24"/>
          <w:szCs w:val="24"/>
        </w:rPr>
      </w:pPr>
    </w:p>
    <w:p w14:paraId="3702084E" w14:textId="0FC84E1A" w:rsidR="0062292A" w:rsidRPr="00693334" w:rsidRDefault="0062292A" w:rsidP="0062292A">
      <w:pPr>
        <w:tabs>
          <w:tab w:val="left" w:pos="851"/>
        </w:tabs>
        <w:ind w:left="851"/>
        <w:rPr>
          <w:sz w:val="24"/>
          <w:szCs w:val="24"/>
        </w:rPr>
      </w:pPr>
      <w:r w:rsidRPr="00693334">
        <w:rPr>
          <w:sz w:val="24"/>
          <w:szCs w:val="24"/>
        </w:rPr>
        <w:t>Samtidig administration af natriumoxybat (6 g pr. dag) med valproat (1.250 mg pr. dag) resulterede i en stigning i den systemiske eksponering for natriumoxybat med ca. 25 % og ingen signifikant ændring i C</w:t>
      </w:r>
      <w:r w:rsidRPr="00693334">
        <w:rPr>
          <w:sz w:val="24"/>
          <w:szCs w:val="24"/>
          <w:vertAlign w:val="subscript"/>
        </w:rPr>
        <w:t>max</w:t>
      </w:r>
      <w:r w:rsidRPr="00693334">
        <w:rPr>
          <w:sz w:val="24"/>
          <w:szCs w:val="24"/>
        </w:rPr>
        <w:t>. Der blev ikke observeret påvirkning af valproats farmakokinetik. De farmakodynamiske virkninger, herunder øget forringelse af den kognitive funktion og søvnighed, var større ved samtidig administration end ved administration af stofferne alene. Hvis der er behov for samtidig administration, bør patientrespons og tolerabilitet monitoreres og dosis om nødvendigt justeres.</w:t>
      </w:r>
    </w:p>
    <w:p w14:paraId="6405667C" w14:textId="77777777" w:rsidR="0062292A" w:rsidRPr="00693334" w:rsidRDefault="0062292A" w:rsidP="0062292A">
      <w:pPr>
        <w:tabs>
          <w:tab w:val="left" w:pos="851"/>
        </w:tabs>
        <w:ind w:left="851"/>
        <w:rPr>
          <w:sz w:val="24"/>
          <w:szCs w:val="24"/>
        </w:rPr>
      </w:pPr>
    </w:p>
    <w:p w14:paraId="3E398E32" w14:textId="77777777" w:rsidR="0062292A" w:rsidRPr="00693334" w:rsidRDefault="0062292A" w:rsidP="0062292A">
      <w:pPr>
        <w:tabs>
          <w:tab w:val="left" w:pos="851"/>
        </w:tabs>
        <w:ind w:left="851"/>
        <w:rPr>
          <w:iCs/>
          <w:sz w:val="24"/>
          <w:szCs w:val="24"/>
          <w:u w:val="single"/>
        </w:rPr>
      </w:pPr>
      <w:r w:rsidRPr="00693334">
        <w:rPr>
          <w:iCs/>
          <w:sz w:val="24"/>
          <w:szCs w:val="24"/>
          <w:u w:val="single"/>
        </w:rPr>
        <w:t>Topiramat</w:t>
      </w:r>
    </w:p>
    <w:p w14:paraId="4110E443" w14:textId="77777777" w:rsidR="0062292A" w:rsidRPr="00693334" w:rsidRDefault="0062292A" w:rsidP="0062292A">
      <w:pPr>
        <w:tabs>
          <w:tab w:val="left" w:pos="851"/>
        </w:tabs>
        <w:ind w:left="851"/>
        <w:rPr>
          <w:sz w:val="24"/>
          <w:szCs w:val="24"/>
        </w:rPr>
      </w:pPr>
      <w:r w:rsidRPr="00693334">
        <w:rPr>
          <w:sz w:val="24"/>
          <w:szCs w:val="24"/>
        </w:rPr>
        <w:t>Da der har været klinisk(e) observation(er) af koma og forhøjet GBH-plasmakoncentration hos patienter efter samtidig administration af natriumoxybat og topiramat, kan mulige farmakodynamiske og farmakokinetiske interaktioner ikke udelukkes ved samtidig administration af natriumoxybat og topiramat (se pkt. 4.4).</w:t>
      </w:r>
    </w:p>
    <w:p w14:paraId="4011BED9" w14:textId="77777777" w:rsidR="0062292A" w:rsidRPr="00693334" w:rsidRDefault="0062292A" w:rsidP="0062292A">
      <w:pPr>
        <w:tabs>
          <w:tab w:val="left" w:pos="851"/>
        </w:tabs>
        <w:ind w:left="851"/>
        <w:rPr>
          <w:sz w:val="24"/>
          <w:szCs w:val="24"/>
        </w:rPr>
      </w:pPr>
    </w:p>
    <w:p w14:paraId="4C3C9BF0" w14:textId="068D5981" w:rsidR="00976E94" w:rsidRPr="00693334" w:rsidRDefault="0062292A" w:rsidP="00B61F1B">
      <w:pPr>
        <w:tabs>
          <w:tab w:val="left" w:pos="851"/>
        </w:tabs>
        <w:ind w:left="851"/>
        <w:rPr>
          <w:sz w:val="24"/>
          <w:szCs w:val="24"/>
        </w:rPr>
      </w:pPr>
      <w:r w:rsidRPr="00693334">
        <w:rPr>
          <w:i/>
          <w:sz w:val="24"/>
          <w:szCs w:val="24"/>
        </w:rPr>
        <w:t>In vitro-</w:t>
      </w:r>
      <w:r w:rsidRPr="00693334">
        <w:rPr>
          <w:sz w:val="24"/>
          <w:szCs w:val="24"/>
        </w:rPr>
        <w:t>studier med poolede, humane levermikrosomer indikerer, at natriumoxybat ikke signifikant hæmmer aktiviteten af de humane isoenzymer (se pkt. 5.2).</w:t>
      </w:r>
    </w:p>
    <w:p w14:paraId="5A67DBBB" w14:textId="77777777" w:rsidR="009260DE" w:rsidRPr="00693334" w:rsidRDefault="009260DE" w:rsidP="009260DE">
      <w:pPr>
        <w:tabs>
          <w:tab w:val="left" w:pos="851"/>
        </w:tabs>
        <w:ind w:left="851"/>
        <w:rPr>
          <w:sz w:val="24"/>
          <w:szCs w:val="24"/>
        </w:rPr>
      </w:pPr>
    </w:p>
    <w:p w14:paraId="4C372C8A" w14:textId="41A3F067" w:rsidR="009260DE" w:rsidRPr="00693334" w:rsidRDefault="009260DE" w:rsidP="009260DE">
      <w:pPr>
        <w:tabs>
          <w:tab w:val="left" w:pos="851"/>
        </w:tabs>
        <w:ind w:left="851" w:hanging="851"/>
        <w:rPr>
          <w:b/>
          <w:sz w:val="24"/>
          <w:szCs w:val="24"/>
        </w:rPr>
      </w:pPr>
      <w:r w:rsidRPr="00693334">
        <w:rPr>
          <w:b/>
          <w:sz w:val="24"/>
          <w:szCs w:val="24"/>
        </w:rPr>
        <w:t>4.6</w:t>
      </w:r>
      <w:r w:rsidRPr="00693334">
        <w:rPr>
          <w:b/>
          <w:sz w:val="24"/>
          <w:szCs w:val="24"/>
        </w:rPr>
        <w:tab/>
      </w:r>
      <w:r w:rsidR="0062292A" w:rsidRPr="00693334">
        <w:rPr>
          <w:b/>
          <w:sz w:val="24"/>
          <w:szCs w:val="24"/>
        </w:rPr>
        <w:t>Fertilitet, g</w:t>
      </w:r>
      <w:r w:rsidRPr="00693334">
        <w:rPr>
          <w:b/>
          <w:sz w:val="24"/>
          <w:szCs w:val="24"/>
        </w:rPr>
        <w:t>raviditet og amning</w:t>
      </w:r>
    </w:p>
    <w:p w14:paraId="23A891A1" w14:textId="77777777" w:rsidR="004E3554" w:rsidRPr="00693334" w:rsidRDefault="004E3554" w:rsidP="00A37293">
      <w:pPr>
        <w:tabs>
          <w:tab w:val="left" w:pos="851"/>
        </w:tabs>
        <w:ind w:left="851"/>
        <w:rPr>
          <w:sz w:val="24"/>
          <w:szCs w:val="24"/>
          <w:u w:val="single"/>
        </w:rPr>
      </w:pPr>
    </w:p>
    <w:p w14:paraId="755F82E5" w14:textId="77777777" w:rsidR="0062292A" w:rsidRPr="00693334" w:rsidRDefault="0062292A" w:rsidP="0062292A">
      <w:pPr>
        <w:tabs>
          <w:tab w:val="left" w:pos="851"/>
        </w:tabs>
        <w:ind w:left="851"/>
        <w:rPr>
          <w:sz w:val="24"/>
          <w:szCs w:val="24"/>
          <w:u w:val="single"/>
        </w:rPr>
      </w:pPr>
      <w:r w:rsidRPr="00693334">
        <w:rPr>
          <w:sz w:val="24"/>
          <w:szCs w:val="24"/>
          <w:u w:val="single"/>
        </w:rPr>
        <w:t>Graviditet</w:t>
      </w:r>
    </w:p>
    <w:p w14:paraId="6C2D742A" w14:textId="2DF3AB7D" w:rsidR="0062292A" w:rsidRPr="00693334" w:rsidRDefault="0062292A" w:rsidP="0062292A">
      <w:pPr>
        <w:tabs>
          <w:tab w:val="left" w:pos="851"/>
        </w:tabs>
        <w:ind w:left="851"/>
        <w:rPr>
          <w:sz w:val="24"/>
          <w:szCs w:val="24"/>
        </w:rPr>
      </w:pPr>
      <w:r w:rsidRPr="00693334">
        <w:rPr>
          <w:sz w:val="24"/>
          <w:szCs w:val="24"/>
        </w:rPr>
        <w:t>Dyrestudier har ikke påvist teratogenicitet, men embryonaldød er set i studier med både rotter og kaniner (se pkt. 5.3).</w:t>
      </w:r>
    </w:p>
    <w:p w14:paraId="7806991F" w14:textId="77777777" w:rsidR="00B61F1B" w:rsidRPr="00693334" w:rsidRDefault="00B61F1B" w:rsidP="0062292A">
      <w:pPr>
        <w:tabs>
          <w:tab w:val="left" w:pos="851"/>
        </w:tabs>
        <w:ind w:left="851"/>
        <w:rPr>
          <w:sz w:val="24"/>
          <w:szCs w:val="24"/>
        </w:rPr>
      </w:pPr>
    </w:p>
    <w:p w14:paraId="559A3603" w14:textId="4560D19A" w:rsidR="0062292A" w:rsidRPr="00693334" w:rsidRDefault="0062292A" w:rsidP="0062292A">
      <w:pPr>
        <w:tabs>
          <w:tab w:val="left" w:pos="851"/>
        </w:tabs>
        <w:ind w:left="851"/>
        <w:rPr>
          <w:sz w:val="24"/>
          <w:szCs w:val="24"/>
        </w:rPr>
      </w:pPr>
      <w:r w:rsidRPr="00693334">
        <w:rPr>
          <w:sz w:val="24"/>
          <w:szCs w:val="24"/>
        </w:rPr>
        <w:t>Data fra anvendelse af natriumoxybat hos et begrænset antal gravide kvinder, som blev eksponeret i 1. trimester, tyder på en mulig øget risiko for spontan abort. Der er ikke andre relevante epidemiologiske data tilgængelige. Begrænsede data fra anvendelse af natriumoxybat hos gravide kvinder i 2. og 3. trimester indikerer ingen misdannelser eller føtal/neonatal toksicitet af natriumoxybat.</w:t>
      </w:r>
    </w:p>
    <w:p w14:paraId="2E55D5B1" w14:textId="77777777" w:rsidR="00B61F1B" w:rsidRPr="00693334" w:rsidRDefault="00B61F1B" w:rsidP="0062292A">
      <w:pPr>
        <w:tabs>
          <w:tab w:val="left" w:pos="851"/>
        </w:tabs>
        <w:ind w:left="851"/>
        <w:rPr>
          <w:sz w:val="24"/>
          <w:szCs w:val="24"/>
        </w:rPr>
      </w:pPr>
    </w:p>
    <w:p w14:paraId="4686ACDC" w14:textId="793019F5" w:rsidR="0062292A" w:rsidRPr="00693334" w:rsidRDefault="00B61F1B" w:rsidP="0062292A">
      <w:pPr>
        <w:tabs>
          <w:tab w:val="left" w:pos="851"/>
        </w:tabs>
        <w:ind w:left="851"/>
        <w:rPr>
          <w:sz w:val="24"/>
          <w:szCs w:val="24"/>
        </w:rPr>
      </w:pPr>
      <w:r w:rsidRPr="00693334">
        <w:rPr>
          <w:sz w:val="24"/>
          <w:szCs w:val="24"/>
        </w:rPr>
        <w:t xml:space="preserve">Natriumoxybat </w:t>
      </w:r>
      <w:r w:rsidR="0062292A" w:rsidRPr="00693334">
        <w:rPr>
          <w:sz w:val="24"/>
          <w:szCs w:val="24"/>
        </w:rPr>
        <w:t xml:space="preserve">bør ikke anvendes under graviditet. </w:t>
      </w:r>
    </w:p>
    <w:p w14:paraId="37A25016" w14:textId="77777777" w:rsidR="0062292A" w:rsidRPr="00693334" w:rsidRDefault="0062292A" w:rsidP="0062292A">
      <w:pPr>
        <w:tabs>
          <w:tab w:val="left" w:pos="851"/>
        </w:tabs>
        <w:ind w:left="851"/>
        <w:rPr>
          <w:sz w:val="24"/>
          <w:szCs w:val="24"/>
          <w:u w:val="single"/>
        </w:rPr>
      </w:pPr>
    </w:p>
    <w:p w14:paraId="68E71F80" w14:textId="77777777" w:rsidR="0062292A" w:rsidRPr="00693334" w:rsidRDefault="0062292A" w:rsidP="0062292A">
      <w:pPr>
        <w:tabs>
          <w:tab w:val="left" w:pos="851"/>
        </w:tabs>
        <w:ind w:left="851"/>
        <w:rPr>
          <w:sz w:val="24"/>
          <w:szCs w:val="24"/>
          <w:u w:val="single"/>
        </w:rPr>
      </w:pPr>
      <w:r w:rsidRPr="00693334">
        <w:rPr>
          <w:sz w:val="24"/>
          <w:szCs w:val="24"/>
          <w:u w:val="single"/>
        </w:rPr>
        <w:t>Amning</w:t>
      </w:r>
    </w:p>
    <w:p w14:paraId="05B06498" w14:textId="2F6E0FBA" w:rsidR="0062292A" w:rsidRPr="00693334" w:rsidRDefault="00B61F1B" w:rsidP="0062292A">
      <w:pPr>
        <w:tabs>
          <w:tab w:val="left" w:pos="851"/>
        </w:tabs>
        <w:ind w:left="851"/>
        <w:rPr>
          <w:sz w:val="24"/>
          <w:szCs w:val="24"/>
        </w:rPr>
      </w:pPr>
      <w:r w:rsidRPr="00693334">
        <w:rPr>
          <w:sz w:val="24"/>
          <w:szCs w:val="24"/>
        </w:rPr>
        <w:t xml:space="preserve">Natriumoxybat </w:t>
      </w:r>
      <w:r w:rsidR="0062292A" w:rsidRPr="00693334">
        <w:rPr>
          <w:sz w:val="24"/>
          <w:szCs w:val="24"/>
        </w:rPr>
        <w:t>og/eller dets metabolitter udskilles i human mælk. Ændringer i søvnmønster er</w:t>
      </w:r>
    </w:p>
    <w:p w14:paraId="5B0FCEB1" w14:textId="52E2AF96" w:rsidR="0062292A" w:rsidRPr="00693334" w:rsidRDefault="0062292A" w:rsidP="0062292A">
      <w:pPr>
        <w:tabs>
          <w:tab w:val="left" w:pos="851"/>
        </w:tabs>
        <w:ind w:left="851"/>
        <w:rPr>
          <w:sz w:val="24"/>
          <w:szCs w:val="24"/>
        </w:rPr>
      </w:pPr>
      <w:r w:rsidRPr="00693334">
        <w:rPr>
          <w:sz w:val="24"/>
          <w:szCs w:val="24"/>
        </w:rPr>
        <w:t>observeret hos ammede spædbørn fra eksponerede mødre, som kan være konsistent med natriumoxybats påvirkninger af nervesystemet. Natriumoxybat bør ikke anvendes under amning.</w:t>
      </w:r>
    </w:p>
    <w:p w14:paraId="08795457" w14:textId="77777777" w:rsidR="0062292A" w:rsidRPr="00693334" w:rsidRDefault="0062292A" w:rsidP="0062292A">
      <w:pPr>
        <w:tabs>
          <w:tab w:val="left" w:pos="851"/>
        </w:tabs>
        <w:ind w:left="851"/>
        <w:rPr>
          <w:sz w:val="24"/>
          <w:szCs w:val="24"/>
          <w:u w:val="single"/>
        </w:rPr>
      </w:pPr>
    </w:p>
    <w:p w14:paraId="31A540A2" w14:textId="77777777" w:rsidR="0062292A" w:rsidRPr="00693334" w:rsidRDefault="0062292A" w:rsidP="0062292A">
      <w:pPr>
        <w:tabs>
          <w:tab w:val="left" w:pos="851"/>
        </w:tabs>
        <w:ind w:left="851"/>
        <w:rPr>
          <w:sz w:val="24"/>
          <w:szCs w:val="24"/>
          <w:u w:val="single"/>
        </w:rPr>
      </w:pPr>
      <w:r w:rsidRPr="00693334">
        <w:rPr>
          <w:sz w:val="24"/>
          <w:szCs w:val="24"/>
          <w:u w:val="single"/>
        </w:rPr>
        <w:t>Fertilitet</w:t>
      </w:r>
    </w:p>
    <w:p w14:paraId="2BAD5514" w14:textId="77777777" w:rsidR="0062292A" w:rsidRPr="00693334" w:rsidRDefault="0062292A" w:rsidP="0062292A">
      <w:pPr>
        <w:tabs>
          <w:tab w:val="left" w:pos="851"/>
        </w:tabs>
        <w:ind w:left="851"/>
        <w:rPr>
          <w:sz w:val="24"/>
          <w:szCs w:val="24"/>
        </w:rPr>
      </w:pPr>
      <w:r w:rsidRPr="00693334">
        <w:rPr>
          <w:sz w:val="24"/>
          <w:szCs w:val="24"/>
        </w:rPr>
        <w:t>Der foreligger ingen kliniske data vedrørende natriumoxybats virkning på fertilitet. GBH har ikke forårsaget negative virkninger relateret til fertilitet i studier med han- og hunrotter ved doser på op til 1.000 mg/kg/dag.</w:t>
      </w:r>
    </w:p>
    <w:p w14:paraId="57E9F11C" w14:textId="77777777" w:rsidR="009260DE" w:rsidRPr="00693334" w:rsidRDefault="009260DE" w:rsidP="009260DE">
      <w:pPr>
        <w:tabs>
          <w:tab w:val="left" w:pos="851"/>
        </w:tabs>
        <w:ind w:left="851"/>
        <w:rPr>
          <w:sz w:val="24"/>
          <w:szCs w:val="24"/>
        </w:rPr>
      </w:pPr>
    </w:p>
    <w:p w14:paraId="44D3A599" w14:textId="47EE019F" w:rsidR="009260DE" w:rsidRPr="00693334" w:rsidRDefault="009260DE" w:rsidP="009260DE">
      <w:pPr>
        <w:tabs>
          <w:tab w:val="left" w:pos="851"/>
        </w:tabs>
        <w:ind w:left="851" w:hanging="851"/>
        <w:rPr>
          <w:b/>
          <w:sz w:val="24"/>
          <w:szCs w:val="24"/>
        </w:rPr>
      </w:pPr>
      <w:r w:rsidRPr="00693334">
        <w:rPr>
          <w:b/>
          <w:sz w:val="24"/>
          <w:szCs w:val="24"/>
        </w:rPr>
        <w:t>4.7</w:t>
      </w:r>
      <w:r w:rsidRPr="00693334">
        <w:rPr>
          <w:b/>
          <w:sz w:val="24"/>
          <w:szCs w:val="24"/>
        </w:rPr>
        <w:tab/>
        <w:t>Virkning</w:t>
      </w:r>
      <w:r w:rsidR="0062292A" w:rsidRPr="00693334">
        <w:rPr>
          <w:b/>
          <w:sz w:val="24"/>
          <w:szCs w:val="24"/>
        </w:rPr>
        <w:t xml:space="preserve"> </w:t>
      </w:r>
      <w:r w:rsidRPr="00693334">
        <w:rPr>
          <w:b/>
          <w:sz w:val="24"/>
          <w:szCs w:val="24"/>
        </w:rPr>
        <w:t xml:space="preserve">på evnen til at føre motorkøretøj </w:t>
      </w:r>
      <w:r w:rsidR="0062292A" w:rsidRPr="00693334">
        <w:rPr>
          <w:b/>
          <w:sz w:val="24"/>
          <w:szCs w:val="24"/>
        </w:rPr>
        <w:t>og</w:t>
      </w:r>
      <w:r w:rsidRPr="00693334">
        <w:rPr>
          <w:b/>
          <w:sz w:val="24"/>
          <w:szCs w:val="24"/>
        </w:rPr>
        <w:t xml:space="preserve"> betjene maskiner</w:t>
      </w:r>
    </w:p>
    <w:p w14:paraId="324E5820" w14:textId="77777777" w:rsidR="0062292A" w:rsidRPr="00693334" w:rsidRDefault="0062292A" w:rsidP="0062292A">
      <w:pPr>
        <w:tabs>
          <w:tab w:val="left" w:pos="851"/>
        </w:tabs>
        <w:ind w:left="851"/>
        <w:rPr>
          <w:sz w:val="24"/>
          <w:szCs w:val="24"/>
        </w:rPr>
      </w:pPr>
      <w:r w:rsidRPr="00693334">
        <w:rPr>
          <w:sz w:val="24"/>
          <w:szCs w:val="24"/>
        </w:rPr>
        <w:t>Mærkning.</w:t>
      </w:r>
    </w:p>
    <w:p w14:paraId="02978065" w14:textId="6CA28688" w:rsidR="0062292A" w:rsidRPr="00693334" w:rsidRDefault="00B61F1B" w:rsidP="0062292A">
      <w:pPr>
        <w:tabs>
          <w:tab w:val="left" w:pos="851"/>
        </w:tabs>
        <w:ind w:left="851"/>
        <w:rPr>
          <w:sz w:val="24"/>
          <w:szCs w:val="24"/>
        </w:rPr>
      </w:pPr>
      <w:r w:rsidRPr="00693334">
        <w:rPr>
          <w:sz w:val="24"/>
          <w:szCs w:val="24"/>
        </w:rPr>
        <w:lastRenderedPageBreak/>
        <w:t xml:space="preserve">Natriumoxybat </w:t>
      </w:r>
      <w:r w:rsidR="0062292A" w:rsidRPr="00693334">
        <w:rPr>
          <w:sz w:val="24"/>
          <w:szCs w:val="24"/>
        </w:rPr>
        <w:t>påvirker i væsentlig grad evnen til at føre motorkøretøj og betjene maskiner.</w:t>
      </w:r>
    </w:p>
    <w:p w14:paraId="09256216" w14:textId="77777777" w:rsidR="0062292A" w:rsidRPr="00693334" w:rsidRDefault="0062292A" w:rsidP="0062292A">
      <w:pPr>
        <w:tabs>
          <w:tab w:val="left" w:pos="851"/>
        </w:tabs>
        <w:ind w:left="851"/>
        <w:rPr>
          <w:sz w:val="24"/>
          <w:szCs w:val="24"/>
        </w:rPr>
      </w:pPr>
    </w:p>
    <w:p w14:paraId="7A308CBB" w14:textId="77777777" w:rsidR="0062292A" w:rsidRPr="00693334" w:rsidRDefault="0062292A" w:rsidP="0062292A">
      <w:pPr>
        <w:tabs>
          <w:tab w:val="left" w:pos="851"/>
        </w:tabs>
        <w:ind w:left="851"/>
        <w:rPr>
          <w:sz w:val="24"/>
          <w:szCs w:val="24"/>
        </w:rPr>
      </w:pPr>
      <w:r w:rsidRPr="00693334">
        <w:rPr>
          <w:sz w:val="24"/>
          <w:szCs w:val="24"/>
        </w:rPr>
        <w:t>I mindst 6 timer efter indtagelse af natriumoxybat må patienter ikke deltage i aktiviteter, som kræver fuld mental opmærksomhed eller motorisk koordination, såsom at betjene maskiner og køre bil.</w:t>
      </w:r>
    </w:p>
    <w:p w14:paraId="3393CF3F" w14:textId="77777777" w:rsidR="0062292A" w:rsidRPr="00693334" w:rsidRDefault="0062292A" w:rsidP="0062292A">
      <w:pPr>
        <w:tabs>
          <w:tab w:val="left" w:pos="851"/>
        </w:tabs>
        <w:ind w:left="851"/>
        <w:rPr>
          <w:sz w:val="24"/>
          <w:szCs w:val="24"/>
        </w:rPr>
      </w:pPr>
    </w:p>
    <w:p w14:paraId="48826F0A" w14:textId="321005F2" w:rsidR="0062292A" w:rsidRPr="00693334" w:rsidRDefault="0062292A" w:rsidP="0062292A">
      <w:pPr>
        <w:tabs>
          <w:tab w:val="left" w:pos="851"/>
        </w:tabs>
        <w:ind w:left="851"/>
        <w:rPr>
          <w:sz w:val="24"/>
          <w:szCs w:val="24"/>
        </w:rPr>
      </w:pPr>
      <w:r w:rsidRPr="00693334">
        <w:rPr>
          <w:sz w:val="24"/>
          <w:szCs w:val="24"/>
        </w:rPr>
        <w:t>Når patienter starter med at tage natriumoxybat og indtil de ved, om dette lægemiddel har en hangover-effekt til næste dag, bør de udvise særlig forsigtighed, når de kører bil og betjener maskiner eller udfører enhver anden opgave, som kan være farlig eller kræver fuld mental opmærksomhed.</w:t>
      </w:r>
    </w:p>
    <w:p w14:paraId="2BC0D62E" w14:textId="1FE55E35" w:rsidR="00B61F1B" w:rsidRPr="00693334" w:rsidRDefault="00B61F1B" w:rsidP="0062292A">
      <w:pPr>
        <w:tabs>
          <w:tab w:val="left" w:pos="851"/>
        </w:tabs>
        <w:ind w:left="851"/>
        <w:rPr>
          <w:sz w:val="24"/>
          <w:szCs w:val="24"/>
        </w:rPr>
      </w:pPr>
    </w:p>
    <w:p w14:paraId="713460FB" w14:textId="77777777" w:rsidR="00B61F1B" w:rsidRPr="00693334" w:rsidRDefault="00B61F1B" w:rsidP="00B61F1B">
      <w:pPr>
        <w:tabs>
          <w:tab w:val="left" w:pos="851"/>
        </w:tabs>
        <w:ind w:left="851"/>
        <w:rPr>
          <w:sz w:val="24"/>
          <w:szCs w:val="24"/>
          <w:lang w:eastAsia="da-DK"/>
        </w:rPr>
      </w:pPr>
    </w:p>
    <w:p w14:paraId="3D5BD346" w14:textId="3219514F" w:rsidR="00B61F1B" w:rsidRPr="00693334" w:rsidRDefault="00B61F1B" w:rsidP="00B61F1B">
      <w:pPr>
        <w:tabs>
          <w:tab w:val="left" w:pos="851"/>
        </w:tabs>
        <w:ind w:left="851"/>
        <w:rPr>
          <w:sz w:val="24"/>
          <w:szCs w:val="24"/>
        </w:rPr>
      </w:pPr>
      <w:r w:rsidRPr="00693334">
        <w:rPr>
          <w:sz w:val="24"/>
          <w:szCs w:val="24"/>
        </w:rPr>
        <w:t>Hos pædiatriske patienter skal læger og forældre eller omsorgspersoner være opmærksomme på, at, hvis forholdet mellem den daglige dosis og legemsvægten overstiger 0,1 g/kg/dag, kan ventetiden være længere end 6 timer, afhængigt af den individuelle følsomhed.</w:t>
      </w:r>
    </w:p>
    <w:p w14:paraId="2E6164DD" w14:textId="77777777" w:rsidR="009260DE" w:rsidRPr="00693334" w:rsidRDefault="009260DE" w:rsidP="009260DE">
      <w:pPr>
        <w:tabs>
          <w:tab w:val="left" w:pos="851"/>
        </w:tabs>
        <w:ind w:left="851"/>
        <w:rPr>
          <w:sz w:val="24"/>
          <w:szCs w:val="24"/>
        </w:rPr>
      </w:pPr>
    </w:p>
    <w:p w14:paraId="696732B9" w14:textId="77777777" w:rsidR="009260DE" w:rsidRPr="00693334" w:rsidRDefault="009260DE" w:rsidP="009260DE">
      <w:pPr>
        <w:tabs>
          <w:tab w:val="left" w:pos="851"/>
        </w:tabs>
        <w:ind w:left="851" w:hanging="851"/>
        <w:rPr>
          <w:b/>
          <w:sz w:val="24"/>
          <w:szCs w:val="24"/>
        </w:rPr>
      </w:pPr>
      <w:r w:rsidRPr="00693334">
        <w:rPr>
          <w:b/>
          <w:sz w:val="24"/>
          <w:szCs w:val="24"/>
        </w:rPr>
        <w:t>4.8</w:t>
      </w:r>
      <w:r w:rsidRPr="00693334">
        <w:rPr>
          <w:b/>
          <w:sz w:val="24"/>
          <w:szCs w:val="24"/>
        </w:rPr>
        <w:tab/>
        <w:t>Bivirkninger</w:t>
      </w:r>
    </w:p>
    <w:p w14:paraId="2DB8B8B8" w14:textId="77777777" w:rsidR="00023998" w:rsidRPr="00693334" w:rsidRDefault="00023998" w:rsidP="00A37293">
      <w:pPr>
        <w:tabs>
          <w:tab w:val="left" w:pos="851"/>
        </w:tabs>
        <w:ind w:left="851"/>
        <w:rPr>
          <w:sz w:val="24"/>
          <w:szCs w:val="24"/>
          <w:u w:val="single"/>
        </w:rPr>
      </w:pPr>
    </w:p>
    <w:p w14:paraId="06F23A57" w14:textId="77777777" w:rsidR="00B61F1B" w:rsidRPr="00693334" w:rsidRDefault="00B61F1B" w:rsidP="00B61F1B">
      <w:pPr>
        <w:tabs>
          <w:tab w:val="left" w:pos="851"/>
        </w:tabs>
        <w:ind w:left="851"/>
        <w:rPr>
          <w:sz w:val="24"/>
          <w:szCs w:val="24"/>
          <w:lang w:eastAsia="da-DK"/>
        </w:rPr>
      </w:pPr>
      <w:r w:rsidRPr="00693334">
        <w:rPr>
          <w:sz w:val="24"/>
          <w:szCs w:val="24"/>
          <w:u w:val="single"/>
        </w:rPr>
        <w:t>Resumé af sikkerhedsprofilen</w:t>
      </w:r>
    </w:p>
    <w:p w14:paraId="15B4CFD5" w14:textId="77777777" w:rsidR="00B61F1B" w:rsidRPr="00693334" w:rsidRDefault="00B61F1B" w:rsidP="00B61F1B">
      <w:pPr>
        <w:tabs>
          <w:tab w:val="left" w:pos="851"/>
        </w:tabs>
        <w:ind w:left="851"/>
        <w:rPr>
          <w:sz w:val="24"/>
          <w:szCs w:val="24"/>
        </w:rPr>
      </w:pPr>
    </w:p>
    <w:p w14:paraId="5495E902" w14:textId="77777777" w:rsidR="00B61F1B" w:rsidRPr="00693334" w:rsidRDefault="00B61F1B" w:rsidP="00B61F1B">
      <w:pPr>
        <w:pStyle w:val="Default"/>
        <w:ind w:left="850"/>
        <w:rPr>
          <w:u w:val="single"/>
        </w:rPr>
      </w:pPr>
      <w:r w:rsidRPr="00693334">
        <w:rPr>
          <w:u w:val="single"/>
        </w:rPr>
        <w:t xml:space="preserve">Kliniske studier </w:t>
      </w:r>
    </w:p>
    <w:p w14:paraId="1618C846" w14:textId="77777777" w:rsidR="00B61F1B" w:rsidRPr="00693334" w:rsidRDefault="00B61F1B" w:rsidP="00B61F1B">
      <w:pPr>
        <w:tabs>
          <w:tab w:val="left" w:pos="851"/>
        </w:tabs>
        <w:ind w:left="851"/>
        <w:rPr>
          <w:sz w:val="24"/>
          <w:szCs w:val="24"/>
        </w:rPr>
      </w:pPr>
      <w:r w:rsidRPr="00693334">
        <w:rPr>
          <w:sz w:val="24"/>
          <w:szCs w:val="24"/>
        </w:rPr>
        <w:t>Sikkerhedsprofilen var kvalitativt den samme i studier med voksne og børn.</w:t>
      </w:r>
    </w:p>
    <w:p w14:paraId="4FC7D10A" w14:textId="77777777" w:rsidR="00B61F1B" w:rsidRPr="00693334" w:rsidRDefault="00B61F1B" w:rsidP="00B61F1B">
      <w:pPr>
        <w:tabs>
          <w:tab w:val="left" w:pos="851"/>
        </w:tabs>
        <w:ind w:left="851"/>
        <w:rPr>
          <w:sz w:val="24"/>
          <w:szCs w:val="24"/>
        </w:rPr>
      </w:pPr>
    </w:p>
    <w:p w14:paraId="3FAB3B88" w14:textId="7CE7C717" w:rsidR="00B61F1B" w:rsidRPr="00693334" w:rsidRDefault="00B61F1B" w:rsidP="00B61F1B">
      <w:pPr>
        <w:tabs>
          <w:tab w:val="left" w:pos="851"/>
        </w:tabs>
        <w:ind w:left="851"/>
        <w:rPr>
          <w:sz w:val="24"/>
          <w:szCs w:val="24"/>
        </w:rPr>
      </w:pPr>
      <w:r w:rsidRPr="00693334">
        <w:rPr>
          <w:sz w:val="24"/>
          <w:szCs w:val="24"/>
        </w:rPr>
        <w:t>Hos voksne var de hyppigst rapporterede bivirkninger svimmelhed, kvalme og hovedpine, som optræder hos 10 % til 20 % af patienterne. De mest alvorlige bivirkninger er selvmordsforsøg, psykose, respirations-depression og kramper.</w:t>
      </w:r>
    </w:p>
    <w:p w14:paraId="2717B483" w14:textId="77777777" w:rsidR="00B61F1B" w:rsidRPr="00693334" w:rsidRDefault="00B61F1B" w:rsidP="00B61F1B">
      <w:pPr>
        <w:tabs>
          <w:tab w:val="left" w:pos="851"/>
        </w:tabs>
        <w:ind w:left="851"/>
        <w:rPr>
          <w:sz w:val="24"/>
          <w:szCs w:val="24"/>
        </w:rPr>
      </w:pPr>
    </w:p>
    <w:p w14:paraId="5374D2D7" w14:textId="076725DF" w:rsidR="00B61F1B" w:rsidRPr="00693334" w:rsidRDefault="00B61F1B" w:rsidP="00B61F1B">
      <w:pPr>
        <w:tabs>
          <w:tab w:val="left" w:pos="851"/>
        </w:tabs>
        <w:ind w:left="851"/>
        <w:rPr>
          <w:sz w:val="24"/>
          <w:szCs w:val="24"/>
        </w:rPr>
      </w:pPr>
      <w:r w:rsidRPr="00693334">
        <w:rPr>
          <w:sz w:val="24"/>
          <w:szCs w:val="24"/>
        </w:rPr>
        <w:t>Hos voksne blev sikkerheden og virkningen af natriumoxybat til behandling af narkolepsisymptomer dokumenteret i fire randomiserede, dobbeltblinde, placebokontrollerede multicenterstudier med parallelle grupper med patienter, der havde narkolepsi med katapleksi med undtagelse af ét studie, hvor katapleksi ikke var et inklusionskriterium. Der blev også udført to fase 3 og et fase 2 dobbeltblinde, placebokontrollerede studier med parallelle grupper for at vurdere natriumoxybat til indikationen fibromyalgi hos voksne. Derudover blev der udført randomiserede, dobbeltblinde, placebokontrollerede, crossover</w:t>
      </w:r>
      <w:r w:rsidRPr="00693334">
        <w:rPr>
          <w:i/>
          <w:sz w:val="24"/>
          <w:szCs w:val="24"/>
        </w:rPr>
        <w:t xml:space="preserve"> </w:t>
      </w:r>
      <w:r w:rsidRPr="00693334">
        <w:rPr>
          <w:sz w:val="24"/>
          <w:szCs w:val="24"/>
        </w:rPr>
        <w:t>lægemiddelinteraktionsstudier med ibuprofen, diclofenac og valproat med raske voksne personer, og disse er opsummeret i pkt. 4.5.</w:t>
      </w:r>
    </w:p>
    <w:p w14:paraId="43C9665C" w14:textId="77777777" w:rsidR="00B61F1B" w:rsidRPr="00693334" w:rsidRDefault="00B61F1B" w:rsidP="00B61F1B">
      <w:pPr>
        <w:tabs>
          <w:tab w:val="left" w:pos="851"/>
        </w:tabs>
        <w:ind w:left="851"/>
        <w:rPr>
          <w:sz w:val="24"/>
          <w:szCs w:val="24"/>
        </w:rPr>
      </w:pPr>
    </w:p>
    <w:p w14:paraId="2068B29D" w14:textId="77777777" w:rsidR="00B61F1B" w:rsidRPr="00693334" w:rsidRDefault="00B61F1B" w:rsidP="00B61F1B">
      <w:pPr>
        <w:tabs>
          <w:tab w:val="left" w:pos="851"/>
        </w:tabs>
        <w:ind w:left="851"/>
        <w:rPr>
          <w:sz w:val="24"/>
          <w:szCs w:val="24"/>
          <w:u w:val="single"/>
        </w:rPr>
      </w:pPr>
      <w:r w:rsidRPr="00693334">
        <w:rPr>
          <w:sz w:val="24"/>
          <w:szCs w:val="24"/>
          <w:u w:val="single"/>
        </w:rPr>
        <w:t>Erfaring efter markedsføring</w:t>
      </w:r>
    </w:p>
    <w:p w14:paraId="6B98E6AE" w14:textId="77777777" w:rsidR="00B61F1B" w:rsidRPr="00693334" w:rsidRDefault="00B61F1B" w:rsidP="00B61F1B">
      <w:pPr>
        <w:tabs>
          <w:tab w:val="left" w:pos="851"/>
        </w:tabs>
        <w:ind w:left="851"/>
        <w:rPr>
          <w:sz w:val="24"/>
          <w:szCs w:val="24"/>
        </w:rPr>
      </w:pPr>
      <w:r w:rsidRPr="00693334">
        <w:rPr>
          <w:sz w:val="24"/>
          <w:szCs w:val="24"/>
        </w:rPr>
        <w:t>Ud over de bivirkninger, der blev rapporteret i kliniske studier, er der også rapporteret bivirkninger efter markedsføring. Det er ikke altid muligt at estimere en pålidelig frekvens af deres forekomst i den befolkning, der skal behandles.</w:t>
      </w:r>
    </w:p>
    <w:p w14:paraId="63D6A382" w14:textId="77777777" w:rsidR="00B61F1B" w:rsidRPr="00693334" w:rsidRDefault="00B61F1B" w:rsidP="00B61F1B">
      <w:pPr>
        <w:tabs>
          <w:tab w:val="left" w:pos="851"/>
        </w:tabs>
        <w:ind w:left="851"/>
        <w:rPr>
          <w:sz w:val="24"/>
          <w:szCs w:val="24"/>
        </w:rPr>
      </w:pPr>
    </w:p>
    <w:p w14:paraId="3C4BADA2" w14:textId="67A0FD8D" w:rsidR="00B61F1B" w:rsidRPr="00693334" w:rsidRDefault="00B61F1B" w:rsidP="00B61F1B">
      <w:pPr>
        <w:tabs>
          <w:tab w:val="left" w:pos="851"/>
        </w:tabs>
        <w:ind w:left="851"/>
        <w:rPr>
          <w:sz w:val="24"/>
          <w:szCs w:val="24"/>
        </w:rPr>
      </w:pPr>
      <w:r w:rsidRPr="00693334">
        <w:rPr>
          <w:sz w:val="24"/>
          <w:szCs w:val="24"/>
          <w:u w:val="single"/>
        </w:rPr>
        <w:t>Skematisk oversigt over bivirkninger</w:t>
      </w:r>
    </w:p>
    <w:p w14:paraId="3E50FFE9" w14:textId="77777777" w:rsidR="00B61F1B" w:rsidRPr="00693334" w:rsidRDefault="00B61F1B" w:rsidP="00B61F1B">
      <w:pPr>
        <w:tabs>
          <w:tab w:val="left" w:pos="851"/>
        </w:tabs>
        <w:ind w:left="851"/>
        <w:rPr>
          <w:sz w:val="24"/>
          <w:szCs w:val="24"/>
        </w:rPr>
      </w:pPr>
      <w:r w:rsidRPr="00693334">
        <w:rPr>
          <w:sz w:val="24"/>
          <w:szCs w:val="24"/>
        </w:rPr>
        <w:t>Bivirkningerne er anført i henhold til MedDRA-systemorganklasser.</w:t>
      </w:r>
    </w:p>
    <w:p w14:paraId="4476623D" w14:textId="77777777" w:rsidR="00B61F1B" w:rsidRPr="00693334" w:rsidRDefault="00B61F1B" w:rsidP="00B61F1B">
      <w:pPr>
        <w:tabs>
          <w:tab w:val="left" w:pos="851"/>
        </w:tabs>
        <w:ind w:left="851"/>
        <w:rPr>
          <w:sz w:val="24"/>
          <w:szCs w:val="24"/>
        </w:rPr>
      </w:pPr>
    </w:p>
    <w:p w14:paraId="0CA39AC6" w14:textId="77777777" w:rsidR="00B61F1B" w:rsidRPr="00693334" w:rsidRDefault="00B61F1B" w:rsidP="00B61F1B">
      <w:pPr>
        <w:tabs>
          <w:tab w:val="left" w:pos="851"/>
        </w:tabs>
        <w:ind w:left="851"/>
        <w:rPr>
          <w:sz w:val="24"/>
          <w:szCs w:val="24"/>
        </w:rPr>
      </w:pPr>
      <w:r w:rsidRPr="00693334">
        <w:rPr>
          <w:sz w:val="24"/>
          <w:szCs w:val="24"/>
        </w:rPr>
        <w:t>Frekvensinddeling: Meget almindelig (≥1/10); Almindelig (≥1/100 til &lt;1/10); Ikke almindelig (≥1/1.000 til &lt;1/100); Sjælden (≥1/10.000 til &lt;1/1.000); Meget sjælden (&lt;1/10.000); Ikke kendt (kan ikke estimeres ud fra forhåndenværende data).</w:t>
      </w:r>
    </w:p>
    <w:p w14:paraId="7B7564E2" w14:textId="77777777" w:rsidR="00B61F1B" w:rsidRPr="00693334" w:rsidRDefault="00B61F1B" w:rsidP="00B61F1B">
      <w:pPr>
        <w:tabs>
          <w:tab w:val="left" w:pos="851"/>
        </w:tabs>
        <w:ind w:left="851"/>
        <w:rPr>
          <w:sz w:val="24"/>
          <w:szCs w:val="24"/>
        </w:rPr>
      </w:pPr>
    </w:p>
    <w:p w14:paraId="61AC32D4" w14:textId="77777777" w:rsidR="00B61F1B" w:rsidRPr="00693334" w:rsidRDefault="00B61F1B" w:rsidP="00B61F1B">
      <w:pPr>
        <w:tabs>
          <w:tab w:val="left" w:pos="851"/>
        </w:tabs>
        <w:ind w:left="851"/>
        <w:rPr>
          <w:sz w:val="24"/>
          <w:szCs w:val="24"/>
        </w:rPr>
      </w:pPr>
      <w:r w:rsidRPr="00693334">
        <w:rPr>
          <w:sz w:val="24"/>
          <w:szCs w:val="24"/>
        </w:rPr>
        <w:t>Inden for hver frekvensinddeling er bivirkningerne opført efter faldende sværhedsgrad.</w:t>
      </w:r>
    </w:p>
    <w:p w14:paraId="2626CB41" w14:textId="77777777" w:rsidR="00B61F1B" w:rsidRPr="00693334" w:rsidRDefault="00B61F1B" w:rsidP="00B61F1B">
      <w:pPr>
        <w:tabs>
          <w:tab w:val="left" w:pos="851"/>
        </w:tabs>
        <w:ind w:left="851"/>
        <w:rPr>
          <w:sz w:val="24"/>
          <w:szCs w:val="24"/>
        </w:rPr>
      </w:pPr>
    </w:p>
    <w:p w14:paraId="39504718" w14:textId="77777777" w:rsidR="00B61F1B" w:rsidRPr="00693334" w:rsidRDefault="00B61F1B" w:rsidP="00B61F1B">
      <w:pPr>
        <w:tabs>
          <w:tab w:val="left" w:pos="851"/>
        </w:tabs>
        <w:ind w:left="851"/>
        <w:rPr>
          <w:sz w:val="24"/>
          <w:szCs w:val="24"/>
        </w:rPr>
      </w:pPr>
      <w:r w:rsidRPr="00693334">
        <w:rPr>
          <w:sz w:val="24"/>
          <w:szCs w:val="24"/>
          <w:u w:val="single"/>
        </w:rPr>
        <w:t>Infektioner og parasitære sygdomme</w:t>
      </w:r>
    </w:p>
    <w:p w14:paraId="57C42C53" w14:textId="77777777" w:rsidR="00B61F1B" w:rsidRPr="00693334" w:rsidRDefault="00B61F1B" w:rsidP="00B61F1B">
      <w:pPr>
        <w:tabs>
          <w:tab w:val="left" w:pos="851"/>
        </w:tabs>
        <w:ind w:left="851"/>
        <w:rPr>
          <w:sz w:val="24"/>
          <w:szCs w:val="24"/>
        </w:rPr>
      </w:pPr>
      <w:r w:rsidRPr="00693334">
        <w:rPr>
          <w:i/>
          <w:sz w:val="24"/>
          <w:szCs w:val="24"/>
        </w:rPr>
        <w:t xml:space="preserve">Almindelig: </w:t>
      </w:r>
      <w:r w:rsidRPr="00693334">
        <w:rPr>
          <w:sz w:val="24"/>
          <w:szCs w:val="24"/>
        </w:rPr>
        <w:t>Nasopharyngitis, sinusitis.</w:t>
      </w:r>
    </w:p>
    <w:p w14:paraId="1BE5465E" w14:textId="77777777" w:rsidR="00B61F1B" w:rsidRPr="00693334" w:rsidRDefault="00B61F1B" w:rsidP="00B61F1B">
      <w:pPr>
        <w:tabs>
          <w:tab w:val="left" w:pos="851"/>
        </w:tabs>
        <w:ind w:left="851"/>
        <w:rPr>
          <w:sz w:val="24"/>
          <w:szCs w:val="24"/>
        </w:rPr>
      </w:pPr>
    </w:p>
    <w:p w14:paraId="45C9524C" w14:textId="77777777" w:rsidR="00B61F1B" w:rsidRPr="00693334" w:rsidRDefault="00B61F1B" w:rsidP="00B61F1B">
      <w:pPr>
        <w:tabs>
          <w:tab w:val="left" w:pos="851"/>
        </w:tabs>
        <w:ind w:left="851"/>
        <w:rPr>
          <w:sz w:val="24"/>
          <w:szCs w:val="24"/>
        </w:rPr>
      </w:pPr>
      <w:r w:rsidRPr="00693334">
        <w:rPr>
          <w:sz w:val="24"/>
          <w:szCs w:val="24"/>
          <w:u w:val="single"/>
        </w:rPr>
        <w:t>Immunsystemet</w:t>
      </w:r>
    </w:p>
    <w:p w14:paraId="576718C1" w14:textId="77777777" w:rsidR="00B61F1B" w:rsidRPr="00693334" w:rsidRDefault="00B61F1B" w:rsidP="00B61F1B">
      <w:pPr>
        <w:tabs>
          <w:tab w:val="left" w:pos="851"/>
        </w:tabs>
        <w:ind w:left="851"/>
        <w:rPr>
          <w:sz w:val="24"/>
          <w:szCs w:val="24"/>
        </w:rPr>
      </w:pPr>
      <w:r w:rsidRPr="00693334">
        <w:rPr>
          <w:i/>
          <w:sz w:val="24"/>
          <w:szCs w:val="24"/>
        </w:rPr>
        <w:t>Ikke almindelig</w:t>
      </w:r>
      <w:r w:rsidRPr="00693334">
        <w:rPr>
          <w:sz w:val="24"/>
          <w:szCs w:val="24"/>
        </w:rPr>
        <w:t>: Overfølsomhed.</w:t>
      </w:r>
    </w:p>
    <w:p w14:paraId="292D9A94" w14:textId="77777777" w:rsidR="00B61F1B" w:rsidRPr="00693334" w:rsidRDefault="00B61F1B" w:rsidP="00B61F1B">
      <w:pPr>
        <w:tabs>
          <w:tab w:val="left" w:pos="851"/>
        </w:tabs>
        <w:ind w:left="851"/>
        <w:rPr>
          <w:sz w:val="24"/>
          <w:szCs w:val="24"/>
        </w:rPr>
      </w:pPr>
    </w:p>
    <w:p w14:paraId="558FD9E9" w14:textId="77777777" w:rsidR="00B61F1B" w:rsidRPr="00693334" w:rsidRDefault="00B61F1B" w:rsidP="00B61F1B">
      <w:pPr>
        <w:tabs>
          <w:tab w:val="left" w:pos="851"/>
        </w:tabs>
        <w:ind w:left="851"/>
        <w:rPr>
          <w:sz w:val="24"/>
          <w:szCs w:val="24"/>
        </w:rPr>
      </w:pPr>
      <w:r w:rsidRPr="00693334">
        <w:rPr>
          <w:sz w:val="24"/>
          <w:szCs w:val="24"/>
          <w:u w:val="single"/>
        </w:rPr>
        <w:t>Metabolisme og ernæring</w:t>
      </w:r>
      <w:r w:rsidRPr="00693334">
        <w:rPr>
          <w:sz w:val="24"/>
          <w:szCs w:val="24"/>
        </w:rPr>
        <w:t xml:space="preserve"> </w:t>
      </w:r>
    </w:p>
    <w:p w14:paraId="0AA797B0" w14:textId="77777777" w:rsidR="00B61F1B" w:rsidRPr="00693334" w:rsidRDefault="00B61F1B" w:rsidP="00B61F1B">
      <w:pPr>
        <w:tabs>
          <w:tab w:val="left" w:pos="851"/>
        </w:tabs>
        <w:ind w:left="851"/>
        <w:rPr>
          <w:sz w:val="24"/>
          <w:szCs w:val="24"/>
        </w:rPr>
      </w:pPr>
      <w:r w:rsidRPr="00693334">
        <w:rPr>
          <w:i/>
          <w:sz w:val="24"/>
          <w:szCs w:val="24"/>
        </w:rPr>
        <w:t xml:space="preserve">Almindelig: </w:t>
      </w:r>
      <w:r w:rsidRPr="00693334">
        <w:rPr>
          <w:sz w:val="24"/>
          <w:szCs w:val="24"/>
        </w:rPr>
        <w:t>Anoreksi, nedsat appetit.</w:t>
      </w:r>
    </w:p>
    <w:p w14:paraId="08A6ADDC" w14:textId="77777777" w:rsidR="00B61F1B" w:rsidRPr="00693334" w:rsidRDefault="00B61F1B" w:rsidP="00B61F1B">
      <w:pPr>
        <w:tabs>
          <w:tab w:val="left" w:pos="851"/>
        </w:tabs>
        <w:ind w:left="851"/>
        <w:rPr>
          <w:sz w:val="24"/>
          <w:szCs w:val="24"/>
        </w:rPr>
      </w:pPr>
      <w:r w:rsidRPr="00693334">
        <w:rPr>
          <w:i/>
          <w:sz w:val="24"/>
          <w:szCs w:val="24"/>
        </w:rPr>
        <w:t xml:space="preserve">Ikke kendt: </w:t>
      </w:r>
      <w:r w:rsidRPr="00693334">
        <w:rPr>
          <w:sz w:val="24"/>
          <w:szCs w:val="24"/>
        </w:rPr>
        <w:t>Dehydrering, øget appetit.</w:t>
      </w:r>
    </w:p>
    <w:p w14:paraId="7D689627" w14:textId="77777777" w:rsidR="00B61F1B" w:rsidRPr="00693334" w:rsidRDefault="00B61F1B" w:rsidP="00B61F1B">
      <w:pPr>
        <w:tabs>
          <w:tab w:val="left" w:pos="851"/>
        </w:tabs>
        <w:ind w:left="851"/>
        <w:rPr>
          <w:sz w:val="24"/>
          <w:szCs w:val="24"/>
        </w:rPr>
      </w:pPr>
    </w:p>
    <w:p w14:paraId="30555014" w14:textId="77777777" w:rsidR="00B61F1B" w:rsidRPr="00693334" w:rsidRDefault="00B61F1B" w:rsidP="00B61F1B">
      <w:pPr>
        <w:tabs>
          <w:tab w:val="left" w:pos="851"/>
        </w:tabs>
        <w:ind w:left="851"/>
        <w:rPr>
          <w:iCs/>
          <w:sz w:val="24"/>
          <w:szCs w:val="24"/>
          <w:u w:val="single"/>
        </w:rPr>
      </w:pPr>
      <w:r w:rsidRPr="00693334">
        <w:rPr>
          <w:iCs/>
          <w:sz w:val="24"/>
          <w:szCs w:val="24"/>
          <w:u w:val="single"/>
        </w:rPr>
        <w:t>Psykiske forstyrrelser</w:t>
      </w:r>
    </w:p>
    <w:p w14:paraId="53EDD71F" w14:textId="77777777" w:rsidR="00B61F1B" w:rsidRPr="00693334" w:rsidRDefault="00B61F1B" w:rsidP="00B61F1B">
      <w:pPr>
        <w:tabs>
          <w:tab w:val="left" w:pos="851"/>
        </w:tabs>
        <w:ind w:left="851"/>
        <w:rPr>
          <w:sz w:val="24"/>
          <w:szCs w:val="24"/>
        </w:rPr>
      </w:pPr>
      <w:r w:rsidRPr="00693334">
        <w:rPr>
          <w:i/>
          <w:sz w:val="24"/>
          <w:szCs w:val="24"/>
        </w:rPr>
        <w:t xml:space="preserve">Almindelig: </w:t>
      </w:r>
      <w:r w:rsidRPr="00693334">
        <w:rPr>
          <w:sz w:val="24"/>
          <w:szCs w:val="24"/>
        </w:rPr>
        <w:t>Depression, katapleksi, angst, unormale drømme, konfusionstilstand, desorientering, mareridt, søvngængeri, søvnproblemer, søvnløshed, middelsvær søvnløshed, nervøsitet.</w:t>
      </w:r>
    </w:p>
    <w:p w14:paraId="70DB3C50" w14:textId="77777777" w:rsidR="00B61F1B" w:rsidRPr="00693334" w:rsidRDefault="00B61F1B" w:rsidP="00B61F1B">
      <w:pPr>
        <w:tabs>
          <w:tab w:val="left" w:pos="851"/>
        </w:tabs>
        <w:ind w:left="851"/>
        <w:rPr>
          <w:sz w:val="24"/>
          <w:szCs w:val="24"/>
        </w:rPr>
      </w:pPr>
      <w:r w:rsidRPr="00693334">
        <w:rPr>
          <w:i/>
          <w:sz w:val="24"/>
          <w:szCs w:val="24"/>
        </w:rPr>
        <w:t xml:space="preserve">Ikke almindelig: </w:t>
      </w:r>
      <w:r w:rsidRPr="00693334">
        <w:rPr>
          <w:sz w:val="24"/>
          <w:szCs w:val="24"/>
        </w:rPr>
        <w:t>Selvmordsforsøg, psykose, paranoia, hallucinationer, abnorm tankegang, agitation, initial søvnløshed.</w:t>
      </w:r>
    </w:p>
    <w:p w14:paraId="606F922E" w14:textId="77777777" w:rsidR="00B61F1B" w:rsidRPr="00693334" w:rsidRDefault="00B61F1B" w:rsidP="00B61F1B">
      <w:pPr>
        <w:tabs>
          <w:tab w:val="left" w:pos="851"/>
        </w:tabs>
        <w:ind w:left="851"/>
        <w:rPr>
          <w:sz w:val="24"/>
          <w:szCs w:val="24"/>
        </w:rPr>
      </w:pPr>
      <w:r w:rsidRPr="00693334">
        <w:rPr>
          <w:i/>
          <w:sz w:val="24"/>
          <w:szCs w:val="24"/>
        </w:rPr>
        <w:t>Ikke kendt</w:t>
      </w:r>
      <w:r w:rsidRPr="00693334">
        <w:rPr>
          <w:sz w:val="24"/>
          <w:szCs w:val="24"/>
        </w:rPr>
        <w:t>: Selvmordstanker, drabstanker, aggression, eufori, søvnrelateret spiseforstyrrelse, panikanfald, mani/bipolar lidelse, vrangforestillinger, bruksisme, irritabilitet og øget libido.</w:t>
      </w:r>
    </w:p>
    <w:p w14:paraId="3347DD75" w14:textId="77777777" w:rsidR="00B61F1B" w:rsidRPr="00693334" w:rsidRDefault="00B61F1B" w:rsidP="00B61F1B">
      <w:pPr>
        <w:tabs>
          <w:tab w:val="left" w:pos="851"/>
        </w:tabs>
        <w:ind w:left="851"/>
        <w:rPr>
          <w:sz w:val="24"/>
          <w:szCs w:val="24"/>
        </w:rPr>
      </w:pPr>
    </w:p>
    <w:p w14:paraId="670796CF" w14:textId="77777777" w:rsidR="00B61F1B" w:rsidRPr="00693334" w:rsidRDefault="00B61F1B" w:rsidP="00B61F1B">
      <w:pPr>
        <w:tabs>
          <w:tab w:val="left" w:pos="851"/>
        </w:tabs>
        <w:ind w:left="851"/>
        <w:rPr>
          <w:iCs/>
          <w:sz w:val="24"/>
          <w:szCs w:val="24"/>
        </w:rPr>
      </w:pPr>
      <w:r w:rsidRPr="00693334">
        <w:rPr>
          <w:iCs/>
          <w:sz w:val="24"/>
          <w:szCs w:val="24"/>
          <w:u w:val="single"/>
        </w:rPr>
        <w:t>Nervesystemet</w:t>
      </w:r>
    </w:p>
    <w:p w14:paraId="29318414" w14:textId="77777777" w:rsidR="00B61F1B" w:rsidRPr="00693334" w:rsidRDefault="00B61F1B" w:rsidP="00B61F1B">
      <w:pPr>
        <w:tabs>
          <w:tab w:val="left" w:pos="851"/>
        </w:tabs>
        <w:ind w:left="851"/>
        <w:rPr>
          <w:sz w:val="24"/>
          <w:szCs w:val="24"/>
        </w:rPr>
      </w:pPr>
      <w:r w:rsidRPr="00693334">
        <w:rPr>
          <w:i/>
          <w:sz w:val="24"/>
          <w:szCs w:val="24"/>
        </w:rPr>
        <w:t xml:space="preserve">Meget almindelig: </w:t>
      </w:r>
      <w:r w:rsidRPr="00693334">
        <w:rPr>
          <w:sz w:val="24"/>
          <w:szCs w:val="24"/>
        </w:rPr>
        <w:t>Svimmelhed, hovedpine.</w:t>
      </w:r>
    </w:p>
    <w:p w14:paraId="290A7CC3" w14:textId="77777777" w:rsidR="00B61F1B" w:rsidRPr="00693334" w:rsidRDefault="00B61F1B" w:rsidP="00B61F1B">
      <w:pPr>
        <w:tabs>
          <w:tab w:val="left" w:pos="851"/>
        </w:tabs>
        <w:ind w:left="851"/>
        <w:rPr>
          <w:sz w:val="24"/>
          <w:szCs w:val="24"/>
        </w:rPr>
      </w:pPr>
      <w:r w:rsidRPr="00693334">
        <w:rPr>
          <w:i/>
          <w:sz w:val="24"/>
          <w:szCs w:val="24"/>
        </w:rPr>
        <w:t xml:space="preserve">Almindelig: </w:t>
      </w:r>
      <w:r w:rsidRPr="00693334">
        <w:rPr>
          <w:sz w:val="24"/>
          <w:szCs w:val="24"/>
        </w:rPr>
        <w:t>Søvn paralyse, somnolens, tremor, balanceproblemer, opmærksomhedsforstyrrelser, hypæstesi, paræstesi, sedation, dysgeusi.</w:t>
      </w:r>
    </w:p>
    <w:p w14:paraId="31AC58DA" w14:textId="77777777" w:rsidR="00B61F1B" w:rsidRPr="00693334" w:rsidRDefault="00B61F1B" w:rsidP="00B61F1B">
      <w:pPr>
        <w:tabs>
          <w:tab w:val="left" w:pos="851"/>
        </w:tabs>
        <w:ind w:left="851"/>
        <w:rPr>
          <w:sz w:val="24"/>
          <w:szCs w:val="24"/>
        </w:rPr>
      </w:pPr>
      <w:r w:rsidRPr="00693334">
        <w:rPr>
          <w:i/>
          <w:sz w:val="24"/>
          <w:szCs w:val="24"/>
        </w:rPr>
        <w:t xml:space="preserve">Ikke almindelig: </w:t>
      </w:r>
      <w:r w:rsidRPr="00693334">
        <w:rPr>
          <w:iCs/>
          <w:sz w:val="24"/>
          <w:szCs w:val="24"/>
        </w:rPr>
        <w:t>M</w:t>
      </w:r>
      <w:r w:rsidRPr="00693334">
        <w:rPr>
          <w:sz w:val="24"/>
          <w:szCs w:val="24"/>
        </w:rPr>
        <w:t xml:space="preserve">yoklonus, amnesi, </w:t>
      </w:r>
      <w:r w:rsidRPr="00693334">
        <w:rPr>
          <w:i/>
          <w:sz w:val="24"/>
          <w:szCs w:val="24"/>
        </w:rPr>
        <w:t xml:space="preserve">restless legs </w:t>
      </w:r>
      <w:r w:rsidRPr="00693334">
        <w:rPr>
          <w:sz w:val="24"/>
          <w:szCs w:val="24"/>
        </w:rPr>
        <w:t>syndrom (RLS).</w:t>
      </w:r>
    </w:p>
    <w:p w14:paraId="1F42EF1A" w14:textId="77777777" w:rsidR="00B61F1B" w:rsidRPr="00693334" w:rsidRDefault="00B61F1B" w:rsidP="00B61F1B">
      <w:pPr>
        <w:tabs>
          <w:tab w:val="left" w:pos="851"/>
        </w:tabs>
        <w:ind w:left="851"/>
        <w:rPr>
          <w:sz w:val="24"/>
          <w:szCs w:val="24"/>
        </w:rPr>
      </w:pPr>
      <w:r w:rsidRPr="00693334">
        <w:rPr>
          <w:i/>
          <w:sz w:val="24"/>
          <w:szCs w:val="24"/>
        </w:rPr>
        <w:t xml:space="preserve">Ikke kendt: </w:t>
      </w:r>
      <w:r w:rsidRPr="00693334">
        <w:rPr>
          <w:sz w:val="24"/>
          <w:szCs w:val="24"/>
        </w:rPr>
        <w:t>Kramper, tab af bevidsthed, dyskinesi.</w:t>
      </w:r>
    </w:p>
    <w:p w14:paraId="65DB80E6" w14:textId="77777777" w:rsidR="00B61F1B" w:rsidRPr="00693334" w:rsidRDefault="00B61F1B" w:rsidP="00B61F1B">
      <w:pPr>
        <w:tabs>
          <w:tab w:val="left" w:pos="851"/>
        </w:tabs>
        <w:ind w:left="851"/>
        <w:rPr>
          <w:sz w:val="24"/>
          <w:szCs w:val="24"/>
        </w:rPr>
      </w:pPr>
    </w:p>
    <w:p w14:paraId="30ECEA32" w14:textId="77777777" w:rsidR="00B61F1B" w:rsidRPr="00693334" w:rsidRDefault="00B61F1B" w:rsidP="00B61F1B">
      <w:pPr>
        <w:tabs>
          <w:tab w:val="left" w:pos="851"/>
        </w:tabs>
        <w:ind w:left="851"/>
        <w:rPr>
          <w:sz w:val="24"/>
          <w:szCs w:val="24"/>
        </w:rPr>
      </w:pPr>
      <w:r w:rsidRPr="00693334">
        <w:rPr>
          <w:sz w:val="24"/>
          <w:szCs w:val="24"/>
          <w:u w:val="single"/>
        </w:rPr>
        <w:t>Øjne</w:t>
      </w:r>
    </w:p>
    <w:p w14:paraId="0BE1568F" w14:textId="77777777" w:rsidR="00B61F1B" w:rsidRPr="00693334" w:rsidRDefault="00B61F1B" w:rsidP="00B61F1B">
      <w:pPr>
        <w:tabs>
          <w:tab w:val="left" w:pos="851"/>
        </w:tabs>
        <w:ind w:left="851"/>
        <w:rPr>
          <w:sz w:val="24"/>
          <w:szCs w:val="24"/>
        </w:rPr>
      </w:pPr>
      <w:r w:rsidRPr="00693334">
        <w:rPr>
          <w:i/>
          <w:sz w:val="24"/>
          <w:szCs w:val="24"/>
        </w:rPr>
        <w:t xml:space="preserve">Almindelig: </w:t>
      </w:r>
      <w:r w:rsidRPr="00693334">
        <w:rPr>
          <w:iCs/>
          <w:sz w:val="24"/>
          <w:szCs w:val="24"/>
        </w:rPr>
        <w:t>S</w:t>
      </w:r>
      <w:r w:rsidRPr="00693334">
        <w:rPr>
          <w:sz w:val="24"/>
          <w:szCs w:val="24"/>
        </w:rPr>
        <w:t>løret syn.</w:t>
      </w:r>
    </w:p>
    <w:p w14:paraId="5EC26FFC" w14:textId="77777777" w:rsidR="00B61F1B" w:rsidRPr="00693334" w:rsidRDefault="00B61F1B" w:rsidP="00B61F1B">
      <w:pPr>
        <w:tabs>
          <w:tab w:val="left" w:pos="851"/>
        </w:tabs>
        <w:ind w:left="851"/>
        <w:rPr>
          <w:sz w:val="24"/>
          <w:szCs w:val="24"/>
        </w:rPr>
      </w:pPr>
    </w:p>
    <w:p w14:paraId="644EEDB0" w14:textId="77777777" w:rsidR="00B61F1B" w:rsidRPr="00693334" w:rsidRDefault="00B61F1B" w:rsidP="00B61F1B">
      <w:pPr>
        <w:tabs>
          <w:tab w:val="left" w:pos="851"/>
        </w:tabs>
        <w:ind w:left="851"/>
        <w:rPr>
          <w:sz w:val="24"/>
          <w:szCs w:val="24"/>
        </w:rPr>
      </w:pPr>
      <w:r w:rsidRPr="00693334">
        <w:rPr>
          <w:sz w:val="24"/>
          <w:szCs w:val="24"/>
          <w:u w:val="single"/>
        </w:rPr>
        <w:t>Øre og labyrint</w:t>
      </w:r>
      <w:r w:rsidRPr="00693334">
        <w:rPr>
          <w:sz w:val="24"/>
          <w:szCs w:val="24"/>
        </w:rPr>
        <w:t xml:space="preserve"> </w:t>
      </w:r>
    </w:p>
    <w:p w14:paraId="43015C4B" w14:textId="77777777" w:rsidR="00B61F1B" w:rsidRPr="00693334" w:rsidRDefault="00B61F1B" w:rsidP="00B61F1B">
      <w:pPr>
        <w:tabs>
          <w:tab w:val="left" w:pos="851"/>
        </w:tabs>
        <w:ind w:left="851"/>
        <w:rPr>
          <w:sz w:val="24"/>
          <w:szCs w:val="24"/>
        </w:rPr>
      </w:pPr>
      <w:r w:rsidRPr="00693334">
        <w:rPr>
          <w:i/>
          <w:sz w:val="24"/>
          <w:szCs w:val="24"/>
        </w:rPr>
        <w:t xml:space="preserve">Almindelig: </w:t>
      </w:r>
      <w:r w:rsidRPr="00693334">
        <w:rPr>
          <w:sz w:val="24"/>
          <w:szCs w:val="24"/>
        </w:rPr>
        <w:t xml:space="preserve">Vertigo. </w:t>
      </w:r>
    </w:p>
    <w:p w14:paraId="4662FE3C" w14:textId="77777777" w:rsidR="00B61F1B" w:rsidRPr="00693334" w:rsidRDefault="00B61F1B" w:rsidP="00B61F1B">
      <w:pPr>
        <w:tabs>
          <w:tab w:val="left" w:pos="851"/>
        </w:tabs>
        <w:ind w:left="851"/>
        <w:rPr>
          <w:iCs/>
          <w:sz w:val="24"/>
          <w:szCs w:val="24"/>
        </w:rPr>
      </w:pPr>
      <w:r w:rsidRPr="00693334">
        <w:rPr>
          <w:i/>
          <w:sz w:val="24"/>
          <w:szCs w:val="24"/>
        </w:rPr>
        <w:t xml:space="preserve">Ikke kendt: </w:t>
      </w:r>
      <w:r w:rsidRPr="00693334">
        <w:rPr>
          <w:iCs/>
          <w:sz w:val="24"/>
          <w:szCs w:val="24"/>
        </w:rPr>
        <w:t>Tinnitus.</w:t>
      </w:r>
    </w:p>
    <w:p w14:paraId="5EC01B3D" w14:textId="77777777" w:rsidR="00B61F1B" w:rsidRPr="00693334" w:rsidRDefault="00B61F1B" w:rsidP="00B61F1B">
      <w:pPr>
        <w:tabs>
          <w:tab w:val="left" w:pos="851"/>
        </w:tabs>
        <w:ind w:left="851"/>
        <w:rPr>
          <w:sz w:val="24"/>
          <w:szCs w:val="24"/>
        </w:rPr>
      </w:pPr>
    </w:p>
    <w:p w14:paraId="0AE1CC07" w14:textId="77777777" w:rsidR="00B61F1B" w:rsidRPr="00693334" w:rsidRDefault="00B61F1B" w:rsidP="00B61F1B">
      <w:pPr>
        <w:tabs>
          <w:tab w:val="left" w:pos="851"/>
        </w:tabs>
        <w:ind w:left="851"/>
        <w:rPr>
          <w:sz w:val="24"/>
          <w:szCs w:val="24"/>
        </w:rPr>
      </w:pPr>
      <w:r w:rsidRPr="00693334">
        <w:rPr>
          <w:sz w:val="24"/>
          <w:szCs w:val="24"/>
          <w:u w:val="single"/>
        </w:rPr>
        <w:t>Hjerte</w:t>
      </w:r>
    </w:p>
    <w:p w14:paraId="135CEC5B" w14:textId="77777777" w:rsidR="00B61F1B" w:rsidRPr="00693334" w:rsidRDefault="00B61F1B" w:rsidP="00B61F1B">
      <w:pPr>
        <w:tabs>
          <w:tab w:val="left" w:pos="851"/>
        </w:tabs>
        <w:ind w:left="851"/>
        <w:rPr>
          <w:sz w:val="24"/>
          <w:szCs w:val="24"/>
        </w:rPr>
      </w:pPr>
      <w:r w:rsidRPr="00693334">
        <w:rPr>
          <w:i/>
          <w:sz w:val="24"/>
          <w:szCs w:val="24"/>
        </w:rPr>
        <w:t xml:space="preserve">Almindelig: </w:t>
      </w:r>
      <w:r w:rsidRPr="00693334">
        <w:rPr>
          <w:sz w:val="24"/>
          <w:szCs w:val="24"/>
        </w:rPr>
        <w:t>Palpitationer.</w:t>
      </w:r>
    </w:p>
    <w:p w14:paraId="6EE4214B" w14:textId="77777777" w:rsidR="00B61F1B" w:rsidRPr="00693334" w:rsidRDefault="00B61F1B" w:rsidP="00B61F1B">
      <w:pPr>
        <w:tabs>
          <w:tab w:val="left" w:pos="851"/>
        </w:tabs>
        <w:ind w:left="851"/>
        <w:rPr>
          <w:sz w:val="24"/>
          <w:szCs w:val="24"/>
        </w:rPr>
      </w:pPr>
    </w:p>
    <w:p w14:paraId="40DE29F7" w14:textId="77777777" w:rsidR="00B61F1B" w:rsidRPr="00693334" w:rsidRDefault="00B61F1B" w:rsidP="00B61F1B">
      <w:pPr>
        <w:tabs>
          <w:tab w:val="left" w:pos="851"/>
        </w:tabs>
        <w:ind w:left="851"/>
        <w:rPr>
          <w:sz w:val="24"/>
          <w:szCs w:val="24"/>
        </w:rPr>
      </w:pPr>
      <w:r w:rsidRPr="00693334">
        <w:rPr>
          <w:sz w:val="24"/>
          <w:szCs w:val="24"/>
          <w:u w:val="single"/>
        </w:rPr>
        <w:t>Vaskulære sygdomme</w:t>
      </w:r>
    </w:p>
    <w:p w14:paraId="25FCBBFA" w14:textId="77777777" w:rsidR="00B61F1B" w:rsidRPr="00693334" w:rsidRDefault="00B61F1B" w:rsidP="00B61F1B">
      <w:pPr>
        <w:tabs>
          <w:tab w:val="left" w:pos="851"/>
        </w:tabs>
        <w:ind w:left="851"/>
        <w:rPr>
          <w:sz w:val="24"/>
          <w:szCs w:val="24"/>
        </w:rPr>
      </w:pPr>
      <w:r w:rsidRPr="00693334">
        <w:rPr>
          <w:i/>
          <w:sz w:val="24"/>
          <w:szCs w:val="24"/>
        </w:rPr>
        <w:t xml:space="preserve">Almindelig: </w:t>
      </w:r>
      <w:r w:rsidRPr="00693334">
        <w:rPr>
          <w:sz w:val="24"/>
          <w:szCs w:val="24"/>
        </w:rPr>
        <w:t>Hypertension.</w:t>
      </w:r>
    </w:p>
    <w:p w14:paraId="6BC43817" w14:textId="77777777" w:rsidR="00B61F1B" w:rsidRPr="00693334" w:rsidRDefault="00B61F1B" w:rsidP="00B61F1B">
      <w:pPr>
        <w:tabs>
          <w:tab w:val="left" w:pos="851"/>
        </w:tabs>
        <w:ind w:left="851"/>
        <w:rPr>
          <w:sz w:val="24"/>
          <w:szCs w:val="24"/>
        </w:rPr>
      </w:pPr>
    </w:p>
    <w:p w14:paraId="61A8B520" w14:textId="77777777" w:rsidR="00B61F1B" w:rsidRPr="00693334" w:rsidRDefault="00B61F1B" w:rsidP="00B61F1B">
      <w:pPr>
        <w:tabs>
          <w:tab w:val="left" w:pos="851"/>
        </w:tabs>
        <w:ind w:left="851"/>
        <w:rPr>
          <w:sz w:val="24"/>
          <w:szCs w:val="24"/>
        </w:rPr>
      </w:pPr>
      <w:r w:rsidRPr="00693334">
        <w:rPr>
          <w:sz w:val="24"/>
          <w:szCs w:val="24"/>
          <w:u w:val="single"/>
        </w:rPr>
        <w:t>Luftveje, thorax og mediastinum</w:t>
      </w:r>
    </w:p>
    <w:p w14:paraId="203986AF" w14:textId="77777777" w:rsidR="00B61F1B" w:rsidRPr="00693334" w:rsidRDefault="00B61F1B" w:rsidP="00B61F1B">
      <w:pPr>
        <w:tabs>
          <w:tab w:val="left" w:pos="851"/>
        </w:tabs>
        <w:ind w:left="851"/>
        <w:rPr>
          <w:sz w:val="24"/>
          <w:szCs w:val="24"/>
        </w:rPr>
      </w:pPr>
      <w:r w:rsidRPr="00693334">
        <w:rPr>
          <w:i/>
          <w:sz w:val="24"/>
          <w:szCs w:val="24"/>
        </w:rPr>
        <w:t xml:space="preserve">Almindelig: </w:t>
      </w:r>
      <w:r w:rsidRPr="00693334">
        <w:rPr>
          <w:sz w:val="24"/>
          <w:szCs w:val="24"/>
        </w:rPr>
        <w:t>Dyspnø, snorken, nasal kongestion.</w:t>
      </w:r>
    </w:p>
    <w:p w14:paraId="039AB84C" w14:textId="77777777" w:rsidR="00B61F1B" w:rsidRPr="00693334" w:rsidRDefault="00B61F1B" w:rsidP="00B61F1B">
      <w:pPr>
        <w:tabs>
          <w:tab w:val="left" w:pos="851"/>
        </w:tabs>
        <w:ind w:left="851"/>
        <w:rPr>
          <w:sz w:val="24"/>
          <w:szCs w:val="24"/>
        </w:rPr>
      </w:pPr>
      <w:r w:rsidRPr="00693334">
        <w:rPr>
          <w:i/>
          <w:sz w:val="24"/>
          <w:szCs w:val="24"/>
        </w:rPr>
        <w:t xml:space="preserve">Ikke kendt: </w:t>
      </w:r>
      <w:r w:rsidRPr="00693334">
        <w:rPr>
          <w:sz w:val="24"/>
          <w:szCs w:val="24"/>
        </w:rPr>
        <w:t>Respirationsdepression, søvnapnø, kvælningsfornemmelse.</w:t>
      </w:r>
    </w:p>
    <w:p w14:paraId="5BF49784" w14:textId="77777777" w:rsidR="00B61F1B" w:rsidRPr="00693334" w:rsidRDefault="00B61F1B" w:rsidP="00B61F1B">
      <w:pPr>
        <w:tabs>
          <w:tab w:val="left" w:pos="851"/>
        </w:tabs>
        <w:ind w:left="851"/>
        <w:rPr>
          <w:sz w:val="24"/>
          <w:szCs w:val="24"/>
        </w:rPr>
      </w:pPr>
    </w:p>
    <w:p w14:paraId="516596F1" w14:textId="77777777" w:rsidR="00B61F1B" w:rsidRPr="00693334" w:rsidRDefault="00B61F1B" w:rsidP="00B61F1B">
      <w:pPr>
        <w:tabs>
          <w:tab w:val="left" w:pos="851"/>
        </w:tabs>
        <w:ind w:left="851"/>
        <w:rPr>
          <w:sz w:val="24"/>
          <w:szCs w:val="24"/>
        </w:rPr>
      </w:pPr>
      <w:r w:rsidRPr="00693334">
        <w:rPr>
          <w:sz w:val="24"/>
          <w:szCs w:val="24"/>
          <w:u w:val="single"/>
        </w:rPr>
        <w:t>Mave-tarm-kanalen</w:t>
      </w:r>
    </w:p>
    <w:p w14:paraId="415C7C49" w14:textId="77777777" w:rsidR="00B61F1B" w:rsidRPr="00693334" w:rsidRDefault="00B61F1B" w:rsidP="00B61F1B">
      <w:pPr>
        <w:tabs>
          <w:tab w:val="left" w:pos="851"/>
        </w:tabs>
        <w:ind w:left="851"/>
        <w:rPr>
          <w:sz w:val="24"/>
          <w:szCs w:val="24"/>
        </w:rPr>
      </w:pPr>
      <w:r w:rsidRPr="00693334">
        <w:rPr>
          <w:i/>
          <w:sz w:val="24"/>
          <w:szCs w:val="24"/>
        </w:rPr>
        <w:t xml:space="preserve">Meget almindelig: </w:t>
      </w:r>
      <w:r w:rsidRPr="00693334">
        <w:rPr>
          <w:iCs/>
          <w:sz w:val="24"/>
          <w:szCs w:val="24"/>
        </w:rPr>
        <w:t>K</w:t>
      </w:r>
      <w:r w:rsidRPr="00693334">
        <w:rPr>
          <w:sz w:val="24"/>
          <w:szCs w:val="24"/>
        </w:rPr>
        <w:t>valme (hyppigheden af kvalme er højere hos kvinder end hos mænd).</w:t>
      </w:r>
    </w:p>
    <w:p w14:paraId="1418C31B" w14:textId="77777777" w:rsidR="00B61F1B" w:rsidRPr="00693334" w:rsidRDefault="00B61F1B" w:rsidP="00B61F1B">
      <w:pPr>
        <w:tabs>
          <w:tab w:val="left" w:pos="851"/>
        </w:tabs>
        <w:ind w:left="851"/>
        <w:rPr>
          <w:sz w:val="24"/>
          <w:szCs w:val="24"/>
        </w:rPr>
      </w:pPr>
    </w:p>
    <w:p w14:paraId="15019A55" w14:textId="77777777" w:rsidR="00B61F1B" w:rsidRPr="00693334" w:rsidRDefault="00B61F1B" w:rsidP="00B61F1B">
      <w:pPr>
        <w:tabs>
          <w:tab w:val="left" w:pos="851"/>
        </w:tabs>
        <w:ind w:left="851"/>
        <w:rPr>
          <w:sz w:val="24"/>
          <w:szCs w:val="24"/>
        </w:rPr>
      </w:pPr>
      <w:r w:rsidRPr="00693334">
        <w:rPr>
          <w:i/>
          <w:sz w:val="24"/>
          <w:szCs w:val="24"/>
        </w:rPr>
        <w:t xml:space="preserve">Almindelig: </w:t>
      </w:r>
      <w:r w:rsidRPr="00693334">
        <w:rPr>
          <w:sz w:val="24"/>
          <w:szCs w:val="24"/>
        </w:rPr>
        <w:t>Opkastning, diaré, smerter i øvre abdomen.</w:t>
      </w:r>
    </w:p>
    <w:p w14:paraId="5058C749" w14:textId="77777777" w:rsidR="00B61F1B" w:rsidRPr="00693334" w:rsidRDefault="00B61F1B" w:rsidP="00B61F1B">
      <w:pPr>
        <w:tabs>
          <w:tab w:val="left" w:pos="851"/>
        </w:tabs>
        <w:ind w:left="851"/>
        <w:rPr>
          <w:sz w:val="24"/>
          <w:szCs w:val="24"/>
        </w:rPr>
      </w:pPr>
      <w:r w:rsidRPr="00693334">
        <w:rPr>
          <w:i/>
          <w:sz w:val="24"/>
          <w:szCs w:val="24"/>
        </w:rPr>
        <w:lastRenderedPageBreak/>
        <w:t>Ikke almindelig</w:t>
      </w:r>
      <w:r w:rsidRPr="00693334">
        <w:rPr>
          <w:sz w:val="24"/>
          <w:szCs w:val="24"/>
        </w:rPr>
        <w:t>: Fækal inkontinens.</w:t>
      </w:r>
    </w:p>
    <w:p w14:paraId="15A7AD18" w14:textId="77777777" w:rsidR="00B61F1B" w:rsidRPr="00693334" w:rsidRDefault="00B61F1B" w:rsidP="00B61F1B">
      <w:pPr>
        <w:tabs>
          <w:tab w:val="left" w:pos="851"/>
        </w:tabs>
        <w:ind w:left="851"/>
        <w:rPr>
          <w:sz w:val="24"/>
          <w:szCs w:val="24"/>
        </w:rPr>
      </w:pPr>
      <w:r w:rsidRPr="00693334">
        <w:rPr>
          <w:i/>
          <w:sz w:val="24"/>
          <w:szCs w:val="24"/>
        </w:rPr>
        <w:t xml:space="preserve">Ikke kendt: </w:t>
      </w:r>
      <w:r w:rsidRPr="00693334">
        <w:rPr>
          <w:sz w:val="24"/>
          <w:szCs w:val="24"/>
        </w:rPr>
        <w:t>Mundtørhed.</w:t>
      </w:r>
    </w:p>
    <w:p w14:paraId="5CA83993" w14:textId="77777777" w:rsidR="00B61F1B" w:rsidRPr="00693334" w:rsidRDefault="00B61F1B" w:rsidP="00B61F1B">
      <w:pPr>
        <w:tabs>
          <w:tab w:val="left" w:pos="851"/>
        </w:tabs>
        <w:ind w:left="851"/>
        <w:rPr>
          <w:sz w:val="24"/>
          <w:szCs w:val="24"/>
        </w:rPr>
      </w:pPr>
    </w:p>
    <w:p w14:paraId="3CB59DA9" w14:textId="77777777" w:rsidR="00B61F1B" w:rsidRPr="00693334" w:rsidRDefault="00B61F1B" w:rsidP="00B61F1B">
      <w:pPr>
        <w:tabs>
          <w:tab w:val="left" w:pos="851"/>
        </w:tabs>
        <w:ind w:left="851"/>
        <w:rPr>
          <w:sz w:val="24"/>
          <w:szCs w:val="24"/>
        </w:rPr>
      </w:pPr>
      <w:r w:rsidRPr="00693334">
        <w:rPr>
          <w:sz w:val="24"/>
          <w:szCs w:val="24"/>
          <w:u w:val="single"/>
        </w:rPr>
        <w:t>Hud og subkutane væv</w:t>
      </w:r>
    </w:p>
    <w:p w14:paraId="1E6E2D65" w14:textId="77777777" w:rsidR="00B61F1B" w:rsidRPr="00693334" w:rsidRDefault="00B61F1B" w:rsidP="00B61F1B">
      <w:pPr>
        <w:tabs>
          <w:tab w:val="left" w:pos="851"/>
        </w:tabs>
        <w:ind w:left="851"/>
        <w:rPr>
          <w:sz w:val="24"/>
          <w:szCs w:val="24"/>
        </w:rPr>
      </w:pPr>
      <w:r w:rsidRPr="00693334">
        <w:rPr>
          <w:i/>
          <w:sz w:val="24"/>
          <w:szCs w:val="24"/>
        </w:rPr>
        <w:t xml:space="preserve">Almindelig: </w:t>
      </w:r>
      <w:r w:rsidRPr="00693334">
        <w:rPr>
          <w:sz w:val="24"/>
          <w:szCs w:val="24"/>
        </w:rPr>
        <w:t>Hyperhidrose, udslæt.</w:t>
      </w:r>
    </w:p>
    <w:p w14:paraId="66B69EE2" w14:textId="77777777" w:rsidR="00B61F1B" w:rsidRPr="00693334" w:rsidRDefault="00B61F1B" w:rsidP="00B61F1B">
      <w:pPr>
        <w:tabs>
          <w:tab w:val="left" w:pos="851"/>
        </w:tabs>
        <w:ind w:left="851"/>
        <w:rPr>
          <w:sz w:val="24"/>
          <w:szCs w:val="24"/>
        </w:rPr>
      </w:pPr>
      <w:r w:rsidRPr="00693334">
        <w:rPr>
          <w:i/>
          <w:sz w:val="24"/>
          <w:szCs w:val="24"/>
        </w:rPr>
        <w:t xml:space="preserve">Ikke kendt: </w:t>
      </w:r>
      <w:r w:rsidRPr="00693334">
        <w:rPr>
          <w:sz w:val="24"/>
          <w:szCs w:val="24"/>
        </w:rPr>
        <w:t>Urticaria, angioødem, seborrhea.</w:t>
      </w:r>
    </w:p>
    <w:p w14:paraId="06FA32D9" w14:textId="77777777" w:rsidR="00B61F1B" w:rsidRPr="00693334" w:rsidRDefault="00B61F1B" w:rsidP="00B61F1B">
      <w:pPr>
        <w:tabs>
          <w:tab w:val="left" w:pos="851"/>
        </w:tabs>
        <w:ind w:left="851"/>
        <w:rPr>
          <w:sz w:val="24"/>
          <w:szCs w:val="24"/>
        </w:rPr>
      </w:pPr>
    </w:p>
    <w:p w14:paraId="477D7424" w14:textId="77777777" w:rsidR="00B61F1B" w:rsidRPr="00693334" w:rsidRDefault="00B61F1B" w:rsidP="00B61F1B">
      <w:pPr>
        <w:tabs>
          <w:tab w:val="left" w:pos="851"/>
        </w:tabs>
        <w:ind w:left="851"/>
        <w:rPr>
          <w:sz w:val="24"/>
          <w:szCs w:val="24"/>
        </w:rPr>
      </w:pPr>
      <w:r w:rsidRPr="00693334">
        <w:rPr>
          <w:sz w:val="24"/>
          <w:szCs w:val="24"/>
          <w:u w:val="single"/>
        </w:rPr>
        <w:t>Knogler, led, muskler og bindevæv</w:t>
      </w:r>
    </w:p>
    <w:p w14:paraId="32DD6398" w14:textId="77777777" w:rsidR="00B61F1B" w:rsidRPr="00693334" w:rsidRDefault="00B61F1B" w:rsidP="00B61F1B">
      <w:pPr>
        <w:tabs>
          <w:tab w:val="left" w:pos="851"/>
        </w:tabs>
        <w:ind w:left="851"/>
        <w:rPr>
          <w:sz w:val="24"/>
          <w:szCs w:val="24"/>
        </w:rPr>
      </w:pPr>
      <w:r w:rsidRPr="00693334">
        <w:rPr>
          <w:i/>
          <w:sz w:val="24"/>
          <w:szCs w:val="24"/>
        </w:rPr>
        <w:t xml:space="preserve">Almindelig: </w:t>
      </w:r>
      <w:r w:rsidRPr="00693334">
        <w:rPr>
          <w:sz w:val="24"/>
          <w:szCs w:val="24"/>
        </w:rPr>
        <w:t>Artralgi, muskelspasmer, rygsmerter.</w:t>
      </w:r>
    </w:p>
    <w:p w14:paraId="724281E0" w14:textId="77777777" w:rsidR="00B61F1B" w:rsidRPr="00693334" w:rsidRDefault="00B61F1B" w:rsidP="00B61F1B">
      <w:pPr>
        <w:tabs>
          <w:tab w:val="left" w:pos="851"/>
        </w:tabs>
        <w:ind w:left="851"/>
        <w:rPr>
          <w:sz w:val="24"/>
          <w:szCs w:val="24"/>
        </w:rPr>
      </w:pPr>
    </w:p>
    <w:p w14:paraId="7C7D6F66" w14:textId="77777777" w:rsidR="00B61F1B" w:rsidRPr="00693334" w:rsidRDefault="00B61F1B" w:rsidP="00B61F1B">
      <w:pPr>
        <w:tabs>
          <w:tab w:val="left" w:pos="851"/>
        </w:tabs>
        <w:ind w:left="851"/>
        <w:rPr>
          <w:sz w:val="24"/>
          <w:szCs w:val="24"/>
        </w:rPr>
      </w:pPr>
      <w:r w:rsidRPr="00693334">
        <w:rPr>
          <w:sz w:val="24"/>
          <w:szCs w:val="24"/>
          <w:u w:val="single"/>
        </w:rPr>
        <w:t>Nyrer og urinveje</w:t>
      </w:r>
    </w:p>
    <w:p w14:paraId="73279429" w14:textId="77777777" w:rsidR="00B61F1B" w:rsidRPr="00693334" w:rsidRDefault="00B61F1B" w:rsidP="00B61F1B">
      <w:pPr>
        <w:tabs>
          <w:tab w:val="left" w:pos="851"/>
        </w:tabs>
        <w:ind w:left="851"/>
        <w:rPr>
          <w:sz w:val="24"/>
          <w:szCs w:val="24"/>
        </w:rPr>
      </w:pPr>
      <w:r w:rsidRPr="00693334">
        <w:rPr>
          <w:i/>
          <w:sz w:val="24"/>
          <w:szCs w:val="24"/>
        </w:rPr>
        <w:t xml:space="preserve">Almindelig: </w:t>
      </w:r>
      <w:r w:rsidRPr="00693334">
        <w:rPr>
          <w:sz w:val="24"/>
          <w:szCs w:val="24"/>
        </w:rPr>
        <w:t>Natlig enurese, urininkontinens.</w:t>
      </w:r>
    </w:p>
    <w:p w14:paraId="57D72A72" w14:textId="77777777" w:rsidR="00B61F1B" w:rsidRPr="00693334" w:rsidRDefault="00B61F1B" w:rsidP="00B61F1B">
      <w:pPr>
        <w:tabs>
          <w:tab w:val="left" w:pos="851"/>
        </w:tabs>
        <w:ind w:left="851"/>
        <w:rPr>
          <w:sz w:val="24"/>
          <w:szCs w:val="24"/>
        </w:rPr>
      </w:pPr>
      <w:r w:rsidRPr="00693334">
        <w:rPr>
          <w:i/>
          <w:sz w:val="24"/>
          <w:szCs w:val="24"/>
        </w:rPr>
        <w:t xml:space="preserve">Ikke kendt: </w:t>
      </w:r>
      <w:r w:rsidRPr="00693334">
        <w:rPr>
          <w:sz w:val="24"/>
          <w:szCs w:val="24"/>
        </w:rPr>
        <w:t>Pollakisuri/imperiøs vandladning, nykturi.</w:t>
      </w:r>
    </w:p>
    <w:p w14:paraId="74844CC0" w14:textId="77777777" w:rsidR="00B61F1B" w:rsidRPr="00693334" w:rsidRDefault="00B61F1B" w:rsidP="00B61F1B">
      <w:pPr>
        <w:tabs>
          <w:tab w:val="left" w:pos="851"/>
        </w:tabs>
        <w:ind w:left="851"/>
        <w:rPr>
          <w:sz w:val="24"/>
          <w:szCs w:val="24"/>
        </w:rPr>
      </w:pPr>
    </w:p>
    <w:p w14:paraId="12814CD3" w14:textId="77777777" w:rsidR="00B61F1B" w:rsidRPr="00693334" w:rsidRDefault="00B61F1B" w:rsidP="00B61F1B">
      <w:pPr>
        <w:tabs>
          <w:tab w:val="left" w:pos="851"/>
        </w:tabs>
        <w:ind w:left="851"/>
        <w:rPr>
          <w:sz w:val="24"/>
          <w:szCs w:val="24"/>
        </w:rPr>
      </w:pPr>
      <w:r w:rsidRPr="00693334">
        <w:rPr>
          <w:sz w:val="24"/>
          <w:szCs w:val="24"/>
          <w:u w:val="single"/>
        </w:rPr>
        <w:t>Almene symptomer og reaktioner på administrationsstedet</w:t>
      </w:r>
    </w:p>
    <w:p w14:paraId="056D03DC" w14:textId="77777777" w:rsidR="00B61F1B" w:rsidRPr="00693334" w:rsidRDefault="00B61F1B" w:rsidP="00B61F1B">
      <w:pPr>
        <w:tabs>
          <w:tab w:val="left" w:pos="851"/>
        </w:tabs>
        <w:ind w:left="851"/>
        <w:rPr>
          <w:sz w:val="24"/>
          <w:szCs w:val="24"/>
        </w:rPr>
      </w:pPr>
      <w:r w:rsidRPr="00693334">
        <w:rPr>
          <w:i/>
          <w:sz w:val="24"/>
          <w:szCs w:val="24"/>
        </w:rPr>
        <w:t xml:space="preserve">Almindelig: </w:t>
      </w:r>
      <w:r w:rsidRPr="00693334">
        <w:rPr>
          <w:sz w:val="24"/>
          <w:szCs w:val="24"/>
        </w:rPr>
        <w:t>Asteni, træthed, følelse af at være fuld, perifere ødemer.</w:t>
      </w:r>
    </w:p>
    <w:p w14:paraId="4239D428" w14:textId="77777777" w:rsidR="00B61F1B" w:rsidRPr="00693334" w:rsidRDefault="00B61F1B" w:rsidP="00B61F1B">
      <w:pPr>
        <w:tabs>
          <w:tab w:val="left" w:pos="851"/>
        </w:tabs>
        <w:ind w:left="851"/>
        <w:rPr>
          <w:sz w:val="24"/>
          <w:szCs w:val="24"/>
        </w:rPr>
      </w:pPr>
    </w:p>
    <w:p w14:paraId="3F8CD614" w14:textId="77777777" w:rsidR="00B61F1B" w:rsidRPr="00693334" w:rsidRDefault="00B61F1B" w:rsidP="00B61F1B">
      <w:pPr>
        <w:tabs>
          <w:tab w:val="left" w:pos="851"/>
        </w:tabs>
        <w:ind w:left="851"/>
        <w:rPr>
          <w:sz w:val="24"/>
          <w:szCs w:val="24"/>
        </w:rPr>
      </w:pPr>
      <w:r w:rsidRPr="00693334">
        <w:rPr>
          <w:sz w:val="24"/>
          <w:szCs w:val="24"/>
          <w:u w:val="single"/>
        </w:rPr>
        <w:t>Undersøgelser</w:t>
      </w:r>
    </w:p>
    <w:p w14:paraId="18FD850D" w14:textId="77777777" w:rsidR="00B61F1B" w:rsidRPr="00693334" w:rsidRDefault="00B61F1B" w:rsidP="00B61F1B">
      <w:pPr>
        <w:tabs>
          <w:tab w:val="left" w:pos="851"/>
        </w:tabs>
        <w:ind w:left="851"/>
        <w:rPr>
          <w:sz w:val="24"/>
          <w:szCs w:val="24"/>
        </w:rPr>
      </w:pPr>
      <w:r w:rsidRPr="00693334">
        <w:rPr>
          <w:i/>
          <w:sz w:val="24"/>
          <w:szCs w:val="24"/>
        </w:rPr>
        <w:t xml:space="preserve">Almindelig: </w:t>
      </w:r>
      <w:r w:rsidRPr="00693334">
        <w:rPr>
          <w:sz w:val="24"/>
          <w:szCs w:val="24"/>
        </w:rPr>
        <w:t>Blodtryksforhøjelse, vægttab.</w:t>
      </w:r>
    </w:p>
    <w:p w14:paraId="50E5F7A6" w14:textId="77777777" w:rsidR="00B61F1B" w:rsidRPr="00693334" w:rsidRDefault="00B61F1B" w:rsidP="00B61F1B">
      <w:pPr>
        <w:tabs>
          <w:tab w:val="left" w:pos="851"/>
        </w:tabs>
        <w:ind w:left="851"/>
        <w:rPr>
          <w:sz w:val="24"/>
          <w:szCs w:val="24"/>
        </w:rPr>
      </w:pPr>
    </w:p>
    <w:p w14:paraId="215A706D" w14:textId="77777777" w:rsidR="00B61F1B" w:rsidRPr="00693334" w:rsidRDefault="00B61F1B" w:rsidP="00B61F1B">
      <w:pPr>
        <w:tabs>
          <w:tab w:val="left" w:pos="851"/>
        </w:tabs>
        <w:ind w:left="851"/>
        <w:rPr>
          <w:sz w:val="24"/>
          <w:szCs w:val="24"/>
        </w:rPr>
      </w:pPr>
      <w:r w:rsidRPr="00693334">
        <w:rPr>
          <w:sz w:val="24"/>
          <w:szCs w:val="24"/>
          <w:u w:val="single"/>
        </w:rPr>
        <w:t>Traumer, forgiftninger og behandlingskomplikationer</w:t>
      </w:r>
    </w:p>
    <w:p w14:paraId="2597C643" w14:textId="77777777" w:rsidR="00B61F1B" w:rsidRPr="00693334" w:rsidRDefault="00B61F1B" w:rsidP="00B61F1B">
      <w:pPr>
        <w:tabs>
          <w:tab w:val="left" w:pos="851"/>
        </w:tabs>
        <w:ind w:left="851"/>
        <w:rPr>
          <w:sz w:val="24"/>
          <w:szCs w:val="24"/>
        </w:rPr>
      </w:pPr>
      <w:r w:rsidRPr="00693334">
        <w:rPr>
          <w:i/>
          <w:sz w:val="24"/>
          <w:szCs w:val="24"/>
        </w:rPr>
        <w:t xml:space="preserve">Almindelig: </w:t>
      </w:r>
      <w:r w:rsidRPr="00693334">
        <w:rPr>
          <w:sz w:val="24"/>
          <w:szCs w:val="24"/>
        </w:rPr>
        <w:t>Fald.</w:t>
      </w:r>
    </w:p>
    <w:p w14:paraId="4A9DC8D0" w14:textId="77777777" w:rsidR="00B61F1B" w:rsidRPr="00693334" w:rsidRDefault="00B61F1B" w:rsidP="00B61F1B">
      <w:pPr>
        <w:tabs>
          <w:tab w:val="left" w:pos="851"/>
        </w:tabs>
        <w:ind w:left="851"/>
        <w:rPr>
          <w:sz w:val="24"/>
          <w:szCs w:val="24"/>
        </w:rPr>
      </w:pPr>
    </w:p>
    <w:p w14:paraId="222DB08D" w14:textId="77777777" w:rsidR="00B61F1B" w:rsidRPr="00693334" w:rsidRDefault="00B61F1B" w:rsidP="00B61F1B">
      <w:pPr>
        <w:tabs>
          <w:tab w:val="left" w:pos="851"/>
        </w:tabs>
        <w:ind w:left="851"/>
        <w:rPr>
          <w:sz w:val="24"/>
          <w:szCs w:val="24"/>
        </w:rPr>
      </w:pPr>
      <w:r w:rsidRPr="00693334">
        <w:rPr>
          <w:sz w:val="24"/>
          <w:szCs w:val="24"/>
          <w:u w:val="single"/>
        </w:rPr>
        <w:t>Beskrivelse af udvalgte bivirkninger</w:t>
      </w:r>
    </w:p>
    <w:p w14:paraId="4DDAD4A8" w14:textId="77777777" w:rsidR="00B61F1B" w:rsidRPr="00693334" w:rsidRDefault="00B61F1B" w:rsidP="00B61F1B">
      <w:pPr>
        <w:tabs>
          <w:tab w:val="left" w:pos="851"/>
        </w:tabs>
        <w:ind w:left="851"/>
        <w:rPr>
          <w:sz w:val="24"/>
          <w:szCs w:val="24"/>
        </w:rPr>
      </w:pPr>
      <w:r w:rsidRPr="00693334">
        <w:rPr>
          <w:sz w:val="24"/>
          <w:szCs w:val="24"/>
        </w:rPr>
        <w:t>Hos nogle patienter kan katapleksi vende tilbage med en hyppigere frekvens, når natriumoxybat behandling ophører, men dette kan være på grund af den naturlige variabilitet af sygdommen. Skønt erfaring fra kliniske studier med natriumoxybat til narkolepsi-/katapleksipatienter i terapeutiske doser ikke udviser klar evidens for et seponeringssyndrom, er der i sjældne tilfælde observeret bivirkninger i form af insomnia, hovedpine, angst, svimmelhed, søvnforstyrrelser, somnolens, hallucinationer, og psykotiske tilstande ved ophør med GHB.</w:t>
      </w:r>
    </w:p>
    <w:p w14:paraId="5F1D1D27" w14:textId="77777777" w:rsidR="00B61F1B" w:rsidRPr="00693334" w:rsidRDefault="00B61F1B" w:rsidP="00B61F1B">
      <w:pPr>
        <w:tabs>
          <w:tab w:val="left" w:pos="851"/>
        </w:tabs>
        <w:ind w:left="851"/>
        <w:rPr>
          <w:sz w:val="24"/>
          <w:szCs w:val="24"/>
        </w:rPr>
      </w:pPr>
    </w:p>
    <w:p w14:paraId="7AF43F20" w14:textId="77777777" w:rsidR="00B61F1B" w:rsidRPr="00693334" w:rsidRDefault="00B61F1B" w:rsidP="00B61F1B">
      <w:pPr>
        <w:pStyle w:val="Default"/>
        <w:ind w:left="850"/>
        <w:rPr>
          <w:u w:val="single"/>
        </w:rPr>
      </w:pPr>
      <w:r w:rsidRPr="00693334">
        <w:rPr>
          <w:u w:val="single"/>
        </w:rPr>
        <w:t xml:space="preserve">Særlige populationer </w:t>
      </w:r>
    </w:p>
    <w:p w14:paraId="0726A64A" w14:textId="77777777" w:rsidR="00B61F1B" w:rsidRPr="00693334" w:rsidRDefault="00B61F1B" w:rsidP="00B61F1B">
      <w:pPr>
        <w:pStyle w:val="Default"/>
        <w:ind w:left="850"/>
      </w:pPr>
    </w:p>
    <w:p w14:paraId="70C61B81" w14:textId="77777777" w:rsidR="00B61F1B" w:rsidRPr="00693334" w:rsidRDefault="00B61F1B" w:rsidP="00B61F1B">
      <w:pPr>
        <w:pStyle w:val="Default"/>
        <w:ind w:left="850"/>
        <w:rPr>
          <w:u w:val="single"/>
        </w:rPr>
      </w:pPr>
      <w:r w:rsidRPr="00693334">
        <w:rPr>
          <w:u w:val="single"/>
        </w:rPr>
        <w:t xml:space="preserve">Pædiatrisk population </w:t>
      </w:r>
    </w:p>
    <w:p w14:paraId="7B1A0DA9" w14:textId="77777777" w:rsidR="00B61F1B" w:rsidRPr="00693334" w:rsidRDefault="00B61F1B" w:rsidP="00B61F1B">
      <w:pPr>
        <w:pStyle w:val="Default"/>
        <w:ind w:left="850"/>
      </w:pPr>
      <w:r w:rsidRPr="00693334">
        <w:t xml:space="preserve">Hos den pædiatriske population blev natriumoxybats virkning og sikkerhed ved behandling af narkolepsi med katapleksisymptomer fastlagt i et fase 2/3 dobbeltblindet, placebokontrolleret, randomiseret multicenter-tilbagetrækningsstudie. </w:t>
      </w:r>
    </w:p>
    <w:p w14:paraId="318AF884" w14:textId="77777777" w:rsidR="00B61F1B" w:rsidRPr="00693334" w:rsidRDefault="00B61F1B" w:rsidP="00B61F1B">
      <w:pPr>
        <w:pStyle w:val="Default"/>
        <w:ind w:left="850"/>
      </w:pPr>
    </w:p>
    <w:p w14:paraId="3B6CBDFD" w14:textId="77777777" w:rsidR="00B61F1B" w:rsidRPr="00693334" w:rsidRDefault="00B61F1B" w:rsidP="00B61F1B">
      <w:pPr>
        <w:pStyle w:val="Default"/>
        <w:ind w:left="850"/>
      </w:pPr>
      <w:r w:rsidRPr="00693334">
        <w:t xml:space="preserve">I et studie med børn og unge var de hyppigst rapporterede behandlingsrelaterede bivirkninger (TEAE'er) enurese (18,3 %), kvalme (12,5 %), opkastning (8,7 %) og vægttab (8,7 %), nedsat appetit (6,7 %), hovedpine (5,8 %), svimmelhed (5,8 %). Der blev også rapporteret bivirkninger med suicidale tanker (1 %) og akut psykose (1 %) (se pkt. 4.4 og pkt. 5). </w:t>
      </w:r>
    </w:p>
    <w:p w14:paraId="55C16B2D" w14:textId="77777777" w:rsidR="00B61F1B" w:rsidRPr="00693334" w:rsidRDefault="00B61F1B" w:rsidP="00B61F1B">
      <w:pPr>
        <w:pStyle w:val="Default"/>
        <w:ind w:left="850"/>
      </w:pPr>
    </w:p>
    <w:p w14:paraId="78397622" w14:textId="77777777" w:rsidR="00B61F1B" w:rsidRPr="00693334" w:rsidRDefault="00B61F1B" w:rsidP="00B61F1B">
      <w:pPr>
        <w:tabs>
          <w:tab w:val="left" w:pos="851"/>
        </w:tabs>
        <w:ind w:left="851"/>
        <w:rPr>
          <w:sz w:val="24"/>
          <w:szCs w:val="24"/>
        </w:rPr>
      </w:pPr>
      <w:r w:rsidRPr="00693334">
        <w:rPr>
          <w:sz w:val="24"/>
          <w:szCs w:val="24"/>
        </w:rPr>
        <w:t>Hos nogle børn mellem 7 og &lt; 18 år har overvågning efter markedsføringen vist, at natriumoxybat blev seponeret på grund af unormal adfærd, aggression og humørændringer.</w:t>
      </w:r>
    </w:p>
    <w:p w14:paraId="0635A601" w14:textId="77777777" w:rsidR="0062292A" w:rsidRPr="00693334" w:rsidRDefault="0062292A" w:rsidP="0062292A">
      <w:pPr>
        <w:tabs>
          <w:tab w:val="left" w:pos="851"/>
        </w:tabs>
        <w:ind w:left="851"/>
        <w:rPr>
          <w:sz w:val="24"/>
          <w:szCs w:val="24"/>
        </w:rPr>
      </w:pPr>
    </w:p>
    <w:p w14:paraId="532E1E2C" w14:textId="77777777" w:rsidR="0062292A" w:rsidRPr="00693334" w:rsidRDefault="0062292A" w:rsidP="0062292A">
      <w:pPr>
        <w:tabs>
          <w:tab w:val="left" w:pos="851"/>
        </w:tabs>
        <w:ind w:left="851"/>
        <w:rPr>
          <w:sz w:val="24"/>
          <w:szCs w:val="24"/>
        </w:rPr>
      </w:pPr>
      <w:r w:rsidRPr="00693334">
        <w:rPr>
          <w:sz w:val="24"/>
          <w:szCs w:val="24"/>
          <w:u w:val="single"/>
        </w:rPr>
        <w:t>Indberetning af formodede bivirkninger</w:t>
      </w:r>
    </w:p>
    <w:p w14:paraId="48CAEDFF" w14:textId="77777777" w:rsidR="0062292A" w:rsidRPr="00693334" w:rsidRDefault="0062292A" w:rsidP="0062292A">
      <w:pPr>
        <w:tabs>
          <w:tab w:val="left" w:pos="851"/>
        </w:tabs>
        <w:ind w:left="851"/>
        <w:rPr>
          <w:sz w:val="24"/>
          <w:szCs w:val="24"/>
        </w:rPr>
      </w:pPr>
      <w:r w:rsidRPr="00693334">
        <w:rPr>
          <w:sz w:val="24"/>
          <w:szCs w:val="24"/>
        </w:rPr>
        <w:t xml:space="preserve">Når lægemidlet er godkendt, er indberetning af formodede bivirkninger vigtig. Det muliggør løbende overvågning af benefit/risk-forholdet for lægemidlet. </w:t>
      </w:r>
    </w:p>
    <w:p w14:paraId="2B486576" w14:textId="731FE538" w:rsidR="0062292A" w:rsidRPr="00693334" w:rsidRDefault="0062292A" w:rsidP="0062292A">
      <w:pPr>
        <w:tabs>
          <w:tab w:val="left" w:pos="851"/>
        </w:tabs>
        <w:ind w:left="851"/>
        <w:rPr>
          <w:sz w:val="24"/>
          <w:szCs w:val="24"/>
        </w:rPr>
      </w:pPr>
      <w:r w:rsidRPr="00693334">
        <w:rPr>
          <w:sz w:val="24"/>
          <w:szCs w:val="24"/>
        </w:rPr>
        <w:lastRenderedPageBreak/>
        <w:t>Læger og sundhedspersonale anmodes om at indberette alle formodede bivirkninger via</w:t>
      </w:r>
    </w:p>
    <w:p w14:paraId="136933CA" w14:textId="77777777" w:rsidR="0062292A" w:rsidRPr="00693334" w:rsidRDefault="0062292A" w:rsidP="0062292A">
      <w:pPr>
        <w:tabs>
          <w:tab w:val="left" w:pos="851"/>
        </w:tabs>
        <w:ind w:left="851"/>
        <w:rPr>
          <w:sz w:val="24"/>
          <w:szCs w:val="24"/>
        </w:rPr>
      </w:pPr>
    </w:p>
    <w:p w14:paraId="45F490A4" w14:textId="77777777" w:rsidR="0062292A" w:rsidRPr="00693334" w:rsidRDefault="0062292A" w:rsidP="0062292A">
      <w:pPr>
        <w:tabs>
          <w:tab w:val="left" w:pos="851"/>
        </w:tabs>
        <w:ind w:left="851"/>
        <w:rPr>
          <w:sz w:val="24"/>
          <w:szCs w:val="24"/>
        </w:rPr>
      </w:pPr>
      <w:r w:rsidRPr="00693334">
        <w:rPr>
          <w:sz w:val="24"/>
          <w:szCs w:val="24"/>
        </w:rPr>
        <w:t>Lægemiddelstyrelsen</w:t>
      </w:r>
    </w:p>
    <w:p w14:paraId="525DCFA0" w14:textId="77777777" w:rsidR="0062292A" w:rsidRPr="00693334" w:rsidRDefault="0062292A" w:rsidP="0062292A">
      <w:pPr>
        <w:tabs>
          <w:tab w:val="left" w:pos="851"/>
        </w:tabs>
        <w:ind w:left="851"/>
        <w:rPr>
          <w:sz w:val="24"/>
          <w:szCs w:val="24"/>
        </w:rPr>
      </w:pPr>
      <w:r w:rsidRPr="00693334">
        <w:rPr>
          <w:sz w:val="24"/>
          <w:szCs w:val="24"/>
        </w:rPr>
        <w:t>Axel Heides Gade 1</w:t>
      </w:r>
    </w:p>
    <w:p w14:paraId="73F3041D" w14:textId="77777777" w:rsidR="0062292A" w:rsidRPr="00693334" w:rsidRDefault="0062292A" w:rsidP="0062292A">
      <w:pPr>
        <w:tabs>
          <w:tab w:val="left" w:pos="851"/>
        </w:tabs>
        <w:ind w:left="851"/>
        <w:rPr>
          <w:sz w:val="24"/>
          <w:szCs w:val="24"/>
        </w:rPr>
      </w:pPr>
      <w:r w:rsidRPr="00693334">
        <w:rPr>
          <w:sz w:val="24"/>
          <w:szCs w:val="24"/>
        </w:rPr>
        <w:t>DK-2300 København S</w:t>
      </w:r>
    </w:p>
    <w:p w14:paraId="4CF1C851" w14:textId="77777777" w:rsidR="0062292A" w:rsidRPr="00693334" w:rsidRDefault="0062292A" w:rsidP="0062292A">
      <w:pPr>
        <w:tabs>
          <w:tab w:val="left" w:pos="851"/>
        </w:tabs>
        <w:ind w:left="851"/>
        <w:rPr>
          <w:sz w:val="24"/>
          <w:szCs w:val="24"/>
        </w:rPr>
      </w:pPr>
      <w:r w:rsidRPr="00693334">
        <w:rPr>
          <w:sz w:val="24"/>
          <w:szCs w:val="24"/>
        </w:rPr>
        <w:t xml:space="preserve">Websted: </w:t>
      </w:r>
      <w:hyperlink r:id="rId8" w:history="1">
        <w:r w:rsidRPr="00693334">
          <w:rPr>
            <w:rStyle w:val="Hyperlink"/>
            <w:sz w:val="24"/>
            <w:szCs w:val="24"/>
          </w:rPr>
          <w:t>www.meldenbivirkning.dk</w:t>
        </w:r>
      </w:hyperlink>
    </w:p>
    <w:p w14:paraId="3FC4B910" w14:textId="77777777" w:rsidR="009260DE" w:rsidRPr="00693334" w:rsidRDefault="009260DE" w:rsidP="009260DE">
      <w:pPr>
        <w:pStyle w:val="Sidehoved"/>
        <w:tabs>
          <w:tab w:val="left" w:pos="851"/>
        </w:tabs>
        <w:ind w:left="851"/>
        <w:rPr>
          <w:szCs w:val="24"/>
        </w:rPr>
      </w:pPr>
    </w:p>
    <w:p w14:paraId="78FC837C" w14:textId="77777777" w:rsidR="009260DE" w:rsidRPr="00693334" w:rsidRDefault="009260DE" w:rsidP="009260DE">
      <w:pPr>
        <w:tabs>
          <w:tab w:val="left" w:pos="851"/>
        </w:tabs>
        <w:ind w:left="851" w:hanging="851"/>
        <w:rPr>
          <w:b/>
          <w:sz w:val="24"/>
          <w:szCs w:val="24"/>
        </w:rPr>
      </w:pPr>
      <w:r w:rsidRPr="00693334">
        <w:rPr>
          <w:b/>
          <w:sz w:val="24"/>
          <w:szCs w:val="24"/>
        </w:rPr>
        <w:t>4.9</w:t>
      </w:r>
      <w:r w:rsidRPr="00693334">
        <w:rPr>
          <w:b/>
          <w:sz w:val="24"/>
          <w:szCs w:val="24"/>
        </w:rPr>
        <w:tab/>
        <w:t>Overdosering</w:t>
      </w:r>
    </w:p>
    <w:p w14:paraId="0AD8BCDE" w14:textId="4494A267" w:rsidR="0062292A" w:rsidRPr="00693334" w:rsidRDefault="0062292A" w:rsidP="0062292A">
      <w:pPr>
        <w:tabs>
          <w:tab w:val="left" w:pos="851"/>
        </w:tabs>
        <w:ind w:left="851"/>
        <w:rPr>
          <w:sz w:val="24"/>
          <w:szCs w:val="24"/>
        </w:rPr>
      </w:pPr>
      <w:r w:rsidRPr="00693334">
        <w:rPr>
          <w:sz w:val="24"/>
          <w:szCs w:val="24"/>
        </w:rPr>
        <w:t xml:space="preserve">Information om tegn og symptomer forbundet med overdosering med natriumoxybat er begrænset. De fleste data stammer fra ulovlig brug af GHB. </w:t>
      </w:r>
      <w:r w:rsidR="00602B4C" w:rsidRPr="00693334">
        <w:rPr>
          <w:sz w:val="24"/>
          <w:szCs w:val="24"/>
        </w:rPr>
        <w:t xml:space="preserve">Natriumoxybat </w:t>
      </w:r>
      <w:r w:rsidRPr="00693334">
        <w:rPr>
          <w:sz w:val="24"/>
          <w:szCs w:val="24"/>
        </w:rPr>
        <w:t>er natriumsaltet af GHB. Abstinenssymptomer er observeret uden for det terapeutiske interval.</w:t>
      </w:r>
    </w:p>
    <w:p w14:paraId="37D258CE" w14:textId="77777777" w:rsidR="0062292A" w:rsidRPr="00693334" w:rsidRDefault="0062292A" w:rsidP="0062292A">
      <w:pPr>
        <w:tabs>
          <w:tab w:val="left" w:pos="851"/>
        </w:tabs>
        <w:ind w:left="851"/>
        <w:rPr>
          <w:sz w:val="24"/>
          <w:szCs w:val="24"/>
        </w:rPr>
      </w:pPr>
    </w:p>
    <w:p w14:paraId="1BA5AD9B" w14:textId="77777777" w:rsidR="0062292A" w:rsidRPr="00693334" w:rsidRDefault="0062292A" w:rsidP="0062292A">
      <w:pPr>
        <w:tabs>
          <w:tab w:val="left" w:pos="851"/>
        </w:tabs>
        <w:ind w:left="851"/>
        <w:rPr>
          <w:sz w:val="24"/>
          <w:szCs w:val="24"/>
        </w:rPr>
      </w:pPr>
      <w:r w:rsidRPr="00693334">
        <w:rPr>
          <w:sz w:val="24"/>
          <w:szCs w:val="24"/>
          <w:u w:val="single"/>
        </w:rPr>
        <w:t>Symptomer</w:t>
      </w:r>
    </w:p>
    <w:p w14:paraId="3E01D3D3" w14:textId="4207B202" w:rsidR="0062292A" w:rsidRPr="00693334" w:rsidRDefault="0062292A" w:rsidP="0062292A">
      <w:pPr>
        <w:tabs>
          <w:tab w:val="left" w:pos="851"/>
        </w:tabs>
        <w:ind w:left="851"/>
        <w:rPr>
          <w:sz w:val="24"/>
          <w:szCs w:val="24"/>
        </w:rPr>
      </w:pPr>
      <w:r w:rsidRPr="00693334">
        <w:rPr>
          <w:sz w:val="24"/>
          <w:szCs w:val="24"/>
        </w:rPr>
        <w:t>Patienter har udvist varierende grad af nedsat bevidsthed, som kan skifte hurtigt mellem en konfus, agiteret kampberedt tilstand med ataksi og koma. Emesis (selv ved bevidsthedssløring), diaphorese, hovedpine, og hæmmede psykomotoriske færdigheder kan ses. Sløret syn har været rapporteret. Tiltagende dybde af koma er observeret ved højere doser</w:t>
      </w:r>
      <w:r w:rsidR="00B61F1B" w:rsidRPr="00693334">
        <w:rPr>
          <w:sz w:val="24"/>
          <w:szCs w:val="24"/>
        </w:rPr>
        <w:t xml:space="preserve"> samt acidose</w:t>
      </w:r>
      <w:r w:rsidRPr="00693334">
        <w:rPr>
          <w:sz w:val="24"/>
          <w:szCs w:val="24"/>
        </w:rPr>
        <w:t>. Myoklonus og tonisk-kloniske anfald har været rapporteret. Der er rapporteret tilfælde med kompromitteret respirationsfrekvens og -dybde og tilfælde med livstruende respirationsdepression, som gjorde intubation og ventilation nødvendig.</w:t>
      </w:r>
    </w:p>
    <w:p w14:paraId="67280830" w14:textId="77777777" w:rsidR="0062292A" w:rsidRPr="00693334" w:rsidRDefault="0062292A" w:rsidP="0062292A">
      <w:pPr>
        <w:tabs>
          <w:tab w:val="left" w:pos="851"/>
        </w:tabs>
        <w:ind w:left="851"/>
        <w:rPr>
          <w:sz w:val="24"/>
          <w:szCs w:val="24"/>
        </w:rPr>
      </w:pPr>
      <w:r w:rsidRPr="00693334">
        <w:rPr>
          <w:sz w:val="24"/>
          <w:szCs w:val="24"/>
        </w:rPr>
        <w:t>Cheyne-Stokes respiration og apnø er set. Bradykardi og hypotermi kan forekomme i forbindelse med bevidstløshed, lige så vel som muskulær hypotoni, men med intakte senereflekser. Bradykardi har responderet på intravenøs administration af atropin. Der er rapporteret tilfælde af hypernatriæmi med metabolisk alkalose i forbindelse med samtidig brug af NaCl-infusion.</w:t>
      </w:r>
    </w:p>
    <w:p w14:paraId="05CEFEAB" w14:textId="77777777" w:rsidR="0062292A" w:rsidRPr="00693334" w:rsidRDefault="0062292A" w:rsidP="0062292A">
      <w:pPr>
        <w:tabs>
          <w:tab w:val="left" w:pos="851"/>
        </w:tabs>
        <w:ind w:left="851"/>
        <w:rPr>
          <w:sz w:val="24"/>
          <w:szCs w:val="24"/>
        </w:rPr>
      </w:pPr>
    </w:p>
    <w:p w14:paraId="710CA8CE" w14:textId="77777777" w:rsidR="0062292A" w:rsidRPr="00693334" w:rsidRDefault="0062292A" w:rsidP="0062292A">
      <w:pPr>
        <w:tabs>
          <w:tab w:val="left" w:pos="851"/>
        </w:tabs>
        <w:ind w:left="851"/>
        <w:rPr>
          <w:sz w:val="24"/>
          <w:szCs w:val="24"/>
        </w:rPr>
      </w:pPr>
      <w:r w:rsidRPr="00693334">
        <w:rPr>
          <w:sz w:val="24"/>
          <w:szCs w:val="24"/>
          <w:u w:val="single"/>
        </w:rPr>
        <w:t>Behandling</w:t>
      </w:r>
    </w:p>
    <w:p w14:paraId="0DB4DA01" w14:textId="77777777" w:rsidR="0062292A" w:rsidRPr="00693334" w:rsidRDefault="0062292A" w:rsidP="0062292A">
      <w:pPr>
        <w:tabs>
          <w:tab w:val="left" w:pos="851"/>
        </w:tabs>
        <w:ind w:left="851"/>
        <w:rPr>
          <w:sz w:val="24"/>
          <w:szCs w:val="24"/>
        </w:rPr>
      </w:pPr>
      <w:r w:rsidRPr="00693334">
        <w:rPr>
          <w:sz w:val="24"/>
          <w:szCs w:val="24"/>
        </w:rPr>
        <w:t xml:space="preserve">Ventrikelskylning bør overvejes ved mistanke om samtidig indtagelse af andre stoffer. Da emese kan opstå i tilfælde af bevidsthedssløring, skal passende lejring (aflåst sideleje) og beskyttelse af luftvejene ved intubation sikres. </w:t>
      </w:r>
    </w:p>
    <w:p w14:paraId="6E1C12E1" w14:textId="77777777" w:rsidR="0062292A" w:rsidRPr="00693334" w:rsidRDefault="0062292A" w:rsidP="0062292A">
      <w:pPr>
        <w:tabs>
          <w:tab w:val="left" w:pos="851"/>
        </w:tabs>
        <w:ind w:left="851"/>
        <w:rPr>
          <w:sz w:val="24"/>
          <w:szCs w:val="24"/>
        </w:rPr>
      </w:pPr>
      <w:r w:rsidRPr="00693334">
        <w:rPr>
          <w:sz w:val="24"/>
          <w:szCs w:val="24"/>
        </w:rPr>
        <w:t xml:space="preserve">Selv om brækrefleksen kan forsvinde hos dybt komatøse patienter, kan selv bevidstløse patienter modarbejde intubation, og </w:t>
      </w:r>
      <w:r w:rsidRPr="00693334">
        <w:rPr>
          <w:i/>
          <w:sz w:val="24"/>
          <w:szCs w:val="24"/>
        </w:rPr>
        <w:t xml:space="preserve">rapid sequence induction </w:t>
      </w:r>
      <w:r w:rsidRPr="00693334">
        <w:rPr>
          <w:sz w:val="24"/>
          <w:szCs w:val="24"/>
        </w:rPr>
        <w:t>(uden brug af sedativa) bør overvejes.</w:t>
      </w:r>
    </w:p>
    <w:p w14:paraId="5F7FCC5E" w14:textId="77777777" w:rsidR="00B61F1B" w:rsidRPr="00693334" w:rsidRDefault="00B61F1B" w:rsidP="00B61F1B">
      <w:pPr>
        <w:tabs>
          <w:tab w:val="left" w:pos="851"/>
        </w:tabs>
        <w:rPr>
          <w:sz w:val="24"/>
          <w:szCs w:val="24"/>
          <w:lang w:eastAsia="da-DK"/>
        </w:rPr>
      </w:pPr>
    </w:p>
    <w:p w14:paraId="44D02949" w14:textId="77777777" w:rsidR="00B61F1B" w:rsidRPr="00693334" w:rsidRDefault="00B61F1B" w:rsidP="00B61F1B">
      <w:pPr>
        <w:tabs>
          <w:tab w:val="left" w:pos="851"/>
        </w:tabs>
        <w:ind w:left="851"/>
        <w:rPr>
          <w:sz w:val="24"/>
          <w:szCs w:val="24"/>
        </w:rPr>
      </w:pPr>
      <w:r w:rsidRPr="00693334">
        <w:rPr>
          <w:sz w:val="24"/>
          <w:szCs w:val="24"/>
        </w:rPr>
        <w:t>Der kan ikke forventes ophævelse af den CNS-depressive effekt af natriumoxybat ved administration af flumazenil. Der er utilstrækkelig evidens til at anbefale brug af naloxon til behandling af en overdosis med GHB. Brug af hæmodialyse og andre metoder til ekstrakorporal lægemiddelelimination har ikke været undersøgt i forbindelse med natriumoxybatoverdosis, men er blevet rapporteret i tilfælde af acidose på grund af GHB-overdosis. På grund af den hurtige metabolisme af natriumoxybat kan disse tiltag imidlertid muligvis ikke betale sig.</w:t>
      </w:r>
    </w:p>
    <w:p w14:paraId="4C3A5559" w14:textId="77777777" w:rsidR="009260DE" w:rsidRPr="00693334" w:rsidRDefault="009260DE" w:rsidP="009260DE">
      <w:pPr>
        <w:tabs>
          <w:tab w:val="left" w:pos="851"/>
        </w:tabs>
        <w:ind w:left="851"/>
        <w:rPr>
          <w:sz w:val="24"/>
          <w:szCs w:val="24"/>
        </w:rPr>
      </w:pPr>
    </w:p>
    <w:p w14:paraId="74E90302" w14:textId="77777777" w:rsidR="009260DE" w:rsidRPr="00693334" w:rsidRDefault="009260DE" w:rsidP="009260DE">
      <w:pPr>
        <w:tabs>
          <w:tab w:val="left" w:pos="851"/>
        </w:tabs>
        <w:ind w:left="851" w:hanging="851"/>
        <w:rPr>
          <w:b/>
          <w:sz w:val="24"/>
          <w:szCs w:val="24"/>
        </w:rPr>
      </w:pPr>
      <w:r w:rsidRPr="00693334">
        <w:rPr>
          <w:b/>
          <w:sz w:val="24"/>
          <w:szCs w:val="24"/>
        </w:rPr>
        <w:t>4.10</w:t>
      </w:r>
      <w:r w:rsidRPr="00693334">
        <w:rPr>
          <w:b/>
          <w:sz w:val="24"/>
          <w:szCs w:val="24"/>
        </w:rPr>
        <w:tab/>
        <w:t>Udlevering</w:t>
      </w:r>
    </w:p>
    <w:p w14:paraId="13831500" w14:textId="5B589D06" w:rsidR="009B5915" w:rsidRPr="00693334" w:rsidRDefault="009B5915" w:rsidP="00023998">
      <w:pPr>
        <w:ind w:firstLine="851"/>
        <w:rPr>
          <w:sz w:val="24"/>
          <w:szCs w:val="24"/>
          <w:lang w:eastAsia="da-DK"/>
        </w:rPr>
      </w:pPr>
      <w:r w:rsidRPr="00693334">
        <w:rPr>
          <w:sz w:val="24"/>
          <w:szCs w:val="24"/>
        </w:rPr>
        <w:t xml:space="preserve">AP4NB. Kopieringspligtigt, kun </w:t>
      </w:r>
      <w:r w:rsidR="00787DCA" w:rsidRPr="00693334">
        <w:rPr>
          <w:sz w:val="24"/>
          <w:szCs w:val="24"/>
        </w:rPr>
        <w:t xml:space="preserve">til </w:t>
      </w:r>
      <w:r w:rsidRPr="00693334">
        <w:rPr>
          <w:sz w:val="24"/>
          <w:szCs w:val="24"/>
        </w:rPr>
        <w:t>sygehuse</w:t>
      </w:r>
      <w:r w:rsidR="00787DCA" w:rsidRPr="00693334">
        <w:rPr>
          <w:sz w:val="24"/>
          <w:szCs w:val="24"/>
        </w:rPr>
        <w:t xml:space="preserve"> </w:t>
      </w:r>
      <w:r w:rsidRPr="00693334">
        <w:rPr>
          <w:sz w:val="24"/>
          <w:szCs w:val="24"/>
        </w:rPr>
        <w:t>og</w:t>
      </w:r>
      <w:r w:rsidR="00787DCA" w:rsidRPr="00693334">
        <w:rPr>
          <w:sz w:val="24"/>
          <w:szCs w:val="24"/>
        </w:rPr>
        <w:t xml:space="preserve"> efter ordination af </w:t>
      </w:r>
      <w:r w:rsidRPr="00693334">
        <w:rPr>
          <w:sz w:val="24"/>
          <w:szCs w:val="24"/>
        </w:rPr>
        <w:t xml:space="preserve">speciallæger </w:t>
      </w:r>
      <w:r w:rsidR="00787DCA" w:rsidRPr="00693334">
        <w:rPr>
          <w:sz w:val="24"/>
          <w:szCs w:val="24"/>
        </w:rPr>
        <w:t>i n</w:t>
      </w:r>
      <w:r w:rsidRPr="00693334">
        <w:rPr>
          <w:sz w:val="24"/>
          <w:szCs w:val="24"/>
        </w:rPr>
        <w:t>eurologi</w:t>
      </w:r>
    </w:p>
    <w:p w14:paraId="2A254F1A" w14:textId="4FEB5E07" w:rsidR="009260DE" w:rsidRPr="00693334" w:rsidRDefault="009260DE" w:rsidP="009260DE">
      <w:pPr>
        <w:tabs>
          <w:tab w:val="left" w:pos="851"/>
        </w:tabs>
        <w:ind w:left="851"/>
        <w:rPr>
          <w:sz w:val="24"/>
          <w:szCs w:val="24"/>
        </w:rPr>
      </w:pPr>
    </w:p>
    <w:p w14:paraId="7C149B01" w14:textId="77777777" w:rsidR="009260DE" w:rsidRPr="00693334" w:rsidRDefault="009260DE" w:rsidP="009260DE">
      <w:pPr>
        <w:tabs>
          <w:tab w:val="left" w:pos="851"/>
        </w:tabs>
        <w:ind w:left="851"/>
        <w:rPr>
          <w:sz w:val="24"/>
          <w:szCs w:val="24"/>
        </w:rPr>
      </w:pPr>
    </w:p>
    <w:p w14:paraId="764D1A1D" w14:textId="3EB4F991" w:rsidR="00A37293" w:rsidRPr="00693334" w:rsidRDefault="009260DE" w:rsidP="0062292A">
      <w:pPr>
        <w:tabs>
          <w:tab w:val="left" w:pos="851"/>
        </w:tabs>
        <w:ind w:left="851" w:hanging="851"/>
        <w:rPr>
          <w:b/>
          <w:sz w:val="24"/>
          <w:szCs w:val="24"/>
        </w:rPr>
      </w:pPr>
      <w:r w:rsidRPr="00693334">
        <w:rPr>
          <w:b/>
          <w:sz w:val="24"/>
          <w:szCs w:val="24"/>
        </w:rPr>
        <w:t>5.</w:t>
      </w:r>
      <w:r w:rsidRPr="00693334">
        <w:rPr>
          <w:b/>
          <w:sz w:val="24"/>
          <w:szCs w:val="24"/>
        </w:rPr>
        <w:tab/>
        <w:t>FARMAKOLOGISKE EGENSKABER</w:t>
      </w:r>
      <w:r w:rsidR="00A37293" w:rsidRPr="00693334">
        <w:rPr>
          <w:sz w:val="24"/>
          <w:szCs w:val="24"/>
        </w:rPr>
        <w:t xml:space="preserve"> </w:t>
      </w:r>
    </w:p>
    <w:p w14:paraId="285DF228" w14:textId="77777777" w:rsidR="00095F20" w:rsidRPr="00693334" w:rsidRDefault="00095F20" w:rsidP="009260DE">
      <w:pPr>
        <w:tabs>
          <w:tab w:val="left" w:pos="851"/>
        </w:tabs>
        <w:ind w:left="851"/>
        <w:rPr>
          <w:sz w:val="24"/>
          <w:szCs w:val="24"/>
        </w:rPr>
      </w:pPr>
    </w:p>
    <w:p w14:paraId="686C6599" w14:textId="10C0F9F8" w:rsidR="009260DE" w:rsidRPr="00693334" w:rsidRDefault="009260DE" w:rsidP="009260DE">
      <w:pPr>
        <w:tabs>
          <w:tab w:val="num" w:pos="851"/>
        </w:tabs>
        <w:ind w:left="851" w:hanging="851"/>
        <w:rPr>
          <w:b/>
          <w:sz w:val="24"/>
          <w:szCs w:val="24"/>
        </w:rPr>
      </w:pPr>
      <w:r w:rsidRPr="00693334">
        <w:rPr>
          <w:b/>
          <w:sz w:val="24"/>
          <w:szCs w:val="24"/>
        </w:rPr>
        <w:t>5.1</w:t>
      </w:r>
      <w:r w:rsidRPr="00693334">
        <w:rPr>
          <w:b/>
          <w:sz w:val="24"/>
          <w:szCs w:val="24"/>
        </w:rPr>
        <w:tab/>
        <w:t>Farmakodynamiske egenskaber</w:t>
      </w:r>
    </w:p>
    <w:p w14:paraId="56426454" w14:textId="3FD70312" w:rsidR="0062292A" w:rsidRPr="00693334" w:rsidRDefault="0062292A" w:rsidP="009260DE">
      <w:pPr>
        <w:tabs>
          <w:tab w:val="num" w:pos="851"/>
        </w:tabs>
        <w:ind w:left="851" w:hanging="851"/>
        <w:rPr>
          <w:sz w:val="24"/>
          <w:szCs w:val="24"/>
        </w:rPr>
      </w:pPr>
      <w:r w:rsidRPr="00693334">
        <w:rPr>
          <w:b/>
          <w:sz w:val="24"/>
          <w:szCs w:val="24"/>
        </w:rPr>
        <w:lastRenderedPageBreak/>
        <w:tab/>
      </w:r>
      <w:r w:rsidRPr="00693334">
        <w:rPr>
          <w:sz w:val="24"/>
          <w:szCs w:val="24"/>
        </w:rPr>
        <w:t>Farmakoterapeutisk klassifikation: Andre midler med virkning på centralnervesystemet. ATC-kode: N 07 XX 04.</w:t>
      </w:r>
    </w:p>
    <w:p w14:paraId="369DA9BF" w14:textId="1BE1D13C" w:rsidR="0062292A" w:rsidRPr="00693334" w:rsidRDefault="00602B4C" w:rsidP="009260DE">
      <w:pPr>
        <w:tabs>
          <w:tab w:val="num" w:pos="851"/>
        </w:tabs>
        <w:ind w:left="851" w:hanging="851"/>
        <w:rPr>
          <w:b/>
          <w:sz w:val="24"/>
          <w:szCs w:val="24"/>
        </w:rPr>
      </w:pPr>
      <w:r w:rsidRPr="00693334">
        <w:rPr>
          <w:b/>
          <w:sz w:val="24"/>
          <w:szCs w:val="24"/>
        </w:rPr>
        <w:tab/>
      </w:r>
    </w:p>
    <w:p w14:paraId="4124A684" w14:textId="3284E639" w:rsidR="00602B4C" w:rsidRPr="00693334" w:rsidRDefault="00602B4C" w:rsidP="00602B4C">
      <w:pPr>
        <w:tabs>
          <w:tab w:val="left" w:pos="851"/>
        </w:tabs>
        <w:ind w:left="851"/>
        <w:rPr>
          <w:sz w:val="24"/>
          <w:szCs w:val="24"/>
          <w:u w:val="single"/>
          <w:lang w:eastAsia="da-DK"/>
        </w:rPr>
      </w:pPr>
      <w:r w:rsidRPr="00693334">
        <w:rPr>
          <w:sz w:val="24"/>
          <w:szCs w:val="24"/>
          <w:u w:val="single"/>
        </w:rPr>
        <w:t>Virkningsmekanisme</w:t>
      </w:r>
    </w:p>
    <w:p w14:paraId="4FBC1077" w14:textId="6BD5E185" w:rsidR="0062292A" w:rsidRPr="00693334" w:rsidRDefault="00602B4C" w:rsidP="00095F20">
      <w:pPr>
        <w:tabs>
          <w:tab w:val="left" w:pos="851"/>
        </w:tabs>
        <w:ind w:left="851"/>
        <w:rPr>
          <w:sz w:val="24"/>
          <w:szCs w:val="24"/>
        </w:rPr>
      </w:pPr>
      <w:r w:rsidRPr="00693334">
        <w:rPr>
          <w:sz w:val="24"/>
          <w:szCs w:val="24"/>
        </w:rPr>
        <w:t xml:space="preserve">Natriumoxybat </w:t>
      </w:r>
      <w:r w:rsidR="0062292A" w:rsidRPr="00693334">
        <w:rPr>
          <w:sz w:val="24"/>
          <w:szCs w:val="24"/>
        </w:rPr>
        <w:t>er et CNS-depressivt lægemiddel, som nedsætter udtalt søvnighed og katapleksi i dagtimerne hos patienter med narkolepsi og modificerer søvnmønsteret, hvilket reducerer afbrudt nattesøvn. Den præcise mekanisme for natriumoxybats effekt er ukendt, men det antages, at natriumoxybat virker ved at promovere slow (delta) wave-søvn og konsoliderer nattesøvnen.</w:t>
      </w:r>
    </w:p>
    <w:p w14:paraId="7CD07DB8" w14:textId="24706406" w:rsidR="0062292A" w:rsidRPr="00693334" w:rsidRDefault="00602B4C" w:rsidP="0062292A">
      <w:pPr>
        <w:tabs>
          <w:tab w:val="left" w:pos="851"/>
        </w:tabs>
        <w:ind w:left="851"/>
        <w:rPr>
          <w:sz w:val="24"/>
          <w:szCs w:val="24"/>
        </w:rPr>
      </w:pPr>
      <w:r w:rsidRPr="00693334">
        <w:rPr>
          <w:sz w:val="24"/>
          <w:szCs w:val="24"/>
        </w:rPr>
        <w:t>Natriumoxybat</w:t>
      </w:r>
      <w:r w:rsidR="0062292A" w:rsidRPr="00693334">
        <w:rPr>
          <w:sz w:val="24"/>
          <w:szCs w:val="24"/>
        </w:rPr>
        <w:t>, administreret før nattesøvnen, øger søvnstadie 3 og 4 og øger søvnlatens, mens det reducerer frekvensen af sleep onset REM-perioder (SOREMPs). Andre mekanismer, som stadig mangler at blive klarlagt, kan også være involveret. I den kliniske forsøgsdatabase fortsatte mere end 80 % af patienterne med samtidig anvendelse af stimulerende midler.</w:t>
      </w:r>
    </w:p>
    <w:p w14:paraId="6573E989" w14:textId="06B9FFB8" w:rsidR="0062292A" w:rsidRPr="00693334" w:rsidRDefault="0062292A" w:rsidP="0062292A">
      <w:pPr>
        <w:tabs>
          <w:tab w:val="left" w:pos="851"/>
        </w:tabs>
        <w:ind w:left="851"/>
        <w:rPr>
          <w:sz w:val="24"/>
          <w:szCs w:val="24"/>
        </w:rPr>
      </w:pPr>
    </w:p>
    <w:p w14:paraId="2893D88A" w14:textId="6BB9585F" w:rsidR="00602B4C" w:rsidRPr="00693334" w:rsidRDefault="00602B4C" w:rsidP="00602B4C">
      <w:pPr>
        <w:tabs>
          <w:tab w:val="left" w:pos="851"/>
        </w:tabs>
        <w:ind w:left="851"/>
        <w:rPr>
          <w:sz w:val="24"/>
          <w:szCs w:val="24"/>
          <w:lang w:eastAsia="da-DK"/>
        </w:rPr>
      </w:pPr>
      <w:r w:rsidRPr="00693334">
        <w:rPr>
          <w:sz w:val="24"/>
          <w:szCs w:val="24"/>
        </w:rPr>
        <w:t>Voksne</w:t>
      </w:r>
    </w:p>
    <w:p w14:paraId="2AD329FA" w14:textId="77777777" w:rsidR="0062292A" w:rsidRPr="00693334" w:rsidRDefault="0062292A" w:rsidP="0062292A">
      <w:pPr>
        <w:tabs>
          <w:tab w:val="left" w:pos="851"/>
        </w:tabs>
        <w:ind w:left="851"/>
        <w:rPr>
          <w:sz w:val="24"/>
          <w:szCs w:val="24"/>
        </w:rPr>
      </w:pPr>
      <w:r w:rsidRPr="00693334">
        <w:rPr>
          <w:sz w:val="24"/>
          <w:szCs w:val="24"/>
        </w:rPr>
        <w:t>Natriumoxybats effektivitet til behandling af narkolepsisymptomer, blev dokumenteret i fire randomiserede, dobbeltblinde, placebokontrollerede multicenterstudier med parallelle grupper (studie 1, 2, 3 og 4) med patienter, der havde narkolepsi med katapleksi, en undtagelse var studie 2, hvor katapleksi ikke var et inklusionskrav. Samtidig anvendelse af stimulerende midler var tilladt i alle studier (undtaget den aktive behandlingsfase i studie 2); antidepressiva blev seponeret før den aktive behandling i alle studier med undtagelse af studie 2. I hvert studie blev den daglige dosis fordelt på to lige store doser. Hver nat blev den første dosis indtaget ved sengetid og den anden dosis blev indtaget 2,5 til 4 timer senere.</w:t>
      </w:r>
    </w:p>
    <w:p w14:paraId="01FE234E" w14:textId="77777777" w:rsidR="0062292A" w:rsidRPr="00693334" w:rsidRDefault="0062292A" w:rsidP="0062292A">
      <w:pPr>
        <w:tabs>
          <w:tab w:val="left" w:pos="851"/>
        </w:tabs>
        <w:ind w:left="851"/>
        <w:rPr>
          <w:sz w:val="24"/>
          <w:szCs w:val="24"/>
        </w:rPr>
      </w:pPr>
    </w:p>
    <w:p w14:paraId="0D9D25C1" w14:textId="10900C5F" w:rsidR="0062292A" w:rsidRPr="00693334" w:rsidRDefault="0062292A" w:rsidP="0062292A">
      <w:pPr>
        <w:pStyle w:val="Billedtekst"/>
        <w:keepNext/>
        <w:tabs>
          <w:tab w:val="left" w:pos="1701"/>
        </w:tabs>
        <w:ind w:left="851"/>
        <w:rPr>
          <w:sz w:val="24"/>
          <w:szCs w:val="24"/>
        </w:rPr>
      </w:pPr>
      <w:r w:rsidRPr="00693334">
        <w:rPr>
          <w:sz w:val="24"/>
          <w:szCs w:val="24"/>
        </w:rPr>
        <w:t xml:space="preserve">Tabel </w:t>
      </w:r>
      <w:r w:rsidR="00602B4C" w:rsidRPr="00693334">
        <w:rPr>
          <w:sz w:val="24"/>
          <w:szCs w:val="24"/>
        </w:rPr>
        <w:t>2</w:t>
      </w:r>
      <w:r w:rsidRPr="00693334">
        <w:rPr>
          <w:sz w:val="24"/>
          <w:szCs w:val="24"/>
        </w:rPr>
        <w:t>. Sammenfatning af kliniske studier ved anvendelse af natriumoxybat til behandling af narkolepsi</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618"/>
        <w:gridCol w:w="576"/>
        <w:gridCol w:w="2243"/>
        <w:gridCol w:w="1176"/>
        <w:gridCol w:w="2108"/>
      </w:tblGrid>
      <w:tr w:rsidR="0062292A" w:rsidRPr="00693334" w14:paraId="14467683" w14:textId="77777777" w:rsidTr="00BA3D37">
        <w:tc>
          <w:tcPr>
            <w:tcW w:w="0" w:type="auto"/>
            <w:shd w:val="clear" w:color="auto" w:fill="auto"/>
          </w:tcPr>
          <w:p w14:paraId="60BE1C5A" w14:textId="77777777" w:rsidR="0062292A" w:rsidRPr="00693334" w:rsidRDefault="0062292A" w:rsidP="00BA3D37">
            <w:pPr>
              <w:ind w:left="-15"/>
              <w:rPr>
                <w:rFonts w:eastAsia="Calibri"/>
                <w:b/>
                <w:sz w:val="24"/>
                <w:szCs w:val="24"/>
              </w:rPr>
            </w:pPr>
            <w:r w:rsidRPr="00693334">
              <w:rPr>
                <w:rFonts w:eastAsia="Calibri"/>
                <w:b/>
                <w:sz w:val="24"/>
                <w:szCs w:val="24"/>
              </w:rPr>
              <w:t>Studie</w:t>
            </w:r>
          </w:p>
        </w:tc>
        <w:tc>
          <w:tcPr>
            <w:tcW w:w="0" w:type="auto"/>
            <w:shd w:val="clear" w:color="auto" w:fill="auto"/>
          </w:tcPr>
          <w:p w14:paraId="7852A539" w14:textId="77777777" w:rsidR="0062292A" w:rsidRPr="00693334" w:rsidRDefault="0062292A" w:rsidP="00BA3D37">
            <w:pPr>
              <w:rPr>
                <w:rFonts w:eastAsia="Calibri"/>
                <w:b/>
                <w:sz w:val="24"/>
                <w:szCs w:val="24"/>
              </w:rPr>
            </w:pPr>
            <w:r w:rsidRPr="00693334">
              <w:rPr>
                <w:rFonts w:eastAsia="Calibri"/>
                <w:b/>
                <w:sz w:val="24"/>
                <w:szCs w:val="24"/>
              </w:rPr>
              <w:t>Primær effekt</w:t>
            </w:r>
          </w:p>
        </w:tc>
        <w:tc>
          <w:tcPr>
            <w:tcW w:w="0" w:type="auto"/>
            <w:shd w:val="clear" w:color="auto" w:fill="auto"/>
          </w:tcPr>
          <w:p w14:paraId="15997791" w14:textId="77777777" w:rsidR="0062292A" w:rsidRPr="00693334" w:rsidRDefault="0062292A" w:rsidP="00BA3D37">
            <w:pPr>
              <w:rPr>
                <w:rFonts w:eastAsia="Calibri"/>
                <w:b/>
                <w:sz w:val="24"/>
                <w:szCs w:val="24"/>
              </w:rPr>
            </w:pPr>
            <w:r w:rsidRPr="00693334">
              <w:rPr>
                <w:rFonts w:eastAsia="Calibri"/>
                <w:b/>
                <w:sz w:val="24"/>
                <w:szCs w:val="24"/>
              </w:rPr>
              <w:t>N</w:t>
            </w:r>
          </w:p>
        </w:tc>
        <w:tc>
          <w:tcPr>
            <w:tcW w:w="0" w:type="auto"/>
            <w:shd w:val="clear" w:color="auto" w:fill="auto"/>
          </w:tcPr>
          <w:p w14:paraId="3B8CB2E5" w14:textId="224D67D2" w:rsidR="0062292A" w:rsidRPr="00693334" w:rsidRDefault="0062292A" w:rsidP="00BA3D37">
            <w:pPr>
              <w:rPr>
                <w:rFonts w:eastAsia="Calibri"/>
                <w:b/>
                <w:sz w:val="24"/>
                <w:szCs w:val="24"/>
              </w:rPr>
            </w:pPr>
            <w:r w:rsidRPr="00693334">
              <w:rPr>
                <w:rFonts w:eastAsia="Calibri"/>
                <w:b/>
                <w:sz w:val="24"/>
                <w:szCs w:val="24"/>
              </w:rPr>
              <w:t>Sekundær effekt</w:t>
            </w:r>
          </w:p>
        </w:tc>
        <w:tc>
          <w:tcPr>
            <w:tcW w:w="0" w:type="auto"/>
            <w:shd w:val="clear" w:color="auto" w:fill="auto"/>
          </w:tcPr>
          <w:p w14:paraId="1FB7BE08" w14:textId="77777777" w:rsidR="0062292A" w:rsidRPr="00693334" w:rsidRDefault="0062292A" w:rsidP="00BA3D37">
            <w:pPr>
              <w:rPr>
                <w:rFonts w:eastAsia="Calibri"/>
                <w:b/>
                <w:sz w:val="24"/>
                <w:szCs w:val="24"/>
              </w:rPr>
            </w:pPr>
            <w:r w:rsidRPr="00693334">
              <w:rPr>
                <w:rFonts w:eastAsia="Calibri"/>
                <w:b/>
                <w:sz w:val="24"/>
                <w:szCs w:val="24"/>
              </w:rPr>
              <w:t>Varighed</w:t>
            </w:r>
          </w:p>
        </w:tc>
        <w:tc>
          <w:tcPr>
            <w:tcW w:w="0" w:type="auto"/>
            <w:shd w:val="clear" w:color="auto" w:fill="auto"/>
          </w:tcPr>
          <w:p w14:paraId="6701ED47" w14:textId="77777777" w:rsidR="0062292A" w:rsidRPr="00693334" w:rsidRDefault="0062292A" w:rsidP="00BA3D37">
            <w:pPr>
              <w:rPr>
                <w:rFonts w:eastAsia="Calibri"/>
                <w:b/>
                <w:sz w:val="24"/>
                <w:szCs w:val="24"/>
              </w:rPr>
            </w:pPr>
            <w:r w:rsidRPr="00693334">
              <w:rPr>
                <w:rFonts w:eastAsia="Calibri"/>
                <w:b/>
                <w:sz w:val="24"/>
                <w:szCs w:val="24"/>
              </w:rPr>
              <w:t xml:space="preserve">Aktiv behandling og </w:t>
            </w:r>
          </w:p>
          <w:p w14:paraId="4FF8BBB9" w14:textId="77777777" w:rsidR="0062292A" w:rsidRPr="00693334" w:rsidRDefault="0062292A" w:rsidP="00BA3D37">
            <w:pPr>
              <w:rPr>
                <w:rFonts w:eastAsia="Calibri"/>
                <w:b/>
                <w:sz w:val="24"/>
                <w:szCs w:val="24"/>
              </w:rPr>
            </w:pPr>
            <w:r w:rsidRPr="00693334">
              <w:rPr>
                <w:rFonts w:eastAsia="Calibri"/>
                <w:b/>
                <w:sz w:val="24"/>
                <w:szCs w:val="24"/>
              </w:rPr>
              <w:t>dosering g/d</w:t>
            </w:r>
          </w:p>
        </w:tc>
      </w:tr>
      <w:tr w:rsidR="0062292A" w:rsidRPr="00693334" w14:paraId="790380ED" w14:textId="77777777" w:rsidTr="00BA3D37">
        <w:tc>
          <w:tcPr>
            <w:tcW w:w="0" w:type="auto"/>
            <w:shd w:val="clear" w:color="auto" w:fill="auto"/>
          </w:tcPr>
          <w:p w14:paraId="6E3D2BF2" w14:textId="77777777" w:rsidR="0062292A" w:rsidRPr="00693334" w:rsidRDefault="0062292A" w:rsidP="00BA3D37">
            <w:pPr>
              <w:ind w:left="-120"/>
              <w:jc w:val="both"/>
              <w:rPr>
                <w:rFonts w:eastAsia="Calibri"/>
                <w:sz w:val="24"/>
                <w:szCs w:val="24"/>
              </w:rPr>
            </w:pPr>
            <w:r w:rsidRPr="00693334">
              <w:rPr>
                <w:rFonts w:eastAsia="Calibri"/>
                <w:sz w:val="24"/>
                <w:szCs w:val="24"/>
              </w:rPr>
              <w:t>Studie 1</w:t>
            </w:r>
          </w:p>
        </w:tc>
        <w:tc>
          <w:tcPr>
            <w:tcW w:w="0" w:type="auto"/>
            <w:shd w:val="clear" w:color="auto" w:fill="auto"/>
          </w:tcPr>
          <w:p w14:paraId="3BCBD122" w14:textId="77777777" w:rsidR="0062292A" w:rsidRPr="00693334" w:rsidRDefault="0062292A" w:rsidP="00BA3D37">
            <w:pPr>
              <w:ind w:left="-120"/>
              <w:jc w:val="both"/>
              <w:rPr>
                <w:rFonts w:eastAsia="Calibri"/>
                <w:sz w:val="24"/>
                <w:szCs w:val="24"/>
              </w:rPr>
            </w:pPr>
            <w:r w:rsidRPr="00693334">
              <w:rPr>
                <w:rFonts w:eastAsia="Calibri"/>
                <w:sz w:val="24"/>
                <w:szCs w:val="24"/>
              </w:rPr>
              <w:t>EDS (ESS); CGIc</w:t>
            </w:r>
          </w:p>
        </w:tc>
        <w:tc>
          <w:tcPr>
            <w:tcW w:w="0" w:type="auto"/>
            <w:shd w:val="clear" w:color="auto" w:fill="auto"/>
          </w:tcPr>
          <w:p w14:paraId="1522E6B0" w14:textId="77777777" w:rsidR="0062292A" w:rsidRPr="00693334" w:rsidRDefault="0062292A" w:rsidP="00BA3D37">
            <w:pPr>
              <w:rPr>
                <w:rFonts w:eastAsia="Calibri"/>
                <w:sz w:val="24"/>
                <w:szCs w:val="24"/>
              </w:rPr>
            </w:pPr>
            <w:r w:rsidRPr="00693334">
              <w:rPr>
                <w:rFonts w:eastAsia="Calibri"/>
                <w:sz w:val="24"/>
                <w:szCs w:val="24"/>
              </w:rPr>
              <w:t>246</w:t>
            </w:r>
          </w:p>
        </w:tc>
        <w:tc>
          <w:tcPr>
            <w:tcW w:w="0" w:type="auto"/>
            <w:shd w:val="clear" w:color="auto" w:fill="auto"/>
          </w:tcPr>
          <w:p w14:paraId="76F89F89" w14:textId="77777777" w:rsidR="0062292A" w:rsidRPr="00693334" w:rsidRDefault="0062292A" w:rsidP="00BA3D37">
            <w:pPr>
              <w:rPr>
                <w:rFonts w:eastAsia="Calibri"/>
                <w:sz w:val="24"/>
                <w:szCs w:val="24"/>
                <w:lang w:val="en-GB"/>
              </w:rPr>
            </w:pPr>
            <w:r w:rsidRPr="00693334">
              <w:rPr>
                <w:rFonts w:eastAsia="Calibri"/>
                <w:sz w:val="24"/>
                <w:szCs w:val="24"/>
                <w:lang w:val="en-GB"/>
              </w:rPr>
              <w:t>MWT/Sleep</w:t>
            </w:r>
          </w:p>
          <w:p w14:paraId="3B0D546A" w14:textId="77777777" w:rsidR="0062292A" w:rsidRPr="00693334" w:rsidRDefault="0062292A" w:rsidP="00BA3D37">
            <w:pPr>
              <w:rPr>
                <w:rFonts w:eastAsia="Calibri"/>
                <w:sz w:val="24"/>
                <w:szCs w:val="24"/>
                <w:lang w:val="en-GB"/>
              </w:rPr>
            </w:pPr>
            <w:r w:rsidRPr="00693334">
              <w:rPr>
                <w:rFonts w:eastAsia="Calibri"/>
                <w:sz w:val="24"/>
                <w:szCs w:val="24"/>
                <w:lang w:val="en-GB"/>
              </w:rPr>
              <w:t>Architechure/</w:t>
            </w:r>
          </w:p>
          <w:p w14:paraId="096C33EA" w14:textId="77777777" w:rsidR="0062292A" w:rsidRPr="00693334" w:rsidRDefault="0062292A" w:rsidP="00BA3D37">
            <w:pPr>
              <w:rPr>
                <w:rFonts w:eastAsia="Calibri"/>
                <w:sz w:val="24"/>
                <w:szCs w:val="24"/>
                <w:lang w:val="en-GB"/>
              </w:rPr>
            </w:pPr>
            <w:r w:rsidRPr="00693334">
              <w:rPr>
                <w:rFonts w:eastAsia="Calibri"/>
                <w:sz w:val="24"/>
                <w:szCs w:val="24"/>
                <w:lang w:val="en-GB"/>
              </w:rPr>
              <w:t>Katapleksi/Naps/</w:t>
            </w:r>
          </w:p>
          <w:p w14:paraId="17103D7A" w14:textId="77777777" w:rsidR="0062292A" w:rsidRPr="00693334" w:rsidRDefault="0062292A" w:rsidP="00BA3D37">
            <w:pPr>
              <w:rPr>
                <w:rFonts w:eastAsia="Calibri"/>
                <w:sz w:val="24"/>
                <w:szCs w:val="24"/>
              </w:rPr>
            </w:pPr>
            <w:r w:rsidRPr="00693334">
              <w:rPr>
                <w:rFonts w:eastAsia="Calibri"/>
                <w:sz w:val="24"/>
                <w:szCs w:val="24"/>
              </w:rPr>
              <w:t>FOSQ</w:t>
            </w:r>
          </w:p>
        </w:tc>
        <w:tc>
          <w:tcPr>
            <w:tcW w:w="0" w:type="auto"/>
            <w:shd w:val="clear" w:color="auto" w:fill="auto"/>
          </w:tcPr>
          <w:p w14:paraId="65131DE7" w14:textId="77777777" w:rsidR="0062292A" w:rsidRPr="00693334" w:rsidRDefault="0062292A" w:rsidP="00BA3D37">
            <w:pPr>
              <w:rPr>
                <w:rFonts w:eastAsia="Calibri"/>
                <w:sz w:val="24"/>
                <w:szCs w:val="24"/>
              </w:rPr>
            </w:pPr>
            <w:r w:rsidRPr="00693334">
              <w:rPr>
                <w:rFonts w:eastAsia="Calibri"/>
                <w:sz w:val="24"/>
                <w:szCs w:val="24"/>
              </w:rPr>
              <w:t>8 uger</w:t>
            </w:r>
          </w:p>
        </w:tc>
        <w:tc>
          <w:tcPr>
            <w:tcW w:w="0" w:type="auto"/>
            <w:shd w:val="clear" w:color="auto" w:fill="auto"/>
          </w:tcPr>
          <w:p w14:paraId="296F03AE" w14:textId="77777777" w:rsidR="0062292A" w:rsidRPr="00693334" w:rsidRDefault="0062292A" w:rsidP="00BA3D37">
            <w:pPr>
              <w:jc w:val="center"/>
              <w:rPr>
                <w:rFonts w:eastAsia="Calibri"/>
                <w:sz w:val="24"/>
                <w:szCs w:val="24"/>
              </w:rPr>
            </w:pPr>
            <w:r w:rsidRPr="00693334">
              <w:rPr>
                <w:rFonts w:eastAsia="Calibri"/>
                <w:sz w:val="24"/>
                <w:szCs w:val="24"/>
              </w:rPr>
              <w:t>Natriumoxybat</w:t>
            </w:r>
          </w:p>
          <w:p w14:paraId="22ECFF1B" w14:textId="77777777" w:rsidR="0062292A" w:rsidRPr="00693334" w:rsidRDefault="0062292A" w:rsidP="00BA3D37">
            <w:pPr>
              <w:jc w:val="center"/>
              <w:rPr>
                <w:rFonts w:eastAsia="Calibri"/>
                <w:sz w:val="24"/>
                <w:szCs w:val="24"/>
              </w:rPr>
            </w:pPr>
            <w:r w:rsidRPr="00693334">
              <w:rPr>
                <w:rFonts w:eastAsia="Calibri"/>
                <w:sz w:val="24"/>
                <w:szCs w:val="24"/>
              </w:rPr>
              <w:t>4,5-9</w:t>
            </w:r>
          </w:p>
        </w:tc>
      </w:tr>
      <w:tr w:rsidR="0062292A" w:rsidRPr="00693334" w14:paraId="790FFF16" w14:textId="77777777" w:rsidTr="00BA3D37">
        <w:tc>
          <w:tcPr>
            <w:tcW w:w="0" w:type="auto"/>
            <w:shd w:val="clear" w:color="auto" w:fill="auto"/>
          </w:tcPr>
          <w:p w14:paraId="1676074D" w14:textId="77777777" w:rsidR="0062292A" w:rsidRPr="00693334" w:rsidRDefault="0062292A" w:rsidP="00BA3D37">
            <w:pPr>
              <w:ind w:left="-120"/>
              <w:jc w:val="both"/>
              <w:rPr>
                <w:rFonts w:eastAsia="Calibri"/>
                <w:sz w:val="24"/>
                <w:szCs w:val="24"/>
              </w:rPr>
            </w:pPr>
            <w:r w:rsidRPr="00693334">
              <w:rPr>
                <w:rFonts w:eastAsia="Calibri"/>
                <w:sz w:val="24"/>
                <w:szCs w:val="24"/>
              </w:rPr>
              <w:t>Studie 2</w:t>
            </w:r>
          </w:p>
        </w:tc>
        <w:tc>
          <w:tcPr>
            <w:tcW w:w="0" w:type="auto"/>
            <w:shd w:val="clear" w:color="auto" w:fill="auto"/>
          </w:tcPr>
          <w:p w14:paraId="4902CA8C" w14:textId="77777777" w:rsidR="0062292A" w:rsidRPr="00693334" w:rsidRDefault="0062292A" w:rsidP="00BA3D37">
            <w:pPr>
              <w:ind w:left="-120"/>
              <w:jc w:val="both"/>
              <w:rPr>
                <w:rFonts w:eastAsia="Calibri"/>
                <w:sz w:val="24"/>
                <w:szCs w:val="24"/>
              </w:rPr>
            </w:pPr>
            <w:r w:rsidRPr="00693334">
              <w:rPr>
                <w:rFonts w:eastAsia="Calibri"/>
                <w:sz w:val="24"/>
                <w:szCs w:val="24"/>
              </w:rPr>
              <w:t>EDS (MWT)</w:t>
            </w:r>
          </w:p>
        </w:tc>
        <w:tc>
          <w:tcPr>
            <w:tcW w:w="0" w:type="auto"/>
            <w:shd w:val="clear" w:color="auto" w:fill="auto"/>
          </w:tcPr>
          <w:p w14:paraId="0B2131D5" w14:textId="77777777" w:rsidR="0062292A" w:rsidRPr="00693334" w:rsidRDefault="0062292A" w:rsidP="00BA3D37">
            <w:pPr>
              <w:rPr>
                <w:rFonts w:eastAsia="Calibri"/>
                <w:sz w:val="24"/>
                <w:szCs w:val="24"/>
              </w:rPr>
            </w:pPr>
            <w:r w:rsidRPr="00693334">
              <w:rPr>
                <w:rFonts w:eastAsia="Calibri"/>
                <w:sz w:val="24"/>
                <w:szCs w:val="24"/>
              </w:rPr>
              <w:t>231</w:t>
            </w:r>
          </w:p>
        </w:tc>
        <w:tc>
          <w:tcPr>
            <w:tcW w:w="0" w:type="auto"/>
            <w:shd w:val="clear" w:color="auto" w:fill="auto"/>
          </w:tcPr>
          <w:p w14:paraId="13816B1C" w14:textId="77777777" w:rsidR="0062292A" w:rsidRPr="00693334" w:rsidRDefault="0062292A" w:rsidP="00BA3D37">
            <w:pPr>
              <w:rPr>
                <w:rFonts w:eastAsia="Calibri"/>
                <w:sz w:val="24"/>
                <w:szCs w:val="24"/>
                <w:lang w:val="en-GB"/>
              </w:rPr>
            </w:pPr>
            <w:r w:rsidRPr="00693334">
              <w:rPr>
                <w:rFonts w:eastAsia="Calibri"/>
                <w:sz w:val="24"/>
                <w:szCs w:val="24"/>
                <w:lang w:val="en-GB"/>
              </w:rPr>
              <w:t>Sleep</w:t>
            </w:r>
          </w:p>
          <w:p w14:paraId="66F6C386" w14:textId="77777777" w:rsidR="0062292A" w:rsidRPr="00693334" w:rsidRDefault="0062292A" w:rsidP="00BA3D37">
            <w:pPr>
              <w:rPr>
                <w:rFonts w:eastAsia="Calibri"/>
                <w:sz w:val="24"/>
                <w:szCs w:val="24"/>
                <w:lang w:val="en-GB"/>
              </w:rPr>
            </w:pPr>
            <w:r w:rsidRPr="00693334">
              <w:rPr>
                <w:rFonts w:eastAsia="Calibri"/>
                <w:sz w:val="24"/>
                <w:szCs w:val="24"/>
                <w:lang w:val="en-GB"/>
              </w:rPr>
              <w:t>Architechure/</w:t>
            </w:r>
          </w:p>
          <w:p w14:paraId="23B7C7EB" w14:textId="77777777" w:rsidR="0062292A" w:rsidRPr="00693334" w:rsidRDefault="0062292A" w:rsidP="00BA3D37">
            <w:pPr>
              <w:rPr>
                <w:rFonts w:eastAsia="Calibri"/>
                <w:sz w:val="24"/>
                <w:szCs w:val="24"/>
                <w:lang w:val="en-GB"/>
              </w:rPr>
            </w:pPr>
            <w:r w:rsidRPr="00693334">
              <w:rPr>
                <w:rFonts w:eastAsia="Calibri"/>
                <w:sz w:val="24"/>
                <w:szCs w:val="24"/>
                <w:lang w:val="en-GB"/>
              </w:rPr>
              <w:t>ESS/CGIc/Naps</w:t>
            </w:r>
          </w:p>
        </w:tc>
        <w:tc>
          <w:tcPr>
            <w:tcW w:w="0" w:type="auto"/>
            <w:shd w:val="clear" w:color="auto" w:fill="auto"/>
          </w:tcPr>
          <w:p w14:paraId="5C7D4CD9" w14:textId="77777777" w:rsidR="0062292A" w:rsidRPr="00693334" w:rsidRDefault="0062292A" w:rsidP="00BA3D37">
            <w:pPr>
              <w:rPr>
                <w:rFonts w:eastAsia="Calibri"/>
                <w:sz w:val="24"/>
                <w:szCs w:val="24"/>
                <w:lang w:val="en-GB"/>
              </w:rPr>
            </w:pPr>
            <w:r w:rsidRPr="00693334">
              <w:rPr>
                <w:rFonts w:eastAsia="Calibri"/>
                <w:sz w:val="24"/>
                <w:szCs w:val="24"/>
                <w:lang w:val="en-GB"/>
              </w:rPr>
              <w:t>8 uger</w:t>
            </w:r>
          </w:p>
        </w:tc>
        <w:tc>
          <w:tcPr>
            <w:tcW w:w="0" w:type="auto"/>
            <w:shd w:val="clear" w:color="auto" w:fill="auto"/>
          </w:tcPr>
          <w:p w14:paraId="4DFA0FCD" w14:textId="77777777" w:rsidR="0062292A" w:rsidRPr="00693334" w:rsidRDefault="0062292A" w:rsidP="00BA3D37">
            <w:pPr>
              <w:jc w:val="center"/>
              <w:rPr>
                <w:rFonts w:eastAsia="Calibri"/>
                <w:sz w:val="24"/>
                <w:szCs w:val="24"/>
                <w:lang w:val="en-GB"/>
              </w:rPr>
            </w:pPr>
            <w:r w:rsidRPr="00693334">
              <w:rPr>
                <w:rFonts w:eastAsia="Calibri"/>
                <w:sz w:val="24"/>
                <w:szCs w:val="24"/>
                <w:lang w:val="en-GB"/>
              </w:rPr>
              <w:t>Natriumoxybat 6-9</w:t>
            </w:r>
          </w:p>
          <w:p w14:paraId="0D3D05B1" w14:textId="77777777" w:rsidR="0062292A" w:rsidRPr="00693334" w:rsidRDefault="0062292A" w:rsidP="00BA3D37">
            <w:pPr>
              <w:jc w:val="center"/>
              <w:rPr>
                <w:rFonts w:eastAsia="Calibri"/>
                <w:sz w:val="24"/>
                <w:szCs w:val="24"/>
                <w:lang w:val="en-GB"/>
              </w:rPr>
            </w:pPr>
            <w:r w:rsidRPr="00693334">
              <w:rPr>
                <w:rFonts w:eastAsia="Calibri"/>
                <w:sz w:val="24"/>
                <w:szCs w:val="24"/>
                <w:lang w:val="en-GB"/>
              </w:rPr>
              <w:t>Modafinil 200-600 mg</w:t>
            </w:r>
          </w:p>
        </w:tc>
      </w:tr>
      <w:tr w:rsidR="0062292A" w:rsidRPr="00693334" w14:paraId="49873000" w14:textId="77777777" w:rsidTr="00BA3D37">
        <w:tc>
          <w:tcPr>
            <w:tcW w:w="0" w:type="auto"/>
            <w:shd w:val="clear" w:color="auto" w:fill="auto"/>
          </w:tcPr>
          <w:p w14:paraId="75B9DA23" w14:textId="77777777" w:rsidR="0062292A" w:rsidRPr="00693334" w:rsidRDefault="0062292A" w:rsidP="00BA3D37">
            <w:pPr>
              <w:ind w:left="-120"/>
              <w:jc w:val="both"/>
              <w:rPr>
                <w:rFonts w:eastAsia="Calibri"/>
                <w:sz w:val="24"/>
                <w:szCs w:val="24"/>
              </w:rPr>
            </w:pPr>
            <w:r w:rsidRPr="00693334">
              <w:rPr>
                <w:rFonts w:eastAsia="Calibri"/>
                <w:sz w:val="24"/>
                <w:szCs w:val="24"/>
              </w:rPr>
              <w:t>Studie 3</w:t>
            </w:r>
          </w:p>
        </w:tc>
        <w:tc>
          <w:tcPr>
            <w:tcW w:w="0" w:type="auto"/>
            <w:shd w:val="clear" w:color="auto" w:fill="auto"/>
          </w:tcPr>
          <w:p w14:paraId="75F26753" w14:textId="77777777" w:rsidR="0062292A" w:rsidRPr="00693334" w:rsidRDefault="0062292A" w:rsidP="00BA3D37">
            <w:pPr>
              <w:ind w:left="-120"/>
              <w:jc w:val="both"/>
              <w:rPr>
                <w:rFonts w:eastAsia="Calibri"/>
                <w:sz w:val="24"/>
                <w:szCs w:val="24"/>
              </w:rPr>
            </w:pPr>
            <w:r w:rsidRPr="00693334">
              <w:rPr>
                <w:rFonts w:eastAsia="Calibri"/>
                <w:sz w:val="24"/>
                <w:szCs w:val="24"/>
              </w:rPr>
              <w:t>Katapleksi</w:t>
            </w:r>
          </w:p>
        </w:tc>
        <w:tc>
          <w:tcPr>
            <w:tcW w:w="0" w:type="auto"/>
            <w:shd w:val="clear" w:color="auto" w:fill="auto"/>
          </w:tcPr>
          <w:p w14:paraId="6F72C9AB" w14:textId="77777777" w:rsidR="0062292A" w:rsidRPr="00693334" w:rsidRDefault="0062292A" w:rsidP="00BA3D37">
            <w:pPr>
              <w:rPr>
                <w:rFonts w:eastAsia="Calibri"/>
                <w:sz w:val="24"/>
                <w:szCs w:val="24"/>
              </w:rPr>
            </w:pPr>
            <w:r w:rsidRPr="00693334">
              <w:rPr>
                <w:rFonts w:eastAsia="Calibri"/>
                <w:sz w:val="24"/>
                <w:szCs w:val="24"/>
              </w:rPr>
              <w:t>136</w:t>
            </w:r>
          </w:p>
        </w:tc>
        <w:tc>
          <w:tcPr>
            <w:tcW w:w="0" w:type="auto"/>
            <w:shd w:val="clear" w:color="auto" w:fill="auto"/>
          </w:tcPr>
          <w:p w14:paraId="21AFA254" w14:textId="77777777" w:rsidR="0062292A" w:rsidRPr="00693334" w:rsidRDefault="0062292A" w:rsidP="00BA3D37">
            <w:pPr>
              <w:rPr>
                <w:rFonts w:eastAsia="Calibri"/>
                <w:sz w:val="24"/>
                <w:szCs w:val="24"/>
              </w:rPr>
            </w:pPr>
            <w:r w:rsidRPr="00693334">
              <w:rPr>
                <w:rFonts w:eastAsia="Calibri"/>
                <w:sz w:val="24"/>
                <w:szCs w:val="24"/>
              </w:rPr>
              <w:t>EDS (ESS)/CGIc/Naps</w:t>
            </w:r>
          </w:p>
        </w:tc>
        <w:tc>
          <w:tcPr>
            <w:tcW w:w="0" w:type="auto"/>
            <w:shd w:val="clear" w:color="auto" w:fill="auto"/>
          </w:tcPr>
          <w:p w14:paraId="69F33812" w14:textId="77777777" w:rsidR="0062292A" w:rsidRPr="00693334" w:rsidRDefault="0062292A" w:rsidP="00BA3D37">
            <w:pPr>
              <w:rPr>
                <w:rFonts w:eastAsia="Calibri"/>
                <w:sz w:val="24"/>
                <w:szCs w:val="24"/>
              </w:rPr>
            </w:pPr>
            <w:r w:rsidRPr="00693334">
              <w:rPr>
                <w:rFonts w:eastAsia="Calibri"/>
                <w:sz w:val="24"/>
                <w:szCs w:val="24"/>
              </w:rPr>
              <w:t>4 uger</w:t>
            </w:r>
          </w:p>
        </w:tc>
        <w:tc>
          <w:tcPr>
            <w:tcW w:w="0" w:type="auto"/>
            <w:shd w:val="clear" w:color="auto" w:fill="auto"/>
          </w:tcPr>
          <w:p w14:paraId="32BAF649" w14:textId="77777777" w:rsidR="0062292A" w:rsidRPr="00693334" w:rsidRDefault="0062292A" w:rsidP="00BA3D37">
            <w:pPr>
              <w:jc w:val="center"/>
              <w:rPr>
                <w:rFonts w:eastAsia="Calibri"/>
                <w:sz w:val="24"/>
                <w:szCs w:val="24"/>
              </w:rPr>
            </w:pPr>
            <w:r w:rsidRPr="00693334">
              <w:rPr>
                <w:rFonts w:eastAsia="Calibri"/>
                <w:sz w:val="24"/>
                <w:szCs w:val="24"/>
              </w:rPr>
              <w:t>Natriumoxybat 3-9</w:t>
            </w:r>
          </w:p>
        </w:tc>
      </w:tr>
      <w:tr w:rsidR="0062292A" w:rsidRPr="00693334" w14:paraId="69B9C71B" w14:textId="77777777" w:rsidTr="00BA3D37">
        <w:tc>
          <w:tcPr>
            <w:tcW w:w="0" w:type="auto"/>
            <w:shd w:val="clear" w:color="auto" w:fill="auto"/>
          </w:tcPr>
          <w:p w14:paraId="624955E7" w14:textId="77777777" w:rsidR="0062292A" w:rsidRPr="00693334" w:rsidRDefault="0062292A" w:rsidP="00BA3D37">
            <w:pPr>
              <w:ind w:left="-120"/>
              <w:jc w:val="both"/>
              <w:rPr>
                <w:rFonts w:eastAsia="Calibri"/>
                <w:sz w:val="24"/>
                <w:szCs w:val="24"/>
              </w:rPr>
            </w:pPr>
            <w:r w:rsidRPr="00693334">
              <w:rPr>
                <w:rFonts w:eastAsia="Calibri"/>
                <w:sz w:val="24"/>
                <w:szCs w:val="24"/>
              </w:rPr>
              <w:t>Studie 4</w:t>
            </w:r>
          </w:p>
        </w:tc>
        <w:tc>
          <w:tcPr>
            <w:tcW w:w="0" w:type="auto"/>
            <w:shd w:val="clear" w:color="auto" w:fill="auto"/>
          </w:tcPr>
          <w:p w14:paraId="327159F5" w14:textId="77777777" w:rsidR="0062292A" w:rsidRPr="00693334" w:rsidRDefault="0062292A" w:rsidP="00BA3D37">
            <w:pPr>
              <w:ind w:left="-120"/>
              <w:jc w:val="both"/>
              <w:rPr>
                <w:rFonts w:eastAsia="Calibri"/>
                <w:sz w:val="24"/>
                <w:szCs w:val="24"/>
              </w:rPr>
            </w:pPr>
            <w:r w:rsidRPr="00693334">
              <w:rPr>
                <w:rFonts w:eastAsia="Calibri"/>
                <w:sz w:val="24"/>
                <w:szCs w:val="24"/>
              </w:rPr>
              <w:t>Katapleksi</w:t>
            </w:r>
          </w:p>
        </w:tc>
        <w:tc>
          <w:tcPr>
            <w:tcW w:w="0" w:type="auto"/>
            <w:shd w:val="clear" w:color="auto" w:fill="auto"/>
          </w:tcPr>
          <w:p w14:paraId="4194DA14" w14:textId="77777777" w:rsidR="0062292A" w:rsidRPr="00693334" w:rsidRDefault="0062292A" w:rsidP="00BA3D37">
            <w:pPr>
              <w:rPr>
                <w:rFonts w:eastAsia="Calibri"/>
                <w:sz w:val="24"/>
                <w:szCs w:val="24"/>
              </w:rPr>
            </w:pPr>
            <w:r w:rsidRPr="00693334">
              <w:rPr>
                <w:rFonts w:eastAsia="Calibri"/>
                <w:sz w:val="24"/>
                <w:szCs w:val="24"/>
              </w:rPr>
              <w:t>55</w:t>
            </w:r>
          </w:p>
        </w:tc>
        <w:tc>
          <w:tcPr>
            <w:tcW w:w="0" w:type="auto"/>
            <w:shd w:val="clear" w:color="auto" w:fill="auto"/>
          </w:tcPr>
          <w:p w14:paraId="067F1573" w14:textId="77777777" w:rsidR="0062292A" w:rsidRPr="00693334" w:rsidRDefault="0062292A" w:rsidP="00BA3D37">
            <w:pPr>
              <w:rPr>
                <w:rFonts w:eastAsia="Calibri"/>
                <w:sz w:val="24"/>
                <w:szCs w:val="24"/>
              </w:rPr>
            </w:pPr>
            <w:r w:rsidRPr="00693334">
              <w:rPr>
                <w:rFonts w:eastAsia="Calibri"/>
                <w:sz w:val="24"/>
                <w:szCs w:val="24"/>
              </w:rPr>
              <w:t>Ingen</w:t>
            </w:r>
          </w:p>
        </w:tc>
        <w:tc>
          <w:tcPr>
            <w:tcW w:w="0" w:type="auto"/>
            <w:shd w:val="clear" w:color="auto" w:fill="auto"/>
          </w:tcPr>
          <w:p w14:paraId="54668AA2" w14:textId="77777777" w:rsidR="0062292A" w:rsidRPr="00693334" w:rsidRDefault="0062292A" w:rsidP="00BA3D37">
            <w:pPr>
              <w:rPr>
                <w:rFonts w:eastAsia="Calibri"/>
                <w:sz w:val="24"/>
                <w:szCs w:val="24"/>
              </w:rPr>
            </w:pPr>
            <w:r w:rsidRPr="00693334">
              <w:rPr>
                <w:rFonts w:eastAsia="Calibri"/>
                <w:sz w:val="24"/>
                <w:szCs w:val="24"/>
              </w:rPr>
              <w:t>4 uger</w:t>
            </w:r>
          </w:p>
        </w:tc>
        <w:tc>
          <w:tcPr>
            <w:tcW w:w="0" w:type="auto"/>
            <w:shd w:val="clear" w:color="auto" w:fill="auto"/>
          </w:tcPr>
          <w:p w14:paraId="7CE148FB" w14:textId="77777777" w:rsidR="0062292A" w:rsidRPr="00693334" w:rsidRDefault="0062292A" w:rsidP="00BA3D37">
            <w:pPr>
              <w:jc w:val="center"/>
              <w:rPr>
                <w:rFonts w:eastAsia="Calibri"/>
                <w:sz w:val="24"/>
                <w:szCs w:val="24"/>
              </w:rPr>
            </w:pPr>
            <w:r w:rsidRPr="00693334">
              <w:rPr>
                <w:rFonts w:eastAsia="Calibri"/>
                <w:sz w:val="24"/>
                <w:szCs w:val="24"/>
              </w:rPr>
              <w:t>Natriumoxybat 3-9</w:t>
            </w:r>
          </w:p>
        </w:tc>
      </w:tr>
    </w:tbl>
    <w:p w14:paraId="171855D1" w14:textId="77777777" w:rsidR="0062292A" w:rsidRPr="00693334" w:rsidRDefault="0062292A" w:rsidP="0062292A">
      <w:pPr>
        <w:tabs>
          <w:tab w:val="left" w:pos="851"/>
        </w:tabs>
        <w:ind w:left="851"/>
        <w:rPr>
          <w:sz w:val="24"/>
          <w:szCs w:val="24"/>
        </w:rPr>
      </w:pPr>
      <w:r w:rsidRPr="00693334">
        <w:rPr>
          <w:sz w:val="24"/>
          <w:szCs w:val="24"/>
        </w:rPr>
        <w:t xml:space="preserve">EDS – </w:t>
      </w:r>
      <w:r w:rsidRPr="00693334">
        <w:rPr>
          <w:i/>
          <w:iCs/>
          <w:sz w:val="24"/>
          <w:szCs w:val="24"/>
        </w:rPr>
        <w:t xml:space="preserve">Excessive daytime sleepiness </w:t>
      </w:r>
      <w:r w:rsidRPr="00693334">
        <w:rPr>
          <w:sz w:val="24"/>
          <w:szCs w:val="24"/>
        </w:rPr>
        <w:t>(udtalt søvnighed om dagen);</w:t>
      </w:r>
    </w:p>
    <w:p w14:paraId="1BA0E1D5" w14:textId="77777777" w:rsidR="0062292A" w:rsidRPr="00693334" w:rsidRDefault="0062292A" w:rsidP="0062292A">
      <w:pPr>
        <w:tabs>
          <w:tab w:val="left" w:pos="851"/>
        </w:tabs>
        <w:ind w:left="851"/>
        <w:rPr>
          <w:sz w:val="24"/>
          <w:szCs w:val="24"/>
          <w:lang w:val="en-GB"/>
        </w:rPr>
      </w:pPr>
      <w:r w:rsidRPr="00693334">
        <w:rPr>
          <w:sz w:val="24"/>
          <w:szCs w:val="24"/>
          <w:lang w:val="en-GB"/>
        </w:rPr>
        <w:t xml:space="preserve">ESS – </w:t>
      </w:r>
      <w:r w:rsidRPr="00693334">
        <w:rPr>
          <w:i/>
          <w:iCs/>
          <w:sz w:val="24"/>
          <w:szCs w:val="24"/>
          <w:lang w:val="en-GB"/>
        </w:rPr>
        <w:t xml:space="preserve">Epworth Sleepiness Scale </w:t>
      </w:r>
      <w:r w:rsidRPr="00693334">
        <w:rPr>
          <w:sz w:val="24"/>
          <w:szCs w:val="24"/>
          <w:lang w:val="en-GB"/>
        </w:rPr>
        <w:t>(Epsworths skala for søvnighed);</w:t>
      </w:r>
    </w:p>
    <w:p w14:paraId="060476FC" w14:textId="77777777" w:rsidR="0062292A" w:rsidRPr="00693334" w:rsidRDefault="0062292A" w:rsidP="0062292A">
      <w:pPr>
        <w:tabs>
          <w:tab w:val="left" w:pos="851"/>
        </w:tabs>
        <w:ind w:left="851"/>
        <w:rPr>
          <w:sz w:val="24"/>
          <w:szCs w:val="24"/>
          <w:lang w:val="en-GB"/>
        </w:rPr>
      </w:pPr>
      <w:r w:rsidRPr="00693334">
        <w:rPr>
          <w:sz w:val="24"/>
          <w:szCs w:val="24"/>
          <w:lang w:val="en-GB"/>
        </w:rPr>
        <w:t xml:space="preserve">MWT – </w:t>
      </w:r>
      <w:r w:rsidRPr="00693334">
        <w:rPr>
          <w:i/>
          <w:sz w:val="24"/>
          <w:szCs w:val="24"/>
          <w:lang w:val="en-GB"/>
        </w:rPr>
        <w:t xml:space="preserve">Maintenance of Wakefulness Test </w:t>
      </w:r>
      <w:r w:rsidRPr="00693334">
        <w:rPr>
          <w:sz w:val="24"/>
          <w:szCs w:val="24"/>
          <w:lang w:val="en-GB"/>
        </w:rPr>
        <w:t xml:space="preserve">(test for opretholdelse af vågenhed); </w:t>
      </w:r>
    </w:p>
    <w:p w14:paraId="74554369" w14:textId="77777777" w:rsidR="0062292A" w:rsidRPr="00693334" w:rsidRDefault="0062292A" w:rsidP="0062292A">
      <w:pPr>
        <w:tabs>
          <w:tab w:val="left" w:pos="851"/>
        </w:tabs>
        <w:ind w:left="851"/>
        <w:rPr>
          <w:sz w:val="24"/>
          <w:szCs w:val="24"/>
        </w:rPr>
      </w:pPr>
      <w:r w:rsidRPr="00693334">
        <w:rPr>
          <w:sz w:val="24"/>
          <w:szCs w:val="24"/>
        </w:rPr>
        <w:t>Naps – (antal utilsigtede episoder med blunden i løbet af dagen);</w:t>
      </w:r>
    </w:p>
    <w:p w14:paraId="0608173F" w14:textId="77777777" w:rsidR="0062292A" w:rsidRPr="00693334" w:rsidRDefault="0062292A" w:rsidP="0062292A">
      <w:pPr>
        <w:tabs>
          <w:tab w:val="left" w:pos="851"/>
        </w:tabs>
        <w:ind w:left="851"/>
        <w:rPr>
          <w:sz w:val="24"/>
          <w:szCs w:val="24"/>
        </w:rPr>
      </w:pPr>
      <w:r w:rsidRPr="00693334">
        <w:rPr>
          <w:sz w:val="24"/>
          <w:szCs w:val="24"/>
        </w:rPr>
        <w:t xml:space="preserve">CGIc – </w:t>
      </w:r>
      <w:r w:rsidRPr="00693334">
        <w:rPr>
          <w:i/>
          <w:sz w:val="24"/>
          <w:szCs w:val="24"/>
        </w:rPr>
        <w:t xml:space="preserve">Clinical Global Impression of Change </w:t>
      </w:r>
      <w:r w:rsidRPr="00693334">
        <w:rPr>
          <w:sz w:val="24"/>
          <w:szCs w:val="24"/>
        </w:rPr>
        <w:t>(klinisk global vurdering af ændring);</w:t>
      </w:r>
    </w:p>
    <w:p w14:paraId="7F70885A" w14:textId="77777777" w:rsidR="0062292A" w:rsidRPr="00693334" w:rsidRDefault="0062292A" w:rsidP="0062292A">
      <w:pPr>
        <w:tabs>
          <w:tab w:val="left" w:pos="851"/>
        </w:tabs>
        <w:ind w:left="851"/>
        <w:rPr>
          <w:sz w:val="24"/>
          <w:szCs w:val="24"/>
        </w:rPr>
      </w:pPr>
      <w:r w:rsidRPr="00693334">
        <w:rPr>
          <w:sz w:val="24"/>
          <w:szCs w:val="24"/>
        </w:rPr>
        <w:t xml:space="preserve">FOSQ – </w:t>
      </w:r>
      <w:r w:rsidRPr="00693334">
        <w:rPr>
          <w:i/>
          <w:sz w:val="24"/>
          <w:szCs w:val="24"/>
        </w:rPr>
        <w:t xml:space="preserve">Functional Outcomes of Sleep Questionnaire </w:t>
      </w:r>
      <w:r w:rsidRPr="00693334">
        <w:rPr>
          <w:sz w:val="24"/>
          <w:szCs w:val="24"/>
        </w:rPr>
        <w:t>(funktionelle resultater fra spørgeskema om søvn).</w:t>
      </w:r>
    </w:p>
    <w:p w14:paraId="1B2BD4F1" w14:textId="77777777" w:rsidR="0062292A" w:rsidRPr="00693334" w:rsidRDefault="0062292A" w:rsidP="0062292A">
      <w:pPr>
        <w:tabs>
          <w:tab w:val="left" w:pos="851"/>
        </w:tabs>
        <w:ind w:left="851"/>
        <w:rPr>
          <w:sz w:val="24"/>
          <w:szCs w:val="24"/>
        </w:rPr>
      </w:pPr>
    </w:p>
    <w:p w14:paraId="392A6500" w14:textId="271444DA" w:rsidR="0062292A" w:rsidRPr="00693334" w:rsidRDefault="0062292A" w:rsidP="00693334">
      <w:pPr>
        <w:tabs>
          <w:tab w:val="left" w:pos="851"/>
        </w:tabs>
        <w:ind w:left="851"/>
        <w:rPr>
          <w:sz w:val="24"/>
          <w:szCs w:val="24"/>
        </w:rPr>
      </w:pPr>
      <w:r w:rsidRPr="00693334">
        <w:rPr>
          <w:sz w:val="24"/>
          <w:szCs w:val="24"/>
        </w:rPr>
        <w:t xml:space="preserve">Studie 1 inkluderede 246 patienter med narkolepsi og omfattede en uges optitreringsfase. De primære målinger af virkning omfattede ændringer i udtalt søvnighed i dagtimerne, </w:t>
      </w:r>
      <w:r w:rsidRPr="00693334">
        <w:rPr>
          <w:sz w:val="24"/>
          <w:szCs w:val="24"/>
        </w:rPr>
        <w:lastRenderedPageBreak/>
        <w:t xml:space="preserve">målt iht. Epworth Sleepiness Scale (ESS), samt ændringen i den overordnede alvorlighed af patientens narkolepsisymptomer, vurderet af den ansvarlige læge for undersøgelsen ved brug af </w:t>
      </w:r>
      <w:r w:rsidRPr="00693334">
        <w:rPr>
          <w:iCs/>
          <w:sz w:val="24"/>
          <w:szCs w:val="24"/>
        </w:rPr>
        <w:t>Clinical Global Impressions of Change</w:t>
      </w:r>
      <w:r w:rsidRPr="00693334">
        <w:rPr>
          <w:i/>
          <w:sz w:val="24"/>
          <w:szCs w:val="24"/>
        </w:rPr>
        <w:t xml:space="preserve"> </w:t>
      </w:r>
      <w:r w:rsidRPr="00693334">
        <w:rPr>
          <w:sz w:val="24"/>
          <w:szCs w:val="24"/>
        </w:rPr>
        <w:t>(CGI-</w:t>
      </w:r>
      <w:proofErr w:type="gramStart"/>
      <w:r w:rsidRPr="00693334">
        <w:rPr>
          <w:sz w:val="24"/>
          <w:szCs w:val="24"/>
        </w:rPr>
        <w:t>c)-</w:t>
      </w:r>
      <w:proofErr w:type="gramEnd"/>
      <w:r w:rsidRPr="00693334">
        <w:rPr>
          <w:sz w:val="24"/>
          <w:szCs w:val="24"/>
        </w:rPr>
        <w:t>målingen.</w:t>
      </w:r>
    </w:p>
    <w:p w14:paraId="61D6C10B" w14:textId="77777777" w:rsidR="0062292A" w:rsidRPr="00693334" w:rsidRDefault="0062292A" w:rsidP="0062292A">
      <w:pPr>
        <w:tabs>
          <w:tab w:val="left" w:pos="851"/>
        </w:tabs>
        <w:ind w:left="851"/>
        <w:rPr>
          <w:sz w:val="24"/>
          <w:szCs w:val="24"/>
        </w:rPr>
      </w:pPr>
    </w:p>
    <w:p w14:paraId="387C7CD6" w14:textId="44257B28" w:rsidR="0062292A" w:rsidRPr="00693334" w:rsidRDefault="0062292A" w:rsidP="0062292A">
      <w:pPr>
        <w:pStyle w:val="Billedtekst"/>
        <w:keepNext/>
        <w:ind w:left="851"/>
        <w:rPr>
          <w:sz w:val="24"/>
          <w:szCs w:val="24"/>
        </w:rPr>
      </w:pPr>
      <w:r w:rsidRPr="00693334">
        <w:rPr>
          <w:sz w:val="24"/>
          <w:szCs w:val="24"/>
        </w:rPr>
        <w:t xml:space="preserve">Tabel </w:t>
      </w:r>
      <w:r w:rsidR="00602B4C" w:rsidRPr="00693334">
        <w:rPr>
          <w:sz w:val="24"/>
          <w:szCs w:val="24"/>
        </w:rPr>
        <w:t>3</w:t>
      </w:r>
      <w:r w:rsidRPr="00693334">
        <w:rPr>
          <w:sz w:val="24"/>
          <w:szCs w:val="24"/>
        </w:rPr>
        <w:t>. Sammenfatning af ESS i studie 1</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043"/>
        <w:gridCol w:w="1150"/>
        <w:gridCol w:w="1968"/>
        <w:gridCol w:w="2652"/>
      </w:tblGrid>
      <w:tr w:rsidR="0062292A" w:rsidRPr="00693334" w14:paraId="68249D61" w14:textId="77777777" w:rsidTr="00BA3D37">
        <w:tc>
          <w:tcPr>
            <w:tcW w:w="0" w:type="auto"/>
            <w:gridSpan w:val="5"/>
            <w:shd w:val="clear" w:color="auto" w:fill="auto"/>
          </w:tcPr>
          <w:p w14:paraId="1ACDE706" w14:textId="77777777" w:rsidR="0062292A" w:rsidRPr="00693334" w:rsidRDefault="0062292A" w:rsidP="00BA3D37">
            <w:pPr>
              <w:rPr>
                <w:rFonts w:eastAsia="Calibri"/>
                <w:b/>
                <w:bCs/>
                <w:sz w:val="24"/>
                <w:szCs w:val="24"/>
                <w:lang w:val="en-GB"/>
              </w:rPr>
            </w:pPr>
            <w:r w:rsidRPr="00693334">
              <w:rPr>
                <w:rFonts w:eastAsia="Calibri"/>
                <w:b/>
                <w:bCs/>
                <w:sz w:val="24"/>
                <w:szCs w:val="24"/>
                <w:lang w:val="en-GB"/>
              </w:rPr>
              <w:t>Epworth Sleepiness Scale (ESS; range 0-24)</w:t>
            </w:r>
          </w:p>
        </w:tc>
      </w:tr>
      <w:tr w:rsidR="0062292A" w:rsidRPr="00693334" w14:paraId="17A36815" w14:textId="77777777" w:rsidTr="00BA3D37">
        <w:tc>
          <w:tcPr>
            <w:tcW w:w="0" w:type="auto"/>
            <w:shd w:val="clear" w:color="auto" w:fill="auto"/>
          </w:tcPr>
          <w:p w14:paraId="5FB68806" w14:textId="77777777" w:rsidR="0062292A" w:rsidRPr="00693334" w:rsidRDefault="0062292A" w:rsidP="00BA3D37">
            <w:pPr>
              <w:rPr>
                <w:rFonts w:eastAsia="Calibri"/>
                <w:sz w:val="24"/>
                <w:szCs w:val="24"/>
                <w:lang w:val="en-GB"/>
              </w:rPr>
            </w:pPr>
            <w:r w:rsidRPr="00693334">
              <w:rPr>
                <w:rFonts w:eastAsia="Calibri"/>
                <w:sz w:val="24"/>
                <w:szCs w:val="24"/>
                <w:lang w:val="en-GB"/>
              </w:rPr>
              <w:t xml:space="preserve">Doseringsgruppe </w:t>
            </w:r>
          </w:p>
          <w:p w14:paraId="788D3CB2" w14:textId="77777777" w:rsidR="0062292A" w:rsidRPr="00693334" w:rsidRDefault="0062292A" w:rsidP="00BA3D37">
            <w:pPr>
              <w:rPr>
                <w:rFonts w:eastAsia="Calibri"/>
                <w:sz w:val="24"/>
                <w:szCs w:val="24"/>
                <w:lang w:val="en-GB"/>
              </w:rPr>
            </w:pPr>
            <w:r w:rsidRPr="00693334">
              <w:rPr>
                <w:rFonts w:eastAsia="Calibri"/>
                <w:sz w:val="24"/>
                <w:szCs w:val="24"/>
                <w:lang w:val="en-GB"/>
              </w:rPr>
              <w:t>[g/d (n)]</w:t>
            </w:r>
          </w:p>
        </w:tc>
        <w:tc>
          <w:tcPr>
            <w:tcW w:w="0" w:type="auto"/>
            <w:shd w:val="clear" w:color="auto" w:fill="auto"/>
          </w:tcPr>
          <w:p w14:paraId="5D5E75CB" w14:textId="77777777" w:rsidR="0062292A" w:rsidRPr="00693334" w:rsidRDefault="0062292A" w:rsidP="00BA3D37">
            <w:pPr>
              <w:rPr>
                <w:rFonts w:eastAsia="Calibri"/>
                <w:sz w:val="24"/>
                <w:szCs w:val="24"/>
                <w:lang w:val="en-GB"/>
              </w:rPr>
            </w:pPr>
            <w:r w:rsidRPr="00693334">
              <w:rPr>
                <w:rFonts w:eastAsia="Calibri"/>
                <w:sz w:val="24"/>
                <w:szCs w:val="24"/>
                <w:lang w:val="en-GB"/>
              </w:rPr>
              <w:t>Baseline</w:t>
            </w:r>
          </w:p>
        </w:tc>
        <w:tc>
          <w:tcPr>
            <w:tcW w:w="0" w:type="auto"/>
            <w:shd w:val="clear" w:color="auto" w:fill="auto"/>
          </w:tcPr>
          <w:p w14:paraId="0BD9D3C7" w14:textId="77777777" w:rsidR="0062292A" w:rsidRPr="00693334" w:rsidRDefault="0062292A" w:rsidP="00BA3D37">
            <w:pPr>
              <w:rPr>
                <w:rFonts w:eastAsia="Calibri"/>
                <w:sz w:val="24"/>
                <w:szCs w:val="24"/>
                <w:lang w:val="en-GB"/>
              </w:rPr>
            </w:pPr>
            <w:r w:rsidRPr="00693334">
              <w:rPr>
                <w:rFonts w:eastAsia="Calibri"/>
                <w:sz w:val="24"/>
                <w:szCs w:val="24"/>
                <w:lang w:val="en-GB"/>
              </w:rPr>
              <w:t>Slutværdi</w:t>
            </w:r>
          </w:p>
        </w:tc>
        <w:tc>
          <w:tcPr>
            <w:tcW w:w="0" w:type="auto"/>
            <w:shd w:val="clear" w:color="auto" w:fill="auto"/>
          </w:tcPr>
          <w:p w14:paraId="3E9E2367" w14:textId="77777777" w:rsidR="0062292A" w:rsidRPr="00693334" w:rsidRDefault="0062292A" w:rsidP="00BA3D37">
            <w:pPr>
              <w:rPr>
                <w:rFonts w:eastAsia="Calibri"/>
                <w:sz w:val="24"/>
                <w:szCs w:val="24"/>
              </w:rPr>
            </w:pPr>
            <w:r w:rsidRPr="00693334">
              <w:rPr>
                <w:rFonts w:eastAsia="Calibri"/>
                <w:sz w:val="24"/>
                <w:szCs w:val="24"/>
              </w:rPr>
              <w:t xml:space="preserve">Median af afvigelse </w:t>
            </w:r>
          </w:p>
          <w:p w14:paraId="53C10367" w14:textId="77777777" w:rsidR="0062292A" w:rsidRPr="00693334" w:rsidRDefault="0062292A" w:rsidP="00BA3D37">
            <w:pPr>
              <w:rPr>
                <w:rFonts w:eastAsia="Calibri"/>
                <w:sz w:val="24"/>
                <w:szCs w:val="24"/>
              </w:rPr>
            </w:pPr>
            <w:r w:rsidRPr="00693334">
              <w:rPr>
                <w:rFonts w:eastAsia="Calibri"/>
                <w:sz w:val="24"/>
                <w:szCs w:val="24"/>
              </w:rPr>
              <w:t>fra baseline</w:t>
            </w:r>
          </w:p>
        </w:tc>
        <w:tc>
          <w:tcPr>
            <w:tcW w:w="0" w:type="auto"/>
            <w:shd w:val="clear" w:color="auto" w:fill="auto"/>
          </w:tcPr>
          <w:p w14:paraId="2EAC7038" w14:textId="77777777" w:rsidR="0062292A" w:rsidRPr="00693334" w:rsidRDefault="0062292A" w:rsidP="00BA3D37">
            <w:pPr>
              <w:rPr>
                <w:rFonts w:eastAsia="Calibri"/>
                <w:sz w:val="24"/>
                <w:szCs w:val="24"/>
              </w:rPr>
            </w:pPr>
            <w:r w:rsidRPr="00693334">
              <w:rPr>
                <w:rFonts w:eastAsia="Calibri"/>
                <w:sz w:val="24"/>
                <w:szCs w:val="24"/>
              </w:rPr>
              <w:t xml:space="preserve">Afvigelse fra baseline </w:t>
            </w:r>
          </w:p>
          <w:p w14:paraId="2859DA1B" w14:textId="77777777" w:rsidR="0062292A" w:rsidRPr="00693334" w:rsidRDefault="0062292A" w:rsidP="00BA3D37">
            <w:pPr>
              <w:rPr>
                <w:rFonts w:eastAsia="Calibri"/>
                <w:sz w:val="24"/>
                <w:szCs w:val="24"/>
              </w:rPr>
            </w:pPr>
            <w:r w:rsidRPr="00693334">
              <w:rPr>
                <w:rFonts w:eastAsia="Calibri"/>
                <w:sz w:val="24"/>
                <w:szCs w:val="24"/>
              </w:rPr>
              <w:t xml:space="preserve">sammenlignet med placebo </w:t>
            </w:r>
          </w:p>
          <w:p w14:paraId="1A10F568" w14:textId="77777777" w:rsidR="0062292A" w:rsidRPr="00693334" w:rsidRDefault="0062292A" w:rsidP="00BA3D37">
            <w:pPr>
              <w:rPr>
                <w:rFonts w:eastAsia="Calibri"/>
                <w:sz w:val="24"/>
                <w:szCs w:val="24"/>
              </w:rPr>
            </w:pPr>
            <w:r w:rsidRPr="00693334">
              <w:rPr>
                <w:rFonts w:eastAsia="Calibri"/>
                <w:sz w:val="24"/>
                <w:szCs w:val="24"/>
              </w:rPr>
              <w:t>(p-værdi)</w:t>
            </w:r>
          </w:p>
        </w:tc>
      </w:tr>
      <w:tr w:rsidR="0062292A" w:rsidRPr="00693334" w14:paraId="30F3F65E" w14:textId="77777777" w:rsidTr="00BA3D37">
        <w:tc>
          <w:tcPr>
            <w:tcW w:w="0" w:type="auto"/>
            <w:shd w:val="clear" w:color="auto" w:fill="auto"/>
          </w:tcPr>
          <w:p w14:paraId="72DCA42D" w14:textId="77777777" w:rsidR="0062292A" w:rsidRPr="00693334" w:rsidRDefault="0062292A" w:rsidP="00BA3D37">
            <w:pPr>
              <w:rPr>
                <w:rFonts w:eastAsia="Calibri"/>
                <w:sz w:val="24"/>
                <w:szCs w:val="24"/>
              </w:rPr>
            </w:pPr>
            <w:r w:rsidRPr="00693334">
              <w:rPr>
                <w:rFonts w:eastAsia="Calibri"/>
                <w:sz w:val="24"/>
                <w:szCs w:val="24"/>
              </w:rPr>
              <w:t>Placebo (60)</w:t>
            </w:r>
          </w:p>
        </w:tc>
        <w:tc>
          <w:tcPr>
            <w:tcW w:w="0" w:type="auto"/>
            <w:shd w:val="clear" w:color="auto" w:fill="auto"/>
          </w:tcPr>
          <w:p w14:paraId="1593352E" w14:textId="77777777" w:rsidR="0062292A" w:rsidRPr="00693334" w:rsidRDefault="0062292A" w:rsidP="00BA3D37">
            <w:pPr>
              <w:jc w:val="center"/>
              <w:rPr>
                <w:rFonts w:eastAsia="Calibri"/>
                <w:sz w:val="24"/>
                <w:szCs w:val="24"/>
              </w:rPr>
            </w:pPr>
            <w:r w:rsidRPr="00693334">
              <w:rPr>
                <w:rFonts w:eastAsia="Calibri"/>
                <w:sz w:val="24"/>
                <w:szCs w:val="24"/>
              </w:rPr>
              <w:t>17,3</w:t>
            </w:r>
          </w:p>
        </w:tc>
        <w:tc>
          <w:tcPr>
            <w:tcW w:w="0" w:type="auto"/>
            <w:shd w:val="clear" w:color="auto" w:fill="auto"/>
          </w:tcPr>
          <w:p w14:paraId="4B6BEFAA" w14:textId="77777777" w:rsidR="0062292A" w:rsidRPr="00693334" w:rsidRDefault="0062292A" w:rsidP="00BA3D37">
            <w:pPr>
              <w:jc w:val="center"/>
              <w:rPr>
                <w:rFonts w:eastAsia="Calibri"/>
                <w:sz w:val="24"/>
                <w:szCs w:val="24"/>
              </w:rPr>
            </w:pPr>
            <w:r w:rsidRPr="00693334">
              <w:rPr>
                <w:rFonts w:eastAsia="Calibri"/>
                <w:sz w:val="24"/>
                <w:szCs w:val="24"/>
              </w:rPr>
              <w:t>16,7</w:t>
            </w:r>
          </w:p>
        </w:tc>
        <w:tc>
          <w:tcPr>
            <w:tcW w:w="0" w:type="auto"/>
            <w:shd w:val="clear" w:color="auto" w:fill="auto"/>
          </w:tcPr>
          <w:p w14:paraId="06D63151" w14:textId="77777777" w:rsidR="0062292A" w:rsidRPr="00693334" w:rsidRDefault="0062292A" w:rsidP="00BA3D37">
            <w:pPr>
              <w:jc w:val="center"/>
              <w:rPr>
                <w:rFonts w:eastAsia="Calibri"/>
                <w:sz w:val="24"/>
                <w:szCs w:val="24"/>
              </w:rPr>
            </w:pPr>
            <w:r w:rsidRPr="00693334">
              <w:rPr>
                <w:rFonts w:eastAsia="Calibri"/>
                <w:sz w:val="24"/>
                <w:szCs w:val="24"/>
              </w:rPr>
              <w:t>-0,5</w:t>
            </w:r>
          </w:p>
        </w:tc>
        <w:tc>
          <w:tcPr>
            <w:tcW w:w="0" w:type="auto"/>
            <w:shd w:val="clear" w:color="auto" w:fill="auto"/>
          </w:tcPr>
          <w:p w14:paraId="622E9AC2" w14:textId="77777777" w:rsidR="0062292A" w:rsidRPr="00693334" w:rsidRDefault="0062292A" w:rsidP="00BA3D37">
            <w:pPr>
              <w:jc w:val="center"/>
              <w:rPr>
                <w:rFonts w:eastAsia="Calibri"/>
                <w:sz w:val="24"/>
                <w:szCs w:val="24"/>
              </w:rPr>
            </w:pPr>
            <w:r w:rsidRPr="00693334">
              <w:rPr>
                <w:rFonts w:eastAsia="Calibri"/>
                <w:sz w:val="24"/>
                <w:szCs w:val="24"/>
              </w:rPr>
              <w:t>-</w:t>
            </w:r>
          </w:p>
        </w:tc>
      </w:tr>
      <w:tr w:rsidR="0062292A" w:rsidRPr="00693334" w14:paraId="795F7FBC" w14:textId="77777777" w:rsidTr="00BA3D37">
        <w:tc>
          <w:tcPr>
            <w:tcW w:w="0" w:type="auto"/>
            <w:shd w:val="clear" w:color="auto" w:fill="auto"/>
          </w:tcPr>
          <w:p w14:paraId="1A3F5196" w14:textId="77777777" w:rsidR="0062292A" w:rsidRPr="00693334" w:rsidRDefault="0062292A" w:rsidP="00BA3D37">
            <w:pPr>
              <w:rPr>
                <w:rFonts w:eastAsia="Calibri"/>
                <w:sz w:val="24"/>
                <w:szCs w:val="24"/>
              </w:rPr>
            </w:pPr>
            <w:r w:rsidRPr="00693334">
              <w:rPr>
                <w:rFonts w:eastAsia="Calibri"/>
                <w:sz w:val="24"/>
                <w:szCs w:val="24"/>
              </w:rPr>
              <w:t>4,5 (68)</w:t>
            </w:r>
          </w:p>
        </w:tc>
        <w:tc>
          <w:tcPr>
            <w:tcW w:w="0" w:type="auto"/>
            <w:shd w:val="clear" w:color="auto" w:fill="auto"/>
          </w:tcPr>
          <w:p w14:paraId="0A29AE61" w14:textId="77777777" w:rsidR="0062292A" w:rsidRPr="00693334" w:rsidRDefault="0062292A" w:rsidP="00BA3D37">
            <w:pPr>
              <w:jc w:val="center"/>
              <w:rPr>
                <w:rFonts w:eastAsia="Calibri"/>
                <w:sz w:val="24"/>
                <w:szCs w:val="24"/>
              </w:rPr>
            </w:pPr>
            <w:r w:rsidRPr="00693334">
              <w:rPr>
                <w:rFonts w:eastAsia="Calibri"/>
                <w:sz w:val="24"/>
                <w:szCs w:val="24"/>
              </w:rPr>
              <w:t>17,5</w:t>
            </w:r>
          </w:p>
        </w:tc>
        <w:tc>
          <w:tcPr>
            <w:tcW w:w="0" w:type="auto"/>
            <w:shd w:val="clear" w:color="auto" w:fill="auto"/>
          </w:tcPr>
          <w:p w14:paraId="7C136C44" w14:textId="77777777" w:rsidR="0062292A" w:rsidRPr="00693334" w:rsidRDefault="0062292A" w:rsidP="00BA3D37">
            <w:pPr>
              <w:jc w:val="center"/>
              <w:rPr>
                <w:rFonts w:eastAsia="Calibri"/>
                <w:sz w:val="24"/>
                <w:szCs w:val="24"/>
              </w:rPr>
            </w:pPr>
            <w:r w:rsidRPr="00693334">
              <w:rPr>
                <w:rFonts w:eastAsia="Calibri"/>
                <w:sz w:val="24"/>
                <w:szCs w:val="24"/>
              </w:rPr>
              <w:t>15,7</w:t>
            </w:r>
          </w:p>
        </w:tc>
        <w:tc>
          <w:tcPr>
            <w:tcW w:w="0" w:type="auto"/>
            <w:shd w:val="clear" w:color="auto" w:fill="auto"/>
          </w:tcPr>
          <w:p w14:paraId="102D7347" w14:textId="77777777" w:rsidR="0062292A" w:rsidRPr="00693334" w:rsidRDefault="0062292A" w:rsidP="00BA3D37">
            <w:pPr>
              <w:jc w:val="center"/>
              <w:rPr>
                <w:rFonts w:eastAsia="Calibri"/>
                <w:sz w:val="24"/>
                <w:szCs w:val="24"/>
              </w:rPr>
            </w:pPr>
            <w:r w:rsidRPr="00693334">
              <w:rPr>
                <w:rFonts w:eastAsia="Calibri"/>
                <w:sz w:val="24"/>
                <w:szCs w:val="24"/>
              </w:rPr>
              <w:t>-1,0</w:t>
            </w:r>
          </w:p>
        </w:tc>
        <w:tc>
          <w:tcPr>
            <w:tcW w:w="0" w:type="auto"/>
            <w:shd w:val="clear" w:color="auto" w:fill="auto"/>
          </w:tcPr>
          <w:p w14:paraId="3AAC26F6" w14:textId="77777777" w:rsidR="0062292A" w:rsidRPr="00693334" w:rsidRDefault="0062292A" w:rsidP="00BA3D37">
            <w:pPr>
              <w:jc w:val="center"/>
              <w:rPr>
                <w:rFonts w:eastAsia="Calibri"/>
                <w:sz w:val="24"/>
                <w:szCs w:val="24"/>
              </w:rPr>
            </w:pPr>
            <w:r w:rsidRPr="00693334">
              <w:rPr>
                <w:rFonts w:eastAsia="Calibri"/>
                <w:sz w:val="24"/>
                <w:szCs w:val="24"/>
              </w:rPr>
              <w:t>0,119</w:t>
            </w:r>
          </w:p>
        </w:tc>
      </w:tr>
      <w:tr w:rsidR="0062292A" w:rsidRPr="00693334" w14:paraId="00A12685" w14:textId="77777777" w:rsidTr="00BA3D37">
        <w:tc>
          <w:tcPr>
            <w:tcW w:w="0" w:type="auto"/>
            <w:shd w:val="clear" w:color="auto" w:fill="auto"/>
          </w:tcPr>
          <w:p w14:paraId="5FB43D5D" w14:textId="77777777" w:rsidR="0062292A" w:rsidRPr="00693334" w:rsidRDefault="0062292A" w:rsidP="00BA3D37">
            <w:pPr>
              <w:rPr>
                <w:rFonts w:eastAsia="Calibri"/>
                <w:sz w:val="24"/>
                <w:szCs w:val="24"/>
              </w:rPr>
            </w:pPr>
            <w:r w:rsidRPr="00693334">
              <w:rPr>
                <w:rFonts w:eastAsia="Calibri"/>
                <w:sz w:val="24"/>
                <w:szCs w:val="24"/>
              </w:rPr>
              <w:t>6 (63)</w:t>
            </w:r>
          </w:p>
        </w:tc>
        <w:tc>
          <w:tcPr>
            <w:tcW w:w="0" w:type="auto"/>
            <w:shd w:val="clear" w:color="auto" w:fill="auto"/>
          </w:tcPr>
          <w:p w14:paraId="20A3128C" w14:textId="77777777" w:rsidR="0062292A" w:rsidRPr="00693334" w:rsidRDefault="0062292A" w:rsidP="00BA3D37">
            <w:pPr>
              <w:jc w:val="center"/>
              <w:rPr>
                <w:rFonts w:eastAsia="Calibri"/>
                <w:sz w:val="24"/>
                <w:szCs w:val="24"/>
              </w:rPr>
            </w:pPr>
            <w:r w:rsidRPr="00693334">
              <w:rPr>
                <w:rFonts w:eastAsia="Calibri"/>
                <w:sz w:val="24"/>
                <w:szCs w:val="24"/>
              </w:rPr>
              <w:t>17,9</w:t>
            </w:r>
          </w:p>
        </w:tc>
        <w:tc>
          <w:tcPr>
            <w:tcW w:w="0" w:type="auto"/>
            <w:shd w:val="clear" w:color="auto" w:fill="auto"/>
          </w:tcPr>
          <w:p w14:paraId="2B0B3EB5" w14:textId="77777777" w:rsidR="0062292A" w:rsidRPr="00693334" w:rsidRDefault="0062292A" w:rsidP="00BA3D37">
            <w:pPr>
              <w:jc w:val="center"/>
              <w:rPr>
                <w:rFonts w:eastAsia="Calibri"/>
                <w:sz w:val="24"/>
                <w:szCs w:val="24"/>
              </w:rPr>
            </w:pPr>
            <w:r w:rsidRPr="00693334">
              <w:rPr>
                <w:rFonts w:eastAsia="Calibri"/>
                <w:sz w:val="24"/>
                <w:szCs w:val="24"/>
              </w:rPr>
              <w:t>15,3</w:t>
            </w:r>
          </w:p>
        </w:tc>
        <w:tc>
          <w:tcPr>
            <w:tcW w:w="0" w:type="auto"/>
            <w:shd w:val="clear" w:color="auto" w:fill="auto"/>
          </w:tcPr>
          <w:p w14:paraId="697161EB" w14:textId="77777777" w:rsidR="0062292A" w:rsidRPr="00693334" w:rsidRDefault="0062292A" w:rsidP="00BA3D37">
            <w:pPr>
              <w:jc w:val="center"/>
              <w:rPr>
                <w:rFonts w:eastAsia="Calibri"/>
                <w:sz w:val="24"/>
                <w:szCs w:val="24"/>
              </w:rPr>
            </w:pPr>
            <w:r w:rsidRPr="00693334">
              <w:rPr>
                <w:rFonts w:eastAsia="Calibri"/>
                <w:sz w:val="24"/>
                <w:szCs w:val="24"/>
              </w:rPr>
              <w:t>-2,0</w:t>
            </w:r>
          </w:p>
        </w:tc>
        <w:tc>
          <w:tcPr>
            <w:tcW w:w="0" w:type="auto"/>
            <w:shd w:val="clear" w:color="auto" w:fill="auto"/>
          </w:tcPr>
          <w:p w14:paraId="3DC66F1B" w14:textId="77777777" w:rsidR="0062292A" w:rsidRPr="00693334" w:rsidRDefault="0062292A" w:rsidP="00BA3D37">
            <w:pPr>
              <w:jc w:val="center"/>
              <w:rPr>
                <w:rFonts w:eastAsia="Calibri"/>
                <w:sz w:val="24"/>
                <w:szCs w:val="24"/>
              </w:rPr>
            </w:pPr>
            <w:r w:rsidRPr="00693334">
              <w:rPr>
                <w:rFonts w:eastAsia="Calibri"/>
                <w:sz w:val="24"/>
                <w:szCs w:val="24"/>
              </w:rPr>
              <w:t>0,001</w:t>
            </w:r>
          </w:p>
        </w:tc>
      </w:tr>
      <w:tr w:rsidR="0062292A" w:rsidRPr="00693334" w14:paraId="0ED4BA1B" w14:textId="77777777" w:rsidTr="00BA3D37">
        <w:tc>
          <w:tcPr>
            <w:tcW w:w="0" w:type="auto"/>
            <w:shd w:val="clear" w:color="auto" w:fill="auto"/>
          </w:tcPr>
          <w:p w14:paraId="414F6946" w14:textId="77777777" w:rsidR="0062292A" w:rsidRPr="00693334" w:rsidRDefault="0062292A" w:rsidP="00BA3D37">
            <w:pPr>
              <w:rPr>
                <w:rFonts w:eastAsia="Calibri"/>
                <w:sz w:val="24"/>
                <w:szCs w:val="24"/>
              </w:rPr>
            </w:pPr>
            <w:r w:rsidRPr="00693334">
              <w:rPr>
                <w:rFonts w:eastAsia="Calibri"/>
                <w:sz w:val="24"/>
                <w:szCs w:val="24"/>
              </w:rPr>
              <w:t>9 (55)</w:t>
            </w:r>
          </w:p>
        </w:tc>
        <w:tc>
          <w:tcPr>
            <w:tcW w:w="0" w:type="auto"/>
            <w:shd w:val="clear" w:color="auto" w:fill="auto"/>
          </w:tcPr>
          <w:p w14:paraId="1E867BAC" w14:textId="77777777" w:rsidR="0062292A" w:rsidRPr="00693334" w:rsidRDefault="0062292A" w:rsidP="00BA3D37">
            <w:pPr>
              <w:jc w:val="center"/>
              <w:rPr>
                <w:rFonts w:eastAsia="Calibri"/>
                <w:sz w:val="24"/>
                <w:szCs w:val="24"/>
              </w:rPr>
            </w:pPr>
            <w:r w:rsidRPr="00693334">
              <w:rPr>
                <w:rFonts w:eastAsia="Calibri"/>
                <w:sz w:val="24"/>
                <w:szCs w:val="24"/>
              </w:rPr>
              <w:t>17,9</w:t>
            </w:r>
          </w:p>
        </w:tc>
        <w:tc>
          <w:tcPr>
            <w:tcW w:w="0" w:type="auto"/>
            <w:shd w:val="clear" w:color="auto" w:fill="auto"/>
          </w:tcPr>
          <w:p w14:paraId="2843413D" w14:textId="77777777" w:rsidR="0062292A" w:rsidRPr="00693334" w:rsidRDefault="0062292A" w:rsidP="00BA3D37">
            <w:pPr>
              <w:jc w:val="center"/>
              <w:rPr>
                <w:rFonts w:eastAsia="Calibri"/>
                <w:sz w:val="24"/>
                <w:szCs w:val="24"/>
              </w:rPr>
            </w:pPr>
            <w:r w:rsidRPr="00693334">
              <w:rPr>
                <w:rFonts w:eastAsia="Calibri"/>
                <w:sz w:val="24"/>
                <w:szCs w:val="24"/>
              </w:rPr>
              <w:t>13,1</w:t>
            </w:r>
          </w:p>
        </w:tc>
        <w:tc>
          <w:tcPr>
            <w:tcW w:w="0" w:type="auto"/>
            <w:shd w:val="clear" w:color="auto" w:fill="auto"/>
          </w:tcPr>
          <w:p w14:paraId="372A8D23" w14:textId="77777777" w:rsidR="0062292A" w:rsidRPr="00693334" w:rsidRDefault="0062292A" w:rsidP="00BA3D37">
            <w:pPr>
              <w:jc w:val="center"/>
              <w:rPr>
                <w:rFonts w:eastAsia="Calibri"/>
                <w:sz w:val="24"/>
                <w:szCs w:val="24"/>
              </w:rPr>
            </w:pPr>
            <w:r w:rsidRPr="00693334">
              <w:rPr>
                <w:rFonts w:eastAsia="Calibri"/>
                <w:sz w:val="24"/>
                <w:szCs w:val="24"/>
              </w:rPr>
              <w:t>-2,0</w:t>
            </w:r>
          </w:p>
        </w:tc>
        <w:tc>
          <w:tcPr>
            <w:tcW w:w="0" w:type="auto"/>
            <w:shd w:val="clear" w:color="auto" w:fill="auto"/>
          </w:tcPr>
          <w:p w14:paraId="76755898" w14:textId="77777777" w:rsidR="0062292A" w:rsidRPr="00693334" w:rsidRDefault="0062292A" w:rsidP="00BA3D37">
            <w:pPr>
              <w:jc w:val="center"/>
              <w:rPr>
                <w:rFonts w:eastAsia="Calibri"/>
                <w:sz w:val="24"/>
                <w:szCs w:val="24"/>
              </w:rPr>
            </w:pPr>
            <w:r w:rsidRPr="00693334">
              <w:rPr>
                <w:rFonts w:eastAsia="Calibri"/>
                <w:sz w:val="24"/>
                <w:szCs w:val="24"/>
              </w:rPr>
              <w:t>&lt;0,001</w:t>
            </w:r>
          </w:p>
        </w:tc>
      </w:tr>
    </w:tbl>
    <w:p w14:paraId="11F44D17" w14:textId="77777777" w:rsidR="0062292A" w:rsidRPr="00693334" w:rsidRDefault="0062292A" w:rsidP="0062292A">
      <w:pPr>
        <w:tabs>
          <w:tab w:val="left" w:pos="851"/>
        </w:tabs>
        <w:ind w:left="851"/>
        <w:rPr>
          <w:sz w:val="24"/>
          <w:szCs w:val="24"/>
        </w:rPr>
      </w:pPr>
    </w:p>
    <w:p w14:paraId="643E366F" w14:textId="60905E20" w:rsidR="0062292A" w:rsidRPr="00693334" w:rsidRDefault="0062292A" w:rsidP="0062292A">
      <w:pPr>
        <w:pStyle w:val="Billedtekst"/>
        <w:keepNext/>
        <w:ind w:left="851"/>
        <w:rPr>
          <w:sz w:val="24"/>
          <w:szCs w:val="24"/>
        </w:rPr>
      </w:pPr>
      <w:r w:rsidRPr="00693334">
        <w:rPr>
          <w:sz w:val="24"/>
          <w:szCs w:val="24"/>
        </w:rPr>
        <w:t>Tabel</w:t>
      </w:r>
      <w:r w:rsidR="00602B4C" w:rsidRPr="00693334">
        <w:rPr>
          <w:sz w:val="24"/>
          <w:szCs w:val="24"/>
        </w:rPr>
        <w:t xml:space="preserve"> 4</w:t>
      </w:r>
      <w:r w:rsidRPr="00693334">
        <w:rPr>
          <w:sz w:val="24"/>
          <w:szCs w:val="24"/>
        </w:rPr>
        <w:t>. Sammenfatning af CGI-c i studie 1</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2590"/>
        <w:gridCol w:w="3462"/>
      </w:tblGrid>
      <w:tr w:rsidR="0062292A" w:rsidRPr="00693334" w14:paraId="41ED4EAC" w14:textId="77777777" w:rsidTr="00BA3D37">
        <w:tc>
          <w:tcPr>
            <w:tcW w:w="0" w:type="auto"/>
            <w:gridSpan w:val="3"/>
            <w:shd w:val="clear" w:color="auto" w:fill="auto"/>
          </w:tcPr>
          <w:p w14:paraId="41BB1A50" w14:textId="77777777" w:rsidR="0062292A" w:rsidRPr="00693334" w:rsidRDefault="0062292A" w:rsidP="00BA3D37">
            <w:pPr>
              <w:tabs>
                <w:tab w:val="left" w:pos="851"/>
              </w:tabs>
              <w:rPr>
                <w:b/>
                <w:bCs/>
                <w:sz w:val="24"/>
                <w:szCs w:val="24"/>
                <w:lang w:val="en-GB"/>
              </w:rPr>
            </w:pPr>
            <w:r w:rsidRPr="00693334">
              <w:rPr>
                <w:b/>
                <w:bCs/>
                <w:sz w:val="24"/>
                <w:szCs w:val="24"/>
                <w:lang w:val="en-GB"/>
              </w:rPr>
              <w:t>Clinical Global Impressions of Change (CGI-c)</w:t>
            </w:r>
          </w:p>
        </w:tc>
      </w:tr>
      <w:tr w:rsidR="0062292A" w:rsidRPr="00693334" w14:paraId="607BA2B2" w14:textId="77777777" w:rsidTr="00BA3D37">
        <w:tc>
          <w:tcPr>
            <w:tcW w:w="0" w:type="auto"/>
            <w:shd w:val="clear" w:color="auto" w:fill="auto"/>
          </w:tcPr>
          <w:p w14:paraId="47EFEDA2" w14:textId="77777777" w:rsidR="0062292A" w:rsidRPr="00693334" w:rsidRDefault="0062292A" w:rsidP="00BA3D37">
            <w:pPr>
              <w:tabs>
                <w:tab w:val="left" w:pos="851"/>
              </w:tabs>
              <w:rPr>
                <w:sz w:val="24"/>
                <w:szCs w:val="24"/>
                <w:lang w:val="en-GB"/>
              </w:rPr>
            </w:pPr>
            <w:r w:rsidRPr="00693334">
              <w:rPr>
                <w:sz w:val="24"/>
                <w:szCs w:val="24"/>
                <w:lang w:val="en-GB"/>
              </w:rPr>
              <w:t>Doseringsgruppe [g/d (n)]</w:t>
            </w:r>
          </w:p>
        </w:tc>
        <w:tc>
          <w:tcPr>
            <w:tcW w:w="0" w:type="auto"/>
            <w:shd w:val="clear" w:color="auto" w:fill="auto"/>
          </w:tcPr>
          <w:p w14:paraId="5A7C2ED3" w14:textId="77777777" w:rsidR="0062292A" w:rsidRPr="00693334" w:rsidRDefault="0062292A" w:rsidP="00BA3D37">
            <w:pPr>
              <w:tabs>
                <w:tab w:val="left" w:pos="851"/>
              </w:tabs>
              <w:rPr>
                <w:sz w:val="24"/>
                <w:szCs w:val="24"/>
                <w:lang w:val="en-GB"/>
              </w:rPr>
            </w:pPr>
            <w:r w:rsidRPr="00693334">
              <w:rPr>
                <w:sz w:val="24"/>
                <w:szCs w:val="24"/>
                <w:lang w:val="en-GB"/>
              </w:rPr>
              <w:t>Responderende patienter*</w:t>
            </w:r>
          </w:p>
          <w:p w14:paraId="691D3FB9" w14:textId="77777777" w:rsidR="0062292A" w:rsidRPr="00693334" w:rsidRDefault="0062292A" w:rsidP="00BA3D37">
            <w:pPr>
              <w:tabs>
                <w:tab w:val="left" w:pos="851"/>
              </w:tabs>
              <w:rPr>
                <w:sz w:val="24"/>
                <w:szCs w:val="24"/>
                <w:lang w:val="en-GB"/>
              </w:rPr>
            </w:pPr>
            <w:r w:rsidRPr="00693334">
              <w:rPr>
                <w:sz w:val="24"/>
                <w:szCs w:val="24"/>
                <w:lang w:val="en-GB"/>
              </w:rPr>
              <w:t>N %</w:t>
            </w:r>
          </w:p>
        </w:tc>
        <w:tc>
          <w:tcPr>
            <w:tcW w:w="0" w:type="auto"/>
            <w:shd w:val="clear" w:color="auto" w:fill="auto"/>
          </w:tcPr>
          <w:p w14:paraId="22228BB4" w14:textId="77777777" w:rsidR="0062292A" w:rsidRPr="00693334" w:rsidRDefault="0062292A" w:rsidP="00BA3D37">
            <w:pPr>
              <w:tabs>
                <w:tab w:val="left" w:pos="851"/>
              </w:tabs>
              <w:rPr>
                <w:sz w:val="24"/>
                <w:szCs w:val="24"/>
              </w:rPr>
            </w:pPr>
            <w:r w:rsidRPr="00693334">
              <w:rPr>
                <w:sz w:val="24"/>
                <w:szCs w:val="24"/>
              </w:rPr>
              <w:t>Afvigelse fra baseline sammenlignet</w:t>
            </w:r>
          </w:p>
          <w:p w14:paraId="225636A8" w14:textId="77777777" w:rsidR="0062292A" w:rsidRPr="00693334" w:rsidRDefault="0062292A" w:rsidP="00BA3D37">
            <w:pPr>
              <w:tabs>
                <w:tab w:val="left" w:pos="851"/>
              </w:tabs>
              <w:rPr>
                <w:sz w:val="24"/>
                <w:szCs w:val="24"/>
              </w:rPr>
            </w:pPr>
            <w:r w:rsidRPr="00693334">
              <w:rPr>
                <w:sz w:val="24"/>
                <w:szCs w:val="24"/>
              </w:rPr>
              <w:t xml:space="preserve"> med placebo (p-værdi)</w:t>
            </w:r>
          </w:p>
        </w:tc>
      </w:tr>
      <w:tr w:rsidR="0062292A" w:rsidRPr="00693334" w14:paraId="57C3530F" w14:textId="77777777" w:rsidTr="00BA3D37">
        <w:tc>
          <w:tcPr>
            <w:tcW w:w="0" w:type="auto"/>
            <w:shd w:val="clear" w:color="auto" w:fill="auto"/>
          </w:tcPr>
          <w:p w14:paraId="021D7470" w14:textId="77777777" w:rsidR="0062292A" w:rsidRPr="00693334" w:rsidRDefault="0062292A" w:rsidP="00095F20">
            <w:pPr>
              <w:tabs>
                <w:tab w:val="left" w:pos="851"/>
              </w:tabs>
              <w:jc w:val="center"/>
              <w:rPr>
                <w:sz w:val="24"/>
                <w:szCs w:val="24"/>
              </w:rPr>
            </w:pPr>
            <w:r w:rsidRPr="00693334">
              <w:rPr>
                <w:sz w:val="24"/>
                <w:szCs w:val="24"/>
              </w:rPr>
              <w:t>Placebo (60)</w:t>
            </w:r>
          </w:p>
        </w:tc>
        <w:tc>
          <w:tcPr>
            <w:tcW w:w="0" w:type="auto"/>
            <w:shd w:val="clear" w:color="auto" w:fill="auto"/>
          </w:tcPr>
          <w:p w14:paraId="3F08A423" w14:textId="77777777" w:rsidR="0062292A" w:rsidRPr="00693334" w:rsidRDefault="0062292A" w:rsidP="00BA3D37">
            <w:pPr>
              <w:tabs>
                <w:tab w:val="left" w:pos="851"/>
              </w:tabs>
              <w:jc w:val="center"/>
              <w:rPr>
                <w:sz w:val="24"/>
                <w:szCs w:val="24"/>
              </w:rPr>
            </w:pPr>
            <w:r w:rsidRPr="00693334">
              <w:rPr>
                <w:sz w:val="24"/>
                <w:szCs w:val="24"/>
              </w:rPr>
              <w:t>13 (21,7)</w:t>
            </w:r>
          </w:p>
        </w:tc>
        <w:tc>
          <w:tcPr>
            <w:tcW w:w="0" w:type="auto"/>
            <w:shd w:val="clear" w:color="auto" w:fill="auto"/>
          </w:tcPr>
          <w:p w14:paraId="498D9614" w14:textId="77777777" w:rsidR="0062292A" w:rsidRPr="00693334" w:rsidRDefault="0062292A" w:rsidP="00BA3D37">
            <w:pPr>
              <w:tabs>
                <w:tab w:val="left" w:pos="851"/>
              </w:tabs>
              <w:jc w:val="center"/>
              <w:rPr>
                <w:sz w:val="24"/>
                <w:szCs w:val="24"/>
              </w:rPr>
            </w:pPr>
            <w:r w:rsidRPr="00693334">
              <w:rPr>
                <w:sz w:val="24"/>
                <w:szCs w:val="24"/>
              </w:rPr>
              <w:t>-</w:t>
            </w:r>
          </w:p>
        </w:tc>
      </w:tr>
      <w:tr w:rsidR="0062292A" w:rsidRPr="00693334" w14:paraId="71CFBAAF" w14:textId="77777777" w:rsidTr="00BA3D37">
        <w:tc>
          <w:tcPr>
            <w:tcW w:w="0" w:type="auto"/>
            <w:shd w:val="clear" w:color="auto" w:fill="auto"/>
          </w:tcPr>
          <w:p w14:paraId="7B563F76" w14:textId="77777777" w:rsidR="0062292A" w:rsidRPr="00693334" w:rsidRDefault="0062292A" w:rsidP="00095F20">
            <w:pPr>
              <w:tabs>
                <w:tab w:val="left" w:pos="851"/>
              </w:tabs>
              <w:jc w:val="center"/>
              <w:rPr>
                <w:sz w:val="24"/>
                <w:szCs w:val="24"/>
              </w:rPr>
            </w:pPr>
            <w:r w:rsidRPr="00693334">
              <w:rPr>
                <w:sz w:val="24"/>
                <w:szCs w:val="24"/>
              </w:rPr>
              <w:t>4,5 (68)</w:t>
            </w:r>
          </w:p>
        </w:tc>
        <w:tc>
          <w:tcPr>
            <w:tcW w:w="0" w:type="auto"/>
            <w:shd w:val="clear" w:color="auto" w:fill="auto"/>
          </w:tcPr>
          <w:p w14:paraId="36CD89FA" w14:textId="77777777" w:rsidR="0062292A" w:rsidRPr="00693334" w:rsidRDefault="0062292A" w:rsidP="00BA3D37">
            <w:pPr>
              <w:tabs>
                <w:tab w:val="left" w:pos="851"/>
              </w:tabs>
              <w:jc w:val="center"/>
              <w:rPr>
                <w:sz w:val="24"/>
                <w:szCs w:val="24"/>
              </w:rPr>
            </w:pPr>
            <w:r w:rsidRPr="00693334">
              <w:rPr>
                <w:sz w:val="24"/>
                <w:szCs w:val="24"/>
              </w:rPr>
              <w:t>32 (47,1)</w:t>
            </w:r>
          </w:p>
        </w:tc>
        <w:tc>
          <w:tcPr>
            <w:tcW w:w="0" w:type="auto"/>
            <w:shd w:val="clear" w:color="auto" w:fill="auto"/>
          </w:tcPr>
          <w:p w14:paraId="06331C42" w14:textId="77777777" w:rsidR="0062292A" w:rsidRPr="00693334" w:rsidRDefault="0062292A" w:rsidP="00BA3D37">
            <w:pPr>
              <w:tabs>
                <w:tab w:val="left" w:pos="851"/>
              </w:tabs>
              <w:jc w:val="center"/>
              <w:rPr>
                <w:sz w:val="24"/>
                <w:szCs w:val="24"/>
              </w:rPr>
            </w:pPr>
            <w:r w:rsidRPr="00693334">
              <w:rPr>
                <w:sz w:val="24"/>
                <w:szCs w:val="24"/>
              </w:rPr>
              <w:t>0,002</w:t>
            </w:r>
          </w:p>
        </w:tc>
      </w:tr>
      <w:tr w:rsidR="0062292A" w:rsidRPr="00693334" w14:paraId="11DA881F" w14:textId="77777777" w:rsidTr="00BA3D37">
        <w:trPr>
          <w:trHeight w:val="70"/>
        </w:trPr>
        <w:tc>
          <w:tcPr>
            <w:tcW w:w="0" w:type="auto"/>
            <w:shd w:val="clear" w:color="auto" w:fill="auto"/>
          </w:tcPr>
          <w:p w14:paraId="4939B9F2" w14:textId="77777777" w:rsidR="0062292A" w:rsidRPr="00693334" w:rsidRDefault="0062292A" w:rsidP="00095F20">
            <w:pPr>
              <w:tabs>
                <w:tab w:val="left" w:pos="851"/>
              </w:tabs>
              <w:jc w:val="center"/>
              <w:rPr>
                <w:sz w:val="24"/>
                <w:szCs w:val="24"/>
              </w:rPr>
            </w:pPr>
            <w:r w:rsidRPr="00693334">
              <w:rPr>
                <w:sz w:val="24"/>
                <w:szCs w:val="24"/>
              </w:rPr>
              <w:t>6 (63)</w:t>
            </w:r>
          </w:p>
        </w:tc>
        <w:tc>
          <w:tcPr>
            <w:tcW w:w="0" w:type="auto"/>
            <w:shd w:val="clear" w:color="auto" w:fill="auto"/>
          </w:tcPr>
          <w:p w14:paraId="469F41D2" w14:textId="77777777" w:rsidR="0062292A" w:rsidRPr="00693334" w:rsidRDefault="0062292A" w:rsidP="00BA3D37">
            <w:pPr>
              <w:tabs>
                <w:tab w:val="left" w:pos="851"/>
              </w:tabs>
              <w:jc w:val="center"/>
              <w:rPr>
                <w:sz w:val="24"/>
                <w:szCs w:val="24"/>
              </w:rPr>
            </w:pPr>
            <w:r w:rsidRPr="00693334">
              <w:rPr>
                <w:sz w:val="24"/>
                <w:szCs w:val="24"/>
              </w:rPr>
              <w:t>30 (47,6)</w:t>
            </w:r>
          </w:p>
        </w:tc>
        <w:tc>
          <w:tcPr>
            <w:tcW w:w="0" w:type="auto"/>
            <w:shd w:val="clear" w:color="auto" w:fill="auto"/>
          </w:tcPr>
          <w:p w14:paraId="66ACE503" w14:textId="77777777" w:rsidR="0062292A" w:rsidRPr="00693334" w:rsidRDefault="0062292A" w:rsidP="00BA3D37">
            <w:pPr>
              <w:tabs>
                <w:tab w:val="left" w:pos="851"/>
              </w:tabs>
              <w:jc w:val="center"/>
              <w:rPr>
                <w:sz w:val="24"/>
                <w:szCs w:val="24"/>
              </w:rPr>
            </w:pPr>
            <w:r w:rsidRPr="00693334">
              <w:rPr>
                <w:sz w:val="24"/>
                <w:szCs w:val="24"/>
              </w:rPr>
              <w:t>&lt;0,001</w:t>
            </w:r>
          </w:p>
        </w:tc>
      </w:tr>
      <w:tr w:rsidR="0062292A" w:rsidRPr="00693334" w14:paraId="26924A30" w14:textId="77777777" w:rsidTr="00BA3D37">
        <w:tc>
          <w:tcPr>
            <w:tcW w:w="0" w:type="auto"/>
            <w:shd w:val="clear" w:color="auto" w:fill="auto"/>
          </w:tcPr>
          <w:p w14:paraId="07A4D38C" w14:textId="77777777" w:rsidR="0062292A" w:rsidRPr="00693334" w:rsidRDefault="0062292A" w:rsidP="00095F20">
            <w:pPr>
              <w:tabs>
                <w:tab w:val="left" w:pos="851"/>
              </w:tabs>
              <w:jc w:val="center"/>
              <w:rPr>
                <w:sz w:val="24"/>
                <w:szCs w:val="24"/>
              </w:rPr>
            </w:pPr>
            <w:r w:rsidRPr="00693334">
              <w:rPr>
                <w:sz w:val="24"/>
                <w:szCs w:val="24"/>
              </w:rPr>
              <w:t>9 (55)</w:t>
            </w:r>
          </w:p>
        </w:tc>
        <w:tc>
          <w:tcPr>
            <w:tcW w:w="0" w:type="auto"/>
            <w:shd w:val="clear" w:color="auto" w:fill="auto"/>
          </w:tcPr>
          <w:p w14:paraId="595463DF" w14:textId="77777777" w:rsidR="0062292A" w:rsidRPr="00693334" w:rsidRDefault="0062292A" w:rsidP="00BA3D37">
            <w:pPr>
              <w:tabs>
                <w:tab w:val="left" w:pos="851"/>
              </w:tabs>
              <w:jc w:val="center"/>
              <w:rPr>
                <w:sz w:val="24"/>
                <w:szCs w:val="24"/>
              </w:rPr>
            </w:pPr>
            <w:r w:rsidRPr="00693334">
              <w:rPr>
                <w:sz w:val="24"/>
                <w:szCs w:val="24"/>
              </w:rPr>
              <w:t>30 (54,4)</w:t>
            </w:r>
          </w:p>
        </w:tc>
        <w:tc>
          <w:tcPr>
            <w:tcW w:w="0" w:type="auto"/>
            <w:shd w:val="clear" w:color="auto" w:fill="auto"/>
          </w:tcPr>
          <w:p w14:paraId="15883CD4" w14:textId="77777777" w:rsidR="0062292A" w:rsidRPr="00693334" w:rsidRDefault="0062292A" w:rsidP="00BA3D37">
            <w:pPr>
              <w:tabs>
                <w:tab w:val="left" w:pos="851"/>
              </w:tabs>
              <w:jc w:val="center"/>
              <w:rPr>
                <w:sz w:val="24"/>
                <w:szCs w:val="24"/>
              </w:rPr>
            </w:pPr>
            <w:r w:rsidRPr="00693334">
              <w:rPr>
                <w:sz w:val="24"/>
                <w:szCs w:val="24"/>
              </w:rPr>
              <w:t>&lt;0,001</w:t>
            </w:r>
          </w:p>
        </w:tc>
      </w:tr>
    </w:tbl>
    <w:p w14:paraId="5534DD9E" w14:textId="77777777" w:rsidR="0062292A" w:rsidRPr="00693334" w:rsidRDefault="0062292A" w:rsidP="0062292A">
      <w:pPr>
        <w:tabs>
          <w:tab w:val="left" w:pos="851"/>
        </w:tabs>
        <w:ind w:left="851"/>
        <w:rPr>
          <w:sz w:val="24"/>
          <w:szCs w:val="24"/>
        </w:rPr>
      </w:pPr>
      <w:r w:rsidRPr="00693334">
        <w:rPr>
          <w:sz w:val="24"/>
          <w:szCs w:val="24"/>
        </w:rPr>
        <w:t>*CGI-c data blev analyseret således, at responderende patienter blev defineret som de patienter, der fik det rigtig meget bedre eller meget bedre.</w:t>
      </w:r>
    </w:p>
    <w:p w14:paraId="6826C97E" w14:textId="77777777" w:rsidR="0062292A" w:rsidRPr="00693334" w:rsidRDefault="0062292A" w:rsidP="0062292A">
      <w:pPr>
        <w:tabs>
          <w:tab w:val="left" w:pos="851"/>
        </w:tabs>
        <w:ind w:left="851"/>
        <w:rPr>
          <w:sz w:val="24"/>
          <w:szCs w:val="24"/>
        </w:rPr>
      </w:pPr>
    </w:p>
    <w:p w14:paraId="330CD179" w14:textId="77777777" w:rsidR="0062292A" w:rsidRPr="00693334" w:rsidRDefault="0062292A" w:rsidP="0062292A">
      <w:pPr>
        <w:tabs>
          <w:tab w:val="left" w:pos="851"/>
        </w:tabs>
        <w:ind w:left="851"/>
        <w:rPr>
          <w:sz w:val="24"/>
          <w:szCs w:val="24"/>
        </w:rPr>
      </w:pPr>
      <w:r w:rsidRPr="00693334">
        <w:rPr>
          <w:sz w:val="24"/>
          <w:szCs w:val="24"/>
        </w:rPr>
        <w:t>Studie 2 sammenlignede effekten af oralt administreret natriumoxybat, modafinil og natriumoxybat + modafinil, med placebo til behandling af søvnighed i dagtimerne ved narkolepsi. I den 8 ugers dobbeltblinde periode tog patienterne enten modafinil som fast dosis eller tilsvarende placebo.</w:t>
      </w:r>
    </w:p>
    <w:p w14:paraId="0DCCDB9D" w14:textId="77777777" w:rsidR="0062292A" w:rsidRPr="00693334" w:rsidRDefault="0062292A" w:rsidP="0062292A">
      <w:pPr>
        <w:tabs>
          <w:tab w:val="left" w:pos="851"/>
        </w:tabs>
        <w:ind w:left="851"/>
        <w:rPr>
          <w:sz w:val="24"/>
          <w:szCs w:val="24"/>
        </w:rPr>
      </w:pPr>
      <w:r w:rsidRPr="00693334">
        <w:rPr>
          <w:sz w:val="24"/>
          <w:szCs w:val="24"/>
        </w:rPr>
        <w:t>Natriumoxybatdosis og den ækvivalerende placebodosis var på 6 g/dag de første 4 uger og blev øget til 9 g/dag i de resterende 4 uger. Den primære måling af virkning var udtalt søvnighed i dagtimerne, målt ved objektiv respons i MWT.</w:t>
      </w:r>
    </w:p>
    <w:p w14:paraId="0711C28C" w14:textId="77777777" w:rsidR="0062292A" w:rsidRPr="00693334" w:rsidRDefault="0062292A" w:rsidP="0062292A">
      <w:pPr>
        <w:tabs>
          <w:tab w:val="left" w:pos="851"/>
        </w:tabs>
        <w:ind w:left="851"/>
        <w:rPr>
          <w:sz w:val="24"/>
          <w:szCs w:val="24"/>
        </w:rPr>
      </w:pPr>
    </w:p>
    <w:p w14:paraId="4F61244A" w14:textId="1BB65883" w:rsidR="0062292A" w:rsidRPr="00693334" w:rsidRDefault="0062292A" w:rsidP="0062292A">
      <w:pPr>
        <w:pStyle w:val="Billedtekst"/>
        <w:keepNext/>
        <w:ind w:left="851"/>
        <w:rPr>
          <w:sz w:val="24"/>
          <w:szCs w:val="24"/>
        </w:rPr>
      </w:pPr>
      <w:r w:rsidRPr="00693334">
        <w:rPr>
          <w:sz w:val="24"/>
          <w:szCs w:val="24"/>
        </w:rPr>
        <w:t xml:space="preserve">Tabel </w:t>
      </w:r>
      <w:r w:rsidR="00602B4C" w:rsidRPr="00693334">
        <w:rPr>
          <w:sz w:val="24"/>
          <w:szCs w:val="24"/>
        </w:rPr>
        <w:t>5</w:t>
      </w:r>
      <w:r w:rsidRPr="00693334">
        <w:rPr>
          <w:sz w:val="24"/>
          <w:szCs w:val="24"/>
        </w:rPr>
        <w:t>. Sammenfatning af MWT i studie 2</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043"/>
        <w:gridCol w:w="1150"/>
        <w:gridCol w:w="2111"/>
        <w:gridCol w:w="2305"/>
      </w:tblGrid>
      <w:tr w:rsidR="0062292A" w:rsidRPr="00693334" w14:paraId="6734604D" w14:textId="77777777" w:rsidTr="00BA3D37">
        <w:tc>
          <w:tcPr>
            <w:tcW w:w="0" w:type="auto"/>
            <w:gridSpan w:val="5"/>
            <w:shd w:val="clear" w:color="auto" w:fill="auto"/>
          </w:tcPr>
          <w:p w14:paraId="5CBA03E5" w14:textId="77777777" w:rsidR="0062292A" w:rsidRPr="00693334" w:rsidRDefault="0062292A" w:rsidP="00BA3D37">
            <w:pPr>
              <w:rPr>
                <w:rFonts w:eastAsia="Calibri"/>
                <w:b/>
                <w:bCs/>
                <w:sz w:val="24"/>
                <w:szCs w:val="24"/>
                <w:lang w:val="en-GB"/>
              </w:rPr>
            </w:pPr>
            <w:r w:rsidRPr="00693334">
              <w:rPr>
                <w:rFonts w:eastAsia="Calibri"/>
                <w:b/>
                <w:bCs/>
                <w:sz w:val="24"/>
                <w:szCs w:val="24"/>
                <w:lang w:val="en-GB"/>
              </w:rPr>
              <w:t>Studie 2</w:t>
            </w:r>
          </w:p>
        </w:tc>
      </w:tr>
      <w:tr w:rsidR="0062292A" w:rsidRPr="00693334" w14:paraId="4D0491A6" w14:textId="77777777" w:rsidTr="00BA3D37">
        <w:tc>
          <w:tcPr>
            <w:tcW w:w="0" w:type="auto"/>
            <w:shd w:val="clear" w:color="auto" w:fill="auto"/>
          </w:tcPr>
          <w:p w14:paraId="5F5F4A54" w14:textId="77777777" w:rsidR="0062292A" w:rsidRPr="00693334" w:rsidRDefault="0062292A" w:rsidP="00BA3D37">
            <w:pPr>
              <w:rPr>
                <w:rFonts w:eastAsia="Calibri"/>
                <w:sz w:val="24"/>
                <w:szCs w:val="24"/>
                <w:lang w:val="en-GB"/>
              </w:rPr>
            </w:pPr>
            <w:r w:rsidRPr="00693334">
              <w:rPr>
                <w:rFonts w:eastAsia="Calibri"/>
                <w:sz w:val="24"/>
                <w:szCs w:val="24"/>
                <w:lang w:val="en-GB"/>
              </w:rPr>
              <w:t>Doseringsgruppe</w:t>
            </w:r>
          </w:p>
        </w:tc>
        <w:tc>
          <w:tcPr>
            <w:tcW w:w="0" w:type="auto"/>
            <w:shd w:val="clear" w:color="auto" w:fill="auto"/>
          </w:tcPr>
          <w:p w14:paraId="65B368FB" w14:textId="77777777" w:rsidR="0062292A" w:rsidRPr="00693334" w:rsidRDefault="0062292A" w:rsidP="00BA3D37">
            <w:pPr>
              <w:rPr>
                <w:rFonts w:eastAsia="Calibri"/>
                <w:sz w:val="24"/>
                <w:szCs w:val="24"/>
                <w:lang w:val="en-GB"/>
              </w:rPr>
            </w:pPr>
            <w:r w:rsidRPr="00693334">
              <w:rPr>
                <w:rFonts w:eastAsia="Calibri"/>
                <w:sz w:val="24"/>
                <w:szCs w:val="24"/>
                <w:lang w:val="en-GB"/>
              </w:rPr>
              <w:t>Baseline</w:t>
            </w:r>
          </w:p>
        </w:tc>
        <w:tc>
          <w:tcPr>
            <w:tcW w:w="0" w:type="auto"/>
            <w:shd w:val="clear" w:color="auto" w:fill="auto"/>
          </w:tcPr>
          <w:p w14:paraId="2ECF57AD" w14:textId="77777777" w:rsidR="0062292A" w:rsidRPr="00693334" w:rsidRDefault="0062292A" w:rsidP="00BA3D37">
            <w:pPr>
              <w:rPr>
                <w:rFonts w:eastAsia="Calibri"/>
                <w:sz w:val="24"/>
                <w:szCs w:val="24"/>
                <w:lang w:val="en-GB"/>
              </w:rPr>
            </w:pPr>
            <w:r w:rsidRPr="00693334">
              <w:rPr>
                <w:rFonts w:eastAsia="Calibri"/>
                <w:sz w:val="24"/>
                <w:szCs w:val="24"/>
                <w:lang w:val="en-GB"/>
              </w:rPr>
              <w:t>Slutværdi</w:t>
            </w:r>
          </w:p>
        </w:tc>
        <w:tc>
          <w:tcPr>
            <w:tcW w:w="0" w:type="auto"/>
            <w:shd w:val="clear" w:color="auto" w:fill="auto"/>
          </w:tcPr>
          <w:p w14:paraId="6363504D" w14:textId="77777777" w:rsidR="0062292A" w:rsidRPr="00693334" w:rsidRDefault="0062292A" w:rsidP="00BA3D37">
            <w:pPr>
              <w:rPr>
                <w:rFonts w:eastAsia="Calibri"/>
                <w:sz w:val="24"/>
                <w:szCs w:val="24"/>
              </w:rPr>
            </w:pPr>
            <w:r w:rsidRPr="00693334">
              <w:rPr>
                <w:rFonts w:eastAsia="Calibri"/>
                <w:sz w:val="24"/>
                <w:szCs w:val="24"/>
              </w:rPr>
              <w:t xml:space="preserve">Den gennemsnitlige </w:t>
            </w:r>
          </w:p>
          <w:p w14:paraId="740C8C9C" w14:textId="77777777" w:rsidR="0062292A" w:rsidRPr="00693334" w:rsidRDefault="0062292A" w:rsidP="00BA3D37">
            <w:pPr>
              <w:rPr>
                <w:rFonts w:eastAsia="Calibri"/>
                <w:sz w:val="24"/>
                <w:szCs w:val="24"/>
              </w:rPr>
            </w:pPr>
            <w:r w:rsidRPr="00693334">
              <w:rPr>
                <w:rFonts w:eastAsia="Calibri"/>
                <w:sz w:val="24"/>
                <w:szCs w:val="24"/>
              </w:rPr>
              <w:t>afvigelse fra baseline</w:t>
            </w:r>
          </w:p>
        </w:tc>
        <w:tc>
          <w:tcPr>
            <w:tcW w:w="0" w:type="auto"/>
            <w:shd w:val="clear" w:color="auto" w:fill="auto"/>
          </w:tcPr>
          <w:p w14:paraId="207B396E" w14:textId="77777777" w:rsidR="0062292A" w:rsidRPr="00693334" w:rsidRDefault="0062292A" w:rsidP="00BA3D37">
            <w:pPr>
              <w:rPr>
                <w:rFonts w:eastAsia="Calibri"/>
                <w:sz w:val="24"/>
                <w:szCs w:val="24"/>
              </w:rPr>
            </w:pPr>
            <w:r w:rsidRPr="00693334">
              <w:rPr>
                <w:rFonts w:eastAsia="Calibri"/>
                <w:sz w:val="24"/>
                <w:szCs w:val="24"/>
              </w:rPr>
              <w:t xml:space="preserve">Slutværdi sammenlignet </w:t>
            </w:r>
          </w:p>
          <w:p w14:paraId="3256F512" w14:textId="77777777" w:rsidR="0062292A" w:rsidRPr="00693334" w:rsidRDefault="0062292A" w:rsidP="00BA3D37">
            <w:pPr>
              <w:rPr>
                <w:rFonts w:eastAsia="Calibri"/>
                <w:sz w:val="24"/>
                <w:szCs w:val="24"/>
              </w:rPr>
            </w:pPr>
            <w:r w:rsidRPr="00693334">
              <w:rPr>
                <w:rFonts w:eastAsia="Calibri"/>
                <w:sz w:val="24"/>
                <w:szCs w:val="24"/>
              </w:rPr>
              <w:t>med placebo</w:t>
            </w:r>
          </w:p>
        </w:tc>
      </w:tr>
      <w:tr w:rsidR="0062292A" w:rsidRPr="00693334" w14:paraId="0B276F87" w14:textId="77777777" w:rsidTr="00BA3D37">
        <w:tc>
          <w:tcPr>
            <w:tcW w:w="0" w:type="auto"/>
            <w:shd w:val="clear" w:color="auto" w:fill="auto"/>
          </w:tcPr>
          <w:p w14:paraId="43546C8A" w14:textId="77777777" w:rsidR="0062292A" w:rsidRPr="00693334" w:rsidRDefault="0062292A" w:rsidP="00BA3D37">
            <w:pPr>
              <w:rPr>
                <w:rFonts w:eastAsia="Calibri"/>
                <w:sz w:val="24"/>
                <w:szCs w:val="24"/>
              </w:rPr>
            </w:pPr>
            <w:r w:rsidRPr="00693334">
              <w:rPr>
                <w:rFonts w:eastAsia="Calibri"/>
                <w:sz w:val="24"/>
                <w:szCs w:val="24"/>
              </w:rPr>
              <w:t>Placebo (56)</w:t>
            </w:r>
          </w:p>
        </w:tc>
        <w:tc>
          <w:tcPr>
            <w:tcW w:w="0" w:type="auto"/>
            <w:shd w:val="clear" w:color="auto" w:fill="auto"/>
          </w:tcPr>
          <w:p w14:paraId="18D4BECE" w14:textId="77777777" w:rsidR="0062292A" w:rsidRPr="00693334" w:rsidRDefault="0062292A" w:rsidP="00BA3D37">
            <w:pPr>
              <w:jc w:val="center"/>
              <w:rPr>
                <w:rFonts w:eastAsia="Calibri"/>
                <w:sz w:val="24"/>
                <w:szCs w:val="24"/>
              </w:rPr>
            </w:pPr>
            <w:r w:rsidRPr="00693334">
              <w:rPr>
                <w:rFonts w:eastAsia="Calibri"/>
                <w:sz w:val="24"/>
                <w:szCs w:val="24"/>
              </w:rPr>
              <w:t>9,9</w:t>
            </w:r>
          </w:p>
        </w:tc>
        <w:tc>
          <w:tcPr>
            <w:tcW w:w="0" w:type="auto"/>
            <w:shd w:val="clear" w:color="auto" w:fill="auto"/>
          </w:tcPr>
          <w:p w14:paraId="34A8A20E" w14:textId="77777777" w:rsidR="0062292A" w:rsidRPr="00693334" w:rsidRDefault="0062292A" w:rsidP="00BA3D37">
            <w:pPr>
              <w:jc w:val="center"/>
              <w:rPr>
                <w:rFonts w:eastAsia="Calibri"/>
                <w:sz w:val="24"/>
                <w:szCs w:val="24"/>
              </w:rPr>
            </w:pPr>
            <w:r w:rsidRPr="00693334">
              <w:rPr>
                <w:rFonts w:eastAsia="Calibri"/>
                <w:sz w:val="24"/>
                <w:szCs w:val="24"/>
              </w:rPr>
              <w:t>6,9</w:t>
            </w:r>
          </w:p>
        </w:tc>
        <w:tc>
          <w:tcPr>
            <w:tcW w:w="0" w:type="auto"/>
            <w:shd w:val="clear" w:color="auto" w:fill="auto"/>
          </w:tcPr>
          <w:p w14:paraId="445DB5EC" w14:textId="77777777" w:rsidR="0062292A" w:rsidRPr="00693334" w:rsidRDefault="0062292A" w:rsidP="00BA3D37">
            <w:pPr>
              <w:jc w:val="center"/>
              <w:rPr>
                <w:rFonts w:eastAsia="Calibri"/>
                <w:sz w:val="24"/>
                <w:szCs w:val="24"/>
              </w:rPr>
            </w:pPr>
            <w:r w:rsidRPr="00693334">
              <w:rPr>
                <w:rFonts w:eastAsia="Calibri"/>
                <w:sz w:val="24"/>
                <w:szCs w:val="24"/>
              </w:rPr>
              <w:t>-2,7</w:t>
            </w:r>
          </w:p>
        </w:tc>
        <w:tc>
          <w:tcPr>
            <w:tcW w:w="0" w:type="auto"/>
            <w:shd w:val="clear" w:color="auto" w:fill="auto"/>
          </w:tcPr>
          <w:p w14:paraId="5A18F979" w14:textId="77777777" w:rsidR="0062292A" w:rsidRPr="00693334" w:rsidRDefault="0062292A" w:rsidP="00BA3D37">
            <w:pPr>
              <w:jc w:val="center"/>
              <w:rPr>
                <w:rFonts w:eastAsia="Calibri"/>
                <w:sz w:val="24"/>
                <w:szCs w:val="24"/>
              </w:rPr>
            </w:pPr>
            <w:r w:rsidRPr="00693334">
              <w:rPr>
                <w:rFonts w:eastAsia="Calibri"/>
                <w:sz w:val="24"/>
                <w:szCs w:val="24"/>
              </w:rPr>
              <w:t>-</w:t>
            </w:r>
          </w:p>
        </w:tc>
      </w:tr>
      <w:tr w:rsidR="0062292A" w:rsidRPr="00693334" w14:paraId="7C9694C2" w14:textId="77777777" w:rsidTr="00BA3D37">
        <w:tc>
          <w:tcPr>
            <w:tcW w:w="0" w:type="auto"/>
            <w:shd w:val="clear" w:color="auto" w:fill="auto"/>
          </w:tcPr>
          <w:p w14:paraId="02EE35FC" w14:textId="77777777" w:rsidR="0062292A" w:rsidRPr="00693334" w:rsidRDefault="0062292A" w:rsidP="00BA3D37">
            <w:pPr>
              <w:rPr>
                <w:rFonts w:eastAsia="Calibri"/>
                <w:sz w:val="24"/>
                <w:szCs w:val="24"/>
              </w:rPr>
            </w:pPr>
            <w:r w:rsidRPr="00693334">
              <w:rPr>
                <w:rFonts w:eastAsia="Calibri"/>
                <w:sz w:val="24"/>
                <w:szCs w:val="24"/>
              </w:rPr>
              <w:t>Natriumoxybat (55)</w:t>
            </w:r>
          </w:p>
        </w:tc>
        <w:tc>
          <w:tcPr>
            <w:tcW w:w="0" w:type="auto"/>
            <w:shd w:val="clear" w:color="auto" w:fill="auto"/>
          </w:tcPr>
          <w:p w14:paraId="0799B0E8" w14:textId="77777777" w:rsidR="0062292A" w:rsidRPr="00693334" w:rsidRDefault="0062292A" w:rsidP="00BA3D37">
            <w:pPr>
              <w:jc w:val="center"/>
              <w:rPr>
                <w:rFonts w:eastAsia="Calibri"/>
                <w:sz w:val="24"/>
                <w:szCs w:val="24"/>
              </w:rPr>
            </w:pPr>
            <w:r w:rsidRPr="00693334">
              <w:rPr>
                <w:rFonts w:eastAsia="Calibri"/>
                <w:sz w:val="24"/>
                <w:szCs w:val="24"/>
              </w:rPr>
              <w:t>11,5</w:t>
            </w:r>
          </w:p>
        </w:tc>
        <w:tc>
          <w:tcPr>
            <w:tcW w:w="0" w:type="auto"/>
            <w:shd w:val="clear" w:color="auto" w:fill="auto"/>
          </w:tcPr>
          <w:p w14:paraId="2E247C24" w14:textId="77777777" w:rsidR="0062292A" w:rsidRPr="00693334" w:rsidRDefault="0062292A" w:rsidP="00BA3D37">
            <w:pPr>
              <w:jc w:val="center"/>
              <w:rPr>
                <w:rFonts w:eastAsia="Calibri"/>
                <w:sz w:val="24"/>
                <w:szCs w:val="24"/>
              </w:rPr>
            </w:pPr>
            <w:r w:rsidRPr="00693334">
              <w:rPr>
                <w:rFonts w:eastAsia="Calibri"/>
                <w:sz w:val="24"/>
                <w:szCs w:val="24"/>
              </w:rPr>
              <w:t>11,3</w:t>
            </w:r>
          </w:p>
        </w:tc>
        <w:tc>
          <w:tcPr>
            <w:tcW w:w="0" w:type="auto"/>
            <w:shd w:val="clear" w:color="auto" w:fill="auto"/>
          </w:tcPr>
          <w:p w14:paraId="48BB42F7" w14:textId="77777777" w:rsidR="0062292A" w:rsidRPr="00693334" w:rsidRDefault="0062292A" w:rsidP="00BA3D37">
            <w:pPr>
              <w:jc w:val="center"/>
              <w:rPr>
                <w:rFonts w:eastAsia="Calibri"/>
                <w:sz w:val="24"/>
                <w:szCs w:val="24"/>
              </w:rPr>
            </w:pPr>
            <w:r w:rsidRPr="00693334">
              <w:rPr>
                <w:rFonts w:eastAsia="Calibri"/>
                <w:sz w:val="24"/>
                <w:szCs w:val="24"/>
              </w:rPr>
              <w:t>0,16</w:t>
            </w:r>
          </w:p>
        </w:tc>
        <w:tc>
          <w:tcPr>
            <w:tcW w:w="0" w:type="auto"/>
            <w:shd w:val="clear" w:color="auto" w:fill="auto"/>
          </w:tcPr>
          <w:p w14:paraId="5304DCC7" w14:textId="77777777" w:rsidR="0062292A" w:rsidRPr="00693334" w:rsidRDefault="0062292A" w:rsidP="00BA3D37">
            <w:pPr>
              <w:jc w:val="center"/>
              <w:rPr>
                <w:rFonts w:eastAsia="Calibri"/>
                <w:sz w:val="24"/>
                <w:szCs w:val="24"/>
              </w:rPr>
            </w:pPr>
            <w:r w:rsidRPr="00693334">
              <w:rPr>
                <w:rFonts w:eastAsia="Calibri"/>
                <w:sz w:val="24"/>
                <w:szCs w:val="24"/>
              </w:rPr>
              <w:t>&lt; 0,001</w:t>
            </w:r>
          </w:p>
        </w:tc>
      </w:tr>
      <w:tr w:rsidR="0062292A" w:rsidRPr="00693334" w14:paraId="37C89423" w14:textId="77777777" w:rsidTr="00BA3D37">
        <w:tc>
          <w:tcPr>
            <w:tcW w:w="0" w:type="auto"/>
            <w:shd w:val="clear" w:color="auto" w:fill="auto"/>
          </w:tcPr>
          <w:p w14:paraId="37D5C7D8" w14:textId="77777777" w:rsidR="0062292A" w:rsidRPr="00693334" w:rsidRDefault="0062292A" w:rsidP="00BA3D37">
            <w:pPr>
              <w:rPr>
                <w:rFonts w:eastAsia="Calibri"/>
                <w:sz w:val="24"/>
                <w:szCs w:val="24"/>
              </w:rPr>
            </w:pPr>
            <w:r w:rsidRPr="00693334">
              <w:rPr>
                <w:rFonts w:eastAsia="Calibri"/>
                <w:sz w:val="24"/>
                <w:szCs w:val="24"/>
              </w:rPr>
              <w:t>Modafinil (63)</w:t>
            </w:r>
          </w:p>
        </w:tc>
        <w:tc>
          <w:tcPr>
            <w:tcW w:w="0" w:type="auto"/>
            <w:shd w:val="clear" w:color="auto" w:fill="auto"/>
          </w:tcPr>
          <w:p w14:paraId="1F607C91" w14:textId="77777777" w:rsidR="0062292A" w:rsidRPr="00693334" w:rsidRDefault="0062292A" w:rsidP="00BA3D37">
            <w:pPr>
              <w:jc w:val="center"/>
              <w:rPr>
                <w:rFonts w:eastAsia="Calibri"/>
                <w:sz w:val="24"/>
                <w:szCs w:val="24"/>
              </w:rPr>
            </w:pPr>
            <w:r w:rsidRPr="00693334">
              <w:rPr>
                <w:rFonts w:eastAsia="Calibri"/>
                <w:sz w:val="24"/>
                <w:szCs w:val="24"/>
              </w:rPr>
              <w:t>10,5</w:t>
            </w:r>
          </w:p>
        </w:tc>
        <w:tc>
          <w:tcPr>
            <w:tcW w:w="0" w:type="auto"/>
            <w:shd w:val="clear" w:color="auto" w:fill="auto"/>
          </w:tcPr>
          <w:p w14:paraId="53978B02" w14:textId="77777777" w:rsidR="0062292A" w:rsidRPr="00693334" w:rsidRDefault="0062292A" w:rsidP="00BA3D37">
            <w:pPr>
              <w:jc w:val="center"/>
              <w:rPr>
                <w:rFonts w:eastAsia="Calibri"/>
                <w:sz w:val="24"/>
                <w:szCs w:val="24"/>
              </w:rPr>
            </w:pPr>
            <w:r w:rsidRPr="00693334">
              <w:rPr>
                <w:rFonts w:eastAsia="Calibri"/>
                <w:sz w:val="24"/>
                <w:szCs w:val="24"/>
              </w:rPr>
              <w:t>9,8</w:t>
            </w:r>
          </w:p>
        </w:tc>
        <w:tc>
          <w:tcPr>
            <w:tcW w:w="0" w:type="auto"/>
            <w:shd w:val="clear" w:color="auto" w:fill="auto"/>
          </w:tcPr>
          <w:p w14:paraId="77BCBEBD" w14:textId="77777777" w:rsidR="0062292A" w:rsidRPr="00693334" w:rsidRDefault="0062292A" w:rsidP="00BA3D37">
            <w:pPr>
              <w:jc w:val="center"/>
              <w:rPr>
                <w:rFonts w:eastAsia="Calibri"/>
                <w:sz w:val="24"/>
                <w:szCs w:val="24"/>
              </w:rPr>
            </w:pPr>
            <w:r w:rsidRPr="00693334">
              <w:rPr>
                <w:rFonts w:eastAsia="Calibri"/>
                <w:sz w:val="24"/>
                <w:szCs w:val="24"/>
              </w:rPr>
              <w:t>-0,6</w:t>
            </w:r>
          </w:p>
        </w:tc>
        <w:tc>
          <w:tcPr>
            <w:tcW w:w="0" w:type="auto"/>
            <w:shd w:val="clear" w:color="auto" w:fill="auto"/>
          </w:tcPr>
          <w:p w14:paraId="1EEE51E6" w14:textId="77777777" w:rsidR="0062292A" w:rsidRPr="00693334" w:rsidRDefault="0062292A" w:rsidP="00BA3D37">
            <w:pPr>
              <w:jc w:val="center"/>
              <w:rPr>
                <w:rFonts w:eastAsia="Calibri"/>
                <w:sz w:val="24"/>
                <w:szCs w:val="24"/>
              </w:rPr>
            </w:pPr>
            <w:r w:rsidRPr="00693334">
              <w:rPr>
                <w:rFonts w:eastAsia="Calibri"/>
                <w:sz w:val="24"/>
                <w:szCs w:val="24"/>
              </w:rPr>
              <w:t>0,004</w:t>
            </w:r>
          </w:p>
        </w:tc>
      </w:tr>
      <w:tr w:rsidR="0062292A" w:rsidRPr="00693334" w14:paraId="611FFE22" w14:textId="77777777" w:rsidTr="00BA3D37">
        <w:tc>
          <w:tcPr>
            <w:tcW w:w="0" w:type="auto"/>
            <w:shd w:val="clear" w:color="auto" w:fill="auto"/>
          </w:tcPr>
          <w:p w14:paraId="24E7C34E" w14:textId="77777777" w:rsidR="0062292A" w:rsidRPr="00693334" w:rsidRDefault="0062292A" w:rsidP="00BA3D37">
            <w:pPr>
              <w:rPr>
                <w:rFonts w:eastAsia="Calibri"/>
                <w:sz w:val="24"/>
                <w:szCs w:val="24"/>
              </w:rPr>
            </w:pPr>
            <w:r w:rsidRPr="00693334">
              <w:rPr>
                <w:rFonts w:eastAsia="Calibri"/>
                <w:sz w:val="24"/>
                <w:szCs w:val="24"/>
              </w:rPr>
              <w:t>Natriumoxybat+</w:t>
            </w:r>
          </w:p>
          <w:p w14:paraId="6A3C50D7" w14:textId="77777777" w:rsidR="0062292A" w:rsidRPr="00693334" w:rsidRDefault="0062292A" w:rsidP="00BA3D37">
            <w:pPr>
              <w:rPr>
                <w:rFonts w:eastAsia="Calibri"/>
                <w:sz w:val="24"/>
                <w:szCs w:val="24"/>
              </w:rPr>
            </w:pPr>
            <w:r w:rsidRPr="00693334">
              <w:rPr>
                <w:rFonts w:eastAsia="Calibri"/>
                <w:sz w:val="24"/>
                <w:szCs w:val="24"/>
              </w:rPr>
              <w:t>Modafinil (57)</w:t>
            </w:r>
          </w:p>
        </w:tc>
        <w:tc>
          <w:tcPr>
            <w:tcW w:w="0" w:type="auto"/>
            <w:shd w:val="clear" w:color="auto" w:fill="auto"/>
          </w:tcPr>
          <w:p w14:paraId="26F62937" w14:textId="77777777" w:rsidR="0062292A" w:rsidRPr="00693334" w:rsidRDefault="0062292A" w:rsidP="00BA3D37">
            <w:pPr>
              <w:jc w:val="center"/>
              <w:rPr>
                <w:rFonts w:eastAsia="Calibri"/>
                <w:sz w:val="24"/>
                <w:szCs w:val="24"/>
              </w:rPr>
            </w:pPr>
            <w:r w:rsidRPr="00693334">
              <w:rPr>
                <w:rFonts w:eastAsia="Calibri"/>
                <w:sz w:val="24"/>
                <w:szCs w:val="24"/>
              </w:rPr>
              <w:t>10,4</w:t>
            </w:r>
          </w:p>
        </w:tc>
        <w:tc>
          <w:tcPr>
            <w:tcW w:w="0" w:type="auto"/>
            <w:shd w:val="clear" w:color="auto" w:fill="auto"/>
          </w:tcPr>
          <w:p w14:paraId="4C97E60A" w14:textId="77777777" w:rsidR="0062292A" w:rsidRPr="00693334" w:rsidRDefault="0062292A" w:rsidP="00BA3D37">
            <w:pPr>
              <w:jc w:val="center"/>
              <w:rPr>
                <w:rFonts w:eastAsia="Calibri"/>
                <w:sz w:val="24"/>
                <w:szCs w:val="24"/>
              </w:rPr>
            </w:pPr>
            <w:r w:rsidRPr="00693334">
              <w:rPr>
                <w:rFonts w:eastAsia="Calibri"/>
                <w:sz w:val="24"/>
                <w:szCs w:val="24"/>
              </w:rPr>
              <w:t>12,7</w:t>
            </w:r>
          </w:p>
        </w:tc>
        <w:tc>
          <w:tcPr>
            <w:tcW w:w="0" w:type="auto"/>
            <w:shd w:val="clear" w:color="auto" w:fill="auto"/>
          </w:tcPr>
          <w:p w14:paraId="7A60FD46" w14:textId="77777777" w:rsidR="0062292A" w:rsidRPr="00693334" w:rsidRDefault="0062292A" w:rsidP="00BA3D37">
            <w:pPr>
              <w:jc w:val="center"/>
              <w:rPr>
                <w:rFonts w:eastAsia="Calibri"/>
                <w:sz w:val="24"/>
                <w:szCs w:val="24"/>
              </w:rPr>
            </w:pPr>
            <w:r w:rsidRPr="00693334">
              <w:rPr>
                <w:rFonts w:eastAsia="Calibri"/>
                <w:sz w:val="24"/>
                <w:szCs w:val="24"/>
              </w:rPr>
              <w:t>2,3</w:t>
            </w:r>
          </w:p>
        </w:tc>
        <w:tc>
          <w:tcPr>
            <w:tcW w:w="0" w:type="auto"/>
            <w:shd w:val="clear" w:color="auto" w:fill="auto"/>
          </w:tcPr>
          <w:p w14:paraId="75E158FE" w14:textId="77777777" w:rsidR="0062292A" w:rsidRPr="00693334" w:rsidRDefault="0062292A" w:rsidP="00BA3D37">
            <w:pPr>
              <w:jc w:val="center"/>
              <w:rPr>
                <w:rFonts w:eastAsia="Calibri"/>
                <w:sz w:val="24"/>
                <w:szCs w:val="24"/>
              </w:rPr>
            </w:pPr>
            <w:r w:rsidRPr="00693334">
              <w:rPr>
                <w:rFonts w:eastAsia="Calibri"/>
                <w:sz w:val="24"/>
                <w:szCs w:val="24"/>
              </w:rPr>
              <w:t>&lt; 0,001</w:t>
            </w:r>
          </w:p>
        </w:tc>
      </w:tr>
    </w:tbl>
    <w:p w14:paraId="236553EB" w14:textId="77777777" w:rsidR="0062292A" w:rsidRPr="00693334" w:rsidRDefault="0062292A" w:rsidP="0062292A">
      <w:pPr>
        <w:tabs>
          <w:tab w:val="left" w:pos="851"/>
        </w:tabs>
        <w:ind w:left="851"/>
        <w:rPr>
          <w:sz w:val="24"/>
          <w:szCs w:val="24"/>
        </w:rPr>
      </w:pPr>
    </w:p>
    <w:p w14:paraId="015111A0" w14:textId="77777777" w:rsidR="0062292A" w:rsidRPr="00693334" w:rsidRDefault="0062292A" w:rsidP="0062292A">
      <w:pPr>
        <w:tabs>
          <w:tab w:val="left" w:pos="851"/>
        </w:tabs>
        <w:ind w:left="851"/>
        <w:rPr>
          <w:sz w:val="24"/>
          <w:szCs w:val="24"/>
        </w:rPr>
      </w:pPr>
      <w:r w:rsidRPr="00693334">
        <w:rPr>
          <w:sz w:val="24"/>
          <w:szCs w:val="24"/>
        </w:rPr>
        <w:t xml:space="preserve">Studie 3 involverede 136 narkolepsipatienter med moderat til alvorlig katapleksi (median på 21 katapleksianfald pr. uge) ved </w:t>
      </w:r>
      <w:r w:rsidRPr="00693334">
        <w:rPr>
          <w:iCs/>
          <w:sz w:val="24"/>
          <w:szCs w:val="24"/>
        </w:rPr>
        <w:t>baseline.</w:t>
      </w:r>
      <w:r w:rsidRPr="00693334">
        <w:rPr>
          <w:sz w:val="24"/>
          <w:szCs w:val="24"/>
        </w:rPr>
        <w:t xml:space="preserve"> De primære målinger af virkning i dette studie omfattede frekvensen af katapleksianfald.</w:t>
      </w:r>
    </w:p>
    <w:p w14:paraId="1E1DE3E5" w14:textId="77777777" w:rsidR="0062292A" w:rsidRPr="00693334" w:rsidRDefault="0062292A" w:rsidP="0062292A">
      <w:pPr>
        <w:tabs>
          <w:tab w:val="left" w:pos="851"/>
        </w:tabs>
        <w:ind w:left="851"/>
        <w:rPr>
          <w:sz w:val="24"/>
          <w:szCs w:val="24"/>
        </w:rPr>
      </w:pPr>
    </w:p>
    <w:p w14:paraId="7BBC8794" w14:textId="4D302418" w:rsidR="0062292A" w:rsidRPr="00693334" w:rsidRDefault="0062292A" w:rsidP="0062292A">
      <w:pPr>
        <w:pStyle w:val="Billedtekst"/>
        <w:keepNext/>
        <w:ind w:left="851"/>
        <w:rPr>
          <w:sz w:val="24"/>
          <w:szCs w:val="24"/>
        </w:rPr>
      </w:pPr>
      <w:r w:rsidRPr="00693334">
        <w:rPr>
          <w:sz w:val="24"/>
          <w:szCs w:val="24"/>
        </w:rPr>
        <w:t xml:space="preserve">Tabel </w:t>
      </w:r>
      <w:r w:rsidR="00602B4C" w:rsidRPr="00693334">
        <w:rPr>
          <w:sz w:val="24"/>
          <w:szCs w:val="24"/>
        </w:rPr>
        <w:t>6</w:t>
      </w:r>
      <w:r w:rsidRPr="00693334">
        <w:rPr>
          <w:sz w:val="24"/>
          <w:szCs w:val="24"/>
        </w:rPr>
        <w:t>. Sammenfatning af resultat i studie 3</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727"/>
        <w:gridCol w:w="1043"/>
        <w:gridCol w:w="2032"/>
        <w:gridCol w:w="2731"/>
      </w:tblGrid>
      <w:tr w:rsidR="0062292A" w:rsidRPr="00693334" w14:paraId="4B688BEF" w14:textId="77777777" w:rsidTr="00BA3D37">
        <w:tc>
          <w:tcPr>
            <w:tcW w:w="0" w:type="auto"/>
            <w:shd w:val="clear" w:color="auto" w:fill="auto"/>
          </w:tcPr>
          <w:p w14:paraId="0AAA37BC" w14:textId="77777777" w:rsidR="0062292A" w:rsidRPr="00693334" w:rsidRDefault="0062292A" w:rsidP="00BA3D37">
            <w:pPr>
              <w:rPr>
                <w:rFonts w:eastAsia="Calibri"/>
                <w:b/>
                <w:sz w:val="24"/>
                <w:szCs w:val="24"/>
              </w:rPr>
            </w:pPr>
            <w:r w:rsidRPr="00693334">
              <w:rPr>
                <w:rFonts w:eastAsia="Calibri"/>
                <w:b/>
                <w:sz w:val="24"/>
                <w:szCs w:val="24"/>
              </w:rPr>
              <w:t>Dosering</w:t>
            </w:r>
          </w:p>
        </w:tc>
        <w:tc>
          <w:tcPr>
            <w:tcW w:w="0" w:type="auto"/>
            <w:shd w:val="clear" w:color="auto" w:fill="auto"/>
          </w:tcPr>
          <w:p w14:paraId="3F28E603" w14:textId="77777777" w:rsidR="0062292A" w:rsidRPr="00693334" w:rsidRDefault="0062292A" w:rsidP="00BA3D37">
            <w:pPr>
              <w:rPr>
                <w:rFonts w:eastAsia="Calibri"/>
                <w:b/>
                <w:sz w:val="24"/>
                <w:szCs w:val="24"/>
              </w:rPr>
            </w:pPr>
            <w:r w:rsidRPr="00693334">
              <w:rPr>
                <w:rFonts w:eastAsia="Calibri"/>
                <w:b/>
                <w:sz w:val="24"/>
                <w:szCs w:val="24"/>
              </w:rPr>
              <w:t>Antal patienter</w:t>
            </w:r>
          </w:p>
        </w:tc>
        <w:tc>
          <w:tcPr>
            <w:tcW w:w="0" w:type="auto"/>
            <w:gridSpan w:val="3"/>
            <w:shd w:val="clear" w:color="auto" w:fill="auto"/>
          </w:tcPr>
          <w:p w14:paraId="1F0CDC34" w14:textId="77777777" w:rsidR="0062292A" w:rsidRPr="00693334" w:rsidRDefault="0062292A" w:rsidP="00BA3D37">
            <w:pPr>
              <w:jc w:val="center"/>
              <w:rPr>
                <w:rFonts w:eastAsia="Calibri"/>
                <w:b/>
                <w:sz w:val="24"/>
                <w:szCs w:val="24"/>
              </w:rPr>
            </w:pPr>
            <w:r w:rsidRPr="00693334">
              <w:rPr>
                <w:rFonts w:eastAsia="Calibri"/>
                <w:b/>
                <w:sz w:val="24"/>
                <w:szCs w:val="24"/>
              </w:rPr>
              <w:t>Katapleksianfald</w:t>
            </w:r>
          </w:p>
        </w:tc>
      </w:tr>
      <w:tr w:rsidR="0062292A" w:rsidRPr="00693334" w14:paraId="73B51EF7" w14:textId="77777777" w:rsidTr="00BA3D37">
        <w:tc>
          <w:tcPr>
            <w:tcW w:w="0" w:type="auto"/>
            <w:gridSpan w:val="2"/>
            <w:shd w:val="clear" w:color="auto" w:fill="auto"/>
          </w:tcPr>
          <w:p w14:paraId="04CD2FE3" w14:textId="77777777" w:rsidR="0062292A" w:rsidRPr="00693334" w:rsidRDefault="0062292A" w:rsidP="00BA3D37">
            <w:pPr>
              <w:rPr>
                <w:rFonts w:eastAsia="Calibri"/>
                <w:sz w:val="24"/>
                <w:szCs w:val="24"/>
              </w:rPr>
            </w:pPr>
            <w:r w:rsidRPr="00693334">
              <w:rPr>
                <w:rFonts w:eastAsia="Calibri"/>
                <w:sz w:val="24"/>
                <w:szCs w:val="24"/>
              </w:rPr>
              <w:t>Studie 3</w:t>
            </w:r>
          </w:p>
        </w:tc>
        <w:tc>
          <w:tcPr>
            <w:tcW w:w="0" w:type="auto"/>
            <w:shd w:val="clear" w:color="auto" w:fill="auto"/>
          </w:tcPr>
          <w:p w14:paraId="4EB2C5B2" w14:textId="77777777" w:rsidR="0062292A" w:rsidRPr="00693334" w:rsidRDefault="0062292A" w:rsidP="00BA3D37">
            <w:pPr>
              <w:rPr>
                <w:rFonts w:eastAsia="Calibri"/>
                <w:sz w:val="24"/>
                <w:szCs w:val="24"/>
              </w:rPr>
            </w:pPr>
            <w:r w:rsidRPr="00693334">
              <w:rPr>
                <w:rFonts w:eastAsia="Calibri"/>
                <w:sz w:val="24"/>
                <w:szCs w:val="24"/>
              </w:rPr>
              <w:t>Baseline</w:t>
            </w:r>
          </w:p>
        </w:tc>
        <w:tc>
          <w:tcPr>
            <w:tcW w:w="0" w:type="auto"/>
            <w:shd w:val="clear" w:color="auto" w:fill="auto"/>
          </w:tcPr>
          <w:p w14:paraId="3B571A47" w14:textId="77777777" w:rsidR="0062292A" w:rsidRPr="00693334" w:rsidRDefault="0062292A" w:rsidP="00BA3D37">
            <w:pPr>
              <w:rPr>
                <w:rFonts w:eastAsia="Calibri"/>
                <w:sz w:val="24"/>
                <w:szCs w:val="24"/>
              </w:rPr>
            </w:pPr>
            <w:r w:rsidRPr="00693334">
              <w:rPr>
                <w:rFonts w:eastAsia="Calibri"/>
                <w:sz w:val="24"/>
                <w:szCs w:val="24"/>
              </w:rPr>
              <w:t xml:space="preserve">Median af afvigelse </w:t>
            </w:r>
          </w:p>
          <w:p w14:paraId="1797DCC1" w14:textId="77777777" w:rsidR="0062292A" w:rsidRPr="00693334" w:rsidRDefault="0062292A" w:rsidP="00BA3D37">
            <w:pPr>
              <w:rPr>
                <w:rFonts w:eastAsia="Calibri"/>
                <w:sz w:val="24"/>
                <w:szCs w:val="24"/>
              </w:rPr>
            </w:pPr>
            <w:r w:rsidRPr="00693334">
              <w:rPr>
                <w:rFonts w:eastAsia="Calibri"/>
                <w:sz w:val="24"/>
                <w:szCs w:val="24"/>
              </w:rPr>
              <w:t>fra baseline</w:t>
            </w:r>
          </w:p>
        </w:tc>
        <w:tc>
          <w:tcPr>
            <w:tcW w:w="0" w:type="auto"/>
            <w:shd w:val="clear" w:color="auto" w:fill="auto"/>
          </w:tcPr>
          <w:p w14:paraId="37FC8C1D" w14:textId="77777777" w:rsidR="0062292A" w:rsidRPr="00693334" w:rsidRDefault="0062292A" w:rsidP="00BA3D37">
            <w:pPr>
              <w:rPr>
                <w:rFonts w:eastAsia="Calibri"/>
                <w:sz w:val="24"/>
                <w:szCs w:val="24"/>
              </w:rPr>
            </w:pPr>
            <w:r w:rsidRPr="00693334">
              <w:rPr>
                <w:rFonts w:eastAsia="Calibri"/>
                <w:sz w:val="24"/>
                <w:szCs w:val="24"/>
              </w:rPr>
              <w:t xml:space="preserve">Afvigelse fra baseline </w:t>
            </w:r>
          </w:p>
          <w:p w14:paraId="6E98109F" w14:textId="77777777" w:rsidR="0062292A" w:rsidRPr="00693334" w:rsidRDefault="0062292A" w:rsidP="00BA3D37">
            <w:pPr>
              <w:rPr>
                <w:rFonts w:eastAsia="Calibri"/>
                <w:sz w:val="24"/>
                <w:szCs w:val="24"/>
              </w:rPr>
            </w:pPr>
            <w:r w:rsidRPr="00693334">
              <w:rPr>
                <w:rFonts w:eastAsia="Calibri"/>
                <w:sz w:val="24"/>
                <w:szCs w:val="24"/>
              </w:rPr>
              <w:t>sammenlignet med placebo</w:t>
            </w:r>
          </w:p>
          <w:p w14:paraId="5AC286AA" w14:textId="77777777" w:rsidR="0062292A" w:rsidRPr="00693334" w:rsidRDefault="0062292A" w:rsidP="00BA3D37">
            <w:pPr>
              <w:rPr>
                <w:rFonts w:eastAsia="Calibri"/>
                <w:sz w:val="24"/>
                <w:szCs w:val="24"/>
              </w:rPr>
            </w:pPr>
            <w:r w:rsidRPr="00693334">
              <w:rPr>
                <w:rFonts w:eastAsia="Calibri"/>
                <w:sz w:val="24"/>
                <w:szCs w:val="24"/>
              </w:rPr>
              <w:t>(p-værdi)</w:t>
            </w:r>
          </w:p>
        </w:tc>
      </w:tr>
      <w:tr w:rsidR="0062292A" w:rsidRPr="00693334" w14:paraId="0BF15AD1" w14:textId="77777777" w:rsidTr="00BA3D37">
        <w:tc>
          <w:tcPr>
            <w:tcW w:w="0" w:type="auto"/>
            <w:gridSpan w:val="2"/>
            <w:shd w:val="clear" w:color="auto" w:fill="auto"/>
          </w:tcPr>
          <w:p w14:paraId="0671E990" w14:textId="77777777" w:rsidR="0062292A" w:rsidRPr="00693334" w:rsidRDefault="0062292A" w:rsidP="00BA3D37">
            <w:pPr>
              <w:rPr>
                <w:rFonts w:eastAsia="Calibri"/>
                <w:sz w:val="24"/>
                <w:szCs w:val="24"/>
              </w:rPr>
            </w:pPr>
          </w:p>
        </w:tc>
        <w:tc>
          <w:tcPr>
            <w:tcW w:w="0" w:type="auto"/>
            <w:gridSpan w:val="3"/>
            <w:shd w:val="clear" w:color="auto" w:fill="auto"/>
          </w:tcPr>
          <w:p w14:paraId="5B19E84B" w14:textId="77777777" w:rsidR="0062292A" w:rsidRPr="00693334" w:rsidRDefault="0062292A" w:rsidP="00BA3D37">
            <w:pPr>
              <w:jc w:val="center"/>
              <w:rPr>
                <w:rFonts w:eastAsia="Calibri"/>
                <w:sz w:val="24"/>
                <w:szCs w:val="24"/>
              </w:rPr>
            </w:pPr>
            <w:r w:rsidRPr="00693334">
              <w:rPr>
                <w:rFonts w:eastAsia="Calibri"/>
                <w:sz w:val="24"/>
                <w:szCs w:val="24"/>
              </w:rPr>
              <w:t>Median af anfald/uge</w:t>
            </w:r>
          </w:p>
        </w:tc>
      </w:tr>
      <w:tr w:rsidR="0062292A" w:rsidRPr="00693334" w14:paraId="7A766896" w14:textId="77777777" w:rsidTr="00BA3D37">
        <w:tc>
          <w:tcPr>
            <w:tcW w:w="0" w:type="auto"/>
            <w:shd w:val="clear" w:color="auto" w:fill="auto"/>
          </w:tcPr>
          <w:p w14:paraId="4535C809" w14:textId="77777777" w:rsidR="0062292A" w:rsidRPr="00693334" w:rsidRDefault="0062292A" w:rsidP="00BA3D37">
            <w:pPr>
              <w:rPr>
                <w:rFonts w:eastAsia="Calibri"/>
                <w:sz w:val="24"/>
                <w:szCs w:val="24"/>
              </w:rPr>
            </w:pPr>
            <w:r w:rsidRPr="00693334">
              <w:rPr>
                <w:rFonts w:eastAsia="Calibri"/>
                <w:sz w:val="24"/>
                <w:szCs w:val="24"/>
              </w:rPr>
              <w:t>Placebo</w:t>
            </w:r>
          </w:p>
        </w:tc>
        <w:tc>
          <w:tcPr>
            <w:tcW w:w="0" w:type="auto"/>
            <w:shd w:val="clear" w:color="auto" w:fill="auto"/>
          </w:tcPr>
          <w:p w14:paraId="3B47DF61" w14:textId="77777777" w:rsidR="0062292A" w:rsidRPr="00693334" w:rsidRDefault="0062292A" w:rsidP="00BA3D37">
            <w:pPr>
              <w:jc w:val="center"/>
              <w:rPr>
                <w:rFonts w:eastAsia="Calibri"/>
                <w:sz w:val="24"/>
                <w:szCs w:val="24"/>
              </w:rPr>
            </w:pPr>
            <w:r w:rsidRPr="00693334">
              <w:rPr>
                <w:rFonts w:eastAsia="Calibri"/>
                <w:sz w:val="24"/>
                <w:szCs w:val="24"/>
              </w:rPr>
              <w:t>33</w:t>
            </w:r>
          </w:p>
        </w:tc>
        <w:tc>
          <w:tcPr>
            <w:tcW w:w="0" w:type="auto"/>
            <w:shd w:val="clear" w:color="auto" w:fill="auto"/>
          </w:tcPr>
          <w:p w14:paraId="4F516B79" w14:textId="77777777" w:rsidR="0062292A" w:rsidRPr="00693334" w:rsidRDefault="0062292A" w:rsidP="00BA3D37">
            <w:pPr>
              <w:jc w:val="center"/>
              <w:rPr>
                <w:rFonts w:eastAsia="Calibri"/>
                <w:sz w:val="24"/>
                <w:szCs w:val="24"/>
              </w:rPr>
            </w:pPr>
            <w:r w:rsidRPr="00693334">
              <w:rPr>
                <w:rFonts w:eastAsia="Calibri"/>
                <w:sz w:val="24"/>
                <w:szCs w:val="24"/>
              </w:rPr>
              <w:t>20,5</w:t>
            </w:r>
          </w:p>
        </w:tc>
        <w:tc>
          <w:tcPr>
            <w:tcW w:w="0" w:type="auto"/>
            <w:shd w:val="clear" w:color="auto" w:fill="auto"/>
          </w:tcPr>
          <w:p w14:paraId="0194D5A1" w14:textId="77777777" w:rsidR="0062292A" w:rsidRPr="00693334" w:rsidRDefault="0062292A" w:rsidP="00BA3D37">
            <w:pPr>
              <w:jc w:val="center"/>
              <w:rPr>
                <w:rFonts w:eastAsia="Calibri"/>
                <w:sz w:val="24"/>
                <w:szCs w:val="24"/>
              </w:rPr>
            </w:pPr>
            <w:r w:rsidRPr="00693334">
              <w:rPr>
                <w:rFonts w:eastAsia="Calibri"/>
                <w:sz w:val="24"/>
                <w:szCs w:val="24"/>
              </w:rPr>
              <w:t>-4</w:t>
            </w:r>
          </w:p>
        </w:tc>
        <w:tc>
          <w:tcPr>
            <w:tcW w:w="0" w:type="auto"/>
            <w:shd w:val="clear" w:color="auto" w:fill="auto"/>
          </w:tcPr>
          <w:p w14:paraId="45D43EB4" w14:textId="77777777" w:rsidR="0062292A" w:rsidRPr="00693334" w:rsidRDefault="0062292A" w:rsidP="00BA3D37">
            <w:pPr>
              <w:jc w:val="center"/>
              <w:rPr>
                <w:rFonts w:eastAsia="Calibri"/>
                <w:sz w:val="24"/>
                <w:szCs w:val="24"/>
              </w:rPr>
            </w:pPr>
            <w:r w:rsidRPr="00693334">
              <w:rPr>
                <w:rFonts w:eastAsia="Calibri"/>
                <w:sz w:val="24"/>
                <w:szCs w:val="24"/>
              </w:rPr>
              <w:t>-</w:t>
            </w:r>
          </w:p>
        </w:tc>
      </w:tr>
      <w:tr w:rsidR="0062292A" w:rsidRPr="00693334" w14:paraId="7E448B5A" w14:textId="77777777" w:rsidTr="00BA3D37">
        <w:tc>
          <w:tcPr>
            <w:tcW w:w="0" w:type="auto"/>
            <w:shd w:val="clear" w:color="auto" w:fill="auto"/>
          </w:tcPr>
          <w:p w14:paraId="2B974F0F" w14:textId="77777777" w:rsidR="0062292A" w:rsidRPr="00693334" w:rsidRDefault="0062292A" w:rsidP="00BA3D37">
            <w:pPr>
              <w:rPr>
                <w:rFonts w:eastAsia="Calibri"/>
                <w:sz w:val="24"/>
                <w:szCs w:val="24"/>
              </w:rPr>
            </w:pPr>
            <w:r w:rsidRPr="00693334">
              <w:rPr>
                <w:rFonts w:eastAsia="Calibri"/>
                <w:sz w:val="24"/>
                <w:szCs w:val="24"/>
              </w:rPr>
              <w:t>3,0 g/d</w:t>
            </w:r>
          </w:p>
        </w:tc>
        <w:tc>
          <w:tcPr>
            <w:tcW w:w="0" w:type="auto"/>
            <w:shd w:val="clear" w:color="auto" w:fill="auto"/>
          </w:tcPr>
          <w:p w14:paraId="66C0C2FF" w14:textId="77777777" w:rsidR="0062292A" w:rsidRPr="00693334" w:rsidRDefault="0062292A" w:rsidP="00BA3D37">
            <w:pPr>
              <w:jc w:val="center"/>
              <w:rPr>
                <w:rFonts w:eastAsia="Calibri"/>
                <w:sz w:val="24"/>
                <w:szCs w:val="24"/>
              </w:rPr>
            </w:pPr>
            <w:r w:rsidRPr="00693334">
              <w:rPr>
                <w:rFonts w:eastAsia="Calibri"/>
                <w:sz w:val="24"/>
                <w:szCs w:val="24"/>
              </w:rPr>
              <w:t>33</w:t>
            </w:r>
          </w:p>
        </w:tc>
        <w:tc>
          <w:tcPr>
            <w:tcW w:w="0" w:type="auto"/>
            <w:shd w:val="clear" w:color="auto" w:fill="auto"/>
          </w:tcPr>
          <w:p w14:paraId="0C059498" w14:textId="77777777" w:rsidR="0062292A" w:rsidRPr="00693334" w:rsidRDefault="0062292A" w:rsidP="00BA3D37">
            <w:pPr>
              <w:jc w:val="center"/>
              <w:rPr>
                <w:rFonts w:eastAsia="Calibri"/>
                <w:sz w:val="24"/>
                <w:szCs w:val="24"/>
              </w:rPr>
            </w:pPr>
            <w:r w:rsidRPr="00693334">
              <w:rPr>
                <w:rFonts w:eastAsia="Calibri"/>
                <w:sz w:val="24"/>
                <w:szCs w:val="24"/>
              </w:rPr>
              <w:t>20,0</w:t>
            </w:r>
          </w:p>
        </w:tc>
        <w:tc>
          <w:tcPr>
            <w:tcW w:w="0" w:type="auto"/>
            <w:shd w:val="clear" w:color="auto" w:fill="auto"/>
          </w:tcPr>
          <w:p w14:paraId="4D224A88" w14:textId="77777777" w:rsidR="0062292A" w:rsidRPr="00693334" w:rsidRDefault="0062292A" w:rsidP="00BA3D37">
            <w:pPr>
              <w:jc w:val="center"/>
              <w:rPr>
                <w:rFonts w:eastAsia="Calibri"/>
                <w:sz w:val="24"/>
                <w:szCs w:val="24"/>
              </w:rPr>
            </w:pPr>
            <w:r w:rsidRPr="00693334">
              <w:rPr>
                <w:rFonts w:eastAsia="Calibri"/>
                <w:sz w:val="24"/>
                <w:szCs w:val="24"/>
              </w:rPr>
              <w:t>-7</w:t>
            </w:r>
          </w:p>
        </w:tc>
        <w:tc>
          <w:tcPr>
            <w:tcW w:w="0" w:type="auto"/>
            <w:shd w:val="clear" w:color="auto" w:fill="auto"/>
          </w:tcPr>
          <w:p w14:paraId="37922FE7" w14:textId="77777777" w:rsidR="0062292A" w:rsidRPr="00693334" w:rsidRDefault="0062292A" w:rsidP="00BA3D37">
            <w:pPr>
              <w:jc w:val="center"/>
              <w:rPr>
                <w:rFonts w:eastAsia="Calibri"/>
                <w:sz w:val="24"/>
                <w:szCs w:val="24"/>
              </w:rPr>
            </w:pPr>
            <w:r w:rsidRPr="00693334">
              <w:rPr>
                <w:rFonts w:eastAsia="Calibri"/>
                <w:sz w:val="24"/>
                <w:szCs w:val="24"/>
              </w:rPr>
              <w:t>0,5235</w:t>
            </w:r>
          </w:p>
        </w:tc>
      </w:tr>
      <w:tr w:rsidR="0062292A" w:rsidRPr="00693334" w14:paraId="45F3E52A" w14:textId="77777777" w:rsidTr="00BA3D37">
        <w:tc>
          <w:tcPr>
            <w:tcW w:w="0" w:type="auto"/>
            <w:shd w:val="clear" w:color="auto" w:fill="auto"/>
          </w:tcPr>
          <w:p w14:paraId="26A3051E" w14:textId="77777777" w:rsidR="0062292A" w:rsidRPr="00693334" w:rsidRDefault="0062292A" w:rsidP="00BA3D37">
            <w:pPr>
              <w:rPr>
                <w:rFonts w:eastAsia="Calibri"/>
                <w:sz w:val="24"/>
                <w:szCs w:val="24"/>
              </w:rPr>
            </w:pPr>
            <w:r w:rsidRPr="00693334">
              <w:rPr>
                <w:rFonts w:eastAsia="Calibri"/>
                <w:sz w:val="24"/>
                <w:szCs w:val="24"/>
              </w:rPr>
              <w:t>6,0 g/d</w:t>
            </w:r>
          </w:p>
        </w:tc>
        <w:tc>
          <w:tcPr>
            <w:tcW w:w="0" w:type="auto"/>
            <w:shd w:val="clear" w:color="auto" w:fill="auto"/>
          </w:tcPr>
          <w:p w14:paraId="57080878" w14:textId="77777777" w:rsidR="0062292A" w:rsidRPr="00693334" w:rsidRDefault="0062292A" w:rsidP="00BA3D37">
            <w:pPr>
              <w:jc w:val="center"/>
              <w:rPr>
                <w:rFonts w:eastAsia="Calibri"/>
                <w:sz w:val="24"/>
                <w:szCs w:val="24"/>
              </w:rPr>
            </w:pPr>
            <w:r w:rsidRPr="00693334">
              <w:rPr>
                <w:rFonts w:eastAsia="Calibri"/>
                <w:sz w:val="24"/>
                <w:szCs w:val="24"/>
              </w:rPr>
              <w:t>31</w:t>
            </w:r>
          </w:p>
        </w:tc>
        <w:tc>
          <w:tcPr>
            <w:tcW w:w="0" w:type="auto"/>
            <w:shd w:val="clear" w:color="auto" w:fill="auto"/>
          </w:tcPr>
          <w:p w14:paraId="6A39C2C0" w14:textId="77777777" w:rsidR="0062292A" w:rsidRPr="00693334" w:rsidRDefault="0062292A" w:rsidP="00BA3D37">
            <w:pPr>
              <w:jc w:val="center"/>
              <w:rPr>
                <w:rFonts w:eastAsia="Calibri"/>
                <w:sz w:val="24"/>
                <w:szCs w:val="24"/>
              </w:rPr>
            </w:pPr>
            <w:r w:rsidRPr="00693334">
              <w:rPr>
                <w:rFonts w:eastAsia="Calibri"/>
                <w:sz w:val="24"/>
                <w:szCs w:val="24"/>
              </w:rPr>
              <w:t>23,0</w:t>
            </w:r>
          </w:p>
        </w:tc>
        <w:tc>
          <w:tcPr>
            <w:tcW w:w="0" w:type="auto"/>
            <w:shd w:val="clear" w:color="auto" w:fill="auto"/>
          </w:tcPr>
          <w:p w14:paraId="44F133D0" w14:textId="77777777" w:rsidR="0062292A" w:rsidRPr="00693334" w:rsidRDefault="0062292A" w:rsidP="00BA3D37">
            <w:pPr>
              <w:jc w:val="center"/>
              <w:rPr>
                <w:rFonts w:eastAsia="Calibri"/>
                <w:sz w:val="24"/>
                <w:szCs w:val="24"/>
              </w:rPr>
            </w:pPr>
            <w:r w:rsidRPr="00693334">
              <w:rPr>
                <w:rFonts w:eastAsia="Calibri"/>
                <w:sz w:val="24"/>
                <w:szCs w:val="24"/>
              </w:rPr>
              <w:t>-10</w:t>
            </w:r>
          </w:p>
        </w:tc>
        <w:tc>
          <w:tcPr>
            <w:tcW w:w="0" w:type="auto"/>
            <w:shd w:val="clear" w:color="auto" w:fill="auto"/>
          </w:tcPr>
          <w:p w14:paraId="745D9A43" w14:textId="77777777" w:rsidR="0062292A" w:rsidRPr="00693334" w:rsidRDefault="0062292A" w:rsidP="00BA3D37">
            <w:pPr>
              <w:jc w:val="center"/>
              <w:rPr>
                <w:rFonts w:eastAsia="Calibri"/>
                <w:sz w:val="24"/>
                <w:szCs w:val="24"/>
              </w:rPr>
            </w:pPr>
            <w:r w:rsidRPr="00693334">
              <w:rPr>
                <w:rFonts w:eastAsia="Calibri"/>
                <w:sz w:val="24"/>
                <w:szCs w:val="24"/>
              </w:rPr>
              <w:t>0,0529</w:t>
            </w:r>
          </w:p>
        </w:tc>
      </w:tr>
      <w:tr w:rsidR="0062292A" w:rsidRPr="00693334" w14:paraId="7D2AB488" w14:textId="77777777" w:rsidTr="00BA3D37">
        <w:tc>
          <w:tcPr>
            <w:tcW w:w="0" w:type="auto"/>
            <w:shd w:val="clear" w:color="auto" w:fill="auto"/>
          </w:tcPr>
          <w:p w14:paraId="38AB5A98" w14:textId="77777777" w:rsidR="0062292A" w:rsidRPr="00693334" w:rsidRDefault="0062292A" w:rsidP="00BA3D37">
            <w:pPr>
              <w:rPr>
                <w:rFonts w:eastAsia="Calibri"/>
                <w:sz w:val="24"/>
                <w:szCs w:val="24"/>
              </w:rPr>
            </w:pPr>
            <w:r w:rsidRPr="00693334">
              <w:rPr>
                <w:rFonts w:eastAsia="Calibri"/>
                <w:sz w:val="24"/>
                <w:szCs w:val="24"/>
              </w:rPr>
              <w:t>9,0 g/d</w:t>
            </w:r>
          </w:p>
        </w:tc>
        <w:tc>
          <w:tcPr>
            <w:tcW w:w="0" w:type="auto"/>
            <w:shd w:val="clear" w:color="auto" w:fill="auto"/>
          </w:tcPr>
          <w:p w14:paraId="20BF46FF" w14:textId="77777777" w:rsidR="0062292A" w:rsidRPr="00693334" w:rsidRDefault="0062292A" w:rsidP="00BA3D37">
            <w:pPr>
              <w:jc w:val="center"/>
              <w:rPr>
                <w:rFonts w:eastAsia="Calibri"/>
                <w:sz w:val="24"/>
                <w:szCs w:val="24"/>
              </w:rPr>
            </w:pPr>
            <w:r w:rsidRPr="00693334">
              <w:rPr>
                <w:rFonts w:eastAsia="Calibri"/>
                <w:sz w:val="24"/>
                <w:szCs w:val="24"/>
              </w:rPr>
              <w:t>33</w:t>
            </w:r>
          </w:p>
        </w:tc>
        <w:tc>
          <w:tcPr>
            <w:tcW w:w="0" w:type="auto"/>
            <w:shd w:val="clear" w:color="auto" w:fill="auto"/>
          </w:tcPr>
          <w:p w14:paraId="65136CF1" w14:textId="77777777" w:rsidR="0062292A" w:rsidRPr="00693334" w:rsidRDefault="0062292A" w:rsidP="00BA3D37">
            <w:pPr>
              <w:jc w:val="center"/>
              <w:rPr>
                <w:rFonts w:eastAsia="Calibri"/>
                <w:sz w:val="24"/>
                <w:szCs w:val="24"/>
              </w:rPr>
            </w:pPr>
            <w:r w:rsidRPr="00693334">
              <w:rPr>
                <w:rFonts w:eastAsia="Calibri"/>
                <w:sz w:val="24"/>
                <w:szCs w:val="24"/>
              </w:rPr>
              <w:t>23,5</w:t>
            </w:r>
          </w:p>
        </w:tc>
        <w:tc>
          <w:tcPr>
            <w:tcW w:w="0" w:type="auto"/>
            <w:shd w:val="clear" w:color="auto" w:fill="auto"/>
          </w:tcPr>
          <w:p w14:paraId="35473E41" w14:textId="77777777" w:rsidR="0062292A" w:rsidRPr="00693334" w:rsidRDefault="0062292A" w:rsidP="00BA3D37">
            <w:pPr>
              <w:jc w:val="center"/>
              <w:rPr>
                <w:rFonts w:eastAsia="Calibri"/>
                <w:sz w:val="24"/>
                <w:szCs w:val="24"/>
              </w:rPr>
            </w:pPr>
            <w:r w:rsidRPr="00693334">
              <w:rPr>
                <w:rFonts w:eastAsia="Calibri"/>
                <w:sz w:val="24"/>
                <w:szCs w:val="24"/>
              </w:rPr>
              <w:t>-16</w:t>
            </w:r>
          </w:p>
        </w:tc>
        <w:tc>
          <w:tcPr>
            <w:tcW w:w="0" w:type="auto"/>
            <w:shd w:val="clear" w:color="auto" w:fill="auto"/>
          </w:tcPr>
          <w:p w14:paraId="092C2240" w14:textId="77777777" w:rsidR="0062292A" w:rsidRPr="00693334" w:rsidRDefault="0062292A" w:rsidP="00BA3D37">
            <w:pPr>
              <w:jc w:val="center"/>
              <w:rPr>
                <w:rFonts w:eastAsia="Calibri"/>
                <w:sz w:val="24"/>
                <w:szCs w:val="24"/>
              </w:rPr>
            </w:pPr>
            <w:r w:rsidRPr="00693334">
              <w:rPr>
                <w:rFonts w:eastAsia="Calibri"/>
                <w:sz w:val="24"/>
                <w:szCs w:val="24"/>
              </w:rPr>
              <w:t>0,0008</w:t>
            </w:r>
          </w:p>
        </w:tc>
      </w:tr>
    </w:tbl>
    <w:p w14:paraId="6A5CC9F4" w14:textId="77777777" w:rsidR="0062292A" w:rsidRPr="00693334" w:rsidRDefault="0062292A" w:rsidP="0062292A">
      <w:pPr>
        <w:tabs>
          <w:tab w:val="left" w:pos="851"/>
        </w:tabs>
        <w:ind w:left="851"/>
        <w:rPr>
          <w:sz w:val="24"/>
          <w:szCs w:val="24"/>
          <w:lang w:val="en-GB"/>
        </w:rPr>
      </w:pPr>
    </w:p>
    <w:p w14:paraId="04BC7BEC" w14:textId="77777777" w:rsidR="0062292A" w:rsidRPr="00693334" w:rsidRDefault="0062292A" w:rsidP="0062292A">
      <w:pPr>
        <w:tabs>
          <w:tab w:val="left" w:pos="851"/>
        </w:tabs>
        <w:ind w:left="851"/>
        <w:rPr>
          <w:sz w:val="24"/>
          <w:szCs w:val="24"/>
        </w:rPr>
      </w:pPr>
      <w:r w:rsidRPr="00693334">
        <w:rPr>
          <w:sz w:val="24"/>
          <w:szCs w:val="24"/>
          <w:lang w:val="en-GB"/>
        </w:rPr>
        <w:t xml:space="preserve">Studie 4 involverede 55 narkolepsipatienter, som ikke-blindet havde taget natriumoxybat i 7 til 44 måneder. Patienterne randomiseredes til fortsat behandling med natriumoxybat i deres fastsatte doser eller til placebo. </w:t>
      </w:r>
      <w:r w:rsidRPr="00693334">
        <w:rPr>
          <w:sz w:val="24"/>
          <w:szCs w:val="24"/>
        </w:rPr>
        <w:t>Studie 4 var specifikt designet til vurdering af den fortsatte virkning af natriumoxybat efter langtidsbrug. Den primære måling af virkning i dette studie omfattede hyppigheden af katapleksianfald.</w:t>
      </w:r>
    </w:p>
    <w:p w14:paraId="4DEABDE3" w14:textId="77777777" w:rsidR="0062292A" w:rsidRPr="00693334" w:rsidRDefault="0062292A" w:rsidP="0062292A">
      <w:pPr>
        <w:tabs>
          <w:tab w:val="left" w:pos="851"/>
        </w:tabs>
        <w:ind w:left="851"/>
        <w:rPr>
          <w:sz w:val="24"/>
          <w:szCs w:val="24"/>
        </w:rPr>
      </w:pPr>
    </w:p>
    <w:p w14:paraId="41838D4C" w14:textId="64C67255" w:rsidR="0062292A" w:rsidRPr="00693334" w:rsidRDefault="0062292A" w:rsidP="0062292A">
      <w:pPr>
        <w:pStyle w:val="Billedtekst"/>
        <w:keepNext/>
        <w:ind w:left="851"/>
        <w:rPr>
          <w:sz w:val="24"/>
          <w:szCs w:val="24"/>
        </w:rPr>
      </w:pPr>
      <w:r w:rsidRPr="00693334">
        <w:rPr>
          <w:sz w:val="24"/>
          <w:szCs w:val="24"/>
        </w:rPr>
        <w:t xml:space="preserve">Tabel </w:t>
      </w:r>
      <w:r w:rsidR="00602B4C" w:rsidRPr="00693334">
        <w:rPr>
          <w:sz w:val="24"/>
          <w:szCs w:val="24"/>
        </w:rPr>
        <w:t>7</w:t>
      </w:r>
      <w:r w:rsidRPr="00693334">
        <w:rPr>
          <w:sz w:val="24"/>
          <w:szCs w:val="24"/>
        </w:rPr>
        <w:t>. Sammenfatning af studie 4</w:t>
      </w:r>
    </w:p>
    <w:tbl>
      <w:tblPr>
        <w:tblW w:w="901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432"/>
        <w:gridCol w:w="1043"/>
        <w:gridCol w:w="1763"/>
        <w:gridCol w:w="2564"/>
      </w:tblGrid>
      <w:tr w:rsidR="0062292A" w:rsidRPr="00693334" w14:paraId="7B2C54C4" w14:textId="77777777" w:rsidTr="00BA3D37">
        <w:tc>
          <w:tcPr>
            <w:tcW w:w="0" w:type="auto"/>
            <w:shd w:val="clear" w:color="auto" w:fill="auto"/>
          </w:tcPr>
          <w:p w14:paraId="6ED082A9" w14:textId="77777777" w:rsidR="0062292A" w:rsidRPr="00693334" w:rsidRDefault="0062292A" w:rsidP="00BA3D37">
            <w:pPr>
              <w:jc w:val="center"/>
              <w:rPr>
                <w:rFonts w:eastAsia="Calibri"/>
                <w:b/>
                <w:sz w:val="24"/>
                <w:szCs w:val="24"/>
              </w:rPr>
            </w:pPr>
            <w:r w:rsidRPr="00693334">
              <w:rPr>
                <w:rFonts w:eastAsia="Calibri"/>
                <w:b/>
                <w:sz w:val="24"/>
                <w:szCs w:val="24"/>
              </w:rPr>
              <w:t>Behandlingsgruppe</w:t>
            </w:r>
          </w:p>
        </w:tc>
        <w:tc>
          <w:tcPr>
            <w:tcW w:w="0" w:type="auto"/>
            <w:shd w:val="clear" w:color="auto" w:fill="auto"/>
          </w:tcPr>
          <w:p w14:paraId="5031765E" w14:textId="77777777" w:rsidR="0062292A" w:rsidRPr="00693334" w:rsidRDefault="0062292A" w:rsidP="00BA3D37">
            <w:pPr>
              <w:rPr>
                <w:rFonts w:eastAsia="Calibri"/>
                <w:b/>
                <w:sz w:val="24"/>
                <w:szCs w:val="24"/>
              </w:rPr>
            </w:pPr>
            <w:r w:rsidRPr="00693334">
              <w:rPr>
                <w:rFonts w:eastAsia="Calibri"/>
                <w:b/>
                <w:sz w:val="24"/>
                <w:szCs w:val="24"/>
              </w:rPr>
              <w:t>Antal patienter</w:t>
            </w:r>
          </w:p>
        </w:tc>
        <w:tc>
          <w:tcPr>
            <w:tcW w:w="0" w:type="auto"/>
            <w:gridSpan w:val="3"/>
            <w:shd w:val="clear" w:color="auto" w:fill="auto"/>
          </w:tcPr>
          <w:p w14:paraId="1496E06C" w14:textId="77777777" w:rsidR="0062292A" w:rsidRPr="00693334" w:rsidRDefault="0062292A" w:rsidP="00BA3D37">
            <w:pPr>
              <w:jc w:val="center"/>
              <w:rPr>
                <w:rFonts w:eastAsia="Calibri"/>
                <w:b/>
                <w:sz w:val="24"/>
                <w:szCs w:val="24"/>
              </w:rPr>
            </w:pPr>
            <w:r w:rsidRPr="00693334">
              <w:rPr>
                <w:rFonts w:eastAsia="Calibri"/>
                <w:b/>
                <w:sz w:val="24"/>
                <w:szCs w:val="24"/>
              </w:rPr>
              <w:t>Katapleksianfald</w:t>
            </w:r>
          </w:p>
        </w:tc>
      </w:tr>
      <w:tr w:rsidR="0062292A" w:rsidRPr="00693334" w14:paraId="738068BA" w14:textId="77777777" w:rsidTr="00BA3D37">
        <w:tc>
          <w:tcPr>
            <w:tcW w:w="0" w:type="auto"/>
            <w:gridSpan w:val="2"/>
            <w:shd w:val="clear" w:color="auto" w:fill="auto"/>
          </w:tcPr>
          <w:p w14:paraId="6EBCD29E" w14:textId="77777777" w:rsidR="0062292A" w:rsidRPr="00693334" w:rsidRDefault="0062292A" w:rsidP="00BA3D37">
            <w:pPr>
              <w:rPr>
                <w:rFonts w:eastAsia="Calibri"/>
                <w:sz w:val="24"/>
                <w:szCs w:val="24"/>
              </w:rPr>
            </w:pPr>
            <w:r w:rsidRPr="00693334">
              <w:rPr>
                <w:rFonts w:eastAsia="Calibri"/>
                <w:sz w:val="24"/>
                <w:szCs w:val="24"/>
              </w:rPr>
              <w:t>Studie 4</w:t>
            </w:r>
          </w:p>
        </w:tc>
        <w:tc>
          <w:tcPr>
            <w:tcW w:w="875" w:type="dxa"/>
            <w:shd w:val="clear" w:color="auto" w:fill="auto"/>
          </w:tcPr>
          <w:p w14:paraId="5CE8FB7F" w14:textId="77777777" w:rsidR="0062292A" w:rsidRPr="00693334" w:rsidRDefault="0062292A" w:rsidP="00BA3D37">
            <w:pPr>
              <w:rPr>
                <w:rFonts w:eastAsia="Calibri"/>
                <w:sz w:val="24"/>
                <w:szCs w:val="24"/>
              </w:rPr>
            </w:pPr>
            <w:r w:rsidRPr="00693334">
              <w:rPr>
                <w:rFonts w:eastAsia="Calibri"/>
                <w:sz w:val="24"/>
                <w:szCs w:val="24"/>
              </w:rPr>
              <w:t>Baseline</w:t>
            </w:r>
          </w:p>
        </w:tc>
        <w:tc>
          <w:tcPr>
            <w:tcW w:w="1763" w:type="dxa"/>
            <w:shd w:val="clear" w:color="auto" w:fill="auto"/>
          </w:tcPr>
          <w:p w14:paraId="710519F7" w14:textId="77777777" w:rsidR="0062292A" w:rsidRPr="00693334" w:rsidRDefault="0062292A" w:rsidP="00BA3D37">
            <w:pPr>
              <w:rPr>
                <w:rFonts w:eastAsia="Calibri"/>
                <w:sz w:val="24"/>
                <w:szCs w:val="24"/>
              </w:rPr>
            </w:pPr>
            <w:r w:rsidRPr="00693334">
              <w:rPr>
                <w:rFonts w:eastAsia="Calibri"/>
                <w:sz w:val="24"/>
                <w:szCs w:val="24"/>
              </w:rPr>
              <w:t xml:space="preserve">Median af afvigelse </w:t>
            </w:r>
          </w:p>
          <w:p w14:paraId="6BC208F9" w14:textId="77777777" w:rsidR="0062292A" w:rsidRPr="00693334" w:rsidRDefault="0062292A" w:rsidP="00BA3D37">
            <w:pPr>
              <w:rPr>
                <w:rFonts w:eastAsia="Calibri"/>
                <w:sz w:val="24"/>
                <w:szCs w:val="24"/>
              </w:rPr>
            </w:pPr>
            <w:r w:rsidRPr="00693334">
              <w:rPr>
                <w:rFonts w:eastAsia="Calibri"/>
                <w:sz w:val="24"/>
                <w:szCs w:val="24"/>
              </w:rPr>
              <w:t xml:space="preserve">fra </w:t>
            </w:r>
            <w:r w:rsidRPr="00693334">
              <w:rPr>
                <w:rFonts w:eastAsia="Calibri"/>
                <w:i/>
                <w:iCs/>
                <w:sz w:val="24"/>
                <w:szCs w:val="24"/>
              </w:rPr>
              <w:t>baseline</w:t>
            </w:r>
          </w:p>
        </w:tc>
        <w:tc>
          <w:tcPr>
            <w:tcW w:w="0" w:type="auto"/>
            <w:shd w:val="clear" w:color="auto" w:fill="auto"/>
          </w:tcPr>
          <w:p w14:paraId="0DDF1632" w14:textId="77777777" w:rsidR="0062292A" w:rsidRPr="00693334" w:rsidRDefault="0062292A" w:rsidP="00BA3D37">
            <w:pPr>
              <w:rPr>
                <w:rFonts w:eastAsia="Calibri"/>
                <w:sz w:val="24"/>
                <w:szCs w:val="24"/>
              </w:rPr>
            </w:pPr>
            <w:r w:rsidRPr="00693334">
              <w:rPr>
                <w:rFonts w:eastAsia="Calibri"/>
                <w:sz w:val="24"/>
                <w:szCs w:val="24"/>
              </w:rPr>
              <w:t xml:space="preserve">Afvigelse fra baseline </w:t>
            </w:r>
          </w:p>
          <w:p w14:paraId="426338A2" w14:textId="77777777" w:rsidR="0062292A" w:rsidRPr="00693334" w:rsidRDefault="0062292A" w:rsidP="00BA3D37">
            <w:pPr>
              <w:rPr>
                <w:rFonts w:eastAsia="Calibri"/>
                <w:sz w:val="24"/>
                <w:szCs w:val="24"/>
              </w:rPr>
            </w:pPr>
            <w:r w:rsidRPr="00693334">
              <w:rPr>
                <w:rFonts w:eastAsia="Calibri"/>
                <w:sz w:val="24"/>
                <w:szCs w:val="24"/>
              </w:rPr>
              <w:t>sammenlignet med placebo (p-værdi)</w:t>
            </w:r>
          </w:p>
        </w:tc>
      </w:tr>
      <w:tr w:rsidR="0062292A" w:rsidRPr="00693334" w14:paraId="7D6103BC" w14:textId="77777777" w:rsidTr="00BA3D37">
        <w:tc>
          <w:tcPr>
            <w:tcW w:w="0" w:type="auto"/>
            <w:gridSpan w:val="2"/>
            <w:shd w:val="clear" w:color="auto" w:fill="auto"/>
          </w:tcPr>
          <w:p w14:paraId="203EAB85" w14:textId="77777777" w:rsidR="0062292A" w:rsidRPr="00693334" w:rsidRDefault="0062292A" w:rsidP="00BA3D37">
            <w:pPr>
              <w:rPr>
                <w:rFonts w:eastAsia="Calibri"/>
                <w:sz w:val="24"/>
                <w:szCs w:val="24"/>
              </w:rPr>
            </w:pPr>
          </w:p>
        </w:tc>
        <w:tc>
          <w:tcPr>
            <w:tcW w:w="0" w:type="auto"/>
            <w:gridSpan w:val="3"/>
            <w:shd w:val="clear" w:color="auto" w:fill="auto"/>
          </w:tcPr>
          <w:p w14:paraId="1F46E236" w14:textId="77777777" w:rsidR="0062292A" w:rsidRPr="00693334" w:rsidRDefault="0062292A" w:rsidP="00BA3D37">
            <w:pPr>
              <w:jc w:val="center"/>
              <w:rPr>
                <w:rFonts w:eastAsia="Calibri"/>
                <w:sz w:val="24"/>
                <w:szCs w:val="24"/>
              </w:rPr>
            </w:pPr>
            <w:r w:rsidRPr="00693334">
              <w:rPr>
                <w:rFonts w:eastAsia="Calibri"/>
                <w:sz w:val="24"/>
                <w:szCs w:val="24"/>
              </w:rPr>
              <w:t>Median af anfald/uge</w:t>
            </w:r>
          </w:p>
        </w:tc>
      </w:tr>
      <w:tr w:rsidR="0062292A" w:rsidRPr="00693334" w14:paraId="74ACBE21" w14:textId="77777777" w:rsidTr="00BA3D37">
        <w:tc>
          <w:tcPr>
            <w:tcW w:w="0" w:type="auto"/>
            <w:shd w:val="clear" w:color="auto" w:fill="auto"/>
          </w:tcPr>
          <w:p w14:paraId="0DD94680" w14:textId="77777777" w:rsidR="0062292A" w:rsidRPr="00693334" w:rsidRDefault="0062292A" w:rsidP="00BA3D37">
            <w:pPr>
              <w:rPr>
                <w:rFonts w:eastAsia="Calibri"/>
                <w:sz w:val="24"/>
                <w:szCs w:val="24"/>
              </w:rPr>
            </w:pPr>
            <w:r w:rsidRPr="00693334">
              <w:rPr>
                <w:rFonts w:eastAsia="Calibri"/>
                <w:sz w:val="24"/>
                <w:szCs w:val="24"/>
              </w:rPr>
              <w:t>Placebo</w:t>
            </w:r>
          </w:p>
        </w:tc>
        <w:tc>
          <w:tcPr>
            <w:tcW w:w="0" w:type="auto"/>
            <w:shd w:val="clear" w:color="auto" w:fill="auto"/>
          </w:tcPr>
          <w:p w14:paraId="63725212" w14:textId="77777777" w:rsidR="0062292A" w:rsidRPr="00693334" w:rsidRDefault="0062292A" w:rsidP="00BA3D37">
            <w:pPr>
              <w:jc w:val="center"/>
              <w:rPr>
                <w:rFonts w:eastAsia="Calibri"/>
                <w:sz w:val="24"/>
                <w:szCs w:val="24"/>
              </w:rPr>
            </w:pPr>
            <w:r w:rsidRPr="00693334">
              <w:rPr>
                <w:rFonts w:eastAsia="Calibri"/>
                <w:sz w:val="24"/>
                <w:szCs w:val="24"/>
              </w:rPr>
              <w:t>29</w:t>
            </w:r>
          </w:p>
        </w:tc>
        <w:tc>
          <w:tcPr>
            <w:tcW w:w="875" w:type="dxa"/>
            <w:shd w:val="clear" w:color="auto" w:fill="auto"/>
          </w:tcPr>
          <w:p w14:paraId="33C377DF" w14:textId="77777777" w:rsidR="0062292A" w:rsidRPr="00693334" w:rsidRDefault="0062292A" w:rsidP="00BA3D37">
            <w:pPr>
              <w:jc w:val="center"/>
              <w:rPr>
                <w:rFonts w:eastAsia="Calibri"/>
                <w:sz w:val="24"/>
                <w:szCs w:val="24"/>
              </w:rPr>
            </w:pPr>
            <w:r w:rsidRPr="00693334">
              <w:rPr>
                <w:rFonts w:eastAsia="Calibri"/>
                <w:sz w:val="24"/>
                <w:szCs w:val="24"/>
              </w:rPr>
              <w:t>4,0</w:t>
            </w:r>
          </w:p>
        </w:tc>
        <w:tc>
          <w:tcPr>
            <w:tcW w:w="1763" w:type="dxa"/>
            <w:shd w:val="clear" w:color="auto" w:fill="auto"/>
          </w:tcPr>
          <w:p w14:paraId="6CDA7F19" w14:textId="77777777" w:rsidR="0062292A" w:rsidRPr="00693334" w:rsidRDefault="0062292A" w:rsidP="00BA3D37">
            <w:pPr>
              <w:jc w:val="center"/>
              <w:rPr>
                <w:rFonts w:eastAsia="Calibri"/>
                <w:sz w:val="24"/>
                <w:szCs w:val="24"/>
              </w:rPr>
            </w:pPr>
            <w:r w:rsidRPr="00693334">
              <w:rPr>
                <w:rFonts w:eastAsia="Calibri"/>
                <w:sz w:val="24"/>
                <w:szCs w:val="24"/>
              </w:rPr>
              <w:t>21,0</w:t>
            </w:r>
          </w:p>
        </w:tc>
        <w:tc>
          <w:tcPr>
            <w:tcW w:w="0" w:type="auto"/>
            <w:shd w:val="clear" w:color="auto" w:fill="auto"/>
          </w:tcPr>
          <w:p w14:paraId="154AE12A" w14:textId="77777777" w:rsidR="0062292A" w:rsidRPr="00693334" w:rsidRDefault="0062292A" w:rsidP="00BA3D37">
            <w:pPr>
              <w:jc w:val="center"/>
              <w:rPr>
                <w:rFonts w:eastAsia="Calibri"/>
                <w:sz w:val="24"/>
                <w:szCs w:val="24"/>
              </w:rPr>
            </w:pPr>
            <w:r w:rsidRPr="00693334">
              <w:rPr>
                <w:rFonts w:eastAsia="Calibri"/>
                <w:sz w:val="24"/>
                <w:szCs w:val="24"/>
              </w:rPr>
              <w:t>-</w:t>
            </w:r>
          </w:p>
        </w:tc>
      </w:tr>
      <w:tr w:rsidR="0062292A" w:rsidRPr="00693334" w14:paraId="0E4CA512" w14:textId="77777777" w:rsidTr="00BA3D37">
        <w:tc>
          <w:tcPr>
            <w:tcW w:w="0" w:type="auto"/>
            <w:shd w:val="clear" w:color="auto" w:fill="auto"/>
          </w:tcPr>
          <w:p w14:paraId="2206E8D5" w14:textId="088D9D77" w:rsidR="0062292A" w:rsidRPr="00693334" w:rsidRDefault="00602B4C" w:rsidP="00BA3D37">
            <w:pPr>
              <w:rPr>
                <w:rFonts w:eastAsia="Calibri"/>
                <w:sz w:val="24"/>
                <w:szCs w:val="24"/>
              </w:rPr>
            </w:pPr>
            <w:r w:rsidRPr="00693334">
              <w:rPr>
                <w:sz w:val="24"/>
                <w:szCs w:val="24"/>
              </w:rPr>
              <w:t>Natriumoxybat</w:t>
            </w:r>
          </w:p>
        </w:tc>
        <w:tc>
          <w:tcPr>
            <w:tcW w:w="0" w:type="auto"/>
            <w:shd w:val="clear" w:color="auto" w:fill="auto"/>
          </w:tcPr>
          <w:p w14:paraId="7E1EFC21" w14:textId="77777777" w:rsidR="0062292A" w:rsidRPr="00693334" w:rsidRDefault="0062292A" w:rsidP="00BA3D37">
            <w:pPr>
              <w:jc w:val="center"/>
              <w:rPr>
                <w:rFonts w:eastAsia="Calibri"/>
                <w:sz w:val="24"/>
                <w:szCs w:val="24"/>
              </w:rPr>
            </w:pPr>
            <w:r w:rsidRPr="00693334">
              <w:rPr>
                <w:rFonts w:eastAsia="Calibri"/>
                <w:sz w:val="24"/>
                <w:szCs w:val="24"/>
              </w:rPr>
              <w:t>26</w:t>
            </w:r>
          </w:p>
        </w:tc>
        <w:tc>
          <w:tcPr>
            <w:tcW w:w="875" w:type="dxa"/>
            <w:shd w:val="clear" w:color="auto" w:fill="auto"/>
          </w:tcPr>
          <w:p w14:paraId="05BB8C81" w14:textId="77777777" w:rsidR="0062292A" w:rsidRPr="00693334" w:rsidRDefault="0062292A" w:rsidP="00BA3D37">
            <w:pPr>
              <w:jc w:val="center"/>
              <w:rPr>
                <w:rFonts w:eastAsia="Calibri"/>
                <w:sz w:val="24"/>
                <w:szCs w:val="24"/>
              </w:rPr>
            </w:pPr>
            <w:r w:rsidRPr="00693334">
              <w:rPr>
                <w:rFonts w:eastAsia="Calibri"/>
                <w:sz w:val="24"/>
                <w:szCs w:val="24"/>
              </w:rPr>
              <w:t>1,9</w:t>
            </w:r>
          </w:p>
        </w:tc>
        <w:tc>
          <w:tcPr>
            <w:tcW w:w="1763" w:type="dxa"/>
            <w:shd w:val="clear" w:color="auto" w:fill="auto"/>
          </w:tcPr>
          <w:p w14:paraId="0709F6ED" w14:textId="77777777" w:rsidR="0062292A" w:rsidRPr="00693334" w:rsidRDefault="0062292A" w:rsidP="00BA3D37">
            <w:pPr>
              <w:jc w:val="center"/>
              <w:rPr>
                <w:rFonts w:eastAsia="Calibri"/>
                <w:sz w:val="24"/>
                <w:szCs w:val="24"/>
              </w:rPr>
            </w:pPr>
            <w:r w:rsidRPr="00693334">
              <w:rPr>
                <w:rFonts w:eastAsia="Calibri"/>
                <w:sz w:val="24"/>
                <w:szCs w:val="24"/>
              </w:rPr>
              <w:t>0</w:t>
            </w:r>
          </w:p>
        </w:tc>
        <w:tc>
          <w:tcPr>
            <w:tcW w:w="0" w:type="auto"/>
            <w:shd w:val="clear" w:color="auto" w:fill="auto"/>
          </w:tcPr>
          <w:p w14:paraId="24528F35" w14:textId="77777777" w:rsidR="0062292A" w:rsidRPr="00693334" w:rsidRDefault="0062292A" w:rsidP="00BA3D37">
            <w:pPr>
              <w:jc w:val="center"/>
              <w:rPr>
                <w:rFonts w:eastAsia="Calibri"/>
                <w:sz w:val="24"/>
                <w:szCs w:val="24"/>
              </w:rPr>
            </w:pPr>
            <w:r w:rsidRPr="00693334">
              <w:rPr>
                <w:rFonts w:eastAsia="Calibri"/>
                <w:sz w:val="24"/>
                <w:szCs w:val="24"/>
              </w:rPr>
              <w:t>p &lt;0,001</w:t>
            </w:r>
          </w:p>
        </w:tc>
      </w:tr>
    </w:tbl>
    <w:p w14:paraId="2D655B96" w14:textId="77777777" w:rsidR="0062292A" w:rsidRPr="00693334" w:rsidRDefault="0062292A" w:rsidP="0062292A">
      <w:pPr>
        <w:tabs>
          <w:tab w:val="left" w:pos="851"/>
        </w:tabs>
        <w:ind w:left="851"/>
        <w:rPr>
          <w:sz w:val="24"/>
          <w:szCs w:val="24"/>
        </w:rPr>
      </w:pPr>
    </w:p>
    <w:p w14:paraId="24775E3D" w14:textId="3BDE9335" w:rsidR="0062292A" w:rsidRPr="00693334" w:rsidRDefault="0062292A" w:rsidP="0062292A">
      <w:pPr>
        <w:tabs>
          <w:tab w:val="left" w:pos="851"/>
        </w:tabs>
        <w:ind w:left="851"/>
        <w:rPr>
          <w:sz w:val="24"/>
          <w:szCs w:val="24"/>
        </w:rPr>
      </w:pPr>
      <w:r w:rsidRPr="00693334">
        <w:rPr>
          <w:sz w:val="24"/>
          <w:szCs w:val="24"/>
        </w:rPr>
        <w:t>I studie 4 var svaret numerisk tilsvarende for patienter behandlet med doser på 6 til 9 g/dag, men ingen effekt observeredes hos patienter behandlet med lavere doser end 6 g/dag.</w:t>
      </w:r>
    </w:p>
    <w:p w14:paraId="64C21BD6" w14:textId="05B2DACE" w:rsidR="00602B4C" w:rsidRPr="00693334" w:rsidRDefault="00602B4C" w:rsidP="0062292A">
      <w:pPr>
        <w:tabs>
          <w:tab w:val="left" w:pos="851"/>
        </w:tabs>
        <w:ind w:left="851"/>
        <w:rPr>
          <w:sz w:val="24"/>
          <w:szCs w:val="24"/>
        </w:rPr>
      </w:pPr>
    </w:p>
    <w:p w14:paraId="58E00A0B" w14:textId="77777777" w:rsidR="00602B4C" w:rsidRPr="00693334" w:rsidRDefault="00602B4C" w:rsidP="00602B4C">
      <w:pPr>
        <w:pStyle w:val="Default"/>
        <w:ind w:left="850"/>
        <w:rPr>
          <w:u w:val="single"/>
        </w:rPr>
      </w:pPr>
      <w:r w:rsidRPr="00693334">
        <w:rPr>
          <w:u w:val="single"/>
        </w:rPr>
        <w:t xml:space="preserve">Pædiatrisk population </w:t>
      </w:r>
    </w:p>
    <w:p w14:paraId="25EE31F2" w14:textId="77777777" w:rsidR="00602B4C" w:rsidRPr="00693334" w:rsidRDefault="00602B4C" w:rsidP="00602B4C">
      <w:pPr>
        <w:pStyle w:val="Default"/>
        <w:ind w:left="850"/>
      </w:pPr>
    </w:p>
    <w:p w14:paraId="3DFEE49C" w14:textId="77777777" w:rsidR="00602B4C" w:rsidRPr="00693334" w:rsidRDefault="00602B4C" w:rsidP="00602B4C">
      <w:pPr>
        <w:pStyle w:val="Default"/>
        <w:ind w:left="850"/>
      </w:pPr>
      <w:r w:rsidRPr="00693334">
        <w:t xml:space="preserve">Effektiviteten af natriumoxybat hos pædiatriske patienter med narkolepsi med katapleksi blev dokumenteret i et dobbeltblindet, placebokontrolleret, randomiseret multicenter- tilbagetrækningsstudie. </w:t>
      </w:r>
    </w:p>
    <w:p w14:paraId="76950A63" w14:textId="77777777" w:rsidR="00602B4C" w:rsidRPr="00693334" w:rsidRDefault="00602B4C" w:rsidP="00602B4C">
      <w:pPr>
        <w:pStyle w:val="Default"/>
        <w:ind w:left="850"/>
      </w:pPr>
    </w:p>
    <w:p w14:paraId="4EBC7060" w14:textId="77777777" w:rsidR="00602B4C" w:rsidRPr="00693334" w:rsidRDefault="00602B4C" w:rsidP="00602B4C">
      <w:pPr>
        <w:pStyle w:val="Default"/>
        <w:ind w:left="850"/>
      </w:pPr>
      <w:r w:rsidRPr="00693334">
        <w:t xml:space="preserve">Dette studie påviste den kliniske virkning af natriumoxybat til behandling af katapleksi og ekstrem daglig søvnighed (EDS) ved narkolepsi hos pædiatriske personer. </w:t>
      </w:r>
    </w:p>
    <w:p w14:paraId="2E2FE8D2" w14:textId="77777777" w:rsidR="00602B4C" w:rsidRPr="00693334" w:rsidRDefault="00602B4C" w:rsidP="00602B4C">
      <w:pPr>
        <w:pStyle w:val="Default"/>
        <w:ind w:left="850"/>
      </w:pPr>
      <w:r w:rsidRPr="00693334">
        <w:t xml:space="preserve">63 patienter blev randomiseret i virkningspopulationen, hvor det primære virkningsendepunkt i dette studie var at ændre antallet af ugentlige katapleksianfald mellem de sidste to uger i perioden med fastsat dosis og den dobbeltblindede periode. </w:t>
      </w:r>
    </w:p>
    <w:p w14:paraId="7F0380E0" w14:textId="77777777" w:rsidR="00602B4C" w:rsidRPr="00693334" w:rsidRDefault="00602B4C" w:rsidP="00602B4C">
      <w:pPr>
        <w:pStyle w:val="Default"/>
        <w:ind w:left="850"/>
      </w:pPr>
    </w:p>
    <w:p w14:paraId="4474013E" w14:textId="77777777" w:rsidR="00602B4C" w:rsidRPr="00693334" w:rsidRDefault="00602B4C" w:rsidP="00602B4C">
      <w:pPr>
        <w:tabs>
          <w:tab w:val="left" w:pos="851"/>
        </w:tabs>
        <w:ind w:left="850"/>
        <w:rPr>
          <w:sz w:val="24"/>
          <w:szCs w:val="24"/>
        </w:rPr>
      </w:pPr>
      <w:r w:rsidRPr="00693334">
        <w:rPr>
          <w:sz w:val="24"/>
          <w:szCs w:val="24"/>
        </w:rPr>
        <w:t xml:space="preserve">Under den dobbeltblindede periode var medianændringen (Q 1, Q 3) i forhold til </w:t>
      </w:r>
      <w:r w:rsidRPr="00693334">
        <w:rPr>
          <w:i/>
          <w:iCs/>
          <w:sz w:val="24"/>
          <w:szCs w:val="24"/>
        </w:rPr>
        <w:t xml:space="preserve">baseline </w:t>
      </w:r>
      <w:r w:rsidRPr="00693334">
        <w:rPr>
          <w:sz w:val="24"/>
          <w:szCs w:val="24"/>
        </w:rPr>
        <w:t>(dvs. de sidste 2 uger af perioden med fastsat dosis) i det ugentlige antal katapleksianfald 12,71 (3,44; 19,77) hos patienter randomiseret til placebo og 0,27 (-1,00; 2,50) hos patienter randomiseret til natriumoxybat.</w:t>
      </w:r>
    </w:p>
    <w:p w14:paraId="316088B5" w14:textId="77777777" w:rsidR="00602B4C" w:rsidRPr="00693334" w:rsidRDefault="00602B4C" w:rsidP="00602B4C">
      <w:pPr>
        <w:tabs>
          <w:tab w:val="left" w:pos="851"/>
        </w:tabs>
        <w:ind w:left="850"/>
        <w:rPr>
          <w:sz w:val="24"/>
          <w:szCs w:val="24"/>
        </w:rPr>
      </w:pPr>
    </w:p>
    <w:p w14:paraId="5F6951C8" w14:textId="77777777" w:rsidR="00602B4C" w:rsidRPr="00693334" w:rsidRDefault="00602B4C" w:rsidP="00602B4C">
      <w:pPr>
        <w:tabs>
          <w:tab w:val="left" w:pos="851"/>
        </w:tabs>
        <w:ind w:left="850"/>
        <w:rPr>
          <w:b/>
          <w:bCs/>
          <w:sz w:val="24"/>
          <w:szCs w:val="24"/>
        </w:rPr>
      </w:pPr>
      <w:r w:rsidRPr="00693334">
        <w:rPr>
          <w:b/>
          <w:bCs/>
          <w:sz w:val="24"/>
          <w:szCs w:val="24"/>
        </w:rPr>
        <w:lastRenderedPageBreak/>
        <w:t>Tabel 8. Sammenfatning af resultater for studie 13-005 hos børn/unge</w:t>
      </w:r>
    </w:p>
    <w:p w14:paraId="6673512D" w14:textId="77777777" w:rsidR="00602B4C" w:rsidRPr="00693334" w:rsidRDefault="00602B4C" w:rsidP="00602B4C">
      <w:pPr>
        <w:tabs>
          <w:tab w:val="left" w:pos="851"/>
        </w:tabs>
        <w:ind w:left="850"/>
        <w:rPr>
          <w:sz w:val="24"/>
          <w:szCs w:val="24"/>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617"/>
        <w:gridCol w:w="1648"/>
        <w:gridCol w:w="1750"/>
        <w:gridCol w:w="1546"/>
      </w:tblGrid>
      <w:tr w:rsidR="00602B4C" w:rsidRPr="00693334" w14:paraId="56A0A956" w14:textId="77777777" w:rsidTr="00602B4C">
        <w:tc>
          <w:tcPr>
            <w:tcW w:w="1940" w:type="dxa"/>
            <w:tcBorders>
              <w:top w:val="single" w:sz="4" w:space="0" w:color="auto"/>
              <w:left w:val="single" w:sz="4" w:space="0" w:color="auto"/>
              <w:bottom w:val="single" w:sz="4" w:space="0" w:color="auto"/>
              <w:right w:val="single" w:sz="4" w:space="0" w:color="auto"/>
            </w:tcBorders>
            <w:hideMark/>
          </w:tcPr>
          <w:p w14:paraId="70FE1E49" w14:textId="77777777" w:rsidR="00602B4C" w:rsidRPr="00693334" w:rsidRDefault="00602B4C" w:rsidP="00602B4C">
            <w:pPr>
              <w:tabs>
                <w:tab w:val="left" w:pos="851"/>
              </w:tabs>
              <w:jc w:val="center"/>
              <w:rPr>
                <w:rFonts w:eastAsia="Calibri"/>
                <w:b/>
                <w:bCs/>
                <w:sz w:val="24"/>
                <w:szCs w:val="24"/>
              </w:rPr>
            </w:pPr>
            <w:r w:rsidRPr="00693334">
              <w:rPr>
                <w:rFonts w:eastAsia="Calibri"/>
                <w:b/>
                <w:bCs/>
                <w:sz w:val="24"/>
                <w:szCs w:val="24"/>
              </w:rPr>
              <w:t>Behandlingsgruppe</w:t>
            </w:r>
          </w:p>
        </w:tc>
        <w:tc>
          <w:tcPr>
            <w:tcW w:w="1786" w:type="dxa"/>
            <w:tcBorders>
              <w:top w:val="single" w:sz="4" w:space="0" w:color="auto"/>
              <w:left w:val="single" w:sz="4" w:space="0" w:color="auto"/>
              <w:bottom w:val="single" w:sz="4" w:space="0" w:color="auto"/>
              <w:right w:val="single" w:sz="4" w:space="0" w:color="auto"/>
            </w:tcBorders>
            <w:hideMark/>
          </w:tcPr>
          <w:p w14:paraId="5FDCC8C9" w14:textId="77777777" w:rsidR="00602B4C" w:rsidRPr="00693334" w:rsidRDefault="00602B4C" w:rsidP="00602B4C">
            <w:pPr>
              <w:tabs>
                <w:tab w:val="left" w:pos="851"/>
              </w:tabs>
              <w:jc w:val="center"/>
              <w:rPr>
                <w:rFonts w:eastAsia="Calibri"/>
                <w:b/>
                <w:bCs/>
                <w:sz w:val="24"/>
                <w:szCs w:val="24"/>
              </w:rPr>
            </w:pPr>
            <w:r w:rsidRPr="00693334">
              <w:rPr>
                <w:rFonts w:eastAsia="Calibri"/>
                <w:b/>
                <w:bCs/>
                <w:sz w:val="24"/>
                <w:szCs w:val="24"/>
              </w:rPr>
              <w:t>Antal patienter</w:t>
            </w:r>
          </w:p>
        </w:tc>
        <w:tc>
          <w:tcPr>
            <w:tcW w:w="5278" w:type="dxa"/>
            <w:gridSpan w:val="3"/>
            <w:tcBorders>
              <w:top w:val="single" w:sz="4" w:space="0" w:color="auto"/>
              <w:left w:val="single" w:sz="4" w:space="0" w:color="auto"/>
              <w:bottom w:val="single" w:sz="4" w:space="0" w:color="auto"/>
              <w:right w:val="single" w:sz="4" w:space="0" w:color="auto"/>
            </w:tcBorders>
            <w:hideMark/>
          </w:tcPr>
          <w:p w14:paraId="340FA102" w14:textId="77777777" w:rsidR="00602B4C" w:rsidRPr="00693334" w:rsidRDefault="00602B4C" w:rsidP="00602B4C">
            <w:pPr>
              <w:tabs>
                <w:tab w:val="left" w:pos="851"/>
              </w:tabs>
              <w:jc w:val="center"/>
              <w:rPr>
                <w:rFonts w:eastAsia="Calibri"/>
                <w:b/>
                <w:bCs/>
                <w:sz w:val="24"/>
                <w:szCs w:val="24"/>
              </w:rPr>
            </w:pPr>
            <w:r w:rsidRPr="00693334">
              <w:rPr>
                <w:rFonts w:eastAsia="Calibri"/>
                <w:b/>
                <w:bCs/>
                <w:sz w:val="24"/>
                <w:szCs w:val="24"/>
              </w:rPr>
              <w:t>Ugentlige antal katapleksianfald (median)</w:t>
            </w:r>
          </w:p>
        </w:tc>
      </w:tr>
      <w:tr w:rsidR="00602B4C" w:rsidRPr="00693334" w14:paraId="2911B1B1" w14:textId="77777777" w:rsidTr="00602B4C">
        <w:tc>
          <w:tcPr>
            <w:tcW w:w="3726" w:type="dxa"/>
            <w:gridSpan w:val="2"/>
            <w:tcBorders>
              <w:top w:val="single" w:sz="4" w:space="0" w:color="auto"/>
              <w:left w:val="single" w:sz="4" w:space="0" w:color="auto"/>
              <w:bottom w:val="single" w:sz="4" w:space="0" w:color="auto"/>
              <w:right w:val="single" w:sz="4" w:space="0" w:color="auto"/>
            </w:tcBorders>
          </w:tcPr>
          <w:p w14:paraId="6C8D1963" w14:textId="77777777" w:rsidR="00602B4C" w:rsidRPr="00693334" w:rsidRDefault="00602B4C" w:rsidP="00602B4C">
            <w:pPr>
              <w:tabs>
                <w:tab w:val="left" w:pos="851"/>
              </w:tabs>
              <w:jc w:val="center"/>
              <w:rPr>
                <w:rFonts w:eastAsia="Calibri"/>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7C13E04D" w14:textId="77777777" w:rsidR="00602B4C" w:rsidRPr="00693334" w:rsidRDefault="00602B4C" w:rsidP="00602B4C">
            <w:pPr>
              <w:tabs>
                <w:tab w:val="left" w:pos="851"/>
              </w:tabs>
              <w:jc w:val="center"/>
              <w:rPr>
                <w:rFonts w:eastAsia="Calibri"/>
                <w:sz w:val="24"/>
                <w:szCs w:val="24"/>
              </w:rPr>
            </w:pPr>
            <w:r w:rsidRPr="00693334">
              <w:rPr>
                <w:rFonts w:eastAsia="Calibri"/>
                <w:b/>
                <w:bCs/>
                <w:i/>
                <w:iCs/>
                <w:sz w:val="24"/>
                <w:szCs w:val="24"/>
              </w:rPr>
              <w:t>Baseline</w:t>
            </w:r>
            <w:r w:rsidRPr="00693334">
              <w:rPr>
                <w:rFonts w:eastAsia="Calibri"/>
                <w:sz w:val="24"/>
                <w:szCs w:val="24"/>
              </w:rPr>
              <w:t xml:space="preserve"> (dvs. sidste 2 uger af perioden med fastsat dosis)</w:t>
            </w:r>
          </w:p>
        </w:tc>
        <w:tc>
          <w:tcPr>
            <w:tcW w:w="1733" w:type="dxa"/>
            <w:tcBorders>
              <w:top w:val="single" w:sz="4" w:space="0" w:color="auto"/>
              <w:left w:val="single" w:sz="4" w:space="0" w:color="auto"/>
              <w:bottom w:val="single" w:sz="4" w:space="0" w:color="auto"/>
              <w:right w:val="single" w:sz="4" w:space="0" w:color="auto"/>
            </w:tcBorders>
            <w:hideMark/>
          </w:tcPr>
          <w:p w14:paraId="2190D532" w14:textId="77777777" w:rsidR="00602B4C" w:rsidRPr="00693334" w:rsidRDefault="00602B4C" w:rsidP="00602B4C">
            <w:pPr>
              <w:tabs>
                <w:tab w:val="left" w:pos="851"/>
              </w:tabs>
              <w:jc w:val="center"/>
              <w:rPr>
                <w:rFonts w:eastAsia="Calibri"/>
                <w:b/>
                <w:bCs/>
                <w:sz w:val="24"/>
                <w:szCs w:val="24"/>
              </w:rPr>
            </w:pPr>
            <w:r w:rsidRPr="00693334">
              <w:rPr>
                <w:rFonts w:eastAsia="Calibri"/>
                <w:b/>
                <w:bCs/>
                <w:sz w:val="24"/>
                <w:szCs w:val="24"/>
              </w:rPr>
              <w:t>Dobbeltblindet periode</w:t>
            </w:r>
          </w:p>
        </w:tc>
        <w:tc>
          <w:tcPr>
            <w:tcW w:w="1689" w:type="dxa"/>
            <w:tcBorders>
              <w:top w:val="single" w:sz="4" w:space="0" w:color="auto"/>
              <w:left w:val="single" w:sz="4" w:space="0" w:color="auto"/>
              <w:bottom w:val="single" w:sz="4" w:space="0" w:color="auto"/>
              <w:right w:val="single" w:sz="4" w:space="0" w:color="auto"/>
            </w:tcBorders>
            <w:hideMark/>
          </w:tcPr>
          <w:p w14:paraId="4C4FB64E" w14:textId="77777777" w:rsidR="00602B4C" w:rsidRPr="00693334" w:rsidRDefault="00602B4C" w:rsidP="00602B4C">
            <w:pPr>
              <w:tabs>
                <w:tab w:val="left" w:pos="851"/>
              </w:tabs>
              <w:jc w:val="center"/>
              <w:rPr>
                <w:rFonts w:eastAsia="Calibri"/>
                <w:b/>
                <w:bCs/>
                <w:sz w:val="24"/>
                <w:szCs w:val="24"/>
              </w:rPr>
            </w:pPr>
            <w:r w:rsidRPr="00693334">
              <w:rPr>
                <w:rFonts w:eastAsia="Calibri"/>
                <w:b/>
                <w:bCs/>
                <w:sz w:val="24"/>
                <w:szCs w:val="24"/>
              </w:rPr>
              <w:t xml:space="preserve">Ændring fra </w:t>
            </w:r>
            <w:r w:rsidRPr="00693334">
              <w:rPr>
                <w:rFonts w:eastAsia="Calibri"/>
                <w:b/>
                <w:bCs/>
                <w:i/>
                <w:iCs/>
                <w:sz w:val="24"/>
                <w:szCs w:val="24"/>
              </w:rPr>
              <w:t>baseline</w:t>
            </w:r>
          </w:p>
        </w:tc>
      </w:tr>
      <w:tr w:rsidR="00602B4C" w:rsidRPr="00693334" w14:paraId="51DD5841" w14:textId="77777777" w:rsidTr="00602B4C">
        <w:tc>
          <w:tcPr>
            <w:tcW w:w="1940" w:type="dxa"/>
            <w:tcBorders>
              <w:top w:val="single" w:sz="4" w:space="0" w:color="auto"/>
              <w:left w:val="single" w:sz="4" w:space="0" w:color="auto"/>
              <w:bottom w:val="single" w:sz="4" w:space="0" w:color="auto"/>
              <w:right w:val="single" w:sz="4" w:space="0" w:color="auto"/>
            </w:tcBorders>
            <w:hideMark/>
          </w:tcPr>
          <w:p w14:paraId="26DAA799" w14:textId="77777777" w:rsidR="00602B4C" w:rsidRPr="00693334" w:rsidRDefault="00602B4C" w:rsidP="00602B4C">
            <w:pPr>
              <w:tabs>
                <w:tab w:val="left" w:pos="851"/>
              </w:tabs>
              <w:rPr>
                <w:rFonts w:eastAsia="Calibri"/>
                <w:sz w:val="24"/>
                <w:szCs w:val="24"/>
              </w:rPr>
            </w:pPr>
            <w:r w:rsidRPr="00693334">
              <w:rPr>
                <w:rFonts w:eastAsia="Calibri"/>
                <w:sz w:val="24"/>
                <w:szCs w:val="24"/>
              </w:rPr>
              <w:t>Placebo</w:t>
            </w:r>
          </w:p>
        </w:tc>
        <w:tc>
          <w:tcPr>
            <w:tcW w:w="1786" w:type="dxa"/>
            <w:tcBorders>
              <w:top w:val="single" w:sz="4" w:space="0" w:color="auto"/>
              <w:left w:val="single" w:sz="4" w:space="0" w:color="auto"/>
              <w:bottom w:val="single" w:sz="4" w:space="0" w:color="auto"/>
              <w:right w:val="single" w:sz="4" w:space="0" w:color="auto"/>
            </w:tcBorders>
            <w:hideMark/>
          </w:tcPr>
          <w:p w14:paraId="2D5C5952"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32</w:t>
            </w:r>
          </w:p>
        </w:tc>
        <w:tc>
          <w:tcPr>
            <w:tcW w:w="1856" w:type="dxa"/>
            <w:tcBorders>
              <w:top w:val="single" w:sz="4" w:space="0" w:color="auto"/>
              <w:left w:val="single" w:sz="4" w:space="0" w:color="auto"/>
              <w:bottom w:val="single" w:sz="4" w:space="0" w:color="auto"/>
              <w:right w:val="single" w:sz="4" w:space="0" w:color="auto"/>
            </w:tcBorders>
            <w:hideMark/>
          </w:tcPr>
          <w:p w14:paraId="4ADB763B"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4,67</w:t>
            </w:r>
          </w:p>
        </w:tc>
        <w:tc>
          <w:tcPr>
            <w:tcW w:w="1733" w:type="dxa"/>
            <w:tcBorders>
              <w:top w:val="single" w:sz="4" w:space="0" w:color="auto"/>
              <w:left w:val="single" w:sz="4" w:space="0" w:color="auto"/>
              <w:bottom w:val="single" w:sz="4" w:space="0" w:color="auto"/>
              <w:right w:val="single" w:sz="4" w:space="0" w:color="auto"/>
            </w:tcBorders>
            <w:hideMark/>
          </w:tcPr>
          <w:p w14:paraId="60538E4C"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21,25</w:t>
            </w:r>
          </w:p>
        </w:tc>
        <w:tc>
          <w:tcPr>
            <w:tcW w:w="1689" w:type="dxa"/>
            <w:tcBorders>
              <w:top w:val="single" w:sz="4" w:space="0" w:color="auto"/>
              <w:left w:val="single" w:sz="4" w:space="0" w:color="auto"/>
              <w:bottom w:val="single" w:sz="4" w:space="0" w:color="auto"/>
              <w:right w:val="single" w:sz="4" w:space="0" w:color="auto"/>
            </w:tcBorders>
            <w:hideMark/>
          </w:tcPr>
          <w:p w14:paraId="0086E3C9"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12,71</w:t>
            </w:r>
          </w:p>
        </w:tc>
      </w:tr>
      <w:tr w:rsidR="00602B4C" w:rsidRPr="00693334" w14:paraId="0639FB89" w14:textId="77777777" w:rsidTr="00602B4C">
        <w:tc>
          <w:tcPr>
            <w:tcW w:w="1940" w:type="dxa"/>
            <w:tcBorders>
              <w:top w:val="single" w:sz="4" w:space="0" w:color="auto"/>
              <w:left w:val="single" w:sz="4" w:space="0" w:color="auto"/>
              <w:bottom w:val="single" w:sz="4" w:space="0" w:color="auto"/>
              <w:right w:val="single" w:sz="4" w:space="0" w:color="auto"/>
            </w:tcBorders>
            <w:hideMark/>
          </w:tcPr>
          <w:p w14:paraId="338FA555" w14:textId="77777777" w:rsidR="00602B4C" w:rsidRPr="00693334" w:rsidRDefault="00602B4C" w:rsidP="00602B4C">
            <w:pPr>
              <w:tabs>
                <w:tab w:val="left" w:pos="851"/>
              </w:tabs>
              <w:rPr>
                <w:rFonts w:eastAsia="Calibri"/>
                <w:sz w:val="24"/>
                <w:szCs w:val="24"/>
              </w:rPr>
            </w:pPr>
            <w:r w:rsidRPr="00693334">
              <w:rPr>
                <w:rFonts w:eastAsia="Calibri"/>
                <w:sz w:val="24"/>
                <w:szCs w:val="24"/>
              </w:rPr>
              <w:t>Natriumoxybat</w:t>
            </w:r>
          </w:p>
        </w:tc>
        <w:tc>
          <w:tcPr>
            <w:tcW w:w="1786" w:type="dxa"/>
            <w:tcBorders>
              <w:top w:val="single" w:sz="4" w:space="0" w:color="auto"/>
              <w:left w:val="single" w:sz="4" w:space="0" w:color="auto"/>
              <w:bottom w:val="single" w:sz="4" w:space="0" w:color="auto"/>
              <w:right w:val="single" w:sz="4" w:space="0" w:color="auto"/>
            </w:tcBorders>
            <w:hideMark/>
          </w:tcPr>
          <w:p w14:paraId="28C68C84"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31</w:t>
            </w:r>
          </w:p>
        </w:tc>
        <w:tc>
          <w:tcPr>
            <w:tcW w:w="1856" w:type="dxa"/>
            <w:tcBorders>
              <w:top w:val="single" w:sz="4" w:space="0" w:color="auto"/>
              <w:left w:val="single" w:sz="4" w:space="0" w:color="auto"/>
              <w:bottom w:val="single" w:sz="4" w:space="0" w:color="auto"/>
              <w:right w:val="single" w:sz="4" w:space="0" w:color="auto"/>
            </w:tcBorders>
            <w:hideMark/>
          </w:tcPr>
          <w:p w14:paraId="6409673D"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3,50</w:t>
            </w:r>
          </w:p>
        </w:tc>
        <w:tc>
          <w:tcPr>
            <w:tcW w:w="1733" w:type="dxa"/>
            <w:tcBorders>
              <w:top w:val="single" w:sz="4" w:space="0" w:color="auto"/>
              <w:left w:val="single" w:sz="4" w:space="0" w:color="auto"/>
              <w:bottom w:val="single" w:sz="4" w:space="0" w:color="auto"/>
              <w:right w:val="single" w:sz="4" w:space="0" w:color="auto"/>
            </w:tcBorders>
            <w:hideMark/>
          </w:tcPr>
          <w:p w14:paraId="57CA6D58"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3,77</w:t>
            </w:r>
          </w:p>
        </w:tc>
        <w:tc>
          <w:tcPr>
            <w:tcW w:w="1689" w:type="dxa"/>
            <w:tcBorders>
              <w:top w:val="single" w:sz="4" w:space="0" w:color="auto"/>
              <w:left w:val="single" w:sz="4" w:space="0" w:color="auto"/>
              <w:bottom w:val="single" w:sz="4" w:space="0" w:color="auto"/>
              <w:right w:val="single" w:sz="4" w:space="0" w:color="auto"/>
            </w:tcBorders>
            <w:hideMark/>
          </w:tcPr>
          <w:p w14:paraId="0BD1AF2D"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0,27</w:t>
            </w:r>
          </w:p>
        </w:tc>
      </w:tr>
      <w:tr w:rsidR="00602B4C" w:rsidRPr="00693334" w14:paraId="0E0652A8" w14:textId="77777777" w:rsidTr="00602B4C">
        <w:tc>
          <w:tcPr>
            <w:tcW w:w="7315" w:type="dxa"/>
            <w:gridSpan w:val="4"/>
            <w:tcBorders>
              <w:top w:val="single" w:sz="4" w:space="0" w:color="auto"/>
              <w:left w:val="single" w:sz="4" w:space="0" w:color="auto"/>
              <w:bottom w:val="single" w:sz="4" w:space="0" w:color="auto"/>
              <w:right w:val="single" w:sz="4" w:space="0" w:color="auto"/>
            </w:tcBorders>
            <w:hideMark/>
          </w:tcPr>
          <w:p w14:paraId="7973745B" w14:textId="77777777" w:rsidR="00602B4C" w:rsidRPr="00693334" w:rsidRDefault="00602B4C" w:rsidP="00602B4C">
            <w:pPr>
              <w:tabs>
                <w:tab w:val="left" w:pos="851"/>
              </w:tabs>
              <w:rPr>
                <w:rFonts w:eastAsia="Calibri"/>
                <w:sz w:val="24"/>
                <w:szCs w:val="24"/>
              </w:rPr>
            </w:pPr>
            <w:r w:rsidRPr="00693334">
              <w:rPr>
                <w:rFonts w:eastAsia="Calibri"/>
                <w:sz w:val="24"/>
                <w:szCs w:val="24"/>
              </w:rPr>
              <w:t>p-værdi</w:t>
            </w:r>
          </w:p>
        </w:tc>
        <w:tc>
          <w:tcPr>
            <w:tcW w:w="1689" w:type="dxa"/>
            <w:tcBorders>
              <w:top w:val="single" w:sz="4" w:space="0" w:color="auto"/>
              <w:left w:val="single" w:sz="4" w:space="0" w:color="auto"/>
              <w:bottom w:val="single" w:sz="4" w:space="0" w:color="auto"/>
              <w:right w:val="single" w:sz="4" w:space="0" w:color="auto"/>
            </w:tcBorders>
            <w:hideMark/>
          </w:tcPr>
          <w:p w14:paraId="5D43D319"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&lt; 0,0001</w:t>
            </w:r>
          </w:p>
        </w:tc>
      </w:tr>
    </w:tbl>
    <w:p w14:paraId="239DB214" w14:textId="77777777" w:rsidR="00602B4C" w:rsidRPr="00693334" w:rsidRDefault="00602B4C" w:rsidP="00602B4C">
      <w:pPr>
        <w:tabs>
          <w:tab w:val="left" w:pos="851"/>
        </w:tabs>
        <w:ind w:left="850"/>
        <w:rPr>
          <w:sz w:val="24"/>
          <w:szCs w:val="24"/>
        </w:rPr>
      </w:pPr>
    </w:p>
    <w:p w14:paraId="73C561D5" w14:textId="77777777" w:rsidR="00602B4C" w:rsidRPr="00693334" w:rsidRDefault="00602B4C" w:rsidP="00602B4C">
      <w:pPr>
        <w:pStyle w:val="Default"/>
        <w:ind w:left="850"/>
      </w:pPr>
      <w:r w:rsidRPr="00693334">
        <w:t xml:space="preserve">Når der blev udført undergruppeanalyser efter aldersgruppe (7-11 år og 12-17 år) for det primære endepunkt, blev der observeret tilsvarende resultater. Under den dobbeltblindede behandlingsperiode blandt patienter fra 7 til 11 år var medianændringen (Q 1, Q 3) i forhold til </w:t>
      </w:r>
      <w:r w:rsidRPr="00693334">
        <w:rPr>
          <w:i/>
          <w:iCs/>
        </w:rPr>
        <w:t xml:space="preserve">baseline </w:t>
      </w:r>
      <w:r w:rsidRPr="00693334">
        <w:t xml:space="preserve">i det ugentlige antal katapleksianfald 18,32 (7,58; 35,75) for patienter randomiseret til placebo og 0,13 (-1,15; 2,05) for patienter randomiseret til natriumoxybat (p &lt; 0,0001). Under den dobbeltblindede behandlingsperiode blandt patienter fra12 til 17 år var medianændringen (Q 1, Q 3) i forhold til </w:t>
      </w:r>
      <w:r w:rsidRPr="00693334">
        <w:rPr>
          <w:i/>
          <w:iCs/>
        </w:rPr>
        <w:t xml:space="preserve">baseline </w:t>
      </w:r>
      <w:r w:rsidRPr="00693334">
        <w:t xml:space="preserve">i det ugentlige antal katapleksianfald 9,39 (1,08; 16,12) for patienter randomiseret til placebo og 0,58 (-0,88; 2,58) for patienter randomiseret til natriumoxybat (p = 0,0044). </w:t>
      </w:r>
    </w:p>
    <w:p w14:paraId="76472DE6" w14:textId="77777777" w:rsidR="00602B4C" w:rsidRPr="00693334" w:rsidRDefault="00602B4C" w:rsidP="00602B4C">
      <w:pPr>
        <w:pStyle w:val="Default"/>
        <w:ind w:left="850"/>
      </w:pPr>
    </w:p>
    <w:p w14:paraId="23B8C4C5" w14:textId="77777777" w:rsidR="00602B4C" w:rsidRPr="00693334" w:rsidRDefault="00602B4C" w:rsidP="00602B4C">
      <w:pPr>
        <w:tabs>
          <w:tab w:val="left" w:pos="851"/>
        </w:tabs>
        <w:ind w:left="850"/>
        <w:rPr>
          <w:sz w:val="24"/>
          <w:szCs w:val="24"/>
        </w:rPr>
      </w:pPr>
      <w:r w:rsidRPr="00693334">
        <w:rPr>
          <w:sz w:val="24"/>
          <w:szCs w:val="24"/>
        </w:rPr>
        <w:t xml:space="preserve">Under den dobbeltblindede behandlingsperiode var medianændringen (Q 1, Q 3) for det sekundære endepunkt (ændring i ESS-scorer) i forhold til </w:t>
      </w:r>
      <w:r w:rsidRPr="00693334">
        <w:rPr>
          <w:i/>
          <w:iCs/>
          <w:sz w:val="24"/>
          <w:szCs w:val="24"/>
        </w:rPr>
        <w:t xml:space="preserve">baseline </w:t>
      </w:r>
      <w:r w:rsidRPr="00693334">
        <w:rPr>
          <w:sz w:val="24"/>
          <w:szCs w:val="24"/>
        </w:rPr>
        <w:t xml:space="preserve">(som fandt sted ved besøg 3 – slutningen af perioden med fastsat dosis) i </w:t>
      </w:r>
      <w:r w:rsidRPr="00693334">
        <w:rPr>
          <w:i/>
          <w:iCs/>
          <w:sz w:val="24"/>
          <w:szCs w:val="24"/>
        </w:rPr>
        <w:t xml:space="preserve">Epworth Sleepiness Scale for Children and Adolescent </w:t>
      </w:r>
      <w:r w:rsidRPr="00693334">
        <w:rPr>
          <w:sz w:val="24"/>
          <w:szCs w:val="24"/>
        </w:rPr>
        <w:t xml:space="preserve">scorer (ESS-CHAD) 3,0 (1,0; 5,0) for patienter randomiseret til placebo og 0,0 (-1,0; 2.0) for patienter randomiseret til natriumoxybat. Sammenligningen af rangændringen i forhold til </w:t>
      </w:r>
      <w:r w:rsidRPr="00693334">
        <w:rPr>
          <w:i/>
          <w:iCs/>
          <w:sz w:val="24"/>
          <w:szCs w:val="24"/>
        </w:rPr>
        <w:t xml:space="preserve">baseline </w:t>
      </w:r>
      <w:r w:rsidRPr="00693334">
        <w:rPr>
          <w:sz w:val="24"/>
          <w:szCs w:val="24"/>
        </w:rPr>
        <w:t xml:space="preserve">mellem behandlinger var statistisk signifikant (p = 0,0004), når den blev analyseret med ANCOVA-modellering indeholdende behandling som en faktor og rang-baselineværdi som en kovariat. Patienter randomiseret til placebo havde i gennemsnit højere ESS (CHAD)-scorer ved </w:t>
      </w:r>
      <w:r w:rsidRPr="00693334">
        <w:rPr>
          <w:i/>
          <w:iCs/>
          <w:sz w:val="24"/>
          <w:szCs w:val="24"/>
        </w:rPr>
        <w:t xml:space="preserve">baseline </w:t>
      </w:r>
      <w:r w:rsidRPr="00693334">
        <w:rPr>
          <w:sz w:val="24"/>
          <w:szCs w:val="24"/>
        </w:rPr>
        <w:t>sammenlignet med patienter, der fik natriumoxybat.</w:t>
      </w:r>
    </w:p>
    <w:p w14:paraId="026188EB" w14:textId="77777777" w:rsidR="00602B4C" w:rsidRPr="00693334" w:rsidRDefault="00602B4C" w:rsidP="00602B4C">
      <w:pPr>
        <w:tabs>
          <w:tab w:val="left" w:pos="851"/>
        </w:tabs>
        <w:ind w:left="850"/>
        <w:rPr>
          <w:sz w:val="24"/>
          <w:szCs w:val="24"/>
        </w:rPr>
      </w:pPr>
    </w:p>
    <w:p w14:paraId="72CE608E" w14:textId="77777777" w:rsidR="00602B4C" w:rsidRPr="00693334" w:rsidRDefault="00602B4C" w:rsidP="00602B4C">
      <w:pPr>
        <w:tabs>
          <w:tab w:val="left" w:pos="851"/>
        </w:tabs>
        <w:ind w:left="850"/>
        <w:rPr>
          <w:b/>
          <w:bCs/>
          <w:sz w:val="24"/>
          <w:szCs w:val="24"/>
        </w:rPr>
      </w:pPr>
      <w:r w:rsidRPr="00693334">
        <w:rPr>
          <w:b/>
          <w:bCs/>
          <w:sz w:val="24"/>
          <w:szCs w:val="24"/>
        </w:rPr>
        <w:t>Tabel 9. Oversigt over ESS (CHAD)-score under den dobbeltblindede behandlingsperiode (virkningspopulation)</w:t>
      </w:r>
    </w:p>
    <w:p w14:paraId="725B28D6" w14:textId="77777777" w:rsidR="00602B4C" w:rsidRPr="00693334" w:rsidRDefault="00602B4C" w:rsidP="00602B4C">
      <w:pPr>
        <w:tabs>
          <w:tab w:val="left" w:pos="851"/>
        </w:tabs>
        <w:ind w:left="850"/>
        <w:rPr>
          <w:sz w:val="24"/>
          <w:szCs w:val="24"/>
        </w:rPr>
      </w:pP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612"/>
        <w:gridCol w:w="1681"/>
        <w:gridCol w:w="1727"/>
        <w:gridCol w:w="1541"/>
      </w:tblGrid>
      <w:tr w:rsidR="00602B4C" w:rsidRPr="00693334" w14:paraId="37986FEB" w14:textId="77777777" w:rsidTr="00602B4C">
        <w:tc>
          <w:tcPr>
            <w:tcW w:w="1940" w:type="dxa"/>
            <w:tcBorders>
              <w:top w:val="single" w:sz="4" w:space="0" w:color="auto"/>
              <w:left w:val="single" w:sz="4" w:space="0" w:color="auto"/>
              <w:bottom w:val="single" w:sz="4" w:space="0" w:color="auto"/>
              <w:right w:val="single" w:sz="4" w:space="0" w:color="auto"/>
            </w:tcBorders>
            <w:hideMark/>
          </w:tcPr>
          <w:p w14:paraId="2E3A9740" w14:textId="77777777" w:rsidR="00602B4C" w:rsidRPr="00693334" w:rsidRDefault="00602B4C" w:rsidP="00602B4C">
            <w:pPr>
              <w:tabs>
                <w:tab w:val="left" w:pos="851"/>
              </w:tabs>
              <w:jc w:val="center"/>
              <w:rPr>
                <w:rFonts w:eastAsia="Calibri"/>
                <w:b/>
                <w:bCs/>
                <w:sz w:val="24"/>
                <w:szCs w:val="24"/>
              </w:rPr>
            </w:pPr>
            <w:r w:rsidRPr="00693334">
              <w:rPr>
                <w:rFonts w:eastAsia="Calibri"/>
                <w:b/>
                <w:bCs/>
                <w:sz w:val="24"/>
                <w:szCs w:val="24"/>
              </w:rPr>
              <w:t>Behandlingsgruppe</w:t>
            </w:r>
          </w:p>
        </w:tc>
        <w:tc>
          <w:tcPr>
            <w:tcW w:w="1786" w:type="dxa"/>
            <w:tcBorders>
              <w:top w:val="single" w:sz="4" w:space="0" w:color="auto"/>
              <w:left w:val="single" w:sz="4" w:space="0" w:color="auto"/>
              <w:bottom w:val="single" w:sz="4" w:space="0" w:color="auto"/>
              <w:right w:val="single" w:sz="4" w:space="0" w:color="auto"/>
            </w:tcBorders>
            <w:hideMark/>
          </w:tcPr>
          <w:p w14:paraId="18C92F52" w14:textId="77777777" w:rsidR="00602B4C" w:rsidRPr="00693334" w:rsidRDefault="00602B4C" w:rsidP="00602B4C">
            <w:pPr>
              <w:tabs>
                <w:tab w:val="left" w:pos="851"/>
              </w:tabs>
              <w:jc w:val="center"/>
              <w:rPr>
                <w:rFonts w:eastAsia="Calibri"/>
                <w:b/>
                <w:bCs/>
                <w:sz w:val="24"/>
                <w:szCs w:val="24"/>
              </w:rPr>
            </w:pPr>
            <w:r w:rsidRPr="00693334">
              <w:rPr>
                <w:rFonts w:eastAsia="Calibri"/>
                <w:b/>
                <w:bCs/>
                <w:sz w:val="24"/>
                <w:szCs w:val="24"/>
              </w:rPr>
              <w:t>Antal patienter</w:t>
            </w:r>
          </w:p>
        </w:tc>
        <w:tc>
          <w:tcPr>
            <w:tcW w:w="5278" w:type="dxa"/>
            <w:gridSpan w:val="3"/>
            <w:tcBorders>
              <w:top w:val="single" w:sz="4" w:space="0" w:color="auto"/>
              <w:left w:val="single" w:sz="4" w:space="0" w:color="auto"/>
              <w:bottom w:val="single" w:sz="4" w:space="0" w:color="auto"/>
              <w:right w:val="single" w:sz="4" w:space="0" w:color="auto"/>
            </w:tcBorders>
            <w:hideMark/>
          </w:tcPr>
          <w:p w14:paraId="792911AF" w14:textId="77777777" w:rsidR="00602B4C" w:rsidRPr="00693334" w:rsidRDefault="00602B4C" w:rsidP="00602B4C">
            <w:pPr>
              <w:tabs>
                <w:tab w:val="left" w:pos="851"/>
              </w:tabs>
              <w:jc w:val="center"/>
              <w:rPr>
                <w:rFonts w:eastAsia="Calibri"/>
                <w:b/>
                <w:bCs/>
                <w:sz w:val="24"/>
                <w:szCs w:val="24"/>
              </w:rPr>
            </w:pPr>
            <w:r w:rsidRPr="00693334">
              <w:rPr>
                <w:rFonts w:eastAsia="Calibri"/>
                <w:b/>
                <w:bCs/>
                <w:sz w:val="24"/>
                <w:szCs w:val="24"/>
              </w:rPr>
              <w:t>Ændring i ESS (CHAD)-score (median)</w:t>
            </w:r>
          </w:p>
        </w:tc>
      </w:tr>
      <w:tr w:rsidR="00602B4C" w:rsidRPr="00693334" w14:paraId="2A8BF931" w14:textId="77777777" w:rsidTr="00602B4C">
        <w:tc>
          <w:tcPr>
            <w:tcW w:w="3726" w:type="dxa"/>
            <w:gridSpan w:val="2"/>
            <w:tcBorders>
              <w:top w:val="single" w:sz="4" w:space="0" w:color="auto"/>
              <w:left w:val="single" w:sz="4" w:space="0" w:color="auto"/>
              <w:bottom w:val="single" w:sz="4" w:space="0" w:color="auto"/>
              <w:right w:val="single" w:sz="4" w:space="0" w:color="auto"/>
            </w:tcBorders>
          </w:tcPr>
          <w:p w14:paraId="6E0A6242" w14:textId="77777777" w:rsidR="00602B4C" w:rsidRPr="00693334" w:rsidRDefault="00602B4C" w:rsidP="00602B4C">
            <w:pPr>
              <w:tabs>
                <w:tab w:val="left" w:pos="851"/>
              </w:tabs>
              <w:rPr>
                <w:rFonts w:eastAsia="Calibri"/>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1F6880A7" w14:textId="77777777" w:rsidR="00602B4C" w:rsidRPr="00693334" w:rsidRDefault="00602B4C" w:rsidP="00602B4C">
            <w:pPr>
              <w:tabs>
                <w:tab w:val="left" w:pos="851"/>
              </w:tabs>
              <w:jc w:val="center"/>
              <w:rPr>
                <w:rFonts w:eastAsia="Calibri"/>
                <w:sz w:val="24"/>
                <w:szCs w:val="24"/>
              </w:rPr>
            </w:pPr>
            <w:r w:rsidRPr="00693334">
              <w:rPr>
                <w:rFonts w:eastAsia="Calibri"/>
                <w:b/>
                <w:bCs/>
                <w:i/>
                <w:iCs/>
                <w:sz w:val="24"/>
                <w:szCs w:val="24"/>
              </w:rPr>
              <w:t>Baseline</w:t>
            </w:r>
            <w:r w:rsidRPr="00693334">
              <w:rPr>
                <w:rFonts w:eastAsia="Calibri"/>
                <w:sz w:val="24"/>
                <w:szCs w:val="24"/>
              </w:rPr>
              <w:t xml:space="preserve"> (Besøg 3 – slutningen af perioden med fastsat dosis)</w:t>
            </w:r>
          </w:p>
        </w:tc>
        <w:tc>
          <w:tcPr>
            <w:tcW w:w="1733" w:type="dxa"/>
            <w:tcBorders>
              <w:top w:val="single" w:sz="4" w:space="0" w:color="auto"/>
              <w:left w:val="single" w:sz="4" w:space="0" w:color="auto"/>
              <w:bottom w:val="single" w:sz="4" w:space="0" w:color="auto"/>
              <w:right w:val="single" w:sz="4" w:space="0" w:color="auto"/>
            </w:tcBorders>
            <w:hideMark/>
          </w:tcPr>
          <w:p w14:paraId="071C581E" w14:textId="77777777" w:rsidR="00602B4C" w:rsidRPr="00693334" w:rsidRDefault="00602B4C" w:rsidP="00602B4C">
            <w:pPr>
              <w:tabs>
                <w:tab w:val="left" w:pos="851"/>
              </w:tabs>
              <w:jc w:val="center"/>
              <w:rPr>
                <w:rFonts w:eastAsia="Calibri"/>
                <w:sz w:val="24"/>
                <w:szCs w:val="24"/>
              </w:rPr>
            </w:pPr>
            <w:r w:rsidRPr="00693334">
              <w:rPr>
                <w:rFonts w:eastAsia="Calibri"/>
                <w:b/>
                <w:bCs/>
                <w:sz w:val="24"/>
                <w:szCs w:val="24"/>
              </w:rPr>
              <w:t>Slutningen af den dobbeltblindet periode</w:t>
            </w:r>
            <w:r w:rsidRPr="00693334">
              <w:rPr>
                <w:rFonts w:eastAsia="Calibri"/>
                <w:sz w:val="24"/>
                <w:szCs w:val="24"/>
              </w:rPr>
              <w:t xml:space="preserve"> (besøg 4)</w:t>
            </w:r>
          </w:p>
        </w:tc>
        <w:tc>
          <w:tcPr>
            <w:tcW w:w="1689" w:type="dxa"/>
            <w:tcBorders>
              <w:top w:val="single" w:sz="4" w:space="0" w:color="auto"/>
              <w:left w:val="single" w:sz="4" w:space="0" w:color="auto"/>
              <w:bottom w:val="single" w:sz="4" w:space="0" w:color="auto"/>
              <w:right w:val="single" w:sz="4" w:space="0" w:color="auto"/>
            </w:tcBorders>
            <w:hideMark/>
          </w:tcPr>
          <w:p w14:paraId="656D3B62" w14:textId="77777777" w:rsidR="00602B4C" w:rsidRPr="00693334" w:rsidRDefault="00602B4C" w:rsidP="00602B4C">
            <w:pPr>
              <w:tabs>
                <w:tab w:val="left" w:pos="851"/>
              </w:tabs>
              <w:jc w:val="center"/>
              <w:rPr>
                <w:rFonts w:eastAsia="Calibri"/>
                <w:b/>
                <w:bCs/>
                <w:sz w:val="24"/>
                <w:szCs w:val="24"/>
              </w:rPr>
            </w:pPr>
            <w:r w:rsidRPr="00693334">
              <w:rPr>
                <w:rFonts w:eastAsia="Calibri"/>
                <w:b/>
                <w:bCs/>
                <w:sz w:val="24"/>
                <w:szCs w:val="24"/>
              </w:rPr>
              <w:t xml:space="preserve">Ændring fra </w:t>
            </w:r>
            <w:r w:rsidRPr="00693334">
              <w:rPr>
                <w:rFonts w:eastAsia="Calibri"/>
                <w:b/>
                <w:bCs/>
                <w:i/>
                <w:iCs/>
                <w:sz w:val="24"/>
                <w:szCs w:val="24"/>
              </w:rPr>
              <w:t>baseline</w:t>
            </w:r>
          </w:p>
        </w:tc>
      </w:tr>
      <w:tr w:rsidR="00602B4C" w:rsidRPr="00693334" w14:paraId="576B709B" w14:textId="77777777" w:rsidTr="00602B4C">
        <w:tc>
          <w:tcPr>
            <w:tcW w:w="1940" w:type="dxa"/>
            <w:tcBorders>
              <w:top w:val="single" w:sz="4" w:space="0" w:color="auto"/>
              <w:left w:val="single" w:sz="4" w:space="0" w:color="auto"/>
              <w:bottom w:val="single" w:sz="4" w:space="0" w:color="auto"/>
              <w:right w:val="single" w:sz="4" w:space="0" w:color="auto"/>
            </w:tcBorders>
            <w:hideMark/>
          </w:tcPr>
          <w:p w14:paraId="56E3976E" w14:textId="77777777" w:rsidR="00602B4C" w:rsidRPr="00693334" w:rsidRDefault="00602B4C" w:rsidP="00602B4C">
            <w:pPr>
              <w:tabs>
                <w:tab w:val="left" w:pos="851"/>
              </w:tabs>
              <w:rPr>
                <w:rFonts w:eastAsia="Calibri"/>
                <w:sz w:val="24"/>
                <w:szCs w:val="24"/>
              </w:rPr>
            </w:pPr>
            <w:r w:rsidRPr="00693334">
              <w:rPr>
                <w:rFonts w:eastAsia="Calibri"/>
                <w:sz w:val="24"/>
                <w:szCs w:val="24"/>
              </w:rPr>
              <w:t>Placebo</w:t>
            </w:r>
          </w:p>
        </w:tc>
        <w:tc>
          <w:tcPr>
            <w:tcW w:w="1786" w:type="dxa"/>
            <w:tcBorders>
              <w:top w:val="single" w:sz="4" w:space="0" w:color="auto"/>
              <w:left w:val="single" w:sz="4" w:space="0" w:color="auto"/>
              <w:bottom w:val="single" w:sz="4" w:space="0" w:color="auto"/>
              <w:right w:val="single" w:sz="4" w:space="0" w:color="auto"/>
            </w:tcBorders>
            <w:hideMark/>
          </w:tcPr>
          <w:p w14:paraId="74352D80"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32</w:t>
            </w:r>
          </w:p>
        </w:tc>
        <w:tc>
          <w:tcPr>
            <w:tcW w:w="1856" w:type="dxa"/>
            <w:tcBorders>
              <w:top w:val="single" w:sz="4" w:space="0" w:color="auto"/>
              <w:left w:val="single" w:sz="4" w:space="0" w:color="auto"/>
              <w:bottom w:val="single" w:sz="4" w:space="0" w:color="auto"/>
              <w:right w:val="single" w:sz="4" w:space="0" w:color="auto"/>
            </w:tcBorders>
            <w:hideMark/>
          </w:tcPr>
          <w:p w14:paraId="371F7FD6"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11,0</w:t>
            </w:r>
          </w:p>
        </w:tc>
        <w:tc>
          <w:tcPr>
            <w:tcW w:w="1733" w:type="dxa"/>
            <w:tcBorders>
              <w:top w:val="single" w:sz="4" w:space="0" w:color="auto"/>
              <w:left w:val="single" w:sz="4" w:space="0" w:color="auto"/>
              <w:bottom w:val="single" w:sz="4" w:space="0" w:color="auto"/>
              <w:right w:val="single" w:sz="4" w:space="0" w:color="auto"/>
            </w:tcBorders>
            <w:hideMark/>
          </w:tcPr>
          <w:p w14:paraId="4E7803CA"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12,0</w:t>
            </w:r>
          </w:p>
        </w:tc>
        <w:tc>
          <w:tcPr>
            <w:tcW w:w="1689" w:type="dxa"/>
            <w:tcBorders>
              <w:top w:val="single" w:sz="4" w:space="0" w:color="auto"/>
              <w:left w:val="single" w:sz="4" w:space="0" w:color="auto"/>
              <w:bottom w:val="single" w:sz="4" w:space="0" w:color="auto"/>
              <w:right w:val="single" w:sz="4" w:space="0" w:color="auto"/>
            </w:tcBorders>
            <w:hideMark/>
          </w:tcPr>
          <w:p w14:paraId="6D364E6C"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3,0</w:t>
            </w:r>
          </w:p>
        </w:tc>
      </w:tr>
      <w:tr w:rsidR="00602B4C" w:rsidRPr="00693334" w14:paraId="44CBA83A" w14:textId="77777777" w:rsidTr="00602B4C">
        <w:tc>
          <w:tcPr>
            <w:tcW w:w="1940" w:type="dxa"/>
            <w:tcBorders>
              <w:top w:val="single" w:sz="4" w:space="0" w:color="auto"/>
              <w:left w:val="single" w:sz="4" w:space="0" w:color="auto"/>
              <w:bottom w:val="single" w:sz="4" w:space="0" w:color="auto"/>
              <w:right w:val="single" w:sz="4" w:space="0" w:color="auto"/>
            </w:tcBorders>
            <w:hideMark/>
          </w:tcPr>
          <w:p w14:paraId="4FCBCF63" w14:textId="77777777" w:rsidR="00602B4C" w:rsidRPr="00693334" w:rsidRDefault="00602B4C" w:rsidP="00602B4C">
            <w:pPr>
              <w:tabs>
                <w:tab w:val="left" w:pos="851"/>
              </w:tabs>
              <w:rPr>
                <w:rFonts w:eastAsia="Calibri"/>
                <w:sz w:val="24"/>
                <w:szCs w:val="24"/>
              </w:rPr>
            </w:pPr>
            <w:r w:rsidRPr="00693334">
              <w:rPr>
                <w:rFonts w:eastAsia="Calibri"/>
                <w:sz w:val="24"/>
                <w:szCs w:val="24"/>
              </w:rPr>
              <w:t>Natriumoxybat</w:t>
            </w:r>
          </w:p>
        </w:tc>
        <w:tc>
          <w:tcPr>
            <w:tcW w:w="1786" w:type="dxa"/>
            <w:tcBorders>
              <w:top w:val="single" w:sz="4" w:space="0" w:color="auto"/>
              <w:left w:val="single" w:sz="4" w:space="0" w:color="auto"/>
              <w:bottom w:val="single" w:sz="4" w:space="0" w:color="auto"/>
              <w:right w:val="single" w:sz="4" w:space="0" w:color="auto"/>
            </w:tcBorders>
            <w:hideMark/>
          </w:tcPr>
          <w:p w14:paraId="58DFE414"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31</w:t>
            </w:r>
          </w:p>
        </w:tc>
        <w:tc>
          <w:tcPr>
            <w:tcW w:w="1856" w:type="dxa"/>
            <w:tcBorders>
              <w:top w:val="single" w:sz="4" w:space="0" w:color="auto"/>
              <w:left w:val="single" w:sz="4" w:space="0" w:color="auto"/>
              <w:bottom w:val="single" w:sz="4" w:space="0" w:color="auto"/>
              <w:right w:val="single" w:sz="4" w:space="0" w:color="auto"/>
            </w:tcBorders>
            <w:hideMark/>
          </w:tcPr>
          <w:p w14:paraId="203DA850"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8,0</w:t>
            </w:r>
          </w:p>
        </w:tc>
        <w:tc>
          <w:tcPr>
            <w:tcW w:w="1733" w:type="dxa"/>
            <w:tcBorders>
              <w:top w:val="single" w:sz="4" w:space="0" w:color="auto"/>
              <w:left w:val="single" w:sz="4" w:space="0" w:color="auto"/>
              <w:bottom w:val="single" w:sz="4" w:space="0" w:color="auto"/>
              <w:right w:val="single" w:sz="4" w:space="0" w:color="auto"/>
            </w:tcBorders>
            <w:hideMark/>
          </w:tcPr>
          <w:p w14:paraId="786EBEC1"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9,0</w:t>
            </w:r>
          </w:p>
        </w:tc>
        <w:tc>
          <w:tcPr>
            <w:tcW w:w="1689" w:type="dxa"/>
            <w:tcBorders>
              <w:top w:val="single" w:sz="4" w:space="0" w:color="auto"/>
              <w:left w:val="single" w:sz="4" w:space="0" w:color="auto"/>
              <w:bottom w:val="single" w:sz="4" w:space="0" w:color="auto"/>
              <w:right w:val="single" w:sz="4" w:space="0" w:color="auto"/>
            </w:tcBorders>
            <w:hideMark/>
          </w:tcPr>
          <w:p w14:paraId="4B98ED12"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0,0</w:t>
            </w:r>
          </w:p>
        </w:tc>
      </w:tr>
      <w:tr w:rsidR="00602B4C" w:rsidRPr="00693334" w14:paraId="1FA22634" w14:textId="77777777" w:rsidTr="00602B4C">
        <w:tc>
          <w:tcPr>
            <w:tcW w:w="7315" w:type="dxa"/>
            <w:gridSpan w:val="4"/>
            <w:tcBorders>
              <w:top w:val="single" w:sz="4" w:space="0" w:color="auto"/>
              <w:left w:val="single" w:sz="4" w:space="0" w:color="auto"/>
              <w:bottom w:val="single" w:sz="4" w:space="0" w:color="auto"/>
              <w:right w:val="single" w:sz="4" w:space="0" w:color="auto"/>
            </w:tcBorders>
            <w:hideMark/>
          </w:tcPr>
          <w:p w14:paraId="540186FF" w14:textId="77777777" w:rsidR="00602B4C" w:rsidRPr="00693334" w:rsidRDefault="00602B4C" w:rsidP="00602B4C">
            <w:pPr>
              <w:tabs>
                <w:tab w:val="left" w:pos="851"/>
              </w:tabs>
              <w:rPr>
                <w:rFonts w:eastAsia="Calibri"/>
                <w:sz w:val="24"/>
                <w:szCs w:val="24"/>
              </w:rPr>
            </w:pPr>
            <w:r w:rsidRPr="00693334">
              <w:rPr>
                <w:rFonts w:eastAsia="Calibri"/>
                <w:sz w:val="24"/>
                <w:szCs w:val="24"/>
              </w:rPr>
              <w:t>p-værdi</w:t>
            </w:r>
          </w:p>
        </w:tc>
        <w:tc>
          <w:tcPr>
            <w:tcW w:w="1689" w:type="dxa"/>
            <w:tcBorders>
              <w:top w:val="single" w:sz="4" w:space="0" w:color="auto"/>
              <w:left w:val="single" w:sz="4" w:space="0" w:color="auto"/>
              <w:bottom w:val="single" w:sz="4" w:space="0" w:color="auto"/>
              <w:right w:val="single" w:sz="4" w:space="0" w:color="auto"/>
            </w:tcBorders>
            <w:hideMark/>
          </w:tcPr>
          <w:p w14:paraId="59A4BAE1" w14:textId="77777777" w:rsidR="00602B4C" w:rsidRPr="00693334" w:rsidRDefault="00602B4C" w:rsidP="00602B4C">
            <w:pPr>
              <w:tabs>
                <w:tab w:val="left" w:pos="851"/>
              </w:tabs>
              <w:jc w:val="center"/>
              <w:rPr>
                <w:rFonts w:eastAsia="Calibri"/>
                <w:sz w:val="24"/>
                <w:szCs w:val="24"/>
              </w:rPr>
            </w:pPr>
            <w:r w:rsidRPr="00693334">
              <w:rPr>
                <w:rFonts w:eastAsia="Calibri"/>
                <w:sz w:val="24"/>
                <w:szCs w:val="24"/>
              </w:rPr>
              <w:t>&lt; 0,0001</w:t>
            </w:r>
          </w:p>
        </w:tc>
      </w:tr>
    </w:tbl>
    <w:p w14:paraId="2AA051EA" w14:textId="77777777" w:rsidR="00602B4C" w:rsidRPr="00693334" w:rsidRDefault="00602B4C" w:rsidP="00602B4C">
      <w:pPr>
        <w:tabs>
          <w:tab w:val="left" w:pos="851"/>
        </w:tabs>
        <w:ind w:left="850"/>
        <w:rPr>
          <w:sz w:val="24"/>
          <w:szCs w:val="24"/>
        </w:rPr>
      </w:pPr>
    </w:p>
    <w:p w14:paraId="3980C031" w14:textId="568E8496" w:rsidR="00602B4C" w:rsidRPr="00693334" w:rsidRDefault="00602B4C" w:rsidP="00602B4C">
      <w:pPr>
        <w:tabs>
          <w:tab w:val="left" w:pos="851"/>
        </w:tabs>
        <w:ind w:left="850"/>
        <w:rPr>
          <w:sz w:val="24"/>
          <w:szCs w:val="24"/>
          <w:lang w:val="en-GB"/>
        </w:rPr>
      </w:pPr>
      <w:r w:rsidRPr="00693334">
        <w:rPr>
          <w:sz w:val="24"/>
          <w:szCs w:val="24"/>
          <w:lang w:val="en-GB"/>
        </w:rPr>
        <w:t xml:space="preserve">Forkortelser: ESS (CHAD) = </w:t>
      </w:r>
      <w:r w:rsidRPr="00693334">
        <w:rPr>
          <w:i/>
          <w:iCs/>
          <w:sz w:val="24"/>
          <w:szCs w:val="24"/>
          <w:lang w:val="en-GB"/>
        </w:rPr>
        <w:t>Epworth Sleepiness Scale for Children and Adolescents</w:t>
      </w:r>
    </w:p>
    <w:p w14:paraId="28521661" w14:textId="77777777" w:rsidR="009260DE" w:rsidRPr="00693334" w:rsidRDefault="009260DE" w:rsidP="009260DE">
      <w:pPr>
        <w:tabs>
          <w:tab w:val="left" w:pos="851"/>
        </w:tabs>
        <w:ind w:left="851"/>
        <w:rPr>
          <w:sz w:val="24"/>
          <w:szCs w:val="24"/>
          <w:lang w:val="en-US"/>
        </w:rPr>
      </w:pPr>
      <w:bookmarkStart w:id="0" w:name="_GoBack"/>
      <w:bookmarkEnd w:id="0"/>
    </w:p>
    <w:p w14:paraId="7031467A" w14:textId="77777777" w:rsidR="009260DE" w:rsidRPr="00693334" w:rsidRDefault="009260DE" w:rsidP="00693334">
      <w:pPr>
        <w:keepNext/>
        <w:tabs>
          <w:tab w:val="left" w:pos="851"/>
        </w:tabs>
        <w:ind w:left="851" w:hanging="851"/>
        <w:rPr>
          <w:b/>
          <w:sz w:val="24"/>
          <w:szCs w:val="24"/>
        </w:rPr>
      </w:pPr>
      <w:r w:rsidRPr="00693334">
        <w:rPr>
          <w:b/>
          <w:sz w:val="24"/>
          <w:szCs w:val="24"/>
        </w:rPr>
        <w:lastRenderedPageBreak/>
        <w:t>5.2</w:t>
      </w:r>
      <w:r w:rsidRPr="00693334">
        <w:rPr>
          <w:b/>
          <w:sz w:val="24"/>
          <w:szCs w:val="24"/>
        </w:rPr>
        <w:tab/>
        <w:t>Farmakokinetiske egenskaber</w:t>
      </w:r>
    </w:p>
    <w:p w14:paraId="4DE08F2D" w14:textId="5F8791D8" w:rsidR="0062292A" w:rsidRPr="00693334" w:rsidRDefault="00602B4C" w:rsidP="0062292A">
      <w:pPr>
        <w:tabs>
          <w:tab w:val="left" w:pos="851"/>
        </w:tabs>
        <w:ind w:left="851"/>
        <w:rPr>
          <w:sz w:val="24"/>
          <w:szCs w:val="24"/>
        </w:rPr>
      </w:pPr>
      <w:r w:rsidRPr="00693334">
        <w:rPr>
          <w:sz w:val="24"/>
          <w:szCs w:val="24"/>
        </w:rPr>
        <w:t xml:space="preserve">Natriumoxybat </w:t>
      </w:r>
      <w:r w:rsidR="0062292A" w:rsidRPr="00693334">
        <w:rPr>
          <w:sz w:val="24"/>
          <w:szCs w:val="24"/>
        </w:rPr>
        <w:t xml:space="preserve">absorberes hurtigt og næsten fuldstændigt efter oral administration; absorptionen forsinkes og nedsættes ved indtagelse af måltider med højt fedtindhold. Det udskilles hovedsageligt ved metabolisme med en halveringstid på 0,5 – 1 time. Farmakokinetikken er ikke-lineær med øgning af arealet under plasmakoncentrationskurven (AUC) </w:t>
      </w:r>
      <w:r w:rsidR="0062292A" w:rsidRPr="00693334">
        <w:rPr>
          <w:i/>
          <w:sz w:val="24"/>
          <w:szCs w:val="24"/>
        </w:rPr>
        <w:t xml:space="preserve">vs. </w:t>
      </w:r>
      <w:r w:rsidR="0062292A" w:rsidRPr="00693334">
        <w:rPr>
          <w:sz w:val="24"/>
          <w:szCs w:val="24"/>
        </w:rPr>
        <w:t>tidskurven på 3,8 gange, når dosis fordobles fra 4,5 g til 9 g. Farmakokinetikken ændres ikke med gentagne doser.</w:t>
      </w:r>
    </w:p>
    <w:p w14:paraId="3AE196F3" w14:textId="77777777" w:rsidR="0062292A" w:rsidRPr="00693334" w:rsidRDefault="0062292A" w:rsidP="0062292A">
      <w:pPr>
        <w:tabs>
          <w:tab w:val="left" w:pos="851"/>
        </w:tabs>
        <w:ind w:left="851"/>
        <w:rPr>
          <w:sz w:val="24"/>
          <w:szCs w:val="24"/>
        </w:rPr>
      </w:pPr>
    </w:p>
    <w:p w14:paraId="7B68CDCD" w14:textId="77777777" w:rsidR="0062292A" w:rsidRPr="00693334" w:rsidRDefault="0062292A" w:rsidP="0062292A">
      <w:pPr>
        <w:tabs>
          <w:tab w:val="left" w:pos="851"/>
        </w:tabs>
        <w:ind w:left="851"/>
        <w:rPr>
          <w:sz w:val="24"/>
          <w:szCs w:val="24"/>
        </w:rPr>
      </w:pPr>
      <w:r w:rsidRPr="00693334">
        <w:rPr>
          <w:sz w:val="24"/>
          <w:szCs w:val="24"/>
          <w:u w:val="single"/>
        </w:rPr>
        <w:t>Absorption</w:t>
      </w:r>
    </w:p>
    <w:p w14:paraId="7EAC3664" w14:textId="77C84C5A" w:rsidR="0062292A" w:rsidRPr="00693334" w:rsidRDefault="00602B4C" w:rsidP="0062292A">
      <w:pPr>
        <w:tabs>
          <w:tab w:val="left" w:pos="851"/>
        </w:tabs>
        <w:ind w:left="851"/>
        <w:rPr>
          <w:sz w:val="24"/>
          <w:szCs w:val="24"/>
        </w:rPr>
      </w:pPr>
      <w:r w:rsidRPr="00693334">
        <w:rPr>
          <w:sz w:val="24"/>
          <w:szCs w:val="24"/>
        </w:rPr>
        <w:t xml:space="preserve">Natriumoxybat </w:t>
      </w:r>
      <w:r w:rsidR="0062292A" w:rsidRPr="00693334">
        <w:rPr>
          <w:sz w:val="24"/>
          <w:szCs w:val="24"/>
        </w:rPr>
        <w:t xml:space="preserve">absorberes hurtigt efter oral administration med en absolut biotilgængelighed på omkring 88 %. Gennemsnitlige, maksimale plasmakoncentrationer (1. og 2. maksimum) efter administration af en daglig dosis på 9 g fordelt på to lige store doser givet med fire timers mellemrum var henholdsvis 78 og 142 </w:t>
      </w:r>
      <w:r w:rsidR="0062292A" w:rsidRPr="00693334">
        <w:rPr>
          <w:rFonts w:ascii="Symbol" w:hAnsi="Symbol"/>
          <w:sz w:val="24"/>
          <w:szCs w:val="24"/>
          <w:lang w:val="nb-NO"/>
        </w:rPr>
        <w:t></w:t>
      </w:r>
      <w:r w:rsidR="0062292A" w:rsidRPr="00693334">
        <w:rPr>
          <w:sz w:val="24"/>
          <w:szCs w:val="24"/>
        </w:rPr>
        <w:t>g/ml. Den gennemsnitlige tid til peakplasmakoncentrationer (T</w:t>
      </w:r>
      <w:r w:rsidR="0062292A" w:rsidRPr="00693334">
        <w:rPr>
          <w:sz w:val="24"/>
          <w:szCs w:val="24"/>
          <w:vertAlign w:val="subscript"/>
        </w:rPr>
        <w:t>max</w:t>
      </w:r>
      <w:r w:rsidR="0062292A" w:rsidRPr="00693334">
        <w:rPr>
          <w:sz w:val="24"/>
          <w:szCs w:val="24"/>
        </w:rPr>
        <w:t xml:space="preserve">) strakte sig fra 0,5 til 2 timer i otte farmakokinetiske studier. </w:t>
      </w:r>
    </w:p>
    <w:p w14:paraId="2FAFA386" w14:textId="77777777" w:rsidR="0062292A" w:rsidRPr="00693334" w:rsidRDefault="0062292A" w:rsidP="0062292A">
      <w:pPr>
        <w:tabs>
          <w:tab w:val="left" w:pos="851"/>
        </w:tabs>
        <w:ind w:left="851"/>
        <w:rPr>
          <w:sz w:val="24"/>
          <w:szCs w:val="24"/>
        </w:rPr>
      </w:pPr>
    </w:p>
    <w:p w14:paraId="002115A3" w14:textId="77777777" w:rsidR="0062292A" w:rsidRPr="00693334" w:rsidRDefault="0062292A" w:rsidP="0062292A">
      <w:pPr>
        <w:tabs>
          <w:tab w:val="left" w:pos="851"/>
        </w:tabs>
        <w:ind w:left="851"/>
        <w:rPr>
          <w:sz w:val="24"/>
          <w:szCs w:val="24"/>
        </w:rPr>
      </w:pPr>
      <w:r w:rsidRPr="00693334">
        <w:rPr>
          <w:sz w:val="24"/>
          <w:szCs w:val="24"/>
        </w:rPr>
        <w:t>Efter oral administration øges plasmaniveauer af natriumoxybat mere end proportionalt for hver dosisøgning. Enkeltdoser over 4,5 g har ikke været undersøgt. Administration af natriumoxybat umiddelbart efter et måltid med højt fedtindhold resulterede i forsinket absorption (gennemsnitlig T</w:t>
      </w:r>
      <w:r w:rsidRPr="00693334">
        <w:rPr>
          <w:sz w:val="24"/>
          <w:szCs w:val="24"/>
          <w:vertAlign w:val="subscript"/>
        </w:rPr>
        <w:t>max</w:t>
      </w:r>
      <w:r w:rsidRPr="00693334">
        <w:rPr>
          <w:sz w:val="24"/>
          <w:szCs w:val="24"/>
        </w:rPr>
        <w:t xml:space="preserve"> steg fra 0,75 timer til 2,0 timer) og en reduktion i peak-plasmaniveau (C</w:t>
      </w:r>
      <w:r w:rsidRPr="00693334">
        <w:rPr>
          <w:sz w:val="24"/>
          <w:szCs w:val="24"/>
          <w:vertAlign w:val="subscript"/>
        </w:rPr>
        <w:t>max</w:t>
      </w:r>
      <w:r w:rsidRPr="00693334">
        <w:rPr>
          <w:sz w:val="24"/>
          <w:szCs w:val="24"/>
        </w:rPr>
        <w:t>) med gennemsnitligt 58 % og systemisk tilgængelighed (AUC) med 37 %.</w:t>
      </w:r>
    </w:p>
    <w:p w14:paraId="1047CC69" w14:textId="77777777" w:rsidR="0062292A" w:rsidRPr="00693334" w:rsidRDefault="0062292A" w:rsidP="0062292A">
      <w:pPr>
        <w:tabs>
          <w:tab w:val="left" w:pos="851"/>
        </w:tabs>
        <w:ind w:left="851"/>
        <w:rPr>
          <w:sz w:val="24"/>
          <w:szCs w:val="24"/>
        </w:rPr>
      </w:pPr>
    </w:p>
    <w:p w14:paraId="2D79827B" w14:textId="77777777" w:rsidR="0062292A" w:rsidRPr="00693334" w:rsidRDefault="0062292A" w:rsidP="0062292A">
      <w:pPr>
        <w:tabs>
          <w:tab w:val="left" w:pos="851"/>
        </w:tabs>
        <w:ind w:left="851"/>
        <w:rPr>
          <w:sz w:val="24"/>
          <w:szCs w:val="24"/>
        </w:rPr>
      </w:pPr>
      <w:r w:rsidRPr="00693334">
        <w:rPr>
          <w:sz w:val="24"/>
          <w:szCs w:val="24"/>
          <w:u w:val="single"/>
        </w:rPr>
        <w:t>Fordeling</w:t>
      </w:r>
    </w:p>
    <w:p w14:paraId="298F8295" w14:textId="7E07AE69" w:rsidR="0062292A" w:rsidRPr="00693334" w:rsidRDefault="00602B4C" w:rsidP="0062292A">
      <w:pPr>
        <w:tabs>
          <w:tab w:val="left" w:pos="851"/>
        </w:tabs>
        <w:ind w:left="851"/>
        <w:rPr>
          <w:sz w:val="24"/>
          <w:szCs w:val="24"/>
        </w:rPr>
      </w:pPr>
      <w:r w:rsidRPr="00693334">
        <w:rPr>
          <w:sz w:val="24"/>
          <w:szCs w:val="24"/>
        </w:rPr>
        <w:t xml:space="preserve">Natriumoxybat </w:t>
      </w:r>
      <w:r w:rsidR="0062292A" w:rsidRPr="00693334">
        <w:rPr>
          <w:sz w:val="24"/>
          <w:szCs w:val="24"/>
        </w:rPr>
        <w:t>er et hydrofilt stof med et tilsyneladende fordelingsvolumen på gennemsnitlig 190- 384 ml/kg. Ved natriumoxybatplasmakoncentrationer fra 3 til 300 µg/ml er mindre end 1 % bundet til plasmaproteiner.</w:t>
      </w:r>
    </w:p>
    <w:p w14:paraId="01914847" w14:textId="77777777" w:rsidR="0062292A" w:rsidRPr="00693334" w:rsidRDefault="0062292A" w:rsidP="0062292A">
      <w:pPr>
        <w:tabs>
          <w:tab w:val="left" w:pos="851"/>
        </w:tabs>
        <w:ind w:left="851"/>
        <w:rPr>
          <w:sz w:val="24"/>
          <w:szCs w:val="24"/>
        </w:rPr>
      </w:pPr>
    </w:p>
    <w:p w14:paraId="3D8E7D79" w14:textId="77777777" w:rsidR="0062292A" w:rsidRPr="00693334" w:rsidRDefault="0062292A" w:rsidP="0062292A">
      <w:pPr>
        <w:tabs>
          <w:tab w:val="left" w:pos="851"/>
        </w:tabs>
        <w:ind w:left="851"/>
        <w:rPr>
          <w:sz w:val="24"/>
          <w:szCs w:val="24"/>
        </w:rPr>
      </w:pPr>
      <w:r w:rsidRPr="00693334">
        <w:rPr>
          <w:sz w:val="24"/>
          <w:szCs w:val="24"/>
          <w:u w:val="single"/>
        </w:rPr>
        <w:t>Biotransformation</w:t>
      </w:r>
    </w:p>
    <w:p w14:paraId="1E704ED8" w14:textId="77777777" w:rsidR="0062292A" w:rsidRPr="00693334" w:rsidRDefault="0062292A" w:rsidP="0062292A">
      <w:pPr>
        <w:tabs>
          <w:tab w:val="left" w:pos="851"/>
        </w:tabs>
        <w:ind w:left="851"/>
        <w:rPr>
          <w:sz w:val="24"/>
          <w:szCs w:val="24"/>
        </w:rPr>
      </w:pPr>
      <w:r w:rsidRPr="00693334">
        <w:rPr>
          <w:sz w:val="24"/>
          <w:szCs w:val="24"/>
        </w:rPr>
        <w:t xml:space="preserve">Dyrestudier tyder på, at metabolisme er den mest betydningsfulde udskillelsesvej for natriumoxybat ved produktion af kuldioxid og vand via Krebs’ cyklus og sekundært ved </w:t>
      </w:r>
      <w:r w:rsidRPr="00693334">
        <w:rPr>
          <w:sz w:val="24"/>
          <w:szCs w:val="24"/>
          <w:lang w:val="en-GB"/>
        </w:rPr>
        <w:t>β</w:t>
      </w:r>
      <w:r w:rsidRPr="00693334">
        <w:rPr>
          <w:sz w:val="24"/>
          <w:szCs w:val="24"/>
        </w:rPr>
        <w:t>-oxidation. Den primære vej involverer et cytosol NADP</w:t>
      </w:r>
      <w:r w:rsidRPr="00693334">
        <w:rPr>
          <w:sz w:val="24"/>
          <w:szCs w:val="24"/>
          <w:vertAlign w:val="superscript"/>
        </w:rPr>
        <w:t>+</w:t>
      </w:r>
      <w:r w:rsidRPr="00693334">
        <w:rPr>
          <w:sz w:val="24"/>
          <w:szCs w:val="24"/>
        </w:rPr>
        <w:t xml:space="preserve">-forbundet enzym, GHB-dehydrogenase, som katalyserer omdannelsen af natriumoxybat til succinylsemialdehyd, som derefter biotransformeres til succinylsyre af enzymet succinylsemialdehyddehydrogenase. Succinylsyre indgår i Krebs’ cyklus, hvor det metaboliseres til kuldioxid og vand. Et andet mitochondrielt oxidoreduktase-enzym, en transhydrogenase, katalyserer også omdannelsen til succinylsemialdehyd i tilstedeværelse af α-ketoglutarat. En alternativ biotransformationsvej involverer </w:t>
      </w:r>
      <w:r w:rsidRPr="00693334">
        <w:rPr>
          <w:sz w:val="24"/>
          <w:szCs w:val="24"/>
          <w:lang w:val="en-GB"/>
        </w:rPr>
        <w:t>β</w:t>
      </w:r>
      <w:r w:rsidRPr="00693334">
        <w:rPr>
          <w:sz w:val="24"/>
          <w:szCs w:val="24"/>
        </w:rPr>
        <w:t>-oxidation via 3,4-dihydroxybutyrat til Acetyl CoA, som derefter indgår i citronsyrecyklus, hvilket resulterer i dannelsen af kuldioxid og vand. Ingen aktive metabolitter er identificeret.</w:t>
      </w:r>
    </w:p>
    <w:p w14:paraId="558D8923" w14:textId="77777777" w:rsidR="0062292A" w:rsidRPr="00693334" w:rsidRDefault="0062292A" w:rsidP="0062292A">
      <w:pPr>
        <w:tabs>
          <w:tab w:val="left" w:pos="851"/>
        </w:tabs>
        <w:ind w:left="851"/>
        <w:rPr>
          <w:sz w:val="24"/>
          <w:szCs w:val="24"/>
        </w:rPr>
      </w:pPr>
    </w:p>
    <w:p w14:paraId="31D2E74C" w14:textId="77777777" w:rsidR="0062292A" w:rsidRPr="00693334" w:rsidRDefault="0062292A" w:rsidP="0062292A">
      <w:pPr>
        <w:tabs>
          <w:tab w:val="left" w:pos="851"/>
        </w:tabs>
        <w:ind w:left="851"/>
        <w:rPr>
          <w:sz w:val="24"/>
          <w:szCs w:val="24"/>
        </w:rPr>
      </w:pPr>
      <w:r w:rsidRPr="00693334">
        <w:rPr>
          <w:i/>
          <w:sz w:val="24"/>
          <w:szCs w:val="24"/>
        </w:rPr>
        <w:t xml:space="preserve">In vitro </w:t>
      </w:r>
      <w:r w:rsidRPr="00693334">
        <w:rPr>
          <w:sz w:val="24"/>
          <w:szCs w:val="24"/>
        </w:rPr>
        <w:t>studier med poolede, humane levermicrosomer indikerer, at natriumoxybat ikke signifikant hæmmer aktiviteten af de humane isoenzymer: CYP1A2, CYP2C9, CYP2C19, CYP2D6, CYP2E1, eller CYP3A op til en koncentration på 3 mM (378 µg/ml). Disse niveauer er væsentlig højere end dem, der opnås med terapeutiske doser.</w:t>
      </w:r>
    </w:p>
    <w:p w14:paraId="03001173" w14:textId="77777777" w:rsidR="0062292A" w:rsidRPr="00693334" w:rsidRDefault="0062292A" w:rsidP="0062292A">
      <w:pPr>
        <w:tabs>
          <w:tab w:val="left" w:pos="851"/>
        </w:tabs>
        <w:ind w:left="851"/>
        <w:rPr>
          <w:sz w:val="24"/>
          <w:szCs w:val="24"/>
        </w:rPr>
      </w:pPr>
    </w:p>
    <w:p w14:paraId="34AA1D27" w14:textId="77777777" w:rsidR="0062292A" w:rsidRPr="00693334" w:rsidRDefault="0062292A" w:rsidP="0062292A">
      <w:pPr>
        <w:tabs>
          <w:tab w:val="left" w:pos="851"/>
        </w:tabs>
        <w:ind w:left="851"/>
        <w:rPr>
          <w:sz w:val="24"/>
          <w:szCs w:val="24"/>
        </w:rPr>
      </w:pPr>
      <w:r w:rsidRPr="00693334">
        <w:rPr>
          <w:sz w:val="24"/>
          <w:szCs w:val="24"/>
          <w:u w:val="single"/>
        </w:rPr>
        <w:t>Elimination</w:t>
      </w:r>
    </w:p>
    <w:p w14:paraId="7D2D39BB" w14:textId="77777777" w:rsidR="0062292A" w:rsidRPr="00693334" w:rsidRDefault="0062292A" w:rsidP="0062292A">
      <w:pPr>
        <w:tabs>
          <w:tab w:val="left" w:pos="851"/>
        </w:tabs>
        <w:ind w:left="851"/>
        <w:rPr>
          <w:sz w:val="24"/>
          <w:szCs w:val="24"/>
        </w:rPr>
      </w:pPr>
      <w:r w:rsidRPr="00693334">
        <w:rPr>
          <w:sz w:val="24"/>
          <w:szCs w:val="24"/>
        </w:rPr>
        <w:t>Udskillelse af natriumoxybat foregår næsten udelukkende ved biotransformation til kuldioxid, som derefter elimineres ved ekspiration. I gennemsnit forekommer mindre end 5 % uændret lægemiddel i human urin inden for 6 til 8 timer efter dosering. Fækal elimination er minimal.</w:t>
      </w:r>
    </w:p>
    <w:p w14:paraId="04B3964D" w14:textId="07BAFDE4" w:rsidR="0062292A" w:rsidRPr="00693334" w:rsidRDefault="0062292A" w:rsidP="0062292A">
      <w:pPr>
        <w:tabs>
          <w:tab w:val="left" w:pos="851"/>
        </w:tabs>
        <w:ind w:left="851"/>
        <w:rPr>
          <w:sz w:val="24"/>
          <w:szCs w:val="24"/>
          <w:u w:val="single"/>
        </w:rPr>
      </w:pPr>
    </w:p>
    <w:p w14:paraId="4C977506" w14:textId="77777777" w:rsidR="00602B4C" w:rsidRPr="00693334" w:rsidRDefault="00602B4C" w:rsidP="00602B4C">
      <w:pPr>
        <w:tabs>
          <w:tab w:val="left" w:pos="851"/>
        </w:tabs>
        <w:ind w:left="851"/>
        <w:rPr>
          <w:sz w:val="24"/>
          <w:szCs w:val="24"/>
          <w:u w:val="single"/>
          <w:lang w:eastAsia="da-DK"/>
        </w:rPr>
      </w:pPr>
      <w:r w:rsidRPr="00693334">
        <w:rPr>
          <w:sz w:val="24"/>
          <w:szCs w:val="24"/>
          <w:u w:val="single"/>
        </w:rPr>
        <w:t xml:space="preserve">Særlige populationer </w:t>
      </w:r>
    </w:p>
    <w:p w14:paraId="69714E0E" w14:textId="77777777" w:rsidR="00602B4C" w:rsidRPr="00693334" w:rsidRDefault="00602B4C" w:rsidP="00602B4C">
      <w:pPr>
        <w:tabs>
          <w:tab w:val="left" w:pos="851"/>
        </w:tabs>
        <w:ind w:left="851"/>
        <w:rPr>
          <w:sz w:val="24"/>
          <w:szCs w:val="24"/>
        </w:rPr>
      </w:pPr>
    </w:p>
    <w:p w14:paraId="3ACC57FC" w14:textId="77777777" w:rsidR="00602B4C" w:rsidRPr="00693334" w:rsidRDefault="00602B4C" w:rsidP="00602B4C">
      <w:pPr>
        <w:tabs>
          <w:tab w:val="left" w:pos="851"/>
        </w:tabs>
        <w:ind w:left="851"/>
        <w:rPr>
          <w:sz w:val="24"/>
          <w:szCs w:val="24"/>
        </w:rPr>
      </w:pPr>
      <w:r w:rsidRPr="00693334">
        <w:rPr>
          <w:sz w:val="24"/>
          <w:szCs w:val="24"/>
          <w:u w:val="single"/>
        </w:rPr>
        <w:t>Ældre</w:t>
      </w:r>
    </w:p>
    <w:p w14:paraId="4C5843C6" w14:textId="77777777" w:rsidR="00602B4C" w:rsidRPr="00693334" w:rsidRDefault="00602B4C" w:rsidP="00602B4C">
      <w:pPr>
        <w:tabs>
          <w:tab w:val="left" w:pos="851"/>
        </w:tabs>
        <w:ind w:left="851"/>
        <w:rPr>
          <w:sz w:val="24"/>
          <w:szCs w:val="24"/>
        </w:rPr>
      </w:pPr>
      <w:r w:rsidRPr="00693334">
        <w:rPr>
          <w:sz w:val="24"/>
          <w:szCs w:val="24"/>
        </w:rPr>
        <w:t>Hos et begrænset antal patienter over 65 år var natriumoxybats farmakokinetik ikke forskellig sammenlignet med patienter under 65 år.</w:t>
      </w:r>
    </w:p>
    <w:p w14:paraId="712CEBFA" w14:textId="77777777" w:rsidR="00602B4C" w:rsidRPr="00693334" w:rsidRDefault="00602B4C" w:rsidP="00602B4C">
      <w:pPr>
        <w:tabs>
          <w:tab w:val="left" w:pos="851"/>
        </w:tabs>
        <w:ind w:left="851"/>
        <w:rPr>
          <w:sz w:val="24"/>
          <w:szCs w:val="24"/>
        </w:rPr>
      </w:pPr>
    </w:p>
    <w:p w14:paraId="6365C8FC" w14:textId="77777777" w:rsidR="00602B4C" w:rsidRPr="00693334" w:rsidRDefault="00602B4C" w:rsidP="00602B4C">
      <w:pPr>
        <w:tabs>
          <w:tab w:val="left" w:pos="851"/>
        </w:tabs>
        <w:ind w:left="851"/>
        <w:rPr>
          <w:sz w:val="24"/>
          <w:szCs w:val="24"/>
        </w:rPr>
      </w:pPr>
      <w:r w:rsidRPr="00693334">
        <w:rPr>
          <w:sz w:val="24"/>
          <w:szCs w:val="24"/>
          <w:u w:val="single"/>
        </w:rPr>
        <w:t>Pædiatrisk population</w:t>
      </w:r>
    </w:p>
    <w:p w14:paraId="52DC4C6E" w14:textId="77777777" w:rsidR="00602B4C" w:rsidRPr="00693334" w:rsidRDefault="00602B4C" w:rsidP="00602B4C">
      <w:pPr>
        <w:pStyle w:val="Default"/>
        <w:ind w:left="850"/>
      </w:pPr>
      <w:r w:rsidRPr="00693334">
        <w:t xml:space="preserve">Natriumoxybats vigtigste farmakokinetiske egenskaber hos pædiatriske patienter er tilsvarende dem, der er rapporteret i farmakokinetiske studier med natriumoxybat hos voksne. </w:t>
      </w:r>
    </w:p>
    <w:p w14:paraId="686CEC7A" w14:textId="77777777" w:rsidR="00602B4C" w:rsidRPr="00693334" w:rsidRDefault="00602B4C" w:rsidP="00602B4C">
      <w:pPr>
        <w:pStyle w:val="Default"/>
        <w:ind w:left="850"/>
      </w:pPr>
    </w:p>
    <w:p w14:paraId="2BAABE2A" w14:textId="381376DD" w:rsidR="00602B4C" w:rsidRPr="00693334" w:rsidRDefault="00602B4C" w:rsidP="0062292A">
      <w:pPr>
        <w:tabs>
          <w:tab w:val="left" w:pos="851"/>
        </w:tabs>
        <w:ind w:left="851"/>
        <w:rPr>
          <w:sz w:val="24"/>
          <w:szCs w:val="24"/>
        </w:rPr>
      </w:pPr>
      <w:r w:rsidRPr="00693334">
        <w:rPr>
          <w:sz w:val="24"/>
          <w:szCs w:val="24"/>
        </w:rPr>
        <w:t xml:space="preserve">Pædiatriske og voksne patienter, som får samme mg/kg dosis, har tilsvarende plasmakoncentration-tidsprofiler (se pkt. 4.2) </w:t>
      </w:r>
    </w:p>
    <w:p w14:paraId="5DC3CD6E" w14:textId="77777777" w:rsidR="00602B4C" w:rsidRPr="00693334" w:rsidRDefault="00602B4C" w:rsidP="0062292A">
      <w:pPr>
        <w:tabs>
          <w:tab w:val="left" w:pos="851"/>
        </w:tabs>
        <w:ind w:left="851"/>
        <w:rPr>
          <w:sz w:val="24"/>
          <w:szCs w:val="24"/>
        </w:rPr>
      </w:pPr>
    </w:p>
    <w:p w14:paraId="7899AD82" w14:textId="77777777" w:rsidR="0062292A" w:rsidRPr="00693334" w:rsidRDefault="0062292A" w:rsidP="0062292A">
      <w:pPr>
        <w:tabs>
          <w:tab w:val="left" w:pos="851"/>
        </w:tabs>
        <w:ind w:left="851"/>
        <w:rPr>
          <w:sz w:val="24"/>
          <w:szCs w:val="24"/>
        </w:rPr>
      </w:pPr>
      <w:r w:rsidRPr="00693334">
        <w:rPr>
          <w:sz w:val="24"/>
          <w:szCs w:val="24"/>
          <w:u w:val="single"/>
        </w:rPr>
        <w:t>Nedsat nyrefunktion</w:t>
      </w:r>
    </w:p>
    <w:p w14:paraId="3AA25481" w14:textId="77777777" w:rsidR="0062292A" w:rsidRPr="00693334" w:rsidRDefault="0062292A" w:rsidP="0062292A">
      <w:pPr>
        <w:tabs>
          <w:tab w:val="left" w:pos="851"/>
        </w:tabs>
        <w:ind w:left="851"/>
        <w:rPr>
          <w:sz w:val="24"/>
          <w:szCs w:val="24"/>
        </w:rPr>
      </w:pPr>
      <w:r w:rsidRPr="00693334">
        <w:rPr>
          <w:sz w:val="24"/>
          <w:szCs w:val="24"/>
        </w:rPr>
        <w:t>Fordi nyrerne ikke har en signifikant rolle i udskillelsen af natriumoxybat, er der ikke foretaget farmakokinetiske studier med patienter med nedsat nyrefunktion; ingen effekt af nyrefunktionen på natriumoxybats farmakokinetik er forventelig.</w:t>
      </w:r>
    </w:p>
    <w:p w14:paraId="0090B182" w14:textId="77777777" w:rsidR="0062292A" w:rsidRPr="00693334" w:rsidRDefault="0062292A" w:rsidP="0062292A">
      <w:pPr>
        <w:tabs>
          <w:tab w:val="left" w:pos="851"/>
        </w:tabs>
        <w:ind w:left="851"/>
        <w:rPr>
          <w:sz w:val="24"/>
          <w:szCs w:val="24"/>
        </w:rPr>
      </w:pPr>
    </w:p>
    <w:p w14:paraId="49F67722" w14:textId="77777777" w:rsidR="0062292A" w:rsidRPr="00693334" w:rsidRDefault="0062292A" w:rsidP="0062292A">
      <w:pPr>
        <w:tabs>
          <w:tab w:val="left" w:pos="851"/>
        </w:tabs>
        <w:ind w:left="851"/>
        <w:rPr>
          <w:sz w:val="24"/>
          <w:szCs w:val="24"/>
        </w:rPr>
      </w:pPr>
      <w:r w:rsidRPr="00693334">
        <w:rPr>
          <w:sz w:val="24"/>
          <w:szCs w:val="24"/>
          <w:u w:val="single"/>
        </w:rPr>
        <w:t>Nedsat leverfunktion</w:t>
      </w:r>
    </w:p>
    <w:p w14:paraId="6A346155" w14:textId="12868BE5" w:rsidR="0062292A" w:rsidRPr="00693334" w:rsidRDefault="0062292A" w:rsidP="0062292A">
      <w:pPr>
        <w:tabs>
          <w:tab w:val="left" w:pos="851"/>
        </w:tabs>
        <w:ind w:left="851"/>
        <w:rPr>
          <w:sz w:val="24"/>
          <w:szCs w:val="24"/>
        </w:rPr>
      </w:pPr>
      <w:r w:rsidRPr="00693334">
        <w:rPr>
          <w:sz w:val="24"/>
          <w:szCs w:val="24"/>
        </w:rPr>
        <w:t>Natriumoxybat undergår signifikant præsystemisk (hepatisk first-pass) metabolisme. Efter en enkel oral dosis på 25 mg/kg fordobles AUC-værdier hos cirrotiske patienter med en tilsyneladende oral clearance-reduktion fra 9,1 hos raske voksne til 4,5 og 4,1 ml/min/kg henholdsvis i klasse A (uden ascites) og klasse C (med ascites). Eliminationshalveringstiden var signifikant længere i klasse C- og klasse A-patienter end i kontrolgruppen (mean t</w:t>
      </w:r>
      <w:r w:rsidRPr="00693334">
        <w:rPr>
          <w:sz w:val="24"/>
          <w:szCs w:val="24"/>
          <w:vertAlign w:val="subscript"/>
        </w:rPr>
        <w:t>1/2</w:t>
      </w:r>
      <w:r w:rsidRPr="00693334">
        <w:rPr>
          <w:sz w:val="24"/>
          <w:szCs w:val="24"/>
        </w:rPr>
        <w:t xml:space="preserve"> på 59 og 32 </w:t>
      </w:r>
      <w:r w:rsidRPr="00693334">
        <w:rPr>
          <w:i/>
          <w:sz w:val="24"/>
          <w:szCs w:val="24"/>
        </w:rPr>
        <w:t xml:space="preserve">vs. </w:t>
      </w:r>
      <w:r w:rsidRPr="00693334">
        <w:rPr>
          <w:sz w:val="24"/>
          <w:szCs w:val="24"/>
        </w:rPr>
        <w:t>22 minutter). Startdosis bør halveres hos alle patienter med nedsat leverfunktion, og respons på dosisøgning bør monitoreres nøje (se pkt. 4.2).</w:t>
      </w:r>
    </w:p>
    <w:p w14:paraId="7686F5F5" w14:textId="77777777" w:rsidR="0062292A" w:rsidRPr="00693334" w:rsidRDefault="0062292A" w:rsidP="0062292A">
      <w:pPr>
        <w:tabs>
          <w:tab w:val="left" w:pos="851"/>
        </w:tabs>
        <w:ind w:left="851"/>
        <w:rPr>
          <w:sz w:val="24"/>
          <w:szCs w:val="24"/>
        </w:rPr>
      </w:pPr>
    </w:p>
    <w:p w14:paraId="3296B06A" w14:textId="77777777" w:rsidR="0062292A" w:rsidRPr="00693334" w:rsidRDefault="0062292A" w:rsidP="0062292A">
      <w:pPr>
        <w:tabs>
          <w:tab w:val="left" w:pos="851"/>
        </w:tabs>
        <w:ind w:left="851"/>
        <w:rPr>
          <w:sz w:val="24"/>
          <w:szCs w:val="24"/>
        </w:rPr>
      </w:pPr>
      <w:r w:rsidRPr="00693334">
        <w:rPr>
          <w:sz w:val="24"/>
          <w:szCs w:val="24"/>
          <w:u w:val="single"/>
        </w:rPr>
        <w:t>Race</w:t>
      </w:r>
    </w:p>
    <w:p w14:paraId="59FAA873" w14:textId="77777777" w:rsidR="0062292A" w:rsidRPr="00693334" w:rsidRDefault="0062292A" w:rsidP="0062292A">
      <w:pPr>
        <w:tabs>
          <w:tab w:val="left" w:pos="851"/>
        </w:tabs>
        <w:ind w:left="851"/>
        <w:rPr>
          <w:sz w:val="24"/>
          <w:szCs w:val="24"/>
        </w:rPr>
      </w:pPr>
      <w:r w:rsidRPr="00693334">
        <w:rPr>
          <w:sz w:val="24"/>
          <w:szCs w:val="24"/>
        </w:rPr>
        <w:t>Raceeffekt på metabolisering af natriumoxybat er ikke undersøgt.</w:t>
      </w:r>
    </w:p>
    <w:p w14:paraId="478CB277" w14:textId="77777777" w:rsidR="009260DE" w:rsidRPr="00693334" w:rsidRDefault="009260DE" w:rsidP="009260DE">
      <w:pPr>
        <w:tabs>
          <w:tab w:val="left" w:pos="851"/>
        </w:tabs>
        <w:ind w:left="851"/>
        <w:rPr>
          <w:sz w:val="24"/>
          <w:szCs w:val="24"/>
        </w:rPr>
      </w:pPr>
    </w:p>
    <w:p w14:paraId="7BA768E0" w14:textId="7C3C6BF3" w:rsidR="009260DE" w:rsidRPr="00693334" w:rsidRDefault="009260DE" w:rsidP="009260DE">
      <w:pPr>
        <w:tabs>
          <w:tab w:val="left" w:pos="851"/>
        </w:tabs>
        <w:ind w:left="851" w:hanging="851"/>
        <w:rPr>
          <w:b/>
          <w:sz w:val="24"/>
          <w:szCs w:val="24"/>
        </w:rPr>
      </w:pPr>
      <w:r w:rsidRPr="00693334">
        <w:rPr>
          <w:b/>
          <w:sz w:val="24"/>
          <w:szCs w:val="24"/>
        </w:rPr>
        <w:t>5.3</w:t>
      </w:r>
      <w:r w:rsidRPr="00693334">
        <w:rPr>
          <w:b/>
          <w:sz w:val="24"/>
          <w:szCs w:val="24"/>
        </w:rPr>
        <w:tab/>
      </w:r>
      <w:r w:rsidR="00095F20" w:rsidRPr="00693334">
        <w:rPr>
          <w:b/>
          <w:sz w:val="24"/>
          <w:szCs w:val="24"/>
        </w:rPr>
        <w:t>Non-</w:t>
      </w:r>
      <w:r w:rsidRPr="00693334">
        <w:rPr>
          <w:b/>
          <w:sz w:val="24"/>
          <w:szCs w:val="24"/>
        </w:rPr>
        <w:t>kliniske sikkerhedsdata</w:t>
      </w:r>
    </w:p>
    <w:p w14:paraId="05D55900" w14:textId="77777777" w:rsidR="0062292A" w:rsidRPr="00693334" w:rsidRDefault="0062292A" w:rsidP="0062292A">
      <w:pPr>
        <w:tabs>
          <w:tab w:val="left" w:pos="851"/>
        </w:tabs>
        <w:ind w:left="851"/>
        <w:rPr>
          <w:sz w:val="24"/>
          <w:szCs w:val="24"/>
        </w:rPr>
      </w:pPr>
      <w:r w:rsidRPr="00693334">
        <w:rPr>
          <w:sz w:val="24"/>
          <w:szCs w:val="24"/>
        </w:rPr>
        <w:t>Gentagen administration af natriumoxybat til rotter (90 dage og 26 uger) og til hunde (52 uger) resulterede ikke i nogen signifikante fund i den kliniske kemi og mikro- og makropatologi.</w:t>
      </w:r>
    </w:p>
    <w:p w14:paraId="64C41B81" w14:textId="75A839EF" w:rsidR="0062292A" w:rsidRPr="00693334" w:rsidRDefault="0062292A" w:rsidP="0062292A">
      <w:pPr>
        <w:tabs>
          <w:tab w:val="left" w:pos="851"/>
        </w:tabs>
        <w:ind w:left="851"/>
        <w:rPr>
          <w:sz w:val="24"/>
          <w:szCs w:val="24"/>
        </w:rPr>
      </w:pPr>
      <w:r w:rsidRPr="00693334">
        <w:rPr>
          <w:sz w:val="24"/>
          <w:szCs w:val="24"/>
        </w:rPr>
        <w:t xml:space="preserve">Behandlingsrelaterede kliniske tegn var hovedsagelig relateret til sedation, nedsat fødeindtagelse og sekundære forandringer i legemsvægt, vægtøgning og organvægt. Eksponeringen i rotter og hunde ved NOEL var lavere (~50 %) end hos mennesker. </w:t>
      </w:r>
      <w:r w:rsidR="00602B4C" w:rsidRPr="00693334">
        <w:rPr>
          <w:sz w:val="24"/>
          <w:szCs w:val="24"/>
        </w:rPr>
        <w:t xml:space="preserve">Natriumoxybat </w:t>
      </w:r>
      <w:r w:rsidRPr="00693334">
        <w:rPr>
          <w:sz w:val="24"/>
          <w:szCs w:val="24"/>
        </w:rPr>
        <w:t xml:space="preserve">var ikke-mutagent og ikke-klastogent i </w:t>
      </w:r>
      <w:r w:rsidRPr="00693334">
        <w:rPr>
          <w:i/>
          <w:sz w:val="24"/>
          <w:szCs w:val="24"/>
        </w:rPr>
        <w:t xml:space="preserve">in vitro- </w:t>
      </w:r>
      <w:r w:rsidRPr="00693334">
        <w:rPr>
          <w:sz w:val="24"/>
          <w:szCs w:val="24"/>
        </w:rPr>
        <w:t xml:space="preserve">og </w:t>
      </w:r>
      <w:r w:rsidRPr="00693334">
        <w:rPr>
          <w:i/>
          <w:sz w:val="24"/>
          <w:szCs w:val="24"/>
        </w:rPr>
        <w:t>in vivo</w:t>
      </w:r>
      <w:r w:rsidRPr="00693334">
        <w:rPr>
          <w:sz w:val="24"/>
          <w:szCs w:val="24"/>
        </w:rPr>
        <w:t>-studier.</w:t>
      </w:r>
    </w:p>
    <w:p w14:paraId="52602125" w14:textId="77777777" w:rsidR="0062292A" w:rsidRPr="00693334" w:rsidRDefault="0062292A" w:rsidP="0062292A">
      <w:pPr>
        <w:tabs>
          <w:tab w:val="left" w:pos="851"/>
        </w:tabs>
        <w:ind w:left="851"/>
        <w:rPr>
          <w:sz w:val="24"/>
          <w:szCs w:val="24"/>
        </w:rPr>
      </w:pPr>
    </w:p>
    <w:p w14:paraId="4CE456E4" w14:textId="77777777" w:rsidR="0062292A" w:rsidRPr="00693334" w:rsidRDefault="0062292A" w:rsidP="0062292A">
      <w:pPr>
        <w:tabs>
          <w:tab w:val="left" w:pos="851"/>
        </w:tabs>
        <w:ind w:left="851"/>
        <w:rPr>
          <w:sz w:val="24"/>
          <w:szCs w:val="24"/>
        </w:rPr>
      </w:pPr>
      <w:r w:rsidRPr="00693334">
        <w:rPr>
          <w:sz w:val="24"/>
          <w:szCs w:val="24"/>
        </w:rPr>
        <w:t xml:space="preserve">Gamma Butyrolacton (GBL), et </w:t>
      </w:r>
      <w:r w:rsidRPr="00693334">
        <w:rPr>
          <w:i/>
          <w:sz w:val="24"/>
          <w:szCs w:val="24"/>
        </w:rPr>
        <w:t xml:space="preserve">pro-drug </w:t>
      </w:r>
      <w:r w:rsidRPr="00693334">
        <w:rPr>
          <w:sz w:val="24"/>
          <w:szCs w:val="24"/>
        </w:rPr>
        <w:t>til GHB, som testedes ved eksponering svarende til den, som forventedes i mennesker (1,21-1,64 gange), er klassificeret ved NTP som ikke-karcinogent hos rotter og muligvis karcinogent hos mus, på grund af en lille stigning i fæokromocytom, som var vanskelig at tyde på grund af høj dødelighed i højdosisgruppen. I et karcinogenicitetsstudie med rotter med oxybat identificeredes ingen substansrelaterede tumorer.</w:t>
      </w:r>
    </w:p>
    <w:p w14:paraId="6EE6497C" w14:textId="77777777" w:rsidR="0062292A" w:rsidRPr="00693334" w:rsidRDefault="0062292A" w:rsidP="0062292A">
      <w:pPr>
        <w:tabs>
          <w:tab w:val="left" w:pos="851"/>
        </w:tabs>
        <w:ind w:left="851"/>
        <w:rPr>
          <w:sz w:val="24"/>
          <w:szCs w:val="24"/>
        </w:rPr>
      </w:pPr>
    </w:p>
    <w:p w14:paraId="139E0007" w14:textId="51C3873A" w:rsidR="0062292A" w:rsidRPr="00693334" w:rsidRDefault="0062292A" w:rsidP="0062292A">
      <w:pPr>
        <w:tabs>
          <w:tab w:val="left" w:pos="851"/>
        </w:tabs>
        <w:ind w:left="851"/>
        <w:rPr>
          <w:sz w:val="24"/>
          <w:szCs w:val="24"/>
        </w:rPr>
      </w:pPr>
      <w:r w:rsidRPr="00693334">
        <w:rPr>
          <w:sz w:val="24"/>
          <w:szCs w:val="24"/>
        </w:rPr>
        <w:t xml:space="preserve">GHB havde ingen effekt på parring, almen fertilitet eller spermparametre og forårsagede ikke embryo-føtal toksicitet hos rotter, som blev eksponeret for op til 1.000 mg/kg/dag </w:t>
      </w:r>
      <w:r w:rsidRPr="00693334">
        <w:rPr>
          <w:sz w:val="24"/>
          <w:szCs w:val="24"/>
        </w:rPr>
        <w:lastRenderedPageBreak/>
        <w:t>GHB (1,64 gange den humane eksponering udregnet i ikke-gravide dyr). Perinatal mortalitet steg og gennemsnitsvægten for unger blev nedsat i amningsperioden hos F</w:t>
      </w:r>
      <w:r w:rsidRPr="00693334">
        <w:rPr>
          <w:sz w:val="24"/>
          <w:szCs w:val="24"/>
          <w:vertAlign w:val="subscript"/>
        </w:rPr>
        <w:t>1</w:t>
      </w:r>
      <w:r w:rsidRPr="00693334">
        <w:rPr>
          <w:sz w:val="24"/>
          <w:szCs w:val="24"/>
        </w:rPr>
        <w:t>-dyr ved høje doser. Sammenhæng mellem disse udviklingseffekter og maternal toksicitet kunne ikke fastslås. Hos kaniner observeredes en vis fostertoksicitet.</w:t>
      </w:r>
    </w:p>
    <w:p w14:paraId="0B39B573" w14:textId="77777777" w:rsidR="00602B4C" w:rsidRPr="00693334" w:rsidRDefault="00602B4C" w:rsidP="00602B4C">
      <w:pPr>
        <w:tabs>
          <w:tab w:val="left" w:pos="851"/>
        </w:tabs>
        <w:rPr>
          <w:sz w:val="24"/>
          <w:szCs w:val="24"/>
          <w:lang w:eastAsia="da-DK"/>
        </w:rPr>
      </w:pPr>
    </w:p>
    <w:p w14:paraId="1E84BEE0" w14:textId="5BAB676E" w:rsidR="00602B4C" w:rsidRPr="00693334" w:rsidRDefault="00602B4C" w:rsidP="00602B4C">
      <w:pPr>
        <w:tabs>
          <w:tab w:val="left" w:pos="851"/>
        </w:tabs>
        <w:ind w:left="851"/>
        <w:rPr>
          <w:sz w:val="24"/>
          <w:szCs w:val="24"/>
        </w:rPr>
      </w:pPr>
      <w:r w:rsidRPr="00693334">
        <w:rPr>
          <w:sz w:val="24"/>
          <w:szCs w:val="24"/>
        </w:rPr>
        <w:t xml:space="preserve">I et toksicitetsstudie af 10 ugers varighed med gentagne doser hos unge rotter behandlet fra den 21. til den 90. postnatale dag, forårsagede natriumoxybat negative virkninger, herunder mortalitet under den første behandlingsuge, når dyrene var 21 til 27 dage gamle, hvilket svarer til en omtrentlig alder på 3-4 år hos børn. Akut toksicitet forekom ved eksponeringer mindre end dem, der var forventet hos pædiatriske patienter, og mortalitet var forudgået af natriumoxybat-relaterede kliniske tegn (bradypnø, dyb vejrtrækning, nedsat aktivitet, ukoordineret gang, svækket opretningsrefleks) i overensstemmelse med den forventede farmakologi. Årsagen til denne relativt kraftigere toksicitet under den første behandlingsuge er ikke fuldstændig klarlagt. Det kan hænge sammen med det faktum, at unge dyr lader til at udvise højere systemisk eksponering end ældre unge rotter. Det kan også skyldes ungers højere følsomhed over for natriumoxybat sammenlignet med ældre unge og voksne rotter og/eller et toleranceudviklingsfænomen. Nedsat legemsvægt og fødeindtagelse, der var tilsvarende den hos voksne, blev også observeret med supplerende respiratoriske tegn (dyb og langsom vejrtrækning). Natriumoxybat forårsagede ikke negative virkninger på vækst og udvikling op til eksponeringsniveauer, der var 2 til 4 gange højere end den forventede eksponering ved den maksimale anbefalede dosis hos pædiatriske patienter (200 mg/kg/dag hos pædiatriske patienter med en legemsvægt under 45 kg eller 9 g/dag hos pædiatriske patienter med en legemsvægt </w:t>
      </w:r>
      <w:r w:rsidRPr="00693334">
        <w:rPr>
          <w:rFonts w:ascii="NanumMyeongjo" w:eastAsia="NanumMyeongjo" w:cs="NanumMyeongjo" w:hint="eastAsia"/>
          <w:sz w:val="24"/>
          <w:szCs w:val="24"/>
        </w:rPr>
        <w:t>≥</w:t>
      </w:r>
      <w:r w:rsidRPr="00693334">
        <w:rPr>
          <w:rFonts w:eastAsia="NanumMyeongjo"/>
          <w:sz w:val="24"/>
          <w:szCs w:val="24"/>
        </w:rPr>
        <w:t>45 kg).</w:t>
      </w:r>
    </w:p>
    <w:p w14:paraId="2F73C843" w14:textId="77777777" w:rsidR="0062292A" w:rsidRPr="00693334" w:rsidRDefault="0062292A" w:rsidP="0062292A">
      <w:pPr>
        <w:tabs>
          <w:tab w:val="left" w:pos="851"/>
        </w:tabs>
        <w:ind w:left="851"/>
        <w:rPr>
          <w:sz w:val="24"/>
          <w:szCs w:val="24"/>
        </w:rPr>
      </w:pPr>
    </w:p>
    <w:p w14:paraId="07D68344" w14:textId="77777777" w:rsidR="0062292A" w:rsidRPr="00693334" w:rsidRDefault="0062292A" w:rsidP="0062292A">
      <w:pPr>
        <w:tabs>
          <w:tab w:val="left" w:pos="851"/>
        </w:tabs>
        <w:ind w:left="851"/>
        <w:rPr>
          <w:sz w:val="24"/>
          <w:szCs w:val="24"/>
        </w:rPr>
      </w:pPr>
      <w:r w:rsidRPr="00693334">
        <w:rPr>
          <w:sz w:val="24"/>
          <w:szCs w:val="24"/>
        </w:rPr>
        <w:t>Lægemiddeldiskriminationsstudier viser, at GHB forårsager en unik diskriminativ stimulus, som i visse henseender ligner den, som findes i alkohol, morfin og visse GABA-lignende lægemidler. Selvadministrationsstudier med rotter, mus og aber har vist modstridende resultater, mens tolerance over for GHB samt krydstolerance med alkohol og baclofen tydeligt er demonstreret hos gnavere.</w:t>
      </w:r>
    </w:p>
    <w:p w14:paraId="2B730D03" w14:textId="77777777" w:rsidR="009260DE" w:rsidRPr="00693334" w:rsidRDefault="009260DE" w:rsidP="009260DE">
      <w:pPr>
        <w:tabs>
          <w:tab w:val="left" w:pos="851"/>
        </w:tabs>
        <w:ind w:left="851"/>
        <w:rPr>
          <w:sz w:val="24"/>
          <w:szCs w:val="24"/>
        </w:rPr>
      </w:pPr>
    </w:p>
    <w:p w14:paraId="77C7039A" w14:textId="77777777" w:rsidR="009260DE" w:rsidRPr="00693334" w:rsidRDefault="009260DE" w:rsidP="009260DE">
      <w:pPr>
        <w:tabs>
          <w:tab w:val="left" w:pos="851"/>
        </w:tabs>
        <w:ind w:left="851"/>
        <w:rPr>
          <w:sz w:val="24"/>
          <w:szCs w:val="24"/>
        </w:rPr>
      </w:pPr>
    </w:p>
    <w:p w14:paraId="28E23125" w14:textId="77777777" w:rsidR="009260DE" w:rsidRPr="00693334" w:rsidRDefault="009260DE" w:rsidP="009260DE">
      <w:pPr>
        <w:tabs>
          <w:tab w:val="left" w:pos="851"/>
        </w:tabs>
        <w:ind w:left="851" w:hanging="851"/>
        <w:rPr>
          <w:b/>
          <w:sz w:val="24"/>
          <w:szCs w:val="24"/>
        </w:rPr>
      </w:pPr>
      <w:r w:rsidRPr="00693334">
        <w:rPr>
          <w:b/>
          <w:sz w:val="24"/>
          <w:szCs w:val="24"/>
        </w:rPr>
        <w:t>6.</w:t>
      </w:r>
      <w:r w:rsidRPr="00693334">
        <w:rPr>
          <w:b/>
          <w:sz w:val="24"/>
          <w:szCs w:val="24"/>
        </w:rPr>
        <w:tab/>
        <w:t>FARMACEUTISKE OPLYSNINGER</w:t>
      </w:r>
    </w:p>
    <w:p w14:paraId="08841836" w14:textId="77777777" w:rsidR="009260DE" w:rsidRPr="00693334" w:rsidRDefault="009260DE" w:rsidP="009260DE">
      <w:pPr>
        <w:tabs>
          <w:tab w:val="left" w:pos="851"/>
        </w:tabs>
        <w:ind w:left="851"/>
        <w:rPr>
          <w:sz w:val="24"/>
          <w:szCs w:val="24"/>
        </w:rPr>
      </w:pPr>
    </w:p>
    <w:p w14:paraId="4EA172D5" w14:textId="77777777" w:rsidR="009260DE" w:rsidRPr="00693334" w:rsidRDefault="009260DE" w:rsidP="009260DE">
      <w:pPr>
        <w:tabs>
          <w:tab w:val="left" w:pos="851"/>
        </w:tabs>
        <w:ind w:left="851" w:hanging="851"/>
        <w:rPr>
          <w:b/>
          <w:sz w:val="24"/>
          <w:szCs w:val="24"/>
        </w:rPr>
      </w:pPr>
      <w:r w:rsidRPr="00693334">
        <w:rPr>
          <w:b/>
          <w:sz w:val="24"/>
          <w:szCs w:val="24"/>
        </w:rPr>
        <w:t>6.1</w:t>
      </w:r>
      <w:r w:rsidRPr="00693334">
        <w:rPr>
          <w:b/>
          <w:sz w:val="24"/>
          <w:szCs w:val="24"/>
        </w:rPr>
        <w:tab/>
        <w:t>Hjælpestoffer</w:t>
      </w:r>
    </w:p>
    <w:p w14:paraId="0D8C5360" w14:textId="77777777" w:rsidR="00A37293" w:rsidRPr="00693334" w:rsidRDefault="00A37293" w:rsidP="00A37293">
      <w:pPr>
        <w:tabs>
          <w:tab w:val="left" w:pos="851"/>
        </w:tabs>
        <w:ind w:left="851"/>
        <w:rPr>
          <w:sz w:val="24"/>
          <w:szCs w:val="24"/>
          <w:lang w:eastAsia="da-DK"/>
        </w:rPr>
      </w:pPr>
      <w:r w:rsidRPr="00693334">
        <w:rPr>
          <w:sz w:val="24"/>
          <w:szCs w:val="24"/>
        </w:rPr>
        <w:t>Vand, renset.</w:t>
      </w:r>
    </w:p>
    <w:p w14:paraId="5B675194" w14:textId="77777777" w:rsidR="00A37293" w:rsidRPr="00693334" w:rsidRDefault="00A37293" w:rsidP="00A37293">
      <w:pPr>
        <w:tabs>
          <w:tab w:val="left" w:pos="851"/>
        </w:tabs>
        <w:ind w:left="851"/>
        <w:rPr>
          <w:sz w:val="24"/>
          <w:szCs w:val="24"/>
        </w:rPr>
      </w:pPr>
      <w:r w:rsidRPr="00693334">
        <w:rPr>
          <w:sz w:val="24"/>
          <w:szCs w:val="24"/>
        </w:rPr>
        <w:t>Æblesyre til pH-justering.</w:t>
      </w:r>
    </w:p>
    <w:p w14:paraId="25B19473" w14:textId="77777777" w:rsidR="00A37293" w:rsidRPr="00693334" w:rsidRDefault="00A37293" w:rsidP="00A37293">
      <w:pPr>
        <w:tabs>
          <w:tab w:val="left" w:pos="851"/>
        </w:tabs>
        <w:ind w:left="851"/>
        <w:rPr>
          <w:sz w:val="24"/>
          <w:szCs w:val="24"/>
        </w:rPr>
      </w:pPr>
      <w:r w:rsidRPr="00693334">
        <w:rPr>
          <w:sz w:val="24"/>
          <w:szCs w:val="24"/>
        </w:rPr>
        <w:t>Natriumhydroxid til pH-justering.</w:t>
      </w:r>
    </w:p>
    <w:p w14:paraId="1DA57072" w14:textId="77777777" w:rsidR="009260DE" w:rsidRPr="00693334" w:rsidRDefault="009260DE" w:rsidP="009260DE">
      <w:pPr>
        <w:tabs>
          <w:tab w:val="left" w:pos="851"/>
        </w:tabs>
        <w:ind w:left="851"/>
        <w:rPr>
          <w:sz w:val="24"/>
          <w:szCs w:val="24"/>
        </w:rPr>
      </w:pPr>
    </w:p>
    <w:p w14:paraId="6ED78F11" w14:textId="77777777" w:rsidR="009260DE" w:rsidRPr="00693334" w:rsidRDefault="009260DE" w:rsidP="009260DE">
      <w:pPr>
        <w:tabs>
          <w:tab w:val="left" w:pos="851"/>
        </w:tabs>
        <w:ind w:left="851" w:hanging="851"/>
        <w:rPr>
          <w:b/>
          <w:sz w:val="24"/>
          <w:szCs w:val="24"/>
        </w:rPr>
      </w:pPr>
      <w:r w:rsidRPr="00693334">
        <w:rPr>
          <w:b/>
          <w:sz w:val="24"/>
          <w:szCs w:val="24"/>
        </w:rPr>
        <w:t>6.2</w:t>
      </w:r>
      <w:r w:rsidRPr="00693334">
        <w:rPr>
          <w:b/>
          <w:sz w:val="24"/>
          <w:szCs w:val="24"/>
        </w:rPr>
        <w:tab/>
        <w:t>Uforligeligheder</w:t>
      </w:r>
    </w:p>
    <w:p w14:paraId="79AD78AF" w14:textId="77777777" w:rsidR="002F3603" w:rsidRPr="00693334" w:rsidRDefault="002F3603" w:rsidP="002F3603">
      <w:pPr>
        <w:tabs>
          <w:tab w:val="left" w:pos="851"/>
        </w:tabs>
        <w:ind w:left="851"/>
        <w:rPr>
          <w:sz w:val="24"/>
          <w:szCs w:val="24"/>
          <w:lang w:eastAsia="da-DK"/>
        </w:rPr>
      </w:pPr>
      <w:r w:rsidRPr="00693334">
        <w:rPr>
          <w:sz w:val="24"/>
          <w:szCs w:val="24"/>
        </w:rPr>
        <w:t>Dette lægemiddel må ikke blandes med andre lægemidler.</w:t>
      </w:r>
    </w:p>
    <w:p w14:paraId="18C93BAE" w14:textId="77777777" w:rsidR="009260DE" w:rsidRPr="00693334" w:rsidRDefault="009260DE" w:rsidP="009260DE">
      <w:pPr>
        <w:tabs>
          <w:tab w:val="left" w:pos="851"/>
        </w:tabs>
        <w:ind w:left="851"/>
        <w:rPr>
          <w:sz w:val="24"/>
          <w:szCs w:val="24"/>
        </w:rPr>
      </w:pPr>
    </w:p>
    <w:p w14:paraId="7B0333CF" w14:textId="77777777" w:rsidR="009260DE" w:rsidRPr="00693334" w:rsidRDefault="009260DE" w:rsidP="009260DE">
      <w:pPr>
        <w:tabs>
          <w:tab w:val="left" w:pos="851"/>
        </w:tabs>
        <w:ind w:left="851" w:hanging="851"/>
        <w:rPr>
          <w:b/>
          <w:sz w:val="24"/>
          <w:szCs w:val="24"/>
        </w:rPr>
      </w:pPr>
      <w:r w:rsidRPr="00693334">
        <w:rPr>
          <w:b/>
          <w:sz w:val="24"/>
          <w:szCs w:val="24"/>
        </w:rPr>
        <w:t>6.3</w:t>
      </w:r>
      <w:r w:rsidRPr="00693334">
        <w:rPr>
          <w:b/>
          <w:sz w:val="24"/>
          <w:szCs w:val="24"/>
        </w:rPr>
        <w:tab/>
        <w:t>Opbevaringstid</w:t>
      </w:r>
    </w:p>
    <w:p w14:paraId="20A28290" w14:textId="0324F43B" w:rsidR="002F3603" w:rsidRPr="00693334" w:rsidRDefault="002F3603" w:rsidP="002F3603">
      <w:pPr>
        <w:tabs>
          <w:tab w:val="left" w:pos="851"/>
        </w:tabs>
        <w:ind w:left="851"/>
        <w:rPr>
          <w:sz w:val="24"/>
          <w:szCs w:val="24"/>
          <w:lang w:eastAsia="da-DK"/>
        </w:rPr>
      </w:pPr>
      <w:r w:rsidRPr="00693334">
        <w:rPr>
          <w:sz w:val="24"/>
          <w:szCs w:val="24"/>
        </w:rPr>
        <w:t>3 år.</w:t>
      </w:r>
    </w:p>
    <w:p w14:paraId="15778157" w14:textId="77777777" w:rsidR="002F3603" w:rsidRPr="00693334" w:rsidRDefault="002F3603" w:rsidP="002F3603">
      <w:pPr>
        <w:tabs>
          <w:tab w:val="left" w:pos="851"/>
        </w:tabs>
        <w:ind w:left="851"/>
        <w:rPr>
          <w:sz w:val="24"/>
          <w:szCs w:val="24"/>
        </w:rPr>
      </w:pPr>
      <w:r w:rsidRPr="00693334">
        <w:rPr>
          <w:sz w:val="24"/>
          <w:szCs w:val="24"/>
        </w:rPr>
        <w:t>Efter første åbning: 45 dage.</w:t>
      </w:r>
    </w:p>
    <w:p w14:paraId="24A9B4D5" w14:textId="77777777" w:rsidR="002F3603" w:rsidRPr="00693334" w:rsidRDefault="002F3603" w:rsidP="002F3603">
      <w:pPr>
        <w:tabs>
          <w:tab w:val="left" w:pos="851"/>
        </w:tabs>
        <w:ind w:left="851"/>
        <w:rPr>
          <w:sz w:val="24"/>
          <w:szCs w:val="24"/>
        </w:rPr>
      </w:pPr>
      <w:r w:rsidRPr="00693334">
        <w:rPr>
          <w:sz w:val="24"/>
          <w:szCs w:val="24"/>
        </w:rPr>
        <w:t>Efter fortynding i doseringsbægeret, skal opløsningen indtages inden for 24 timer.</w:t>
      </w:r>
    </w:p>
    <w:p w14:paraId="036C4CE0" w14:textId="77777777" w:rsidR="009260DE" w:rsidRPr="00693334" w:rsidRDefault="009260DE" w:rsidP="009260DE">
      <w:pPr>
        <w:tabs>
          <w:tab w:val="left" w:pos="851"/>
        </w:tabs>
        <w:ind w:left="851"/>
        <w:rPr>
          <w:sz w:val="24"/>
          <w:szCs w:val="24"/>
        </w:rPr>
      </w:pPr>
    </w:p>
    <w:p w14:paraId="6CCDD2D6" w14:textId="77777777" w:rsidR="009260DE" w:rsidRPr="00693334" w:rsidRDefault="009260DE" w:rsidP="009260DE">
      <w:pPr>
        <w:tabs>
          <w:tab w:val="left" w:pos="851"/>
        </w:tabs>
        <w:ind w:left="851" w:hanging="851"/>
        <w:rPr>
          <w:b/>
          <w:sz w:val="24"/>
          <w:szCs w:val="24"/>
        </w:rPr>
      </w:pPr>
      <w:r w:rsidRPr="00693334">
        <w:rPr>
          <w:b/>
          <w:sz w:val="24"/>
          <w:szCs w:val="24"/>
        </w:rPr>
        <w:t>6.4</w:t>
      </w:r>
      <w:r w:rsidRPr="00693334">
        <w:rPr>
          <w:b/>
          <w:sz w:val="24"/>
          <w:szCs w:val="24"/>
        </w:rPr>
        <w:tab/>
        <w:t>Særlige opbevaringsforhold</w:t>
      </w:r>
    </w:p>
    <w:p w14:paraId="44827D7B" w14:textId="77777777" w:rsidR="0062292A" w:rsidRPr="00693334" w:rsidRDefault="0062292A" w:rsidP="0062292A">
      <w:pPr>
        <w:tabs>
          <w:tab w:val="left" w:pos="851"/>
        </w:tabs>
        <w:ind w:left="851"/>
        <w:rPr>
          <w:sz w:val="24"/>
          <w:szCs w:val="24"/>
        </w:rPr>
      </w:pPr>
      <w:r w:rsidRPr="00693334">
        <w:rPr>
          <w:sz w:val="24"/>
          <w:szCs w:val="24"/>
        </w:rPr>
        <w:t xml:space="preserve">Dette lægemiddel kræver ingen særlige forholdsregler vedrørende opbevaringen. </w:t>
      </w:r>
    </w:p>
    <w:p w14:paraId="5D14AB27" w14:textId="77777777" w:rsidR="0062292A" w:rsidRPr="00693334" w:rsidRDefault="0062292A" w:rsidP="0062292A">
      <w:pPr>
        <w:tabs>
          <w:tab w:val="left" w:pos="851"/>
        </w:tabs>
        <w:ind w:left="851"/>
        <w:rPr>
          <w:sz w:val="24"/>
          <w:szCs w:val="24"/>
        </w:rPr>
      </w:pPr>
    </w:p>
    <w:p w14:paraId="25BCB461" w14:textId="0C87D81D" w:rsidR="0062292A" w:rsidRPr="00693334" w:rsidRDefault="0062292A" w:rsidP="0062292A">
      <w:pPr>
        <w:tabs>
          <w:tab w:val="left" w:pos="851"/>
        </w:tabs>
        <w:ind w:left="851"/>
        <w:rPr>
          <w:sz w:val="24"/>
          <w:szCs w:val="24"/>
        </w:rPr>
      </w:pPr>
      <w:r w:rsidRPr="00693334">
        <w:rPr>
          <w:sz w:val="24"/>
          <w:szCs w:val="24"/>
        </w:rPr>
        <w:t xml:space="preserve">Opbevaringsforhold efter anbrud af lægemidlet, se pkt. 6.3. </w:t>
      </w:r>
    </w:p>
    <w:p w14:paraId="5360C1FB" w14:textId="77777777" w:rsidR="0062292A" w:rsidRPr="00693334" w:rsidRDefault="0062292A" w:rsidP="0062292A">
      <w:pPr>
        <w:tabs>
          <w:tab w:val="left" w:pos="851"/>
        </w:tabs>
        <w:ind w:left="851"/>
        <w:rPr>
          <w:sz w:val="24"/>
          <w:szCs w:val="24"/>
        </w:rPr>
      </w:pPr>
    </w:p>
    <w:p w14:paraId="41FEA4BB" w14:textId="77777777" w:rsidR="0062292A" w:rsidRPr="00693334" w:rsidRDefault="0062292A" w:rsidP="0062292A">
      <w:pPr>
        <w:tabs>
          <w:tab w:val="left" w:pos="851"/>
        </w:tabs>
        <w:ind w:left="851"/>
        <w:rPr>
          <w:sz w:val="24"/>
          <w:szCs w:val="24"/>
        </w:rPr>
      </w:pPr>
      <w:r w:rsidRPr="00693334">
        <w:rPr>
          <w:sz w:val="24"/>
          <w:szCs w:val="24"/>
        </w:rPr>
        <w:lastRenderedPageBreak/>
        <w:t>Opbevaringsforhold efter fortynding af lægemidlet, se pkt. 6.3.</w:t>
      </w:r>
    </w:p>
    <w:p w14:paraId="39B1B08F" w14:textId="77777777" w:rsidR="009260DE" w:rsidRPr="00693334" w:rsidRDefault="009260DE" w:rsidP="009260DE">
      <w:pPr>
        <w:tabs>
          <w:tab w:val="left" w:pos="851"/>
        </w:tabs>
        <w:ind w:left="851"/>
        <w:rPr>
          <w:sz w:val="24"/>
          <w:szCs w:val="24"/>
        </w:rPr>
      </w:pPr>
    </w:p>
    <w:p w14:paraId="70CF39CF" w14:textId="350656F8" w:rsidR="009260DE" w:rsidRPr="00693334" w:rsidRDefault="009260DE" w:rsidP="009260DE">
      <w:pPr>
        <w:tabs>
          <w:tab w:val="left" w:pos="851"/>
        </w:tabs>
        <w:ind w:left="851" w:hanging="851"/>
        <w:rPr>
          <w:b/>
          <w:sz w:val="24"/>
          <w:szCs w:val="24"/>
        </w:rPr>
      </w:pPr>
      <w:r w:rsidRPr="00693334">
        <w:rPr>
          <w:b/>
          <w:sz w:val="24"/>
          <w:szCs w:val="24"/>
        </w:rPr>
        <w:t>6.5</w:t>
      </w:r>
      <w:r w:rsidRPr="00693334">
        <w:rPr>
          <w:b/>
          <w:sz w:val="24"/>
          <w:szCs w:val="24"/>
        </w:rPr>
        <w:tab/>
        <w:t>Emballagetype og pakningsstørrelser</w:t>
      </w:r>
    </w:p>
    <w:p w14:paraId="5C25BF46" w14:textId="77777777" w:rsidR="0062292A" w:rsidRPr="00693334" w:rsidRDefault="0062292A" w:rsidP="0062292A">
      <w:pPr>
        <w:tabs>
          <w:tab w:val="left" w:pos="851"/>
        </w:tabs>
        <w:ind w:left="851"/>
        <w:rPr>
          <w:sz w:val="24"/>
          <w:szCs w:val="24"/>
        </w:rPr>
      </w:pPr>
      <w:r w:rsidRPr="00693334">
        <w:rPr>
          <w:sz w:val="24"/>
          <w:szCs w:val="24"/>
        </w:rPr>
        <w:t>180 ml opløsning i en 200 ml brun plastik (PET)-flaske, med et hvidt ydre, og et gennemsigtigt indre, børnesikret, plastik skruelåg, fremstillet af HDPE/polypropylen med en hvid tætningsskive, fremstillet af ekspanderet polyethylen.</w:t>
      </w:r>
    </w:p>
    <w:p w14:paraId="2F27CDC0" w14:textId="77777777" w:rsidR="0062292A" w:rsidRPr="00693334" w:rsidRDefault="0062292A" w:rsidP="0062292A">
      <w:pPr>
        <w:tabs>
          <w:tab w:val="left" w:pos="851"/>
        </w:tabs>
        <w:ind w:left="851"/>
        <w:rPr>
          <w:sz w:val="24"/>
          <w:szCs w:val="24"/>
          <w:highlight w:val="yellow"/>
        </w:rPr>
      </w:pPr>
    </w:p>
    <w:p w14:paraId="250D191E" w14:textId="77777777" w:rsidR="0062292A" w:rsidRPr="00693334" w:rsidRDefault="0062292A" w:rsidP="0062292A">
      <w:pPr>
        <w:tabs>
          <w:tab w:val="left" w:pos="851"/>
        </w:tabs>
        <w:ind w:left="851"/>
        <w:rPr>
          <w:sz w:val="24"/>
          <w:szCs w:val="24"/>
        </w:rPr>
      </w:pPr>
      <w:r w:rsidRPr="00693334">
        <w:rPr>
          <w:sz w:val="24"/>
          <w:szCs w:val="24"/>
        </w:rPr>
        <w:t>Hvert karton indeholder en flaske, en gradueret måleanordning (gennemsigtig polypropylen sprøjte med et hvidt PE-stempel) med en kapacitet på 4,5 g og med 0,25 g gradueringer, en gennemsigtig LDPE-adapter til sprøjten, to orange polypropylendoseringsbægre med en kapacitet på 90 ml og to hvide HDPE-skruelukninger.</w:t>
      </w:r>
    </w:p>
    <w:p w14:paraId="028949A0" w14:textId="77777777" w:rsidR="0062292A" w:rsidRPr="00693334" w:rsidRDefault="0062292A" w:rsidP="0062292A">
      <w:pPr>
        <w:tabs>
          <w:tab w:val="left" w:pos="851"/>
        </w:tabs>
        <w:ind w:left="851"/>
        <w:rPr>
          <w:sz w:val="24"/>
          <w:szCs w:val="24"/>
        </w:rPr>
      </w:pPr>
    </w:p>
    <w:p w14:paraId="67DA3BAA" w14:textId="77777777" w:rsidR="0062292A" w:rsidRPr="00693334" w:rsidRDefault="0062292A" w:rsidP="0062292A">
      <w:pPr>
        <w:tabs>
          <w:tab w:val="left" w:pos="851"/>
        </w:tabs>
        <w:ind w:left="851"/>
        <w:rPr>
          <w:sz w:val="24"/>
          <w:szCs w:val="24"/>
        </w:rPr>
      </w:pPr>
      <w:r w:rsidRPr="00693334">
        <w:rPr>
          <w:sz w:val="24"/>
          <w:szCs w:val="24"/>
        </w:rPr>
        <w:t xml:space="preserve">Et komma bruges som decimalseparator på sprøjtens gradering. </w:t>
      </w:r>
    </w:p>
    <w:p w14:paraId="17DAA79A" w14:textId="77777777" w:rsidR="009260DE" w:rsidRPr="00693334" w:rsidRDefault="009260DE" w:rsidP="009260DE">
      <w:pPr>
        <w:tabs>
          <w:tab w:val="left" w:pos="851"/>
        </w:tabs>
        <w:ind w:left="851"/>
        <w:rPr>
          <w:sz w:val="24"/>
          <w:szCs w:val="24"/>
        </w:rPr>
      </w:pPr>
    </w:p>
    <w:p w14:paraId="3A5C77E4" w14:textId="718DDE00" w:rsidR="009260DE" w:rsidRPr="00693334" w:rsidRDefault="009260DE" w:rsidP="009260DE">
      <w:pPr>
        <w:tabs>
          <w:tab w:val="left" w:pos="851"/>
        </w:tabs>
        <w:ind w:left="851" w:hanging="851"/>
        <w:rPr>
          <w:b/>
          <w:sz w:val="24"/>
          <w:szCs w:val="24"/>
        </w:rPr>
      </w:pPr>
      <w:r w:rsidRPr="00693334">
        <w:rPr>
          <w:b/>
          <w:sz w:val="24"/>
          <w:szCs w:val="24"/>
        </w:rPr>
        <w:t>6.6</w:t>
      </w:r>
      <w:r w:rsidRPr="00693334">
        <w:rPr>
          <w:b/>
          <w:sz w:val="24"/>
          <w:szCs w:val="24"/>
        </w:rPr>
        <w:tab/>
        <w:t xml:space="preserve">Regler for </w:t>
      </w:r>
      <w:r w:rsidR="00095F20" w:rsidRPr="00693334">
        <w:rPr>
          <w:b/>
          <w:sz w:val="24"/>
          <w:szCs w:val="24"/>
        </w:rPr>
        <w:t>bortskaffelse</w:t>
      </w:r>
      <w:r w:rsidRPr="00693334">
        <w:rPr>
          <w:b/>
          <w:sz w:val="24"/>
          <w:szCs w:val="24"/>
        </w:rPr>
        <w:t xml:space="preserve"> og anden håndtering</w:t>
      </w:r>
    </w:p>
    <w:p w14:paraId="7C058F0B" w14:textId="77777777" w:rsidR="002F3603" w:rsidRPr="00693334" w:rsidRDefault="002F3603" w:rsidP="002F3603">
      <w:pPr>
        <w:tabs>
          <w:tab w:val="left" w:pos="851"/>
        </w:tabs>
        <w:ind w:left="851"/>
        <w:rPr>
          <w:sz w:val="24"/>
          <w:szCs w:val="24"/>
          <w:lang w:eastAsia="da-DK"/>
        </w:rPr>
      </w:pPr>
      <w:r w:rsidRPr="00693334">
        <w:rPr>
          <w:sz w:val="24"/>
          <w:szCs w:val="24"/>
        </w:rPr>
        <w:t>Ikke anvendt lægemiddel samt affald heraf skal bortskaffes i henhold til lokale retningslinjer.</w:t>
      </w:r>
    </w:p>
    <w:p w14:paraId="558C51B0" w14:textId="77777777" w:rsidR="009260DE" w:rsidRPr="00693334" w:rsidRDefault="009260DE" w:rsidP="009260DE">
      <w:pPr>
        <w:tabs>
          <w:tab w:val="left" w:pos="851"/>
        </w:tabs>
        <w:ind w:left="851"/>
        <w:jc w:val="both"/>
        <w:rPr>
          <w:sz w:val="24"/>
          <w:szCs w:val="24"/>
        </w:rPr>
      </w:pPr>
    </w:p>
    <w:p w14:paraId="0326B684" w14:textId="77777777" w:rsidR="009260DE" w:rsidRPr="00693334" w:rsidRDefault="009260DE" w:rsidP="009260DE">
      <w:pPr>
        <w:tabs>
          <w:tab w:val="left" w:pos="851"/>
        </w:tabs>
        <w:ind w:left="851" w:hanging="851"/>
        <w:rPr>
          <w:b/>
          <w:sz w:val="24"/>
          <w:szCs w:val="24"/>
        </w:rPr>
      </w:pPr>
      <w:r w:rsidRPr="00693334">
        <w:rPr>
          <w:b/>
          <w:sz w:val="24"/>
          <w:szCs w:val="24"/>
        </w:rPr>
        <w:t>7.</w:t>
      </w:r>
      <w:r w:rsidRPr="00693334">
        <w:rPr>
          <w:b/>
          <w:sz w:val="24"/>
          <w:szCs w:val="24"/>
        </w:rPr>
        <w:tab/>
        <w:t>INDEHAVER AF MARKEDSFØRINGSTILLADELSEN</w:t>
      </w:r>
    </w:p>
    <w:p w14:paraId="0473AFA7" w14:textId="77777777" w:rsidR="002F3603" w:rsidRPr="00693334" w:rsidRDefault="002F3603" w:rsidP="002F3603">
      <w:pPr>
        <w:tabs>
          <w:tab w:val="left" w:pos="851"/>
        </w:tabs>
        <w:ind w:left="851"/>
        <w:rPr>
          <w:sz w:val="24"/>
          <w:szCs w:val="24"/>
          <w:lang w:eastAsia="da-DK"/>
        </w:rPr>
      </w:pPr>
      <w:r w:rsidRPr="00693334">
        <w:rPr>
          <w:sz w:val="24"/>
          <w:szCs w:val="24"/>
        </w:rPr>
        <w:t>Aristo Pharma GmbH</w:t>
      </w:r>
    </w:p>
    <w:p w14:paraId="65264EA4" w14:textId="77777777" w:rsidR="002F3603" w:rsidRPr="00693334" w:rsidRDefault="002F3603" w:rsidP="002F3603">
      <w:pPr>
        <w:tabs>
          <w:tab w:val="left" w:pos="851"/>
        </w:tabs>
        <w:ind w:left="851"/>
        <w:rPr>
          <w:sz w:val="24"/>
          <w:szCs w:val="24"/>
        </w:rPr>
      </w:pPr>
      <w:r w:rsidRPr="00693334">
        <w:rPr>
          <w:sz w:val="24"/>
          <w:szCs w:val="24"/>
        </w:rPr>
        <w:t>Wallenroder Straβe 8-10</w:t>
      </w:r>
    </w:p>
    <w:p w14:paraId="09A3D388" w14:textId="77777777" w:rsidR="002F3603" w:rsidRPr="00693334" w:rsidRDefault="002F3603" w:rsidP="002F3603">
      <w:pPr>
        <w:tabs>
          <w:tab w:val="left" w:pos="851"/>
        </w:tabs>
        <w:ind w:left="851"/>
        <w:rPr>
          <w:sz w:val="24"/>
          <w:szCs w:val="24"/>
        </w:rPr>
      </w:pPr>
      <w:r w:rsidRPr="00693334">
        <w:rPr>
          <w:sz w:val="24"/>
          <w:szCs w:val="24"/>
        </w:rPr>
        <w:t>13435 Berlin</w:t>
      </w:r>
    </w:p>
    <w:p w14:paraId="6CF6B5BC" w14:textId="77777777" w:rsidR="002F3603" w:rsidRPr="00693334" w:rsidRDefault="002F3603" w:rsidP="002F3603">
      <w:pPr>
        <w:tabs>
          <w:tab w:val="left" w:pos="851"/>
        </w:tabs>
        <w:ind w:left="851"/>
        <w:rPr>
          <w:sz w:val="24"/>
          <w:szCs w:val="24"/>
        </w:rPr>
      </w:pPr>
      <w:r w:rsidRPr="00693334">
        <w:rPr>
          <w:sz w:val="24"/>
          <w:szCs w:val="24"/>
        </w:rPr>
        <w:t>Tyskland</w:t>
      </w:r>
    </w:p>
    <w:p w14:paraId="1F8A472A" w14:textId="77777777" w:rsidR="009260DE" w:rsidRPr="00693334" w:rsidRDefault="009260DE" w:rsidP="009260DE">
      <w:pPr>
        <w:tabs>
          <w:tab w:val="left" w:pos="851"/>
        </w:tabs>
        <w:ind w:left="851"/>
        <w:rPr>
          <w:sz w:val="24"/>
          <w:szCs w:val="24"/>
        </w:rPr>
      </w:pPr>
    </w:p>
    <w:p w14:paraId="16D8D713" w14:textId="6A8A96D7" w:rsidR="009260DE" w:rsidRPr="00693334" w:rsidRDefault="009260DE" w:rsidP="009260DE">
      <w:pPr>
        <w:tabs>
          <w:tab w:val="left" w:pos="851"/>
        </w:tabs>
        <w:ind w:left="851" w:hanging="851"/>
        <w:rPr>
          <w:b/>
          <w:sz w:val="24"/>
          <w:szCs w:val="24"/>
        </w:rPr>
      </w:pPr>
      <w:r w:rsidRPr="00693334">
        <w:rPr>
          <w:b/>
          <w:sz w:val="24"/>
          <w:szCs w:val="24"/>
        </w:rPr>
        <w:t>8.</w:t>
      </w:r>
      <w:r w:rsidRPr="00693334">
        <w:rPr>
          <w:b/>
          <w:sz w:val="24"/>
          <w:szCs w:val="24"/>
        </w:rPr>
        <w:tab/>
        <w:t>MARKEDSFØRINGSTILLADELSESNUMMER (</w:t>
      </w:r>
      <w:r w:rsidR="00095F20" w:rsidRPr="00693334">
        <w:rPr>
          <w:b/>
          <w:sz w:val="24"/>
          <w:szCs w:val="24"/>
        </w:rPr>
        <w:t>-</w:t>
      </w:r>
      <w:r w:rsidRPr="00693334">
        <w:rPr>
          <w:b/>
          <w:sz w:val="24"/>
          <w:szCs w:val="24"/>
        </w:rPr>
        <w:t>NUMRE)</w:t>
      </w:r>
    </w:p>
    <w:p w14:paraId="17BFABF4" w14:textId="1924A4FC" w:rsidR="009260DE" w:rsidRPr="00693334" w:rsidRDefault="00C229C6" w:rsidP="009260DE">
      <w:pPr>
        <w:tabs>
          <w:tab w:val="left" w:pos="851"/>
        </w:tabs>
        <w:ind w:left="851"/>
        <w:rPr>
          <w:sz w:val="24"/>
          <w:szCs w:val="24"/>
        </w:rPr>
      </w:pPr>
      <w:r w:rsidRPr="00693334">
        <w:rPr>
          <w:sz w:val="24"/>
          <w:szCs w:val="24"/>
        </w:rPr>
        <w:t>62919</w:t>
      </w:r>
    </w:p>
    <w:p w14:paraId="2F345E06" w14:textId="77777777" w:rsidR="009260DE" w:rsidRPr="00693334" w:rsidRDefault="009260DE" w:rsidP="009260DE">
      <w:pPr>
        <w:tabs>
          <w:tab w:val="left" w:pos="851"/>
        </w:tabs>
        <w:ind w:left="851"/>
        <w:jc w:val="both"/>
        <w:rPr>
          <w:sz w:val="24"/>
          <w:szCs w:val="24"/>
        </w:rPr>
      </w:pPr>
    </w:p>
    <w:p w14:paraId="0707D05E" w14:textId="77777777" w:rsidR="009260DE" w:rsidRPr="00693334" w:rsidRDefault="009260DE" w:rsidP="009260DE">
      <w:pPr>
        <w:tabs>
          <w:tab w:val="left" w:pos="851"/>
        </w:tabs>
        <w:ind w:left="851" w:hanging="851"/>
        <w:rPr>
          <w:b/>
          <w:sz w:val="24"/>
          <w:szCs w:val="24"/>
        </w:rPr>
      </w:pPr>
      <w:r w:rsidRPr="00693334">
        <w:rPr>
          <w:b/>
          <w:sz w:val="24"/>
          <w:szCs w:val="24"/>
        </w:rPr>
        <w:t>9.</w:t>
      </w:r>
      <w:r w:rsidRPr="00693334">
        <w:rPr>
          <w:b/>
          <w:sz w:val="24"/>
          <w:szCs w:val="24"/>
        </w:rPr>
        <w:tab/>
        <w:t>DATO FOR FØRSTE MARKEDSFØRINGSTILLADELSE</w:t>
      </w:r>
    </w:p>
    <w:p w14:paraId="51D164DD" w14:textId="5B2952AD" w:rsidR="009260DE" w:rsidRPr="00693334" w:rsidRDefault="004B7ECE" w:rsidP="009260DE">
      <w:pPr>
        <w:tabs>
          <w:tab w:val="left" w:pos="851"/>
        </w:tabs>
        <w:ind w:left="851"/>
        <w:rPr>
          <w:sz w:val="24"/>
          <w:szCs w:val="24"/>
        </w:rPr>
      </w:pPr>
      <w:r w:rsidRPr="00693334">
        <w:rPr>
          <w:sz w:val="24"/>
          <w:szCs w:val="24"/>
        </w:rPr>
        <w:t>28. september 2020</w:t>
      </w:r>
    </w:p>
    <w:p w14:paraId="69174D65" w14:textId="77777777" w:rsidR="009260DE" w:rsidRPr="00693334" w:rsidRDefault="009260DE" w:rsidP="009260DE">
      <w:pPr>
        <w:tabs>
          <w:tab w:val="left" w:pos="851"/>
        </w:tabs>
        <w:ind w:left="851"/>
        <w:rPr>
          <w:sz w:val="24"/>
          <w:szCs w:val="24"/>
        </w:rPr>
      </w:pPr>
    </w:p>
    <w:p w14:paraId="3E011719" w14:textId="77777777" w:rsidR="009260DE" w:rsidRPr="00693334" w:rsidRDefault="009260DE" w:rsidP="009260DE">
      <w:pPr>
        <w:tabs>
          <w:tab w:val="left" w:pos="851"/>
        </w:tabs>
        <w:ind w:left="851" w:hanging="851"/>
        <w:rPr>
          <w:b/>
          <w:sz w:val="24"/>
          <w:szCs w:val="24"/>
        </w:rPr>
      </w:pPr>
      <w:r w:rsidRPr="00693334">
        <w:rPr>
          <w:b/>
          <w:sz w:val="24"/>
          <w:szCs w:val="24"/>
        </w:rPr>
        <w:t>10.</w:t>
      </w:r>
      <w:r w:rsidRPr="00693334">
        <w:rPr>
          <w:b/>
          <w:sz w:val="24"/>
          <w:szCs w:val="24"/>
        </w:rPr>
        <w:tab/>
        <w:t>DATO FOR ÆNDRING AF TEKSTEN</w:t>
      </w:r>
    </w:p>
    <w:p w14:paraId="4ADFFA24" w14:textId="2B5214B0" w:rsidR="009260DE" w:rsidRPr="00693334" w:rsidRDefault="00602B4C" w:rsidP="009260DE">
      <w:pPr>
        <w:tabs>
          <w:tab w:val="left" w:pos="851"/>
        </w:tabs>
        <w:ind w:left="851"/>
        <w:rPr>
          <w:sz w:val="24"/>
          <w:szCs w:val="24"/>
        </w:rPr>
      </w:pPr>
      <w:r w:rsidRPr="00693334">
        <w:rPr>
          <w:sz w:val="24"/>
          <w:szCs w:val="24"/>
        </w:rPr>
        <w:t>21</w:t>
      </w:r>
      <w:r w:rsidR="007A5124" w:rsidRPr="00693334">
        <w:rPr>
          <w:sz w:val="24"/>
          <w:szCs w:val="24"/>
        </w:rPr>
        <w:t xml:space="preserve">. </w:t>
      </w:r>
      <w:r w:rsidRPr="00693334">
        <w:rPr>
          <w:sz w:val="24"/>
          <w:szCs w:val="24"/>
        </w:rPr>
        <w:t>februar</w:t>
      </w:r>
      <w:r w:rsidR="007A5124" w:rsidRPr="00693334">
        <w:rPr>
          <w:sz w:val="24"/>
          <w:szCs w:val="24"/>
        </w:rPr>
        <w:t xml:space="preserve"> 202</w:t>
      </w:r>
      <w:r w:rsidRPr="00693334">
        <w:rPr>
          <w:sz w:val="24"/>
          <w:szCs w:val="24"/>
        </w:rPr>
        <w:t>5</w:t>
      </w:r>
    </w:p>
    <w:sectPr w:rsidR="009260DE" w:rsidRPr="0069333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BA407" w14:textId="77777777" w:rsidR="00BA3D37" w:rsidRDefault="00BA3D37">
      <w:r>
        <w:separator/>
      </w:r>
    </w:p>
  </w:endnote>
  <w:endnote w:type="continuationSeparator" w:id="0">
    <w:p w14:paraId="179A2A5A" w14:textId="77777777" w:rsidR="00BA3D37" w:rsidRDefault="00BA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anumMyeongjo">
    <w:altName w:val="Malgun Gothic"/>
    <w:charset w:val="81"/>
    <w:family w:val="auto"/>
    <w:pitch w:val="variable"/>
    <w:sig w:usb0="80000003" w:usb1="09D7FCEB"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3CD82" w14:textId="77777777" w:rsidR="00BA3D37" w:rsidRDefault="00BA3D37">
    <w:pPr>
      <w:pStyle w:val="Sidefod"/>
      <w:pBdr>
        <w:bottom w:val="single" w:sz="6" w:space="1" w:color="auto"/>
      </w:pBdr>
    </w:pPr>
  </w:p>
  <w:p w14:paraId="57BFB32A" w14:textId="77777777" w:rsidR="00BA3D37" w:rsidRDefault="00BA3D37" w:rsidP="00C42586">
    <w:pPr>
      <w:pStyle w:val="Sidefod"/>
      <w:tabs>
        <w:tab w:val="clear" w:pos="4819"/>
        <w:tab w:val="left" w:pos="8505"/>
      </w:tabs>
      <w:rPr>
        <w:i/>
        <w:sz w:val="18"/>
        <w:szCs w:val="18"/>
      </w:rPr>
    </w:pPr>
  </w:p>
  <w:p w14:paraId="70494246" w14:textId="1D76889A" w:rsidR="00BA3D37" w:rsidRPr="00B373D7" w:rsidRDefault="00BA3D3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Arixobat, oral opløsning 500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56D79" w14:textId="77777777" w:rsidR="00BA3D37" w:rsidRDefault="00BA3D37">
      <w:r>
        <w:separator/>
      </w:r>
    </w:p>
  </w:footnote>
  <w:footnote w:type="continuationSeparator" w:id="0">
    <w:p w14:paraId="7599BBF4" w14:textId="77777777" w:rsidR="00BA3D37" w:rsidRDefault="00BA3D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FE039B3"/>
    <w:multiLevelType w:val="hybridMultilevel"/>
    <w:tmpl w:val="38D0DABC"/>
    <w:lvl w:ilvl="0" w:tplc="2E189C9A">
      <w:start w:val="1"/>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08B56BA"/>
    <w:multiLevelType w:val="hybridMultilevel"/>
    <w:tmpl w:val="BACCA02E"/>
    <w:lvl w:ilvl="0" w:tplc="7E3C5F7E">
      <w:start w:val="4"/>
      <w:numFmt w:val="bullet"/>
      <w:lvlText w:val="-"/>
      <w:lvlJc w:val="left"/>
      <w:pPr>
        <w:ind w:left="720" w:hanging="360"/>
      </w:pPr>
      <w:rPr>
        <w:rFonts w:ascii="Times New Roman" w:eastAsia="Arial"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76D73AE"/>
    <w:multiLevelType w:val="hybridMultilevel"/>
    <w:tmpl w:val="9796C6B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7" w15:restartNumberingAfterBreak="0">
    <w:nsid w:val="52AC6542"/>
    <w:multiLevelType w:val="hybridMultilevel"/>
    <w:tmpl w:val="0AEC62E4"/>
    <w:lvl w:ilvl="0" w:tplc="2E189C9A">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dirty"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DF"/>
    <w:rsid w:val="00023998"/>
    <w:rsid w:val="000259B9"/>
    <w:rsid w:val="00041491"/>
    <w:rsid w:val="00050D16"/>
    <w:rsid w:val="00074F2A"/>
    <w:rsid w:val="00095F20"/>
    <w:rsid w:val="000A1CA8"/>
    <w:rsid w:val="000A466B"/>
    <w:rsid w:val="000B058C"/>
    <w:rsid w:val="000E4EE6"/>
    <w:rsid w:val="00131990"/>
    <w:rsid w:val="001454E2"/>
    <w:rsid w:val="001B457E"/>
    <w:rsid w:val="00206CE8"/>
    <w:rsid w:val="0021526C"/>
    <w:rsid w:val="0023392C"/>
    <w:rsid w:val="00267169"/>
    <w:rsid w:val="00283A2B"/>
    <w:rsid w:val="002A25E6"/>
    <w:rsid w:val="002B30AD"/>
    <w:rsid w:val="002C2C01"/>
    <w:rsid w:val="002F3603"/>
    <w:rsid w:val="003217D3"/>
    <w:rsid w:val="003A29AE"/>
    <w:rsid w:val="003A32D7"/>
    <w:rsid w:val="003B4074"/>
    <w:rsid w:val="003C769A"/>
    <w:rsid w:val="003D7239"/>
    <w:rsid w:val="003F1838"/>
    <w:rsid w:val="0045746C"/>
    <w:rsid w:val="0049104B"/>
    <w:rsid w:val="004B7ECE"/>
    <w:rsid w:val="004D1CC4"/>
    <w:rsid w:val="004E3554"/>
    <w:rsid w:val="004E3B12"/>
    <w:rsid w:val="00532310"/>
    <w:rsid w:val="005352C3"/>
    <w:rsid w:val="005368DF"/>
    <w:rsid w:val="00565F0F"/>
    <w:rsid w:val="00594A86"/>
    <w:rsid w:val="00596D86"/>
    <w:rsid w:val="00602B4C"/>
    <w:rsid w:val="0062292A"/>
    <w:rsid w:val="00637F5A"/>
    <w:rsid w:val="006560B1"/>
    <w:rsid w:val="006756DD"/>
    <w:rsid w:val="00693334"/>
    <w:rsid w:val="006C0804"/>
    <w:rsid w:val="006F582C"/>
    <w:rsid w:val="0072388D"/>
    <w:rsid w:val="00737275"/>
    <w:rsid w:val="00740EEC"/>
    <w:rsid w:val="0078011A"/>
    <w:rsid w:val="00782AF4"/>
    <w:rsid w:val="00787DCA"/>
    <w:rsid w:val="00790EE7"/>
    <w:rsid w:val="007A5124"/>
    <w:rsid w:val="007B6649"/>
    <w:rsid w:val="0082576E"/>
    <w:rsid w:val="0088091E"/>
    <w:rsid w:val="008C4C60"/>
    <w:rsid w:val="008C4E4B"/>
    <w:rsid w:val="00907F75"/>
    <w:rsid w:val="009260DE"/>
    <w:rsid w:val="0093258A"/>
    <w:rsid w:val="00976E94"/>
    <w:rsid w:val="009B5915"/>
    <w:rsid w:val="009C7BA3"/>
    <w:rsid w:val="009D1F5A"/>
    <w:rsid w:val="00A37293"/>
    <w:rsid w:val="00A6343D"/>
    <w:rsid w:val="00B003BF"/>
    <w:rsid w:val="00B373D7"/>
    <w:rsid w:val="00B61F1B"/>
    <w:rsid w:val="00BA3D37"/>
    <w:rsid w:val="00C229C6"/>
    <w:rsid w:val="00C36276"/>
    <w:rsid w:val="00C42586"/>
    <w:rsid w:val="00C60CCD"/>
    <w:rsid w:val="00C720B8"/>
    <w:rsid w:val="00C816BD"/>
    <w:rsid w:val="00C84483"/>
    <w:rsid w:val="00C87F9E"/>
    <w:rsid w:val="00C95551"/>
    <w:rsid w:val="00CB20D7"/>
    <w:rsid w:val="00D020B0"/>
    <w:rsid w:val="00D11748"/>
    <w:rsid w:val="00D366CF"/>
    <w:rsid w:val="00E108AA"/>
    <w:rsid w:val="00E3749A"/>
    <w:rsid w:val="00E7437F"/>
    <w:rsid w:val="00E76026"/>
    <w:rsid w:val="00E865B8"/>
    <w:rsid w:val="00EC0B9B"/>
    <w:rsid w:val="00ED5E9F"/>
    <w:rsid w:val="00F66D4F"/>
    <w:rsid w:val="00FB6D01"/>
    <w:rsid w:val="00FD36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5371D"/>
  <w15:chartTrackingRefBased/>
  <w15:docId w15:val="{C25FC557-261F-49D0-961E-B693E41A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A37293"/>
    <w:rPr>
      <w:color w:val="0563C1"/>
      <w:u w:val="single"/>
    </w:rPr>
  </w:style>
  <w:style w:type="paragraph" w:styleId="Billedtekst">
    <w:name w:val="caption"/>
    <w:basedOn w:val="Normal"/>
    <w:next w:val="Normal"/>
    <w:uiPriority w:val="35"/>
    <w:unhideWhenUsed/>
    <w:qFormat/>
    <w:rsid w:val="00A37293"/>
    <w:rPr>
      <w:b/>
      <w:bCs/>
      <w:sz w:val="20"/>
      <w:lang w:eastAsia="da-DK"/>
    </w:rPr>
  </w:style>
  <w:style w:type="paragraph" w:customStyle="1" w:styleId="Default">
    <w:name w:val="Default"/>
    <w:rsid w:val="00BA3D3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163">
      <w:bodyDiv w:val="1"/>
      <w:marLeft w:val="0"/>
      <w:marRight w:val="0"/>
      <w:marTop w:val="0"/>
      <w:marBottom w:val="0"/>
      <w:divBdr>
        <w:top w:val="none" w:sz="0" w:space="0" w:color="auto"/>
        <w:left w:val="none" w:sz="0" w:space="0" w:color="auto"/>
        <w:bottom w:val="none" w:sz="0" w:space="0" w:color="auto"/>
        <w:right w:val="none" w:sz="0" w:space="0" w:color="auto"/>
      </w:divBdr>
    </w:div>
    <w:div w:id="28266847">
      <w:bodyDiv w:val="1"/>
      <w:marLeft w:val="0"/>
      <w:marRight w:val="0"/>
      <w:marTop w:val="0"/>
      <w:marBottom w:val="0"/>
      <w:divBdr>
        <w:top w:val="none" w:sz="0" w:space="0" w:color="auto"/>
        <w:left w:val="none" w:sz="0" w:space="0" w:color="auto"/>
        <w:bottom w:val="none" w:sz="0" w:space="0" w:color="auto"/>
        <w:right w:val="none" w:sz="0" w:space="0" w:color="auto"/>
      </w:divBdr>
    </w:div>
    <w:div w:id="81535981">
      <w:bodyDiv w:val="1"/>
      <w:marLeft w:val="0"/>
      <w:marRight w:val="0"/>
      <w:marTop w:val="0"/>
      <w:marBottom w:val="0"/>
      <w:divBdr>
        <w:top w:val="none" w:sz="0" w:space="0" w:color="auto"/>
        <w:left w:val="none" w:sz="0" w:space="0" w:color="auto"/>
        <w:bottom w:val="none" w:sz="0" w:space="0" w:color="auto"/>
        <w:right w:val="none" w:sz="0" w:space="0" w:color="auto"/>
      </w:divBdr>
    </w:div>
    <w:div w:id="102892942">
      <w:bodyDiv w:val="1"/>
      <w:marLeft w:val="0"/>
      <w:marRight w:val="0"/>
      <w:marTop w:val="0"/>
      <w:marBottom w:val="0"/>
      <w:divBdr>
        <w:top w:val="none" w:sz="0" w:space="0" w:color="auto"/>
        <w:left w:val="none" w:sz="0" w:space="0" w:color="auto"/>
        <w:bottom w:val="none" w:sz="0" w:space="0" w:color="auto"/>
        <w:right w:val="none" w:sz="0" w:space="0" w:color="auto"/>
      </w:divBdr>
    </w:div>
    <w:div w:id="110825198">
      <w:bodyDiv w:val="1"/>
      <w:marLeft w:val="0"/>
      <w:marRight w:val="0"/>
      <w:marTop w:val="0"/>
      <w:marBottom w:val="0"/>
      <w:divBdr>
        <w:top w:val="none" w:sz="0" w:space="0" w:color="auto"/>
        <w:left w:val="none" w:sz="0" w:space="0" w:color="auto"/>
        <w:bottom w:val="none" w:sz="0" w:space="0" w:color="auto"/>
        <w:right w:val="none" w:sz="0" w:space="0" w:color="auto"/>
      </w:divBdr>
    </w:div>
    <w:div w:id="123699053">
      <w:bodyDiv w:val="1"/>
      <w:marLeft w:val="0"/>
      <w:marRight w:val="0"/>
      <w:marTop w:val="0"/>
      <w:marBottom w:val="0"/>
      <w:divBdr>
        <w:top w:val="none" w:sz="0" w:space="0" w:color="auto"/>
        <w:left w:val="none" w:sz="0" w:space="0" w:color="auto"/>
        <w:bottom w:val="none" w:sz="0" w:space="0" w:color="auto"/>
        <w:right w:val="none" w:sz="0" w:space="0" w:color="auto"/>
      </w:divBdr>
    </w:div>
    <w:div w:id="14687048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4266936">
      <w:bodyDiv w:val="1"/>
      <w:marLeft w:val="0"/>
      <w:marRight w:val="0"/>
      <w:marTop w:val="0"/>
      <w:marBottom w:val="0"/>
      <w:divBdr>
        <w:top w:val="none" w:sz="0" w:space="0" w:color="auto"/>
        <w:left w:val="none" w:sz="0" w:space="0" w:color="auto"/>
        <w:bottom w:val="none" w:sz="0" w:space="0" w:color="auto"/>
        <w:right w:val="none" w:sz="0" w:space="0" w:color="auto"/>
      </w:divBdr>
    </w:div>
    <w:div w:id="297926951">
      <w:bodyDiv w:val="1"/>
      <w:marLeft w:val="0"/>
      <w:marRight w:val="0"/>
      <w:marTop w:val="0"/>
      <w:marBottom w:val="0"/>
      <w:divBdr>
        <w:top w:val="none" w:sz="0" w:space="0" w:color="auto"/>
        <w:left w:val="none" w:sz="0" w:space="0" w:color="auto"/>
        <w:bottom w:val="none" w:sz="0" w:space="0" w:color="auto"/>
        <w:right w:val="none" w:sz="0" w:space="0" w:color="auto"/>
      </w:divBdr>
    </w:div>
    <w:div w:id="326522710">
      <w:bodyDiv w:val="1"/>
      <w:marLeft w:val="0"/>
      <w:marRight w:val="0"/>
      <w:marTop w:val="0"/>
      <w:marBottom w:val="0"/>
      <w:divBdr>
        <w:top w:val="none" w:sz="0" w:space="0" w:color="auto"/>
        <w:left w:val="none" w:sz="0" w:space="0" w:color="auto"/>
        <w:bottom w:val="none" w:sz="0" w:space="0" w:color="auto"/>
        <w:right w:val="none" w:sz="0" w:space="0" w:color="auto"/>
      </w:divBdr>
    </w:div>
    <w:div w:id="353385531">
      <w:bodyDiv w:val="1"/>
      <w:marLeft w:val="0"/>
      <w:marRight w:val="0"/>
      <w:marTop w:val="0"/>
      <w:marBottom w:val="0"/>
      <w:divBdr>
        <w:top w:val="none" w:sz="0" w:space="0" w:color="auto"/>
        <w:left w:val="none" w:sz="0" w:space="0" w:color="auto"/>
        <w:bottom w:val="none" w:sz="0" w:space="0" w:color="auto"/>
        <w:right w:val="none" w:sz="0" w:space="0" w:color="auto"/>
      </w:divBdr>
    </w:div>
    <w:div w:id="382481190">
      <w:bodyDiv w:val="1"/>
      <w:marLeft w:val="0"/>
      <w:marRight w:val="0"/>
      <w:marTop w:val="0"/>
      <w:marBottom w:val="0"/>
      <w:divBdr>
        <w:top w:val="none" w:sz="0" w:space="0" w:color="auto"/>
        <w:left w:val="none" w:sz="0" w:space="0" w:color="auto"/>
        <w:bottom w:val="none" w:sz="0" w:space="0" w:color="auto"/>
        <w:right w:val="none" w:sz="0" w:space="0" w:color="auto"/>
      </w:divBdr>
    </w:div>
    <w:div w:id="523907404">
      <w:bodyDiv w:val="1"/>
      <w:marLeft w:val="0"/>
      <w:marRight w:val="0"/>
      <w:marTop w:val="0"/>
      <w:marBottom w:val="0"/>
      <w:divBdr>
        <w:top w:val="none" w:sz="0" w:space="0" w:color="auto"/>
        <w:left w:val="none" w:sz="0" w:space="0" w:color="auto"/>
        <w:bottom w:val="none" w:sz="0" w:space="0" w:color="auto"/>
        <w:right w:val="none" w:sz="0" w:space="0" w:color="auto"/>
      </w:divBdr>
    </w:div>
    <w:div w:id="580407094">
      <w:bodyDiv w:val="1"/>
      <w:marLeft w:val="0"/>
      <w:marRight w:val="0"/>
      <w:marTop w:val="0"/>
      <w:marBottom w:val="0"/>
      <w:divBdr>
        <w:top w:val="none" w:sz="0" w:space="0" w:color="auto"/>
        <w:left w:val="none" w:sz="0" w:space="0" w:color="auto"/>
        <w:bottom w:val="none" w:sz="0" w:space="0" w:color="auto"/>
        <w:right w:val="none" w:sz="0" w:space="0" w:color="auto"/>
      </w:divBdr>
    </w:div>
    <w:div w:id="621571862">
      <w:bodyDiv w:val="1"/>
      <w:marLeft w:val="0"/>
      <w:marRight w:val="0"/>
      <w:marTop w:val="0"/>
      <w:marBottom w:val="0"/>
      <w:divBdr>
        <w:top w:val="none" w:sz="0" w:space="0" w:color="auto"/>
        <w:left w:val="none" w:sz="0" w:space="0" w:color="auto"/>
        <w:bottom w:val="none" w:sz="0" w:space="0" w:color="auto"/>
        <w:right w:val="none" w:sz="0" w:space="0" w:color="auto"/>
      </w:divBdr>
    </w:div>
    <w:div w:id="644890107">
      <w:bodyDiv w:val="1"/>
      <w:marLeft w:val="0"/>
      <w:marRight w:val="0"/>
      <w:marTop w:val="0"/>
      <w:marBottom w:val="0"/>
      <w:divBdr>
        <w:top w:val="none" w:sz="0" w:space="0" w:color="auto"/>
        <w:left w:val="none" w:sz="0" w:space="0" w:color="auto"/>
        <w:bottom w:val="none" w:sz="0" w:space="0" w:color="auto"/>
        <w:right w:val="none" w:sz="0" w:space="0" w:color="auto"/>
      </w:divBdr>
    </w:div>
    <w:div w:id="672418683">
      <w:bodyDiv w:val="1"/>
      <w:marLeft w:val="0"/>
      <w:marRight w:val="0"/>
      <w:marTop w:val="0"/>
      <w:marBottom w:val="0"/>
      <w:divBdr>
        <w:top w:val="none" w:sz="0" w:space="0" w:color="auto"/>
        <w:left w:val="none" w:sz="0" w:space="0" w:color="auto"/>
        <w:bottom w:val="none" w:sz="0" w:space="0" w:color="auto"/>
        <w:right w:val="none" w:sz="0" w:space="0" w:color="auto"/>
      </w:divBdr>
    </w:div>
    <w:div w:id="697122992">
      <w:bodyDiv w:val="1"/>
      <w:marLeft w:val="0"/>
      <w:marRight w:val="0"/>
      <w:marTop w:val="0"/>
      <w:marBottom w:val="0"/>
      <w:divBdr>
        <w:top w:val="none" w:sz="0" w:space="0" w:color="auto"/>
        <w:left w:val="none" w:sz="0" w:space="0" w:color="auto"/>
        <w:bottom w:val="none" w:sz="0" w:space="0" w:color="auto"/>
        <w:right w:val="none" w:sz="0" w:space="0" w:color="auto"/>
      </w:divBdr>
    </w:div>
    <w:div w:id="713770520">
      <w:bodyDiv w:val="1"/>
      <w:marLeft w:val="0"/>
      <w:marRight w:val="0"/>
      <w:marTop w:val="0"/>
      <w:marBottom w:val="0"/>
      <w:divBdr>
        <w:top w:val="none" w:sz="0" w:space="0" w:color="auto"/>
        <w:left w:val="none" w:sz="0" w:space="0" w:color="auto"/>
        <w:bottom w:val="none" w:sz="0" w:space="0" w:color="auto"/>
        <w:right w:val="none" w:sz="0" w:space="0" w:color="auto"/>
      </w:divBdr>
    </w:div>
    <w:div w:id="794371983">
      <w:bodyDiv w:val="1"/>
      <w:marLeft w:val="0"/>
      <w:marRight w:val="0"/>
      <w:marTop w:val="0"/>
      <w:marBottom w:val="0"/>
      <w:divBdr>
        <w:top w:val="none" w:sz="0" w:space="0" w:color="auto"/>
        <w:left w:val="none" w:sz="0" w:space="0" w:color="auto"/>
        <w:bottom w:val="none" w:sz="0" w:space="0" w:color="auto"/>
        <w:right w:val="none" w:sz="0" w:space="0" w:color="auto"/>
      </w:divBdr>
    </w:div>
    <w:div w:id="799080520">
      <w:bodyDiv w:val="1"/>
      <w:marLeft w:val="0"/>
      <w:marRight w:val="0"/>
      <w:marTop w:val="0"/>
      <w:marBottom w:val="0"/>
      <w:divBdr>
        <w:top w:val="none" w:sz="0" w:space="0" w:color="auto"/>
        <w:left w:val="none" w:sz="0" w:space="0" w:color="auto"/>
        <w:bottom w:val="none" w:sz="0" w:space="0" w:color="auto"/>
        <w:right w:val="none" w:sz="0" w:space="0" w:color="auto"/>
      </w:divBdr>
    </w:div>
    <w:div w:id="874853350">
      <w:bodyDiv w:val="1"/>
      <w:marLeft w:val="0"/>
      <w:marRight w:val="0"/>
      <w:marTop w:val="0"/>
      <w:marBottom w:val="0"/>
      <w:divBdr>
        <w:top w:val="none" w:sz="0" w:space="0" w:color="auto"/>
        <w:left w:val="none" w:sz="0" w:space="0" w:color="auto"/>
        <w:bottom w:val="none" w:sz="0" w:space="0" w:color="auto"/>
        <w:right w:val="none" w:sz="0" w:space="0" w:color="auto"/>
      </w:divBdr>
    </w:div>
    <w:div w:id="879131852">
      <w:bodyDiv w:val="1"/>
      <w:marLeft w:val="0"/>
      <w:marRight w:val="0"/>
      <w:marTop w:val="0"/>
      <w:marBottom w:val="0"/>
      <w:divBdr>
        <w:top w:val="none" w:sz="0" w:space="0" w:color="auto"/>
        <w:left w:val="none" w:sz="0" w:space="0" w:color="auto"/>
        <w:bottom w:val="none" w:sz="0" w:space="0" w:color="auto"/>
        <w:right w:val="none" w:sz="0" w:space="0" w:color="auto"/>
      </w:divBdr>
    </w:div>
    <w:div w:id="913275944">
      <w:bodyDiv w:val="1"/>
      <w:marLeft w:val="0"/>
      <w:marRight w:val="0"/>
      <w:marTop w:val="0"/>
      <w:marBottom w:val="0"/>
      <w:divBdr>
        <w:top w:val="none" w:sz="0" w:space="0" w:color="auto"/>
        <w:left w:val="none" w:sz="0" w:space="0" w:color="auto"/>
        <w:bottom w:val="none" w:sz="0" w:space="0" w:color="auto"/>
        <w:right w:val="none" w:sz="0" w:space="0" w:color="auto"/>
      </w:divBdr>
    </w:div>
    <w:div w:id="1064838594">
      <w:bodyDiv w:val="1"/>
      <w:marLeft w:val="0"/>
      <w:marRight w:val="0"/>
      <w:marTop w:val="0"/>
      <w:marBottom w:val="0"/>
      <w:divBdr>
        <w:top w:val="none" w:sz="0" w:space="0" w:color="auto"/>
        <w:left w:val="none" w:sz="0" w:space="0" w:color="auto"/>
        <w:bottom w:val="none" w:sz="0" w:space="0" w:color="auto"/>
        <w:right w:val="none" w:sz="0" w:space="0" w:color="auto"/>
      </w:divBdr>
    </w:div>
    <w:div w:id="1152067709">
      <w:bodyDiv w:val="1"/>
      <w:marLeft w:val="0"/>
      <w:marRight w:val="0"/>
      <w:marTop w:val="0"/>
      <w:marBottom w:val="0"/>
      <w:divBdr>
        <w:top w:val="none" w:sz="0" w:space="0" w:color="auto"/>
        <w:left w:val="none" w:sz="0" w:space="0" w:color="auto"/>
        <w:bottom w:val="none" w:sz="0" w:space="0" w:color="auto"/>
        <w:right w:val="none" w:sz="0" w:space="0" w:color="auto"/>
      </w:divBdr>
    </w:div>
    <w:div w:id="1309437773">
      <w:bodyDiv w:val="1"/>
      <w:marLeft w:val="0"/>
      <w:marRight w:val="0"/>
      <w:marTop w:val="0"/>
      <w:marBottom w:val="0"/>
      <w:divBdr>
        <w:top w:val="none" w:sz="0" w:space="0" w:color="auto"/>
        <w:left w:val="none" w:sz="0" w:space="0" w:color="auto"/>
        <w:bottom w:val="none" w:sz="0" w:space="0" w:color="auto"/>
        <w:right w:val="none" w:sz="0" w:space="0" w:color="auto"/>
      </w:divBdr>
    </w:div>
    <w:div w:id="1323852733">
      <w:bodyDiv w:val="1"/>
      <w:marLeft w:val="0"/>
      <w:marRight w:val="0"/>
      <w:marTop w:val="0"/>
      <w:marBottom w:val="0"/>
      <w:divBdr>
        <w:top w:val="none" w:sz="0" w:space="0" w:color="auto"/>
        <w:left w:val="none" w:sz="0" w:space="0" w:color="auto"/>
        <w:bottom w:val="none" w:sz="0" w:space="0" w:color="auto"/>
        <w:right w:val="none" w:sz="0" w:space="0" w:color="auto"/>
      </w:divBdr>
    </w:div>
    <w:div w:id="1521970240">
      <w:bodyDiv w:val="1"/>
      <w:marLeft w:val="0"/>
      <w:marRight w:val="0"/>
      <w:marTop w:val="0"/>
      <w:marBottom w:val="0"/>
      <w:divBdr>
        <w:top w:val="none" w:sz="0" w:space="0" w:color="auto"/>
        <w:left w:val="none" w:sz="0" w:space="0" w:color="auto"/>
        <w:bottom w:val="none" w:sz="0" w:space="0" w:color="auto"/>
        <w:right w:val="none" w:sz="0" w:space="0" w:color="auto"/>
      </w:divBdr>
    </w:div>
    <w:div w:id="1581522341">
      <w:bodyDiv w:val="1"/>
      <w:marLeft w:val="0"/>
      <w:marRight w:val="0"/>
      <w:marTop w:val="0"/>
      <w:marBottom w:val="0"/>
      <w:divBdr>
        <w:top w:val="none" w:sz="0" w:space="0" w:color="auto"/>
        <w:left w:val="none" w:sz="0" w:space="0" w:color="auto"/>
        <w:bottom w:val="none" w:sz="0" w:space="0" w:color="auto"/>
        <w:right w:val="none" w:sz="0" w:space="0" w:color="auto"/>
      </w:divBdr>
    </w:div>
    <w:div w:id="1591160146">
      <w:bodyDiv w:val="1"/>
      <w:marLeft w:val="0"/>
      <w:marRight w:val="0"/>
      <w:marTop w:val="0"/>
      <w:marBottom w:val="0"/>
      <w:divBdr>
        <w:top w:val="none" w:sz="0" w:space="0" w:color="auto"/>
        <w:left w:val="none" w:sz="0" w:space="0" w:color="auto"/>
        <w:bottom w:val="none" w:sz="0" w:space="0" w:color="auto"/>
        <w:right w:val="none" w:sz="0" w:space="0" w:color="auto"/>
      </w:divBdr>
    </w:div>
    <w:div w:id="1606616579">
      <w:bodyDiv w:val="1"/>
      <w:marLeft w:val="0"/>
      <w:marRight w:val="0"/>
      <w:marTop w:val="0"/>
      <w:marBottom w:val="0"/>
      <w:divBdr>
        <w:top w:val="none" w:sz="0" w:space="0" w:color="auto"/>
        <w:left w:val="none" w:sz="0" w:space="0" w:color="auto"/>
        <w:bottom w:val="none" w:sz="0" w:space="0" w:color="auto"/>
        <w:right w:val="none" w:sz="0" w:space="0" w:color="auto"/>
      </w:divBdr>
    </w:div>
    <w:div w:id="1685663852">
      <w:bodyDiv w:val="1"/>
      <w:marLeft w:val="0"/>
      <w:marRight w:val="0"/>
      <w:marTop w:val="0"/>
      <w:marBottom w:val="0"/>
      <w:divBdr>
        <w:top w:val="none" w:sz="0" w:space="0" w:color="auto"/>
        <w:left w:val="none" w:sz="0" w:space="0" w:color="auto"/>
        <w:bottom w:val="none" w:sz="0" w:space="0" w:color="auto"/>
        <w:right w:val="none" w:sz="0" w:space="0" w:color="auto"/>
      </w:divBdr>
    </w:div>
    <w:div w:id="1809979121">
      <w:bodyDiv w:val="1"/>
      <w:marLeft w:val="0"/>
      <w:marRight w:val="0"/>
      <w:marTop w:val="0"/>
      <w:marBottom w:val="0"/>
      <w:divBdr>
        <w:top w:val="none" w:sz="0" w:space="0" w:color="auto"/>
        <w:left w:val="none" w:sz="0" w:space="0" w:color="auto"/>
        <w:bottom w:val="none" w:sz="0" w:space="0" w:color="auto"/>
        <w:right w:val="none" w:sz="0" w:space="0" w:color="auto"/>
      </w:divBdr>
    </w:div>
    <w:div w:id="1912544805">
      <w:bodyDiv w:val="1"/>
      <w:marLeft w:val="0"/>
      <w:marRight w:val="0"/>
      <w:marTop w:val="0"/>
      <w:marBottom w:val="0"/>
      <w:divBdr>
        <w:top w:val="none" w:sz="0" w:space="0" w:color="auto"/>
        <w:left w:val="none" w:sz="0" w:space="0" w:color="auto"/>
        <w:bottom w:val="none" w:sz="0" w:space="0" w:color="auto"/>
        <w:right w:val="none" w:sz="0" w:space="0" w:color="auto"/>
      </w:divBdr>
    </w:div>
    <w:div w:id="1923492011">
      <w:bodyDiv w:val="1"/>
      <w:marLeft w:val="0"/>
      <w:marRight w:val="0"/>
      <w:marTop w:val="0"/>
      <w:marBottom w:val="0"/>
      <w:divBdr>
        <w:top w:val="none" w:sz="0" w:space="0" w:color="auto"/>
        <w:left w:val="none" w:sz="0" w:space="0" w:color="auto"/>
        <w:bottom w:val="none" w:sz="0" w:space="0" w:color="auto"/>
        <w:right w:val="none" w:sz="0" w:space="0" w:color="auto"/>
      </w:divBdr>
    </w:div>
    <w:div w:id="1931967097">
      <w:bodyDiv w:val="1"/>
      <w:marLeft w:val="0"/>
      <w:marRight w:val="0"/>
      <w:marTop w:val="0"/>
      <w:marBottom w:val="0"/>
      <w:divBdr>
        <w:top w:val="none" w:sz="0" w:space="0" w:color="auto"/>
        <w:left w:val="none" w:sz="0" w:space="0" w:color="auto"/>
        <w:bottom w:val="none" w:sz="0" w:space="0" w:color="auto"/>
        <w:right w:val="none" w:sz="0" w:space="0" w:color="auto"/>
      </w:divBdr>
    </w:div>
    <w:div w:id="1998730507">
      <w:bodyDiv w:val="1"/>
      <w:marLeft w:val="0"/>
      <w:marRight w:val="0"/>
      <w:marTop w:val="0"/>
      <w:marBottom w:val="0"/>
      <w:divBdr>
        <w:top w:val="none" w:sz="0" w:space="0" w:color="auto"/>
        <w:left w:val="none" w:sz="0" w:space="0" w:color="auto"/>
        <w:bottom w:val="none" w:sz="0" w:space="0" w:color="auto"/>
        <w:right w:val="none" w:sz="0" w:space="0" w:color="auto"/>
      </w:divBdr>
    </w:div>
    <w:div w:id="2082412480">
      <w:bodyDiv w:val="1"/>
      <w:marLeft w:val="0"/>
      <w:marRight w:val="0"/>
      <w:marTop w:val="0"/>
      <w:marBottom w:val="0"/>
      <w:divBdr>
        <w:top w:val="none" w:sz="0" w:space="0" w:color="auto"/>
        <w:left w:val="none" w:sz="0" w:space="0" w:color="auto"/>
        <w:bottom w:val="none" w:sz="0" w:space="0" w:color="auto"/>
        <w:right w:val="none" w:sz="0" w:space="0" w:color="auto"/>
      </w:divBdr>
    </w:div>
    <w:div w:id="213440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20</Pages>
  <Words>6493</Words>
  <Characters>41909</Characters>
  <Application>Microsoft Office Word</Application>
  <DocSecurity>0</DocSecurity>
  <Lines>349</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2022072344_x000d_
SPC pkt. 4.1, 4.2, 4.4, 4.5, 4.6, 4.7, 4.8, 4.9, 5.1, 5.2 5.3</dc:description>
  <cp:lastModifiedBy>Victoria Alexsandra Ringgaard</cp:lastModifiedBy>
  <cp:revision>4</cp:revision>
  <cp:lastPrinted>2012-08-22T08:53:00Z</cp:lastPrinted>
  <dcterms:created xsi:type="dcterms:W3CDTF">2025-02-19T12:17:00Z</dcterms:created>
  <dcterms:modified xsi:type="dcterms:W3CDTF">2025-02-19T12:46:00Z</dcterms:modified>
</cp:coreProperties>
</file>