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984D2" w14:textId="77777777" w:rsidR="009260DE" w:rsidRPr="00951EF6" w:rsidRDefault="0021526C" w:rsidP="009260DE">
      <w:pPr>
        <w:rPr>
          <w:sz w:val="24"/>
          <w:szCs w:val="24"/>
        </w:rPr>
      </w:pPr>
      <w:r w:rsidRPr="00951EF6">
        <w:rPr>
          <w:noProof/>
          <w:sz w:val="24"/>
          <w:szCs w:val="24"/>
          <w:lang w:eastAsia="da-DK"/>
        </w:rPr>
        <w:drawing>
          <wp:anchor distT="0" distB="0" distL="114300" distR="114300" simplePos="0" relativeHeight="251658240" behindDoc="0" locked="0" layoutInCell="1" allowOverlap="1" wp14:anchorId="26F58B79" wp14:editId="34F4579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51EF6">
        <w:rPr>
          <w:sz w:val="24"/>
          <w:szCs w:val="24"/>
        </w:rPr>
        <w:br w:type="textWrapping" w:clear="all"/>
      </w:r>
    </w:p>
    <w:p w14:paraId="445C35B0" w14:textId="71172A4E" w:rsidR="009260DE" w:rsidRPr="00951EF6" w:rsidRDefault="009260DE" w:rsidP="009260DE">
      <w:pPr>
        <w:pStyle w:val="Titel"/>
        <w:tabs>
          <w:tab w:val="right" w:pos="9356"/>
        </w:tabs>
        <w:jc w:val="left"/>
        <w:rPr>
          <w:b w:val="0"/>
          <w:szCs w:val="24"/>
          <w:lang w:eastAsia="en-US"/>
        </w:rPr>
      </w:pPr>
      <w:r w:rsidRPr="00951EF6">
        <w:rPr>
          <w:b w:val="0"/>
          <w:szCs w:val="24"/>
          <w:lang w:eastAsia="en-US"/>
        </w:rPr>
        <w:tab/>
      </w:r>
      <w:r w:rsidR="00460B9B">
        <w:rPr>
          <w:szCs w:val="24"/>
        </w:rPr>
        <w:t>26. juli 2024</w:t>
      </w:r>
    </w:p>
    <w:p w14:paraId="127B9798" w14:textId="1AC522DC" w:rsidR="009260DE" w:rsidRDefault="009260DE" w:rsidP="009260DE">
      <w:pPr>
        <w:pStyle w:val="Titel"/>
        <w:jc w:val="left"/>
        <w:rPr>
          <w:b w:val="0"/>
          <w:szCs w:val="24"/>
        </w:rPr>
      </w:pPr>
    </w:p>
    <w:p w14:paraId="17D7058D" w14:textId="77777777" w:rsidR="00850A19" w:rsidRPr="00951EF6" w:rsidRDefault="00850A19" w:rsidP="009260DE">
      <w:pPr>
        <w:pStyle w:val="Titel"/>
        <w:jc w:val="left"/>
        <w:rPr>
          <w:b w:val="0"/>
          <w:szCs w:val="24"/>
        </w:rPr>
      </w:pPr>
    </w:p>
    <w:p w14:paraId="2A73528D" w14:textId="77777777" w:rsidR="009260DE" w:rsidRPr="00951EF6" w:rsidRDefault="009260DE" w:rsidP="009260DE">
      <w:pPr>
        <w:pStyle w:val="Titel"/>
        <w:jc w:val="left"/>
        <w:rPr>
          <w:b w:val="0"/>
          <w:szCs w:val="24"/>
        </w:rPr>
      </w:pPr>
    </w:p>
    <w:p w14:paraId="2532A4C5" w14:textId="77777777" w:rsidR="009260DE" w:rsidRPr="00951EF6" w:rsidRDefault="009260DE" w:rsidP="009260DE">
      <w:pPr>
        <w:jc w:val="center"/>
        <w:rPr>
          <w:b/>
          <w:sz w:val="24"/>
          <w:szCs w:val="24"/>
        </w:rPr>
      </w:pPr>
      <w:r w:rsidRPr="00951EF6">
        <w:rPr>
          <w:b/>
          <w:sz w:val="24"/>
          <w:szCs w:val="24"/>
        </w:rPr>
        <w:t>PRODUKTRESUMÉ</w:t>
      </w:r>
    </w:p>
    <w:p w14:paraId="22E7E03A" w14:textId="77777777" w:rsidR="009260DE" w:rsidRPr="00951EF6" w:rsidRDefault="009260DE" w:rsidP="009260DE">
      <w:pPr>
        <w:jc w:val="center"/>
        <w:rPr>
          <w:b/>
          <w:sz w:val="24"/>
          <w:szCs w:val="24"/>
        </w:rPr>
      </w:pPr>
    </w:p>
    <w:p w14:paraId="3491CF90" w14:textId="77777777" w:rsidR="009260DE" w:rsidRPr="00951EF6" w:rsidRDefault="009260DE" w:rsidP="009260DE">
      <w:pPr>
        <w:jc w:val="center"/>
        <w:rPr>
          <w:b/>
          <w:sz w:val="24"/>
          <w:szCs w:val="24"/>
        </w:rPr>
      </w:pPr>
      <w:r w:rsidRPr="00951EF6">
        <w:rPr>
          <w:b/>
          <w:sz w:val="24"/>
          <w:szCs w:val="24"/>
        </w:rPr>
        <w:t>for</w:t>
      </w:r>
    </w:p>
    <w:p w14:paraId="58D48D85" w14:textId="77777777" w:rsidR="000B058C" w:rsidRPr="00951EF6" w:rsidRDefault="000B058C" w:rsidP="009260DE">
      <w:pPr>
        <w:jc w:val="center"/>
        <w:rPr>
          <w:b/>
          <w:sz w:val="24"/>
          <w:szCs w:val="24"/>
        </w:rPr>
      </w:pPr>
    </w:p>
    <w:p w14:paraId="6D4608B9" w14:textId="2F5751C9" w:rsidR="009260DE" w:rsidRPr="00951EF6" w:rsidRDefault="00D321D6" w:rsidP="009260DE">
      <w:pPr>
        <w:jc w:val="center"/>
        <w:rPr>
          <w:b/>
          <w:sz w:val="24"/>
          <w:szCs w:val="24"/>
        </w:rPr>
      </w:pPr>
      <w:proofErr w:type="spellStart"/>
      <w:r w:rsidRPr="00951EF6">
        <w:rPr>
          <w:b/>
          <w:sz w:val="24"/>
          <w:szCs w:val="24"/>
        </w:rPr>
        <w:t>Arupsan</w:t>
      </w:r>
      <w:proofErr w:type="spellEnd"/>
      <w:r w:rsidRPr="00951EF6">
        <w:rPr>
          <w:b/>
          <w:sz w:val="24"/>
          <w:szCs w:val="24"/>
        </w:rPr>
        <w:t>, tabletter</w:t>
      </w:r>
      <w:r w:rsidR="00460B9B">
        <w:rPr>
          <w:b/>
          <w:sz w:val="24"/>
          <w:szCs w:val="24"/>
        </w:rPr>
        <w:t xml:space="preserve"> (</w:t>
      </w:r>
      <w:proofErr w:type="spellStart"/>
      <w:r w:rsidR="00460B9B">
        <w:rPr>
          <w:b/>
          <w:sz w:val="24"/>
          <w:szCs w:val="24"/>
        </w:rPr>
        <w:t>Orifarm</w:t>
      </w:r>
      <w:proofErr w:type="spellEnd"/>
      <w:r w:rsidR="00460B9B">
        <w:rPr>
          <w:b/>
          <w:sz w:val="24"/>
          <w:szCs w:val="24"/>
        </w:rPr>
        <w:t>)</w:t>
      </w:r>
    </w:p>
    <w:p w14:paraId="32C98024" w14:textId="77777777" w:rsidR="009260DE" w:rsidRPr="00951EF6" w:rsidRDefault="009260DE" w:rsidP="009260DE">
      <w:pPr>
        <w:jc w:val="both"/>
        <w:rPr>
          <w:sz w:val="24"/>
          <w:szCs w:val="24"/>
        </w:rPr>
      </w:pPr>
    </w:p>
    <w:p w14:paraId="7745C44F" w14:textId="77777777" w:rsidR="009260DE" w:rsidRPr="00951EF6" w:rsidRDefault="009260DE" w:rsidP="009260DE">
      <w:pPr>
        <w:jc w:val="both"/>
        <w:rPr>
          <w:sz w:val="24"/>
          <w:szCs w:val="24"/>
        </w:rPr>
      </w:pPr>
    </w:p>
    <w:p w14:paraId="4A8905BB" w14:textId="77777777" w:rsidR="009260DE" w:rsidRPr="00951EF6" w:rsidRDefault="009260DE" w:rsidP="009260DE">
      <w:pPr>
        <w:tabs>
          <w:tab w:val="left" w:pos="851"/>
        </w:tabs>
        <w:ind w:left="851" w:hanging="851"/>
        <w:rPr>
          <w:b/>
          <w:sz w:val="24"/>
          <w:szCs w:val="24"/>
        </w:rPr>
      </w:pPr>
      <w:r w:rsidRPr="00951EF6">
        <w:rPr>
          <w:b/>
          <w:sz w:val="24"/>
          <w:szCs w:val="24"/>
        </w:rPr>
        <w:t>0.</w:t>
      </w:r>
      <w:r w:rsidRPr="00951EF6">
        <w:rPr>
          <w:b/>
          <w:sz w:val="24"/>
          <w:szCs w:val="24"/>
        </w:rPr>
        <w:tab/>
        <w:t>D.SP.NR.</w:t>
      </w:r>
    </w:p>
    <w:p w14:paraId="05ADBAAB" w14:textId="7FC04A90" w:rsidR="009260DE" w:rsidRPr="00951EF6" w:rsidRDefault="00D321D6" w:rsidP="009260DE">
      <w:pPr>
        <w:tabs>
          <w:tab w:val="left" w:pos="851"/>
        </w:tabs>
        <w:ind w:left="851"/>
        <w:rPr>
          <w:sz w:val="24"/>
          <w:szCs w:val="24"/>
        </w:rPr>
      </w:pPr>
      <w:r w:rsidRPr="00951EF6">
        <w:rPr>
          <w:sz w:val="24"/>
          <w:szCs w:val="24"/>
        </w:rPr>
        <w:t>31754</w:t>
      </w:r>
    </w:p>
    <w:p w14:paraId="74DEDC87" w14:textId="77777777" w:rsidR="009260DE" w:rsidRPr="00951EF6" w:rsidRDefault="009260DE" w:rsidP="009260DE">
      <w:pPr>
        <w:tabs>
          <w:tab w:val="left" w:pos="851"/>
        </w:tabs>
        <w:ind w:left="851"/>
        <w:rPr>
          <w:sz w:val="24"/>
          <w:szCs w:val="24"/>
        </w:rPr>
      </w:pPr>
    </w:p>
    <w:p w14:paraId="24BF1FE8" w14:textId="77777777" w:rsidR="009260DE" w:rsidRPr="00951EF6" w:rsidRDefault="009260DE" w:rsidP="009260DE">
      <w:pPr>
        <w:tabs>
          <w:tab w:val="left" w:pos="851"/>
        </w:tabs>
        <w:ind w:left="851" w:hanging="851"/>
        <w:rPr>
          <w:b/>
          <w:sz w:val="24"/>
          <w:szCs w:val="24"/>
        </w:rPr>
      </w:pPr>
      <w:r w:rsidRPr="00951EF6">
        <w:rPr>
          <w:b/>
          <w:sz w:val="24"/>
          <w:szCs w:val="24"/>
        </w:rPr>
        <w:t>1.</w:t>
      </w:r>
      <w:r w:rsidRPr="00951EF6">
        <w:rPr>
          <w:b/>
          <w:sz w:val="24"/>
          <w:szCs w:val="24"/>
        </w:rPr>
        <w:tab/>
        <w:t>LÆGEMIDLETS NAVN</w:t>
      </w:r>
    </w:p>
    <w:p w14:paraId="5337BA4E" w14:textId="4A818550" w:rsidR="009260DE" w:rsidRPr="00951EF6" w:rsidRDefault="00D321D6" w:rsidP="009260DE">
      <w:pPr>
        <w:tabs>
          <w:tab w:val="left" w:pos="851"/>
        </w:tabs>
        <w:ind w:left="851"/>
        <w:rPr>
          <w:sz w:val="24"/>
          <w:szCs w:val="24"/>
        </w:rPr>
      </w:pPr>
      <w:proofErr w:type="spellStart"/>
      <w:r w:rsidRPr="00951EF6">
        <w:rPr>
          <w:sz w:val="24"/>
          <w:szCs w:val="24"/>
        </w:rPr>
        <w:t>Arupsan</w:t>
      </w:r>
      <w:proofErr w:type="spellEnd"/>
    </w:p>
    <w:p w14:paraId="1BF336ED" w14:textId="77777777" w:rsidR="009260DE" w:rsidRPr="00951EF6" w:rsidRDefault="009260DE" w:rsidP="009260DE">
      <w:pPr>
        <w:tabs>
          <w:tab w:val="left" w:pos="851"/>
        </w:tabs>
        <w:ind w:left="851"/>
        <w:rPr>
          <w:sz w:val="24"/>
          <w:szCs w:val="24"/>
        </w:rPr>
      </w:pPr>
    </w:p>
    <w:p w14:paraId="5C8EEDD9" w14:textId="77777777" w:rsidR="009260DE" w:rsidRPr="00951EF6" w:rsidRDefault="009260DE" w:rsidP="009260DE">
      <w:pPr>
        <w:tabs>
          <w:tab w:val="left" w:pos="851"/>
        </w:tabs>
        <w:ind w:left="851" w:hanging="851"/>
        <w:rPr>
          <w:b/>
          <w:sz w:val="24"/>
          <w:szCs w:val="24"/>
        </w:rPr>
      </w:pPr>
      <w:r w:rsidRPr="00951EF6">
        <w:rPr>
          <w:b/>
          <w:sz w:val="24"/>
          <w:szCs w:val="24"/>
        </w:rPr>
        <w:t>2.</w:t>
      </w:r>
      <w:r w:rsidRPr="00951EF6">
        <w:rPr>
          <w:b/>
          <w:sz w:val="24"/>
          <w:szCs w:val="24"/>
        </w:rPr>
        <w:tab/>
        <w:t>KVALITATIV OG KVANTITATIV SAMMENSÆTNING</w:t>
      </w:r>
    </w:p>
    <w:p w14:paraId="6BAE5FDD" w14:textId="0C15C7D7" w:rsidR="00D72757" w:rsidRPr="00B32278" w:rsidRDefault="00D72757" w:rsidP="00B32278">
      <w:pPr>
        <w:ind w:left="851"/>
        <w:rPr>
          <w:sz w:val="24"/>
          <w:szCs w:val="24"/>
        </w:rPr>
      </w:pPr>
      <w:r w:rsidRPr="00B32278">
        <w:rPr>
          <w:sz w:val="24"/>
          <w:szCs w:val="24"/>
        </w:rPr>
        <w:t xml:space="preserve">Hver tablet indeholder 800 mg </w:t>
      </w:r>
      <w:proofErr w:type="spellStart"/>
      <w:r w:rsidRPr="00B32278">
        <w:rPr>
          <w:sz w:val="24"/>
          <w:szCs w:val="24"/>
        </w:rPr>
        <w:t>eslicarbazepinacetat</w:t>
      </w:r>
      <w:proofErr w:type="spellEnd"/>
      <w:r w:rsidRPr="00B32278">
        <w:rPr>
          <w:sz w:val="24"/>
          <w:szCs w:val="24"/>
        </w:rPr>
        <w:t>.</w:t>
      </w:r>
      <w:r w:rsidRPr="00B32278">
        <w:rPr>
          <w:sz w:val="24"/>
          <w:szCs w:val="24"/>
        </w:rPr>
        <w:br/>
      </w:r>
    </w:p>
    <w:p w14:paraId="1BA09C18" w14:textId="77777777" w:rsidR="00D72757" w:rsidRPr="00B32278" w:rsidRDefault="00D72757" w:rsidP="00B32278">
      <w:pPr>
        <w:ind w:left="851"/>
        <w:rPr>
          <w:sz w:val="24"/>
          <w:szCs w:val="24"/>
        </w:rPr>
      </w:pPr>
      <w:r w:rsidRPr="00B32278">
        <w:rPr>
          <w:sz w:val="24"/>
          <w:szCs w:val="24"/>
        </w:rPr>
        <w:t>Alle hjælpestoffer er anført under pkt. 6.1.</w:t>
      </w:r>
    </w:p>
    <w:p w14:paraId="3E72C8DE" w14:textId="77777777" w:rsidR="009260DE" w:rsidRPr="00951EF6" w:rsidRDefault="009260DE" w:rsidP="009260DE">
      <w:pPr>
        <w:tabs>
          <w:tab w:val="left" w:pos="851"/>
        </w:tabs>
        <w:ind w:left="851"/>
        <w:rPr>
          <w:sz w:val="24"/>
          <w:szCs w:val="24"/>
        </w:rPr>
      </w:pPr>
    </w:p>
    <w:p w14:paraId="5490C13E" w14:textId="77777777" w:rsidR="009260DE" w:rsidRPr="00951EF6" w:rsidRDefault="009260DE" w:rsidP="009260DE">
      <w:pPr>
        <w:tabs>
          <w:tab w:val="left" w:pos="851"/>
        </w:tabs>
        <w:ind w:left="851" w:hanging="851"/>
        <w:rPr>
          <w:b/>
          <w:sz w:val="24"/>
          <w:szCs w:val="24"/>
        </w:rPr>
      </w:pPr>
      <w:r w:rsidRPr="00951EF6">
        <w:rPr>
          <w:b/>
          <w:sz w:val="24"/>
          <w:szCs w:val="24"/>
        </w:rPr>
        <w:t>3.</w:t>
      </w:r>
      <w:r w:rsidRPr="00951EF6">
        <w:rPr>
          <w:b/>
          <w:sz w:val="24"/>
          <w:szCs w:val="24"/>
        </w:rPr>
        <w:tab/>
        <w:t>LÆGEMIDDELFORM</w:t>
      </w:r>
    </w:p>
    <w:p w14:paraId="6D8A202D" w14:textId="640E6217" w:rsidR="00BB70D2" w:rsidRPr="00951EF6" w:rsidRDefault="00BB70D2" w:rsidP="00F516CE">
      <w:pPr>
        <w:ind w:left="851"/>
        <w:rPr>
          <w:sz w:val="24"/>
          <w:szCs w:val="24"/>
        </w:rPr>
      </w:pPr>
      <w:r w:rsidRPr="00951EF6">
        <w:rPr>
          <w:sz w:val="24"/>
          <w:szCs w:val="24"/>
        </w:rPr>
        <w:t>Tablet</w:t>
      </w:r>
      <w:r w:rsidR="00951EF6">
        <w:rPr>
          <w:sz w:val="24"/>
          <w:szCs w:val="24"/>
        </w:rPr>
        <w:t>ter</w:t>
      </w:r>
      <w:r w:rsidR="00460B9B">
        <w:rPr>
          <w:sz w:val="24"/>
          <w:szCs w:val="24"/>
        </w:rPr>
        <w:t xml:space="preserve"> (</w:t>
      </w:r>
      <w:proofErr w:type="spellStart"/>
      <w:r w:rsidR="00460B9B">
        <w:rPr>
          <w:sz w:val="24"/>
          <w:szCs w:val="24"/>
        </w:rPr>
        <w:t>Orifarm</w:t>
      </w:r>
      <w:proofErr w:type="spellEnd"/>
      <w:r w:rsidR="00460B9B">
        <w:rPr>
          <w:sz w:val="24"/>
          <w:szCs w:val="24"/>
        </w:rPr>
        <w:t>)</w:t>
      </w:r>
    </w:p>
    <w:p w14:paraId="2A45D2BC" w14:textId="77777777" w:rsidR="00BB70D2" w:rsidRPr="00951EF6" w:rsidRDefault="00BB70D2" w:rsidP="00F516CE">
      <w:pPr>
        <w:ind w:left="851"/>
        <w:rPr>
          <w:sz w:val="24"/>
          <w:szCs w:val="24"/>
        </w:rPr>
      </w:pPr>
    </w:p>
    <w:p w14:paraId="53B24D23" w14:textId="76EEC06E" w:rsidR="00BB70D2" w:rsidRPr="00951EF6" w:rsidRDefault="00BB70D2" w:rsidP="00F516CE">
      <w:pPr>
        <w:ind w:left="851"/>
        <w:rPr>
          <w:sz w:val="24"/>
          <w:szCs w:val="24"/>
        </w:rPr>
      </w:pPr>
      <w:bookmarkStart w:id="0" w:name="_GoBack"/>
      <w:bookmarkEnd w:id="0"/>
      <w:r w:rsidRPr="00951EF6">
        <w:rPr>
          <w:sz w:val="24"/>
          <w:szCs w:val="24"/>
        </w:rPr>
        <w:t>Tabletterne kan deles i to lige store doser.</w:t>
      </w:r>
    </w:p>
    <w:p w14:paraId="7F0CB9AB" w14:textId="77777777" w:rsidR="009260DE" w:rsidRPr="00951EF6" w:rsidRDefault="009260DE" w:rsidP="009260DE">
      <w:pPr>
        <w:tabs>
          <w:tab w:val="left" w:pos="851"/>
        </w:tabs>
        <w:ind w:left="851"/>
        <w:rPr>
          <w:sz w:val="24"/>
          <w:szCs w:val="24"/>
        </w:rPr>
      </w:pPr>
    </w:p>
    <w:p w14:paraId="263BD5DA" w14:textId="77777777" w:rsidR="009260DE" w:rsidRPr="00951EF6" w:rsidRDefault="009260DE" w:rsidP="009260DE">
      <w:pPr>
        <w:tabs>
          <w:tab w:val="left" w:pos="851"/>
        </w:tabs>
        <w:ind w:left="851"/>
        <w:rPr>
          <w:sz w:val="24"/>
          <w:szCs w:val="24"/>
        </w:rPr>
      </w:pPr>
    </w:p>
    <w:p w14:paraId="6087C211" w14:textId="77777777" w:rsidR="009260DE" w:rsidRPr="00951EF6" w:rsidRDefault="009260DE" w:rsidP="009260DE">
      <w:pPr>
        <w:tabs>
          <w:tab w:val="left" w:pos="851"/>
        </w:tabs>
        <w:ind w:left="851" w:hanging="851"/>
        <w:rPr>
          <w:b/>
          <w:sz w:val="24"/>
          <w:szCs w:val="24"/>
        </w:rPr>
      </w:pPr>
      <w:r w:rsidRPr="00951EF6">
        <w:rPr>
          <w:b/>
          <w:sz w:val="24"/>
          <w:szCs w:val="24"/>
        </w:rPr>
        <w:t>4.</w:t>
      </w:r>
      <w:r w:rsidRPr="00951EF6">
        <w:rPr>
          <w:b/>
          <w:sz w:val="24"/>
          <w:szCs w:val="24"/>
        </w:rPr>
        <w:tab/>
        <w:t>KLINISKE OPLYSNINGER</w:t>
      </w:r>
    </w:p>
    <w:p w14:paraId="532CF704" w14:textId="77777777" w:rsidR="009260DE" w:rsidRPr="00951EF6" w:rsidRDefault="009260DE" w:rsidP="009260DE">
      <w:pPr>
        <w:tabs>
          <w:tab w:val="left" w:pos="851"/>
        </w:tabs>
        <w:ind w:left="851"/>
        <w:rPr>
          <w:b/>
          <w:sz w:val="24"/>
          <w:szCs w:val="24"/>
        </w:rPr>
      </w:pPr>
    </w:p>
    <w:p w14:paraId="7F0D436B" w14:textId="77777777" w:rsidR="009260DE" w:rsidRPr="00951EF6" w:rsidRDefault="009260DE" w:rsidP="009260DE">
      <w:pPr>
        <w:tabs>
          <w:tab w:val="left" w:pos="851"/>
        </w:tabs>
        <w:ind w:left="851" w:hanging="851"/>
        <w:rPr>
          <w:b/>
          <w:sz w:val="24"/>
          <w:szCs w:val="24"/>
          <w:u w:val="single"/>
        </w:rPr>
      </w:pPr>
      <w:r w:rsidRPr="00951EF6">
        <w:rPr>
          <w:b/>
          <w:sz w:val="24"/>
          <w:szCs w:val="24"/>
        </w:rPr>
        <w:t>4.1</w:t>
      </w:r>
      <w:r w:rsidRPr="00951EF6">
        <w:rPr>
          <w:b/>
          <w:sz w:val="24"/>
          <w:szCs w:val="24"/>
        </w:rPr>
        <w:tab/>
        <w:t>Terapeutiske indikationer</w:t>
      </w:r>
    </w:p>
    <w:p w14:paraId="667769AA" w14:textId="2AF268A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er indiceret som:</w:t>
      </w:r>
    </w:p>
    <w:p w14:paraId="0E1D8603" w14:textId="77777777" w:rsidR="00BB70D2" w:rsidRPr="00951EF6" w:rsidRDefault="00BB70D2" w:rsidP="00BB70D2">
      <w:pPr>
        <w:pStyle w:val="Brdtekst"/>
        <w:ind w:left="567" w:hanging="567"/>
        <w:rPr>
          <w:sz w:val="24"/>
          <w:szCs w:val="24"/>
          <w:lang w:val="da-DK"/>
        </w:rPr>
      </w:pPr>
    </w:p>
    <w:p w14:paraId="1DAAE01B" w14:textId="77777777" w:rsidR="00BB70D2" w:rsidRPr="009F5CF0" w:rsidRDefault="00BB70D2" w:rsidP="00F516CE">
      <w:pPr>
        <w:pStyle w:val="Listeafsnit"/>
        <w:numPr>
          <w:ilvl w:val="0"/>
          <w:numId w:val="8"/>
        </w:numPr>
        <w:ind w:left="1276" w:hanging="425"/>
        <w:rPr>
          <w:sz w:val="24"/>
          <w:szCs w:val="24"/>
          <w:lang w:val="da-DK"/>
        </w:rPr>
      </w:pPr>
      <w:r w:rsidRPr="009F5CF0">
        <w:rPr>
          <w:sz w:val="24"/>
          <w:szCs w:val="24"/>
          <w:lang w:val="da-DK"/>
        </w:rPr>
        <w:t xml:space="preserve">monoterapi til behandling af </w:t>
      </w:r>
      <w:proofErr w:type="spellStart"/>
      <w:r w:rsidRPr="009F5CF0">
        <w:rPr>
          <w:sz w:val="24"/>
          <w:szCs w:val="24"/>
          <w:lang w:val="da-DK"/>
        </w:rPr>
        <w:t>fokale</w:t>
      </w:r>
      <w:proofErr w:type="spellEnd"/>
      <w:r w:rsidRPr="009F5CF0">
        <w:rPr>
          <w:sz w:val="24"/>
          <w:szCs w:val="24"/>
          <w:lang w:val="da-DK"/>
        </w:rPr>
        <w:t xml:space="preserve"> epileptiske anfald med eller uden sekundær generalisering hos voksne med nyligt diagnosticeret</w:t>
      </w:r>
      <w:r w:rsidRPr="009F5CF0">
        <w:rPr>
          <w:spacing w:val="2"/>
          <w:sz w:val="24"/>
          <w:szCs w:val="24"/>
          <w:lang w:val="da-DK"/>
        </w:rPr>
        <w:t xml:space="preserve"> </w:t>
      </w:r>
      <w:r w:rsidRPr="009F5CF0">
        <w:rPr>
          <w:sz w:val="24"/>
          <w:szCs w:val="24"/>
          <w:lang w:val="da-DK"/>
        </w:rPr>
        <w:t>epilepsi;</w:t>
      </w:r>
    </w:p>
    <w:p w14:paraId="3F643C6F" w14:textId="77777777" w:rsidR="00BB70D2" w:rsidRPr="009F5CF0" w:rsidRDefault="00BB70D2" w:rsidP="00F516CE">
      <w:pPr>
        <w:pStyle w:val="Listeafsnit"/>
        <w:numPr>
          <w:ilvl w:val="0"/>
          <w:numId w:val="8"/>
        </w:numPr>
        <w:ind w:left="1276" w:hanging="425"/>
        <w:rPr>
          <w:sz w:val="24"/>
          <w:szCs w:val="24"/>
          <w:lang w:val="da-DK"/>
        </w:rPr>
      </w:pPr>
      <w:r w:rsidRPr="009F5CF0">
        <w:rPr>
          <w:sz w:val="24"/>
          <w:szCs w:val="24"/>
          <w:lang w:val="da-DK"/>
        </w:rPr>
        <w:t xml:space="preserve">supplerende antiepileptisk behandling til voksne, unge og børn over 6 år med </w:t>
      </w:r>
      <w:proofErr w:type="spellStart"/>
      <w:r w:rsidRPr="009F5CF0">
        <w:rPr>
          <w:sz w:val="24"/>
          <w:szCs w:val="24"/>
          <w:lang w:val="da-DK"/>
        </w:rPr>
        <w:t>fokale</w:t>
      </w:r>
      <w:proofErr w:type="spellEnd"/>
      <w:r w:rsidRPr="009F5CF0">
        <w:rPr>
          <w:sz w:val="24"/>
          <w:szCs w:val="24"/>
          <w:lang w:val="da-DK"/>
        </w:rPr>
        <w:t xml:space="preserve"> epileptiske anfald med eller uden sekundær</w:t>
      </w:r>
      <w:r w:rsidRPr="009F5CF0">
        <w:rPr>
          <w:spacing w:val="2"/>
          <w:sz w:val="24"/>
          <w:szCs w:val="24"/>
          <w:lang w:val="da-DK"/>
        </w:rPr>
        <w:t xml:space="preserve"> </w:t>
      </w:r>
      <w:r w:rsidRPr="009F5CF0">
        <w:rPr>
          <w:sz w:val="24"/>
          <w:szCs w:val="24"/>
          <w:lang w:val="da-DK"/>
        </w:rPr>
        <w:t>generalisering.</w:t>
      </w:r>
    </w:p>
    <w:p w14:paraId="4CE0E9ED" w14:textId="1A98E2E5" w:rsidR="009B229A" w:rsidRDefault="009B229A">
      <w:pPr>
        <w:rPr>
          <w:sz w:val="24"/>
          <w:szCs w:val="24"/>
        </w:rPr>
      </w:pPr>
      <w:r>
        <w:rPr>
          <w:sz w:val="24"/>
          <w:szCs w:val="24"/>
        </w:rPr>
        <w:br w:type="page"/>
      </w:r>
    </w:p>
    <w:p w14:paraId="7645396A" w14:textId="77777777" w:rsidR="009260DE" w:rsidRPr="00951EF6" w:rsidRDefault="009260DE" w:rsidP="009260DE">
      <w:pPr>
        <w:tabs>
          <w:tab w:val="left" w:pos="851"/>
        </w:tabs>
        <w:ind w:left="851"/>
        <w:rPr>
          <w:sz w:val="24"/>
          <w:szCs w:val="24"/>
        </w:rPr>
      </w:pPr>
    </w:p>
    <w:p w14:paraId="6B7B143E" w14:textId="77777777" w:rsidR="009260DE" w:rsidRPr="00951EF6" w:rsidRDefault="009260DE" w:rsidP="009260DE">
      <w:pPr>
        <w:tabs>
          <w:tab w:val="left" w:pos="851"/>
        </w:tabs>
        <w:ind w:left="851" w:hanging="851"/>
        <w:rPr>
          <w:b/>
          <w:sz w:val="24"/>
          <w:szCs w:val="24"/>
        </w:rPr>
      </w:pPr>
      <w:r w:rsidRPr="00951EF6">
        <w:rPr>
          <w:b/>
          <w:sz w:val="24"/>
          <w:szCs w:val="24"/>
        </w:rPr>
        <w:t>4.2</w:t>
      </w:r>
      <w:r w:rsidRPr="00951EF6">
        <w:rPr>
          <w:b/>
          <w:sz w:val="24"/>
          <w:szCs w:val="24"/>
        </w:rPr>
        <w:tab/>
        <w:t>Dosering og indgivelsesmåde</w:t>
      </w:r>
    </w:p>
    <w:p w14:paraId="5D328439" w14:textId="77777777" w:rsidR="00460B9B" w:rsidRPr="00927033" w:rsidRDefault="00460B9B"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4117B8A4" w14:textId="77777777" w:rsidR="00FE41F1" w:rsidRPr="00951EF6" w:rsidRDefault="00FE41F1" w:rsidP="00F516CE">
      <w:pPr>
        <w:ind w:left="851"/>
        <w:rPr>
          <w:sz w:val="24"/>
          <w:szCs w:val="24"/>
        </w:rPr>
      </w:pPr>
    </w:p>
    <w:p w14:paraId="7EC2601D" w14:textId="075ACA83" w:rsidR="00BB70D2" w:rsidRPr="00951EF6" w:rsidRDefault="00BB70D2" w:rsidP="00F516CE">
      <w:pPr>
        <w:ind w:left="851"/>
        <w:rPr>
          <w:sz w:val="24"/>
          <w:szCs w:val="24"/>
          <w:u w:val="single"/>
        </w:rPr>
      </w:pPr>
      <w:r w:rsidRPr="00951EF6">
        <w:rPr>
          <w:sz w:val="24"/>
          <w:szCs w:val="24"/>
          <w:u w:val="single"/>
        </w:rPr>
        <w:t>Dosering</w:t>
      </w:r>
    </w:p>
    <w:p w14:paraId="01EE26AF" w14:textId="77777777" w:rsidR="00BB70D2" w:rsidRPr="00951EF6" w:rsidRDefault="00BB70D2" w:rsidP="00F516CE">
      <w:pPr>
        <w:ind w:left="851"/>
        <w:rPr>
          <w:sz w:val="24"/>
          <w:szCs w:val="24"/>
        </w:rPr>
      </w:pPr>
    </w:p>
    <w:p w14:paraId="284EBBA7" w14:textId="77777777" w:rsidR="00BB70D2" w:rsidRPr="00951EF6" w:rsidRDefault="00BB70D2" w:rsidP="00F516CE">
      <w:pPr>
        <w:ind w:left="851"/>
        <w:rPr>
          <w:i/>
          <w:sz w:val="24"/>
          <w:szCs w:val="24"/>
        </w:rPr>
      </w:pPr>
      <w:r w:rsidRPr="00951EF6">
        <w:rPr>
          <w:i/>
          <w:sz w:val="24"/>
          <w:szCs w:val="24"/>
        </w:rPr>
        <w:t>Voksne</w:t>
      </w:r>
    </w:p>
    <w:p w14:paraId="6F81B25C" w14:textId="20FD84A1"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som monoterapi eller gives som tillægsbehandling til eksisterende antiepileptisk behandling. Den anbefalede initialdosis er 400 mg en gang dagligt, og den bør øges til 800 mg en gang dagligt efter en eller to uger. Afhængig af den enkelte patients respons kan dosis øges til 1.200 mg en gang dagligt. Nogle patienter i monoterapiregime kan have gavn af en dosis på 1.600 mg en gang dagligt (se pkt. 5.1).</w:t>
      </w:r>
    </w:p>
    <w:p w14:paraId="5DA46935" w14:textId="77777777" w:rsidR="00BB70D2" w:rsidRPr="00951EF6" w:rsidRDefault="00BB70D2" w:rsidP="00F516CE">
      <w:pPr>
        <w:ind w:left="851"/>
        <w:rPr>
          <w:sz w:val="24"/>
          <w:szCs w:val="24"/>
        </w:rPr>
      </w:pPr>
    </w:p>
    <w:p w14:paraId="076504C7" w14:textId="77777777" w:rsidR="00BB70D2" w:rsidRPr="00951EF6" w:rsidRDefault="00BB70D2" w:rsidP="00F516CE">
      <w:pPr>
        <w:ind w:left="851"/>
        <w:rPr>
          <w:b/>
          <w:i/>
          <w:sz w:val="24"/>
          <w:szCs w:val="24"/>
        </w:rPr>
      </w:pPr>
      <w:r w:rsidRPr="00951EF6">
        <w:rPr>
          <w:b/>
          <w:i/>
          <w:sz w:val="24"/>
          <w:szCs w:val="24"/>
        </w:rPr>
        <w:t>Specielle populationer</w:t>
      </w:r>
    </w:p>
    <w:p w14:paraId="4974F6B2" w14:textId="77777777" w:rsidR="00BB70D2" w:rsidRPr="00951EF6" w:rsidRDefault="00BB70D2" w:rsidP="00F516CE">
      <w:pPr>
        <w:ind w:left="851"/>
        <w:rPr>
          <w:b/>
          <w:i/>
          <w:sz w:val="24"/>
          <w:szCs w:val="24"/>
        </w:rPr>
      </w:pPr>
    </w:p>
    <w:p w14:paraId="2728F18B" w14:textId="77777777" w:rsidR="00BB70D2" w:rsidRPr="00951EF6" w:rsidRDefault="00BB70D2" w:rsidP="00F516CE">
      <w:pPr>
        <w:ind w:left="851"/>
        <w:rPr>
          <w:i/>
          <w:sz w:val="24"/>
          <w:szCs w:val="24"/>
        </w:rPr>
      </w:pPr>
      <w:r w:rsidRPr="00951EF6">
        <w:rPr>
          <w:i/>
          <w:sz w:val="24"/>
          <w:szCs w:val="24"/>
        </w:rPr>
        <w:t>Ældre (over 65 år)</w:t>
      </w:r>
    </w:p>
    <w:p w14:paraId="68C72408" w14:textId="77777777" w:rsidR="00BB70D2" w:rsidRPr="00951EF6" w:rsidRDefault="00BB70D2" w:rsidP="00F516CE">
      <w:pPr>
        <w:ind w:left="851"/>
        <w:rPr>
          <w:sz w:val="24"/>
          <w:szCs w:val="24"/>
        </w:rPr>
      </w:pPr>
      <w:r w:rsidRPr="00951EF6">
        <w:rPr>
          <w:sz w:val="24"/>
          <w:szCs w:val="24"/>
        </w:rPr>
        <w:t>Dosisjustering er ikke nødvendig hos ældre patienter, så længe nyrefunktionen ikke er påvirket. På grund af yderst begrænsede data om 1.600 mg som monoterapi til ældre, kan denne dosis ikke anbefales til denne population.</w:t>
      </w:r>
    </w:p>
    <w:p w14:paraId="3ABE2C23" w14:textId="77777777" w:rsidR="00BB70D2" w:rsidRPr="00951EF6" w:rsidRDefault="00BB70D2" w:rsidP="00F516CE">
      <w:pPr>
        <w:ind w:left="851"/>
        <w:rPr>
          <w:sz w:val="24"/>
          <w:szCs w:val="24"/>
        </w:rPr>
      </w:pPr>
    </w:p>
    <w:p w14:paraId="2CAFFD67" w14:textId="77777777" w:rsidR="00BB70D2" w:rsidRPr="00951EF6" w:rsidRDefault="00BB70D2" w:rsidP="00F07E1B">
      <w:pPr>
        <w:ind w:left="851"/>
        <w:rPr>
          <w:i/>
          <w:sz w:val="24"/>
          <w:szCs w:val="24"/>
        </w:rPr>
      </w:pPr>
      <w:r w:rsidRPr="00951EF6">
        <w:rPr>
          <w:i/>
          <w:sz w:val="24"/>
          <w:szCs w:val="24"/>
        </w:rPr>
        <w:t>Nedsat nyrefunktion</w:t>
      </w:r>
    </w:p>
    <w:p w14:paraId="76992537" w14:textId="217B749C" w:rsidR="00BB70D2" w:rsidRPr="00951EF6" w:rsidRDefault="00BB70D2" w:rsidP="00F07E1B">
      <w:pPr>
        <w:ind w:left="851"/>
        <w:rPr>
          <w:sz w:val="24"/>
          <w:szCs w:val="24"/>
        </w:rPr>
      </w:pPr>
      <w:r w:rsidRPr="00951EF6">
        <w:rPr>
          <w:sz w:val="24"/>
          <w:szCs w:val="24"/>
        </w:rPr>
        <w:t xml:space="preserve">Der skal udvises forsigtighed ved behandling af patienter, voksne og børn over 6 år, med nedsat </w:t>
      </w:r>
      <w:r w:rsidRPr="00951EF6">
        <w:rPr>
          <w:position w:val="2"/>
          <w:sz w:val="24"/>
          <w:szCs w:val="24"/>
        </w:rPr>
        <w:t xml:space="preserve">nyrefunktion, og dosis skal justeres i henhold til </w:t>
      </w:r>
      <w:proofErr w:type="spellStart"/>
      <w:r w:rsidRPr="00951EF6">
        <w:rPr>
          <w:position w:val="2"/>
          <w:sz w:val="24"/>
          <w:szCs w:val="24"/>
        </w:rPr>
        <w:t>kreatininclearance</w:t>
      </w:r>
      <w:proofErr w:type="spellEnd"/>
      <w:r w:rsidRPr="00951EF6">
        <w:rPr>
          <w:position w:val="2"/>
          <w:sz w:val="24"/>
          <w:szCs w:val="24"/>
        </w:rPr>
        <w:t xml:space="preserve"> (CL</w:t>
      </w:r>
      <w:r w:rsidR="00F07E1B" w:rsidRPr="00F07E1B">
        <w:rPr>
          <w:position w:val="2"/>
          <w:sz w:val="24"/>
          <w:szCs w:val="24"/>
          <w:vertAlign w:val="subscript"/>
        </w:rPr>
        <w:t>CR</w:t>
      </w:r>
      <w:r w:rsidRPr="00951EF6">
        <w:rPr>
          <w:position w:val="2"/>
          <w:sz w:val="24"/>
          <w:szCs w:val="24"/>
        </w:rPr>
        <w:t>) som følger:</w:t>
      </w:r>
    </w:p>
    <w:p w14:paraId="6C35B626" w14:textId="575CA112" w:rsidR="00BB70D2" w:rsidRPr="00951EF6" w:rsidRDefault="00BB70D2" w:rsidP="00F07E1B">
      <w:pPr>
        <w:pStyle w:val="Listeafsnit"/>
        <w:numPr>
          <w:ilvl w:val="0"/>
          <w:numId w:val="10"/>
        </w:numPr>
        <w:spacing w:before="0"/>
        <w:ind w:left="1276" w:hanging="425"/>
        <w:rPr>
          <w:sz w:val="24"/>
          <w:szCs w:val="24"/>
          <w:lang w:val="nb-NO"/>
        </w:rPr>
      </w:pPr>
      <w:r w:rsidRPr="00951EF6">
        <w:rPr>
          <w:spacing w:val="2"/>
          <w:position w:val="2"/>
          <w:sz w:val="24"/>
          <w:szCs w:val="24"/>
          <w:lang w:val="nb-NO"/>
        </w:rPr>
        <w:t>CL</w:t>
      </w:r>
      <w:r w:rsidR="00F07E1B" w:rsidRPr="00F07E1B">
        <w:rPr>
          <w:position w:val="2"/>
          <w:sz w:val="24"/>
          <w:szCs w:val="24"/>
          <w:vertAlign w:val="subscript"/>
          <w:lang w:val="da-DK"/>
        </w:rPr>
        <w:t>CR</w:t>
      </w:r>
      <w:r w:rsidRPr="00951EF6">
        <w:rPr>
          <w:spacing w:val="2"/>
          <w:sz w:val="24"/>
          <w:szCs w:val="24"/>
          <w:lang w:val="nb-NO"/>
        </w:rPr>
        <w:t xml:space="preserve"> </w:t>
      </w:r>
      <w:r w:rsidRPr="00951EF6">
        <w:rPr>
          <w:position w:val="2"/>
          <w:sz w:val="24"/>
          <w:szCs w:val="24"/>
          <w:lang w:val="nb-NO"/>
        </w:rPr>
        <w:t>&gt;60 ml/min: Dosisjustering ikke</w:t>
      </w:r>
      <w:r w:rsidRPr="00951EF6">
        <w:rPr>
          <w:spacing w:val="-8"/>
          <w:position w:val="2"/>
          <w:sz w:val="24"/>
          <w:szCs w:val="24"/>
          <w:lang w:val="nb-NO"/>
        </w:rPr>
        <w:t xml:space="preserve"> </w:t>
      </w:r>
      <w:r w:rsidRPr="00951EF6">
        <w:rPr>
          <w:position w:val="2"/>
          <w:sz w:val="24"/>
          <w:szCs w:val="24"/>
          <w:lang w:val="nb-NO"/>
        </w:rPr>
        <w:t>nødvendig.</w:t>
      </w:r>
    </w:p>
    <w:p w14:paraId="6399C3B8" w14:textId="66D0D4FD" w:rsidR="00BB70D2" w:rsidRPr="009F5CF0" w:rsidRDefault="00BB70D2" w:rsidP="00F07E1B">
      <w:pPr>
        <w:pStyle w:val="Listeafsnit"/>
        <w:numPr>
          <w:ilvl w:val="0"/>
          <w:numId w:val="10"/>
        </w:numPr>
        <w:spacing w:before="0"/>
        <w:ind w:left="1276" w:hanging="425"/>
        <w:rPr>
          <w:sz w:val="24"/>
          <w:szCs w:val="24"/>
          <w:lang w:val="da-DK"/>
        </w:rPr>
      </w:pPr>
      <w:r w:rsidRPr="00F07E1B">
        <w:rPr>
          <w:spacing w:val="2"/>
          <w:position w:val="2"/>
          <w:sz w:val="24"/>
          <w:szCs w:val="24"/>
          <w:lang w:val="da-DK"/>
        </w:rPr>
        <w:t>CL</w:t>
      </w:r>
      <w:r w:rsidR="00F07E1B" w:rsidRPr="00F07E1B">
        <w:rPr>
          <w:position w:val="2"/>
          <w:sz w:val="24"/>
          <w:szCs w:val="24"/>
          <w:vertAlign w:val="subscript"/>
          <w:lang w:val="da-DK"/>
        </w:rPr>
        <w:t>CR</w:t>
      </w:r>
      <w:r w:rsidRPr="00F07E1B">
        <w:rPr>
          <w:spacing w:val="2"/>
          <w:sz w:val="24"/>
          <w:szCs w:val="24"/>
          <w:lang w:val="da-DK"/>
        </w:rPr>
        <w:t xml:space="preserve"> </w:t>
      </w:r>
      <w:r w:rsidRPr="00F07E1B">
        <w:rPr>
          <w:position w:val="2"/>
          <w:sz w:val="24"/>
          <w:szCs w:val="24"/>
          <w:lang w:val="da-DK"/>
        </w:rPr>
        <w:t>30-60 ml/min: Initialdosis på 200 mg (eller 5 mg/kg hos børn over 6 år) én gang dagligt eller</w:t>
      </w:r>
      <w:r w:rsidRPr="00F07E1B">
        <w:rPr>
          <w:sz w:val="24"/>
          <w:szCs w:val="24"/>
          <w:lang w:val="da-DK"/>
        </w:rPr>
        <w:t xml:space="preserve"> 400 mg (eller 10 mg/kg hos børn over 6 år) hver anden dag i to uger efterfulgt af en daglig dosis</w:t>
      </w:r>
      <w:r w:rsidRPr="00F07E1B">
        <w:rPr>
          <w:spacing w:val="3"/>
          <w:sz w:val="24"/>
          <w:szCs w:val="24"/>
          <w:lang w:val="da-DK"/>
        </w:rPr>
        <w:t xml:space="preserve"> </w:t>
      </w:r>
      <w:r w:rsidRPr="00F07E1B">
        <w:rPr>
          <w:sz w:val="24"/>
          <w:szCs w:val="24"/>
          <w:lang w:val="da-DK"/>
        </w:rPr>
        <w:t xml:space="preserve">på 400 mg (eller 10 mg/kg hos børn over 6 år). </w:t>
      </w:r>
      <w:r w:rsidRPr="009F5CF0">
        <w:rPr>
          <w:sz w:val="24"/>
          <w:szCs w:val="24"/>
          <w:lang w:val="da-DK"/>
        </w:rPr>
        <w:t>Denne dosis kan dog øges afhængigt af den enkelte patients respons.</w:t>
      </w:r>
    </w:p>
    <w:p w14:paraId="1CF643AF" w14:textId="3389F06F" w:rsidR="00BB70D2" w:rsidRPr="00951EF6" w:rsidRDefault="00BB70D2" w:rsidP="00F07E1B">
      <w:pPr>
        <w:pStyle w:val="Listeafsnit"/>
        <w:numPr>
          <w:ilvl w:val="0"/>
          <w:numId w:val="10"/>
        </w:numPr>
        <w:spacing w:before="0"/>
        <w:ind w:left="1276" w:hanging="425"/>
        <w:rPr>
          <w:sz w:val="24"/>
          <w:szCs w:val="24"/>
          <w:lang w:val="da-DK"/>
        </w:rPr>
      </w:pPr>
      <w:r w:rsidRPr="00951EF6">
        <w:rPr>
          <w:spacing w:val="2"/>
          <w:position w:val="2"/>
          <w:sz w:val="24"/>
          <w:szCs w:val="24"/>
          <w:lang w:val="da-DK"/>
        </w:rPr>
        <w:t>CL</w:t>
      </w:r>
      <w:r w:rsidR="007E46B9" w:rsidRPr="007E46B9">
        <w:rPr>
          <w:position w:val="2"/>
          <w:sz w:val="24"/>
          <w:szCs w:val="24"/>
          <w:vertAlign w:val="subscript"/>
          <w:lang w:val="da-DK"/>
        </w:rPr>
        <w:t>CR</w:t>
      </w:r>
      <w:r w:rsidRPr="00951EF6">
        <w:rPr>
          <w:spacing w:val="2"/>
          <w:sz w:val="24"/>
          <w:szCs w:val="24"/>
          <w:lang w:val="da-DK"/>
        </w:rPr>
        <w:t xml:space="preserve"> </w:t>
      </w:r>
      <w:r w:rsidRPr="00951EF6">
        <w:rPr>
          <w:position w:val="2"/>
          <w:sz w:val="24"/>
          <w:szCs w:val="24"/>
          <w:lang w:val="da-DK"/>
        </w:rPr>
        <w:t xml:space="preserve">&lt;30 ml/min: Brug af </w:t>
      </w:r>
      <w:proofErr w:type="spellStart"/>
      <w:r w:rsidR="00951EF6" w:rsidRPr="00951EF6">
        <w:rPr>
          <w:position w:val="2"/>
          <w:sz w:val="24"/>
          <w:szCs w:val="24"/>
          <w:lang w:val="da-DK"/>
        </w:rPr>
        <w:t>Arupsan</w:t>
      </w:r>
      <w:proofErr w:type="spellEnd"/>
      <w:r w:rsidRPr="00951EF6">
        <w:rPr>
          <w:position w:val="2"/>
          <w:sz w:val="24"/>
          <w:szCs w:val="24"/>
          <w:lang w:val="da-DK"/>
        </w:rPr>
        <w:t xml:space="preserve"> til patienter med alvorligt nedsat nyrefunktion frarådes pga.</w:t>
      </w:r>
      <w:r w:rsidRPr="00951EF6">
        <w:rPr>
          <w:sz w:val="24"/>
          <w:szCs w:val="24"/>
          <w:lang w:val="da-DK"/>
        </w:rPr>
        <w:t xml:space="preserve"> utilstrækkelig</w:t>
      </w:r>
      <w:r w:rsidRPr="00951EF6">
        <w:rPr>
          <w:spacing w:val="-3"/>
          <w:sz w:val="24"/>
          <w:szCs w:val="24"/>
          <w:lang w:val="da-DK"/>
        </w:rPr>
        <w:t xml:space="preserve"> </w:t>
      </w:r>
      <w:r w:rsidRPr="00951EF6">
        <w:rPr>
          <w:sz w:val="24"/>
          <w:szCs w:val="24"/>
          <w:lang w:val="da-DK"/>
        </w:rPr>
        <w:t>dokumentation.</w:t>
      </w:r>
    </w:p>
    <w:p w14:paraId="2E8F623F" w14:textId="77777777" w:rsidR="00BB70D2" w:rsidRPr="00951EF6" w:rsidRDefault="00BB70D2" w:rsidP="00F07E1B">
      <w:pPr>
        <w:ind w:left="851"/>
        <w:rPr>
          <w:sz w:val="24"/>
          <w:szCs w:val="24"/>
        </w:rPr>
      </w:pPr>
    </w:p>
    <w:p w14:paraId="4DB8E447" w14:textId="77777777" w:rsidR="00BB70D2" w:rsidRPr="00951EF6" w:rsidRDefault="00BB70D2" w:rsidP="00F516CE">
      <w:pPr>
        <w:ind w:left="851"/>
        <w:rPr>
          <w:i/>
          <w:sz w:val="24"/>
          <w:szCs w:val="24"/>
        </w:rPr>
      </w:pPr>
      <w:r w:rsidRPr="00951EF6">
        <w:rPr>
          <w:i/>
          <w:sz w:val="24"/>
          <w:szCs w:val="24"/>
        </w:rPr>
        <w:t>Nedsat leverfunktion</w:t>
      </w:r>
    </w:p>
    <w:p w14:paraId="491A4605" w14:textId="77777777" w:rsidR="00BB70D2" w:rsidRPr="00951EF6" w:rsidRDefault="00BB70D2" w:rsidP="00F516CE">
      <w:pPr>
        <w:ind w:left="851"/>
        <w:rPr>
          <w:sz w:val="24"/>
          <w:szCs w:val="24"/>
        </w:rPr>
      </w:pPr>
      <w:r w:rsidRPr="00951EF6">
        <w:rPr>
          <w:sz w:val="24"/>
          <w:szCs w:val="24"/>
        </w:rPr>
        <w:t xml:space="preserve">Dosisjustering er ikke nødvendig hos patienter med let til moderat nedsat leverfunktion. </w:t>
      </w: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 (se pkt. 4.4 og 5.2), og brug af lægemidlet til denne patientpopulation frarådes.</w:t>
      </w:r>
    </w:p>
    <w:p w14:paraId="0FFCF992" w14:textId="77777777" w:rsidR="00BB70D2" w:rsidRPr="00951EF6" w:rsidRDefault="00BB70D2" w:rsidP="00F516CE">
      <w:pPr>
        <w:ind w:left="851"/>
        <w:rPr>
          <w:sz w:val="24"/>
          <w:szCs w:val="24"/>
        </w:rPr>
      </w:pPr>
    </w:p>
    <w:p w14:paraId="76FF2203" w14:textId="77777777" w:rsidR="00BB70D2" w:rsidRPr="00951EF6" w:rsidRDefault="00BB70D2" w:rsidP="00F516CE">
      <w:pPr>
        <w:ind w:left="851"/>
        <w:rPr>
          <w:i/>
          <w:sz w:val="24"/>
          <w:szCs w:val="24"/>
        </w:rPr>
      </w:pPr>
      <w:r w:rsidRPr="00951EF6">
        <w:rPr>
          <w:i/>
          <w:sz w:val="24"/>
          <w:szCs w:val="24"/>
        </w:rPr>
        <w:t>Pædiatrisk population</w:t>
      </w:r>
    </w:p>
    <w:p w14:paraId="34C8D456" w14:textId="77777777" w:rsidR="00BB70D2" w:rsidRPr="00951EF6" w:rsidRDefault="00BB70D2" w:rsidP="00F516CE">
      <w:pPr>
        <w:ind w:left="851"/>
        <w:rPr>
          <w:i/>
          <w:sz w:val="24"/>
          <w:szCs w:val="24"/>
        </w:rPr>
      </w:pPr>
      <w:r w:rsidRPr="00951EF6">
        <w:rPr>
          <w:i/>
          <w:sz w:val="24"/>
          <w:szCs w:val="24"/>
        </w:rPr>
        <w:t>Børn over 6 år</w:t>
      </w:r>
    </w:p>
    <w:p w14:paraId="26E0DD5B" w14:textId="29F67BF3" w:rsidR="00BB70D2" w:rsidRPr="00951EF6" w:rsidRDefault="00BB70D2" w:rsidP="00F516CE">
      <w:pPr>
        <w:ind w:left="851"/>
        <w:rPr>
          <w:sz w:val="24"/>
          <w:szCs w:val="24"/>
        </w:rPr>
      </w:pPr>
      <w:r w:rsidRPr="00951EF6">
        <w:rPr>
          <w:sz w:val="24"/>
          <w:szCs w:val="24"/>
        </w:rPr>
        <w:t>Den anbefalede initialdosis er 10 mg/kg/dag én gang dagligt. Dosis bør øges med stigninger hver eller</w:t>
      </w:r>
      <w:r w:rsidR="00377307">
        <w:rPr>
          <w:sz w:val="24"/>
          <w:szCs w:val="24"/>
        </w:rPr>
        <w:t xml:space="preserve"> </w:t>
      </w:r>
      <w:r w:rsidRPr="00951EF6">
        <w:rPr>
          <w:sz w:val="24"/>
          <w:szCs w:val="24"/>
        </w:rPr>
        <w:t>hver anden uge på 10 mg/kg/dag op til 30 mg/kg/dag baseret på individuel respons. Den maksimale dosis er 1.200 mg én gang dagligt (se pkt. 5.1).</w:t>
      </w:r>
    </w:p>
    <w:p w14:paraId="1B98B305" w14:textId="77777777" w:rsidR="00BB70D2" w:rsidRPr="00951EF6" w:rsidRDefault="00BB70D2" w:rsidP="00F516CE">
      <w:pPr>
        <w:ind w:left="851"/>
        <w:rPr>
          <w:sz w:val="24"/>
          <w:szCs w:val="24"/>
        </w:rPr>
      </w:pPr>
    </w:p>
    <w:p w14:paraId="4C187AD1" w14:textId="77777777" w:rsidR="00BB70D2" w:rsidRPr="00951EF6" w:rsidRDefault="00BB70D2" w:rsidP="00F516CE">
      <w:pPr>
        <w:ind w:left="851"/>
        <w:rPr>
          <w:i/>
          <w:sz w:val="24"/>
          <w:szCs w:val="24"/>
        </w:rPr>
      </w:pPr>
      <w:r w:rsidRPr="00951EF6">
        <w:rPr>
          <w:i/>
          <w:sz w:val="24"/>
          <w:szCs w:val="24"/>
        </w:rPr>
        <w:t>Børn med en kropsvægt på ≥ 60 kg</w:t>
      </w:r>
    </w:p>
    <w:p w14:paraId="622C8003" w14:textId="77777777" w:rsidR="00BB70D2" w:rsidRPr="00951EF6" w:rsidRDefault="00BB70D2" w:rsidP="00F516CE">
      <w:pPr>
        <w:ind w:left="851"/>
        <w:rPr>
          <w:sz w:val="24"/>
          <w:szCs w:val="24"/>
        </w:rPr>
      </w:pPr>
      <w:r w:rsidRPr="00951EF6">
        <w:rPr>
          <w:sz w:val="24"/>
          <w:szCs w:val="24"/>
        </w:rPr>
        <w:t>Børn med en kropsvægt på 60 kg eller mere skal have samme dosis som til voksne.</w:t>
      </w:r>
    </w:p>
    <w:p w14:paraId="6037D5FE" w14:textId="77777777" w:rsidR="00BB70D2" w:rsidRPr="00951EF6" w:rsidRDefault="00BB70D2" w:rsidP="00F516CE">
      <w:pPr>
        <w:ind w:left="851"/>
        <w:rPr>
          <w:sz w:val="24"/>
          <w:szCs w:val="24"/>
        </w:rPr>
      </w:pPr>
    </w:p>
    <w:p w14:paraId="5919687C" w14:textId="7828E853" w:rsidR="00BB70D2" w:rsidRPr="00951EF6" w:rsidRDefault="00BB70D2" w:rsidP="00F516CE">
      <w:pPr>
        <w:ind w:left="851"/>
        <w:rPr>
          <w:sz w:val="24"/>
          <w:szCs w:val="24"/>
        </w:rPr>
      </w:pPr>
      <w:proofErr w:type="spellStart"/>
      <w:r w:rsidRPr="00951EF6">
        <w:rPr>
          <w:sz w:val="24"/>
          <w:szCs w:val="24"/>
        </w:rPr>
        <w:lastRenderedPageBreak/>
        <w:t>Eslicarbazepinacetats</w:t>
      </w:r>
      <w:proofErr w:type="spellEnd"/>
      <w:r w:rsidRPr="00951EF6">
        <w:rPr>
          <w:sz w:val="24"/>
          <w:szCs w:val="24"/>
        </w:rPr>
        <w:t xml:space="preserve"> sikkerhed og virkning hos børn i alderen 6 år og derunder er endnu ikke klarlagt. Aktuelt tilgængelige data er beskrevet i pkt. 4.8, 5.1 og 5.2, men der kan ikke gives n</w:t>
      </w:r>
      <w:r w:rsidR="00377307">
        <w:rPr>
          <w:sz w:val="24"/>
          <w:szCs w:val="24"/>
        </w:rPr>
        <w:t>o</w:t>
      </w:r>
      <w:r w:rsidRPr="00951EF6">
        <w:rPr>
          <w:sz w:val="24"/>
          <w:szCs w:val="24"/>
        </w:rPr>
        <w:t>gen anbefaling med hensyn til en dosering.</w:t>
      </w:r>
    </w:p>
    <w:p w14:paraId="3ECA3683" w14:textId="09DC2534" w:rsidR="009B229A" w:rsidRDefault="009B229A">
      <w:pPr>
        <w:rPr>
          <w:sz w:val="24"/>
          <w:szCs w:val="24"/>
        </w:rPr>
      </w:pPr>
      <w:r>
        <w:rPr>
          <w:sz w:val="24"/>
          <w:szCs w:val="24"/>
        </w:rPr>
        <w:br w:type="page"/>
      </w:r>
    </w:p>
    <w:p w14:paraId="5D8BE5ED" w14:textId="77777777" w:rsidR="00BB70D2" w:rsidRPr="00951EF6" w:rsidRDefault="00BB70D2" w:rsidP="00F516CE">
      <w:pPr>
        <w:ind w:left="851"/>
        <w:rPr>
          <w:sz w:val="24"/>
          <w:szCs w:val="24"/>
        </w:rPr>
      </w:pPr>
    </w:p>
    <w:p w14:paraId="6E9A14C8" w14:textId="77777777" w:rsidR="00BB70D2" w:rsidRPr="00951EF6" w:rsidRDefault="00BB70D2" w:rsidP="00F516CE">
      <w:pPr>
        <w:ind w:left="851"/>
        <w:rPr>
          <w:sz w:val="24"/>
          <w:szCs w:val="24"/>
          <w:u w:val="single"/>
        </w:rPr>
      </w:pPr>
      <w:r w:rsidRPr="00951EF6">
        <w:rPr>
          <w:sz w:val="24"/>
          <w:szCs w:val="24"/>
          <w:u w:val="single"/>
        </w:rPr>
        <w:t>Administration</w:t>
      </w:r>
    </w:p>
    <w:p w14:paraId="281C2AA7" w14:textId="77777777" w:rsidR="00BB70D2" w:rsidRPr="00951EF6" w:rsidRDefault="00BB70D2" w:rsidP="00F516CE">
      <w:pPr>
        <w:ind w:left="851"/>
        <w:rPr>
          <w:sz w:val="24"/>
          <w:szCs w:val="24"/>
        </w:rPr>
      </w:pPr>
    </w:p>
    <w:p w14:paraId="5B9D1505" w14:textId="77777777" w:rsidR="00BB70D2" w:rsidRPr="00951EF6" w:rsidRDefault="00BB70D2" w:rsidP="00F516CE">
      <w:pPr>
        <w:ind w:left="851"/>
        <w:rPr>
          <w:sz w:val="24"/>
          <w:szCs w:val="24"/>
        </w:rPr>
      </w:pPr>
      <w:r w:rsidRPr="00951EF6">
        <w:rPr>
          <w:sz w:val="24"/>
          <w:szCs w:val="24"/>
        </w:rPr>
        <w:t>Til indtagelse gennem munden.</w:t>
      </w:r>
    </w:p>
    <w:p w14:paraId="343C3E2E" w14:textId="5644EA3A" w:rsidR="00BB70D2" w:rsidRPr="00951EF6" w:rsidRDefault="00951EF6" w:rsidP="00F516CE">
      <w:pPr>
        <w:ind w:left="851"/>
        <w:rPr>
          <w:sz w:val="24"/>
          <w:szCs w:val="24"/>
        </w:rPr>
      </w:pPr>
      <w:proofErr w:type="spellStart"/>
      <w:r w:rsidRPr="00951EF6">
        <w:rPr>
          <w:sz w:val="24"/>
          <w:szCs w:val="24"/>
        </w:rPr>
        <w:t>Arupsan</w:t>
      </w:r>
      <w:proofErr w:type="spellEnd"/>
      <w:r w:rsidR="00BB70D2" w:rsidRPr="00951EF6">
        <w:rPr>
          <w:sz w:val="24"/>
          <w:szCs w:val="24"/>
        </w:rPr>
        <w:t xml:space="preserve"> kan tages alene eller i forbindelse med et måltid.</w:t>
      </w:r>
    </w:p>
    <w:p w14:paraId="062A2AA1" w14:textId="77777777" w:rsidR="00BB70D2" w:rsidRPr="00951EF6" w:rsidRDefault="00BB70D2" w:rsidP="00F516CE">
      <w:pPr>
        <w:ind w:left="851"/>
        <w:rPr>
          <w:sz w:val="24"/>
          <w:szCs w:val="24"/>
        </w:rPr>
      </w:pPr>
    </w:p>
    <w:p w14:paraId="1AB213A5" w14:textId="77777777" w:rsidR="00BB70D2" w:rsidRPr="00951EF6" w:rsidRDefault="00BB70D2" w:rsidP="00F516CE">
      <w:pPr>
        <w:ind w:left="851"/>
        <w:rPr>
          <w:i/>
          <w:sz w:val="24"/>
          <w:szCs w:val="24"/>
        </w:rPr>
      </w:pPr>
      <w:r w:rsidRPr="00951EF6">
        <w:rPr>
          <w:i/>
          <w:sz w:val="24"/>
          <w:szCs w:val="24"/>
        </w:rPr>
        <w:t>Skift mellem præparater</w:t>
      </w:r>
    </w:p>
    <w:p w14:paraId="3CA85A69" w14:textId="5B008B1D" w:rsidR="00BB70D2" w:rsidRPr="00951EF6" w:rsidRDefault="00BB70D2" w:rsidP="00F516CE">
      <w:pPr>
        <w:ind w:left="851"/>
        <w:rPr>
          <w:sz w:val="24"/>
          <w:szCs w:val="24"/>
        </w:rPr>
      </w:pPr>
      <w:r w:rsidRPr="00951EF6">
        <w:rPr>
          <w:sz w:val="24"/>
          <w:szCs w:val="24"/>
        </w:rPr>
        <w:t>På baggrund af komparative biotilgængelighedsdata for tabletten og suspensions</w:t>
      </w:r>
      <w:r w:rsidR="009B229A">
        <w:rPr>
          <w:sz w:val="24"/>
          <w:szCs w:val="24"/>
        </w:rPr>
        <w:softHyphen/>
      </w:r>
      <w:r w:rsidRPr="00951EF6">
        <w:rPr>
          <w:sz w:val="24"/>
          <w:szCs w:val="24"/>
        </w:rPr>
        <w:t>formuleringen kan der foretages skift af patienter fra den ene formulering til den anden.</w:t>
      </w:r>
    </w:p>
    <w:p w14:paraId="6D2E9821" w14:textId="77777777" w:rsidR="009260DE" w:rsidRPr="00951EF6" w:rsidRDefault="009260DE" w:rsidP="009260DE">
      <w:pPr>
        <w:tabs>
          <w:tab w:val="left" w:pos="851"/>
        </w:tabs>
        <w:ind w:left="851"/>
        <w:rPr>
          <w:sz w:val="24"/>
          <w:szCs w:val="24"/>
        </w:rPr>
      </w:pPr>
    </w:p>
    <w:p w14:paraId="2F8F0913" w14:textId="77777777" w:rsidR="009260DE" w:rsidRPr="00951EF6" w:rsidRDefault="009260DE" w:rsidP="009260DE">
      <w:pPr>
        <w:tabs>
          <w:tab w:val="left" w:pos="851"/>
        </w:tabs>
        <w:ind w:left="851" w:hanging="851"/>
        <w:rPr>
          <w:b/>
          <w:sz w:val="24"/>
          <w:szCs w:val="24"/>
        </w:rPr>
      </w:pPr>
      <w:r w:rsidRPr="00951EF6">
        <w:rPr>
          <w:b/>
          <w:sz w:val="24"/>
          <w:szCs w:val="24"/>
        </w:rPr>
        <w:t>4.3</w:t>
      </w:r>
      <w:r w:rsidRPr="00951EF6">
        <w:rPr>
          <w:b/>
          <w:sz w:val="24"/>
          <w:szCs w:val="24"/>
        </w:rPr>
        <w:tab/>
        <w:t>Kontraindikationer</w:t>
      </w:r>
    </w:p>
    <w:p w14:paraId="62634C36" w14:textId="02CE88F5" w:rsidR="00BB70D2" w:rsidRPr="00951EF6" w:rsidRDefault="00BB70D2" w:rsidP="00FE41F1">
      <w:pPr>
        <w:ind w:left="851"/>
        <w:rPr>
          <w:sz w:val="24"/>
          <w:szCs w:val="24"/>
        </w:rPr>
      </w:pPr>
      <w:r w:rsidRPr="00951EF6">
        <w:rPr>
          <w:sz w:val="24"/>
          <w:szCs w:val="24"/>
        </w:rPr>
        <w:t xml:space="preserve">Overfølsomhed over for </w:t>
      </w:r>
      <w:proofErr w:type="spellStart"/>
      <w:r w:rsidRPr="00951EF6">
        <w:rPr>
          <w:sz w:val="24"/>
          <w:szCs w:val="24"/>
        </w:rPr>
        <w:t>eslicarbazepinacetat</w:t>
      </w:r>
      <w:proofErr w:type="spellEnd"/>
      <w:r w:rsidRPr="00951EF6">
        <w:rPr>
          <w:sz w:val="24"/>
          <w:szCs w:val="24"/>
        </w:rPr>
        <w:t xml:space="preserve">, andre </w:t>
      </w:r>
      <w:proofErr w:type="spellStart"/>
      <w:r w:rsidRPr="00951EF6">
        <w:rPr>
          <w:sz w:val="24"/>
          <w:szCs w:val="24"/>
        </w:rPr>
        <w:t>carboxamidderivater</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carbamazepin</w:t>
      </w:r>
      <w:proofErr w:type="spellEnd"/>
      <w:r w:rsidRPr="00951EF6">
        <w:rPr>
          <w:sz w:val="24"/>
          <w:szCs w:val="24"/>
        </w:rPr>
        <w:t xml:space="preserve">, </w:t>
      </w:r>
      <w:proofErr w:type="spellStart"/>
      <w:r w:rsidRPr="00951EF6">
        <w:rPr>
          <w:sz w:val="24"/>
          <w:szCs w:val="24"/>
        </w:rPr>
        <w:t>oxcarbazepin</w:t>
      </w:r>
      <w:proofErr w:type="spellEnd"/>
      <w:r w:rsidRPr="00951EF6">
        <w:rPr>
          <w:sz w:val="24"/>
          <w:szCs w:val="24"/>
        </w:rPr>
        <w:t>) eller over for et eller flere af hjælpestofferne anført i pkt. 6.1.</w:t>
      </w:r>
    </w:p>
    <w:p w14:paraId="166FB133" w14:textId="77777777" w:rsidR="00BB70D2" w:rsidRPr="00951EF6" w:rsidRDefault="00BB70D2" w:rsidP="00FE41F1">
      <w:pPr>
        <w:ind w:left="851"/>
        <w:rPr>
          <w:sz w:val="24"/>
          <w:szCs w:val="24"/>
        </w:rPr>
      </w:pPr>
    </w:p>
    <w:p w14:paraId="55EDB57C" w14:textId="77777777" w:rsidR="00BB70D2" w:rsidRPr="00951EF6" w:rsidRDefault="00BB70D2" w:rsidP="00FE41F1">
      <w:pPr>
        <w:ind w:left="851"/>
        <w:rPr>
          <w:sz w:val="24"/>
          <w:szCs w:val="24"/>
        </w:rPr>
      </w:pPr>
      <w:r w:rsidRPr="00951EF6">
        <w:rPr>
          <w:sz w:val="24"/>
          <w:szCs w:val="24"/>
        </w:rPr>
        <w:t xml:space="preserve">Anden eller 3. grads </w:t>
      </w:r>
      <w:proofErr w:type="spellStart"/>
      <w:r w:rsidRPr="00951EF6">
        <w:rPr>
          <w:sz w:val="24"/>
          <w:szCs w:val="24"/>
        </w:rPr>
        <w:t>atrioventrikulært</w:t>
      </w:r>
      <w:proofErr w:type="spellEnd"/>
      <w:r w:rsidRPr="00951EF6">
        <w:rPr>
          <w:sz w:val="24"/>
          <w:szCs w:val="24"/>
        </w:rPr>
        <w:t xml:space="preserve"> blok (AV-blok).</w:t>
      </w:r>
    </w:p>
    <w:p w14:paraId="6961E68B" w14:textId="77777777" w:rsidR="009260DE" w:rsidRPr="00951EF6" w:rsidRDefault="009260DE" w:rsidP="009260DE">
      <w:pPr>
        <w:tabs>
          <w:tab w:val="left" w:pos="851"/>
        </w:tabs>
        <w:ind w:left="851"/>
        <w:rPr>
          <w:sz w:val="24"/>
          <w:szCs w:val="24"/>
        </w:rPr>
      </w:pPr>
    </w:p>
    <w:p w14:paraId="6BD646D3" w14:textId="77777777" w:rsidR="009260DE" w:rsidRPr="00951EF6" w:rsidRDefault="009260DE" w:rsidP="009260DE">
      <w:pPr>
        <w:tabs>
          <w:tab w:val="left" w:pos="851"/>
        </w:tabs>
        <w:ind w:left="851" w:hanging="851"/>
        <w:rPr>
          <w:b/>
          <w:sz w:val="24"/>
          <w:szCs w:val="24"/>
        </w:rPr>
      </w:pPr>
      <w:r w:rsidRPr="00951EF6">
        <w:rPr>
          <w:b/>
          <w:sz w:val="24"/>
          <w:szCs w:val="24"/>
        </w:rPr>
        <w:t>4.4</w:t>
      </w:r>
      <w:r w:rsidRPr="00951EF6">
        <w:rPr>
          <w:b/>
          <w:sz w:val="24"/>
          <w:szCs w:val="24"/>
        </w:rPr>
        <w:tab/>
        <w:t>Særlige advarsler og forsigtighedsregler vedrørende brugen</w:t>
      </w:r>
    </w:p>
    <w:p w14:paraId="7B521879" w14:textId="77777777" w:rsidR="0097582C" w:rsidRPr="00951EF6" w:rsidRDefault="0097582C" w:rsidP="006E3F63">
      <w:pPr>
        <w:ind w:left="851"/>
        <w:rPr>
          <w:sz w:val="24"/>
          <w:szCs w:val="24"/>
        </w:rPr>
      </w:pPr>
    </w:p>
    <w:p w14:paraId="023BE9A8" w14:textId="56BF133E" w:rsidR="00BB70D2" w:rsidRPr="00951EF6" w:rsidRDefault="00BB70D2" w:rsidP="006E3F63">
      <w:pPr>
        <w:ind w:left="851"/>
        <w:rPr>
          <w:sz w:val="24"/>
          <w:szCs w:val="24"/>
          <w:u w:val="single"/>
        </w:rPr>
      </w:pPr>
      <w:r w:rsidRPr="00951EF6">
        <w:rPr>
          <w:sz w:val="24"/>
          <w:szCs w:val="24"/>
          <w:u w:val="single"/>
        </w:rPr>
        <w:t>Selvmordstanker</w:t>
      </w:r>
    </w:p>
    <w:p w14:paraId="4F7F7120" w14:textId="77777777" w:rsidR="00BB70D2" w:rsidRPr="00951EF6" w:rsidRDefault="00BB70D2" w:rsidP="006E3F63">
      <w:pPr>
        <w:ind w:left="851"/>
        <w:rPr>
          <w:sz w:val="24"/>
          <w:szCs w:val="24"/>
        </w:rPr>
      </w:pPr>
    </w:p>
    <w:p w14:paraId="6723C113" w14:textId="77777777" w:rsidR="00BB70D2" w:rsidRPr="00951EF6" w:rsidRDefault="00BB70D2" w:rsidP="006E3F63">
      <w:pPr>
        <w:ind w:left="851"/>
        <w:rPr>
          <w:sz w:val="24"/>
          <w:szCs w:val="24"/>
        </w:rPr>
      </w:pPr>
      <w:r w:rsidRPr="00951EF6">
        <w:rPr>
          <w:sz w:val="24"/>
          <w:szCs w:val="24"/>
        </w:rPr>
        <w:t xml:space="preserve">Der er indberettet selvmordstanker og -adfærd hos patienter i behandling med </w:t>
      </w:r>
      <w:proofErr w:type="spellStart"/>
      <w:r w:rsidRPr="00951EF6">
        <w:rPr>
          <w:sz w:val="24"/>
          <w:szCs w:val="24"/>
        </w:rPr>
        <w:t>antiepileptika</w:t>
      </w:r>
      <w:proofErr w:type="spellEnd"/>
      <w:r w:rsidRPr="00951EF6">
        <w:rPr>
          <w:sz w:val="24"/>
          <w:szCs w:val="24"/>
        </w:rPr>
        <w:t xml:space="preserve"> på en række forskellige indikationer. En metaanalyse af randomiserede placebokontrollerede studier med </w:t>
      </w:r>
      <w:proofErr w:type="spellStart"/>
      <w:r w:rsidRPr="00951EF6">
        <w:rPr>
          <w:sz w:val="24"/>
          <w:szCs w:val="24"/>
        </w:rPr>
        <w:t>antiepileptika</w:t>
      </w:r>
      <w:proofErr w:type="spellEnd"/>
      <w:r w:rsidRPr="00951EF6">
        <w:rPr>
          <w:sz w:val="24"/>
          <w:szCs w:val="24"/>
        </w:rPr>
        <w:t xml:space="preserve"> har også vist en svagt øget risiko for selvmordstanker og -adfærd. Mekanismen bag denne risiko kendes ikke, og de forhåndenværende data udelukker ikke en mulig øget risiko i forbindelse med </w:t>
      </w:r>
      <w:proofErr w:type="spellStart"/>
      <w:r w:rsidRPr="00951EF6">
        <w:rPr>
          <w:sz w:val="24"/>
          <w:szCs w:val="24"/>
        </w:rPr>
        <w:t>eslicarbazepinacetat</w:t>
      </w:r>
      <w:proofErr w:type="spellEnd"/>
      <w:r w:rsidRPr="00951EF6">
        <w:rPr>
          <w:sz w:val="24"/>
          <w:szCs w:val="24"/>
        </w:rPr>
        <w:t>. Patienten skal derfor monitoreres for tegn på selvmordstanker og -adfærd, og passende behandling bør overvejes. Patienten (og patientens omsorgspersoner) bør rådgives om at søge lægehjælp, hvis der opstår tegn på selvmordstanker og -adfærd.</w:t>
      </w:r>
    </w:p>
    <w:p w14:paraId="61B2EEAF" w14:textId="77777777" w:rsidR="00BB70D2" w:rsidRPr="00951EF6" w:rsidRDefault="00BB70D2" w:rsidP="006E3F63">
      <w:pPr>
        <w:ind w:left="851"/>
        <w:rPr>
          <w:sz w:val="24"/>
          <w:szCs w:val="24"/>
        </w:rPr>
      </w:pPr>
    </w:p>
    <w:p w14:paraId="287BA849" w14:textId="77777777" w:rsidR="00BB70D2" w:rsidRPr="00951EF6" w:rsidRDefault="00BB70D2" w:rsidP="006E3F63">
      <w:pPr>
        <w:ind w:left="851"/>
        <w:rPr>
          <w:sz w:val="24"/>
          <w:szCs w:val="24"/>
          <w:u w:val="single"/>
        </w:rPr>
      </w:pPr>
      <w:r w:rsidRPr="00951EF6">
        <w:rPr>
          <w:sz w:val="24"/>
          <w:szCs w:val="24"/>
          <w:u w:val="single"/>
        </w:rPr>
        <w:t>Nervesystemet</w:t>
      </w:r>
    </w:p>
    <w:p w14:paraId="2AF3C3E6" w14:textId="77777777" w:rsidR="00BB70D2" w:rsidRPr="00951EF6" w:rsidRDefault="00BB70D2" w:rsidP="006E3F63">
      <w:pPr>
        <w:ind w:left="851"/>
        <w:rPr>
          <w:sz w:val="24"/>
          <w:szCs w:val="24"/>
        </w:rPr>
      </w:pPr>
    </w:p>
    <w:p w14:paraId="64AF1E0D" w14:textId="5A6D2EB0" w:rsidR="00BB70D2" w:rsidRPr="00951EF6" w:rsidRDefault="00BB70D2" w:rsidP="006E3F63">
      <w:pPr>
        <w:ind w:left="851"/>
        <w:rPr>
          <w:sz w:val="24"/>
          <w:szCs w:val="24"/>
        </w:rPr>
      </w:pPr>
      <w:proofErr w:type="spellStart"/>
      <w:r w:rsidRPr="00951EF6">
        <w:rPr>
          <w:sz w:val="24"/>
          <w:szCs w:val="24"/>
        </w:rPr>
        <w:t>Eslicarbazepinacetat</w:t>
      </w:r>
      <w:proofErr w:type="spellEnd"/>
      <w:r w:rsidRPr="00951EF6">
        <w:rPr>
          <w:sz w:val="24"/>
          <w:szCs w:val="24"/>
        </w:rPr>
        <w:t xml:space="preserve"> er sat i forbindelse med visse bivirkninger i centralnervesystemet, </w:t>
      </w:r>
      <w:r w:rsidR="00377307">
        <w:rPr>
          <w:sz w:val="24"/>
          <w:szCs w:val="24"/>
        </w:rPr>
        <w:t>f.eks.</w:t>
      </w:r>
      <w:r w:rsidRPr="00951EF6">
        <w:rPr>
          <w:sz w:val="24"/>
          <w:szCs w:val="24"/>
        </w:rPr>
        <w:t xml:space="preserve"> svimmelhed og døsighed, som kan øge forekomsten af tilskadekomst.</w:t>
      </w:r>
    </w:p>
    <w:p w14:paraId="2D20CE36" w14:textId="77777777" w:rsidR="00BB70D2" w:rsidRPr="00951EF6" w:rsidRDefault="00BB70D2" w:rsidP="006E3F63">
      <w:pPr>
        <w:ind w:left="851"/>
        <w:rPr>
          <w:sz w:val="24"/>
          <w:szCs w:val="24"/>
        </w:rPr>
      </w:pPr>
    </w:p>
    <w:p w14:paraId="5E93C043" w14:textId="77777777" w:rsidR="00BB70D2" w:rsidRPr="00951EF6" w:rsidRDefault="00BB70D2" w:rsidP="006E3F63">
      <w:pPr>
        <w:ind w:left="851"/>
        <w:rPr>
          <w:sz w:val="24"/>
          <w:szCs w:val="24"/>
          <w:u w:val="single"/>
        </w:rPr>
      </w:pPr>
      <w:r w:rsidRPr="00951EF6">
        <w:rPr>
          <w:sz w:val="24"/>
          <w:szCs w:val="24"/>
          <w:u w:val="single"/>
        </w:rPr>
        <w:t>Andre advarsler og forsigtighedsregler</w:t>
      </w:r>
    </w:p>
    <w:p w14:paraId="6543B197" w14:textId="77777777" w:rsidR="00BB70D2" w:rsidRPr="00951EF6" w:rsidRDefault="00BB70D2" w:rsidP="006E3F63">
      <w:pPr>
        <w:ind w:left="851"/>
        <w:rPr>
          <w:sz w:val="24"/>
          <w:szCs w:val="24"/>
        </w:rPr>
      </w:pPr>
    </w:p>
    <w:p w14:paraId="7100D33B" w14:textId="5AFD0E8B" w:rsidR="00BB70D2" w:rsidRPr="00951EF6" w:rsidRDefault="00BB70D2" w:rsidP="006E3F63">
      <w:pPr>
        <w:ind w:left="851"/>
        <w:rPr>
          <w:sz w:val="24"/>
          <w:szCs w:val="24"/>
        </w:rPr>
      </w:pPr>
      <w:r w:rsidRPr="00951EF6">
        <w:rPr>
          <w:sz w:val="24"/>
          <w:szCs w:val="24"/>
        </w:rPr>
        <w:t xml:space="preserve">Hvis </w:t>
      </w:r>
      <w:proofErr w:type="spellStart"/>
      <w:r w:rsidR="00951EF6" w:rsidRPr="00951EF6">
        <w:rPr>
          <w:sz w:val="24"/>
          <w:szCs w:val="24"/>
        </w:rPr>
        <w:t>Arupsan</w:t>
      </w:r>
      <w:proofErr w:type="spellEnd"/>
      <w:r w:rsidRPr="00951EF6">
        <w:rPr>
          <w:sz w:val="24"/>
          <w:szCs w:val="24"/>
        </w:rPr>
        <w:t xml:space="preserve"> skal seponeres, anbefales det at gøre det gradvist for at mindske risikoen for øget </w:t>
      </w:r>
      <w:proofErr w:type="spellStart"/>
      <w:r w:rsidRPr="00951EF6">
        <w:rPr>
          <w:sz w:val="24"/>
          <w:szCs w:val="24"/>
        </w:rPr>
        <w:t>anfaldshyppighed</w:t>
      </w:r>
      <w:proofErr w:type="spellEnd"/>
      <w:r w:rsidRPr="00951EF6">
        <w:rPr>
          <w:sz w:val="24"/>
          <w:szCs w:val="24"/>
        </w:rPr>
        <w:t>.</w:t>
      </w:r>
    </w:p>
    <w:p w14:paraId="47B4756B" w14:textId="77777777" w:rsidR="00BB70D2" w:rsidRPr="00951EF6" w:rsidRDefault="00BB70D2" w:rsidP="006E3F63">
      <w:pPr>
        <w:ind w:left="851"/>
        <w:rPr>
          <w:sz w:val="24"/>
          <w:szCs w:val="24"/>
        </w:rPr>
      </w:pPr>
    </w:p>
    <w:p w14:paraId="710974CB" w14:textId="77777777" w:rsidR="00BB70D2" w:rsidRPr="00951EF6" w:rsidRDefault="00BB70D2" w:rsidP="006E3F63">
      <w:pPr>
        <w:ind w:left="851"/>
        <w:rPr>
          <w:sz w:val="24"/>
          <w:szCs w:val="24"/>
          <w:u w:val="single"/>
        </w:rPr>
      </w:pPr>
      <w:r w:rsidRPr="00951EF6">
        <w:rPr>
          <w:sz w:val="24"/>
          <w:szCs w:val="24"/>
          <w:u w:val="single"/>
        </w:rPr>
        <w:t>Hudreaktioner</w:t>
      </w:r>
    </w:p>
    <w:p w14:paraId="12D2714E" w14:textId="77777777" w:rsidR="00BB70D2" w:rsidRPr="00951EF6" w:rsidRDefault="00BB70D2" w:rsidP="006E3F63">
      <w:pPr>
        <w:ind w:left="851"/>
        <w:rPr>
          <w:sz w:val="24"/>
          <w:szCs w:val="24"/>
        </w:rPr>
      </w:pPr>
    </w:p>
    <w:p w14:paraId="2E5183FF" w14:textId="2B8FEF7E" w:rsidR="00BB70D2" w:rsidRPr="00951EF6" w:rsidRDefault="00BB70D2" w:rsidP="006E3F63">
      <w:pPr>
        <w:ind w:left="851"/>
        <w:rPr>
          <w:sz w:val="24"/>
          <w:szCs w:val="24"/>
        </w:rPr>
      </w:pPr>
      <w:r w:rsidRPr="00951EF6">
        <w:rPr>
          <w:sz w:val="24"/>
          <w:szCs w:val="24"/>
        </w:rPr>
        <w:t xml:space="preserve">Udslæt forekom som bivirkning hos 1,2 % af den samlede population, der blev behandlet med </w:t>
      </w:r>
      <w:proofErr w:type="spellStart"/>
      <w:r w:rsidR="00951EF6" w:rsidRPr="00951EF6">
        <w:rPr>
          <w:sz w:val="24"/>
          <w:szCs w:val="24"/>
        </w:rPr>
        <w:t>Arupsan</w:t>
      </w:r>
      <w:proofErr w:type="spellEnd"/>
      <w:r w:rsidRPr="00951EF6">
        <w:rPr>
          <w:sz w:val="24"/>
          <w:szCs w:val="24"/>
        </w:rPr>
        <w:t xml:space="preserve">, i kliniske studier med epilepsipatienter. Tilfælde af </w:t>
      </w:r>
      <w:proofErr w:type="spellStart"/>
      <w:r w:rsidRPr="00951EF6">
        <w:rPr>
          <w:sz w:val="24"/>
          <w:szCs w:val="24"/>
        </w:rPr>
        <w:t>urticaria</w:t>
      </w:r>
      <w:proofErr w:type="spellEnd"/>
      <w:r w:rsidRPr="00951EF6">
        <w:rPr>
          <w:sz w:val="24"/>
          <w:szCs w:val="24"/>
        </w:rPr>
        <w:t xml:space="preserve"> og </w:t>
      </w:r>
      <w:proofErr w:type="spellStart"/>
      <w:r w:rsidRPr="00951EF6">
        <w:rPr>
          <w:sz w:val="24"/>
          <w:szCs w:val="24"/>
        </w:rPr>
        <w:t>angioødem</w:t>
      </w:r>
      <w:proofErr w:type="spellEnd"/>
      <w:r w:rsidRPr="00951EF6">
        <w:rPr>
          <w:sz w:val="24"/>
          <w:szCs w:val="24"/>
        </w:rPr>
        <w:t xml:space="preserve"> er blevet rapporteret hos patienter, der tager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Angioødem</w:t>
      </w:r>
      <w:proofErr w:type="spellEnd"/>
      <w:r w:rsidRPr="00951EF6">
        <w:rPr>
          <w:sz w:val="24"/>
          <w:szCs w:val="24"/>
        </w:rPr>
        <w:t xml:space="preserve"> i forbindelse med overfølsomhed/</w:t>
      </w:r>
      <w:proofErr w:type="spellStart"/>
      <w:r w:rsidRPr="00951EF6">
        <w:rPr>
          <w:sz w:val="24"/>
          <w:szCs w:val="24"/>
        </w:rPr>
        <w:t>anafylaktisk</w:t>
      </w:r>
      <w:proofErr w:type="spellEnd"/>
      <w:r w:rsidRPr="00951EF6">
        <w:rPr>
          <w:sz w:val="24"/>
          <w:szCs w:val="24"/>
        </w:rPr>
        <w:t xml:space="preserve"> reaktion forbundet med </w:t>
      </w:r>
      <w:proofErr w:type="spellStart"/>
      <w:r w:rsidRPr="00951EF6">
        <w:rPr>
          <w:sz w:val="24"/>
          <w:szCs w:val="24"/>
        </w:rPr>
        <w:t>laryngeal</w:t>
      </w:r>
      <w:proofErr w:type="spellEnd"/>
      <w:r w:rsidRPr="00951EF6">
        <w:rPr>
          <w:sz w:val="24"/>
          <w:szCs w:val="24"/>
        </w:rPr>
        <w:t xml:space="preserve"> ødem kan være letalt. Hvis der opstår symptomer på overfølsomhed, skal </w:t>
      </w:r>
      <w:proofErr w:type="spellStart"/>
      <w:r w:rsidRPr="00951EF6">
        <w:rPr>
          <w:sz w:val="24"/>
          <w:szCs w:val="24"/>
        </w:rPr>
        <w:t>eslicarbazepinacetat</w:t>
      </w:r>
      <w:proofErr w:type="spellEnd"/>
      <w:r w:rsidRPr="00951EF6">
        <w:rPr>
          <w:sz w:val="24"/>
          <w:szCs w:val="24"/>
        </w:rPr>
        <w:t xml:space="preserve"> straks seponeres, og alternativ behandling indledes.</w:t>
      </w:r>
    </w:p>
    <w:p w14:paraId="08418C21" w14:textId="73A3B18D" w:rsidR="00BB70D2" w:rsidRPr="00951EF6" w:rsidRDefault="00BB70D2" w:rsidP="006E3F63">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som kan være livstruende eller letale, er rapporteret efter markedsføring ved behandling med </w:t>
      </w:r>
      <w:proofErr w:type="spellStart"/>
      <w:r w:rsidR="00951EF6" w:rsidRPr="00951EF6">
        <w:rPr>
          <w:sz w:val="24"/>
          <w:szCs w:val="24"/>
        </w:rPr>
        <w:t>Arupsan</w:t>
      </w:r>
      <w:proofErr w:type="spellEnd"/>
      <w:r w:rsidRPr="00951EF6">
        <w:rPr>
          <w:sz w:val="24"/>
          <w:szCs w:val="24"/>
        </w:rPr>
        <w:t>.</w:t>
      </w:r>
    </w:p>
    <w:p w14:paraId="55A99432" w14:textId="2E4F7C6D" w:rsidR="00BB70D2" w:rsidRPr="00951EF6" w:rsidRDefault="00BB70D2" w:rsidP="006E3F63">
      <w:pPr>
        <w:ind w:left="851"/>
        <w:rPr>
          <w:sz w:val="24"/>
          <w:szCs w:val="24"/>
        </w:rPr>
      </w:pPr>
      <w:r w:rsidRPr="00951EF6">
        <w:rPr>
          <w:sz w:val="24"/>
          <w:szCs w:val="24"/>
        </w:rPr>
        <w:lastRenderedPageBreak/>
        <w:t xml:space="preserve">Patienterne skal ved ordination informeres om tegnene og symptomerne og monitoreres nøje for hudreaktioner. </w:t>
      </w:r>
      <w:proofErr w:type="spellStart"/>
      <w:r w:rsidR="00951EF6" w:rsidRPr="00951EF6">
        <w:rPr>
          <w:sz w:val="24"/>
          <w:szCs w:val="24"/>
        </w:rPr>
        <w:t>Arupsan</w:t>
      </w:r>
      <w:proofErr w:type="spellEnd"/>
      <w:r w:rsidRPr="00951EF6">
        <w:rPr>
          <w:sz w:val="24"/>
          <w:szCs w:val="24"/>
        </w:rPr>
        <w:t xml:space="preserve"> skal straks seponeres, og en alternativ behandling skal overvejes (efter behov), hvis der opstår tegn og sym</w:t>
      </w:r>
      <w:r w:rsidR="00435CC8">
        <w:rPr>
          <w:sz w:val="24"/>
          <w:szCs w:val="24"/>
        </w:rPr>
        <w:t>p</w:t>
      </w:r>
      <w:r w:rsidRPr="00951EF6">
        <w:rPr>
          <w:sz w:val="24"/>
          <w:szCs w:val="24"/>
        </w:rPr>
        <w:t xml:space="preserve">tomer der tyder på disse reaktioner. Hvis patienterne har udviklet sådanne reaktioner, må behandling med </w:t>
      </w:r>
      <w:proofErr w:type="spellStart"/>
      <w:r w:rsidR="00951EF6" w:rsidRPr="00951EF6">
        <w:rPr>
          <w:sz w:val="24"/>
          <w:szCs w:val="24"/>
        </w:rPr>
        <w:t>Arupsan</w:t>
      </w:r>
      <w:proofErr w:type="spellEnd"/>
      <w:r w:rsidRPr="00951EF6">
        <w:rPr>
          <w:sz w:val="24"/>
          <w:szCs w:val="24"/>
        </w:rPr>
        <w:t xml:space="preserve"> ikke genoptages hos disse patienter på noget tidspunkt.</w:t>
      </w:r>
    </w:p>
    <w:p w14:paraId="65A72392" w14:textId="77777777" w:rsidR="00BB70D2" w:rsidRPr="00951EF6" w:rsidRDefault="00BB70D2" w:rsidP="006E3F63">
      <w:pPr>
        <w:ind w:left="851"/>
        <w:rPr>
          <w:sz w:val="24"/>
          <w:szCs w:val="24"/>
        </w:rPr>
      </w:pPr>
    </w:p>
    <w:p w14:paraId="580C76F9" w14:textId="77777777" w:rsidR="00BB70D2" w:rsidRPr="00951EF6" w:rsidRDefault="00BB70D2" w:rsidP="006E3F63">
      <w:pPr>
        <w:ind w:left="851"/>
        <w:rPr>
          <w:sz w:val="24"/>
          <w:szCs w:val="24"/>
          <w:u w:val="single"/>
        </w:rPr>
      </w:pPr>
      <w:r w:rsidRPr="00951EF6">
        <w:rPr>
          <w:sz w:val="24"/>
          <w:szCs w:val="24"/>
          <w:u w:val="single"/>
        </w:rPr>
        <w:t>HLA-B*1502-allel – personer af hankinesisk, thailandsk og anden asiatisk oprindelse</w:t>
      </w:r>
    </w:p>
    <w:p w14:paraId="713D0D9D" w14:textId="77777777" w:rsidR="00BB70D2" w:rsidRPr="00951EF6" w:rsidRDefault="00BB70D2" w:rsidP="006E3F63">
      <w:pPr>
        <w:ind w:left="851"/>
        <w:rPr>
          <w:sz w:val="24"/>
          <w:szCs w:val="24"/>
        </w:rPr>
      </w:pPr>
    </w:p>
    <w:p w14:paraId="101B8ADC" w14:textId="557E4DB3" w:rsidR="00BB70D2" w:rsidRPr="00951EF6" w:rsidRDefault="00BB70D2" w:rsidP="006E3F63">
      <w:pPr>
        <w:ind w:left="851"/>
        <w:rPr>
          <w:sz w:val="24"/>
          <w:szCs w:val="24"/>
        </w:rPr>
      </w:pPr>
      <w:r w:rsidRPr="00951EF6">
        <w:rPr>
          <w:sz w:val="24"/>
          <w:szCs w:val="24"/>
        </w:rPr>
        <w:t xml:space="preserve">Forekomst af HLA-B*1502 hos personer af hankinesisk eller thailandsk oprindelse er vist at være stærkt forbundet med risikoen for at udvikle de alvorlige hudreaktioner, der er kendt som Stevens- Johnsons syndrom (SJS), når disse personer behandles med </w:t>
      </w:r>
      <w:proofErr w:type="spellStart"/>
      <w:r w:rsidRPr="00951EF6">
        <w:rPr>
          <w:sz w:val="24"/>
          <w:szCs w:val="24"/>
        </w:rPr>
        <w:t>carbamazepin</w:t>
      </w:r>
      <w:proofErr w:type="spellEnd"/>
      <w:r w:rsidRPr="00951EF6">
        <w:rPr>
          <w:sz w:val="24"/>
          <w:szCs w:val="24"/>
        </w:rPr>
        <w:t xml:space="preserve">. Den kemiske struktur af </w:t>
      </w:r>
      <w:proofErr w:type="spellStart"/>
      <w:r w:rsidRPr="00951EF6">
        <w:rPr>
          <w:sz w:val="24"/>
          <w:szCs w:val="24"/>
        </w:rPr>
        <w:t>eslicarbazepinacetat</w:t>
      </w:r>
      <w:proofErr w:type="spellEnd"/>
      <w:r w:rsidRPr="00951EF6">
        <w:rPr>
          <w:sz w:val="24"/>
          <w:szCs w:val="24"/>
        </w:rPr>
        <w:t xml:space="preserve"> ligner </w:t>
      </w:r>
      <w:proofErr w:type="spellStart"/>
      <w:r w:rsidRPr="00951EF6">
        <w:rPr>
          <w:sz w:val="24"/>
          <w:szCs w:val="24"/>
        </w:rPr>
        <w:t>carbamazepins</w:t>
      </w:r>
      <w:proofErr w:type="spellEnd"/>
      <w:r w:rsidRPr="00951EF6">
        <w:rPr>
          <w:sz w:val="24"/>
          <w:szCs w:val="24"/>
        </w:rPr>
        <w:t>, og det er muligt, at patienter, der er positive for</w:t>
      </w:r>
      <w:r w:rsidR="00435CC8">
        <w:rPr>
          <w:sz w:val="24"/>
          <w:szCs w:val="24"/>
        </w:rPr>
        <w:t xml:space="preserve"> </w:t>
      </w:r>
      <w:r w:rsidRPr="00951EF6">
        <w:rPr>
          <w:sz w:val="24"/>
          <w:szCs w:val="24"/>
        </w:rPr>
        <w:t xml:space="preserve">HLA-B*1502, også kan være i risiko for at udvikle SJS efter behandling med </w:t>
      </w:r>
      <w:proofErr w:type="spellStart"/>
      <w:r w:rsidRPr="00951EF6">
        <w:rPr>
          <w:sz w:val="24"/>
          <w:szCs w:val="24"/>
        </w:rPr>
        <w:t>eslicarbazepinacetat</w:t>
      </w:r>
      <w:proofErr w:type="spellEnd"/>
      <w:r w:rsidRPr="00951EF6">
        <w:rPr>
          <w:sz w:val="24"/>
          <w:szCs w:val="24"/>
        </w:rPr>
        <w:t xml:space="preserve">. Omkring 10 % af personer af hankinesisk og thailandsk oprindelse er bærere af HLA-B*1502-allelen. Hvis det er muligt, bør disse personer screenes for allelen, før behandling med </w:t>
      </w:r>
      <w:proofErr w:type="spellStart"/>
      <w:r w:rsidRPr="00951EF6">
        <w:rPr>
          <w:sz w:val="24"/>
          <w:szCs w:val="24"/>
        </w:rPr>
        <w:t>carbamazepin</w:t>
      </w:r>
      <w:proofErr w:type="spellEnd"/>
      <w:r w:rsidRPr="00951EF6">
        <w:rPr>
          <w:sz w:val="24"/>
          <w:szCs w:val="24"/>
        </w:rPr>
        <w:t xml:space="preserve"> eller kemisk beslægtede aktive stoffer påbegyndes. Hvis patienter af disse etniske oprindelser testes positive for HLA-B*1502-allelen, bør anvendelse af </w:t>
      </w:r>
      <w:proofErr w:type="spellStart"/>
      <w:r w:rsidRPr="00951EF6">
        <w:rPr>
          <w:sz w:val="24"/>
          <w:szCs w:val="24"/>
        </w:rPr>
        <w:t>eslicarbazepinacetat</w:t>
      </w:r>
      <w:proofErr w:type="spellEnd"/>
      <w:r w:rsidRPr="00951EF6">
        <w:rPr>
          <w:sz w:val="24"/>
          <w:szCs w:val="24"/>
        </w:rPr>
        <w:t xml:space="preserve"> kun overvejes, hvis fordelene forventes at opveje risikoen.</w:t>
      </w:r>
    </w:p>
    <w:p w14:paraId="0BAAE35B" w14:textId="395E4225" w:rsidR="00BB70D2" w:rsidRPr="00951EF6" w:rsidRDefault="00BB70D2" w:rsidP="006E3F63">
      <w:pPr>
        <w:ind w:left="851"/>
        <w:rPr>
          <w:sz w:val="24"/>
          <w:szCs w:val="24"/>
        </w:rPr>
      </w:pPr>
      <w:r w:rsidRPr="00951EF6">
        <w:rPr>
          <w:sz w:val="24"/>
          <w:szCs w:val="24"/>
        </w:rPr>
        <w:t>På grund af hyppigheden af HLA-B*1502-allelen i andre asiatiske befolkningsgrupper (</w:t>
      </w:r>
      <w:r w:rsidR="00377307">
        <w:rPr>
          <w:sz w:val="24"/>
          <w:szCs w:val="24"/>
        </w:rPr>
        <w:t>f.eks.</w:t>
      </w:r>
      <w:r w:rsidRPr="00951EF6">
        <w:rPr>
          <w:sz w:val="24"/>
          <w:szCs w:val="24"/>
        </w:rPr>
        <w:t xml:space="preserve"> over 15 % i Filippinerne og Malaysia) bør gentest for tilstedeværelsen af denne allel overvejes hos risiko populationer.</w:t>
      </w:r>
    </w:p>
    <w:p w14:paraId="35E0CDD6" w14:textId="77777777" w:rsidR="00BB70D2" w:rsidRPr="00951EF6" w:rsidRDefault="00BB70D2" w:rsidP="006E3F63">
      <w:pPr>
        <w:ind w:left="851"/>
        <w:rPr>
          <w:sz w:val="24"/>
          <w:szCs w:val="24"/>
        </w:rPr>
      </w:pPr>
    </w:p>
    <w:p w14:paraId="0C4551ED" w14:textId="77777777" w:rsidR="00BB70D2" w:rsidRPr="00951EF6" w:rsidRDefault="00BB70D2" w:rsidP="006E3F63">
      <w:pPr>
        <w:ind w:left="851"/>
        <w:rPr>
          <w:sz w:val="24"/>
          <w:szCs w:val="24"/>
          <w:u w:val="single"/>
        </w:rPr>
      </w:pPr>
      <w:r w:rsidRPr="00951EF6">
        <w:rPr>
          <w:sz w:val="24"/>
          <w:szCs w:val="24"/>
          <w:u w:val="single"/>
        </w:rPr>
        <w:t>HLA-A*3101-allel – personer af europæisk og japansk oprindelse</w:t>
      </w:r>
    </w:p>
    <w:p w14:paraId="5A64BA00" w14:textId="77777777" w:rsidR="00BB70D2" w:rsidRPr="00951EF6" w:rsidRDefault="00BB70D2" w:rsidP="006E3F63">
      <w:pPr>
        <w:ind w:left="851"/>
        <w:rPr>
          <w:sz w:val="24"/>
          <w:szCs w:val="24"/>
        </w:rPr>
      </w:pPr>
    </w:p>
    <w:p w14:paraId="65408816" w14:textId="77777777" w:rsidR="00BB70D2" w:rsidRPr="00951EF6" w:rsidRDefault="00BB70D2" w:rsidP="006E3F63">
      <w:pPr>
        <w:ind w:left="851"/>
        <w:rPr>
          <w:sz w:val="24"/>
          <w:szCs w:val="24"/>
        </w:rPr>
      </w:pPr>
      <w:r w:rsidRPr="00951EF6">
        <w:rPr>
          <w:sz w:val="24"/>
          <w:szCs w:val="24"/>
        </w:rPr>
        <w:t xml:space="preserve">Nogle data tyder på, at HLA-A*3101 er forbundet med en øget risiko for </w:t>
      </w:r>
      <w:proofErr w:type="spellStart"/>
      <w:r w:rsidRPr="00951EF6">
        <w:rPr>
          <w:sz w:val="24"/>
          <w:szCs w:val="24"/>
        </w:rPr>
        <w:t>carbamazepin</w:t>
      </w:r>
      <w:proofErr w:type="spellEnd"/>
      <w:r w:rsidRPr="00951EF6">
        <w:rPr>
          <w:sz w:val="24"/>
          <w:szCs w:val="24"/>
        </w:rPr>
        <w:t xml:space="preserve">-inducerede </w:t>
      </w:r>
      <w:proofErr w:type="spellStart"/>
      <w:r w:rsidRPr="00951EF6">
        <w:rPr>
          <w:sz w:val="24"/>
          <w:szCs w:val="24"/>
        </w:rPr>
        <w:t>kutane</w:t>
      </w:r>
      <w:proofErr w:type="spellEnd"/>
      <w:r w:rsidRPr="00951EF6">
        <w:rPr>
          <w:sz w:val="24"/>
          <w:szCs w:val="24"/>
        </w:rPr>
        <w:t xml:space="preserve"> bivirkninger, herunder Stevens-Johnsons Syndrom (SJS), 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lægemiddel-associeret udslæt med </w:t>
      </w:r>
      <w:proofErr w:type="spellStart"/>
      <w:r w:rsidRPr="00951EF6">
        <w:rPr>
          <w:sz w:val="24"/>
          <w:szCs w:val="24"/>
        </w:rPr>
        <w:t>eosinofili</w:t>
      </w:r>
      <w:proofErr w:type="spellEnd"/>
      <w:r w:rsidRPr="00951EF6">
        <w:rPr>
          <w:sz w:val="24"/>
          <w:szCs w:val="24"/>
        </w:rPr>
        <w:t xml:space="preserve"> (DRESS), eller de mindre alvorlige akut generaliseret </w:t>
      </w:r>
      <w:proofErr w:type="spellStart"/>
      <w:r w:rsidRPr="00951EF6">
        <w:rPr>
          <w:sz w:val="24"/>
          <w:szCs w:val="24"/>
        </w:rPr>
        <w:t>eksantematøs</w:t>
      </w:r>
      <w:proofErr w:type="spellEnd"/>
      <w:r w:rsidRPr="00951EF6">
        <w:rPr>
          <w:sz w:val="24"/>
          <w:szCs w:val="24"/>
        </w:rPr>
        <w:t xml:space="preserve"> </w:t>
      </w:r>
      <w:proofErr w:type="spellStart"/>
      <w:r w:rsidRPr="00951EF6">
        <w:rPr>
          <w:sz w:val="24"/>
          <w:szCs w:val="24"/>
        </w:rPr>
        <w:t>pustulose</w:t>
      </w:r>
      <w:proofErr w:type="spellEnd"/>
      <w:r w:rsidRPr="00951EF6">
        <w:rPr>
          <w:sz w:val="24"/>
          <w:szCs w:val="24"/>
        </w:rPr>
        <w:t xml:space="preserve"> (AGEP) og </w:t>
      </w:r>
      <w:proofErr w:type="spellStart"/>
      <w:r w:rsidRPr="00951EF6">
        <w:rPr>
          <w:sz w:val="24"/>
          <w:szCs w:val="24"/>
        </w:rPr>
        <w:t>makulopapulært</w:t>
      </w:r>
      <w:proofErr w:type="spellEnd"/>
      <w:r w:rsidRPr="00951EF6">
        <w:rPr>
          <w:sz w:val="24"/>
          <w:szCs w:val="24"/>
        </w:rPr>
        <w:t xml:space="preserve"> udslæt hos individer af europæisk og japansk oprindelse.</w:t>
      </w:r>
    </w:p>
    <w:p w14:paraId="77B19805" w14:textId="77777777" w:rsidR="00BB70D2" w:rsidRPr="00951EF6" w:rsidRDefault="00BB70D2" w:rsidP="006E3F63">
      <w:pPr>
        <w:ind w:left="851"/>
        <w:rPr>
          <w:sz w:val="24"/>
          <w:szCs w:val="24"/>
        </w:rPr>
      </w:pPr>
      <w:r w:rsidRPr="00951EF6">
        <w:rPr>
          <w:sz w:val="24"/>
          <w:szCs w:val="24"/>
        </w:rPr>
        <w:t>Hyppigheden af HLA-A*3101-allelen varierer meget mellem etniske befolkningsgrupper.</w:t>
      </w:r>
    </w:p>
    <w:p w14:paraId="7321E476" w14:textId="77777777" w:rsidR="00BB70D2" w:rsidRPr="00951EF6" w:rsidRDefault="00BB70D2" w:rsidP="006E3F63">
      <w:pPr>
        <w:ind w:left="851"/>
        <w:rPr>
          <w:sz w:val="24"/>
          <w:szCs w:val="24"/>
        </w:rPr>
      </w:pPr>
      <w:r w:rsidRPr="00951EF6">
        <w:rPr>
          <w:sz w:val="24"/>
          <w:szCs w:val="24"/>
        </w:rPr>
        <w:t>HLA-A*3101-allelen har en prævalens på 2 til 5 % i den europæiske befolkning og på omkring 10 % i den japanske befolkning.</w:t>
      </w:r>
    </w:p>
    <w:p w14:paraId="76466B64" w14:textId="77777777" w:rsidR="00BB70D2" w:rsidRPr="00951EF6" w:rsidRDefault="00BB70D2" w:rsidP="006E3F63">
      <w:pPr>
        <w:ind w:left="851"/>
        <w:rPr>
          <w:sz w:val="24"/>
          <w:szCs w:val="24"/>
        </w:rPr>
      </w:pPr>
      <w:r w:rsidRPr="00951EF6">
        <w:rPr>
          <w:sz w:val="24"/>
          <w:szCs w:val="24"/>
        </w:rPr>
        <w:t xml:space="preserve">Tilstedeværelse af HLA-A*3101-allelen kan øge risikoen for </w:t>
      </w:r>
      <w:proofErr w:type="spellStart"/>
      <w:r w:rsidRPr="00951EF6">
        <w:rPr>
          <w:sz w:val="24"/>
          <w:szCs w:val="24"/>
        </w:rPr>
        <w:t>carbamazepin</w:t>
      </w:r>
      <w:proofErr w:type="spellEnd"/>
      <w:r w:rsidRPr="00951EF6">
        <w:rPr>
          <w:sz w:val="24"/>
          <w:szCs w:val="24"/>
        </w:rPr>
        <w:t>-inducerede hudreaktioner (for det meste mindre alvorlige) fra 5 % i den samlede befolkning til 26 % blandt personer af europæisk oprindelse, hvorimod dens fravær reducerer risikoen fra 5 % til 3,8 %.</w:t>
      </w:r>
    </w:p>
    <w:p w14:paraId="0692C428" w14:textId="77777777" w:rsidR="00BB70D2" w:rsidRPr="00951EF6" w:rsidRDefault="00BB70D2" w:rsidP="006E3F63">
      <w:pPr>
        <w:ind w:left="851"/>
        <w:rPr>
          <w:sz w:val="24"/>
          <w:szCs w:val="24"/>
        </w:rPr>
      </w:pPr>
      <w:r w:rsidRPr="00951EF6">
        <w:rPr>
          <w:sz w:val="24"/>
          <w:szCs w:val="24"/>
        </w:rPr>
        <w:t xml:space="preserve">Der er utilstrækkelige data til at understøtte en anbefaling af HLA-A*3101-screening før behandling med </w:t>
      </w:r>
      <w:proofErr w:type="spellStart"/>
      <w:r w:rsidRPr="00951EF6">
        <w:rPr>
          <w:sz w:val="24"/>
          <w:szCs w:val="24"/>
        </w:rPr>
        <w:t>carbamazepin</w:t>
      </w:r>
      <w:proofErr w:type="spellEnd"/>
      <w:r w:rsidRPr="00951EF6">
        <w:rPr>
          <w:sz w:val="24"/>
          <w:szCs w:val="24"/>
        </w:rPr>
        <w:t xml:space="preserve"> eller kemisk beslægtede lægemidler.</w:t>
      </w:r>
    </w:p>
    <w:p w14:paraId="477BEA81" w14:textId="77777777" w:rsidR="00BB70D2" w:rsidRPr="00951EF6" w:rsidRDefault="00BB70D2" w:rsidP="006E3F63">
      <w:pPr>
        <w:ind w:left="851"/>
        <w:rPr>
          <w:sz w:val="24"/>
          <w:szCs w:val="24"/>
        </w:rPr>
      </w:pPr>
      <w:r w:rsidRPr="00951EF6">
        <w:rPr>
          <w:sz w:val="24"/>
          <w:szCs w:val="24"/>
        </w:rPr>
        <w:t xml:space="preserve">Hvis patienter af europæisk eller japansk oprindelse vides at være positive for HLA-A*3101-allellen, bør anvendelse af </w:t>
      </w:r>
      <w:proofErr w:type="spellStart"/>
      <w:r w:rsidRPr="00951EF6">
        <w:rPr>
          <w:sz w:val="24"/>
          <w:szCs w:val="24"/>
        </w:rPr>
        <w:t>carbamazepin</w:t>
      </w:r>
      <w:proofErr w:type="spellEnd"/>
      <w:r w:rsidRPr="00951EF6">
        <w:rPr>
          <w:sz w:val="24"/>
          <w:szCs w:val="24"/>
        </w:rPr>
        <w:t xml:space="preserve"> eller kemisk beslægtede lægemidler kun overvejes, hvis fordelene forventes at overstige risikoen.</w:t>
      </w:r>
    </w:p>
    <w:p w14:paraId="77E024A3" w14:textId="77777777" w:rsidR="00BB70D2" w:rsidRPr="00951EF6" w:rsidRDefault="00BB70D2" w:rsidP="006E3F63">
      <w:pPr>
        <w:ind w:left="851"/>
        <w:rPr>
          <w:sz w:val="24"/>
          <w:szCs w:val="24"/>
        </w:rPr>
      </w:pPr>
    </w:p>
    <w:p w14:paraId="6CEA6FE2" w14:textId="77777777" w:rsidR="00BB70D2" w:rsidRPr="00951EF6" w:rsidRDefault="00BB70D2" w:rsidP="006E3F63">
      <w:pPr>
        <w:ind w:left="851"/>
        <w:rPr>
          <w:sz w:val="24"/>
          <w:szCs w:val="24"/>
          <w:u w:val="single"/>
        </w:rPr>
      </w:pPr>
      <w:proofErr w:type="spellStart"/>
      <w:r w:rsidRPr="00951EF6">
        <w:rPr>
          <w:sz w:val="24"/>
          <w:szCs w:val="24"/>
          <w:u w:val="single"/>
        </w:rPr>
        <w:t>Hyponatriæmi</w:t>
      </w:r>
      <w:proofErr w:type="spellEnd"/>
    </w:p>
    <w:p w14:paraId="78D315E1" w14:textId="77777777" w:rsidR="00BB70D2" w:rsidRPr="00951EF6" w:rsidRDefault="00BB70D2" w:rsidP="006E3F63">
      <w:pPr>
        <w:ind w:left="851"/>
        <w:rPr>
          <w:sz w:val="24"/>
          <w:szCs w:val="24"/>
        </w:rPr>
      </w:pPr>
    </w:p>
    <w:p w14:paraId="54FB3E6A" w14:textId="09BCD323" w:rsidR="00BB70D2" w:rsidRPr="00951EF6" w:rsidRDefault="00BB70D2" w:rsidP="006E3F63">
      <w:pPr>
        <w:ind w:left="851"/>
        <w:rPr>
          <w:sz w:val="24"/>
          <w:szCs w:val="24"/>
        </w:rPr>
      </w:pPr>
      <w:proofErr w:type="spellStart"/>
      <w:r w:rsidRPr="00951EF6">
        <w:rPr>
          <w:sz w:val="24"/>
          <w:szCs w:val="24"/>
        </w:rPr>
        <w:t>Hyponatriæmi</w:t>
      </w:r>
      <w:proofErr w:type="spellEnd"/>
      <w:r w:rsidRPr="00951EF6">
        <w:rPr>
          <w:sz w:val="24"/>
          <w:szCs w:val="24"/>
        </w:rPr>
        <w:t xml:space="preserve"> er indberettet som en bivirkning hos 1,5 % af de patienter, der fik </w:t>
      </w:r>
      <w:proofErr w:type="spellStart"/>
      <w:r w:rsidR="00951EF6" w:rsidRPr="00951EF6">
        <w:rPr>
          <w:sz w:val="24"/>
          <w:szCs w:val="24"/>
        </w:rPr>
        <w:t>Arupsan</w:t>
      </w:r>
      <w:proofErr w:type="spellEnd"/>
      <w:r w:rsidRPr="00951EF6">
        <w:rPr>
          <w:sz w:val="24"/>
          <w:szCs w:val="24"/>
        </w:rPr>
        <w:t xml:space="preserve">. </w:t>
      </w:r>
      <w:proofErr w:type="spellStart"/>
      <w:r w:rsidRPr="00951EF6">
        <w:rPr>
          <w:sz w:val="24"/>
          <w:szCs w:val="24"/>
        </w:rPr>
        <w:t>Hyponatriæmi</w:t>
      </w:r>
      <w:proofErr w:type="spellEnd"/>
      <w:r w:rsidRPr="00951EF6">
        <w:rPr>
          <w:sz w:val="24"/>
          <w:szCs w:val="24"/>
        </w:rPr>
        <w:t xml:space="preserve"> er asymptomatisk i det fleste tilfælde, men det kan dog være ledsaget af kliniske symptomer så som tiltagende anfald, konfusion, bevidsthedssvækkelse. Hyppigheden af </w:t>
      </w:r>
      <w:proofErr w:type="spellStart"/>
      <w:r w:rsidRPr="00951EF6">
        <w:rPr>
          <w:sz w:val="24"/>
          <w:szCs w:val="24"/>
        </w:rPr>
        <w:t>hyponatriæmi</w:t>
      </w:r>
      <w:proofErr w:type="spellEnd"/>
      <w:r w:rsidRPr="00951EF6">
        <w:rPr>
          <w:sz w:val="24"/>
          <w:szCs w:val="24"/>
        </w:rPr>
        <w:t xml:space="preserve"> steg med stigende doser </w:t>
      </w:r>
      <w:proofErr w:type="spellStart"/>
      <w:r w:rsidRPr="00951EF6">
        <w:rPr>
          <w:sz w:val="24"/>
          <w:szCs w:val="24"/>
        </w:rPr>
        <w:t>eslicarbazepinacetat</w:t>
      </w:r>
      <w:proofErr w:type="spellEnd"/>
      <w:r w:rsidRPr="00951EF6">
        <w:rPr>
          <w:sz w:val="24"/>
          <w:szCs w:val="24"/>
        </w:rPr>
        <w:t xml:space="preserve">. Hos patienter med eksisterende nyresygdom, der medførte </w:t>
      </w:r>
      <w:proofErr w:type="spellStart"/>
      <w:r w:rsidRPr="00951EF6">
        <w:rPr>
          <w:sz w:val="24"/>
          <w:szCs w:val="24"/>
        </w:rPr>
        <w:t>hyponatriæmi</w:t>
      </w:r>
      <w:proofErr w:type="spellEnd"/>
      <w:r w:rsidRPr="00951EF6">
        <w:rPr>
          <w:sz w:val="24"/>
          <w:szCs w:val="24"/>
        </w:rPr>
        <w:t xml:space="preserve">, eller patienter i samtidig behandling med lægemidler, der i sig selv kan føre til </w:t>
      </w:r>
      <w:proofErr w:type="spellStart"/>
      <w:r w:rsidRPr="00951EF6">
        <w:rPr>
          <w:sz w:val="24"/>
          <w:szCs w:val="24"/>
        </w:rPr>
        <w:t>hyponatriæmi</w:t>
      </w:r>
      <w:proofErr w:type="spellEnd"/>
      <w:r w:rsidRPr="00951EF6">
        <w:rPr>
          <w:sz w:val="24"/>
          <w:szCs w:val="24"/>
        </w:rPr>
        <w:t xml:space="preserve"> (</w:t>
      </w:r>
      <w:r w:rsidR="00377307">
        <w:rPr>
          <w:sz w:val="24"/>
          <w:szCs w:val="24"/>
        </w:rPr>
        <w:t>f.eks.</w:t>
      </w:r>
      <w:r w:rsidRPr="00951EF6">
        <w:rPr>
          <w:sz w:val="24"/>
          <w:szCs w:val="24"/>
        </w:rPr>
        <w:t xml:space="preserve"> </w:t>
      </w:r>
      <w:proofErr w:type="spellStart"/>
      <w:r w:rsidRPr="00951EF6">
        <w:rPr>
          <w:sz w:val="24"/>
          <w:szCs w:val="24"/>
        </w:rPr>
        <w:t>diuretika</w:t>
      </w:r>
      <w:proofErr w:type="spellEnd"/>
      <w:r w:rsidRPr="00951EF6">
        <w:rPr>
          <w:sz w:val="24"/>
          <w:szCs w:val="24"/>
        </w:rPr>
        <w:t xml:space="preserve">, </w:t>
      </w:r>
      <w:proofErr w:type="spellStart"/>
      <w:r w:rsidRPr="00951EF6">
        <w:rPr>
          <w:sz w:val="24"/>
          <w:szCs w:val="24"/>
        </w:rPr>
        <w:lastRenderedPageBreak/>
        <w:t>desmopressin</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bør serumkoncentrationen af natrium undersøges før og under behandling med </w:t>
      </w:r>
      <w:proofErr w:type="spellStart"/>
      <w:r w:rsidRPr="00951EF6">
        <w:rPr>
          <w:sz w:val="24"/>
          <w:szCs w:val="24"/>
        </w:rPr>
        <w:t>eslicarbazepinacetat</w:t>
      </w:r>
      <w:proofErr w:type="spellEnd"/>
      <w:r w:rsidRPr="00951EF6">
        <w:rPr>
          <w:sz w:val="24"/>
          <w:szCs w:val="24"/>
        </w:rPr>
        <w:t xml:space="preserve">. Endvidere bør serumnatrium måles, hvis der opstår kliniske tegn på </w:t>
      </w:r>
      <w:proofErr w:type="spellStart"/>
      <w:r w:rsidRPr="00951EF6">
        <w:rPr>
          <w:sz w:val="24"/>
          <w:szCs w:val="24"/>
        </w:rPr>
        <w:t>hyponatriæmi</w:t>
      </w:r>
      <w:proofErr w:type="spellEnd"/>
      <w:r w:rsidRPr="00951EF6">
        <w:rPr>
          <w:sz w:val="24"/>
          <w:szCs w:val="24"/>
        </w:rPr>
        <w:t xml:space="preserve">. Ud over dette bør natriumniveauet kontrolleres ved rutinemæssige laboratorieundersøgelser. I tilfælde af klinisk relevant </w:t>
      </w:r>
      <w:proofErr w:type="spellStart"/>
      <w:r w:rsidRPr="00951EF6">
        <w:rPr>
          <w:sz w:val="24"/>
          <w:szCs w:val="24"/>
        </w:rPr>
        <w:t>hyponatriæmi</w:t>
      </w:r>
      <w:proofErr w:type="spellEnd"/>
      <w:r w:rsidRPr="00951EF6">
        <w:rPr>
          <w:sz w:val="24"/>
          <w:szCs w:val="24"/>
        </w:rPr>
        <w:t xml:space="preserve"> skal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seponeres.</w:t>
      </w:r>
    </w:p>
    <w:p w14:paraId="45965514" w14:textId="77777777" w:rsidR="00BB70D2" w:rsidRPr="00951EF6" w:rsidRDefault="00BB70D2" w:rsidP="006E3F63">
      <w:pPr>
        <w:ind w:left="851"/>
        <w:rPr>
          <w:sz w:val="24"/>
          <w:szCs w:val="24"/>
        </w:rPr>
      </w:pPr>
    </w:p>
    <w:p w14:paraId="334AC1AC" w14:textId="77777777" w:rsidR="00BB70D2" w:rsidRPr="00951EF6" w:rsidRDefault="00BB70D2" w:rsidP="006E3F63">
      <w:pPr>
        <w:ind w:left="851"/>
        <w:rPr>
          <w:sz w:val="24"/>
          <w:szCs w:val="24"/>
          <w:u w:val="single"/>
        </w:rPr>
      </w:pPr>
      <w:r w:rsidRPr="00951EF6">
        <w:rPr>
          <w:sz w:val="24"/>
          <w:szCs w:val="24"/>
          <w:u w:val="single"/>
        </w:rPr>
        <w:t>PR-interval</w:t>
      </w:r>
    </w:p>
    <w:p w14:paraId="55F4C26B" w14:textId="77777777" w:rsidR="00BB70D2" w:rsidRPr="00951EF6" w:rsidRDefault="00BB70D2" w:rsidP="006E3F63">
      <w:pPr>
        <w:ind w:left="851"/>
        <w:rPr>
          <w:sz w:val="24"/>
          <w:szCs w:val="24"/>
        </w:rPr>
      </w:pPr>
    </w:p>
    <w:p w14:paraId="29D36208" w14:textId="13B9080C" w:rsidR="00BB70D2" w:rsidRPr="00951EF6" w:rsidRDefault="00BB70D2" w:rsidP="006E3F63">
      <w:pPr>
        <w:ind w:left="851"/>
        <w:rPr>
          <w:sz w:val="24"/>
          <w:szCs w:val="24"/>
        </w:rPr>
      </w:pPr>
      <w:r w:rsidRPr="00951EF6">
        <w:rPr>
          <w:sz w:val="24"/>
          <w:szCs w:val="24"/>
        </w:rPr>
        <w:t xml:space="preserve">Der er observeret forlænget PR-interval i kliniske studier med </w:t>
      </w:r>
      <w:proofErr w:type="spellStart"/>
      <w:r w:rsidRPr="00951EF6">
        <w:rPr>
          <w:sz w:val="24"/>
          <w:szCs w:val="24"/>
        </w:rPr>
        <w:t>eslicarbazepinacetat</w:t>
      </w:r>
      <w:proofErr w:type="spellEnd"/>
      <w:r w:rsidRPr="00951EF6">
        <w:rPr>
          <w:sz w:val="24"/>
          <w:szCs w:val="24"/>
        </w:rPr>
        <w:t>. Der bør udvises forsigtighed hos patienter med medicinske tilstande (</w:t>
      </w:r>
      <w:r w:rsidR="00377307">
        <w:rPr>
          <w:sz w:val="24"/>
          <w:szCs w:val="24"/>
        </w:rPr>
        <w:t>f.eks.</w:t>
      </w:r>
      <w:r w:rsidRPr="00951EF6">
        <w:rPr>
          <w:sz w:val="24"/>
          <w:szCs w:val="24"/>
        </w:rPr>
        <w:t xml:space="preserve"> lavt </w:t>
      </w:r>
      <w:proofErr w:type="spellStart"/>
      <w:r w:rsidRPr="00951EF6">
        <w:rPr>
          <w:sz w:val="24"/>
          <w:szCs w:val="24"/>
        </w:rPr>
        <w:t>thyroxinniveau</w:t>
      </w:r>
      <w:proofErr w:type="spellEnd"/>
      <w:r w:rsidRPr="00951EF6">
        <w:rPr>
          <w:sz w:val="24"/>
          <w:szCs w:val="24"/>
        </w:rPr>
        <w:t>, kardiale ledningsforstyrrelser), eller ved samtidig brug af lægemidler, der normalt forbindes med PR- forlængelse.</w:t>
      </w:r>
    </w:p>
    <w:p w14:paraId="2D649A9C" w14:textId="77777777" w:rsidR="00BB70D2" w:rsidRPr="00951EF6" w:rsidRDefault="00BB70D2" w:rsidP="006E3F63">
      <w:pPr>
        <w:ind w:left="851"/>
        <w:rPr>
          <w:sz w:val="24"/>
          <w:szCs w:val="24"/>
        </w:rPr>
      </w:pPr>
    </w:p>
    <w:p w14:paraId="078C1403" w14:textId="77777777" w:rsidR="00BB70D2" w:rsidRPr="00951EF6" w:rsidRDefault="00BB70D2" w:rsidP="006E3F63">
      <w:pPr>
        <w:ind w:left="851"/>
        <w:rPr>
          <w:sz w:val="24"/>
          <w:szCs w:val="24"/>
          <w:u w:val="single"/>
        </w:rPr>
      </w:pPr>
      <w:r w:rsidRPr="00951EF6">
        <w:rPr>
          <w:sz w:val="24"/>
          <w:szCs w:val="24"/>
          <w:u w:val="single"/>
        </w:rPr>
        <w:t>Nedsat nyrefunktion</w:t>
      </w:r>
    </w:p>
    <w:p w14:paraId="23E8798E" w14:textId="77777777" w:rsidR="00BB70D2" w:rsidRPr="00951EF6" w:rsidRDefault="00BB70D2" w:rsidP="006E3F63">
      <w:pPr>
        <w:ind w:left="851"/>
        <w:rPr>
          <w:sz w:val="24"/>
          <w:szCs w:val="24"/>
        </w:rPr>
      </w:pPr>
    </w:p>
    <w:p w14:paraId="288BF47C" w14:textId="2769EAC8" w:rsidR="00BB70D2" w:rsidRPr="00951EF6" w:rsidRDefault="00BB70D2" w:rsidP="006E3F63">
      <w:pPr>
        <w:ind w:left="851"/>
        <w:rPr>
          <w:sz w:val="24"/>
          <w:szCs w:val="24"/>
        </w:rPr>
      </w:pPr>
      <w:r w:rsidRPr="00951EF6">
        <w:rPr>
          <w:sz w:val="24"/>
          <w:szCs w:val="24"/>
        </w:rPr>
        <w:t xml:space="preserve">Der bør udvises forsigtighed ved behandling af patienter med nedsat nyrefunktion, og dosis skal justeres i henhold til </w:t>
      </w:r>
      <w:proofErr w:type="spellStart"/>
      <w:r w:rsidRPr="00951EF6">
        <w:rPr>
          <w:sz w:val="24"/>
          <w:szCs w:val="24"/>
        </w:rPr>
        <w:t>kreatininclearance</w:t>
      </w:r>
      <w:proofErr w:type="spellEnd"/>
      <w:r w:rsidRPr="00951EF6">
        <w:rPr>
          <w:sz w:val="24"/>
          <w:szCs w:val="24"/>
        </w:rPr>
        <w:t xml:space="preserve"> (se pkt. 4.2). </w:t>
      </w:r>
      <w:proofErr w:type="spellStart"/>
      <w:r w:rsidR="00951EF6" w:rsidRPr="00951EF6">
        <w:rPr>
          <w:sz w:val="24"/>
          <w:szCs w:val="24"/>
        </w:rPr>
        <w:t>Arupsan</w:t>
      </w:r>
      <w:proofErr w:type="spellEnd"/>
      <w:r w:rsidRPr="00951EF6">
        <w:rPr>
          <w:sz w:val="24"/>
          <w:szCs w:val="24"/>
        </w:rPr>
        <w:t xml:space="preserve"> bør ikke anvendes til patienter med </w:t>
      </w:r>
      <w:r w:rsidRPr="00951EF6">
        <w:rPr>
          <w:position w:val="2"/>
          <w:sz w:val="24"/>
          <w:szCs w:val="24"/>
        </w:rPr>
        <w:t>CL</w:t>
      </w:r>
      <w:r w:rsidR="00435CC8" w:rsidRPr="00435CC8">
        <w:rPr>
          <w:position w:val="2"/>
          <w:sz w:val="24"/>
          <w:szCs w:val="24"/>
          <w:vertAlign w:val="subscript"/>
        </w:rPr>
        <w:t>CR</w:t>
      </w:r>
      <w:r w:rsidRPr="00951EF6">
        <w:rPr>
          <w:sz w:val="24"/>
          <w:szCs w:val="24"/>
        </w:rPr>
        <w:t xml:space="preserve"> </w:t>
      </w:r>
      <w:r w:rsidRPr="00951EF6">
        <w:rPr>
          <w:position w:val="2"/>
          <w:sz w:val="24"/>
          <w:szCs w:val="24"/>
        </w:rPr>
        <w:t>&lt;30 ml/min pga. manglende dokumentation.</w:t>
      </w:r>
    </w:p>
    <w:p w14:paraId="1C2EFFDB" w14:textId="77777777" w:rsidR="00BB70D2" w:rsidRPr="00951EF6" w:rsidRDefault="00BB70D2" w:rsidP="006E3F63">
      <w:pPr>
        <w:ind w:left="851"/>
        <w:rPr>
          <w:sz w:val="24"/>
          <w:szCs w:val="24"/>
        </w:rPr>
      </w:pPr>
    </w:p>
    <w:p w14:paraId="521A40FC" w14:textId="77777777" w:rsidR="00BB70D2" w:rsidRPr="00951EF6" w:rsidRDefault="00BB70D2" w:rsidP="006E3F63">
      <w:pPr>
        <w:ind w:left="851"/>
        <w:rPr>
          <w:sz w:val="24"/>
          <w:szCs w:val="24"/>
          <w:u w:val="single"/>
        </w:rPr>
      </w:pPr>
      <w:r w:rsidRPr="00951EF6">
        <w:rPr>
          <w:sz w:val="24"/>
          <w:szCs w:val="24"/>
          <w:u w:val="single"/>
        </w:rPr>
        <w:t>Nedsat leverfunktion</w:t>
      </w:r>
    </w:p>
    <w:p w14:paraId="543BE7E0" w14:textId="77777777" w:rsidR="00BB70D2" w:rsidRPr="00951EF6" w:rsidRDefault="00BB70D2" w:rsidP="006E3F63">
      <w:pPr>
        <w:ind w:left="851"/>
        <w:rPr>
          <w:sz w:val="24"/>
          <w:szCs w:val="24"/>
        </w:rPr>
      </w:pPr>
    </w:p>
    <w:p w14:paraId="193B5E89" w14:textId="3EECF2C4" w:rsidR="00BB70D2" w:rsidRPr="00951EF6" w:rsidRDefault="00BB70D2" w:rsidP="006E3F63">
      <w:pPr>
        <w:ind w:left="851"/>
        <w:rPr>
          <w:sz w:val="24"/>
          <w:szCs w:val="24"/>
        </w:rPr>
      </w:pPr>
      <w:r w:rsidRPr="00951EF6">
        <w:rPr>
          <w:sz w:val="24"/>
          <w:szCs w:val="24"/>
        </w:rPr>
        <w:t xml:space="preserve">Der foreligger begrænsede kliniske data fra patienter med let til moderat nedsat leverfunktion, og der mangler kliniske data fra patienter med alvorligt nedsat leverfunktion. Derfor bør </w:t>
      </w:r>
      <w:proofErr w:type="spellStart"/>
      <w:r w:rsidRPr="00951EF6">
        <w:rPr>
          <w:sz w:val="24"/>
          <w:szCs w:val="24"/>
        </w:rPr>
        <w:t>eslicarbazepinacetat</w:t>
      </w:r>
      <w:proofErr w:type="spellEnd"/>
      <w:r w:rsidRPr="00951EF6">
        <w:rPr>
          <w:sz w:val="24"/>
          <w:szCs w:val="24"/>
        </w:rPr>
        <w:t xml:space="preserve"> anvendes med forsigtighed hos patienter, hvor leverfunktionen er nedsat i let til moderat grad, mens </w:t>
      </w:r>
      <w:proofErr w:type="spellStart"/>
      <w:r w:rsidR="00951EF6" w:rsidRPr="00951EF6">
        <w:rPr>
          <w:sz w:val="24"/>
          <w:szCs w:val="24"/>
        </w:rPr>
        <w:t>Arupsan</w:t>
      </w:r>
      <w:proofErr w:type="spellEnd"/>
      <w:r w:rsidRPr="00951EF6">
        <w:rPr>
          <w:sz w:val="24"/>
          <w:szCs w:val="24"/>
        </w:rPr>
        <w:t xml:space="preserve"> ikke bør anvendes til patienter med alvorligt nedsat leverfunktion.</w:t>
      </w:r>
    </w:p>
    <w:p w14:paraId="15A65F4D" w14:textId="77777777" w:rsidR="00BB70D2" w:rsidRPr="00951EF6" w:rsidRDefault="00BB70D2" w:rsidP="006E3F63">
      <w:pPr>
        <w:ind w:left="851"/>
        <w:rPr>
          <w:sz w:val="24"/>
          <w:szCs w:val="24"/>
        </w:rPr>
      </w:pPr>
    </w:p>
    <w:p w14:paraId="2AA2C2EC" w14:textId="77777777" w:rsidR="00BB70D2" w:rsidRPr="00951EF6" w:rsidRDefault="00BB70D2" w:rsidP="006E3F63">
      <w:pPr>
        <w:ind w:left="851"/>
        <w:rPr>
          <w:sz w:val="24"/>
          <w:szCs w:val="24"/>
          <w:u w:val="single"/>
        </w:rPr>
      </w:pPr>
      <w:r w:rsidRPr="00951EF6">
        <w:rPr>
          <w:sz w:val="24"/>
          <w:szCs w:val="24"/>
          <w:u w:val="single"/>
        </w:rPr>
        <w:t>Hjælpestoffer</w:t>
      </w:r>
    </w:p>
    <w:p w14:paraId="411CA92F" w14:textId="77777777" w:rsidR="00BB70D2" w:rsidRPr="00951EF6" w:rsidRDefault="00BB70D2" w:rsidP="006E3F63">
      <w:pPr>
        <w:ind w:left="851"/>
        <w:rPr>
          <w:sz w:val="24"/>
          <w:szCs w:val="24"/>
        </w:rPr>
      </w:pPr>
    </w:p>
    <w:p w14:paraId="03933490" w14:textId="77777777" w:rsidR="00BB70D2" w:rsidRPr="00951EF6" w:rsidRDefault="00BB70D2" w:rsidP="006E3F63">
      <w:pPr>
        <w:ind w:left="851"/>
        <w:rPr>
          <w:sz w:val="24"/>
          <w:szCs w:val="24"/>
        </w:rPr>
      </w:pPr>
      <w:r w:rsidRPr="00951EF6">
        <w:rPr>
          <w:sz w:val="24"/>
          <w:szCs w:val="24"/>
        </w:rPr>
        <w:t>Dette lægemiddel indeholder mindre en 1 mmol natrium (23 mg) per tablet, hvilket vil sige, at det er i det væsentlige natriumfrit.</w:t>
      </w:r>
    </w:p>
    <w:p w14:paraId="2C41533E" w14:textId="77777777" w:rsidR="009260DE" w:rsidRPr="00951EF6" w:rsidRDefault="009260DE" w:rsidP="009260DE">
      <w:pPr>
        <w:tabs>
          <w:tab w:val="left" w:pos="851"/>
        </w:tabs>
        <w:ind w:left="851"/>
        <w:rPr>
          <w:sz w:val="24"/>
          <w:szCs w:val="24"/>
        </w:rPr>
      </w:pPr>
    </w:p>
    <w:p w14:paraId="61233568" w14:textId="77777777" w:rsidR="009260DE" w:rsidRPr="00951EF6" w:rsidRDefault="009260DE" w:rsidP="009260DE">
      <w:pPr>
        <w:tabs>
          <w:tab w:val="left" w:pos="851"/>
        </w:tabs>
        <w:ind w:left="851" w:hanging="851"/>
        <w:rPr>
          <w:b/>
          <w:sz w:val="24"/>
          <w:szCs w:val="24"/>
        </w:rPr>
      </w:pPr>
      <w:r w:rsidRPr="00951EF6">
        <w:rPr>
          <w:b/>
          <w:sz w:val="24"/>
          <w:szCs w:val="24"/>
        </w:rPr>
        <w:t>4.5</w:t>
      </w:r>
      <w:r w:rsidRPr="00951EF6">
        <w:rPr>
          <w:b/>
          <w:sz w:val="24"/>
          <w:szCs w:val="24"/>
        </w:rPr>
        <w:tab/>
        <w:t>Interaktion med andre lægemidler og andre former for interaktion</w:t>
      </w:r>
    </w:p>
    <w:p w14:paraId="0B32C443" w14:textId="77777777" w:rsidR="00BB70D2" w:rsidRPr="00951EF6" w:rsidRDefault="00BB70D2" w:rsidP="00BB5CFF">
      <w:pPr>
        <w:ind w:left="851"/>
        <w:rPr>
          <w:sz w:val="24"/>
          <w:szCs w:val="24"/>
        </w:rPr>
      </w:pPr>
      <w:r w:rsidRPr="00951EF6">
        <w:rPr>
          <w:sz w:val="24"/>
          <w:szCs w:val="24"/>
        </w:rPr>
        <w:t>Interaktionsundersøgelser er kun udført hos voksne.</w:t>
      </w:r>
    </w:p>
    <w:p w14:paraId="359FE2FB" w14:textId="77777777" w:rsidR="00BB70D2" w:rsidRPr="00951EF6" w:rsidRDefault="00BB70D2" w:rsidP="00BB5CFF">
      <w:pPr>
        <w:ind w:left="851"/>
        <w:rPr>
          <w:sz w:val="24"/>
          <w:szCs w:val="24"/>
        </w:rPr>
      </w:pPr>
    </w:p>
    <w:p w14:paraId="51D38A34" w14:textId="251E528E" w:rsidR="00BB70D2" w:rsidRPr="00951EF6" w:rsidRDefault="00BB70D2" w:rsidP="00BB5CFF">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der hovedsageligt elimineres ved omdannelse til </w:t>
      </w:r>
      <w:proofErr w:type="spellStart"/>
      <w:r w:rsidRPr="00951EF6">
        <w:rPr>
          <w:sz w:val="24"/>
          <w:szCs w:val="24"/>
        </w:rPr>
        <w:t>glukuronid</w:t>
      </w:r>
      <w:proofErr w:type="spellEnd"/>
      <w:r w:rsidRPr="00951EF6">
        <w:rPr>
          <w:sz w:val="24"/>
          <w:szCs w:val="24"/>
        </w:rPr>
        <w:t xml:space="preserve">. I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-undersøgelser har </w:t>
      </w:r>
      <w:proofErr w:type="spellStart"/>
      <w:r w:rsidRPr="00951EF6">
        <w:rPr>
          <w:sz w:val="24"/>
          <w:szCs w:val="24"/>
        </w:rPr>
        <w:t>eslicarbazepin</w:t>
      </w:r>
      <w:proofErr w:type="spellEnd"/>
      <w:r w:rsidRPr="00951EF6">
        <w:rPr>
          <w:sz w:val="24"/>
          <w:szCs w:val="24"/>
        </w:rPr>
        <w:t xml:space="preserve"> vist sig som en svag induktor af CYP3A4 og UDP-</w:t>
      </w:r>
      <w:proofErr w:type="spellStart"/>
      <w:r w:rsidRPr="00951EF6">
        <w:rPr>
          <w:sz w:val="24"/>
          <w:szCs w:val="24"/>
        </w:rPr>
        <w:t>glukuronyltransferaser</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udviste </w:t>
      </w:r>
      <w:proofErr w:type="spellStart"/>
      <w:r w:rsidRPr="00951EF6">
        <w:rPr>
          <w:sz w:val="24"/>
          <w:szCs w:val="24"/>
        </w:rPr>
        <w:t>eslicarbazepin</w:t>
      </w:r>
      <w:proofErr w:type="spellEnd"/>
      <w:r w:rsidRPr="00951EF6">
        <w:rPr>
          <w:sz w:val="24"/>
          <w:szCs w:val="24"/>
        </w:rPr>
        <w:t xml:space="preserve"> en inducerende virkning på metabolismen af lægemidler, der hovedsageligt </w:t>
      </w:r>
      <w:proofErr w:type="spellStart"/>
      <w:r w:rsidRPr="00951EF6">
        <w:rPr>
          <w:sz w:val="24"/>
          <w:szCs w:val="24"/>
        </w:rPr>
        <w:t>metaboliseres</w:t>
      </w:r>
      <w:proofErr w:type="spellEnd"/>
      <w:r w:rsidRPr="00951EF6">
        <w:rPr>
          <w:sz w:val="24"/>
          <w:szCs w:val="24"/>
        </w:rPr>
        <w:t xml:space="preserve"> via CYP3A4 (</w:t>
      </w:r>
      <w:r w:rsidR="00377307">
        <w:rPr>
          <w:sz w:val="24"/>
          <w:szCs w:val="24"/>
        </w:rPr>
        <w:t>f.eks.</w:t>
      </w:r>
      <w:r w:rsidRPr="00951EF6">
        <w:rPr>
          <w:sz w:val="24"/>
          <w:szCs w:val="24"/>
        </w:rPr>
        <w:t xml:space="preserve"> </w:t>
      </w:r>
      <w:proofErr w:type="spellStart"/>
      <w:r w:rsidRPr="00951EF6">
        <w:rPr>
          <w:sz w:val="24"/>
          <w:szCs w:val="24"/>
        </w:rPr>
        <w:t>simvastatin</w:t>
      </w:r>
      <w:proofErr w:type="spellEnd"/>
      <w:r w:rsidRPr="00951EF6">
        <w:rPr>
          <w:sz w:val="24"/>
          <w:szCs w:val="24"/>
        </w:rPr>
        <w:t xml:space="preserve">). Derfor kan det være nødvendigt at øge dosis af lægemidler, der især </w:t>
      </w:r>
      <w:proofErr w:type="spellStart"/>
      <w:r w:rsidRPr="00951EF6">
        <w:rPr>
          <w:sz w:val="24"/>
          <w:szCs w:val="24"/>
        </w:rPr>
        <w:t>metaboliseres</w:t>
      </w:r>
      <w:proofErr w:type="spellEnd"/>
      <w:r w:rsidRPr="00951EF6">
        <w:rPr>
          <w:sz w:val="24"/>
          <w:szCs w:val="24"/>
        </w:rPr>
        <w:t xml:space="preserve"> af CYP3A4, når de anvendes sammen med </w:t>
      </w:r>
      <w:proofErr w:type="spellStart"/>
      <w:r w:rsidRPr="00951EF6">
        <w:rPr>
          <w:sz w:val="24"/>
          <w:szCs w:val="24"/>
        </w:rPr>
        <w:t>eslicarbazepinacetat</w:t>
      </w:r>
      <w:proofErr w:type="spellEnd"/>
      <w:r w:rsidRPr="00951EF6">
        <w:rPr>
          <w:sz w:val="24"/>
          <w:szCs w:val="24"/>
        </w:rPr>
        <w:t xml:space="preserve">. </w:t>
      </w:r>
      <w:r w:rsidRPr="00951EF6">
        <w:rPr>
          <w:i/>
          <w:sz w:val="24"/>
          <w:szCs w:val="24"/>
        </w:rPr>
        <w:t xml:space="preserve">In </w:t>
      </w:r>
      <w:proofErr w:type="spellStart"/>
      <w:r w:rsidRPr="00951EF6">
        <w:rPr>
          <w:i/>
          <w:sz w:val="24"/>
          <w:szCs w:val="24"/>
        </w:rPr>
        <w:t>vivo</w:t>
      </w:r>
      <w:proofErr w:type="spellEnd"/>
      <w:r w:rsidRPr="00951EF6">
        <w:rPr>
          <w:i/>
          <w:sz w:val="24"/>
          <w:szCs w:val="24"/>
        </w:rPr>
        <w:t xml:space="preserve"> </w:t>
      </w:r>
      <w:r w:rsidRPr="00951EF6">
        <w:rPr>
          <w:sz w:val="24"/>
          <w:szCs w:val="24"/>
        </w:rPr>
        <w:t xml:space="preserve">kan </w:t>
      </w:r>
      <w:proofErr w:type="spellStart"/>
      <w:r w:rsidRPr="00951EF6">
        <w:rPr>
          <w:sz w:val="24"/>
          <w:szCs w:val="24"/>
        </w:rPr>
        <w:t>eslicarbazepin</w:t>
      </w:r>
      <w:proofErr w:type="spellEnd"/>
      <w:r w:rsidRPr="00951EF6">
        <w:rPr>
          <w:sz w:val="24"/>
          <w:szCs w:val="24"/>
        </w:rPr>
        <w:t xml:space="preserve"> inducere metabolismen af lægemidler, der især udskilles ved </w:t>
      </w:r>
      <w:proofErr w:type="spellStart"/>
      <w:r w:rsidRPr="00951EF6">
        <w:rPr>
          <w:sz w:val="24"/>
          <w:szCs w:val="24"/>
        </w:rPr>
        <w:t>konjugering</w:t>
      </w:r>
      <w:proofErr w:type="spellEnd"/>
      <w:r w:rsidRPr="00951EF6">
        <w:rPr>
          <w:sz w:val="24"/>
          <w:szCs w:val="24"/>
        </w:rPr>
        <w:t xml:space="preserve"> via UDP-</w:t>
      </w:r>
      <w:proofErr w:type="spellStart"/>
      <w:r w:rsidRPr="00951EF6">
        <w:rPr>
          <w:sz w:val="24"/>
          <w:szCs w:val="24"/>
        </w:rPr>
        <w:t>glukuronyltransferaser</w:t>
      </w:r>
      <w:proofErr w:type="spellEnd"/>
      <w:r w:rsidRPr="00951EF6">
        <w:rPr>
          <w:sz w:val="24"/>
          <w:szCs w:val="24"/>
        </w:rPr>
        <w:t xml:space="preserve">. Ved indledning eller </w:t>
      </w:r>
      <w:proofErr w:type="spellStart"/>
      <w:r w:rsidRPr="00951EF6">
        <w:rPr>
          <w:sz w:val="24"/>
          <w:szCs w:val="24"/>
        </w:rPr>
        <w:t>seponering</w:t>
      </w:r>
      <w:proofErr w:type="spellEnd"/>
      <w:r w:rsidRPr="00951EF6">
        <w:rPr>
          <w:sz w:val="24"/>
          <w:szCs w:val="24"/>
        </w:rPr>
        <w:t xml:space="preserve"> af behandling med </w:t>
      </w:r>
      <w:proofErr w:type="spellStart"/>
      <w:r w:rsidR="00951EF6" w:rsidRPr="00951EF6">
        <w:rPr>
          <w:sz w:val="24"/>
          <w:szCs w:val="24"/>
        </w:rPr>
        <w:t>Arupsan</w:t>
      </w:r>
      <w:proofErr w:type="spellEnd"/>
      <w:r w:rsidRPr="00951EF6">
        <w:rPr>
          <w:sz w:val="24"/>
          <w:szCs w:val="24"/>
        </w:rPr>
        <w:t xml:space="preserve"> eller ændring af dosis kan det tage 2-3 uger atter at opnå enzymaktivitet. Der skal tages højde for denne forhaling, når </w:t>
      </w:r>
      <w:proofErr w:type="spellStart"/>
      <w:r w:rsidR="00951EF6" w:rsidRPr="00951EF6">
        <w:rPr>
          <w:sz w:val="24"/>
          <w:szCs w:val="24"/>
        </w:rPr>
        <w:t>Arupsan</w:t>
      </w:r>
      <w:proofErr w:type="spellEnd"/>
      <w:r w:rsidRPr="00951EF6">
        <w:rPr>
          <w:sz w:val="24"/>
          <w:szCs w:val="24"/>
        </w:rPr>
        <w:t xml:space="preserve"> anvendes umiddelbart før eller i kombination med andre lægemidler, der kræver dosisjustering, når de gives sammen med </w:t>
      </w:r>
      <w:proofErr w:type="spellStart"/>
      <w:r w:rsidR="00951EF6" w:rsidRPr="00951EF6">
        <w:rPr>
          <w:sz w:val="24"/>
          <w:szCs w:val="24"/>
        </w:rPr>
        <w:t>Arupsan</w:t>
      </w:r>
      <w:proofErr w:type="spellEnd"/>
      <w:r w:rsidRPr="00951EF6">
        <w:rPr>
          <w:sz w:val="24"/>
          <w:szCs w:val="24"/>
        </w:rPr>
        <w:t>.</w:t>
      </w:r>
    </w:p>
    <w:p w14:paraId="3B69D09F" w14:textId="39746C4B" w:rsidR="00BB70D2" w:rsidRPr="00951EF6" w:rsidRDefault="00BB70D2" w:rsidP="00BB5CFF">
      <w:pPr>
        <w:ind w:left="851"/>
        <w:rPr>
          <w:sz w:val="24"/>
          <w:szCs w:val="24"/>
        </w:rPr>
      </w:pPr>
      <w:proofErr w:type="spellStart"/>
      <w:r w:rsidRPr="00951EF6">
        <w:rPr>
          <w:sz w:val="24"/>
          <w:szCs w:val="24"/>
        </w:rPr>
        <w:t>Eslicarbazepin</w:t>
      </w:r>
      <w:proofErr w:type="spellEnd"/>
      <w:r w:rsidRPr="00951EF6">
        <w:rPr>
          <w:sz w:val="24"/>
          <w:szCs w:val="24"/>
        </w:rPr>
        <w:t xml:space="preserve"> virker hæmmende på CYP2C19. Der kan derfor opstå interaktion ved samtidig administration af høje doser </w:t>
      </w:r>
      <w:proofErr w:type="spellStart"/>
      <w:r w:rsidRPr="00951EF6">
        <w:rPr>
          <w:sz w:val="24"/>
          <w:szCs w:val="24"/>
        </w:rPr>
        <w:t>eslicarbazepinacetat</w:t>
      </w:r>
      <w:proofErr w:type="spellEnd"/>
      <w:r w:rsidRPr="00951EF6">
        <w:rPr>
          <w:sz w:val="24"/>
          <w:szCs w:val="24"/>
        </w:rPr>
        <w:t xml:space="preserve"> og lægemidler, der hovedsageligt </w:t>
      </w:r>
      <w:proofErr w:type="spellStart"/>
      <w:r w:rsidRPr="00951EF6">
        <w:rPr>
          <w:sz w:val="24"/>
          <w:szCs w:val="24"/>
        </w:rPr>
        <w:t>metaboliseres</w:t>
      </w:r>
      <w:proofErr w:type="spellEnd"/>
      <w:r w:rsidRPr="00951EF6">
        <w:rPr>
          <w:sz w:val="24"/>
          <w:szCs w:val="24"/>
        </w:rPr>
        <w:t xml:space="preserve"> af CYP2C19 (</w:t>
      </w:r>
      <w:r w:rsidR="00377307">
        <w:rPr>
          <w:sz w:val="24"/>
          <w:szCs w:val="24"/>
        </w:rPr>
        <w:t>f.eks.</w:t>
      </w:r>
      <w:r w:rsidRPr="00951EF6">
        <w:rPr>
          <w:sz w:val="24"/>
          <w:szCs w:val="24"/>
        </w:rPr>
        <w:t xml:space="preserve"> </w:t>
      </w:r>
      <w:proofErr w:type="spellStart"/>
      <w:r w:rsidRPr="00951EF6">
        <w:rPr>
          <w:sz w:val="24"/>
          <w:szCs w:val="24"/>
        </w:rPr>
        <w:t>phenytoin</w:t>
      </w:r>
      <w:proofErr w:type="spellEnd"/>
      <w:r w:rsidRPr="00951EF6">
        <w:rPr>
          <w:sz w:val="24"/>
          <w:szCs w:val="24"/>
        </w:rPr>
        <w:t>).</w:t>
      </w:r>
    </w:p>
    <w:p w14:paraId="65753488" w14:textId="77777777" w:rsidR="00BB70D2" w:rsidRPr="00951EF6" w:rsidRDefault="00BB70D2" w:rsidP="00BB5CFF">
      <w:pPr>
        <w:ind w:left="851"/>
        <w:rPr>
          <w:sz w:val="24"/>
          <w:szCs w:val="24"/>
        </w:rPr>
      </w:pPr>
    </w:p>
    <w:p w14:paraId="5C6D3E44" w14:textId="77777777" w:rsidR="00BB70D2" w:rsidRPr="00951EF6" w:rsidRDefault="00BB70D2" w:rsidP="00BB5CFF">
      <w:pPr>
        <w:ind w:left="851"/>
        <w:rPr>
          <w:sz w:val="24"/>
          <w:szCs w:val="24"/>
        </w:rPr>
      </w:pPr>
      <w:r w:rsidRPr="00951EF6">
        <w:rPr>
          <w:sz w:val="24"/>
          <w:szCs w:val="24"/>
          <w:u w:val="single"/>
        </w:rPr>
        <w:lastRenderedPageBreak/>
        <w:t xml:space="preserve">Interaktion med andre </w:t>
      </w:r>
      <w:proofErr w:type="spellStart"/>
      <w:r w:rsidRPr="00951EF6">
        <w:rPr>
          <w:sz w:val="24"/>
          <w:szCs w:val="24"/>
          <w:u w:val="single"/>
        </w:rPr>
        <w:t>antiepileptika</w:t>
      </w:r>
      <w:proofErr w:type="spellEnd"/>
    </w:p>
    <w:p w14:paraId="65FA9004" w14:textId="77777777" w:rsidR="00BB70D2" w:rsidRPr="00951EF6" w:rsidRDefault="00BB70D2" w:rsidP="00BB5CFF">
      <w:pPr>
        <w:ind w:left="851"/>
        <w:rPr>
          <w:sz w:val="24"/>
          <w:szCs w:val="24"/>
        </w:rPr>
      </w:pPr>
    </w:p>
    <w:p w14:paraId="5873D712" w14:textId="77777777" w:rsidR="00BB70D2" w:rsidRPr="00951EF6" w:rsidRDefault="00BB70D2" w:rsidP="00BB5CFF">
      <w:pPr>
        <w:ind w:left="851"/>
        <w:rPr>
          <w:i/>
          <w:sz w:val="24"/>
          <w:szCs w:val="24"/>
        </w:rPr>
      </w:pPr>
      <w:proofErr w:type="spellStart"/>
      <w:r w:rsidRPr="00951EF6">
        <w:rPr>
          <w:i/>
          <w:sz w:val="24"/>
          <w:szCs w:val="24"/>
        </w:rPr>
        <w:t>Carbamazepin</w:t>
      </w:r>
      <w:proofErr w:type="spellEnd"/>
    </w:p>
    <w:p w14:paraId="6F0EC3C6" w14:textId="77777777"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Pr="00951EF6">
        <w:rPr>
          <w:sz w:val="24"/>
          <w:szCs w:val="24"/>
        </w:rPr>
        <w:t xml:space="preserve"> 800 mg en gang dagligt og </w:t>
      </w:r>
      <w:proofErr w:type="spellStart"/>
      <w:r w:rsidRPr="00951EF6">
        <w:rPr>
          <w:sz w:val="24"/>
          <w:szCs w:val="24"/>
        </w:rPr>
        <w:t>carbamazepin</w:t>
      </w:r>
      <w:proofErr w:type="spellEnd"/>
      <w:r w:rsidRPr="00951EF6">
        <w:rPr>
          <w:sz w:val="24"/>
          <w:szCs w:val="24"/>
        </w:rPr>
        <w:t xml:space="preserve"> 400 mg to gange dagligt et gennemsnitligt fald på 32 % i eksponeringen for den aktive metabolit </w:t>
      </w:r>
      <w:proofErr w:type="spellStart"/>
      <w:r w:rsidRPr="00951EF6">
        <w:rPr>
          <w:sz w:val="24"/>
          <w:szCs w:val="24"/>
        </w:rPr>
        <w:t>eslicarbazepin</w:t>
      </w:r>
      <w:proofErr w:type="spellEnd"/>
      <w:r w:rsidRPr="00951EF6">
        <w:rPr>
          <w:sz w:val="24"/>
          <w:szCs w:val="24"/>
        </w:rPr>
        <w:t xml:space="preserve">, hvilket formentligt skyldtes induktion af </w:t>
      </w:r>
      <w:proofErr w:type="spellStart"/>
      <w:r w:rsidRPr="00951EF6">
        <w:rPr>
          <w:sz w:val="24"/>
          <w:szCs w:val="24"/>
        </w:rPr>
        <w:t>glukuronidering</w:t>
      </w:r>
      <w:proofErr w:type="spellEnd"/>
      <w:r w:rsidRPr="00951EF6">
        <w:rPr>
          <w:sz w:val="24"/>
          <w:szCs w:val="24"/>
        </w:rPr>
        <w:t xml:space="preserve">. Der sås ingen ændringer i eksponeringen for </w:t>
      </w:r>
      <w:proofErr w:type="spellStart"/>
      <w:r w:rsidRPr="00951EF6">
        <w:rPr>
          <w:sz w:val="24"/>
          <w:szCs w:val="24"/>
        </w:rPr>
        <w:t>carbamazepin</w:t>
      </w:r>
      <w:proofErr w:type="spellEnd"/>
      <w:r w:rsidRPr="00951EF6">
        <w:rPr>
          <w:sz w:val="24"/>
          <w:szCs w:val="24"/>
        </w:rPr>
        <w:t xml:space="preserve"> eller dets metabolit </w:t>
      </w:r>
      <w:proofErr w:type="spellStart"/>
      <w:r w:rsidRPr="00951EF6">
        <w:rPr>
          <w:sz w:val="24"/>
          <w:szCs w:val="24"/>
        </w:rPr>
        <w:t>carbamazepinepoxid</w:t>
      </w:r>
      <w:proofErr w:type="spellEnd"/>
      <w:r w:rsidRPr="00951EF6">
        <w:rPr>
          <w:sz w:val="24"/>
          <w:szCs w:val="24"/>
        </w:rPr>
        <w:t xml:space="preserve">. Afhængigt af den enkelte patients respons skal dosis af </w:t>
      </w:r>
      <w:proofErr w:type="spellStart"/>
      <w:r w:rsidRPr="00951EF6">
        <w:rPr>
          <w:sz w:val="24"/>
          <w:szCs w:val="24"/>
        </w:rPr>
        <w:t>eslicarbazepinacetat</w:t>
      </w:r>
      <w:proofErr w:type="spellEnd"/>
      <w:r w:rsidRPr="00951EF6">
        <w:rPr>
          <w:sz w:val="24"/>
          <w:szCs w:val="24"/>
        </w:rPr>
        <w:t xml:space="preserve"> muligvis øges, hvis det anvendes sammen med </w:t>
      </w:r>
      <w:proofErr w:type="spellStart"/>
      <w:r w:rsidRPr="00951EF6">
        <w:rPr>
          <w:sz w:val="24"/>
          <w:szCs w:val="24"/>
        </w:rPr>
        <w:t>carbamazepin</w:t>
      </w:r>
      <w:proofErr w:type="spellEnd"/>
      <w:r w:rsidRPr="00951EF6">
        <w:rPr>
          <w:sz w:val="24"/>
          <w:szCs w:val="24"/>
        </w:rPr>
        <w:t xml:space="preserve">. Resultater fra studier med patienter viste, at samtidig behandling øger risikoen for følgende bivirkninger: </w:t>
      </w:r>
      <w:proofErr w:type="spellStart"/>
      <w:r w:rsidRPr="00951EF6">
        <w:rPr>
          <w:sz w:val="24"/>
          <w:szCs w:val="24"/>
        </w:rPr>
        <w:t>Diplopi</w:t>
      </w:r>
      <w:proofErr w:type="spellEnd"/>
      <w:r w:rsidRPr="00951EF6">
        <w:rPr>
          <w:sz w:val="24"/>
          <w:szCs w:val="24"/>
        </w:rPr>
        <w:t xml:space="preserve">, koordinationsbesvær og svimmelhed. Det kan ikke udelukkes, at der er risiko for en øget forekomst af andre specifikke bivirkninger ved samtidig administration af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247974E6" w14:textId="77777777" w:rsidR="00BB70D2" w:rsidRPr="00951EF6" w:rsidRDefault="00BB70D2" w:rsidP="00BB5CFF">
      <w:pPr>
        <w:ind w:left="851"/>
        <w:rPr>
          <w:sz w:val="24"/>
          <w:szCs w:val="24"/>
        </w:rPr>
      </w:pPr>
    </w:p>
    <w:p w14:paraId="628659AB" w14:textId="77777777" w:rsidR="00BB70D2" w:rsidRPr="00951EF6" w:rsidRDefault="00BB70D2" w:rsidP="00BB5CFF">
      <w:pPr>
        <w:ind w:left="851"/>
        <w:rPr>
          <w:i/>
          <w:sz w:val="24"/>
          <w:szCs w:val="24"/>
        </w:rPr>
      </w:pPr>
      <w:proofErr w:type="spellStart"/>
      <w:r w:rsidRPr="00951EF6">
        <w:rPr>
          <w:i/>
          <w:sz w:val="24"/>
          <w:szCs w:val="24"/>
        </w:rPr>
        <w:t>Phenytoin</w:t>
      </w:r>
      <w:proofErr w:type="spellEnd"/>
    </w:p>
    <w:p w14:paraId="23A83EA2" w14:textId="0DD368AD" w:rsidR="00BB70D2" w:rsidRPr="00951EF6" w:rsidRDefault="00BB70D2" w:rsidP="00BB5CFF">
      <w:pPr>
        <w:ind w:left="851"/>
        <w:rPr>
          <w:sz w:val="24"/>
          <w:szCs w:val="24"/>
        </w:rPr>
      </w:pPr>
      <w:r w:rsidRPr="00951EF6">
        <w:rPr>
          <w:sz w:val="24"/>
          <w:szCs w:val="24"/>
        </w:rPr>
        <w:t xml:space="preserve">I et studie med raske forsøgspersoner medførte samtidig administration af </w:t>
      </w:r>
      <w:proofErr w:type="spellStart"/>
      <w:r w:rsidRPr="00951EF6">
        <w:rPr>
          <w:sz w:val="24"/>
          <w:szCs w:val="24"/>
        </w:rPr>
        <w:t>eslicarbazepinacetat</w:t>
      </w:r>
      <w:proofErr w:type="spellEnd"/>
      <w:r w:rsidR="00435CC8">
        <w:rPr>
          <w:sz w:val="24"/>
          <w:szCs w:val="24"/>
        </w:rPr>
        <w:t xml:space="preserve"> </w:t>
      </w:r>
      <w:r w:rsidRPr="00951EF6">
        <w:rPr>
          <w:sz w:val="24"/>
          <w:szCs w:val="24"/>
        </w:rPr>
        <w:t xml:space="preserve">1.200 mg en gang dagligt og </w:t>
      </w:r>
      <w:proofErr w:type="spellStart"/>
      <w:r w:rsidRPr="00951EF6">
        <w:rPr>
          <w:sz w:val="24"/>
          <w:szCs w:val="24"/>
        </w:rPr>
        <w:t>phenytoin</w:t>
      </w:r>
      <w:proofErr w:type="spellEnd"/>
      <w:r w:rsidRPr="00951EF6">
        <w:rPr>
          <w:sz w:val="24"/>
          <w:szCs w:val="24"/>
        </w:rPr>
        <w:t xml:space="preserve"> et gennemsnitligt fald på 31-33 % i eksponeringen for den aktive metabolit </w:t>
      </w:r>
      <w:proofErr w:type="spellStart"/>
      <w:r w:rsidRPr="00951EF6">
        <w:rPr>
          <w:sz w:val="24"/>
          <w:szCs w:val="24"/>
        </w:rPr>
        <w:t>eslicarbazepin</w:t>
      </w:r>
      <w:proofErr w:type="spellEnd"/>
      <w:r w:rsidRPr="00951EF6">
        <w:rPr>
          <w:sz w:val="24"/>
          <w:szCs w:val="24"/>
        </w:rPr>
        <w:t xml:space="preserve">, der sandsynligvis skyldtes induktion af </w:t>
      </w:r>
      <w:proofErr w:type="spellStart"/>
      <w:r w:rsidRPr="00951EF6">
        <w:rPr>
          <w:sz w:val="24"/>
          <w:szCs w:val="24"/>
        </w:rPr>
        <w:t>glukuronidering</w:t>
      </w:r>
      <w:proofErr w:type="spellEnd"/>
      <w:r w:rsidRPr="00951EF6">
        <w:rPr>
          <w:sz w:val="24"/>
          <w:szCs w:val="24"/>
        </w:rPr>
        <w:t xml:space="preserve">, og en gennemsnitlig stigning på 31-35 % i eksponeringen for </w:t>
      </w:r>
      <w:proofErr w:type="spellStart"/>
      <w:r w:rsidRPr="00951EF6">
        <w:rPr>
          <w:sz w:val="24"/>
          <w:szCs w:val="24"/>
        </w:rPr>
        <w:t>phenytoin</w:t>
      </w:r>
      <w:proofErr w:type="spellEnd"/>
      <w:r w:rsidRPr="00951EF6">
        <w:rPr>
          <w:sz w:val="24"/>
          <w:szCs w:val="24"/>
        </w:rPr>
        <w:t xml:space="preserve">, sandsynligvis pga. hæmning af CYP2C19. Afhængigt af den enkelte patients respons kan det være nødvendigt at øge doseringen af </w:t>
      </w:r>
      <w:proofErr w:type="spellStart"/>
      <w:r w:rsidRPr="00951EF6">
        <w:rPr>
          <w:sz w:val="24"/>
          <w:szCs w:val="24"/>
        </w:rPr>
        <w:t>eslicarbazepinacetat</w:t>
      </w:r>
      <w:proofErr w:type="spellEnd"/>
      <w:r w:rsidRPr="00951EF6">
        <w:rPr>
          <w:sz w:val="24"/>
          <w:szCs w:val="24"/>
        </w:rPr>
        <w:t xml:space="preserve"> og nedsætte doseringen af </w:t>
      </w:r>
      <w:proofErr w:type="spellStart"/>
      <w:r w:rsidRPr="00951EF6">
        <w:rPr>
          <w:sz w:val="24"/>
          <w:szCs w:val="24"/>
        </w:rPr>
        <w:t>phenytoin</w:t>
      </w:r>
      <w:proofErr w:type="spellEnd"/>
      <w:r w:rsidRPr="00951EF6">
        <w:rPr>
          <w:sz w:val="24"/>
          <w:szCs w:val="24"/>
        </w:rPr>
        <w:t>.</w:t>
      </w:r>
    </w:p>
    <w:p w14:paraId="0877838E" w14:textId="77777777" w:rsidR="00BB70D2" w:rsidRPr="00951EF6" w:rsidRDefault="00BB70D2" w:rsidP="00BB5CFF">
      <w:pPr>
        <w:ind w:left="851"/>
        <w:rPr>
          <w:sz w:val="24"/>
          <w:szCs w:val="24"/>
        </w:rPr>
      </w:pPr>
    </w:p>
    <w:p w14:paraId="6BFE82A0" w14:textId="77777777" w:rsidR="00BB70D2" w:rsidRPr="00951EF6" w:rsidRDefault="00BB70D2" w:rsidP="00BB5CFF">
      <w:pPr>
        <w:ind w:left="851"/>
        <w:rPr>
          <w:i/>
          <w:sz w:val="24"/>
          <w:szCs w:val="24"/>
        </w:rPr>
      </w:pPr>
      <w:proofErr w:type="spellStart"/>
      <w:r w:rsidRPr="00951EF6">
        <w:rPr>
          <w:i/>
          <w:sz w:val="24"/>
          <w:szCs w:val="24"/>
        </w:rPr>
        <w:t>Lamotrigin</w:t>
      </w:r>
      <w:proofErr w:type="spellEnd"/>
    </w:p>
    <w:p w14:paraId="1DE61C21" w14:textId="77777777" w:rsidR="00BB70D2" w:rsidRPr="00951EF6" w:rsidRDefault="00BB70D2" w:rsidP="00BB5CFF">
      <w:pPr>
        <w:ind w:left="851"/>
        <w:rPr>
          <w:sz w:val="24"/>
          <w:szCs w:val="24"/>
        </w:rPr>
      </w:pPr>
      <w:r w:rsidRPr="00951EF6">
        <w:rPr>
          <w:sz w:val="24"/>
          <w:szCs w:val="24"/>
        </w:rPr>
        <w:t xml:space="preserve">Metabolismen for både </w:t>
      </w:r>
      <w:proofErr w:type="spellStart"/>
      <w:r w:rsidRPr="00951EF6">
        <w:rPr>
          <w:sz w:val="24"/>
          <w:szCs w:val="24"/>
        </w:rPr>
        <w:t>eslicarbazepin</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finder især sted ved </w:t>
      </w:r>
      <w:proofErr w:type="spellStart"/>
      <w:r w:rsidRPr="00951EF6">
        <w:rPr>
          <w:sz w:val="24"/>
          <w:szCs w:val="24"/>
        </w:rPr>
        <w:t>glukuronidering</w:t>
      </w:r>
      <w:proofErr w:type="spellEnd"/>
      <w:r w:rsidRPr="00951EF6">
        <w:rPr>
          <w:sz w:val="24"/>
          <w:szCs w:val="24"/>
        </w:rPr>
        <w:t xml:space="preserve">, hvorfor interaktion kunne forventes. Et studie med administration af </w:t>
      </w:r>
      <w:proofErr w:type="spellStart"/>
      <w:r w:rsidRPr="00951EF6">
        <w:rPr>
          <w:sz w:val="24"/>
          <w:szCs w:val="24"/>
        </w:rPr>
        <w:t>eslicarbazepinacetat</w:t>
      </w:r>
      <w:proofErr w:type="spellEnd"/>
      <w:r w:rsidRPr="00951EF6">
        <w:rPr>
          <w:sz w:val="24"/>
          <w:szCs w:val="24"/>
        </w:rPr>
        <w:t xml:space="preserve"> 1.200 mg en gang dagligt til raske forsøgspersoner viste en mindre gennemsnitlig </w:t>
      </w:r>
      <w:proofErr w:type="spellStart"/>
      <w:r w:rsidRPr="00951EF6">
        <w:rPr>
          <w:sz w:val="24"/>
          <w:szCs w:val="24"/>
        </w:rPr>
        <w:t>farmakokinetisk</w:t>
      </w:r>
      <w:proofErr w:type="spellEnd"/>
      <w:r w:rsidRPr="00951EF6">
        <w:rPr>
          <w:sz w:val="24"/>
          <w:szCs w:val="24"/>
        </w:rPr>
        <w:t xml:space="preserve"> interaktion (eksponering for </w:t>
      </w:r>
      <w:proofErr w:type="spellStart"/>
      <w:r w:rsidRPr="00951EF6">
        <w:rPr>
          <w:sz w:val="24"/>
          <w:szCs w:val="24"/>
        </w:rPr>
        <w:t>lamotrigin</w:t>
      </w:r>
      <w:proofErr w:type="spellEnd"/>
      <w:r w:rsidRPr="00951EF6">
        <w:rPr>
          <w:sz w:val="24"/>
          <w:szCs w:val="24"/>
        </w:rPr>
        <w:t xml:space="preserve"> faldt med 15 %) mellem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lamotrigin</w:t>
      </w:r>
      <w:proofErr w:type="spellEnd"/>
      <w:r w:rsidRPr="00951EF6">
        <w:rPr>
          <w:sz w:val="24"/>
          <w:szCs w:val="24"/>
        </w:rPr>
        <w:t xml:space="preserve">, og dosisjustering er derfor ikke nødvendig. På grund af </w:t>
      </w:r>
      <w:proofErr w:type="spellStart"/>
      <w:r w:rsidRPr="00951EF6">
        <w:rPr>
          <w:sz w:val="24"/>
          <w:szCs w:val="24"/>
        </w:rPr>
        <w:t>interindividuel</w:t>
      </w:r>
      <w:proofErr w:type="spellEnd"/>
      <w:r w:rsidRPr="00951EF6">
        <w:rPr>
          <w:sz w:val="24"/>
          <w:szCs w:val="24"/>
        </w:rPr>
        <w:t xml:space="preserve"> variation kan virkningen være klinisk relevant hos nogle individer.</w:t>
      </w:r>
    </w:p>
    <w:p w14:paraId="1FD1D5F6" w14:textId="77777777" w:rsidR="00BB70D2" w:rsidRPr="00951EF6" w:rsidRDefault="00BB70D2" w:rsidP="00BB5CFF">
      <w:pPr>
        <w:ind w:left="851"/>
        <w:rPr>
          <w:sz w:val="24"/>
          <w:szCs w:val="24"/>
        </w:rPr>
      </w:pPr>
    </w:p>
    <w:p w14:paraId="500A0C24" w14:textId="77777777" w:rsidR="00BB70D2" w:rsidRPr="00951EF6" w:rsidRDefault="00BB70D2" w:rsidP="00BB5CFF">
      <w:pPr>
        <w:ind w:left="851"/>
        <w:rPr>
          <w:i/>
          <w:sz w:val="24"/>
          <w:szCs w:val="24"/>
        </w:rPr>
      </w:pPr>
      <w:proofErr w:type="spellStart"/>
      <w:r w:rsidRPr="00951EF6">
        <w:rPr>
          <w:i/>
          <w:sz w:val="24"/>
          <w:szCs w:val="24"/>
        </w:rPr>
        <w:t>Topiramat</w:t>
      </w:r>
      <w:proofErr w:type="spellEnd"/>
    </w:p>
    <w:p w14:paraId="2C80AFC0" w14:textId="77777777" w:rsidR="00BB70D2" w:rsidRPr="00951EF6" w:rsidRDefault="00BB70D2" w:rsidP="00BB5CFF">
      <w:pPr>
        <w:ind w:left="851"/>
        <w:rPr>
          <w:sz w:val="24"/>
          <w:szCs w:val="24"/>
        </w:rPr>
      </w:pPr>
      <w:r w:rsidRPr="00951EF6">
        <w:rPr>
          <w:sz w:val="24"/>
          <w:szCs w:val="24"/>
        </w:rPr>
        <w:t xml:space="preserve">I et studie med 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topiramat</w:t>
      </w:r>
      <w:proofErr w:type="spellEnd"/>
      <w:r w:rsidRPr="00951EF6">
        <w:rPr>
          <w:sz w:val="24"/>
          <w:szCs w:val="24"/>
        </w:rPr>
        <w:t xml:space="preserve"> til raske forsøgspersoner sås ingen signifikant ændring i eksponeringen for </w:t>
      </w:r>
      <w:proofErr w:type="spellStart"/>
      <w:r w:rsidRPr="00951EF6">
        <w:rPr>
          <w:sz w:val="24"/>
          <w:szCs w:val="24"/>
        </w:rPr>
        <w:t>eslicarbazepin</w:t>
      </w:r>
      <w:proofErr w:type="spellEnd"/>
      <w:r w:rsidRPr="00951EF6">
        <w:rPr>
          <w:sz w:val="24"/>
          <w:szCs w:val="24"/>
        </w:rPr>
        <w:t xml:space="preserve">, mens der sås et 18 % fald i eksponeringen for </w:t>
      </w:r>
      <w:proofErr w:type="spellStart"/>
      <w:r w:rsidRPr="00951EF6">
        <w:rPr>
          <w:sz w:val="24"/>
          <w:szCs w:val="24"/>
        </w:rPr>
        <w:t>topiramat</w:t>
      </w:r>
      <w:proofErr w:type="spellEnd"/>
      <w:r w:rsidRPr="00951EF6">
        <w:rPr>
          <w:sz w:val="24"/>
          <w:szCs w:val="24"/>
        </w:rPr>
        <w:t xml:space="preserve">, sandsynligvis pga. nedsat biotilgængelighed af </w:t>
      </w:r>
      <w:proofErr w:type="spellStart"/>
      <w:r w:rsidRPr="00951EF6">
        <w:rPr>
          <w:sz w:val="24"/>
          <w:szCs w:val="24"/>
        </w:rPr>
        <w:t>topiramat</w:t>
      </w:r>
      <w:proofErr w:type="spellEnd"/>
      <w:r w:rsidRPr="00951EF6">
        <w:rPr>
          <w:sz w:val="24"/>
          <w:szCs w:val="24"/>
        </w:rPr>
        <w:t>. Dosisjustering er ikke nødvendig.</w:t>
      </w:r>
    </w:p>
    <w:p w14:paraId="5FE31717" w14:textId="77777777" w:rsidR="00BB70D2" w:rsidRPr="00951EF6" w:rsidRDefault="00BB70D2" w:rsidP="00BB5CFF">
      <w:pPr>
        <w:ind w:left="851"/>
        <w:rPr>
          <w:sz w:val="24"/>
          <w:szCs w:val="24"/>
        </w:rPr>
      </w:pPr>
    </w:p>
    <w:p w14:paraId="25F9ABFE" w14:textId="77777777" w:rsidR="00BB70D2" w:rsidRPr="00951EF6" w:rsidRDefault="00BB70D2" w:rsidP="00BB5CFF">
      <w:pPr>
        <w:ind w:left="851"/>
        <w:rPr>
          <w:i/>
          <w:sz w:val="24"/>
          <w:szCs w:val="24"/>
        </w:rPr>
      </w:pPr>
      <w:proofErr w:type="spellStart"/>
      <w:r w:rsidRPr="00951EF6">
        <w:rPr>
          <w:i/>
          <w:sz w:val="24"/>
          <w:szCs w:val="24"/>
        </w:rPr>
        <w:t>Valproat</w:t>
      </w:r>
      <w:proofErr w:type="spellEnd"/>
      <w:r w:rsidRPr="00951EF6">
        <w:rPr>
          <w:i/>
          <w:sz w:val="24"/>
          <w:szCs w:val="24"/>
        </w:rPr>
        <w:t xml:space="preserve"> og </w:t>
      </w:r>
      <w:proofErr w:type="spellStart"/>
      <w:r w:rsidRPr="00951EF6">
        <w:rPr>
          <w:i/>
          <w:sz w:val="24"/>
          <w:szCs w:val="24"/>
        </w:rPr>
        <w:t>levetiracetam</w:t>
      </w:r>
      <w:proofErr w:type="spellEnd"/>
    </w:p>
    <w:p w14:paraId="7647F28E" w14:textId="77777777" w:rsidR="00BB70D2" w:rsidRPr="00951EF6" w:rsidRDefault="00BB70D2" w:rsidP="00BB5CFF">
      <w:pPr>
        <w:ind w:left="851"/>
        <w:rPr>
          <w:sz w:val="24"/>
          <w:szCs w:val="24"/>
        </w:rPr>
      </w:pPr>
      <w:r w:rsidRPr="00951EF6">
        <w:rPr>
          <w:sz w:val="24"/>
          <w:szCs w:val="24"/>
        </w:rPr>
        <w:t xml:space="preserve">En </w:t>
      </w:r>
      <w:proofErr w:type="spellStart"/>
      <w:r w:rsidRPr="00951EF6">
        <w:rPr>
          <w:sz w:val="24"/>
          <w:szCs w:val="24"/>
        </w:rPr>
        <w:t>populationsfarmakokinetisk</w:t>
      </w:r>
      <w:proofErr w:type="spellEnd"/>
      <w:r w:rsidRPr="00951EF6">
        <w:rPr>
          <w:sz w:val="24"/>
          <w:szCs w:val="24"/>
        </w:rPr>
        <w:t xml:space="preserve"> analyse af fase III-studier med voksne epilepsipatienter indikerede, at samtidig administration af </w:t>
      </w:r>
      <w:proofErr w:type="spellStart"/>
      <w:r w:rsidRPr="00951EF6">
        <w:rPr>
          <w:sz w:val="24"/>
          <w:szCs w:val="24"/>
        </w:rPr>
        <w:t>valproat</w:t>
      </w:r>
      <w:proofErr w:type="spellEnd"/>
      <w:r w:rsidRPr="00951EF6">
        <w:rPr>
          <w:sz w:val="24"/>
          <w:szCs w:val="24"/>
        </w:rPr>
        <w:t xml:space="preserve"> eller </w:t>
      </w:r>
      <w:proofErr w:type="spellStart"/>
      <w:r w:rsidRPr="00951EF6">
        <w:rPr>
          <w:sz w:val="24"/>
          <w:szCs w:val="24"/>
        </w:rPr>
        <w:t>levetiracetam</w:t>
      </w:r>
      <w:proofErr w:type="spellEnd"/>
      <w:r w:rsidRPr="00951EF6">
        <w:rPr>
          <w:sz w:val="24"/>
          <w:szCs w:val="24"/>
        </w:rPr>
        <w:t xml:space="preserve"> ikke påvirkede eksponeringen for </w:t>
      </w:r>
      <w:proofErr w:type="spellStart"/>
      <w:r w:rsidRPr="00951EF6">
        <w:rPr>
          <w:sz w:val="24"/>
          <w:szCs w:val="24"/>
        </w:rPr>
        <w:t>eslicarbazepin</w:t>
      </w:r>
      <w:proofErr w:type="spellEnd"/>
      <w:r w:rsidRPr="00951EF6">
        <w:rPr>
          <w:sz w:val="24"/>
          <w:szCs w:val="24"/>
        </w:rPr>
        <w:t>, men dette er ikke verificeret i konventionelle interaktionsundersøgelser.</w:t>
      </w:r>
    </w:p>
    <w:p w14:paraId="41313622" w14:textId="77777777" w:rsidR="00BB70D2" w:rsidRPr="00951EF6" w:rsidRDefault="00BB70D2" w:rsidP="00BB5CFF">
      <w:pPr>
        <w:ind w:left="851"/>
        <w:rPr>
          <w:sz w:val="24"/>
          <w:szCs w:val="24"/>
        </w:rPr>
      </w:pPr>
    </w:p>
    <w:p w14:paraId="17F69CA2" w14:textId="77777777" w:rsidR="00BB70D2" w:rsidRPr="00951EF6" w:rsidRDefault="00BB70D2" w:rsidP="00BB5CFF">
      <w:pPr>
        <w:ind w:left="851"/>
        <w:rPr>
          <w:i/>
          <w:sz w:val="24"/>
          <w:szCs w:val="24"/>
        </w:rPr>
      </w:pPr>
      <w:proofErr w:type="spellStart"/>
      <w:r w:rsidRPr="00951EF6">
        <w:rPr>
          <w:i/>
          <w:sz w:val="24"/>
          <w:szCs w:val="24"/>
        </w:rPr>
        <w:t>Oxcarbazepin</w:t>
      </w:r>
      <w:proofErr w:type="spellEnd"/>
    </w:p>
    <w:p w14:paraId="6AE3A401" w14:textId="77777777" w:rsidR="00BB70D2" w:rsidRPr="00951EF6" w:rsidRDefault="00BB70D2" w:rsidP="00BB5CFF">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sammen med </w:t>
      </w:r>
      <w:proofErr w:type="spellStart"/>
      <w:r w:rsidRPr="00951EF6">
        <w:rPr>
          <w:sz w:val="24"/>
          <w:szCs w:val="24"/>
        </w:rPr>
        <w:t>oxcarbazepin</w:t>
      </w:r>
      <w:proofErr w:type="spellEnd"/>
      <w:r w:rsidRPr="00951EF6">
        <w:rPr>
          <w:sz w:val="24"/>
          <w:szCs w:val="24"/>
        </w:rPr>
        <w:t>, da dette kan forårsage overeksponering for de aktive metabolitter.</w:t>
      </w:r>
    </w:p>
    <w:p w14:paraId="3A179A32" w14:textId="7C03A410" w:rsidR="00550F66" w:rsidRDefault="00550F66">
      <w:pPr>
        <w:rPr>
          <w:sz w:val="24"/>
          <w:szCs w:val="24"/>
        </w:rPr>
      </w:pPr>
      <w:r>
        <w:rPr>
          <w:sz w:val="24"/>
          <w:szCs w:val="24"/>
        </w:rPr>
        <w:br w:type="page"/>
      </w:r>
    </w:p>
    <w:p w14:paraId="32B9ED94" w14:textId="77777777" w:rsidR="00BB70D2" w:rsidRPr="00951EF6" w:rsidRDefault="00BB70D2" w:rsidP="00BB5CFF">
      <w:pPr>
        <w:ind w:left="851"/>
        <w:rPr>
          <w:sz w:val="24"/>
          <w:szCs w:val="24"/>
        </w:rPr>
      </w:pPr>
    </w:p>
    <w:p w14:paraId="3683564B" w14:textId="77777777" w:rsidR="00BB70D2" w:rsidRPr="00951EF6" w:rsidRDefault="00BB70D2" w:rsidP="00BB5CFF">
      <w:pPr>
        <w:ind w:left="851"/>
        <w:rPr>
          <w:sz w:val="24"/>
          <w:szCs w:val="24"/>
        </w:rPr>
      </w:pPr>
      <w:r w:rsidRPr="00951EF6">
        <w:rPr>
          <w:sz w:val="24"/>
          <w:szCs w:val="24"/>
          <w:u w:val="single"/>
        </w:rPr>
        <w:t>Andre lægemidler</w:t>
      </w:r>
    </w:p>
    <w:p w14:paraId="679244D3" w14:textId="77777777" w:rsidR="00BB70D2" w:rsidRPr="00951EF6" w:rsidRDefault="00BB70D2" w:rsidP="00BB5CFF">
      <w:pPr>
        <w:ind w:left="851"/>
        <w:rPr>
          <w:sz w:val="24"/>
          <w:szCs w:val="24"/>
        </w:rPr>
      </w:pPr>
    </w:p>
    <w:p w14:paraId="71673ABA" w14:textId="77777777" w:rsidR="00BB70D2" w:rsidRPr="00951EF6" w:rsidRDefault="00BB70D2" w:rsidP="00BB5CFF">
      <w:pPr>
        <w:ind w:left="851"/>
        <w:rPr>
          <w:i/>
          <w:sz w:val="24"/>
          <w:szCs w:val="24"/>
        </w:rPr>
      </w:pPr>
      <w:r w:rsidRPr="00951EF6">
        <w:rPr>
          <w:i/>
          <w:sz w:val="24"/>
          <w:szCs w:val="24"/>
        </w:rPr>
        <w:t xml:space="preserve">Orale </w:t>
      </w:r>
      <w:proofErr w:type="spellStart"/>
      <w:r w:rsidRPr="00951EF6">
        <w:rPr>
          <w:i/>
          <w:sz w:val="24"/>
          <w:szCs w:val="24"/>
        </w:rPr>
        <w:t>kontraceptiva</w:t>
      </w:r>
      <w:proofErr w:type="spellEnd"/>
    </w:p>
    <w:p w14:paraId="2044D6E0" w14:textId="30526601" w:rsidR="00BB70D2" w:rsidRPr="00951EF6" w:rsidRDefault="00BB70D2" w:rsidP="00BB5CFF">
      <w:pPr>
        <w:ind w:left="851"/>
        <w:rPr>
          <w:sz w:val="24"/>
          <w:szCs w:val="24"/>
        </w:rPr>
      </w:pPr>
      <w:r w:rsidRPr="00951EF6">
        <w:rPr>
          <w:sz w:val="24"/>
          <w:szCs w:val="24"/>
        </w:rPr>
        <w:t xml:space="preserve">Administration af </w:t>
      </w:r>
      <w:proofErr w:type="spellStart"/>
      <w:r w:rsidRPr="00951EF6">
        <w:rPr>
          <w:sz w:val="24"/>
          <w:szCs w:val="24"/>
        </w:rPr>
        <w:t>eslicarbazepinacetat</w:t>
      </w:r>
      <w:proofErr w:type="spellEnd"/>
      <w:r w:rsidRPr="00951EF6">
        <w:rPr>
          <w:sz w:val="24"/>
          <w:szCs w:val="24"/>
        </w:rPr>
        <w:t xml:space="preserve"> 1.200 mg en gang dagligt til kvindelige forsøgspersoner, som brugte et oralt </w:t>
      </w:r>
      <w:proofErr w:type="spellStart"/>
      <w:r w:rsidRPr="00951EF6">
        <w:rPr>
          <w:sz w:val="24"/>
          <w:szCs w:val="24"/>
        </w:rPr>
        <w:t>kontraceptivum</w:t>
      </w:r>
      <w:proofErr w:type="spellEnd"/>
      <w:r w:rsidRPr="00951EF6">
        <w:rPr>
          <w:sz w:val="24"/>
          <w:szCs w:val="24"/>
        </w:rPr>
        <w:t xml:space="preserve"> af kombinationstypen, viste et gennemsnitligt fald på henholdsvis 37 % og 42 % i systemisk eksponering for </w:t>
      </w:r>
      <w:proofErr w:type="spellStart"/>
      <w:r w:rsidRPr="00951EF6">
        <w:rPr>
          <w:sz w:val="24"/>
          <w:szCs w:val="24"/>
        </w:rPr>
        <w:t>levonorgestrel</w:t>
      </w:r>
      <w:proofErr w:type="spellEnd"/>
      <w:r w:rsidRPr="00951EF6">
        <w:rPr>
          <w:sz w:val="24"/>
          <w:szCs w:val="24"/>
        </w:rPr>
        <w:t xml:space="preserve"> og </w:t>
      </w:r>
      <w:proofErr w:type="spellStart"/>
      <w:r w:rsidRPr="00951EF6">
        <w:rPr>
          <w:sz w:val="24"/>
          <w:szCs w:val="24"/>
        </w:rPr>
        <w:t>ethinylestradiol</w:t>
      </w:r>
      <w:proofErr w:type="spellEnd"/>
      <w:r w:rsidRPr="00951EF6">
        <w:rPr>
          <w:sz w:val="24"/>
          <w:szCs w:val="24"/>
        </w:rPr>
        <w:t xml:space="preserve">, sandsynligvis pga. induktion af CYP3A4. Kvinder i den fertile alder skal derfor benytte tilstrækkelig </w:t>
      </w:r>
      <w:proofErr w:type="spellStart"/>
      <w:r w:rsidRPr="00951EF6">
        <w:rPr>
          <w:sz w:val="24"/>
          <w:szCs w:val="24"/>
        </w:rPr>
        <w:t>kontraception</w:t>
      </w:r>
      <w:proofErr w:type="spellEnd"/>
      <w:r w:rsidRPr="00951EF6">
        <w:rPr>
          <w:sz w:val="24"/>
          <w:szCs w:val="24"/>
        </w:rPr>
        <w:t xml:space="preserve"> under behandling med </w:t>
      </w:r>
      <w:proofErr w:type="spellStart"/>
      <w:r w:rsidR="00951EF6" w:rsidRPr="00951EF6">
        <w:rPr>
          <w:sz w:val="24"/>
          <w:szCs w:val="24"/>
        </w:rPr>
        <w:t>Arupsan</w:t>
      </w:r>
      <w:proofErr w:type="spellEnd"/>
      <w:r w:rsidRPr="00951EF6">
        <w:rPr>
          <w:sz w:val="24"/>
          <w:szCs w:val="24"/>
        </w:rPr>
        <w:t xml:space="preserve"> og frem til afslutningen på den aktuelle menstruationscyklus efter endt behandling (se pkt.</w:t>
      </w:r>
      <w:r w:rsidRPr="00951EF6">
        <w:rPr>
          <w:spacing w:val="-3"/>
          <w:sz w:val="24"/>
          <w:szCs w:val="24"/>
        </w:rPr>
        <w:t xml:space="preserve"> </w:t>
      </w:r>
      <w:r w:rsidRPr="00951EF6">
        <w:rPr>
          <w:sz w:val="24"/>
          <w:szCs w:val="24"/>
        </w:rPr>
        <w:t>4.6).</w:t>
      </w:r>
    </w:p>
    <w:p w14:paraId="0BF41908" w14:textId="77777777" w:rsidR="00BB70D2" w:rsidRPr="00951EF6" w:rsidRDefault="00BB70D2" w:rsidP="00BB5CFF">
      <w:pPr>
        <w:ind w:left="851"/>
        <w:rPr>
          <w:sz w:val="24"/>
          <w:szCs w:val="24"/>
        </w:rPr>
      </w:pPr>
    </w:p>
    <w:p w14:paraId="2E711097" w14:textId="77777777" w:rsidR="00BB70D2" w:rsidRPr="00951EF6" w:rsidRDefault="00BB70D2" w:rsidP="00BB5CFF">
      <w:pPr>
        <w:ind w:left="851"/>
        <w:rPr>
          <w:i/>
          <w:sz w:val="24"/>
          <w:szCs w:val="24"/>
        </w:rPr>
      </w:pPr>
      <w:proofErr w:type="spellStart"/>
      <w:r w:rsidRPr="00951EF6">
        <w:rPr>
          <w:i/>
          <w:sz w:val="24"/>
          <w:szCs w:val="24"/>
        </w:rPr>
        <w:t>Simvastatin</w:t>
      </w:r>
      <w:proofErr w:type="spellEnd"/>
    </w:p>
    <w:p w14:paraId="42962BAD" w14:textId="77777777" w:rsidR="00BB70D2" w:rsidRPr="00951EF6" w:rsidRDefault="00BB70D2" w:rsidP="00BB5CFF">
      <w:pPr>
        <w:ind w:left="851"/>
        <w:rPr>
          <w:sz w:val="24"/>
          <w:szCs w:val="24"/>
        </w:rPr>
      </w:pPr>
      <w:r w:rsidRPr="00951EF6">
        <w:rPr>
          <w:sz w:val="24"/>
          <w:szCs w:val="24"/>
        </w:rPr>
        <w:t xml:space="preserve">I et studie med raske forsøgspersoner sås en gennemsnitlig fald på 50 % i den systemiske eksponering for </w:t>
      </w:r>
      <w:proofErr w:type="spellStart"/>
      <w:r w:rsidRPr="00951EF6">
        <w:rPr>
          <w:sz w:val="24"/>
          <w:szCs w:val="24"/>
        </w:rPr>
        <w:t>simvastatin</w:t>
      </w:r>
      <w:proofErr w:type="spellEnd"/>
      <w:r w:rsidRPr="00951EF6">
        <w:rPr>
          <w:sz w:val="24"/>
          <w:szCs w:val="24"/>
        </w:rPr>
        <w:t xml:space="preserve">, når det blev anvendt sammen med </w:t>
      </w:r>
      <w:proofErr w:type="spellStart"/>
      <w:r w:rsidRPr="00951EF6">
        <w:rPr>
          <w:sz w:val="24"/>
          <w:szCs w:val="24"/>
        </w:rPr>
        <w:t>eslicarbazepinacetat</w:t>
      </w:r>
      <w:proofErr w:type="spellEnd"/>
      <w:r w:rsidRPr="00951EF6">
        <w:rPr>
          <w:sz w:val="24"/>
          <w:szCs w:val="24"/>
        </w:rPr>
        <w:t xml:space="preserve"> 800 mg en gang dagligt, hvilket sandsynligvis skyldtes induktion af CYP3A4. Det kan være nødvendigt at øge dosis af </w:t>
      </w:r>
      <w:proofErr w:type="spellStart"/>
      <w:r w:rsidRPr="00951EF6">
        <w:rPr>
          <w:sz w:val="24"/>
          <w:szCs w:val="24"/>
        </w:rPr>
        <w:t>simvastatin</w:t>
      </w:r>
      <w:proofErr w:type="spellEnd"/>
      <w:r w:rsidRPr="00951EF6">
        <w:rPr>
          <w:sz w:val="24"/>
          <w:szCs w:val="24"/>
        </w:rPr>
        <w:t xml:space="preserve">, når det anvendes samtidig med </w:t>
      </w:r>
      <w:proofErr w:type="spellStart"/>
      <w:r w:rsidRPr="00951EF6">
        <w:rPr>
          <w:sz w:val="24"/>
          <w:szCs w:val="24"/>
        </w:rPr>
        <w:t>eslicarbazepinacetat</w:t>
      </w:r>
      <w:proofErr w:type="spellEnd"/>
      <w:r w:rsidRPr="00951EF6">
        <w:rPr>
          <w:sz w:val="24"/>
          <w:szCs w:val="24"/>
        </w:rPr>
        <w:t>.</w:t>
      </w:r>
    </w:p>
    <w:p w14:paraId="161655E1" w14:textId="77777777" w:rsidR="00BB70D2" w:rsidRPr="00951EF6" w:rsidRDefault="00BB70D2" w:rsidP="00BB5CFF">
      <w:pPr>
        <w:ind w:left="851"/>
        <w:rPr>
          <w:sz w:val="24"/>
          <w:szCs w:val="24"/>
        </w:rPr>
      </w:pPr>
    </w:p>
    <w:p w14:paraId="71E95DE5" w14:textId="77777777" w:rsidR="00BB70D2" w:rsidRPr="00951EF6" w:rsidRDefault="00BB70D2" w:rsidP="00BB5CFF">
      <w:pPr>
        <w:ind w:left="851"/>
        <w:rPr>
          <w:i/>
          <w:sz w:val="24"/>
          <w:szCs w:val="24"/>
        </w:rPr>
      </w:pPr>
      <w:proofErr w:type="spellStart"/>
      <w:r w:rsidRPr="00951EF6">
        <w:rPr>
          <w:i/>
          <w:sz w:val="24"/>
          <w:szCs w:val="24"/>
        </w:rPr>
        <w:t>Rosuvastatin</w:t>
      </w:r>
      <w:proofErr w:type="spellEnd"/>
    </w:p>
    <w:p w14:paraId="20C40D22" w14:textId="27E6E11E" w:rsidR="00BB70D2" w:rsidRPr="00951EF6" w:rsidRDefault="00BB70D2" w:rsidP="00BB5CFF">
      <w:pPr>
        <w:ind w:left="851"/>
        <w:rPr>
          <w:sz w:val="24"/>
          <w:szCs w:val="24"/>
        </w:rPr>
      </w:pPr>
      <w:r w:rsidRPr="00951EF6">
        <w:rPr>
          <w:sz w:val="24"/>
          <w:szCs w:val="24"/>
        </w:rPr>
        <w:t xml:space="preserve">Der var et gennemsnitligt fald på 36-39 % i systemisk eksponering hos raske forsøgspersoner ved indgivelse samtidig med </w:t>
      </w:r>
      <w:proofErr w:type="spellStart"/>
      <w:r w:rsidRPr="00951EF6">
        <w:rPr>
          <w:sz w:val="24"/>
          <w:szCs w:val="24"/>
        </w:rPr>
        <w:t>eslicarbazepinacetat</w:t>
      </w:r>
      <w:proofErr w:type="spellEnd"/>
      <w:r w:rsidRPr="00951EF6">
        <w:rPr>
          <w:sz w:val="24"/>
          <w:szCs w:val="24"/>
        </w:rPr>
        <w:t xml:space="preserve"> 1.200 mg én gang dagligt. Mekanismen bag denne reduktion kendes ikke, men kan skyldes interferens fra transporteraktivitet for </w:t>
      </w:r>
      <w:proofErr w:type="spellStart"/>
      <w:r w:rsidRPr="00951EF6">
        <w:rPr>
          <w:sz w:val="24"/>
          <w:szCs w:val="24"/>
        </w:rPr>
        <w:t>rosuvastatin</w:t>
      </w:r>
      <w:proofErr w:type="spellEnd"/>
      <w:r w:rsidRPr="00951EF6">
        <w:rPr>
          <w:sz w:val="24"/>
          <w:szCs w:val="24"/>
        </w:rPr>
        <w:t xml:space="preserve"> alene eller i kombination med induktion af dets metabolisme. Da forholdet mellem eksponering og lægemiddelaktivitet er uklart, anbefales det at monitorere behandlingsresponset (</w:t>
      </w:r>
      <w:r w:rsidR="00377307">
        <w:rPr>
          <w:sz w:val="24"/>
          <w:szCs w:val="24"/>
        </w:rPr>
        <w:t>f.eks.</w:t>
      </w:r>
      <w:r w:rsidRPr="00951EF6">
        <w:rPr>
          <w:sz w:val="24"/>
          <w:szCs w:val="24"/>
        </w:rPr>
        <w:t xml:space="preserve"> kolesteroltal).</w:t>
      </w:r>
    </w:p>
    <w:p w14:paraId="1C389D68" w14:textId="77777777" w:rsidR="00BB70D2" w:rsidRPr="00951EF6" w:rsidRDefault="00BB70D2" w:rsidP="00BB5CFF">
      <w:pPr>
        <w:ind w:left="851"/>
        <w:rPr>
          <w:sz w:val="24"/>
          <w:szCs w:val="24"/>
        </w:rPr>
      </w:pPr>
    </w:p>
    <w:p w14:paraId="42FB6045" w14:textId="77777777" w:rsidR="00BB70D2" w:rsidRPr="00951EF6" w:rsidRDefault="00BB70D2" w:rsidP="00BB5CFF">
      <w:pPr>
        <w:ind w:left="851"/>
        <w:rPr>
          <w:i/>
          <w:sz w:val="24"/>
          <w:szCs w:val="24"/>
        </w:rPr>
      </w:pPr>
      <w:proofErr w:type="spellStart"/>
      <w:r w:rsidRPr="00951EF6">
        <w:rPr>
          <w:i/>
          <w:sz w:val="24"/>
          <w:szCs w:val="24"/>
        </w:rPr>
        <w:t>Warfarin</w:t>
      </w:r>
      <w:proofErr w:type="spellEnd"/>
    </w:p>
    <w:p w14:paraId="2F903640" w14:textId="17DC4404" w:rsidR="00BB70D2" w:rsidRPr="00951EF6" w:rsidRDefault="00BB70D2" w:rsidP="00BB5CFF">
      <w:pPr>
        <w:ind w:left="851"/>
        <w:rPr>
          <w:sz w:val="24"/>
          <w:szCs w:val="24"/>
        </w:rPr>
      </w:pPr>
      <w:r w:rsidRPr="00951EF6">
        <w:rPr>
          <w:sz w:val="24"/>
          <w:szCs w:val="24"/>
        </w:rPr>
        <w:t xml:space="preserve">Samtidig administration af </w:t>
      </w:r>
      <w:proofErr w:type="spellStart"/>
      <w:r w:rsidRPr="00951EF6">
        <w:rPr>
          <w:sz w:val="24"/>
          <w:szCs w:val="24"/>
        </w:rPr>
        <w:t>eslicarbazepinacetat</w:t>
      </w:r>
      <w:proofErr w:type="spellEnd"/>
      <w:r w:rsidRPr="00951EF6">
        <w:rPr>
          <w:sz w:val="24"/>
          <w:szCs w:val="24"/>
        </w:rPr>
        <w:t xml:space="preserve"> 1.200 mg en gang dagligt og </w:t>
      </w:r>
      <w:proofErr w:type="spellStart"/>
      <w:r w:rsidRPr="00951EF6">
        <w:rPr>
          <w:sz w:val="24"/>
          <w:szCs w:val="24"/>
        </w:rPr>
        <w:t>warfarin</w:t>
      </w:r>
      <w:proofErr w:type="spellEnd"/>
      <w:r w:rsidRPr="00951EF6">
        <w:rPr>
          <w:sz w:val="24"/>
          <w:szCs w:val="24"/>
        </w:rPr>
        <w:t xml:space="preserve"> viste et lille (23 %), men statistisk signifikant fald i eksponeringen for S-</w:t>
      </w:r>
      <w:proofErr w:type="spellStart"/>
      <w:r w:rsidRPr="00951EF6">
        <w:rPr>
          <w:sz w:val="24"/>
          <w:szCs w:val="24"/>
        </w:rPr>
        <w:t>warfarin</w:t>
      </w:r>
      <w:proofErr w:type="spellEnd"/>
      <w:r w:rsidRPr="00951EF6">
        <w:rPr>
          <w:sz w:val="24"/>
          <w:szCs w:val="24"/>
        </w:rPr>
        <w:t>. Der sås ingen virkning på R-</w:t>
      </w:r>
      <w:proofErr w:type="spellStart"/>
      <w:r w:rsidRPr="00951EF6">
        <w:rPr>
          <w:sz w:val="24"/>
          <w:szCs w:val="24"/>
        </w:rPr>
        <w:t>warfarins</w:t>
      </w:r>
      <w:proofErr w:type="spellEnd"/>
      <w:r w:rsidRPr="00951EF6">
        <w:rPr>
          <w:sz w:val="24"/>
          <w:szCs w:val="24"/>
        </w:rPr>
        <w:t xml:space="preserve"> farmakokinetik eller på koagulationen. På grund af </w:t>
      </w:r>
      <w:proofErr w:type="spellStart"/>
      <w:r w:rsidRPr="00951EF6">
        <w:rPr>
          <w:sz w:val="24"/>
          <w:szCs w:val="24"/>
        </w:rPr>
        <w:t>interindividuel</w:t>
      </w:r>
      <w:proofErr w:type="spellEnd"/>
      <w:r w:rsidRPr="00951EF6">
        <w:rPr>
          <w:sz w:val="24"/>
          <w:szCs w:val="24"/>
        </w:rPr>
        <w:t xml:space="preserve"> variation i</w:t>
      </w:r>
      <w:r w:rsidRPr="00951EF6">
        <w:rPr>
          <w:spacing w:val="19"/>
          <w:sz w:val="24"/>
          <w:szCs w:val="24"/>
        </w:rPr>
        <w:t xml:space="preserve"> </w:t>
      </w:r>
      <w:r w:rsidRPr="00951EF6">
        <w:rPr>
          <w:sz w:val="24"/>
          <w:szCs w:val="24"/>
        </w:rPr>
        <w:t>interaktionen</w:t>
      </w:r>
      <w:r w:rsidR="00B4453E">
        <w:rPr>
          <w:sz w:val="24"/>
          <w:szCs w:val="24"/>
        </w:rPr>
        <w:t xml:space="preserve"> </w:t>
      </w:r>
      <w:r w:rsidRPr="00951EF6">
        <w:rPr>
          <w:sz w:val="24"/>
          <w:szCs w:val="24"/>
        </w:rPr>
        <w:t xml:space="preserve">skal INR dog monitoreres i de første uger efter indledning eller afslutning af samtidig behandling med </w:t>
      </w:r>
      <w:proofErr w:type="spellStart"/>
      <w:r w:rsidRPr="00951EF6">
        <w:rPr>
          <w:sz w:val="24"/>
          <w:szCs w:val="24"/>
        </w:rPr>
        <w:t>warfarin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w:t>
      </w:r>
    </w:p>
    <w:p w14:paraId="4A7DFCCE" w14:textId="77777777" w:rsidR="00BB70D2" w:rsidRPr="00951EF6" w:rsidRDefault="00BB70D2" w:rsidP="00BB5CFF">
      <w:pPr>
        <w:ind w:left="851"/>
        <w:rPr>
          <w:sz w:val="24"/>
          <w:szCs w:val="24"/>
        </w:rPr>
      </w:pPr>
    </w:p>
    <w:p w14:paraId="5E585695" w14:textId="77777777" w:rsidR="00BB70D2" w:rsidRPr="00951EF6" w:rsidRDefault="00BB70D2" w:rsidP="00BB5CFF">
      <w:pPr>
        <w:ind w:left="851"/>
        <w:rPr>
          <w:i/>
          <w:sz w:val="24"/>
          <w:szCs w:val="24"/>
        </w:rPr>
      </w:pPr>
      <w:proofErr w:type="spellStart"/>
      <w:r w:rsidRPr="00951EF6">
        <w:rPr>
          <w:i/>
          <w:sz w:val="24"/>
          <w:szCs w:val="24"/>
        </w:rPr>
        <w:t>Digoxin</w:t>
      </w:r>
      <w:proofErr w:type="spellEnd"/>
    </w:p>
    <w:p w14:paraId="7DFE739B" w14:textId="77777777" w:rsidR="00BB70D2" w:rsidRPr="00951EF6" w:rsidRDefault="00BB70D2" w:rsidP="00BB5CFF">
      <w:pPr>
        <w:ind w:left="851"/>
        <w:rPr>
          <w:sz w:val="24"/>
          <w:szCs w:val="24"/>
        </w:rPr>
      </w:pPr>
      <w:r w:rsidRPr="00951EF6">
        <w:rPr>
          <w:sz w:val="24"/>
          <w:szCs w:val="24"/>
        </w:rPr>
        <w:t xml:space="preserve">I et studie med raske forsøgspersoner havde </w:t>
      </w:r>
      <w:proofErr w:type="spellStart"/>
      <w:r w:rsidRPr="00951EF6">
        <w:rPr>
          <w:sz w:val="24"/>
          <w:szCs w:val="24"/>
        </w:rPr>
        <w:t>eslicarbazepinacetat</w:t>
      </w:r>
      <w:proofErr w:type="spellEnd"/>
      <w:r w:rsidRPr="00951EF6">
        <w:rPr>
          <w:sz w:val="24"/>
          <w:szCs w:val="24"/>
        </w:rPr>
        <w:t xml:space="preserve"> 1.200 mg en gang dagligt ingen effekt på </w:t>
      </w:r>
      <w:proofErr w:type="spellStart"/>
      <w:r w:rsidRPr="00951EF6">
        <w:rPr>
          <w:sz w:val="24"/>
          <w:szCs w:val="24"/>
        </w:rPr>
        <w:t>digoxins</w:t>
      </w:r>
      <w:proofErr w:type="spellEnd"/>
      <w:r w:rsidRPr="00951EF6">
        <w:rPr>
          <w:sz w:val="24"/>
          <w:szCs w:val="24"/>
        </w:rPr>
        <w:t xml:space="preserve"> farmakokinetik, hvilket tyder på, at </w:t>
      </w:r>
      <w:proofErr w:type="spellStart"/>
      <w:r w:rsidRPr="00951EF6">
        <w:rPr>
          <w:sz w:val="24"/>
          <w:szCs w:val="24"/>
        </w:rPr>
        <w:t>eslicarbazepinacetat</w:t>
      </w:r>
      <w:proofErr w:type="spellEnd"/>
      <w:r w:rsidRPr="00951EF6">
        <w:rPr>
          <w:sz w:val="24"/>
          <w:szCs w:val="24"/>
        </w:rPr>
        <w:t xml:space="preserve"> ikke har nogen effekt på transportproteinet P-</w:t>
      </w:r>
      <w:proofErr w:type="spellStart"/>
      <w:r w:rsidRPr="00951EF6">
        <w:rPr>
          <w:sz w:val="24"/>
          <w:szCs w:val="24"/>
        </w:rPr>
        <w:t>glykoprotein</w:t>
      </w:r>
      <w:proofErr w:type="spellEnd"/>
      <w:r w:rsidRPr="00951EF6">
        <w:rPr>
          <w:sz w:val="24"/>
          <w:szCs w:val="24"/>
        </w:rPr>
        <w:t>.</w:t>
      </w:r>
    </w:p>
    <w:p w14:paraId="25A60D94" w14:textId="77777777" w:rsidR="00BB70D2" w:rsidRPr="00951EF6" w:rsidRDefault="00BB70D2" w:rsidP="00BB5CFF">
      <w:pPr>
        <w:ind w:left="851"/>
        <w:rPr>
          <w:sz w:val="24"/>
          <w:szCs w:val="24"/>
        </w:rPr>
      </w:pPr>
    </w:p>
    <w:p w14:paraId="6E639B70" w14:textId="77777777" w:rsidR="00BB70D2" w:rsidRPr="00951EF6" w:rsidRDefault="00BB70D2" w:rsidP="00BB5CFF">
      <w:pPr>
        <w:ind w:left="851"/>
        <w:rPr>
          <w:i/>
          <w:sz w:val="24"/>
          <w:szCs w:val="24"/>
        </w:rPr>
      </w:pPr>
      <w:proofErr w:type="spellStart"/>
      <w:r w:rsidRPr="00951EF6">
        <w:rPr>
          <w:i/>
          <w:sz w:val="24"/>
          <w:szCs w:val="24"/>
        </w:rPr>
        <w:t>Monoaminooxidasehæmmere</w:t>
      </w:r>
      <w:proofErr w:type="spellEnd"/>
      <w:r w:rsidRPr="00951EF6">
        <w:rPr>
          <w:i/>
          <w:sz w:val="24"/>
          <w:szCs w:val="24"/>
        </w:rPr>
        <w:t xml:space="preserve"> (MAO-</w:t>
      </w:r>
      <w:proofErr w:type="spellStart"/>
      <w:r w:rsidRPr="00951EF6">
        <w:rPr>
          <w:i/>
          <w:sz w:val="24"/>
          <w:szCs w:val="24"/>
        </w:rPr>
        <w:t>hæmmere</w:t>
      </w:r>
      <w:proofErr w:type="spellEnd"/>
      <w:r w:rsidRPr="00951EF6">
        <w:rPr>
          <w:i/>
          <w:sz w:val="24"/>
          <w:szCs w:val="24"/>
        </w:rPr>
        <w:t>)</w:t>
      </w:r>
    </w:p>
    <w:p w14:paraId="7E4F0C1F" w14:textId="77777777" w:rsidR="00BB70D2" w:rsidRPr="00951EF6" w:rsidRDefault="00BB70D2" w:rsidP="00BB5CFF">
      <w:pPr>
        <w:ind w:left="851"/>
        <w:rPr>
          <w:sz w:val="24"/>
          <w:szCs w:val="24"/>
        </w:rPr>
      </w:pPr>
      <w:r w:rsidRPr="00951EF6">
        <w:rPr>
          <w:sz w:val="24"/>
          <w:szCs w:val="24"/>
        </w:rPr>
        <w:t xml:space="preserve">Da </w:t>
      </w:r>
      <w:proofErr w:type="spellStart"/>
      <w:r w:rsidRPr="00951EF6">
        <w:rPr>
          <w:sz w:val="24"/>
          <w:szCs w:val="24"/>
        </w:rPr>
        <w:t>eslicarbazepinacetat</w:t>
      </w:r>
      <w:proofErr w:type="spellEnd"/>
      <w:r w:rsidRPr="00951EF6">
        <w:rPr>
          <w:sz w:val="24"/>
          <w:szCs w:val="24"/>
        </w:rPr>
        <w:t xml:space="preserve"> er strukturelt beslægtet med tricykliske </w:t>
      </w:r>
      <w:proofErr w:type="spellStart"/>
      <w:r w:rsidRPr="00951EF6">
        <w:rPr>
          <w:sz w:val="24"/>
          <w:szCs w:val="24"/>
        </w:rPr>
        <w:t>antidepressiva</w:t>
      </w:r>
      <w:proofErr w:type="spellEnd"/>
      <w:r w:rsidRPr="00951EF6">
        <w:rPr>
          <w:sz w:val="24"/>
          <w:szCs w:val="24"/>
        </w:rPr>
        <w:t xml:space="preserve">, er interaktion mellem </w:t>
      </w:r>
      <w:proofErr w:type="spellStart"/>
      <w:r w:rsidRPr="00951EF6">
        <w:rPr>
          <w:sz w:val="24"/>
          <w:szCs w:val="24"/>
        </w:rPr>
        <w:t>eslicarbazepinacetat</w:t>
      </w:r>
      <w:proofErr w:type="spellEnd"/>
      <w:r w:rsidRPr="00951EF6">
        <w:rPr>
          <w:sz w:val="24"/>
          <w:szCs w:val="24"/>
        </w:rPr>
        <w:t xml:space="preserve"> og MAO-</w:t>
      </w:r>
      <w:proofErr w:type="spellStart"/>
      <w:r w:rsidRPr="00951EF6">
        <w:rPr>
          <w:sz w:val="24"/>
          <w:szCs w:val="24"/>
        </w:rPr>
        <w:t>hæmmere</w:t>
      </w:r>
      <w:proofErr w:type="spellEnd"/>
      <w:r w:rsidRPr="00951EF6">
        <w:rPr>
          <w:sz w:val="24"/>
          <w:szCs w:val="24"/>
        </w:rPr>
        <w:t xml:space="preserve"> teoretisk mulig.</w:t>
      </w:r>
    </w:p>
    <w:p w14:paraId="7DFA2FED" w14:textId="77777777" w:rsidR="009260DE" w:rsidRPr="00951EF6" w:rsidRDefault="009260DE" w:rsidP="009260DE">
      <w:pPr>
        <w:tabs>
          <w:tab w:val="left" w:pos="851"/>
        </w:tabs>
        <w:ind w:left="851"/>
        <w:rPr>
          <w:sz w:val="24"/>
          <w:szCs w:val="24"/>
        </w:rPr>
      </w:pPr>
    </w:p>
    <w:p w14:paraId="020D9103" w14:textId="77777777" w:rsidR="009260DE" w:rsidRPr="00951EF6" w:rsidRDefault="009260DE" w:rsidP="009260DE">
      <w:pPr>
        <w:tabs>
          <w:tab w:val="left" w:pos="851"/>
        </w:tabs>
        <w:ind w:left="851" w:hanging="851"/>
        <w:rPr>
          <w:b/>
          <w:sz w:val="24"/>
          <w:szCs w:val="24"/>
        </w:rPr>
      </w:pPr>
      <w:r w:rsidRPr="00951EF6">
        <w:rPr>
          <w:b/>
          <w:sz w:val="24"/>
          <w:szCs w:val="24"/>
        </w:rPr>
        <w:t>4.6</w:t>
      </w:r>
      <w:r w:rsidRPr="00951EF6">
        <w:rPr>
          <w:b/>
          <w:sz w:val="24"/>
          <w:szCs w:val="24"/>
        </w:rPr>
        <w:tab/>
        <w:t>Graviditet og amning</w:t>
      </w:r>
    </w:p>
    <w:p w14:paraId="42B1C19D" w14:textId="77777777" w:rsidR="00CD2EC0" w:rsidRPr="00951EF6" w:rsidRDefault="00CD2EC0" w:rsidP="00BB5CFF">
      <w:pPr>
        <w:ind w:left="851"/>
        <w:rPr>
          <w:sz w:val="24"/>
          <w:szCs w:val="24"/>
        </w:rPr>
      </w:pPr>
    </w:p>
    <w:p w14:paraId="1B992177" w14:textId="77777777" w:rsidR="006C4DB3" w:rsidRDefault="006C4DB3" w:rsidP="006C4DB3">
      <w:pPr>
        <w:ind w:left="851"/>
        <w:rPr>
          <w:sz w:val="24"/>
          <w:szCs w:val="24"/>
          <w:u w:val="single"/>
        </w:rPr>
      </w:pPr>
      <w:r>
        <w:rPr>
          <w:sz w:val="24"/>
          <w:szCs w:val="24"/>
          <w:u w:val="single"/>
        </w:rPr>
        <w:t>Graviditet</w:t>
      </w:r>
    </w:p>
    <w:p w14:paraId="5CA58F98" w14:textId="77777777" w:rsidR="006C4DB3" w:rsidRDefault="006C4DB3" w:rsidP="006C4DB3">
      <w:pPr>
        <w:ind w:left="851"/>
        <w:rPr>
          <w:sz w:val="24"/>
          <w:szCs w:val="24"/>
          <w:u w:val="single"/>
        </w:rPr>
      </w:pPr>
    </w:p>
    <w:p w14:paraId="5682B15B" w14:textId="77777777" w:rsidR="006C4DB3" w:rsidRDefault="006C4DB3" w:rsidP="006C4DB3">
      <w:pPr>
        <w:ind w:left="851"/>
        <w:rPr>
          <w:sz w:val="24"/>
          <w:szCs w:val="24"/>
          <w:u w:val="single"/>
        </w:rPr>
      </w:pPr>
      <w:r>
        <w:rPr>
          <w:sz w:val="24"/>
          <w:szCs w:val="24"/>
          <w:u w:val="single"/>
        </w:rPr>
        <w:t xml:space="preserve">Risiko forbundet med epilepsi og </w:t>
      </w:r>
      <w:proofErr w:type="spellStart"/>
      <w:r>
        <w:rPr>
          <w:sz w:val="24"/>
          <w:szCs w:val="24"/>
          <w:u w:val="single"/>
        </w:rPr>
        <w:t>antiepileptika</w:t>
      </w:r>
      <w:proofErr w:type="spellEnd"/>
      <w:r>
        <w:rPr>
          <w:sz w:val="24"/>
          <w:szCs w:val="24"/>
          <w:u w:val="single"/>
        </w:rPr>
        <w:t xml:space="preserve"> generelt</w:t>
      </w:r>
    </w:p>
    <w:p w14:paraId="6EDAC28D" w14:textId="77777777" w:rsidR="006C4DB3" w:rsidRDefault="006C4DB3" w:rsidP="006C4DB3">
      <w:pPr>
        <w:ind w:left="851"/>
        <w:rPr>
          <w:sz w:val="24"/>
          <w:szCs w:val="24"/>
        </w:rPr>
      </w:pPr>
    </w:p>
    <w:p w14:paraId="59669AE6" w14:textId="276EA6E1" w:rsidR="006C4DB3" w:rsidRDefault="006C4DB3" w:rsidP="006C4DB3">
      <w:pPr>
        <w:ind w:left="851"/>
        <w:rPr>
          <w:sz w:val="24"/>
          <w:szCs w:val="24"/>
        </w:rPr>
      </w:pPr>
      <w:r>
        <w:rPr>
          <w:sz w:val="24"/>
          <w:szCs w:val="24"/>
        </w:rPr>
        <w:t>Det er påvist, at hos børn af kvindelige epileptikere, der får en antiepileptisk behandling</w:t>
      </w:r>
      <w:r>
        <w:rPr>
          <w:sz w:val="22"/>
          <w:szCs w:val="22"/>
        </w:rPr>
        <w:t xml:space="preserve">, </w:t>
      </w:r>
      <w:r>
        <w:rPr>
          <w:sz w:val="24"/>
          <w:szCs w:val="24"/>
        </w:rPr>
        <w:t xml:space="preserve">fordobles eller tredobles prævalensen af misdannelser i forhold til forekomsten på ca. 3 % </w:t>
      </w:r>
      <w:r>
        <w:rPr>
          <w:sz w:val="24"/>
          <w:szCs w:val="24"/>
        </w:rPr>
        <w:lastRenderedPageBreak/>
        <w:t xml:space="preserve">hos befolkningen generelt. De hyppigst rapporterede misdannelser er hareskår, </w:t>
      </w:r>
      <w:proofErr w:type="spellStart"/>
      <w:r>
        <w:rPr>
          <w:sz w:val="24"/>
          <w:szCs w:val="24"/>
        </w:rPr>
        <w:t>kardiovaskulære</w:t>
      </w:r>
      <w:proofErr w:type="spellEnd"/>
      <w:r>
        <w:rPr>
          <w:sz w:val="24"/>
          <w:szCs w:val="24"/>
        </w:rPr>
        <w:t xml:space="preserve"> misdannelser og neuralrørsdefekter. Alle fertile kvinder, der får antiepileptisk behandling, bør informeres af en speciallæge om den potentielle risiko for et foster som følge af både krampeanfald og antiepileptisk behandling. Dette gælder især kvinder, der planlægger at blive gravide, og kvinder, som er gravide. En brat </w:t>
      </w:r>
      <w:proofErr w:type="spellStart"/>
      <w:r>
        <w:rPr>
          <w:sz w:val="24"/>
          <w:szCs w:val="24"/>
        </w:rPr>
        <w:t>seponering</w:t>
      </w:r>
      <w:proofErr w:type="spellEnd"/>
      <w:r>
        <w:rPr>
          <w:sz w:val="24"/>
          <w:szCs w:val="24"/>
        </w:rPr>
        <w:t xml:space="preserve"> af behandling med </w:t>
      </w:r>
      <w:proofErr w:type="spellStart"/>
      <w:r>
        <w:rPr>
          <w:sz w:val="24"/>
          <w:szCs w:val="24"/>
        </w:rPr>
        <w:t>antiepileptikum</w:t>
      </w:r>
      <w:proofErr w:type="spellEnd"/>
      <w:r>
        <w:rPr>
          <w:sz w:val="24"/>
          <w:szCs w:val="24"/>
        </w:rPr>
        <w:t xml:space="preserve"> (AED) bør undgås, da det kan føre til anfald, som kunne have alvorlige konsekvenser for kvinden og det ufødte barn. </w:t>
      </w:r>
    </w:p>
    <w:p w14:paraId="5051572D" w14:textId="77777777" w:rsidR="006C4DB3" w:rsidRDefault="006C4DB3" w:rsidP="006C4DB3">
      <w:pPr>
        <w:ind w:left="851"/>
        <w:rPr>
          <w:sz w:val="24"/>
          <w:szCs w:val="24"/>
        </w:rPr>
      </w:pPr>
      <w:r>
        <w:rPr>
          <w:sz w:val="24"/>
          <w:szCs w:val="24"/>
        </w:rPr>
        <w:t xml:space="preserve">Monoterapi foretrækkes til behandling af epilepsi under graviditet, når det er muligt, da behandling med flere </w:t>
      </w:r>
      <w:proofErr w:type="spellStart"/>
      <w:r>
        <w:rPr>
          <w:sz w:val="24"/>
          <w:szCs w:val="24"/>
        </w:rPr>
        <w:t>AED’er</w:t>
      </w:r>
      <w:proofErr w:type="spellEnd"/>
      <w:r>
        <w:rPr>
          <w:sz w:val="24"/>
          <w:szCs w:val="24"/>
        </w:rPr>
        <w:t xml:space="preserve"> kan være forbundet med en højere risiko for medfødte misdannelser end monoterapi afhængig af de anvendte </w:t>
      </w:r>
      <w:proofErr w:type="spellStart"/>
      <w:r>
        <w:rPr>
          <w:sz w:val="24"/>
          <w:szCs w:val="24"/>
        </w:rPr>
        <w:t>AED’er</w:t>
      </w:r>
      <w:proofErr w:type="spellEnd"/>
      <w:r>
        <w:rPr>
          <w:sz w:val="24"/>
          <w:szCs w:val="24"/>
        </w:rPr>
        <w:t>.</w:t>
      </w:r>
    </w:p>
    <w:p w14:paraId="5B8A2938" w14:textId="77777777" w:rsidR="006C4DB3" w:rsidRDefault="006C4DB3" w:rsidP="006C4DB3">
      <w:pPr>
        <w:ind w:left="851"/>
        <w:rPr>
          <w:sz w:val="24"/>
          <w:szCs w:val="24"/>
        </w:rPr>
      </w:pPr>
      <w:r>
        <w:rPr>
          <w:sz w:val="24"/>
          <w:szCs w:val="24"/>
        </w:rPr>
        <w:t xml:space="preserve"> </w:t>
      </w:r>
    </w:p>
    <w:p w14:paraId="5E5C3B4F" w14:textId="77777777" w:rsidR="006C4DB3" w:rsidRDefault="006C4DB3" w:rsidP="006C4DB3">
      <w:pPr>
        <w:ind w:left="851"/>
        <w:rPr>
          <w:sz w:val="24"/>
          <w:szCs w:val="24"/>
        </w:rPr>
      </w:pPr>
      <w:r>
        <w:rPr>
          <w:sz w:val="24"/>
          <w:szCs w:val="24"/>
        </w:rPr>
        <w:t xml:space="preserve">Der er observeret </w:t>
      </w:r>
      <w:proofErr w:type="spellStart"/>
      <w:r>
        <w:rPr>
          <w:sz w:val="24"/>
          <w:szCs w:val="24"/>
        </w:rPr>
        <w:t>neuroudviklingsmæssige</w:t>
      </w:r>
      <w:proofErr w:type="spellEnd"/>
      <w:r>
        <w:rPr>
          <w:sz w:val="24"/>
          <w:szCs w:val="24"/>
        </w:rPr>
        <w:t xml:space="preserve"> forstyrrelser hos børn af mødre med epilepsi, der får en antiepileptisk behandling. Der foreligger ingen data for </w:t>
      </w:r>
      <w:proofErr w:type="spellStart"/>
      <w:r>
        <w:rPr>
          <w:sz w:val="24"/>
          <w:szCs w:val="24"/>
        </w:rPr>
        <w:t>eslicarbazepinacetat</w:t>
      </w:r>
      <w:proofErr w:type="spellEnd"/>
      <w:r>
        <w:rPr>
          <w:sz w:val="24"/>
          <w:szCs w:val="24"/>
        </w:rPr>
        <w:t xml:space="preserve"> vedrørende denne risiko.</w:t>
      </w:r>
    </w:p>
    <w:p w14:paraId="135C2A1B" w14:textId="77777777" w:rsidR="006C4DB3" w:rsidRDefault="006C4DB3" w:rsidP="006C4DB3">
      <w:pPr>
        <w:ind w:left="851"/>
        <w:rPr>
          <w:sz w:val="24"/>
          <w:szCs w:val="24"/>
        </w:rPr>
      </w:pPr>
    </w:p>
    <w:p w14:paraId="51C81092" w14:textId="77777777" w:rsidR="006C4DB3" w:rsidRDefault="006C4DB3" w:rsidP="006C4DB3">
      <w:pPr>
        <w:ind w:left="851"/>
        <w:rPr>
          <w:sz w:val="24"/>
          <w:szCs w:val="24"/>
          <w:u w:val="single"/>
        </w:rPr>
      </w:pPr>
      <w:r>
        <w:rPr>
          <w:sz w:val="24"/>
          <w:szCs w:val="24"/>
          <w:u w:val="single"/>
        </w:rPr>
        <w:t>Fertile kvinder/</w:t>
      </w:r>
      <w:proofErr w:type="spellStart"/>
      <w:r>
        <w:rPr>
          <w:sz w:val="24"/>
          <w:szCs w:val="24"/>
          <w:u w:val="single"/>
        </w:rPr>
        <w:t>kontraception</w:t>
      </w:r>
      <w:proofErr w:type="spellEnd"/>
    </w:p>
    <w:p w14:paraId="033084D0" w14:textId="77777777" w:rsidR="006C4DB3" w:rsidRDefault="006C4DB3" w:rsidP="006C4DB3">
      <w:pPr>
        <w:ind w:left="851"/>
        <w:rPr>
          <w:sz w:val="24"/>
          <w:szCs w:val="24"/>
        </w:rPr>
      </w:pPr>
    </w:p>
    <w:p w14:paraId="7763D5E2" w14:textId="77777777" w:rsidR="006C4DB3" w:rsidRDefault="006C4DB3" w:rsidP="006C4DB3">
      <w:pPr>
        <w:ind w:left="851"/>
        <w:rPr>
          <w:sz w:val="24"/>
          <w:szCs w:val="24"/>
        </w:rPr>
      </w:pPr>
      <w:r>
        <w:rPr>
          <w:sz w:val="24"/>
          <w:szCs w:val="24"/>
        </w:rPr>
        <w:t xml:space="preserve">Fertile kvinder skal bruge sikker </w:t>
      </w:r>
      <w:proofErr w:type="spellStart"/>
      <w:r>
        <w:rPr>
          <w:sz w:val="24"/>
          <w:szCs w:val="24"/>
        </w:rPr>
        <w:t>kontraception</w:t>
      </w:r>
      <w:proofErr w:type="spellEnd"/>
      <w:r>
        <w:rPr>
          <w:sz w:val="24"/>
          <w:szCs w:val="24"/>
        </w:rPr>
        <w:t xml:space="preserve"> under behandling med </w:t>
      </w:r>
      <w:proofErr w:type="spellStart"/>
      <w:r>
        <w:rPr>
          <w:sz w:val="24"/>
          <w:szCs w:val="24"/>
        </w:rPr>
        <w:t>eslicarbazepinacetat</w:t>
      </w:r>
      <w:proofErr w:type="spellEnd"/>
      <w:r>
        <w:rPr>
          <w:sz w:val="24"/>
          <w:szCs w:val="24"/>
        </w:rPr>
        <w:t xml:space="preserve">. Interaktion ved samtidig behandling med </w:t>
      </w:r>
      <w:proofErr w:type="spellStart"/>
      <w:r>
        <w:rPr>
          <w:sz w:val="24"/>
          <w:szCs w:val="24"/>
        </w:rPr>
        <w:t>eslicarbazepinacetat</w:t>
      </w:r>
      <w:proofErr w:type="spellEnd"/>
      <w:r>
        <w:rPr>
          <w:sz w:val="24"/>
          <w:szCs w:val="24"/>
        </w:rPr>
        <w:t xml:space="preserve"> og orale </w:t>
      </w:r>
      <w:proofErr w:type="spellStart"/>
      <w:r>
        <w:rPr>
          <w:sz w:val="24"/>
          <w:szCs w:val="24"/>
        </w:rPr>
        <w:t>kontraceptionsmidler</w:t>
      </w:r>
      <w:proofErr w:type="spellEnd"/>
      <w:r>
        <w:rPr>
          <w:sz w:val="24"/>
          <w:szCs w:val="24"/>
        </w:rPr>
        <w:t xml:space="preserve"> nedsætter den </w:t>
      </w:r>
      <w:proofErr w:type="spellStart"/>
      <w:r>
        <w:rPr>
          <w:sz w:val="24"/>
          <w:szCs w:val="24"/>
        </w:rPr>
        <w:t>kontraceptionelle</w:t>
      </w:r>
      <w:proofErr w:type="spellEnd"/>
      <w:r>
        <w:rPr>
          <w:sz w:val="24"/>
          <w:szCs w:val="24"/>
        </w:rPr>
        <w:t xml:space="preserve"> sikkerhed. Derfor bør anden sikker </w:t>
      </w:r>
      <w:proofErr w:type="spellStart"/>
      <w:r>
        <w:rPr>
          <w:sz w:val="24"/>
          <w:szCs w:val="24"/>
        </w:rPr>
        <w:t>kontraception</w:t>
      </w:r>
      <w:proofErr w:type="spellEnd"/>
      <w:r>
        <w:rPr>
          <w:sz w:val="24"/>
          <w:szCs w:val="24"/>
        </w:rPr>
        <w:t xml:space="preserve"> anvendes under behandling med </w:t>
      </w:r>
      <w:proofErr w:type="spellStart"/>
      <w:r>
        <w:rPr>
          <w:sz w:val="24"/>
          <w:szCs w:val="24"/>
        </w:rPr>
        <w:t>eslicarbazepinacetat</w:t>
      </w:r>
      <w:proofErr w:type="spellEnd"/>
      <w:r>
        <w:rPr>
          <w:sz w:val="24"/>
          <w:szCs w:val="24"/>
        </w:rPr>
        <w:t xml:space="preserve"> og frem til afslutningen på den aktuelle menstruationscyklus efter endt behandling. Fertile kvinder skal rådgives om anvendelse af andre sikre </w:t>
      </w:r>
      <w:proofErr w:type="spellStart"/>
      <w:r>
        <w:rPr>
          <w:sz w:val="24"/>
          <w:szCs w:val="24"/>
        </w:rPr>
        <w:t>kontraceptionsmetoder</w:t>
      </w:r>
      <w:proofErr w:type="spellEnd"/>
      <w:r>
        <w:rPr>
          <w:sz w:val="24"/>
          <w:szCs w:val="24"/>
        </w:rPr>
        <w:t xml:space="preserve">. Der bør anvendes mindst én sikker </w:t>
      </w:r>
      <w:proofErr w:type="spellStart"/>
      <w:r>
        <w:rPr>
          <w:sz w:val="24"/>
          <w:szCs w:val="24"/>
        </w:rPr>
        <w:t>kontraceptionsmetode</w:t>
      </w:r>
      <w:proofErr w:type="spellEnd"/>
      <w:r>
        <w:rPr>
          <w:sz w:val="24"/>
          <w:szCs w:val="24"/>
        </w:rPr>
        <w:t xml:space="preserve"> (såsom en spiral) eller to komplementerende former for </w:t>
      </w:r>
      <w:proofErr w:type="spellStart"/>
      <w:r>
        <w:rPr>
          <w:sz w:val="24"/>
          <w:szCs w:val="24"/>
        </w:rPr>
        <w:t>kontraception</w:t>
      </w:r>
      <w:proofErr w:type="spellEnd"/>
      <w:r>
        <w:rPr>
          <w:sz w:val="24"/>
          <w:szCs w:val="24"/>
        </w:rPr>
        <w:t xml:space="preserve">, herunder en barrieremetode. Der bør i hvert enkelt tilfælde tages individuelle hensyn ved inddragelse af patienten i diskussionen ved valg af </w:t>
      </w:r>
      <w:proofErr w:type="spellStart"/>
      <w:r>
        <w:rPr>
          <w:sz w:val="24"/>
          <w:szCs w:val="24"/>
        </w:rPr>
        <w:t>kontraceptionsmetode</w:t>
      </w:r>
      <w:proofErr w:type="spellEnd"/>
      <w:r>
        <w:rPr>
          <w:sz w:val="24"/>
          <w:szCs w:val="24"/>
        </w:rPr>
        <w:t>.</w:t>
      </w:r>
    </w:p>
    <w:p w14:paraId="4C113364" w14:textId="77777777" w:rsidR="006C4DB3" w:rsidRDefault="006C4DB3" w:rsidP="006C4DB3">
      <w:pPr>
        <w:ind w:left="851"/>
        <w:rPr>
          <w:sz w:val="24"/>
          <w:szCs w:val="24"/>
        </w:rPr>
      </w:pPr>
    </w:p>
    <w:p w14:paraId="4AED70A6" w14:textId="77777777" w:rsidR="006C4DB3" w:rsidRDefault="006C4DB3" w:rsidP="006C4DB3">
      <w:pPr>
        <w:ind w:left="851"/>
        <w:rPr>
          <w:sz w:val="24"/>
          <w:szCs w:val="24"/>
          <w:u w:val="single"/>
        </w:rPr>
      </w:pPr>
      <w:r>
        <w:rPr>
          <w:sz w:val="24"/>
          <w:szCs w:val="24"/>
          <w:u w:val="single"/>
        </w:rPr>
        <w:t xml:space="preserve">Risiko i forbindelse med </w:t>
      </w:r>
      <w:proofErr w:type="spellStart"/>
      <w:r>
        <w:rPr>
          <w:sz w:val="24"/>
          <w:szCs w:val="24"/>
          <w:u w:val="single"/>
        </w:rPr>
        <w:t>eslicarbazepinacetat</w:t>
      </w:r>
      <w:proofErr w:type="spellEnd"/>
      <w:r>
        <w:rPr>
          <w:sz w:val="24"/>
          <w:szCs w:val="24"/>
          <w:u w:val="single"/>
        </w:rPr>
        <w:t xml:space="preserve"> </w:t>
      </w:r>
    </w:p>
    <w:p w14:paraId="12076AAC" w14:textId="77777777" w:rsidR="006C4DB3" w:rsidRDefault="006C4DB3" w:rsidP="006C4DB3">
      <w:pPr>
        <w:ind w:left="851"/>
        <w:rPr>
          <w:sz w:val="24"/>
          <w:szCs w:val="24"/>
        </w:rPr>
      </w:pPr>
      <w:r>
        <w:rPr>
          <w:sz w:val="24"/>
          <w:szCs w:val="24"/>
        </w:rPr>
        <w:t xml:space="preserve">Der er utilstrækkelige data fra anvendelse af </w:t>
      </w:r>
      <w:proofErr w:type="spellStart"/>
      <w:r>
        <w:rPr>
          <w:sz w:val="24"/>
          <w:szCs w:val="24"/>
        </w:rPr>
        <w:t>eslicarbazepinacetat</w:t>
      </w:r>
      <w:proofErr w:type="spellEnd"/>
      <w:r>
        <w:rPr>
          <w:sz w:val="24"/>
          <w:szCs w:val="24"/>
        </w:rPr>
        <w:t xml:space="preserve"> til gravide kvinder. </w:t>
      </w:r>
      <w:proofErr w:type="spellStart"/>
      <w:r>
        <w:rPr>
          <w:sz w:val="24"/>
          <w:szCs w:val="24"/>
        </w:rPr>
        <w:t>Dyreforesøg</w:t>
      </w:r>
      <w:proofErr w:type="spellEnd"/>
      <w:r>
        <w:rPr>
          <w:sz w:val="24"/>
          <w:szCs w:val="24"/>
        </w:rPr>
        <w:t xml:space="preserve"> har påvist reproduktionstoksicitet (se Fertilitet, pkt. 5.3). Risikoen hos mennesker (herunder større medfødte misdannelser, </w:t>
      </w:r>
      <w:proofErr w:type="spellStart"/>
      <w:r>
        <w:rPr>
          <w:sz w:val="24"/>
          <w:szCs w:val="24"/>
        </w:rPr>
        <w:t>neuroudviklingsmæssige</w:t>
      </w:r>
      <w:proofErr w:type="spellEnd"/>
      <w:r>
        <w:rPr>
          <w:sz w:val="24"/>
          <w:szCs w:val="24"/>
        </w:rPr>
        <w:t xml:space="preserve"> forstyrrelser og andre reproduktionstoksiske virkninger) er ukendte. </w:t>
      </w:r>
    </w:p>
    <w:p w14:paraId="4193FE35" w14:textId="77777777" w:rsidR="006C4DB3" w:rsidRDefault="006C4DB3" w:rsidP="006C4DB3">
      <w:pPr>
        <w:ind w:left="851"/>
        <w:rPr>
          <w:sz w:val="24"/>
          <w:szCs w:val="24"/>
        </w:rPr>
      </w:pPr>
    </w:p>
    <w:p w14:paraId="658C1A28" w14:textId="77777777" w:rsidR="006C4DB3" w:rsidRDefault="006C4DB3" w:rsidP="006C4DB3">
      <w:pPr>
        <w:ind w:left="851"/>
        <w:rPr>
          <w:sz w:val="24"/>
          <w:szCs w:val="24"/>
        </w:rPr>
      </w:pPr>
      <w:proofErr w:type="spellStart"/>
      <w:r>
        <w:rPr>
          <w:sz w:val="24"/>
          <w:szCs w:val="24"/>
        </w:rPr>
        <w:t>Eslicarbazepinacetat</w:t>
      </w:r>
      <w:proofErr w:type="spellEnd"/>
      <w:r>
        <w:rPr>
          <w:sz w:val="24"/>
          <w:szCs w:val="24"/>
        </w:rPr>
        <w:t xml:space="preserve"> bør ikke anvendes under graviditeten, medmindre det efter en nøje overvejelse af alternative egnede behandlingsmuligheder vurderes, at fordelen opvejer risikoen. </w:t>
      </w:r>
    </w:p>
    <w:p w14:paraId="4AD467BE" w14:textId="77777777" w:rsidR="006C4DB3" w:rsidRDefault="006C4DB3" w:rsidP="006C4DB3">
      <w:pPr>
        <w:ind w:left="851"/>
        <w:rPr>
          <w:sz w:val="24"/>
          <w:szCs w:val="24"/>
        </w:rPr>
      </w:pPr>
    </w:p>
    <w:p w14:paraId="519CBD7D" w14:textId="77777777" w:rsidR="006C4DB3" w:rsidRDefault="006C4DB3" w:rsidP="006C4DB3">
      <w:pPr>
        <w:ind w:left="851"/>
        <w:rPr>
          <w:sz w:val="24"/>
          <w:szCs w:val="24"/>
        </w:rPr>
      </w:pPr>
      <w:r>
        <w:rPr>
          <w:sz w:val="24"/>
          <w:szCs w:val="24"/>
        </w:rPr>
        <w:t xml:space="preserve">Hvis en kvinde i behandling med </w:t>
      </w:r>
      <w:proofErr w:type="spellStart"/>
      <w:r>
        <w:rPr>
          <w:sz w:val="24"/>
          <w:szCs w:val="24"/>
        </w:rPr>
        <w:t>eslicarbazepinacetat</w:t>
      </w:r>
      <w:proofErr w:type="spellEnd"/>
      <w:r>
        <w:rPr>
          <w:sz w:val="24"/>
          <w:szCs w:val="24"/>
        </w:rPr>
        <w:t xml:space="preserve"> bliver gravid eller planlægger graviditet, skal brug af </w:t>
      </w:r>
      <w:proofErr w:type="spellStart"/>
      <w:r>
        <w:rPr>
          <w:sz w:val="24"/>
          <w:szCs w:val="24"/>
        </w:rPr>
        <w:t>Arupsan</w:t>
      </w:r>
      <w:proofErr w:type="spellEnd"/>
      <w:r>
        <w:rPr>
          <w:sz w:val="24"/>
          <w:szCs w:val="24"/>
        </w:rPr>
        <w:t xml:space="preserve"> atter overvejes grundigt. Den mindste effektive dosis bør gives, og om muligt bør der vælges monoterapi - i hvert fald i de første tre måneder af graviditeten. Patienten bør rådgives om den øgede risiko for misdannelser og få tilbudt </w:t>
      </w:r>
      <w:proofErr w:type="spellStart"/>
      <w:r>
        <w:rPr>
          <w:sz w:val="24"/>
          <w:szCs w:val="24"/>
        </w:rPr>
        <w:t>antenatal</w:t>
      </w:r>
      <w:proofErr w:type="spellEnd"/>
      <w:r>
        <w:rPr>
          <w:sz w:val="24"/>
          <w:szCs w:val="24"/>
        </w:rPr>
        <w:t xml:space="preserve"> screening.</w:t>
      </w:r>
    </w:p>
    <w:p w14:paraId="051E399C" w14:textId="77777777" w:rsidR="006C4DB3" w:rsidRDefault="006C4DB3" w:rsidP="006C4DB3">
      <w:pPr>
        <w:ind w:left="851"/>
        <w:rPr>
          <w:sz w:val="24"/>
          <w:szCs w:val="24"/>
        </w:rPr>
      </w:pPr>
    </w:p>
    <w:p w14:paraId="7394B6F0" w14:textId="77777777" w:rsidR="006C4DB3" w:rsidRDefault="006C4DB3" w:rsidP="006C4DB3">
      <w:pPr>
        <w:ind w:left="851"/>
        <w:rPr>
          <w:i/>
          <w:sz w:val="24"/>
          <w:szCs w:val="24"/>
        </w:rPr>
      </w:pPr>
      <w:r>
        <w:rPr>
          <w:i/>
          <w:sz w:val="24"/>
          <w:szCs w:val="24"/>
        </w:rPr>
        <w:t>Monitorering og profylakse</w:t>
      </w:r>
    </w:p>
    <w:p w14:paraId="2B3B07E8" w14:textId="77777777" w:rsidR="006C4DB3" w:rsidRDefault="006C4DB3" w:rsidP="006C4DB3">
      <w:pPr>
        <w:ind w:left="851"/>
        <w:rPr>
          <w:sz w:val="24"/>
          <w:szCs w:val="24"/>
        </w:rPr>
      </w:pPr>
      <w:r>
        <w:rPr>
          <w:sz w:val="24"/>
          <w:szCs w:val="24"/>
        </w:rPr>
        <w:t xml:space="preserve">Antiepileptiske lægemidler kan medvirke til </w:t>
      </w:r>
      <w:proofErr w:type="spellStart"/>
      <w:r>
        <w:rPr>
          <w:sz w:val="24"/>
          <w:szCs w:val="24"/>
        </w:rPr>
        <w:t>folinsyremangel</w:t>
      </w:r>
      <w:proofErr w:type="spellEnd"/>
      <w:r>
        <w:rPr>
          <w:sz w:val="24"/>
          <w:szCs w:val="24"/>
        </w:rPr>
        <w:t xml:space="preserve">, som kan være en medvirkende årsag til fosterskader. Det anbefales at give </w:t>
      </w:r>
      <w:proofErr w:type="spellStart"/>
      <w:r>
        <w:rPr>
          <w:sz w:val="24"/>
          <w:szCs w:val="24"/>
        </w:rPr>
        <w:t>folinsyretilskud</w:t>
      </w:r>
      <w:proofErr w:type="spellEnd"/>
      <w:r>
        <w:rPr>
          <w:sz w:val="24"/>
          <w:szCs w:val="24"/>
        </w:rPr>
        <w:t xml:space="preserve"> før og under graviditet. Effekten af dette tilskud er ikke dokumenteret, og gravide kvinder kan derfor få tilbudt en særlig </w:t>
      </w:r>
      <w:proofErr w:type="spellStart"/>
      <w:r>
        <w:rPr>
          <w:sz w:val="24"/>
          <w:szCs w:val="24"/>
        </w:rPr>
        <w:t>antenatal</w:t>
      </w:r>
      <w:proofErr w:type="spellEnd"/>
      <w:r>
        <w:rPr>
          <w:sz w:val="24"/>
          <w:szCs w:val="24"/>
        </w:rPr>
        <w:t xml:space="preserve"> udredning, også selv om de får tilskud af </w:t>
      </w:r>
      <w:proofErr w:type="spellStart"/>
      <w:r>
        <w:rPr>
          <w:sz w:val="24"/>
          <w:szCs w:val="24"/>
        </w:rPr>
        <w:t>folinsyre</w:t>
      </w:r>
      <w:proofErr w:type="spellEnd"/>
      <w:r>
        <w:rPr>
          <w:sz w:val="24"/>
          <w:szCs w:val="24"/>
        </w:rPr>
        <w:t>.</w:t>
      </w:r>
    </w:p>
    <w:p w14:paraId="12AB065B" w14:textId="77777777" w:rsidR="006C4DB3" w:rsidRDefault="006C4DB3" w:rsidP="006C4DB3">
      <w:pPr>
        <w:ind w:left="851"/>
        <w:rPr>
          <w:sz w:val="24"/>
          <w:szCs w:val="24"/>
        </w:rPr>
      </w:pPr>
    </w:p>
    <w:p w14:paraId="68AF481E" w14:textId="77777777" w:rsidR="006C4DB3" w:rsidRDefault="006C4DB3" w:rsidP="006C4DB3">
      <w:pPr>
        <w:ind w:left="851"/>
        <w:rPr>
          <w:i/>
          <w:sz w:val="24"/>
          <w:szCs w:val="24"/>
        </w:rPr>
      </w:pPr>
    </w:p>
    <w:p w14:paraId="461F97F1" w14:textId="5A4D75DB" w:rsidR="006C4DB3" w:rsidRDefault="006C4DB3" w:rsidP="006C4DB3">
      <w:pPr>
        <w:ind w:left="851"/>
        <w:rPr>
          <w:i/>
          <w:sz w:val="24"/>
          <w:szCs w:val="24"/>
        </w:rPr>
      </w:pPr>
      <w:r>
        <w:rPr>
          <w:i/>
          <w:sz w:val="24"/>
          <w:szCs w:val="24"/>
        </w:rPr>
        <w:lastRenderedPageBreak/>
        <w:t>Nyfødte</w:t>
      </w:r>
    </w:p>
    <w:p w14:paraId="4514CBF2" w14:textId="77777777" w:rsidR="006C4DB3" w:rsidRDefault="006C4DB3" w:rsidP="006C4DB3">
      <w:pPr>
        <w:ind w:left="851"/>
        <w:rPr>
          <w:sz w:val="24"/>
          <w:szCs w:val="24"/>
        </w:rPr>
      </w:pPr>
      <w:r>
        <w:rPr>
          <w:sz w:val="24"/>
          <w:szCs w:val="24"/>
        </w:rPr>
        <w:t xml:space="preserve">Der er indberettet blødningsforstyrrelser, der skyldes </w:t>
      </w:r>
      <w:proofErr w:type="spellStart"/>
      <w:r>
        <w:rPr>
          <w:sz w:val="24"/>
          <w:szCs w:val="24"/>
        </w:rPr>
        <w:t>antiepileptika</w:t>
      </w:r>
      <w:proofErr w:type="spellEnd"/>
      <w:r>
        <w:rPr>
          <w:sz w:val="24"/>
          <w:szCs w:val="24"/>
        </w:rPr>
        <w:t>, hos nyfødte. Til forebyggelse af dette bør der for en sikkerheds skyld gives K1-vitamin til kvinder i de sidste uger af graviditeten og til nyfødte.</w:t>
      </w:r>
    </w:p>
    <w:p w14:paraId="49E0E31F" w14:textId="77777777" w:rsidR="006C4DB3" w:rsidRDefault="006C4DB3" w:rsidP="006C4DB3">
      <w:pPr>
        <w:ind w:left="851"/>
        <w:rPr>
          <w:sz w:val="24"/>
          <w:szCs w:val="24"/>
        </w:rPr>
      </w:pPr>
    </w:p>
    <w:p w14:paraId="5375FECB" w14:textId="77777777" w:rsidR="006C4DB3" w:rsidRDefault="006C4DB3" w:rsidP="006C4DB3">
      <w:pPr>
        <w:ind w:left="851"/>
        <w:rPr>
          <w:sz w:val="24"/>
          <w:szCs w:val="24"/>
          <w:u w:val="single"/>
        </w:rPr>
      </w:pPr>
      <w:r>
        <w:rPr>
          <w:sz w:val="24"/>
          <w:szCs w:val="24"/>
          <w:u w:val="single"/>
        </w:rPr>
        <w:t>Amning</w:t>
      </w:r>
    </w:p>
    <w:p w14:paraId="70BC861D" w14:textId="77777777" w:rsidR="006C4DB3" w:rsidRDefault="006C4DB3" w:rsidP="006C4DB3">
      <w:pPr>
        <w:ind w:left="851"/>
        <w:rPr>
          <w:sz w:val="24"/>
          <w:szCs w:val="24"/>
        </w:rPr>
      </w:pPr>
    </w:p>
    <w:p w14:paraId="0B71F49C" w14:textId="77777777" w:rsidR="006C4DB3" w:rsidRDefault="006C4DB3" w:rsidP="006C4DB3">
      <w:pPr>
        <w:ind w:left="851"/>
        <w:rPr>
          <w:sz w:val="24"/>
          <w:szCs w:val="24"/>
        </w:rPr>
      </w:pPr>
      <w:r>
        <w:rPr>
          <w:sz w:val="24"/>
          <w:szCs w:val="24"/>
        </w:rPr>
        <w:t xml:space="preserve">Det er ukendt, om </w:t>
      </w:r>
      <w:proofErr w:type="spellStart"/>
      <w:r>
        <w:rPr>
          <w:sz w:val="24"/>
          <w:szCs w:val="24"/>
        </w:rPr>
        <w:t>eslicarbazepinacetat</w:t>
      </w:r>
      <w:proofErr w:type="spellEnd"/>
      <w:r>
        <w:rPr>
          <w:sz w:val="24"/>
          <w:szCs w:val="24"/>
        </w:rPr>
        <w:t xml:space="preserve">/metabolitter udskilles i human mælk. Dyrestudier har vist, at </w:t>
      </w:r>
      <w:proofErr w:type="spellStart"/>
      <w:r>
        <w:rPr>
          <w:sz w:val="24"/>
          <w:szCs w:val="24"/>
        </w:rPr>
        <w:t>eslicarbazepin</w:t>
      </w:r>
      <w:proofErr w:type="spellEnd"/>
      <w:r>
        <w:rPr>
          <w:sz w:val="24"/>
          <w:szCs w:val="24"/>
        </w:rPr>
        <w:t xml:space="preserve"> udskilles i moderdyrets mælk. Da det ikke kan udelukkes, at der foreligger en risiko for brystbarnet, bør amningen ophøre under behandling med </w:t>
      </w:r>
      <w:proofErr w:type="spellStart"/>
      <w:r>
        <w:rPr>
          <w:sz w:val="24"/>
          <w:szCs w:val="24"/>
        </w:rPr>
        <w:t>eslicarbazepinacetat</w:t>
      </w:r>
      <w:proofErr w:type="spellEnd"/>
      <w:r>
        <w:rPr>
          <w:sz w:val="24"/>
          <w:szCs w:val="24"/>
        </w:rPr>
        <w:t>.</w:t>
      </w:r>
    </w:p>
    <w:p w14:paraId="2DC1B1B5" w14:textId="77777777" w:rsidR="006C4DB3" w:rsidRDefault="006C4DB3" w:rsidP="006C4DB3">
      <w:pPr>
        <w:ind w:left="851"/>
        <w:rPr>
          <w:sz w:val="24"/>
          <w:szCs w:val="24"/>
        </w:rPr>
      </w:pPr>
    </w:p>
    <w:p w14:paraId="7ACB2698" w14:textId="77777777" w:rsidR="006C4DB3" w:rsidRDefault="006C4DB3" w:rsidP="006C4DB3">
      <w:pPr>
        <w:ind w:left="851"/>
        <w:rPr>
          <w:sz w:val="24"/>
          <w:szCs w:val="24"/>
          <w:u w:val="single"/>
        </w:rPr>
      </w:pPr>
      <w:r>
        <w:rPr>
          <w:sz w:val="24"/>
          <w:szCs w:val="24"/>
          <w:u w:val="single"/>
        </w:rPr>
        <w:t>Fertilitet</w:t>
      </w:r>
    </w:p>
    <w:p w14:paraId="5E949E1C" w14:textId="77777777" w:rsidR="006C4DB3" w:rsidRDefault="006C4DB3" w:rsidP="006C4DB3">
      <w:pPr>
        <w:ind w:left="851"/>
        <w:rPr>
          <w:sz w:val="24"/>
          <w:szCs w:val="24"/>
        </w:rPr>
      </w:pPr>
    </w:p>
    <w:p w14:paraId="068292FC" w14:textId="77777777" w:rsidR="006C4DB3" w:rsidRDefault="006C4DB3" w:rsidP="006C4DB3">
      <w:pPr>
        <w:ind w:left="851"/>
        <w:rPr>
          <w:sz w:val="24"/>
          <w:szCs w:val="24"/>
        </w:rPr>
      </w:pPr>
      <w:r>
        <w:rPr>
          <w:sz w:val="24"/>
          <w:szCs w:val="24"/>
        </w:rPr>
        <w:t xml:space="preserve">Der er ingen data om virkningen af </w:t>
      </w:r>
      <w:proofErr w:type="spellStart"/>
      <w:r>
        <w:rPr>
          <w:sz w:val="24"/>
          <w:szCs w:val="24"/>
        </w:rPr>
        <w:t>eslicarbazepinacetat</w:t>
      </w:r>
      <w:proofErr w:type="spellEnd"/>
      <w:r>
        <w:rPr>
          <w:sz w:val="24"/>
          <w:szCs w:val="24"/>
        </w:rPr>
        <w:t xml:space="preserve"> på human fertilitet. Dyrestudier har vist nedsat fertilitet efter behandling med </w:t>
      </w:r>
      <w:proofErr w:type="spellStart"/>
      <w:r>
        <w:rPr>
          <w:sz w:val="24"/>
          <w:szCs w:val="24"/>
        </w:rPr>
        <w:t>eslicarbazepinacetat</w:t>
      </w:r>
      <w:proofErr w:type="spellEnd"/>
      <w:r>
        <w:rPr>
          <w:sz w:val="24"/>
          <w:szCs w:val="24"/>
        </w:rPr>
        <w:t xml:space="preserve"> (se pkt. 5.3).</w:t>
      </w:r>
    </w:p>
    <w:p w14:paraId="2F8F5264" w14:textId="77777777" w:rsidR="009260DE" w:rsidRPr="00951EF6" w:rsidRDefault="009260DE" w:rsidP="009260DE">
      <w:pPr>
        <w:tabs>
          <w:tab w:val="left" w:pos="851"/>
        </w:tabs>
        <w:ind w:left="851"/>
        <w:rPr>
          <w:sz w:val="24"/>
          <w:szCs w:val="24"/>
        </w:rPr>
      </w:pPr>
    </w:p>
    <w:p w14:paraId="285887F8" w14:textId="77777777" w:rsidR="009260DE" w:rsidRPr="00951EF6" w:rsidRDefault="009260DE" w:rsidP="009260DE">
      <w:pPr>
        <w:tabs>
          <w:tab w:val="left" w:pos="851"/>
        </w:tabs>
        <w:ind w:left="851" w:hanging="851"/>
        <w:rPr>
          <w:b/>
          <w:sz w:val="24"/>
          <w:szCs w:val="24"/>
        </w:rPr>
      </w:pPr>
      <w:r w:rsidRPr="00951EF6">
        <w:rPr>
          <w:b/>
          <w:sz w:val="24"/>
          <w:szCs w:val="24"/>
        </w:rPr>
        <w:t>4.7</w:t>
      </w:r>
      <w:r w:rsidRPr="00951EF6">
        <w:rPr>
          <w:b/>
          <w:sz w:val="24"/>
          <w:szCs w:val="24"/>
        </w:rPr>
        <w:tab/>
        <w:t>Virkninger på evnen til at føre motorkøretøj eller betjene maskiner</w:t>
      </w:r>
    </w:p>
    <w:p w14:paraId="730D87F7" w14:textId="77777777" w:rsidR="00BB70D2" w:rsidRPr="00951EF6" w:rsidRDefault="00BB70D2" w:rsidP="00BB5CFF">
      <w:pPr>
        <w:ind w:left="851"/>
        <w:rPr>
          <w:b/>
          <w:sz w:val="24"/>
          <w:szCs w:val="24"/>
        </w:rPr>
      </w:pPr>
      <w:r w:rsidRPr="00951EF6">
        <w:rPr>
          <w:sz w:val="24"/>
          <w:szCs w:val="24"/>
        </w:rPr>
        <w:t>Ikke mærkning.</w:t>
      </w:r>
    </w:p>
    <w:p w14:paraId="6925F23C" w14:textId="001A5336" w:rsidR="00BB70D2" w:rsidRPr="00951EF6" w:rsidRDefault="00951EF6" w:rsidP="00BB5CFF">
      <w:pPr>
        <w:ind w:left="851"/>
        <w:rPr>
          <w:sz w:val="24"/>
          <w:szCs w:val="24"/>
        </w:rPr>
      </w:pPr>
      <w:proofErr w:type="spellStart"/>
      <w:r w:rsidRPr="00951EF6">
        <w:rPr>
          <w:sz w:val="24"/>
          <w:szCs w:val="24"/>
        </w:rPr>
        <w:t>Arupsan</w:t>
      </w:r>
      <w:proofErr w:type="spellEnd"/>
      <w:r w:rsidR="00BB70D2" w:rsidRPr="00951EF6">
        <w:rPr>
          <w:sz w:val="24"/>
          <w:szCs w:val="24"/>
        </w:rPr>
        <w:t xml:space="preserve"> påvirker i mindre til moderat grad evnen til at føre motorkøretøj og betjene maskiner. Nogle patienter kan opleve svimmelhed, døsighed eller synsforstyrrelser, særligt ved indledning af behandlingen. Patienterne skal derfor orienteres om, at deres fysiske og/eller mentale evne til at betjene maskiner eller færdes i trafikken kan være svækket, og at det bør undgås, indtil det er fastslået, at deres evne til at udføre disse aktiviteter ikke er påvirket.</w:t>
      </w:r>
    </w:p>
    <w:p w14:paraId="25E772F4" w14:textId="77777777" w:rsidR="009260DE" w:rsidRPr="00951EF6" w:rsidRDefault="009260DE" w:rsidP="009260DE">
      <w:pPr>
        <w:tabs>
          <w:tab w:val="left" w:pos="851"/>
        </w:tabs>
        <w:ind w:left="851"/>
        <w:rPr>
          <w:sz w:val="24"/>
          <w:szCs w:val="24"/>
        </w:rPr>
      </w:pPr>
    </w:p>
    <w:p w14:paraId="3B31C2F2" w14:textId="77777777" w:rsidR="009260DE" w:rsidRPr="00951EF6" w:rsidRDefault="009260DE" w:rsidP="009260DE">
      <w:pPr>
        <w:tabs>
          <w:tab w:val="left" w:pos="851"/>
        </w:tabs>
        <w:ind w:left="851" w:hanging="851"/>
        <w:rPr>
          <w:b/>
          <w:sz w:val="24"/>
          <w:szCs w:val="24"/>
        </w:rPr>
      </w:pPr>
      <w:r w:rsidRPr="00951EF6">
        <w:rPr>
          <w:b/>
          <w:sz w:val="24"/>
          <w:szCs w:val="24"/>
        </w:rPr>
        <w:t>4.8</w:t>
      </w:r>
      <w:r w:rsidRPr="00951EF6">
        <w:rPr>
          <w:b/>
          <w:sz w:val="24"/>
          <w:szCs w:val="24"/>
        </w:rPr>
        <w:tab/>
        <w:t>Bivirkninger</w:t>
      </w:r>
    </w:p>
    <w:p w14:paraId="75C9CB02" w14:textId="77777777" w:rsidR="00CD2EC0" w:rsidRPr="00951EF6" w:rsidRDefault="00CD2EC0" w:rsidP="00BB5CFF">
      <w:pPr>
        <w:ind w:left="851"/>
        <w:rPr>
          <w:sz w:val="24"/>
          <w:szCs w:val="24"/>
        </w:rPr>
      </w:pPr>
    </w:p>
    <w:p w14:paraId="518B5114" w14:textId="385D7E79" w:rsidR="00BB70D2" w:rsidRPr="00951EF6" w:rsidRDefault="00BB70D2" w:rsidP="00BB5CFF">
      <w:pPr>
        <w:ind w:left="851"/>
        <w:rPr>
          <w:sz w:val="24"/>
          <w:szCs w:val="24"/>
          <w:u w:val="single"/>
        </w:rPr>
      </w:pPr>
      <w:r w:rsidRPr="00951EF6">
        <w:rPr>
          <w:sz w:val="24"/>
          <w:szCs w:val="24"/>
          <w:u w:val="single"/>
        </w:rPr>
        <w:t>Sammendrag af sikkerhedsprofilen</w:t>
      </w:r>
    </w:p>
    <w:p w14:paraId="68B240C8" w14:textId="77777777" w:rsidR="00BB70D2" w:rsidRPr="00951EF6" w:rsidRDefault="00BB70D2" w:rsidP="00BB5CFF">
      <w:pPr>
        <w:ind w:left="851"/>
        <w:rPr>
          <w:sz w:val="24"/>
          <w:szCs w:val="24"/>
        </w:rPr>
      </w:pPr>
    </w:p>
    <w:p w14:paraId="196C34AA" w14:textId="77777777" w:rsidR="00BB70D2" w:rsidRPr="00951EF6" w:rsidRDefault="00BB70D2" w:rsidP="00BB5CFF">
      <w:pPr>
        <w:ind w:left="851"/>
        <w:rPr>
          <w:sz w:val="24"/>
          <w:szCs w:val="24"/>
        </w:rPr>
      </w:pPr>
      <w:r w:rsidRPr="00951EF6">
        <w:rPr>
          <w:sz w:val="24"/>
          <w:szCs w:val="24"/>
        </w:rPr>
        <w:t xml:space="preserve">I kliniske studier (supplerende behandling og monoterapi) blev 2.434 patienter med </w:t>
      </w:r>
      <w:proofErr w:type="spellStart"/>
      <w:r w:rsidRPr="00951EF6">
        <w:rPr>
          <w:sz w:val="24"/>
          <w:szCs w:val="24"/>
        </w:rPr>
        <w:t>fokale</w:t>
      </w:r>
      <w:proofErr w:type="spellEnd"/>
      <w:r w:rsidRPr="00951EF6">
        <w:rPr>
          <w:sz w:val="24"/>
          <w:szCs w:val="24"/>
        </w:rPr>
        <w:t xml:space="preserve"> epileptiske anfald behandlet med </w:t>
      </w:r>
      <w:proofErr w:type="spellStart"/>
      <w:r w:rsidRPr="00951EF6">
        <w:rPr>
          <w:sz w:val="24"/>
          <w:szCs w:val="24"/>
        </w:rPr>
        <w:t>eslicarbazepinacetat</w:t>
      </w:r>
      <w:proofErr w:type="spellEnd"/>
      <w:r w:rsidRPr="00951EF6">
        <w:rPr>
          <w:sz w:val="24"/>
          <w:szCs w:val="24"/>
        </w:rPr>
        <w:t xml:space="preserve"> (1.983 voksne patienter og 451 pædiatriske patienter), og 51 % af disse patienter oplevede bivirkninger.</w:t>
      </w:r>
    </w:p>
    <w:p w14:paraId="672D28D5" w14:textId="77777777" w:rsidR="00BB70D2" w:rsidRPr="00951EF6" w:rsidRDefault="00BB70D2" w:rsidP="00BB5CFF">
      <w:pPr>
        <w:ind w:left="851"/>
        <w:rPr>
          <w:sz w:val="24"/>
          <w:szCs w:val="24"/>
        </w:rPr>
      </w:pPr>
    </w:p>
    <w:p w14:paraId="4A8473BB" w14:textId="77777777" w:rsidR="00BB70D2" w:rsidRPr="00951EF6" w:rsidRDefault="00BB70D2" w:rsidP="00BB5CFF">
      <w:pPr>
        <w:ind w:left="851"/>
        <w:rPr>
          <w:sz w:val="24"/>
          <w:szCs w:val="24"/>
        </w:rPr>
      </w:pPr>
      <w:r w:rsidRPr="00951EF6">
        <w:rPr>
          <w:sz w:val="24"/>
          <w:szCs w:val="24"/>
        </w:rPr>
        <w:t xml:space="preserve">Bivirkningernes styrke var sædvanligvis let til moderat, og de forekom hovedsagelig i løbet af de første ugers behandling med </w:t>
      </w:r>
      <w:proofErr w:type="spellStart"/>
      <w:r w:rsidRPr="00951EF6">
        <w:rPr>
          <w:sz w:val="24"/>
          <w:szCs w:val="24"/>
        </w:rPr>
        <w:t>eslicarbazepinacetat</w:t>
      </w:r>
      <w:proofErr w:type="spellEnd"/>
      <w:r w:rsidRPr="00951EF6">
        <w:rPr>
          <w:sz w:val="24"/>
          <w:szCs w:val="24"/>
        </w:rPr>
        <w:t>.</w:t>
      </w:r>
    </w:p>
    <w:p w14:paraId="5658AC8B" w14:textId="77777777" w:rsidR="00BB70D2" w:rsidRPr="00951EF6" w:rsidRDefault="00BB70D2" w:rsidP="00BB5CFF">
      <w:pPr>
        <w:ind w:left="851"/>
        <w:rPr>
          <w:sz w:val="24"/>
          <w:szCs w:val="24"/>
        </w:rPr>
      </w:pPr>
    </w:p>
    <w:p w14:paraId="22E021A5" w14:textId="76736E41" w:rsidR="00BB70D2" w:rsidRPr="00951EF6" w:rsidRDefault="00BB70D2" w:rsidP="00BB5CFF">
      <w:pPr>
        <w:ind w:left="851"/>
        <w:rPr>
          <w:sz w:val="24"/>
          <w:szCs w:val="24"/>
        </w:rPr>
      </w:pPr>
      <w:r w:rsidRPr="00951EF6">
        <w:rPr>
          <w:sz w:val="24"/>
          <w:szCs w:val="24"/>
        </w:rPr>
        <w:t xml:space="preserve">De risici, der er blevet identificeret for </w:t>
      </w:r>
      <w:proofErr w:type="spellStart"/>
      <w:r w:rsidR="00951EF6" w:rsidRPr="00951EF6">
        <w:rPr>
          <w:sz w:val="24"/>
          <w:szCs w:val="24"/>
        </w:rPr>
        <w:t>Arupsan</w:t>
      </w:r>
      <w:proofErr w:type="spellEnd"/>
      <w:r w:rsidRPr="00951EF6">
        <w:rPr>
          <w:sz w:val="24"/>
          <w:szCs w:val="24"/>
        </w:rPr>
        <w:t xml:space="preserve"> er hovedsagelig klassebaserede, dosisafhængige bivirkninger. De hyppigste bivirkninger, der blev rapporteret i placebokontrollerede studier med tillægsbehandling med voksne epilepsipatienter og i et aktivt kontrolleret monoterapistudie, der sammenlignede </w:t>
      </w:r>
      <w:proofErr w:type="spellStart"/>
      <w:r w:rsidRPr="00951EF6">
        <w:rPr>
          <w:sz w:val="24"/>
          <w:szCs w:val="24"/>
        </w:rPr>
        <w:t>eslicarbazepinacetat</w:t>
      </w:r>
      <w:proofErr w:type="spellEnd"/>
      <w:r w:rsidRPr="00951EF6">
        <w:rPr>
          <w:sz w:val="24"/>
          <w:szCs w:val="24"/>
        </w:rPr>
        <w:t xml:space="preserve"> med </w:t>
      </w:r>
      <w:proofErr w:type="spellStart"/>
      <w:r w:rsidRPr="00951EF6">
        <w:rPr>
          <w:sz w:val="24"/>
          <w:szCs w:val="24"/>
        </w:rPr>
        <w:t>carbamazepin</w:t>
      </w:r>
      <w:proofErr w:type="spellEnd"/>
      <w:r w:rsidRPr="00951EF6">
        <w:rPr>
          <w:sz w:val="24"/>
          <w:szCs w:val="24"/>
        </w:rPr>
        <w:t>-depotformulering, var svimmelhed, døsighed, hovedpine og kvalme. Størsteparten af bivirkningerne blev rapporteret hos &lt;3 % af forsøgspersonerne i en given</w:t>
      </w:r>
      <w:r w:rsidRPr="00951EF6">
        <w:rPr>
          <w:spacing w:val="1"/>
          <w:sz w:val="24"/>
          <w:szCs w:val="24"/>
        </w:rPr>
        <w:t xml:space="preserve"> </w:t>
      </w:r>
      <w:r w:rsidRPr="00951EF6">
        <w:rPr>
          <w:sz w:val="24"/>
          <w:szCs w:val="24"/>
        </w:rPr>
        <w:t>behandlingsgruppe.</w:t>
      </w:r>
    </w:p>
    <w:p w14:paraId="0B7785EB" w14:textId="77777777" w:rsidR="00BB70D2" w:rsidRPr="00951EF6" w:rsidRDefault="00BB70D2" w:rsidP="00BB5CFF">
      <w:pPr>
        <w:ind w:left="851"/>
        <w:rPr>
          <w:sz w:val="24"/>
          <w:szCs w:val="24"/>
        </w:rPr>
      </w:pPr>
    </w:p>
    <w:p w14:paraId="03594D16" w14:textId="1C7398C0" w:rsidR="00BB70D2" w:rsidRPr="00951EF6" w:rsidRDefault="00BB70D2" w:rsidP="00BB5CFF">
      <w:pPr>
        <w:ind w:left="851"/>
        <w:rPr>
          <w:sz w:val="24"/>
          <w:szCs w:val="24"/>
        </w:rPr>
      </w:pPr>
      <w:r w:rsidRPr="00951EF6">
        <w:rPr>
          <w:sz w:val="24"/>
          <w:szCs w:val="24"/>
        </w:rPr>
        <w:t xml:space="preserve">Alvorlige </w:t>
      </w:r>
      <w:proofErr w:type="spellStart"/>
      <w:r w:rsidRPr="00951EF6">
        <w:rPr>
          <w:sz w:val="24"/>
          <w:szCs w:val="24"/>
        </w:rPr>
        <w:t>kutane</w:t>
      </w:r>
      <w:proofErr w:type="spellEnd"/>
      <w:r w:rsidRPr="00951EF6">
        <w:rPr>
          <w:sz w:val="24"/>
          <w:szCs w:val="24"/>
        </w:rPr>
        <w:t xml:space="preserve"> bivirkninger (SCARS), herunder Stevens-Johnsons syndrom (SJS)/toksisk </w:t>
      </w:r>
      <w:proofErr w:type="spellStart"/>
      <w:r w:rsidRPr="00951EF6">
        <w:rPr>
          <w:sz w:val="24"/>
          <w:szCs w:val="24"/>
        </w:rPr>
        <w:t>epidermal</w:t>
      </w:r>
      <w:proofErr w:type="spellEnd"/>
      <w:r w:rsidRPr="00951EF6">
        <w:rPr>
          <w:sz w:val="24"/>
          <w:szCs w:val="24"/>
        </w:rPr>
        <w:t xml:space="preserve"> </w:t>
      </w:r>
      <w:proofErr w:type="spellStart"/>
      <w:r w:rsidRPr="00951EF6">
        <w:rPr>
          <w:sz w:val="24"/>
          <w:szCs w:val="24"/>
        </w:rPr>
        <w:t>nekrolyse</w:t>
      </w:r>
      <w:proofErr w:type="spellEnd"/>
      <w:r w:rsidRPr="00951EF6">
        <w:rPr>
          <w:sz w:val="24"/>
          <w:szCs w:val="24"/>
        </w:rPr>
        <w:t xml:space="preserve"> (TEN) samt lægemiddelreaktion med </w:t>
      </w:r>
      <w:proofErr w:type="spellStart"/>
      <w:r w:rsidRPr="00951EF6">
        <w:rPr>
          <w:sz w:val="24"/>
          <w:szCs w:val="24"/>
        </w:rPr>
        <w:t>eosinofili</w:t>
      </w:r>
      <w:proofErr w:type="spellEnd"/>
      <w:r w:rsidRPr="00951EF6">
        <w:rPr>
          <w:sz w:val="24"/>
          <w:szCs w:val="24"/>
        </w:rPr>
        <w:t xml:space="preserve"> og systemiske symptomer (DRESS), er rapporteret efter markedsføring ved behandling med </w:t>
      </w:r>
      <w:proofErr w:type="spellStart"/>
      <w:r w:rsidR="00951EF6" w:rsidRPr="00951EF6">
        <w:rPr>
          <w:sz w:val="24"/>
          <w:szCs w:val="24"/>
        </w:rPr>
        <w:t>Arupsan</w:t>
      </w:r>
      <w:proofErr w:type="spellEnd"/>
      <w:r w:rsidRPr="00951EF6">
        <w:rPr>
          <w:sz w:val="24"/>
          <w:szCs w:val="24"/>
        </w:rPr>
        <w:t xml:space="preserve"> (se pkt. 4.4).</w:t>
      </w:r>
    </w:p>
    <w:p w14:paraId="13EEE7C3" w14:textId="77777777" w:rsidR="00BB70D2" w:rsidRPr="00951EF6" w:rsidRDefault="00BB70D2" w:rsidP="00BB5CFF">
      <w:pPr>
        <w:ind w:left="851"/>
        <w:rPr>
          <w:sz w:val="24"/>
          <w:szCs w:val="24"/>
        </w:rPr>
      </w:pPr>
    </w:p>
    <w:p w14:paraId="60A6B49D" w14:textId="77777777" w:rsidR="006C4DB3" w:rsidRDefault="006C4DB3" w:rsidP="00BB5CFF">
      <w:pPr>
        <w:ind w:left="851"/>
        <w:rPr>
          <w:sz w:val="24"/>
          <w:szCs w:val="24"/>
          <w:u w:val="single"/>
        </w:rPr>
      </w:pPr>
    </w:p>
    <w:p w14:paraId="4F3DE21B" w14:textId="5B04C281" w:rsidR="00BB70D2" w:rsidRPr="00951EF6" w:rsidRDefault="00BB70D2" w:rsidP="00BB5CFF">
      <w:pPr>
        <w:ind w:left="851"/>
        <w:rPr>
          <w:sz w:val="24"/>
          <w:szCs w:val="24"/>
          <w:u w:val="single"/>
        </w:rPr>
      </w:pPr>
      <w:r w:rsidRPr="00951EF6">
        <w:rPr>
          <w:sz w:val="24"/>
          <w:szCs w:val="24"/>
          <w:u w:val="single"/>
        </w:rPr>
        <w:lastRenderedPageBreak/>
        <w:t>Tabel over bivirkninger</w:t>
      </w:r>
    </w:p>
    <w:p w14:paraId="1417FD7A" w14:textId="77777777" w:rsidR="00BB70D2" w:rsidRPr="00951EF6" w:rsidRDefault="00BB70D2" w:rsidP="00BB5CFF">
      <w:pPr>
        <w:ind w:left="851"/>
        <w:rPr>
          <w:sz w:val="24"/>
          <w:szCs w:val="24"/>
        </w:rPr>
      </w:pPr>
    </w:p>
    <w:p w14:paraId="7763F8B9" w14:textId="77777777" w:rsidR="00BB70D2" w:rsidRPr="00951EF6" w:rsidRDefault="00BB70D2" w:rsidP="00BB5CFF">
      <w:pPr>
        <w:ind w:left="851"/>
        <w:rPr>
          <w:sz w:val="24"/>
          <w:szCs w:val="24"/>
        </w:rPr>
      </w:pPr>
      <w:r w:rsidRPr="00951EF6">
        <w:rPr>
          <w:sz w:val="24"/>
          <w:szCs w:val="24"/>
        </w:rPr>
        <w:t xml:space="preserve">Bivirkninger, der er forbundet med </w:t>
      </w:r>
      <w:proofErr w:type="spellStart"/>
      <w:r w:rsidRPr="00951EF6">
        <w:rPr>
          <w:sz w:val="24"/>
          <w:szCs w:val="24"/>
        </w:rPr>
        <w:t>eslicarbazepinacetat</w:t>
      </w:r>
      <w:proofErr w:type="spellEnd"/>
      <w:r w:rsidRPr="00951EF6">
        <w:rPr>
          <w:sz w:val="24"/>
          <w:szCs w:val="24"/>
        </w:rPr>
        <w:t xml:space="preserve"> og observeret i kliniske studier og ved overvågning efter markedsføring, er anført i nedenstående tabel.</w:t>
      </w:r>
    </w:p>
    <w:p w14:paraId="5149D561" w14:textId="77777777" w:rsidR="00BB70D2" w:rsidRPr="00951EF6" w:rsidRDefault="00BB70D2" w:rsidP="00BB5CFF">
      <w:pPr>
        <w:ind w:left="851"/>
        <w:rPr>
          <w:sz w:val="24"/>
          <w:szCs w:val="24"/>
        </w:rPr>
      </w:pPr>
    </w:p>
    <w:p w14:paraId="188BD3F7" w14:textId="77777777" w:rsidR="00BB70D2" w:rsidRPr="00951EF6" w:rsidRDefault="00BB70D2" w:rsidP="00BB5CFF">
      <w:pPr>
        <w:ind w:left="851"/>
        <w:rPr>
          <w:sz w:val="24"/>
          <w:szCs w:val="24"/>
        </w:rPr>
      </w:pPr>
      <w:r w:rsidRPr="00951EF6">
        <w:rPr>
          <w:sz w:val="24"/>
          <w:szCs w:val="24"/>
        </w:rPr>
        <w:t>Der er benyttet følgende konvention til klassificering af bivirkningerne: meget almindelige ≥1/10, almindelige ≥1/100 til &lt;1/10, ikke almindelige ≥1/1.000 til &lt;1/100 og ikke kendte (hyppigheden kan ikke estimeres ud fra forhåndenværende data). Inden for hver hyppighedsgruppe vises bivirkningerne med faldende alvorlighed.</w:t>
      </w:r>
    </w:p>
    <w:p w14:paraId="474F6985" w14:textId="77777777" w:rsidR="00BB70D2" w:rsidRPr="00951EF6" w:rsidRDefault="00BB70D2" w:rsidP="00BB5CFF">
      <w:pPr>
        <w:ind w:left="851"/>
        <w:rPr>
          <w:sz w:val="24"/>
          <w:szCs w:val="24"/>
        </w:rPr>
      </w:pPr>
    </w:p>
    <w:p w14:paraId="56DC6F99" w14:textId="77777777" w:rsidR="006C4DB3" w:rsidRDefault="006C4DB3" w:rsidP="006C4DB3">
      <w:pPr>
        <w:ind w:left="851"/>
        <w:rPr>
          <w:b/>
          <w:sz w:val="24"/>
          <w:szCs w:val="24"/>
        </w:rPr>
      </w:pPr>
      <w:r>
        <w:rPr>
          <w:b/>
          <w:sz w:val="24"/>
          <w:szCs w:val="24"/>
        </w:rPr>
        <w:t xml:space="preserve">Tabel 1: Behandlingsrelaterede bivirkninger, der er forbundet med </w:t>
      </w:r>
      <w:proofErr w:type="spellStart"/>
      <w:r>
        <w:rPr>
          <w:b/>
          <w:sz w:val="24"/>
          <w:szCs w:val="24"/>
        </w:rPr>
        <w:t>Arupsan</w:t>
      </w:r>
      <w:proofErr w:type="spellEnd"/>
      <w:r>
        <w:rPr>
          <w:b/>
          <w:sz w:val="24"/>
          <w:szCs w:val="24"/>
        </w:rPr>
        <w:t xml:space="preserve"> og observeret i kliniske studier og ved overvågning efter markedsføring</w:t>
      </w:r>
    </w:p>
    <w:p w14:paraId="61B2298E" w14:textId="77777777" w:rsidR="006C4DB3" w:rsidRDefault="006C4DB3" w:rsidP="006C4DB3">
      <w:pPr>
        <w:ind w:left="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39"/>
        <w:gridCol w:w="1383"/>
        <w:gridCol w:w="1778"/>
        <w:gridCol w:w="2149"/>
        <w:gridCol w:w="2079"/>
      </w:tblGrid>
      <w:tr w:rsidR="006C4DB3" w14:paraId="542AFBFE"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0AF118C9" w14:textId="77777777" w:rsidR="006C4DB3" w:rsidRDefault="006C4DB3">
            <w:pPr>
              <w:pStyle w:val="TableParagraph"/>
              <w:spacing w:line="254" w:lineRule="auto"/>
              <w:ind w:left="142" w:right="72"/>
              <w:rPr>
                <w:b/>
                <w:lang w:val="da-DK"/>
              </w:rPr>
            </w:pPr>
            <w:r>
              <w:rPr>
                <w:b/>
                <w:lang w:val="da-DK"/>
              </w:rPr>
              <w:t>Systemorganklasse</w:t>
            </w:r>
          </w:p>
        </w:tc>
        <w:tc>
          <w:tcPr>
            <w:tcW w:w="772" w:type="pct"/>
            <w:tcBorders>
              <w:top w:val="single" w:sz="4" w:space="0" w:color="000000"/>
              <w:left w:val="single" w:sz="4" w:space="0" w:color="000000"/>
              <w:bottom w:val="single" w:sz="4" w:space="0" w:color="000000"/>
              <w:right w:val="single" w:sz="4" w:space="0" w:color="000000"/>
            </w:tcBorders>
            <w:hideMark/>
          </w:tcPr>
          <w:p w14:paraId="5E509595" w14:textId="77777777" w:rsidR="006C4DB3" w:rsidRDefault="006C4DB3">
            <w:pPr>
              <w:pStyle w:val="TableParagraph"/>
              <w:spacing w:line="254" w:lineRule="auto"/>
              <w:ind w:left="142" w:right="72"/>
              <w:rPr>
                <w:b/>
                <w:lang w:val="da-DK"/>
              </w:rPr>
            </w:pPr>
            <w:r>
              <w:rPr>
                <w:b/>
                <w:lang w:val="da-DK"/>
              </w:rPr>
              <w:t>Meget almindelige</w:t>
            </w:r>
          </w:p>
        </w:tc>
        <w:tc>
          <w:tcPr>
            <w:tcW w:w="1081" w:type="pct"/>
            <w:tcBorders>
              <w:top w:val="single" w:sz="4" w:space="0" w:color="000000"/>
              <w:left w:val="single" w:sz="4" w:space="0" w:color="000000"/>
              <w:bottom w:val="single" w:sz="4" w:space="0" w:color="000000"/>
              <w:right w:val="single" w:sz="4" w:space="0" w:color="000000"/>
            </w:tcBorders>
            <w:hideMark/>
          </w:tcPr>
          <w:p w14:paraId="548768AB" w14:textId="77777777" w:rsidR="006C4DB3" w:rsidRDefault="006C4DB3">
            <w:pPr>
              <w:pStyle w:val="TableParagraph"/>
              <w:spacing w:line="254" w:lineRule="auto"/>
              <w:ind w:left="142" w:right="72"/>
              <w:rPr>
                <w:b/>
                <w:lang w:val="da-DK"/>
              </w:rPr>
            </w:pPr>
            <w:r>
              <w:rPr>
                <w:b/>
                <w:lang w:val="da-DK"/>
              </w:rPr>
              <w:t>Almindelige</w:t>
            </w:r>
          </w:p>
        </w:tc>
        <w:tc>
          <w:tcPr>
            <w:tcW w:w="1080" w:type="pct"/>
            <w:tcBorders>
              <w:top w:val="single" w:sz="4" w:space="0" w:color="000000"/>
              <w:left w:val="single" w:sz="4" w:space="0" w:color="000000"/>
              <w:bottom w:val="single" w:sz="4" w:space="0" w:color="000000"/>
              <w:right w:val="single" w:sz="4" w:space="0" w:color="000000"/>
            </w:tcBorders>
            <w:hideMark/>
          </w:tcPr>
          <w:p w14:paraId="69C74568" w14:textId="77777777" w:rsidR="006C4DB3" w:rsidRDefault="006C4DB3">
            <w:pPr>
              <w:pStyle w:val="TableParagraph"/>
              <w:spacing w:line="254" w:lineRule="auto"/>
              <w:ind w:left="142" w:right="72"/>
              <w:rPr>
                <w:b/>
                <w:lang w:val="da-DK"/>
              </w:rPr>
            </w:pPr>
            <w:r>
              <w:rPr>
                <w:b/>
                <w:lang w:val="da-DK"/>
              </w:rPr>
              <w:t>Ikke almindelige</w:t>
            </w:r>
          </w:p>
        </w:tc>
        <w:tc>
          <w:tcPr>
            <w:tcW w:w="927" w:type="pct"/>
            <w:tcBorders>
              <w:top w:val="single" w:sz="4" w:space="0" w:color="000000"/>
              <w:left w:val="single" w:sz="4" w:space="0" w:color="000000"/>
              <w:bottom w:val="single" w:sz="4" w:space="0" w:color="000000"/>
              <w:right w:val="single" w:sz="4" w:space="0" w:color="000000"/>
            </w:tcBorders>
            <w:hideMark/>
          </w:tcPr>
          <w:p w14:paraId="1CBE8618" w14:textId="77777777" w:rsidR="006C4DB3" w:rsidRDefault="006C4DB3">
            <w:pPr>
              <w:pStyle w:val="TableParagraph"/>
              <w:spacing w:line="254" w:lineRule="auto"/>
              <w:ind w:left="142" w:right="72"/>
              <w:rPr>
                <w:b/>
                <w:lang w:val="da-DK"/>
              </w:rPr>
            </w:pPr>
            <w:r>
              <w:rPr>
                <w:b/>
                <w:lang w:val="da-DK"/>
              </w:rPr>
              <w:t>Ikke kendt</w:t>
            </w:r>
          </w:p>
        </w:tc>
      </w:tr>
      <w:tr w:rsidR="006C4DB3" w14:paraId="2D3CFAB5" w14:textId="77777777" w:rsidTr="006C4DB3">
        <w:trPr>
          <w:trHeight w:val="512"/>
        </w:trPr>
        <w:tc>
          <w:tcPr>
            <w:tcW w:w="1139" w:type="pct"/>
            <w:tcBorders>
              <w:top w:val="single" w:sz="4" w:space="0" w:color="000000"/>
              <w:left w:val="single" w:sz="4" w:space="0" w:color="000000"/>
              <w:bottom w:val="single" w:sz="4" w:space="0" w:color="000000"/>
              <w:right w:val="single" w:sz="4" w:space="0" w:color="000000"/>
            </w:tcBorders>
            <w:hideMark/>
          </w:tcPr>
          <w:p w14:paraId="10121EBC" w14:textId="77777777" w:rsidR="006C4DB3" w:rsidRDefault="006C4DB3">
            <w:pPr>
              <w:pStyle w:val="TableParagraph"/>
              <w:spacing w:line="254" w:lineRule="auto"/>
              <w:ind w:left="142" w:right="72"/>
              <w:rPr>
                <w:b/>
                <w:lang w:val="da-DK"/>
              </w:rPr>
            </w:pPr>
            <w:r>
              <w:rPr>
                <w:b/>
                <w:lang w:val="da-DK"/>
              </w:rPr>
              <w:t>Blod og lymfesystem</w:t>
            </w:r>
          </w:p>
        </w:tc>
        <w:tc>
          <w:tcPr>
            <w:tcW w:w="772" w:type="pct"/>
            <w:tcBorders>
              <w:top w:val="single" w:sz="4" w:space="0" w:color="000000"/>
              <w:left w:val="single" w:sz="4" w:space="0" w:color="000000"/>
              <w:bottom w:val="single" w:sz="4" w:space="0" w:color="000000"/>
              <w:right w:val="single" w:sz="4" w:space="0" w:color="000000"/>
            </w:tcBorders>
          </w:tcPr>
          <w:p w14:paraId="2231D582"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6CD8B37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068E060" w14:textId="77777777" w:rsidR="006C4DB3" w:rsidRDefault="006C4DB3">
            <w:pPr>
              <w:pStyle w:val="TableParagraph"/>
              <w:spacing w:line="254" w:lineRule="auto"/>
              <w:ind w:left="142" w:right="72"/>
              <w:rPr>
                <w:lang w:val="da-DK"/>
              </w:rPr>
            </w:pPr>
            <w:r>
              <w:rPr>
                <w:lang w:val="da-DK"/>
              </w:rPr>
              <w:t>Anæmi</w:t>
            </w:r>
          </w:p>
        </w:tc>
        <w:tc>
          <w:tcPr>
            <w:tcW w:w="927" w:type="pct"/>
            <w:tcBorders>
              <w:top w:val="single" w:sz="4" w:space="0" w:color="000000"/>
              <w:left w:val="single" w:sz="4" w:space="0" w:color="000000"/>
              <w:bottom w:val="single" w:sz="4" w:space="0" w:color="000000"/>
              <w:right w:val="single" w:sz="4" w:space="0" w:color="000000"/>
            </w:tcBorders>
            <w:hideMark/>
          </w:tcPr>
          <w:p w14:paraId="6274931F" w14:textId="77777777" w:rsidR="006C4DB3" w:rsidRDefault="006C4DB3">
            <w:pPr>
              <w:pStyle w:val="TableParagraph"/>
              <w:spacing w:line="254" w:lineRule="auto"/>
              <w:ind w:left="142" w:right="72"/>
              <w:rPr>
                <w:lang w:val="da-DK"/>
              </w:rPr>
            </w:pPr>
            <w:proofErr w:type="spellStart"/>
            <w:r>
              <w:rPr>
                <w:lang w:val="da-DK"/>
              </w:rPr>
              <w:t>Trombocytopeni</w:t>
            </w:r>
            <w:proofErr w:type="spellEnd"/>
            <w:r>
              <w:rPr>
                <w:lang w:val="da-DK"/>
              </w:rPr>
              <w:t xml:space="preserve">, </w:t>
            </w:r>
            <w:proofErr w:type="spellStart"/>
            <w:r>
              <w:rPr>
                <w:lang w:val="da-DK"/>
              </w:rPr>
              <w:t>leukopeni</w:t>
            </w:r>
            <w:proofErr w:type="spellEnd"/>
          </w:p>
        </w:tc>
      </w:tr>
      <w:tr w:rsidR="006C4DB3" w14:paraId="7ACD754C"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76AC18E" w14:textId="77777777" w:rsidR="006C4DB3" w:rsidRDefault="006C4DB3">
            <w:pPr>
              <w:pStyle w:val="TableParagraph"/>
              <w:spacing w:line="254" w:lineRule="auto"/>
              <w:ind w:left="142" w:right="72"/>
              <w:rPr>
                <w:b/>
                <w:lang w:val="da-DK"/>
              </w:rPr>
            </w:pPr>
            <w:r>
              <w:rPr>
                <w:b/>
                <w:lang w:val="da-DK"/>
              </w:rPr>
              <w:t>Immunsystemet</w:t>
            </w:r>
          </w:p>
        </w:tc>
        <w:tc>
          <w:tcPr>
            <w:tcW w:w="772" w:type="pct"/>
            <w:tcBorders>
              <w:top w:val="single" w:sz="4" w:space="0" w:color="000000"/>
              <w:left w:val="single" w:sz="4" w:space="0" w:color="000000"/>
              <w:bottom w:val="single" w:sz="4" w:space="0" w:color="000000"/>
              <w:right w:val="single" w:sz="4" w:space="0" w:color="000000"/>
            </w:tcBorders>
          </w:tcPr>
          <w:p w14:paraId="7590293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68A31DF"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EA7FA78" w14:textId="77777777" w:rsidR="006C4DB3" w:rsidRDefault="006C4DB3">
            <w:pPr>
              <w:pStyle w:val="TableParagraph"/>
              <w:spacing w:line="254" w:lineRule="auto"/>
              <w:ind w:left="142" w:right="72"/>
              <w:rPr>
                <w:lang w:val="da-DK"/>
              </w:rPr>
            </w:pPr>
            <w:r>
              <w:rPr>
                <w:lang w:val="da-DK"/>
              </w:rPr>
              <w:t>Overfølsomhed</w:t>
            </w:r>
          </w:p>
        </w:tc>
        <w:tc>
          <w:tcPr>
            <w:tcW w:w="927" w:type="pct"/>
            <w:tcBorders>
              <w:top w:val="single" w:sz="4" w:space="0" w:color="000000"/>
              <w:left w:val="single" w:sz="4" w:space="0" w:color="000000"/>
              <w:bottom w:val="single" w:sz="4" w:space="0" w:color="000000"/>
              <w:right w:val="single" w:sz="4" w:space="0" w:color="000000"/>
            </w:tcBorders>
          </w:tcPr>
          <w:p w14:paraId="3D40D238" w14:textId="77777777" w:rsidR="006C4DB3" w:rsidRDefault="006C4DB3">
            <w:pPr>
              <w:pStyle w:val="TableParagraph"/>
              <w:spacing w:line="254" w:lineRule="auto"/>
              <w:ind w:left="142" w:right="72"/>
              <w:rPr>
                <w:lang w:val="da-DK"/>
              </w:rPr>
            </w:pPr>
          </w:p>
        </w:tc>
      </w:tr>
      <w:tr w:rsidR="006C4DB3" w14:paraId="1E57F783"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3719E556" w14:textId="77777777" w:rsidR="006C4DB3" w:rsidRDefault="006C4DB3">
            <w:pPr>
              <w:pStyle w:val="TableParagraph"/>
              <w:spacing w:line="254" w:lineRule="auto"/>
              <w:ind w:left="142" w:right="72"/>
              <w:rPr>
                <w:b/>
                <w:lang w:val="da-DK"/>
              </w:rPr>
            </w:pPr>
            <w:r>
              <w:rPr>
                <w:b/>
                <w:lang w:val="da-DK"/>
              </w:rPr>
              <w:t>Det endokrine system</w:t>
            </w:r>
          </w:p>
        </w:tc>
        <w:tc>
          <w:tcPr>
            <w:tcW w:w="772" w:type="pct"/>
            <w:tcBorders>
              <w:top w:val="single" w:sz="4" w:space="0" w:color="000000"/>
              <w:left w:val="single" w:sz="4" w:space="0" w:color="000000"/>
              <w:bottom w:val="single" w:sz="4" w:space="0" w:color="000000"/>
              <w:right w:val="single" w:sz="4" w:space="0" w:color="000000"/>
            </w:tcBorders>
          </w:tcPr>
          <w:p w14:paraId="777FF07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239692B"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F843903" w14:textId="77777777" w:rsidR="006C4DB3" w:rsidRDefault="006C4DB3">
            <w:pPr>
              <w:pStyle w:val="TableParagraph"/>
              <w:spacing w:line="254" w:lineRule="auto"/>
              <w:ind w:left="142" w:right="72"/>
              <w:rPr>
                <w:lang w:val="da-DK"/>
              </w:rPr>
            </w:pPr>
            <w:proofErr w:type="spellStart"/>
            <w:r>
              <w:rPr>
                <w:lang w:val="da-DK"/>
              </w:rPr>
              <w:t>Hypothyroidisme</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E8C103E" w14:textId="77777777" w:rsidR="006C4DB3" w:rsidRDefault="006C4DB3">
            <w:pPr>
              <w:pStyle w:val="TableParagraph"/>
              <w:spacing w:line="254" w:lineRule="auto"/>
              <w:ind w:left="142" w:right="72"/>
              <w:rPr>
                <w:lang w:val="da-DK"/>
              </w:rPr>
            </w:pPr>
          </w:p>
        </w:tc>
      </w:tr>
      <w:tr w:rsidR="006C4DB3" w14:paraId="7368EE9F" w14:textId="77777777" w:rsidTr="006C4DB3">
        <w:trPr>
          <w:trHeight w:val="1031"/>
        </w:trPr>
        <w:tc>
          <w:tcPr>
            <w:tcW w:w="1139" w:type="pct"/>
            <w:tcBorders>
              <w:top w:val="single" w:sz="4" w:space="0" w:color="000000"/>
              <w:left w:val="single" w:sz="4" w:space="0" w:color="000000"/>
              <w:bottom w:val="single" w:sz="4" w:space="0" w:color="000000"/>
              <w:right w:val="single" w:sz="4" w:space="0" w:color="000000"/>
            </w:tcBorders>
            <w:hideMark/>
          </w:tcPr>
          <w:p w14:paraId="2FBF2007" w14:textId="77777777" w:rsidR="006C4DB3" w:rsidRDefault="006C4DB3">
            <w:pPr>
              <w:pStyle w:val="TableParagraph"/>
              <w:spacing w:line="254" w:lineRule="auto"/>
              <w:ind w:left="142" w:right="72"/>
              <w:rPr>
                <w:b/>
                <w:lang w:val="da-DK"/>
              </w:rPr>
            </w:pPr>
            <w:r>
              <w:rPr>
                <w:b/>
                <w:lang w:val="da-DK"/>
              </w:rPr>
              <w:t>Metabolisme og ernæring</w:t>
            </w:r>
          </w:p>
        </w:tc>
        <w:tc>
          <w:tcPr>
            <w:tcW w:w="772" w:type="pct"/>
            <w:tcBorders>
              <w:top w:val="single" w:sz="4" w:space="0" w:color="000000"/>
              <w:left w:val="single" w:sz="4" w:space="0" w:color="000000"/>
              <w:bottom w:val="single" w:sz="4" w:space="0" w:color="000000"/>
              <w:right w:val="single" w:sz="4" w:space="0" w:color="000000"/>
            </w:tcBorders>
          </w:tcPr>
          <w:p w14:paraId="523C724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3F9D1EE" w14:textId="77777777" w:rsidR="006C4DB3" w:rsidRDefault="006C4DB3">
            <w:pPr>
              <w:pStyle w:val="TableParagraph"/>
              <w:spacing w:line="254" w:lineRule="auto"/>
              <w:ind w:left="142" w:right="72"/>
              <w:rPr>
                <w:lang w:val="da-DK"/>
              </w:rPr>
            </w:pPr>
            <w:proofErr w:type="spellStart"/>
            <w:r>
              <w:rPr>
                <w:lang w:val="da-DK"/>
              </w:rPr>
              <w:t>Hyponatriæmi</w:t>
            </w:r>
            <w:proofErr w:type="spellEnd"/>
            <w:r>
              <w:rPr>
                <w:lang w:val="da-DK"/>
              </w:rPr>
              <w:t>, nedsat appetit</w:t>
            </w:r>
          </w:p>
        </w:tc>
        <w:tc>
          <w:tcPr>
            <w:tcW w:w="1080" w:type="pct"/>
            <w:tcBorders>
              <w:top w:val="single" w:sz="4" w:space="0" w:color="000000"/>
              <w:left w:val="single" w:sz="4" w:space="0" w:color="000000"/>
              <w:bottom w:val="single" w:sz="4" w:space="0" w:color="000000"/>
              <w:right w:val="single" w:sz="4" w:space="0" w:color="000000"/>
            </w:tcBorders>
            <w:hideMark/>
          </w:tcPr>
          <w:p w14:paraId="51F78F1F" w14:textId="77777777" w:rsidR="006C4DB3" w:rsidRDefault="006C4DB3">
            <w:pPr>
              <w:pStyle w:val="TableParagraph"/>
              <w:spacing w:line="254" w:lineRule="auto"/>
              <w:ind w:left="142" w:right="72"/>
              <w:rPr>
                <w:lang w:val="da-DK"/>
              </w:rPr>
            </w:pPr>
            <w:r>
              <w:rPr>
                <w:lang w:val="da-DK"/>
              </w:rPr>
              <w:t xml:space="preserve">Forstyrrelser i elektrolytbalancen, dehydrering, </w:t>
            </w:r>
            <w:proofErr w:type="spellStart"/>
            <w:r>
              <w:rPr>
                <w:lang w:val="da-DK"/>
              </w:rPr>
              <w:t>hypokloræmi</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2069"/>
            </w:tblGrid>
            <w:tr w:rsidR="006C4DB3" w14:paraId="5AB0DBAF" w14:textId="77777777">
              <w:trPr>
                <w:trHeight w:val="1792"/>
              </w:trPr>
              <w:tc>
                <w:tcPr>
                  <w:tcW w:w="0" w:type="auto"/>
                  <w:tcBorders>
                    <w:top w:val="nil"/>
                    <w:left w:val="nil"/>
                    <w:bottom w:val="nil"/>
                    <w:right w:val="nil"/>
                  </w:tcBorders>
                  <w:hideMark/>
                </w:tcPr>
                <w:p w14:paraId="213A7540" w14:textId="77777777" w:rsidR="006C4DB3" w:rsidRDefault="006C4DB3">
                  <w:pPr>
                    <w:pStyle w:val="TableParagraph"/>
                    <w:spacing w:line="254" w:lineRule="auto"/>
                    <w:ind w:left="142" w:right="72"/>
                    <w:rPr>
                      <w:lang w:val="da-DK"/>
                    </w:rPr>
                  </w:pPr>
                  <w:r>
                    <w:rPr>
                      <w:lang w:val="da-DK"/>
                    </w:rPr>
                    <w:t xml:space="preserve">Uhensigtsmæssigt ADH-sekretionslignende syndrom med tegn og symptomer som letargi, kvalme, svimmelhed, reduceret </w:t>
                  </w:r>
                  <w:proofErr w:type="spellStart"/>
                  <w:r>
                    <w:rPr>
                      <w:lang w:val="da-DK"/>
                    </w:rPr>
                    <w:t>osmolalitet</w:t>
                  </w:r>
                  <w:proofErr w:type="spellEnd"/>
                  <w:r>
                    <w:rPr>
                      <w:lang w:val="da-DK"/>
                    </w:rPr>
                    <w:t xml:space="preserve"> i serum (blod), opkastning, hovedpine, forvirring eller andre neurologiske tegn og symptomer </w:t>
                  </w:r>
                </w:p>
              </w:tc>
            </w:tr>
          </w:tbl>
          <w:p w14:paraId="4DE8B4B2" w14:textId="77777777" w:rsidR="006C4DB3" w:rsidRDefault="006C4DB3">
            <w:pPr>
              <w:pStyle w:val="TableParagraph"/>
              <w:spacing w:line="254" w:lineRule="auto"/>
              <w:ind w:left="142" w:right="72"/>
              <w:rPr>
                <w:lang w:val="da-DK"/>
              </w:rPr>
            </w:pPr>
          </w:p>
        </w:tc>
      </w:tr>
      <w:tr w:rsidR="006C4DB3" w14:paraId="48B5DEB5" w14:textId="77777777" w:rsidTr="006C4DB3">
        <w:trPr>
          <w:trHeight w:val="2831"/>
        </w:trPr>
        <w:tc>
          <w:tcPr>
            <w:tcW w:w="1139" w:type="pct"/>
            <w:tcBorders>
              <w:top w:val="single" w:sz="4" w:space="0" w:color="000000"/>
              <w:left w:val="single" w:sz="4" w:space="0" w:color="000000"/>
              <w:bottom w:val="single" w:sz="4" w:space="0" w:color="000000"/>
              <w:right w:val="single" w:sz="4" w:space="0" w:color="000000"/>
            </w:tcBorders>
            <w:hideMark/>
          </w:tcPr>
          <w:p w14:paraId="1B97416D" w14:textId="77777777" w:rsidR="006C4DB3" w:rsidRDefault="006C4DB3">
            <w:pPr>
              <w:pStyle w:val="TableParagraph"/>
              <w:spacing w:line="254" w:lineRule="auto"/>
              <w:ind w:left="142" w:right="72"/>
              <w:rPr>
                <w:b/>
                <w:lang w:val="da-DK"/>
              </w:rPr>
            </w:pPr>
            <w:r>
              <w:rPr>
                <w:b/>
                <w:lang w:val="da-DK"/>
              </w:rPr>
              <w:t>Psykiske forstyrrelser</w:t>
            </w:r>
          </w:p>
        </w:tc>
        <w:tc>
          <w:tcPr>
            <w:tcW w:w="772" w:type="pct"/>
            <w:tcBorders>
              <w:top w:val="single" w:sz="4" w:space="0" w:color="000000"/>
              <w:left w:val="single" w:sz="4" w:space="0" w:color="000000"/>
              <w:bottom w:val="single" w:sz="4" w:space="0" w:color="000000"/>
              <w:right w:val="single" w:sz="4" w:space="0" w:color="000000"/>
            </w:tcBorders>
          </w:tcPr>
          <w:p w14:paraId="14B5A939"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1829B325" w14:textId="77777777" w:rsidR="006C4DB3" w:rsidRDefault="006C4DB3">
            <w:pPr>
              <w:pStyle w:val="TableParagraph"/>
              <w:spacing w:line="254" w:lineRule="auto"/>
              <w:ind w:left="142" w:right="72"/>
              <w:rPr>
                <w:lang w:val="da-DK"/>
              </w:rPr>
            </w:pPr>
            <w:proofErr w:type="spellStart"/>
            <w:r>
              <w:rPr>
                <w:lang w:val="da-DK"/>
              </w:rPr>
              <w:t>Insomni</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12CA5834" w14:textId="77777777" w:rsidR="006C4DB3" w:rsidRDefault="006C4DB3">
            <w:pPr>
              <w:pStyle w:val="TableParagraph"/>
              <w:spacing w:line="254" w:lineRule="auto"/>
              <w:ind w:left="142" w:right="72"/>
              <w:rPr>
                <w:lang w:val="da-DK"/>
              </w:rPr>
            </w:pPr>
            <w:r>
              <w:rPr>
                <w:lang w:val="da-DK"/>
              </w:rPr>
              <w:t xml:space="preserve">Psykose, apati, depression, nervøsitet, agitation, irritabilitet, nedsat opmærksomhed/ hyperaktivitet, konfusion, stemningslabilitet, </w:t>
            </w:r>
            <w:proofErr w:type="spellStart"/>
            <w:r>
              <w:rPr>
                <w:lang w:val="da-DK"/>
              </w:rPr>
              <w:t>grådlabilitet</w:t>
            </w:r>
            <w:proofErr w:type="spellEnd"/>
            <w:r>
              <w:rPr>
                <w:lang w:val="da-DK"/>
              </w:rPr>
              <w:t xml:space="preserve">, </w:t>
            </w:r>
            <w:proofErr w:type="spellStart"/>
            <w:r>
              <w:rPr>
                <w:lang w:val="da-DK"/>
              </w:rPr>
              <w:t>psykomotorisk</w:t>
            </w:r>
            <w:proofErr w:type="spellEnd"/>
            <w:r>
              <w:rPr>
                <w:lang w:val="da-DK"/>
              </w:rPr>
              <w:t xml:space="preserve"> retardering, angst</w:t>
            </w:r>
          </w:p>
        </w:tc>
        <w:tc>
          <w:tcPr>
            <w:tcW w:w="927" w:type="pct"/>
            <w:tcBorders>
              <w:top w:val="single" w:sz="4" w:space="0" w:color="000000"/>
              <w:left w:val="single" w:sz="4" w:space="0" w:color="000000"/>
              <w:bottom w:val="single" w:sz="4" w:space="0" w:color="000000"/>
              <w:right w:val="single" w:sz="4" w:space="0" w:color="000000"/>
            </w:tcBorders>
          </w:tcPr>
          <w:p w14:paraId="77A67A7C" w14:textId="77777777" w:rsidR="006C4DB3" w:rsidRDefault="006C4DB3">
            <w:pPr>
              <w:pStyle w:val="TableParagraph"/>
              <w:spacing w:line="254" w:lineRule="auto"/>
              <w:ind w:left="142" w:right="72"/>
              <w:rPr>
                <w:lang w:val="da-DK"/>
              </w:rPr>
            </w:pPr>
          </w:p>
        </w:tc>
      </w:tr>
      <w:tr w:rsidR="006C4DB3" w14:paraId="2EE90E89" w14:textId="77777777" w:rsidTr="006C4DB3">
        <w:trPr>
          <w:trHeight w:val="3550"/>
        </w:trPr>
        <w:tc>
          <w:tcPr>
            <w:tcW w:w="1139" w:type="pct"/>
            <w:tcBorders>
              <w:top w:val="single" w:sz="4" w:space="0" w:color="000000"/>
              <w:left w:val="single" w:sz="4" w:space="0" w:color="000000"/>
              <w:bottom w:val="single" w:sz="4" w:space="0" w:color="000000"/>
              <w:right w:val="single" w:sz="4" w:space="0" w:color="000000"/>
            </w:tcBorders>
            <w:hideMark/>
          </w:tcPr>
          <w:p w14:paraId="042DA2BE" w14:textId="77777777" w:rsidR="006C4DB3" w:rsidRDefault="006C4DB3">
            <w:pPr>
              <w:pStyle w:val="TableParagraph"/>
              <w:spacing w:line="254" w:lineRule="auto"/>
              <w:ind w:left="142" w:right="72"/>
              <w:rPr>
                <w:b/>
                <w:lang w:val="da-DK"/>
              </w:rPr>
            </w:pPr>
            <w:r>
              <w:rPr>
                <w:b/>
                <w:lang w:val="da-DK"/>
              </w:rPr>
              <w:lastRenderedPageBreak/>
              <w:t>Nervesystemet</w:t>
            </w:r>
          </w:p>
        </w:tc>
        <w:tc>
          <w:tcPr>
            <w:tcW w:w="772" w:type="pct"/>
            <w:tcBorders>
              <w:top w:val="single" w:sz="4" w:space="0" w:color="000000"/>
              <w:left w:val="single" w:sz="4" w:space="0" w:color="000000"/>
              <w:bottom w:val="single" w:sz="4" w:space="0" w:color="000000"/>
              <w:right w:val="single" w:sz="4" w:space="0" w:color="000000"/>
            </w:tcBorders>
            <w:hideMark/>
          </w:tcPr>
          <w:p w14:paraId="65C91675" w14:textId="77777777" w:rsidR="006C4DB3" w:rsidRDefault="006C4DB3">
            <w:pPr>
              <w:pStyle w:val="TableParagraph"/>
              <w:spacing w:line="254" w:lineRule="auto"/>
              <w:ind w:left="142" w:right="72"/>
              <w:rPr>
                <w:lang w:val="da-DK"/>
              </w:rPr>
            </w:pPr>
            <w:r>
              <w:rPr>
                <w:lang w:val="da-DK"/>
              </w:rPr>
              <w:t>Svimmelhed, døsighed</w:t>
            </w:r>
          </w:p>
        </w:tc>
        <w:tc>
          <w:tcPr>
            <w:tcW w:w="1081" w:type="pct"/>
            <w:tcBorders>
              <w:top w:val="single" w:sz="4" w:space="0" w:color="000000"/>
              <w:left w:val="single" w:sz="4" w:space="0" w:color="000000"/>
              <w:bottom w:val="single" w:sz="4" w:space="0" w:color="000000"/>
              <w:right w:val="single" w:sz="4" w:space="0" w:color="000000"/>
            </w:tcBorders>
            <w:hideMark/>
          </w:tcPr>
          <w:p w14:paraId="6E6F729F" w14:textId="77777777" w:rsidR="006C4DB3" w:rsidRDefault="006C4DB3">
            <w:pPr>
              <w:pStyle w:val="TableParagraph"/>
              <w:spacing w:line="254" w:lineRule="auto"/>
              <w:ind w:left="142" w:right="72"/>
              <w:rPr>
                <w:lang w:val="da-DK"/>
              </w:rPr>
            </w:pPr>
            <w:r>
              <w:rPr>
                <w:lang w:val="da-DK"/>
              </w:rPr>
              <w:t>Hovedpine, opmærksomheds</w:t>
            </w:r>
            <w:r>
              <w:rPr>
                <w:lang w:val="da-DK"/>
              </w:rPr>
              <w:softHyphen/>
              <w:t xml:space="preserve">forstyrrelser, </w:t>
            </w:r>
            <w:proofErr w:type="spellStart"/>
            <w:r>
              <w:rPr>
                <w:lang w:val="da-DK"/>
              </w:rPr>
              <w:t>tremor</w:t>
            </w:r>
            <w:proofErr w:type="spellEnd"/>
            <w:r>
              <w:rPr>
                <w:lang w:val="da-DK"/>
              </w:rPr>
              <w:t xml:space="preserve">, </w:t>
            </w:r>
            <w:proofErr w:type="spellStart"/>
            <w:r>
              <w:rPr>
                <w:lang w:val="da-DK"/>
              </w:rPr>
              <w:t>ataksi</w:t>
            </w:r>
            <w:proofErr w:type="spellEnd"/>
            <w:r>
              <w:rPr>
                <w:lang w:val="da-DK"/>
              </w:rPr>
              <w:t>, balance</w:t>
            </w:r>
            <w:r>
              <w:rPr>
                <w:lang w:val="da-DK"/>
              </w:rPr>
              <w:softHyphen/>
              <w:t>forstyrrelser</w:t>
            </w:r>
          </w:p>
        </w:tc>
        <w:tc>
          <w:tcPr>
            <w:tcW w:w="1080" w:type="pct"/>
            <w:tcBorders>
              <w:top w:val="single" w:sz="4" w:space="0" w:color="000000"/>
              <w:left w:val="single" w:sz="4" w:space="0" w:color="000000"/>
              <w:bottom w:val="single" w:sz="4" w:space="0" w:color="000000"/>
              <w:right w:val="single" w:sz="4" w:space="0" w:color="000000"/>
            </w:tcBorders>
            <w:hideMark/>
          </w:tcPr>
          <w:p w14:paraId="448D4216" w14:textId="77777777" w:rsidR="006C4DB3" w:rsidRDefault="006C4DB3">
            <w:pPr>
              <w:pStyle w:val="TableParagraph"/>
              <w:spacing w:line="254" w:lineRule="auto"/>
              <w:ind w:left="142" w:right="72"/>
              <w:rPr>
                <w:lang w:val="da-DK"/>
              </w:rPr>
            </w:pPr>
            <w:r>
              <w:rPr>
                <w:lang w:val="da-DK"/>
              </w:rPr>
              <w:t xml:space="preserve">Koordinationsbesvær, svækket hukommelse, amnesi, </w:t>
            </w:r>
            <w:proofErr w:type="spellStart"/>
            <w:r>
              <w:rPr>
                <w:lang w:val="da-DK"/>
              </w:rPr>
              <w:t>hypersomni</w:t>
            </w:r>
            <w:proofErr w:type="spellEnd"/>
            <w:r>
              <w:rPr>
                <w:lang w:val="da-DK"/>
              </w:rPr>
              <w:t xml:space="preserve">, sedation, afasi, </w:t>
            </w:r>
            <w:proofErr w:type="spellStart"/>
            <w:r>
              <w:rPr>
                <w:lang w:val="da-DK"/>
              </w:rPr>
              <w:t>dysæstesi</w:t>
            </w:r>
            <w:proofErr w:type="spellEnd"/>
            <w:r>
              <w:rPr>
                <w:lang w:val="da-DK"/>
              </w:rPr>
              <w:t xml:space="preserve">, </w:t>
            </w:r>
            <w:proofErr w:type="spellStart"/>
            <w:r>
              <w:rPr>
                <w:lang w:val="da-DK"/>
              </w:rPr>
              <w:t>dystoni</w:t>
            </w:r>
            <w:proofErr w:type="spellEnd"/>
            <w:r>
              <w:rPr>
                <w:lang w:val="da-DK"/>
              </w:rPr>
              <w:t xml:space="preserve">, apati, lugtforstyrrelser, cerebralt syndrom, kramper, perifer </w:t>
            </w:r>
            <w:proofErr w:type="spellStart"/>
            <w:r>
              <w:rPr>
                <w:lang w:val="da-DK"/>
              </w:rPr>
              <w:t>neuropati</w:t>
            </w:r>
            <w:proofErr w:type="spellEnd"/>
            <w:r>
              <w:rPr>
                <w:lang w:val="da-DK"/>
              </w:rPr>
              <w:t xml:space="preserve">, nystagmus, taleforstyrrelser, </w:t>
            </w:r>
            <w:proofErr w:type="spellStart"/>
            <w:r>
              <w:rPr>
                <w:lang w:val="da-DK"/>
              </w:rPr>
              <w:t>dysartri</w:t>
            </w:r>
            <w:proofErr w:type="spellEnd"/>
            <w:r>
              <w:rPr>
                <w:lang w:val="da-DK"/>
              </w:rPr>
              <w:t>,</w:t>
            </w:r>
            <w:r>
              <w:rPr>
                <w:spacing w:val="19"/>
                <w:lang w:val="da-DK"/>
              </w:rPr>
              <w:t xml:space="preserve"> </w:t>
            </w:r>
            <w:r>
              <w:rPr>
                <w:spacing w:val="-3"/>
                <w:lang w:val="da-DK"/>
              </w:rPr>
              <w:t xml:space="preserve">brændende </w:t>
            </w:r>
            <w:r>
              <w:rPr>
                <w:lang w:val="da-DK"/>
              </w:rPr>
              <w:t xml:space="preserve">fornemmelse, </w:t>
            </w:r>
            <w:proofErr w:type="spellStart"/>
            <w:r>
              <w:rPr>
                <w:lang w:val="da-DK"/>
              </w:rPr>
              <w:t>paræstesi</w:t>
            </w:r>
            <w:proofErr w:type="spellEnd"/>
            <w:r>
              <w:rPr>
                <w:lang w:val="da-DK"/>
              </w:rPr>
              <w:t>,</w:t>
            </w:r>
            <w:r>
              <w:rPr>
                <w:spacing w:val="9"/>
                <w:lang w:val="da-DK"/>
              </w:rPr>
              <w:t xml:space="preserve"> </w:t>
            </w:r>
            <w:r>
              <w:rPr>
                <w:spacing w:val="-3"/>
                <w:lang w:val="da-DK"/>
              </w:rPr>
              <w:t>migræne</w:t>
            </w:r>
          </w:p>
        </w:tc>
        <w:tc>
          <w:tcPr>
            <w:tcW w:w="927" w:type="pct"/>
            <w:tcBorders>
              <w:top w:val="single" w:sz="4" w:space="0" w:color="000000"/>
              <w:left w:val="single" w:sz="4" w:space="0" w:color="000000"/>
              <w:bottom w:val="single" w:sz="4" w:space="0" w:color="000000"/>
              <w:right w:val="single" w:sz="4" w:space="0" w:color="000000"/>
            </w:tcBorders>
          </w:tcPr>
          <w:p w14:paraId="7A2D1770" w14:textId="77777777" w:rsidR="006C4DB3" w:rsidRDefault="006C4DB3">
            <w:pPr>
              <w:pStyle w:val="TableParagraph"/>
              <w:spacing w:line="254" w:lineRule="auto"/>
              <w:ind w:left="142" w:right="72"/>
              <w:rPr>
                <w:lang w:val="da-DK"/>
              </w:rPr>
            </w:pPr>
          </w:p>
        </w:tc>
      </w:tr>
      <w:tr w:rsidR="006C4DB3" w14:paraId="0DE7634F" w14:textId="77777777" w:rsidTr="006C4DB3">
        <w:trPr>
          <w:trHeight w:val="1295"/>
        </w:trPr>
        <w:tc>
          <w:tcPr>
            <w:tcW w:w="1139" w:type="pct"/>
            <w:tcBorders>
              <w:top w:val="single" w:sz="4" w:space="0" w:color="000000"/>
              <w:left w:val="single" w:sz="4" w:space="0" w:color="000000"/>
              <w:bottom w:val="single" w:sz="4" w:space="0" w:color="000000"/>
              <w:right w:val="single" w:sz="4" w:space="0" w:color="000000"/>
            </w:tcBorders>
            <w:hideMark/>
          </w:tcPr>
          <w:p w14:paraId="3DDF7882" w14:textId="77777777" w:rsidR="006C4DB3" w:rsidRDefault="006C4DB3">
            <w:pPr>
              <w:pStyle w:val="TableParagraph"/>
              <w:spacing w:line="254" w:lineRule="auto"/>
              <w:ind w:left="142" w:right="72"/>
              <w:rPr>
                <w:b/>
                <w:lang w:val="da-DK"/>
              </w:rPr>
            </w:pPr>
            <w:r>
              <w:rPr>
                <w:b/>
                <w:lang w:val="da-DK"/>
              </w:rPr>
              <w:t>Øjne</w:t>
            </w:r>
          </w:p>
        </w:tc>
        <w:tc>
          <w:tcPr>
            <w:tcW w:w="772" w:type="pct"/>
            <w:tcBorders>
              <w:top w:val="single" w:sz="4" w:space="0" w:color="000000"/>
              <w:left w:val="single" w:sz="4" w:space="0" w:color="000000"/>
              <w:bottom w:val="single" w:sz="4" w:space="0" w:color="000000"/>
              <w:right w:val="single" w:sz="4" w:space="0" w:color="000000"/>
            </w:tcBorders>
          </w:tcPr>
          <w:p w14:paraId="411EEBC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5A48990B" w14:textId="77777777" w:rsidR="006C4DB3" w:rsidRDefault="006C4DB3">
            <w:pPr>
              <w:pStyle w:val="TableParagraph"/>
              <w:spacing w:line="254" w:lineRule="auto"/>
              <w:ind w:left="142" w:right="72"/>
              <w:rPr>
                <w:lang w:val="da-DK"/>
              </w:rPr>
            </w:pPr>
            <w:proofErr w:type="spellStart"/>
            <w:r>
              <w:rPr>
                <w:lang w:val="da-DK"/>
              </w:rPr>
              <w:t>Diplopi</w:t>
            </w:r>
            <w:proofErr w:type="spellEnd"/>
            <w:r>
              <w:rPr>
                <w:lang w:val="da-DK"/>
              </w:rPr>
              <w:t>, uskarpt syn</w:t>
            </w:r>
          </w:p>
        </w:tc>
        <w:tc>
          <w:tcPr>
            <w:tcW w:w="1080" w:type="pct"/>
            <w:tcBorders>
              <w:top w:val="single" w:sz="4" w:space="0" w:color="000000"/>
              <w:left w:val="single" w:sz="4" w:space="0" w:color="000000"/>
              <w:bottom w:val="single" w:sz="4" w:space="0" w:color="000000"/>
              <w:right w:val="single" w:sz="4" w:space="0" w:color="000000"/>
            </w:tcBorders>
            <w:hideMark/>
          </w:tcPr>
          <w:p w14:paraId="2E243415" w14:textId="77777777" w:rsidR="006C4DB3" w:rsidRDefault="006C4DB3">
            <w:pPr>
              <w:pStyle w:val="TableParagraph"/>
              <w:spacing w:line="254" w:lineRule="auto"/>
              <w:ind w:left="142" w:right="72"/>
              <w:rPr>
                <w:lang w:val="da-DK"/>
              </w:rPr>
            </w:pPr>
            <w:r>
              <w:rPr>
                <w:lang w:val="da-DK"/>
              </w:rPr>
              <w:t xml:space="preserve">Nedsat syn, </w:t>
            </w:r>
            <w:proofErr w:type="spellStart"/>
            <w:r>
              <w:rPr>
                <w:lang w:val="da-DK"/>
              </w:rPr>
              <w:t>oscillopsi</w:t>
            </w:r>
            <w:proofErr w:type="spellEnd"/>
            <w:r>
              <w:rPr>
                <w:lang w:val="da-DK"/>
              </w:rPr>
              <w:t xml:space="preserve">, forstyrrelser i binokulært syn, </w:t>
            </w:r>
            <w:proofErr w:type="spellStart"/>
            <w:r>
              <w:rPr>
                <w:lang w:val="da-DK"/>
              </w:rPr>
              <w:t>okulær</w:t>
            </w:r>
            <w:proofErr w:type="spellEnd"/>
            <w:r>
              <w:rPr>
                <w:lang w:val="da-DK"/>
              </w:rPr>
              <w:t xml:space="preserve"> </w:t>
            </w:r>
            <w:proofErr w:type="spellStart"/>
            <w:r>
              <w:rPr>
                <w:lang w:val="da-DK"/>
              </w:rPr>
              <w:t>hyperæmi</w:t>
            </w:r>
            <w:proofErr w:type="spellEnd"/>
          </w:p>
        </w:tc>
        <w:tc>
          <w:tcPr>
            <w:tcW w:w="927" w:type="pct"/>
            <w:tcBorders>
              <w:top w:val="single" w:sz="4" w:space="0" w:color="000000"/>
              <w:left w:val="single" w:sz="4" w:space="0" w:color="000000"/>
              <w:bottom w:val="single" w:sz="4" w:space="0" w:color="000000"/>
              <w:right w:val="single" w:sz="4" w:space="0" w:color="000000"/>
            </w:tcBorders>
          </w:tcPr>
          <w:p w14:paraId="3DEED17C" w14:textId="77777777" w:rsidR="006C4DB3" w:rsidRDefault="006C4DB3">
            <w:pPr>
              <w:pStyle w:val="TableParagraph"/>
              <w:spacing w:line="254" w:lineRule="auto"/>
              <w:ind w:left="142" w:right="72"/>
              <w:rPr>
                <w:lang w:val="da-DK"/>
              </w:rPr>
            </w:pPr>
          </w:p>
        </w:tc>
      </w:tr>
      <w:tr w:rsidR="006C4DB3" w14:paraId="5B4155E3" w14:textId="77777777" w:rsidTr="006C4DB3">
        <w:trPr>
          <w:trHeight w:val="518"/>
        </w:trPr>
        <w:tc>
          <w:tcPr>
            <w:tcW w:w="1139" w:type="pct"/>
            <w:tcBorders>
              <w:top w:val="single" w:sz="4" w:space="0" w:color="000000"/>
              <w:left w:val="single" w:sz="4" w:space="0" w:color="000000"/>
              <w:bottom w:val="single" w:sz="4" w:space="0" w:color="000000"/>
              <w:right w:val="single" w:sz="4" w:space="0" w:color="000000"/>
            </w:tcBorders>
            <w:hideMark/>
          </w:tcPr>
          <w:p w14:paraId="00D97856" w14:textId="77777777" w:rsidR="006C4DB3" w:rsidRDefault="006C4DB3">
            <w:pPr>
              <w:pStyle w:val="TableParagraph"/>
              <w:spacing w:line="254" w:lineRule="auto"/>
              <w:ind w:left="142" w:right="72"/>
              <w:rPr>
                <w:b/>
                <w:lang w:val="da-DK"/>
              </w:rPr>
            </w:pPr>
            <w:r>
              <w:rPr>
                <w:b/>
                <w:lang w:val="da-DK"/>
              </w:rPr>
              <w:t>Øre og labyrint</w:t>
            </w:r>
          </w:p>
        </w:tc>
        <w:tc>
          <w:tcPr>
            <w:tcW w:w="772" w:type="pct"/>
            <w:tcBorders>
              <w:top w:val="single" w:sz="4" w:space="0" w:color="000000"/>
              <w:left w:val="single" w:sz="4" w:space="0" w:color="000000"/>
              <w:bottom w:val="single" w:sz="4" w:space="0" w:color="000000"/>
              <w:right w:val="single" w:sz="4" w:space="0" w:color="000000"/>
            </w:tcBorders>
          </w:tcPr>
          <w:p w14:paraId="31EA3C4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0217631D" w14:textId="77777777" w:rsidR="006C4DB3" w:rsidRDefault="006C4DB3">
            <w:pPr>
              <w:pStyle w:val="TableParagraph"/>
              <w:spacing w:line="254" w:lineRule="auto"/>
              <w:ind w:left="142" w:right="72"/>
              <w:rPr>
                <w:lang w:val="da-DK"/>
              </w:rPr>
            </w:pPr>
            <w:proofErr w:type="spellStart"/>
            <w:r>
              <w:rPr>
                <w:lang w:val="da-DK"/>
              </w:rPr>
              <w:t>Vertigo</w:t>
            </w:r>
            <w:proofErr w:type="spellEnd"/>
          </w:p>
        </w:tc>
        <w:tc>
          <w:tcPr>
            <w:tcW w:w="1080" w:type="pct"/>
            <w:tcBorders>
              <w:top w:val="single" w:sz="4" w:space="0" w:color="000000"/>
              <w:left w:val="single" w:sz="4" w:space="0" w:color="000000"/>
              <w:bottom w:val="single" w:sz="4" w:space="0" w:color="000000"/>
              <w:right w:val="single" w:sz="4" w:space="0" w:color="000000"/>
            </w:tcBorders>
            <w:hideMark/>
          </w:tcPr>
          <w:p w14:paraId="5641FD0E" w14:textId="77777777" w:rsidR="006C4DB3" w:rsidRDefault="006C4DB3">
            <w:pPr>
              <w:pStyle w:val="TableParagraph"/>
              <w:spacing w:line="254" w:lineRule="auto"/>
              <w:ind w:left="142" w:right="72"/>
              <w:rPr>
                <w:lang w:val="da-DK"/>
              </w:rPr>
            </w:pPr>
            <w:proofErr w:type="spellStart"/>
            <w:r>
              <w:rPr>
                <w:lang w:val="da-DK"/>
              </w:rPr>
              <w:t>Hypoacusis</w:t>
            </w:r>
            <w:proofErr w:type="spellEnd"/>
            <w:r>
              <w:rPr>
                <w:lang w:val="da-DK"/>
              </w:rPr>
              <w:t>, tinnitus</w:t>
            </w:r>
          </w:p>
        </w:tc>
        <w:tc>
          <w:tcPr>
            <w:tcW w:w="927" w:type="pct"/>
            <w:tcBorders>
              <w:top w:val="single" w:sz="4" w:space="0" w:color="000000"/>
              <w:left w:val="single" w:sz="4" w:space="0" w:color="000000"/>
              <w:bottom w:val="single" w:sz="4" w:space="0" w:color="000000"/>
              <w:right w:val="single" w:sz="4" w:space="0" w:color="000000"/>
            </w:tcBorders>
          </w:tcPr>
          <w:p w14:paraId="3C95D60C" w14:textId="77777777" w:rsidR="006C4DB3" w:rsidRDefault="006C4DB3">
            <w:pPr>
              <w:pStyle w:val="TableParagraph"/>
              <w:spacing w:line="254" w:lineRule="auto"/>
              <w:ind w:left="142" w:right="72"/>
              <w:rPr>
                <w:lang w:val="da-DK"/>
              </w:rPr>
            </w:pPr>
          </w:p>
        </w:tc>
      </w:tr>
      <w:tr w:rsidR="006C4DB3" w14:paraId="1B3B8422"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7488C2E6" w14:textId="77777777" w:rsidR="006C4DB3" w:rsidRDefault="006C4DB3">
            <w:pPr>
              <w:pStyle w:val="TableParagraph"/>
              <w:spacing w:line="254" w:lineRule="auto"/>
              <w:ind w:left="142" w:right="72"/>
              <w:rPr>
                <w:b/>
                <w:lang w:val="da-DK"/>
              </w:rPr>
            </w:pPr>
            <w:r>
              <w:rPr>
                <w:b/>
                <w:lang w:val="da-DK"/>
              </w:rPr>
              <w:t>Hjerte</w:t>
            </w:r>
          </w:p>
        </w:tc>
        <w:tc>
          <w:tcPr>
            <w:tcW w:w="772" w:type="pct"/>
            <w:tcBorders>
              <w:top w:val="single" w:sz="4" w:space="0" w:color="000000"/>
              <w:left w:val="single" w:sz="4" w:space="0" w:color="000000"/>
              <w:bottom w:val="single" w:sz="4" w:space="0" w:color="000000"/>
              <w:right w:val="single" w:sz="4" w:space="0" w:color="000000"/>
            </w:tcBorders>
          </w:tcPr>
          <w:p w14:paraId="3DA9DEC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8D5320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ECB199" w14:textId="77777777" w:rsidR="006C4DB3" w:rsidRDefault="006C4DB3">
            <w:pPr>
              <w:pStyle w:val="TableParagraph"/>
              <w:spacing w:line="254" w:lineRule="auto"/>
              <w:ind w:left="142" w:right="72"/>
              <w:rPr>
                <w:lang w:val="da-DK"/>
              </w:rPr>
            </w:pPr>
            <w:proofErr w:type="spellStart"/>
            <w:r>
              <w:rPr>
                <w:lang w:val="da-DK"/>
              </w:rPr>
              <w:t>Palpitationer</w:t>
            </w:r>
            <w:proofErr w:type="spellEnd"/>
            <w:r>
              <w:rPr>
                <w:lang w:val="da-DK"/>
              </w:rPr>
              <w:t>, bradykardi</w:t>
            </w:r>
          </w:p>
        </w:tc>
        <w:tc>
          <w:tcPr>
            <w:tcW w:w="927" w:type="pct"/>
            <w:tcBorders>
              <w:top w:val="single" w:sz="4" w:space="0" w:color="000000"/>
              <w:left w:val="single" w:sz="4" w:space="0" w:color="000000"/>
              <w:bottom w:val="single" w:sz="4" w:space="0" w:color="000000"/>
              <w:right w:val="single" w:sz="4" w:space="0" w:color="000000"/>
            </w:tcBorders>
          </w:tcPr>
          <w:p w14:paraId="446614DF" w14:textId="77777777" w:rsidR="006C4DB3" w:rsidRDefault="006C4DB3">
            <w:pPr>
              <w:pStyle w:val="TableParagraph"/>
              <w:spacing w:line="254" w:lineRule="auto"/>
              <w:ind w:left="142" w:right="72"/>
              <w:rPr>
                <w:lang w:val="da-DK"/>
              </w:rPr>
            </w:pPr>
          </w:p>
        </w:tc>
      </w:tr>
      <w:tr w:rsidR="006C4DB3" w14:paraId="3AFB3BCE" w14:textId="77777777" w:rsidTr="006C4DB3">
        <w:trPr>
          <w:trHeight w:val="1833"/>
        </w:trPr>
        <w:tc>
          <w:tcPr>
            <w:tcW w:w="1139" w:type="pct"/>
            <w:tcBorders>
              <w:top w:val="single" w:sz="4" w:space="0" w:color="000000"/>
              <w:left w:val="single" w:sz="4" w:space="0" w:color="000000"/>
              <w:bottom w:val="single" w:sz="4" w:space="0" w:color="000000"/>
              <w:right w:val="single" w:sz="4" w:space="0" w:color="000000"/>
            </w:tcBorders>
            <w:hideMark/>
          </w:tcPr>
          <w:p w14:paraId="5548CD04" w14:textId="77777777" w:rsidR="006C4DB3" w:rsidRDefault="006C4DB3">
            <w:pPr>
              <w:pStyle w:val="TableParagraph"/>
              <w:spacing w:line="254" w:lineRule="auto"/>
              <w:ind w:left="142" w:right="72"/>
              <w:rPr>
                <w:b/>
                <w:lang w:val="da-DK"/>
              </w:rPr>
            </w:pPr>
            <w:proofErr w:type="spellStart"/>
            <w:r>
              <w:rPr>
                <w:b/>
                <w:lang w:val="da-DK"/>
              </w:rPr>
              <w:t>Vaskulære</w:t>
            </w:r>
            <w:proofErr w:type="spellEnd"/>
            <w:r>
              <w:rPr>
                <w:b/>
                <w:lang w:val="da-DK"/>
              </w:rPr>
              <w:t xml:space="preserve"> sygdomme</w:t>
            </w:r>
          </w:p>
        </w:tc>
        <w:tc>
          <w:tcPr>
            <w:tcW w:w="772" w:type="pct"/>
            <w:tcBorders>
              <w:top w:val="single" w:sz="4" w:space="0" w:color="000000"/>
              <w:left w:val="single" w:sz="4" w:space="0" w:color="000000"/>
              <w:bottom w:val="single" w:sz="4" w:space="0" w:color="000000"/>
              <w:right w:val="single" w:sz="4" w:space="0" w:color="000000"/>
            </w:tcBorders>
          </w:tcPr>
          <w:p w14:paraId="64EDE2ED"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5277B16"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26A9BE6E" w14:textId="77777777" w:rsidR="006C4DB3" w:rsidRDefault="006C4DB3">
            <w:pPr>
              <w:pStyle w:val="TableParagraph"/>
              <w:spacing w:line="254" w:lineRule="auto"/>
              <w:ind w:left="142" w:right="72"/>
              <w:rPr>
                <w:lang w:val="da-DK"/>
              </w:rPr>
            </w:pPr>
            <w:r>
              <w:rPr>
                <w:lang w:val="da-DK"/>
              </w:rPr>
              <w:t xml:space="preserve">Hypertension (inklusive </w:t>
            </w:r>
            <w:proofErr w:type="spellStart"/>
            <w:r>
              <w:rPr>
                <w:lang w:val="da-DK"/>
              </w:rPr>
              <w:t>hypertensiv</w:t>
            </w:r>
            <w:proofErr w:type="spellEnd"/>
            <w:r>
              <w:rPr>
                <w:lang w:val="da-DK"/>
              </w:rPr>
              <w:t xml:space="preserve"> krise), hypotension, </w:t>
            </w:r>
            <w:proofErr w:type="spellStart"/>
            <w:r>
              <w:rPr>
                <w:lang w:val="da-DK"/>
              </w:rPr>
              <w:t>ortostatisk</w:t>
            </w:r>
            <w:proofErr w:type="spellEnd"/>
            <w:r>
              <w:rPr>
                <w:lang w:val="da-DK"/>
              </w:rPr>
              <w:t xml:space="preserve"> hypotension</w:t>
            </w:r>
            <w:r>
              <w:rPr>
                <w:b/>
                <w:lang w:val="da-DK"/>
              </w:rPr>
              <w:t xml:space="preserve">, </w:t>
            </w:r>
            <w:proofErr w:type="spellStart"/>
            <w:r>
              <w:rPr>
                <w:i/>
                <w:lang w:val="da-DK"/>
              </w:rPr>
              <w:t>flushing</w:t>
            </w:r>
            <w:proofErr w:type="spellEnd"/>
            <w:r>
              <w:rPr>
                <w:lang w:val="da-DK"/>
              </w:rPr>
              <w:t>, kolde ekstremiteter</w:t>
            </w:r>
          </w:p>
        </w:tc>
        <w:tc>
          <w:tcPr>
            <w:tcW w:w="927" w:type="pct"/>
            <w:tcBorders>
              <w:top w:val="single" w:sz="4" w:space="0" w:color="000000"/>
              <w:left w:val="single" w:sz="4" w:space="0" w:color="000000"/>
              <w:bottom w:val="single" w:sz="4" w:space="0" w:color="000000"/>
              <w:right w:val="single" w:sz="4" w:space="0" w:color="000000"/>
            </w:tcBorders>
          </w:tcPr>
          <w:p w14:paraId="58FB47B8" w14:textId="77777777" w:rsidR="006C4DB3" w:rsidRDefault="006C4DB3">
            <w:pPr>
              <w:pStyle w:val="TableParagraph"/>
              <w:spacing w:line="254" w:lineRule="auto"/>
              <w:ind w:left="142" w:right="72"/>
              <w:rPr>
                <w:lang w:val="da-DK"/>
              </w:rPr>
            </w:pPr>
          </w:p>
        </w:tc>
      </w:tr>
      <w:tr w:rsidR="006C4DB3" w14:paraId="5EF9F0E7" w14:textId="77777777" w:rsidTr="006C4DB3">
        <w:trPr>
          <w:trHeight w:val="517"/>
        </w:trPr>
        <w:tc>
          <w:tcPr>
            <w:tcW w:w="1139" w:type="pct"/>
            <w:tcBorders>
              <w:top w:val="single" w:sz="4" w:space="0" w:color="000000"/>
              <w:left w:val="single" w:sz="4" w:space="0" w:color="000000"/>
              <w:bottom w:val="single" w:sz="4" w:space="0" w:color="000000"/>
              <w:right w:val="single" w:sz="4" w:space="0" w:color="000000"/>
            </w:tcBorders>
            <w:hideMark/>
          </w:tcPr>
          <w:p w14:paraId="53321F22" w14:textId="77777777" w:rsidR="006C4DB3" w:rsidRDefault="006C4DB3">
            <w:pPr>
              <w:pStyle w:val="TableParagraph"/>
              <w:spacing w:line="254" w:lineRule="auto"/>
              <w:ind w:left="142" w:right="72"/>
              <w:rPr>
                <w:b/>
                <w:lang w:val="da-DK"/>
              </w:rPr>
            </w:pPr>
            <w:r>
              <w:rPr>
                <w:b/>
                <w:lang w:val="da-DK"/>
              </w:rPr>
              <w:t xml:space="preserve">Luftveje, thorax og </w:t>
            </w:r>
            <w:proofErr w:type="spellStart"/>
            <w:r>
              <w:rPr>
                <w:b/>
                <w:lang w:val="da-DK"/>
              </w:rPr>
              <w:t>mediastinum</w:t>
            </w:r>
            <w:proofErr w:type="spellEnd"/>
          </w:p>
        </w:tc>
        <w:tc>
          <w:tcPr>
            <w:tcW w:w="772" w:type="pct"/>
            <w:tcBorders>
              <w:top w:val="single" w:sz="4" w:space="0" w:color="000000"/>
              <w:left w:val="single" w:sz="4" w:space="0" w:color="000000"/>
              <w:bottom w:val="single" w:sz="4" w:space="0" w:color="000000"/>
              <w:right w:val="single" w:sz="4" w:space="0" w:color="000000"/>
            </w:tcBorders>
          </w:tcPr>
          <w:p w14:paraId="44E1384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0F38452C"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7CC272DC" w14:textId="77777777" w:rsidR="006C4DB3" w:rsidRDefault="006C4DB3">
            <w:pPr>
              <w:pStyle w:val="TableParagraph"/>
              <w:spacing w:line="254" w:lineRule="auto"/>
              <w:ind w:left="142" w:right="72"/>
              <w:rPr>
                <w:lang w:val="da-DK"/>
              </w:rPr>
            </w:pPr>
            <w:proofErr w:type="spellStart"/>
            <w:r>
              <w:rPr>
                <w:lang w:val="da-DK"/>
              </w:rPr>
              <w:t>Epistaxis</w:t>
            </w:r>
            <w:proofErr w:type="spellEnd"/>
            <w:r>
              <w:rPr>
                <w:lang w:val="da-DK"/>
              </w:rPr>
              <w:t>, smerter i brystet</w:t>
            </w:r>
          </w:p>
        </w:tc>
        <w:tc>
          <w:tcPr>
            <w:tcW w:w="927" w:type="pct"/>
            <w:tcBorders>
              <w:top w:val="single" w:sz="4" w:space="0" w:color="000000"/>
              <w:left w:val="single" w:sz="4" w:space="0" w:color="000000"/>
              <w:bottom w:val="single" w:sz="4" w:space="0" w:color="000000"/>
              <w:right w:val="single" w:sz="4" w:space="0" w:color="000000"/>
            </w:tcBorders>
          </w:tcPr>
          <w:p w14:paraId="4ABD65DF" w14:textId="77777777" w:rsidR="006C4DB3" w:rsidRDefault="006C4DB3">
            <w:pPr>
              <w:pStyle w:val="TableParagraph"/>
              <w:spacing w:line="254" w:lineRule="auto"/>
              <w:ind w:left="142" w:right="72"/>
              <w:rPr>
                <w:lang w:val="da-DK"/>
              </w:rPr>
            </w:pPr>
          </w:p>
        </w:tc>
      </w:tr>
      <w:tr w:rsidR="006C4DB3" w14:paraId="40E88036" w14:textId="77777777" w:rsidTr="006C4DB3">
        <w:trPr>
          <w:trHeight w:val="2073"/>
        </w:trPr>
        <w:tc>
          <w:tcPr>
            <w:tcW w:w="1139" w:type="pct"/>
            <w:tcBorders>
              <w:top w:val="single" w:sz="4" w:space="0" w:color="000000"/>
              <w:left w:val="single" w:sz="4" w:space="0" w:color="000000"/>
              <w:bottom w:val="single" w:sz="4" w:space="0" w:color="000000"/>
              <w:right w:val="single" w:sz="4" w:space="0" w:color="000000"/>
            </w:tcBorders>
            <w:hideMark/>
          </w:tcPr>
          <w:p w14:paraId="359BC667" w14:textId="77777777" w:rsidR="006C4DB3" w:rsidRDefault="006C4DB3">
            <w:pPr>
              <w:pStyle w:val="TableParagraph"/>
              <w:spacing w:line="254" w:lineRule="auto"/>
              <w:ind w:left="142" w:right="72"/>
              <w:rPr>
                <w:b/>
                <w:lang w:val="da-DK"/>
              </w:rPr>
            </w:pPr>
            <w:r>
              <w:rPr>
                <w:b/>
                <w:lang w:val="da-DK"/>
              </w:rPr>
              <w:t>Mave-tarm-kanalen</w:t>
            </w:r>
          </w:p>
        </w:tc>
        <w:tc>
          <w:tcPr>
            <w:tcW w:w="772" w:type="pct"/>
            <w:tcBorders>
              <w:top w:val="single" w:sz="4" w:space="0" w:color="000000"/>
              <w:left w:val="single" w:sz="4" w:space="0" w:color="000000"/>
              <w:bottom w:val="single" w:sz="4" w:space="0" w:color="000000"/>
              <w:right w:val="single" w:sz="4" w:space="0" w:color="000000"/>
            </w:tcBorders>
          </w:tcPr>
          <w:p w14:paraId="34173A41"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22AB79" w14:textId="77777777" w:rsidR="006C4DB3" w:rsidRDefault="006C4DB3">
            <w:pPr>
              <w:pStyle w:val="TableParagraph"/>
              <w:spacing w:line="254" w:lineRule="auto"/>
              <w:ind w:left="142" w:right="72"/>
              <w:rPr>
                <w:lang w:val="da-DK"/>
              </w:rPr>
            </w:pPr>
            <w:r>
              <w:rPr>
                <w:lang w:val="da-DK"/>
              </w:rPr>
              <w:t>Kvalme, opkastning, diarré</w:t>
            </w:r>
          </w:p>
        </w:tc>
        <w:tc>
          <w:tcPr>
            <w:tcW w:w="1080" w:type="pct"/>
            <w:tcBorders>
              <w:top w:val="single" w:sz="4" w:space="0" w:color="000000"/>
              <w:left w:val="single" w:sz="4" w:space="0" w:color="000000"/>
              <w:bottom w:val="single" w:sz="4" w:space="0" w:color="000000"/>
              <w:right w:val="single" w:sz="4" w:space="0" w:color="000000"/>
            </w:tcBorders>
            <w:hideMark/>
          </w:tcPr>
          <w:p w14:paraId="1F193553" w14:textId="77777777" w:rsidR="006C4DB3" w:rsidRDefault="006C4DB3">
            <w:pPr>
              <w:pStyle w:val="TableParagraph"/>
              <w:spacing w:line="254" w:lineRule="auto"/>
              <w:ind w:left="142" w:right="72"/>
              <w:rPr>
                <w:lang w:val="da-DK"/>
              </w:rPr>
            </w:pPr>
            <w:r>
              <w:rPr>
                <w:lang w:val="da-DK"/>
              </w:rPr>
              <w:t xml:space="preserve">Obstipation, dyspepsi, gastritis, </w:t>
            </w:r>
            <w:proofErr w:type="spellStart"/>
            <w:r>
              <w:rPr>
                <w:lang w:val="da-DK"/>
              </w:rPr>
              <w:t>abdominalsmerter</w:t>
            </w:r>
            <w:proofErr w:type="spellEnd"/>
            <w:r>
              <w:rPr>
                <w:lang w:val="da-DK"/>
              </w:rPr>
              <w:t xml:space="preserve">, mundtørhed, </w:t>
            </w:r>
            <w:proofErr w:type="spellStart"/>
            <w:r>
              <w:rPr>
                <w:lang w:val="da-DK"/>
              </w:rPr>
              <w:t>abdominalgener</w:t>
            </w:r>
            <w:proofErr w:type="spellEnd"/>
            <w:r>
              <w:rPr>
                <w:lang w:val="da-DK"/>
              </w:rPr>
              <w:t xml:space="preserve">, oppustethed, </w:t>
            </w:r>
            <w:proofErr w:type="spellStart"/>
            <w:r>
              <w:rPr>
                <w:lang w:val="da-DK"/>
              </w:rPr>
              <w:t>gingivitis</w:t>
            </w:r>
            <w:proofErr w:type="spellEnd"/>
            <w:r>
              <w:rPr>
                <w:lang w:val="da-DK"/>
              </w:rPr>
              <w:t xml:space="preserve">, </w:t>
            </w:r>
            <w:proofErr w:type="spellStart"/>
            <w:r>
              <w:rPr>
                <w:lang w:val="da-DK"/>
              </w:rPr>
              <w:t>melæna</w:t>
            </w:r>
            <w:proofErr w:type="spellEnd"/>
            <w:r>
              <w:rPr>
                <w:lang w:val="da-DK"/>
              </w:rPr>
              <w:t>, tandpine</w:t>
            </w:r>
          </w:p>
        </w:tc>
        <w:tc>
          <w:tcPr>
            <w:tcW w:w="927" w:type="pct"/>
            <w:tcBorders>
              <w:top w:val="single" w:sz="4" w:space="0" w:color="000000"/>
              <w:left w:val="single" w:sz="4" w:space="0" w:color="000000"/>
              <w:bottom w:val="single" w:sz="4" w:space="0" w:color="000000"/>
              <w:right w:val="single" w:sz="4" w:space="0" w:color="000000"/>
            </w:tcBorders>
            <w:hideMark/>
          </w:tcPr>
          <w:p w14:paraId="251F6814" w14:textId="77777777" w:rsidR="006C4DB3" w:rsidRDefault="006C4DB3">
            <w:pPr>
              <w:pStyle w:val="TableParagraph"/>
              <w:spacing w:line="254" w:lineRule="auto"/>
              <w:ind w:left="142" w:right="72"/>
              <w:rPr>
                <w:lang w:val="da-DK"/>
              </w:rPr>
            </w:pPr>
            <w:proofErr w:type="spellStart"/>
            <w:r>
              <w:rPr>
                <w:lang w:val="da-DK"/>
              </w:rPr>
              <w:t>Pankreatitis</w:t>
            </w:r>
            <w:proofErr w:type="spellEnd"/>
          </w:p>
        </w:tc>
      </w:tr>
      <w:tr w:rsidR="006C4DB3" w14:paraId="2BE23014"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328B7341" w14:textId="77777777" w:rsidR="006C4DB3" w:rsidRDefault="006C4DB3">
            <w:pPr>
              <w:pStyle w:val="TableParagraph"/>
              <w:spacing w:line="254" w:lineRule="auto"/>
              <w:ind w:left="142" w:right="72"/>
              <w:rPr>
                <w:b/>
                <w:lang w:val="da-DK"/>
              </w:rPr>
            </w:pPr>
            <w:r>
              <w:rPr>
                <w:b/>
                <w:lang w:val="da-DK"/>
              </w:rPr>
              <w:t>Lever og galdeveje</w:t>
            </w:r>
          </w:p>
        </w:tc>
        <w:tc>
          <w:tcPr>
            <w:tcW w:w="772" w:type="pct"/>
            <w:tcBorders>
              <w:top w:val="single" w:sz="4" w:space="0" w:color="000000"/>
              <w:left w:val="single" w:sz="4" w:space="0" w:color="000000"/>
              <w:bottom w:val="single" w:sz="4" w:space="0" w:color="000000"/>
              <w:right w:val="single" w:sz="4" w:space="0" w:color="000000"/>
            </w:tcBorders>
          </w:tcPr>
          <w:p w14:paraId="2AD16413"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3DF8F01D"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12205FC1" w14:textId="77777777" w:rsidR="006C4DB3" w:rsidRDefault="006C4DB3">
            <w:pPr>
              <w:pStyle w:val="TableParagraph"/>
              <w:spacing w:line="254" w:lineRule="auto"/>
              <w:ind w:left="142" w:right="72"/>
              <w:rPr>
                <w:lang w:val="da-DK"/>
              </w:rPr>
            </w:pPr>
            <w:r>
              <w:rPr>
                <w:lang w:val="da-DK"/>
              </w:rPr>
              <w:t>Leversygdom</w:t>
            </w:r>
          </w:p>
        </w:tc>
        <w:tc>
          <w:tcPr>
            <w:tcW w:w="927" w:type="pct"/>
            <w:tcBorders>
              <w:top w:val="single" w:sz="4" w:space="0" w:color="000000"/>
              <w:left w:val="single" w:sz="4" w:space="0" w:color="000000"/>
              <w:bottom w:val="single" w:sz="4" w:space="0" w:color="000000"/>
              <w:right w:val="single" w:sz="4" w:space="0" w:color="000000"/>
            </w:tcBorders>
          </w:tcPr>
          <w:p w14:paraId="7F063312" w14:textId="77777777" w:rsidR="006C4DB3" w:rsidRDefault="006C4DB3">
            <w:pPr>
              <w:pStyle w:val="TableParagraph"/>
              <w:spacing w:line="254" w:lineRule="auto"/>
              <w:ind w:left="142" w:right="72"/>
              <w:rPr>
                <w:lang w:val="da-DK"/>
              </w:rPr>
            </w:pPr>
          </w:p>
        </w:tc>
      </w:tr>
      <w:tr w:rsidR="006C4DB3" w14:paraId="36E2BDB0" w14:textId="77777777" w:rsidTr="006C4DB3">
        <w:trPr>
          <w:trHeight w:val="2778"/>
        </w:trPr>
        <w:tc>
          <w:tcPr>
            <w:tcW w:w="1139" w:type="pct"/>
            <w:tcBorders>
              <w:top w:val="single" w:sz="4" w:space="0" w:color="000000"/>
              <w:left w:val="single" w:sz="4" w:space="0" w:color="000000"/>
              <w:bottom w:val="single" w:sz="4" w:space="0" w:color="000000"/>
              <w:right w:val="single" w:sz="4" w:space="0" w:color="000000"/>
            </w:tcBorders>
            <w:hideMark/>
          </w:tcPr>
          <w:p w14:paraId="1F5B3088" w14:textId="77777777" w:rsidR="006C4DB3" w:rsidRDefault="006C4DB3">
            <w:pPr>
              <w:pStyle w:val="TableParagraph"/>
              <w:spacing w:line="254" w:lineRule="auto"/>
              <w:ind w:left="142" w:right="72"/>
              <w:rPr>
                <w:b/>
                <w:lang w:val="da-DK"/>
              </w:rPr>
            </w:pPr>
            <w:r>
              <w:rPr>
                <w:b/>
                <w:lang w:val="da-DK"/>
              </w:rPr>
              <w:lastRenderedPageBreak/>
              <w:t>Hud og subkutane væv</w:t>
            </w:r>
          </w:p>
        </w:tc>
        <w:tc>
          <w:tcPr>
            <w:tcW w:w="772" w:type="pct"/>
            <w:tcBorders>
              <w:top w:val="single" w:sz="4" w:space="0" w:color="000000"/>
              <w:left w:val="single" w:sz="4" w:space="0" w:color="000000"/>
              <w:bottom w:val="single" w:sz="4" w:space="0" w:color="000000"/>
              <w:right w:val="single" w:sz="4" w:space="0" w:color="000000"/>
            </w:tcBorders>
          </w:tcPr>
          <w:p w14:paraId="08618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216735F0" w14:textId="77777777" w:rsidR="006C4DB3" w:rsidRDefault="006C4DB3">
            <w:pPr>
              <w:pStyle w:val="TableParagraph"/>
              <w:spacing w:line="254" w:lineRule="auto"/>
              <w:ind w:left="142" w:right="72"/>
              <w:rPr>
                <w:lang w:val="da-DK"/>
              </w:rPr>
            </w:pPr>
            <w:r>
              <w:rPr>
                <w:lang w:val="da-DK"/>
              </w:rPr>
              <w:t>Udslæt</w:t>
            </w:r>
          </w:p>
        </w:tc>
        <w:tc>
          <w:tcPr>
            <w:tcW w:w="1080" w:type="pct"/>
            <w:tcBorders>
              <w:top w:val="single" w:sz="4" w:space="0" w:color="000000"/>
              <w:left w:val="single" w:sz="4" w:space="0" w:color="000000"/>
              <w:bottom w:val="single" w:sz="4" w:space="0" w:color="000000"/>
              <w:right w:val="single" w:sz="4" w:space="0" w:color="000000"/>
            </w:tcBorders>
            <w:hideMark/>
          </w:tcPr>
          <w:p w14:paraId="0F8CFEA0" w14:textId="77777777" w:rsidR="006C4DB3" w:rsidRDefault="006C4DB3">
            <w:pPr>
              <w:pStyle w:val="TableParagraph"/>
              <w:spacing w:line="254" w:lineRule="auto"/>
              <w:ind w:left="142" w:right="72"/>
              <w:rPr>
                <w:lang w:val="da-DK"/>
              </w:rPr>
            </w:pPr>
            <w:proofErr w:type="spellStart"/>
            <w:r>
              <w:rPr>
                <w:lang w:val="da-DK"/>
              </w:rPr>
              <w:t>Alopeci</w:t>
            </w:r>
            <w:proofErr w:type="spellEnd"/>
            <w:r>
              <w:rPr>
                <w:lang w:val="da-DK"/>
              </w:rPr>
              <w:t xml:space="preserve">, tør hud, </w:t>
            </w:r>
            <w:proofErr w:type="spellStart"/>
            <w:r>
              <w:rPr>
                <w:lang w:val="da-DK"/>
              </w:rPr>
              <w:t>hyperhidrose</w:t>
            </w:r>
            <w:proofErr w:type="spellEnd"/>
            <w:r>
              <w:rPr>
                <w:lang w:val="da-DK"/>
              </w:rPr>
              <w:t xml:space="preserve">, </w:t>
            </w:r>
            <w:proofErr w:type="spellStart"/>
            <w:r>
              <w:rPr>
                <w:lang w:val="da-DK"/>
              </w:rPr>
              <w:t>erytem</w:t>
            </w:r>
            <w:proofErr w:type="spellEnd"/>
            <w:r>
              <w:rPr>
                <w:lang w:val="da-DK"/>
              </w:rPr>
              <w:t xml:space="preserve">, hudlidelser, </w:t>
            </w:r>
            <w:proofErr w:type="spellStart"/>
            <w:r>
              <w:rPr>
                <w:lang w:val="da-DK"/>
              </w:rPr>
              <w:t>pruritus</w:t>
            </w:r>
            <w:proofErr w:type="spellEnd"/>
            <w:r>
              <w:rPr>
                <w:lang w:val="da-DK"/>
              </w:rPr>
              <w:t xml:space="preserve">, allergisk </w:t>
            </w:r>
            <w:proofErr w:type="spellStart"/>
            <w:r>
              <w:rPr>
                <w:lang w:val="da-DK"/>
              </w:rPr>
              <w:t>dermatitis</w:t>
            </w:r>
            <w:proofErr w:type="spellEnd"/>
          </w:p>
        </w:tc>
        <w:tc>
          <w:tcPr>
            <w:tcW w:w="927" w:type="pct"/>
            <w:tcBorders>
              <w:top w:val="single" w:sz="4" w:space="0" w:color="000000"/>
              <w:left w:val="single" w:sz="4" w:space="0" w:color="000000"/>
              <w:bottom w:val="single" w:sz="4" w:space="0" w:color="000000"/>
              <w:right w:val="single" w:sz="4" w:space="0" w:color="000000"/>
            </w:tcBorders>
            <w:hideMark/>
          </w:tcPr>
          <w:p w14:paraId="2F10E9B6" w14:textId="77777777" w:rsidR="006C4DB3" w:rsidRDefault="006C4DB3">
            <w:pPr>
              <w:pStyle w:val="TableParagraph"/>
              <w:spacing w:line="254" w:lineRule="auto"/>
              <w:ind w:left="142" w:right="72"/>
              <w:rPr>
                <w:lang w:val="da-DK"/>
              </w:rPr>
            </w:pPr>
            <w:r>
              <w:rPr>
                <w:lang w:val="da-DK"/>
              </w:rPr>
              <w:t xml:space="preserve">Toksisk </w:t>
            </w:r>
            <w:proofErr w:type="spellStart"/>
            <w:r>
              <w:rPr>
                <w:lang w:val="da-DK"/>
              </w:rPr>
              <w:t>epidermal</w:t>
            </w:r>
            <w:proofErr w:type="spellEnd"/>
            <w:r>
              <w:rPr>
                <w:lang w:val="da-DK"/>
              </w:rPr>
              <w:t xml:space="preserve"> </w:t>
            </w:r>
            <w:proofErr w:type="spellStart"/>
            <w:r>
              <w:rPr>
                <w:lang w:val="da-DK"/>
              </w:rPr>
              <w:t>nekrolyse</w:t>
            </w:r>
            <w:proofErr w:type="spellEnd"/>
            <w:r>
              <w:rPr>
                <w:lang w:val="da-DK"/>
              </w:rPr>
              <w:t xml:space="preserve">, Stevens- Johnsons syndrom, lægemiddelreaktion med </w:t>
            </w:r>
            <w:proofErr w:type="spellStart"/>
            <w:r>
              <w:rPr>
                <w:lang w:val="da-DK"/>
              </w:rPr>
              <w:t>eosinofili</w:t>
            </w:r>
            <w:proofErr w:type="spellEnd"/>
            <w:r>
              <w:rPr>
                <w:lang w:val="da-DK"/>
              </w:rPr>
              <w:t xml:space="preserve"> og systemiske symptomer (DRESS), </w:t>
            </w:r>
            <w:proofErr w:type="spellStart"/>
            <w:r>
              <w:rPr>
                <w:lang w:val="da-DK"/>
              </w:rPr>
              <w:t>angioødem</w:t>
            </w:r>
            <w:proofErr w:type="spellEnd"/>
            <w:r>
              <w:rPr>
                <w:lang w:val="da-DK"/>
              </w:rPr>
              <w:t xml:space="preserve">, </w:t>
            </w:r>
            <w:proofErr w:type="spellStart"/>
            <w:r>
              <w:rPr>
                <w:lang w:val="da-DK"/>
              </w:rPr>
              <w:t>urticaria</w:t>
            </w:r>
            <w:proofErr w:type="spellEnd"/>
          </w:p>
        </w:tc>
      </w:tr>
      <w:tr w:rsidR="006C4DB3" w14:paraId="346B8531" w14:textId="77777777" w:rsidTr="006C4DB3">
        <w:trPr>
          <w:trHeight w:val="975"/>
        </w:trPr>
        <w:tc>
          <w:tcPr>
            <w:tcW w:w="1139" w:type="pct"/>
            <w:tcBorders>
              <w:top w:val="single" w:sz="4" w:space="0" w:color="000000"/>
              <w:left w:val="single" w:sz="4" w:space="0" w:color="000000"/>
              <w:bottom w:val="single" w:sz="4" w:space="0" w:color="000000"/>
              <w:right w:val="single" w:sz="4" w:space="0" w:color="000000"/>
            </w:tcBorders>
            <w:hideMark/>
          </w:tcPr>
          <w:p w14:paraId="3393E939" w14:textId="77777777" w:rsidR="006C4DB3" w:rsidRDefault="006C4DB3">
            <w:pPr>
              <w:pStyle w:val="TableParagraph"/>
              <w:spacing w:line="254" w:lineRule="auto"/>
              <w:ind w:left="142" w:right="72"/>
              <w:rPr>
                <w:b/>
                <w:lang w:val="da-DK"/>
              </w:rPr>
            </w:pPr>
            <w:r>
              <w:rPr>
                <w:b/>
                <w:lang w:val="da-DK"/>
              </w:rPr>
              <w:t>Knogler, led, muskler og bindevæv</w:t>
            </w:r>
          </w:p>
        </w:tc>
        <w:tc>
          <w:tcPr>
            <w:tcW w:w="772" w:type="pct"/>
            <w:tcBorders>
              <w:top w:val="single" w:sz="4" w:space="0" w:color="000000"/>
              <w:left w:val="single" w:sz="4" w:space="0" w:color="000000"/>
              <w:bottom w:val="single" w:sz="4" w:space="0" w:color="000000"/>
              <w:right w:val="single" w:sz="4" w:space="0" w:color="000000"/>
            </w:tcBorders>
          </w:tcPr>
          <w:p w14:paraId="4C66F2D8"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247F18B8"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3AE412ED" w14:textId="77777777" w:rsidR="006C4DB3" w:rsidRDefault="006C4DB3">
            <w:pPr>
              <w:pStyle w:val="TableParagraph"/>
              <w:spacing w:line="254" w:lineRule="auto"/>
              <w:ind w:left="142" w:right="72"/>
              <w:rPr>
                <w:lang w:val="da-DK"/>
              </w:rPr>
            </w:pPr>
            <w:r>
              <w:rPr>
                <w:lang w:val="da-DK"/>
              </w:rPr>
              <w:t>Myalgi, forstyrrelse i knoglemetabolismen, muskelsvaghed, ekstremitetssmerter</w:t>
            </w:r>
          </w:p>
        </w:tc>
        <w:tc>
          <w:tcPr>
            <w:tcW w:w="927" w:type="pct"/>
            <w:tcBorders>
              <w:top w:val="single" w:sz="4" w:space="0" w:color="000000"/>
              <w:left w:val="single" w:sz="4" w:space="0" w:color="000000"/>
              <w:bottom w:val="single" w:sz="4" w:space="0" w:color="000000"/>
              <w:right w:val="single" w:sz="4" w:space="0" w:color="000000"/>
            </w:tcBorders>
          </w:tcPr>
          <w:p w14:paraId="5AB6DDE5" w14:textId="77777777" w:rsidR="006C4DB3" w:rsidRDefault="006C4DB3">
            <w:pPr>
              <w:pStyle w:val="TableParagraph"/>
              <w:spacing w:line="254" w:lineRule="auto"/>
              <w:ind w:left="142" w:right="72"/>
              <w:rPr>
                <w:lang w:val="da-DK"/>
              </w:rPr>
            </w:pPr>
          </w:p>
        </w:tc>
      </w:tr>
      <w:tr w:rsidR="006C4DB3" w14:paraId="5A4FC065" w14:textId="77777777" w:rsidTr="006C4DB3">
        <w:trPr>
          <w:trHeight w:val="258"/>
        </w:trPr>
        <w:tc>
          <w:tcPr>
            <w:tcW w:w="1139" w:type="pct"/>
            <w:tcBorders>
              <w:top w:val="single" w:sz="4" w:space="0" w:color="000000"/>
              <w:left w:val="single" w:sz="4" w:space="0" w:color="000000"/>
              <w:bottom w:val="single" w:sz="4" w:space="0" w:color="000000"/>
              <w:right w:val="single" w:sz="4" w:space="0" w:color="000000"/>
            </w:tcBorders>
            <w:hideMark/>
          </w:tcPr>
          <w:p w14:paraId="1BE16AF7" w14:textId="77777777" w:rsidR="006C4DB3" w:rsidRDefault="006C4DB3">
            <w:pPr>
              <w:pStyle w:val="TableParagraph"/>
              <w:spacing w:line="254" w:lineRule="auto"/>
              <w:ind w:left="142" w:right="72"/>
              <w:rPr>
                <w:b/>
                <w:lang w:val="da-DK"/>
              </w:rPr>
            </w:pPr>
            <w:r>
              <w:rPr>
                <w:b/>
                <w:lang w:val="da-DK"/>
              </w:rPr>
              <w:t>Nyrer og urinveje</w:t>
            </w:r>
          </w:p>
        </w:tc>
        <w:tc>
          <w:tcPr>
            <w:tcW w:w="772" w:type="pct"/>
            <w:tcBorders>
              <w:top w:val="single" w:sz="4" w:space="0" w:color="000000"/>
              <w:left w:val="single" w:sz="4" w:space="0" w:color="000000"/>
              <w:bottom w:val="single" w:sz="4" w:space="0" w:color="000000"/>
              <w:right w:val="single" w:sz="4" w:space="0" w:color="000000"/>
            </w:tcBorders>
          </w:tcPr>
          <w:p w14:paraId="31D1481E"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44C87E31"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5A9DE8BA" w14:textId="77777777" w:rsidR="006C4DB3" w:rsidRDefault="006C4DB3">
            <w:pPr>
              <w:pStyle w:val="TableParagraph"/>
              <w:spacing w:line="254" w:lineRule="auto"/>
              <w:ind w:left="142" w:right="72"/>
              <w:rPr>
                <w:lang w:val="da-DK"/>
              </w:rPr>
            </w:pPr>
            <w:r>
              <w:rPr>
                <w:lang w:val="da-DK"/>
              </w:rPr>
              <w:t>Urinvejsinfektion</w:t>
            </w:r>
          </w:p>
        </w:tc>
        <w:tc>
          <w:tcPr>
            <w:tcW w:w="927" w:type="pct"/>
            <w:tcBorders>
              <w:top w:val="single" w:sz="4" w:space="0" w:color="000000"/>
              <w:left w:val="single" w:sz="4" w:space="0" w:color="000000"/>
              <w:bottom w:val="single" w:sz="4" w:space="0" w:color="000000"/>
              <w:right w:val="single" w:sz="4" w:space="0" w:color="000000"/>
            </w:tcBorders>
          </w:tcPr>
          <w:p w14:paraId="76F619FC" w14:textId="77777777" w:rsidR="006C4DB3" w:rsidRDefault="006C4DB3">
            <w:pPr>
              <w:pStyle w:val="TableParagraph"/>
              <w:spacing w:line="254" w:lineRule="auto"/>
              <w:ind w:left="142" w:right="72"/>
              <w:rPr>
                <w:lang w:val="da-DK"/>
              </w:rPr>
            </w:pPr>
          </w:p>
        </w:tc>
      </w:tr>
      <w:tr w:rsidR="006C4DB3" w14:paraId="48EFC69C"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4094D99A" w14:textId="77777777" w:rsidR="006C4DB3" w:rsidRDefault="006C4DB3">
            <w:pPr>
              <w:pStyle w:val="TableParagraph"/>
              <w:spacing w:line="254" w:lineRule="auto"/>
              <w:ind w:left="142" w:right="72"/>
              <w:rPr>
                <w:b/>
                <w:lang w:val="da-DK"/>
              </w:rPr>
            </w:pPr>
            <w:r>
              <w:rPr>
                <w:b/>
                <w:lang w:val="da-DK"/>
              </w:rPr>
              <w:t>Almene symptomer og reaktioner på administrationsstedet</w:t>
            </w:r>
          </w:p>
        </w:tc>
        <w:tc>
          <w:tcPr>
            <w:tcW w:w="772" w:type="pct"/>
            <w:tcBorders>
              <w:top w:val="single" w:sz="4" w:space="0" w:color="000000"/>
              <w:left w:val="single" w:sz="4" w:space="0" w:color="000000"/>
              <w:bottom w:val="single" w:sz="4" w:space="0" w:color="000000"/>
              <w:right w:val="single" w:sz="4" w:space="0" w:color="000000"/>
            </w:tcBorders>
          </w:tcPr>
          <w:p w14:paraId="296CCCE7"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4DFD793B" w14:textId="77777777" w:rsidR="006C4DB3" w:rsidRDefault="006C4DB3">
            <w:pPr>
              <w:pStyle w:val="TableParagraph"/>
              <w:spacing w:line="254" w:lineRule="auto"/>
              <w:ind w:left="142" w:right="72"/>
              <w:rPr>
                <w:lang w:val="da-DK"/>
              </w:rPr>
            </w:pPr>
            <w:r>
              <w:rPr>
                <w:lang w:val="da-DK"/>
              </w:rPr>
              <w:t>Træthed, gangforstyrrelser, asteni</w:t>
            </w:r>
          </w:p>
        </w:tc>
        <w:tc>
          <w:tcPr>
            <w:tcW w:w="1080" w:type="pct"/>
            <w:tcBorders>
              <w:top w:val="single" w:sz="4" w:space="0" w:color="000000"/>
              <w:left w:val="single" w:sz="4" w:space="0" w:color="000000"/>
              <w:bottom w:val="single" w:sz="4" w:space="0" w:color="000000"/>
              <w:right w:val="single" w:sz="4" w:space="0" w:color="000000"/>
            </w:tcBorders>
            <w:hideMark/>
          </w:tcPr>
          <w:p w14:paraId="1020B8EF" w14:textId="77777777" w:rsidR="006C4DB3" w:rsidRDefault="006C4DB3">
            <w:pPr>
              <w:pStyle w:val="TableParagraph"/>
              <w:spacing w:line="254" w:lineRule="auto"/>
              <w:ind w:left="142" w:right="72"/>
              <w:rPr>
                <w:lang w:val="da-DK"/>
              </w:rPr>
            </w:pPr>
            <w:r>
              <w:rPr>
                <w:lang w:val="da-DK"/>
              </w:rPr>
              <w:t>Utilpashed, kuldegysninger, perifere ødemer</w:t>
            </w:r>
          </w:p>
        </w:tc>
        <w:tc>
          <w:tcPr>
            <w:tcW w:w="927" w:type="pct"/>
            <w:tcBorders>
              <w:top w:val="single" w:sz="4" w:space="0" w:color="000000"/>
              <w:left w:val="single" w:sz="4" w:space="0" w:color="000000"/>
              <w:bottom w:val="single" w:sz="4" w:space="0" w:color="000000"/>
              <w:right w:val="single" w:sz="4" w:space="0" w:color="000000"/>
            </w:tcBorders>
          </w:tcPr>
          <w:p w14:paraId="52635CE6" w14:textId="77777777" w:rsidR="006C4DB3" w:rsidRDefault="006C4DB3">
            <w:pPr>
              <w:pStyle w:val="TableParagraph"/>
              <w:spacing w:line="254" w:lineRule="auto"/>
              <w:ind w:left="142" w:right="72"/>
              <w:rPr>
                <w:lang w:val="da-DK"/>
              </w:rPr>
            </w:pPr>
          </w:p>
        </w:tc>
      </w:tr>
      <w:tr w:rsidR="006C4DB3" w14:paraId="1995A9DA" w14:textId="77777777" w:rsidTr="006C4DB3">
        <w:trPr>
          <w:trHeight w:val="3369"/>
        </w:trPr>
        <w:tc>
          <w:tcPr>
            <w:tcW w:w="1139" w:type="pct"/>
            <w:tcBorders>
              <w:top w:val="single" w:sz="4" w:space="0" w:color="000000"/>
              <w:left w:val="single" w:sz="4" w:space="0" w:color="000000"/>
              <w:bottom w:val="single" w:sz="4" w:space="0" w:color="000000"/>
              <w:right w:val="single" w:sz="4" w:space="0" w:color="000000"/>
            </w:tcBorders>
            <w:hideMark/>
          </w:tcPr>
          <w:p w14:paraId="31A32D75" w14:textId="77777777" w:rsidR="006C4DB3" w:rsidRDefault="006C4DB3">
            <w:pPr>
              <w:pStyle w:val="TableParagraph"/>
              <w:spacing w:line="254" w:lineRule="auto"/>
              <w:ind w:left="142" w:right="72"/>
              <w:rPr>
                <w:b/>
                <w:lang w:val="da-DK"/>
              </w:rPr>
            </w:pPr>
            <w:r>
              <w:rPr>
                <w:b/>
                <w:lang w:val="da-DK"/>
              </w:rPr>
              <w:t>Undersøgelser</w:t>
            </w:r>
          </w:p>
        </w:tc>
        <w:tc>
          <w:tcPr>
            <w:tcW w:w="772" w:type="pct"/>
            <w:tcBorders>
              <w:top w:val="single" w:sz="4" w:space="0" w:color="000000"/>
              <w:left w:val="single" w:sz="4" w:space="0" w:color="000000"/>
              <w:bottom w:val="single" w:sz="4" w:space="0" w:color="000000"/>
              <w:right w:val="single" w:sz="4" w:space="0" w:color="000000"/>
            </w:tcBorders>
          </w:tcPr>
          <w:p w14:paraId="5C13B2BA"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hideMark/>
          </w:tcPr>
          <w:p w14:paraId="7ABC5F83" w14:textId="77777777" w:rsidR="006C4DB3" w:rsidRDefault="006C4DB3">
            <w:pPr>
              <w:pStyle w:val="TableParagraph"/>
              <w:spacing w:line="254" w:lineRule="auto"/>
              <w:ind w:left="142" w:right="72"/>
              <w:rPr>
                <w:lang w:val="da-DK"/>
              </w:rPr>
            </w:pPr>
            <w:r>
              <w:rPr>
                <w:lang w:val="da-DK"/>
              </w:rPr>
              <w:t>Vægtstigning</w:t>
            </w:r>
          </w:p>
        </w:tc>
        <w:tc>
          <w:tcPr>
            <w:tcW w:w="1080" w:type="pct"/>
            <w:tcBorders>
              <w:top w:val="single" w:sz="4" w:space="0" w:color="000000"/>
              <w:left w:val="single" w:sz="4" w:space="0" w:color="000000"/>
              <w:bottom w:val="single" w:sz="4" w:space="0" w:color="000000"/>
              <w:right w:val="single" w:sz="4" w:space="0" w:color="000000"/>
            </w:tcBorders>
            <w:hideMark/>
          </w:tcPr>
          <w:p w14:paraId="27A90B8B" w14:textId="77777777" w:rsidR="006C4DB3" w:rsidRDefault="006C4DB3">
            <w:pPr>
              <w:pStyle w:val="TableParagraph"/>
              <w:spacing w:line="254" w:lineRule="auto"/>
              <w:ind w:left="142" w:right="72"/>
              <w:rPr>
                <w:lang w:val="da-DK"/>
              </w:rPr>
            </w:pPr>
            <w:r>
              <w:rPr>
                <w:lang w:val="da-DK"/>
              </w:rPr>
              <w:t xml:space="preserve">Blodtryksfald, vægttab, forhøjet blodtryk, fald i serumnatrium, nedsat indhold af </w:t>
            </w:r>
            <w:proofErr w:type="spellStart"/>
            <w:r>
              <w:rPr>
                <w:lang w:val="da-DK"/>
              </w:rPr>
              <w:t>chlorid</w:t>
            </w:r>
            <w:proofErr w:type="spellEnd"/>
            <w:r>
              <w:rPr>
                <w:lang w:val="da-DK"/>
              </w:rPr>
              <w:t xml:space="preserve"> i blodet, øget </w:t>
            </w:r>
            <w:proofErr w:type="spellStart"/>
            <w:r>
              <w:rPr>
                <w:lang w:val="da-DK"/>
              </w:rPr>
              <w:t>osteocalcin</w:t>
            </w:r>
            <w:proofErr w:type="spellEnd"/>
            <w:r>
              <w:rPr>
                <w:lang w:val="da-DK"/>
              </w:rPr>
              <w:t>, fald i hæmatokritværdier, fald i hæmoglobin</w:t>
            </w:r>
            <w:r>
              <w:rPr>
                <w:lang w:val="da-DK"/>
              </w:rPr>
              <w:softHyphen/>
              <w:t>værdier, forhøjede leverenzymer</w:t>
            </w:r>
          </w:p>
        </w:tc>
        <w:tc>
          <w:tcPr>
            <w:tcW w:w="927" w:type="pct"/>
            <w:tcBorders>
              <w:top w:val="single" w:sz="4" w:space="0" w:color="000000"/>
              <w:left w:val="single" w:sz="4" w:space="0" w:color="000000"/>
              <w:bottom w:val="single" w:sz="4" w:space="0" w:color="000000"/>
              <w:right w:val="single" w:sz="4" w:space="0" w:color="000000"/>
            </w:tcBorders>
          </w:tcPr>
          <w:p w14:paraId="1B2C9D27" w14:textId="77777777" w:rsidR="006C4DB3" w:rsidRDefault="006C4DB3">
            <w:pPr>
              <w:pStyle w:val="TableParagraph"/>
              <w:spacing w:line="254" w:lineRule="auto"/>
              <w:ind w:left="142" w:right="72"/>
              <w:rPr>
                <w:lang w:val="da-DK"/>
              </w:rPr>
            </w:pPr>
          </w:p>
        </w:tc>
      </w:tr>
      <w:tr w:rsidR="006C4DB3" w14:paraId="79DE0811" w14:textId="77777777" w:rsidTr="006C4DB3">
        <w:trPr>
          <w:trHeight w:val="1036"/>
        </w:trPr>
        <w:tc>
          <w:tcPr>
            <w:tcW w:w="1139" w:type="pct"/>
            <w:tcBorders>
              <w:top w:val="single" w:sz="4" w:space="0" w:color="000000"/>
              <w:left w:val="single" w:sz="4" w:space="0" w:color="000000"/>
              <w:bottom w:val="single" w:sz="4" w:space="0" w:color="000000"/>
              <w:right w:val="single" w:sz="4" w:space="0" w:color="000000"/>
            </w:tcBorders>
            <w:hideMark/>
          </w:tcPr>
          <w:p w14:paraId="1DA1CB04" w14:textId="77777777" w:rsidR="006C4DB3" w:rsidRDefault="006C4DB3">
            <w:pPr>
              <w:pStyle w:val="TableParagraph"/>
              <w:spacing w:line="254" w:lineRule="auto"/>
              <w:ind w:left="142" w:right="72"/>
              <w:rPr>
                <w:b/>
                <w:lang w:val="da-DK"/>
              </w:rPr>
            </w:pPr>
            <w:r>
              <w:rPr>
                <w:b/>
                <w:lang w:val="da-DK"/>
              </w:rPr>
              <w:t>Traumer, forgiftninger og behandlingskom</w:t>
            </w:r>
            <w:r>
              <w:rPr>
                <w:b/>
                <w:lang w:val="da-DK"/>
              </w:rPr>
              <w:softHyphen/>
              <w:t>plikationer</w:t>
            </w:r>
          </w:p>
        </w:tc>
        <w:tc>
          <w:tcPr>
            <w:tcW w:w="772" w:type="pct"/>
            <w:tcBorders>
              <w:top w:val="single" w:sz="4" w:space="0" w:color="000000"/>
              <w:left w:val="single" w:sz="4" w:space="0" w:color="000000"/>
              <w:bottom w:val="single" w:sz="4" w:space="0" w:color="000000"/>
              <w:right w:val="single" w:sz="4" w:space="0" w:color="000000"/>
            </w:tcBorders>
          </w:tcPr>
          <w:p w14:paraId="62F6227B" w14:textId="77777777" w:rsidR="006C4DB3" w:rsidRDefault="006C4DB3">
            <w:pPr>
              <w:pStyle w:val="TableParagraph"/>
              <w:spacing w:line="254" w:lineRule="auto"/>
              <w:ind w:left="142" w:right="72"/>
              <w:rPr>
                <w:lang w:val="da-DK"/>
              </w:rPr>
            </w:pPr>
          </w:p>
        </w:tc>
        <w:tc>
          <w:tcPr>
            <w:tcW w:w="1081" w:type="pct"/>
            <w:tcBorders>
              <w:top w:val="single" w:sz="4" w:space="0" w:color="000000"/>
              <w:left w:val="single" w:sz="4" w:space="0" w:color="000000"/>
              <w:bottom w:val="single" w:sz="4" w:space="0" w:color="000000"/>
              <w:right w:val="single" w:sz="4" w:space="0" w:color="000000"/>
            </w:tcBorders>
          </w:tcPr>
          <w:p w14:paraId="1795B435" w14:textId="77777777" w:rsidR="006C4DB3" w:rsidRDefault="006C4DB3">
            <w:pPr>
              <w:pStyle w:val="TableParagraph"/>
              <w:spacing w:line="254" w:lineRule="auto"/>
              <w:ind w:left="142" w:right="72"/>
              <w:rPr>
                <w:lang w:val="da-DK"/>
              </w:rPr>
            </w:pPr>
          </w:p>
        </w:tc>
        <w:tc>
          <w:tcPr>
            <w:tcW w:w="1080" w:type="pct"/>
            <w:tcBorders>
              <w:top w:val="single" w:sz="4" w:space="0" w:color="000000"/>
              <w:left w:val="single" w:sz="4" w:space="0" w:color="000000"/>
              <w:bottom w:val="single" w:sz="4" w:space="0" w:color="000000"/>
              <w:right w:val="single" w:sz="4" w:space="0" w:color="000000"/>
            </w:tcBorders>
            <w:hideMark/>
          </w:tcPr>
          <w:p w14:paraId="652F21D4" w14:textId="77777777" w:rsidR="006C4DB3" w:rsidRDefault="006C4DB3">
            <w:pPr>
              <w:pStyle w:val="TableParagraph"/>
              <w:spacing w:line="254" w:lineRule="auto"/>
              <w:ind w:left="142" w:right="72"/>
              <w:rPr>
                <w:lang w:val="da-DK"/>
              </w:rPr>
            </w:pPr>
            <w:r>
              <w:rPr>
                <w:lang w:val="da-DK"/>
              </w:rPr>
              <w:t>Lægemiddel</w:t>
            </w:r>
            <w:r>
              <w:rPr>
                <w:lang w:val="da-DK"/>
              </w:rPr>
              <w:softHyphen/>
              <w:t>toksicitet, fald, brandsår</w:t>
            </w:r>
          </w:p>
        </w:tc>
        <w:tc>
          <w:tcPr>
            <w:tcW w:w="927" w:type="pct"/>
            <w:tcBorders>
              <w:top w:val="single" w:sz="4" w:space="0" w:color="000000"/>
              <w:left w:val="single" w:sz="4" w:space="0" w:color="000000"/>
              <w:bottom w:val="single" w:sz="4" w:space="0" w:color="000000"/>
              <w:right w:val="single" w:sz="4" w:space="0" w:color="000000"/>
            </w:tcBorders>
          </w:tcPr>
          <w:p w14:paraId="5C31B448" w14:textId="77777777" w:rsidR="006C4DB3" w:rsidRDefault="006C4DB3">
            <w:pPr>
              <w:pStyle w:val="TableParagraph"/>
              <w:spacing w:line="254" w:lineRule="auto"/>
              <w:ind w:left="142" w:right="72"/>
              <w:rPr>
                <w:lang w:val="da-DK"/>
              </w:rPr>
            </w:pPr>
          </w:p>
        </w:tc>
      </w:tr>
    </w:tbl>
    <w:p w14:paraId="55E8732E" w14:textId="77777777" w:rsidR="006C4DB3" w:rsidRDefault="006C4DB3" w:rsidP="006C4DB3">
      <w:pPr>
        <w:pStyle w:val="Brdtekst"/>
        <w:rPr>
          <w:sz w:val="24"/>
          <w:szCs w:val="24"/>
          <w:lang w:val="da-DK"/>
        </w:rPr>
      </w:pPr>
    </w:p>
    <w:p w14:paraId="5197810E" w14:textId="77777777" w:rsidR="006C4DB3" w:rsidRDefault="006C4DB3" w:rsidP="006C4DB3">
      <w:pPr>
        <w:ind w:left="851"/>
        <w:rPr>
          <w:sz w:val="24"/>
          <w:szCs w:val="24"/>
          <w:u w:val="single"/>
        </w:rPr>
      </w:pPr>
      <w:r>
        <w:rPr>
          <w:sz w:val="24"/>
          <w:szCs w:val="24"/>
          <w:u w:val="single"/>
        </w:rPr>
        <w:t>Beskrivelse af udvalgte bivirkninger</w:t>
      </w:r>
    </w:p>
    <w:p w14:paraId="024833A6" w14:textId="77777777" w:rsidR="00BB70D2" w:rsidRPr="00951EF6" w:rsidRDefault="00BB70D2" w:rsidP="00F516CE">
      <w:pPr>
        <w:ind w:left="851"/>
        <w:rPr>
          <w:sz w:val="24"/>
          <w:szCs w:val="24"/>
        </w:rPr>
      </w:pPr>
    </w:p>
    <w:p w14:paraId="26F20953" w14:textId="77777777" w:rsidR="00BB70D2" w:rsidRPr="00951EF6" w:rsidRDefault="00BB70D2" w:rsidP="00F516CE">
      <w:pPr>
        <w:ind w:left="851"/>
        <w:rPr>
          <w:i/>
          <w:sz w:val="24"/>
          <w:szCs w:val="24"/>
        </w:rPr>
      </w:pPr>
      <w:r w:rsidRPr="00951EF6">
        <w:rPr>
          <w:i/>
          <w:sz w:val="24"/>
          <w:szCs w:val="24"/>
        </w:rPr>
        <w:t>Øjne og nervesystemet</w:t>
      </w:r>
    </w:p>
    <w:p w14:paraId="2E5C7A77" w14:textId="77777777" w:rsidR="00BB70D2" w:rsidRPr="00951EF6" w:rsidRDefault="00BB70D2" w:rsidP="00F516CE">
      <w:pPr>
        <w:ind w:left="851"/>
        <w:rPr>
          <w:sz w:val="24"/>
          <w:szCs w:val="24"/>
        </w:rPr>
      </w:pPr>
      <w:r w:rsidRPr="00951EF6">
        <w:rPr>
          <w:sz w:val="24"/>
          <w:szCs w:val="24"/>
        </w:rPr>
        <w:t xml:space="preserve">Hos patienter i samtidig behandling med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eslicarbazepinacetat</w:t>
      </w:r>
      <w:proofErr w:type="spellEnd"/>
      <w:r w:rsidRPr="00951EF6">
        <w:rPr>
          <w:sz w:val="24"/>
          <w:szCs w:val="24"/>
        </w:rPr>
        <w:t xml:space="preserve"> i placebokontrollerede studier blev følgende bivirkninger observeret: </w:t>
      </w:r>
      <w:proofErr w:type="spellStart"/>
      <w:r w:rsidRPr="00951EF6">
        <w:rPr>
          <w:sz w:val="24"/>
          <w:szCs w:val="24"/>
        </w:rPr>
        <w:t>diplopi</w:t>
      </w:r>
      <w:proofErr w:type="spellEnd"/>
      <w:r w:rsidRPr="00951EF6">
        <w:rPr>
          <w:sz w:val="24"/>
          <w:szCs w:val="24"/>
        </w:rPr>
        <w:t xml:space="preserve"> (11,4 % af forsøgspersoner med samtidig </w:t>
      </w:r>
      <w:proofErr w:type="spellStart"/>
      <w:r w:rsidRPr="00951EF6">
        <w:rPr>
          <w:sz w:val="24"/>
          <w:szCs w:val="24"/>
        </w:rPr>
        <w:t>carbamazepin</w:t>
      </w:r>
      <w:proofErr w:type="spellEnd"/>
      <w:r w:rsidRPr="00951EF6">
        <w:rPr>
          <w:sz w:val="24"/>
          <w:szCs w:val="24"/>
        </w:rPr>
        <w:t xml:space="preserve">, 2,4 % af forsøgspersoner uden samtidig </w:t>
      </w:r>
      <w:proofErr w:type="spellStart"/>
      <w:r w:rsidRPr="00951EF6">
        <w:rPr>
          <w:sz w:val="24"/>
          <w:szCs w:val="24"/>
        </w:rPr>
        <w:t>carbamazepin</w:t>
      </w:r>
      <w:proofErr w:type="spellEnd"/>
      <w:r w:rsidRPr="00951EF6">
        <w:rPr>
          <w:sz w:val="24"/>
          <w:szCs w:val="24"/>
        </w:rPr>
        <w:t xml:space="preserve">), abnorm koordination (6,7 % med samtidig </w:t>
      </w:r>
      <w:proofErr w:type="spellStart"/>
      <w:r w:rsidRPr="00951EF6">
        <w:rPr>
          <w:sz w:val="24"/>
          <w:szCs w:val="24"/>
        </w:rPr>
        <w:t>carbamazepin</w:t>
      </w:r>
      <w:proofErr w:type="spellEnd"/>
      <w:r w:rsidRPr="00951EF6">
        <w:rPr>
          <w:sz w:val="24"/>
          <w:szCs w:val="24"/>
        </w:rPr>
        <w:t xml:space="preserve">, 2,7 % uden samtidig </w:t>
      </w:r>
      <w:proofErr w:type="spellStart"/>
      <w:r w:rsidRPr="00951EF6">
        <w:rPr>
          <w:sz w:val="24"/>
          <w:szCs w:val="24"/>
        </w:rPr>
        <w:t>carbamazepin</w:t>
      </w:r>
      <w:proofErr w:type="spellEnd"/>
      <w:r w:rsidRPr="00951EF6">
        <w:rPr>
          <w:sz w:val="24"/>
          <w:szCs w:val="24"/>
        </w:rPr>
        <w:t xml:space="preserve">) og svimmelhed (30,0 % med samtidig </w:t>
      </w:r>
      <w:proofErr w:type="spellStart"/>
      <w:r w:rsidRPr="00951EF6">
        <w:rPr>
          <w:sz w:val="24"/>
          <w:szCs w:val="24"/>
        </w:rPr>
        <w:t>carbamazepin</w:t>
      </w:r>
      <w:proofErr w:type="spellEnd"/>
      <w:r w:rsidRPr="00951EF6">
        <w:rPr>
          <w:sz w:val="24"/>
          <w:szCs w:val="24"/>
        </w:rPr>
        <w:t xml:space="preserve">, 11,5 % uden samtidig </w:t>
      </w:r>
      <w:proofErr w:type="spellStart"/>
      <w:r w:rsidRPr="00951EF6">
        <w:rPr>
          <w:sz w:val="24"/>
          <w:szCs w:val="24"/>
        </w:rPr>
        <w:t>carbamazepin</w:t>
      </w:r>
      <w:proofErr w:type="spellEnd"/>
      <w:r w:rsidRPr="00951EF6">
        <w:rPr>
          <w:sz w:val="24"/>
          <w:szCs w:val="24"/>
        </w:rPr>
        <w:t>), se pkt. 4.5.</w:t>
      </w:r>
    </w:p>
    <w:p w14:paraId="2CD2F263" w14:textId="77777777" w:rsidR="00BB70D2" w:rsidRPr="00951EF6" w:rsidRDefault="00BB70D2" w:rsidP="00F516CE">
      <w:pPr>
        <w:ind w:left="851"/>
        <w:rPr>
          <w:sz w:val="24"/>
          <w:szCs w:val="24"/>
        </w:rPr>
      </w:pPr>
    </w:p>
    <w:p w14:paraId="33A97A8F" w14:textId="77777777" w:rsidR="00BB70D2" w:rsidRPr="00951EF6" w:rsidRDefault="00BB70D2" w:rsidP="00F516CE">
      <w:pPr>
        <w:ind w:left="851"/>
        <w:rPr>
          <w:i/>
          <w:sz w:val="24"/>
          <w:szCs w:val="24"/>
        </w:rPr>
      </w:pPr>
      <w:r w:rsidRPr="00951EF6">
        <w:rPr>
          <w:i/>
          <w:sz w:val="24"/>
          <w:szCs w:val="24"/>
        </w:rPr>
        <w:t>PR-interval</w:t>
      </w:r>
    </w:p>
    <w:p w14:paraId="07CF9B71" w14:textId="28BC1E6C" w:rsidR="00BB70D2" w:rsidRPr="00951EF6" w:rsidRDefault="00BB70D2" w:rsidP="00F516CE">
      <w:pPr>
        <w:ind w:left="851"/>
        <w:rPr>
          <w:sz w:val="24"/>
          <w:szCs w:val="24"/>
        </w:rPr>
      </w:pPr>
      <w:r w:rsidRPr="00951EF6">
        <w:rPr>
          <w:sz w:val="24"/>
          <w:szCs w:val="24"/>
        </w:rPr>
        <w:t xml:space="preserve">Brug af </w:t>
      </w:r>
      <w:proofErr w:type="spellStart"/>
      <w:r w:rsidRPr="00951EF6">
        <w:rPr>
          <w:sz w:val="24"/>
          <w:szCs w:val="24"/>
        </w:rPr>
        <w:t>eslicarbazepinacetat</w:t>
      </w:r>
      <w:proofErr w:type="spellEnd"/>
      <w:r w:rsidRPr="00951EF6">
        <w:rPr>
          <w:sz w:val="24"/>
          <w:szCs w:val="24"/>
        </w:rPr>
        <w:t xml:space="preserve"> er sat i forbindelse med et forlænget PR-interval. Der kan opstå bivirkninger, som forbindes med forlængelse af PR-intervallet (</w:t>
      </w:r>
      <w:r w:rsidR="00377307">
        <w:rPr>
          <w:sz w:val="24"/>
          <w:szCs w:val="24"/>
        </w:rPr>
        <w:t>f.eks.</w:t>
      </w:r>
      <w:r w:rsidRPr="00951EF6">
        <w:rPr>
          <w:sz w:val="24"/>
          <w:szCs w:val="24"/>
        </w:rPr>
        <w:t xml:space="preserve"> AV-blok, synkope, bradykardi).</w:t>
      </w:r>
    </w:p>
    <w:p w14:paraId="428AE936" w14:textId="77777777" w:rsidR="00BB70D2" w:rsidRPr="00951EF6" w:rsidRDefault="00BB70D2" w:rsidP="00F516CE">
      <w:pPr>
        <w:ind w:left="851"/>
        <w:rPr>
          <w:sz w:val="24"/>
          <w:szCs w:val="24"/>
        </w:rPr>
      </w:pPr>
    </w:p>
    <w:p w14:paraId="66218811" w14:textId="77777777" w:rsidR="00BB70D2" w:rsidRPr="00951EF6" w:rsidRDefault="00BB70D2" w:rsidP="00F516CE">
      <w:pPr>
        <w:ind w:left="851"/>
        <w:rPr>
          <w:i/>
          <w:sz w:val="24"/>
          <w:szCs w:val="24"/>
        </w:rPr>
      </w:pPr>
      <w:r w:rsidRPr="00951EF6">
        <w:rPr>
          <w:i/>
          <w:sz w:val="24"/>
          <w:szCs w:val="24"/>
        </w:rPr>
        <w:lastRenderedPageBreak/>
        <w:t>Klasserelaterede bivirkninger</w:t>
      </w:r>
    </w:p>
    <w:p w14:paraId="2F6DF102" w14:textId="77777777" w:rsidR="00BB70D2" w:rsidRPr="00951EF6" w:rsidRDefault="00BB70D2" w:rsidP="00F516CE">
      <w:pPr>
        <w:ind w:left="851"/>
        <w:rPr>
          <w:sz w:val="24"/>
          <w:szCs w:val="24"/>
        </w:rPr>
      </w:pPr>
      <w:r w:rsidRPr="00951EF6">
        <w:rPr>
          <w:sz w:val="24"/>
          <w:szCs w:val="24"/>
        </w:rPr>
        <w:t xml:space="preserve">Der blev ikke observeret sjældne bivirkninger så som knoglemarvsdepression, </w:t>
      </w:r>
      <w:proofErr w:type="spellStart"/>
      <w:r w:rsidRPr="00951EF6">
        <w:rPr>
          <w:sz w:val="24"/>
          <w:szCs w:val="24"/>
        </w:rPr>
        <w:t>anafylaktiske</w:t>
      </w:r>
      <w:proofErr w:type="spellEnd"/>
      <w:r w:rsidRPr="00951EF6">
        <w:rPr>
          <w:sz w:val="24"/>
          <w:szCs w:val="24"/>
        </w:rPr>
        <w:t xml:space="preserve"> reaktioner, systemisk lupus </w:t>
      </w:r>
      <w:proofErr w:type="spellStart"/>
      <w:r w:rsidRPr="00951EF6">
        <w:rPr>
          <w:sz w:val="24"/>
          <w:szCs w:val="24"/>
        </w:rPr>
        <w:t>erythematosus</w:t>
      </w:r>
      <w:proofErr w:type="spellEnd"/>
      <w:r w:rsidRPr="00951EF6">
        <w:rPr>
          <w:sz w:val="24"/>
          <w:szCs w:val="24"/>
        </w:rPr>
        <w:t xml:space="preserve"> eller alvorlig </w:t>
      </w:r>
      <w:proofErr w:type="spellStart"/>
      <w:r w:rsidRPr="00951EF6">
        <w:rPr>
          <w:sz w:val="24"/>
          <w:szCs w:val="24"/>
        </w:rPr>
        <w:t>arytmi</w:t>
      </w:r>
      <w:proofErr w:type="spellEnd"/>
      <w:r w:rsidRPr="00951EF6">
        <w:rPr>
          <w:sz w:val="24"/>
          <w:szCs w:val="24"/>
        </w:rPr>
        <w:t xml:space="preserve"> under placebo-kontrollerede studier som led i epilepsiprogrammet med </w:t>
      </w:r>
      <w:proofErr w:type="spellStart"/>
      <w:r w:rsidRPr="00951EF6">
        <w:rPr>
          <w:sz w:val="24"/>
          <w:szCs w:val="24"/>
        </w:rPr>
        <w:t>eslicarbazepinacetat</w:t>
      </w:r>
      <w:proofErr w:type="spellEnd"/>
      <w:r w:rsidRPr="00951EF6">
        <w:rPr>
          <w:sz w:val="24"/>
          <w:szCs w:val="24"/>
        </w:rPr>
        <w:t xml:space="preserve">. De er dog indberettet for </w:t>
      </w:r>
      <w:proofErr w:type="spellStart"/>
      <w:r w:rsidRPr="00951EF6">
        <w:rPr>
          <w:sz w:val="24"/>
          <w:szCs w:val="24"/>
        </w:rPr>
        <w:t>oxcarbazepin</w:t>
      </w:r>
      <w:proofErr w:type="spellEnd"/>
      <w:r w:rsidRPr="00951EF6">
        <w:rPr>
          <w:sz w:val="24"/>
          <w:szCs w:val="24"/>
        </w:rPr>
        <w:t xml:space="preserve">, og det kan derfor ikke udelukkes, at de kan forekomme efter behandling med </w:t>
      </w:r>
      <w:proofErr w:type="spellStart"/>
      <w:r w:rsidRPr="00951EF6">
        <w:rPr>
          <w:sz w:val="24"/>
          <w:szCs w:val="24"/>
        </w:rPr>
        <w:t>eslicarbazepinacetat</w:t>
      </w:r>
      <w:proofErr w:type="spellEnd"/>
      <w:r w:rsidRPr="00951EF6">
        <w:rPr>
          <w:sz w:val="24"/>
          <w:szCs w:val="24"/>
        </w:rPr>
        <w:t>.</w:t>
      </w:r>
    </w:p>
    <w:p w14:paraId="27C3A4BB" w14:textId="77777777" w:rsidR="00BB70D2" w:rsidRPr="00951EF6" w:rsidRDefault="00BB70D2" w:rsidP="00F516CE">
      <w:pPr>
        <w:ind w:left="851"/>
        <w:rPr>
          <w:sz w:val="24"/>
          <w:szCs w:val="24"/>
        </w:rPr>
      </w:pPr>
    </w:p>
    <w:p w14:paraId="17936CF5" w14:textId="77777777" w:rsidR="00BB70D2" w:rsidRPr="00951EF6" w:rsidRDefault="00BB70D2" w:rsidP="00F516CE">
      <w:pPr>
        <w:ind w:left="851"/>
        <w:rPr>
          <w:sz w:val="24"/>
          <w:szCs w:val="24"/>
        </w:rPr>
      </w:pPr>
      <w:r w:rsidRPr="00951EF6">
        <w:rPr>
          <w:sz w:val="24"/>
          <w:szCs w:val="24"/>
        </w:rPr>
        <w:t xml:space="preserve">Der har været rapporter om nedsat knoglemineraltæthed, </w:t>
      </w:r>
      <w:proofErr w:type="spellStart"/>
      <w:r w:rsidRPr="00951EF6">
        <w:rPr>
          <w:sz w:val="24"/>
          <w:szCs w:val="24"/>
        </w:rPr>
        <w:t>osteopeni</w:t>
      </w:r>
      <w:proofErr w:type="spellEnd"/>
      <w:r w:rsidRPr="00951EF6">
        <w:rPr>
          <w:sz w:val="24"/>
          <w:szCs w:val="24"/>
        </w:rPr>
        <w:t xml:space="preserve">, osteoporose og frakturer hos patienter i langvarig behandling med de strukturelt relaterede </w:t>
      </w:r>
      <w:proofErr w:type="spellStart"/>
      <w:r w:rsidRPr="00951EF6">
        <w:rPr>
          <w:sz w:val="24"/>
          <w:szCs w:val="24"/>
        </w:rPr>
        <w:t>antiepileptika</w:t>
      </w:r>
      <w:proofErr w:type="spellEnd"/>
      <w:r w:rsidRPr="00951EF6">
        <w:rPr>
          <w:sz w:val="24"/>
          <w:szCs w:val="24"/>
        </w:rPr>
        <w:t xml:space="preserve"> </w:t>
      </w:r>
      <w:proofErr w:type="spellStart"/>
      <w:r w:rsidRPr="00951EF6">
        <w:rPr>
          <w:sz w:val="24"/>
          <w:szCs w:val="24"/>
        </w:rPr>
        <w:t>carbamazepin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Den mekanisme, der påvirker knoglemetabolismen, er ikke identificeret.</w:t>
      </w:r>
    </w:p>
    <w:p w14:paraId="0DC7B060" w14:textId="77777777" w:rsidR="00BB70D2" w:rsidRPr="00951EF6" w:rsidRDefault="00BB70D2" w:rsidP="00F516CE">
      <w:pPr>
        <w:ind w:left="851"/>
        <w:rPr>
          <w:sz w:val="24"/>
          <w:szCs w:val="24"/>
        </w:rPr>
      </w:pPr>
    </w:p>
    <w:p w14:paraId="40C5FD49" w14:textId="77777777" w:rsidR="00BB70D2" w:rsidRPr="00951EF6" w:rsidRDefault="00BB70D2" w:rsidP="00F516CE">
      <w:pPr>
        <w:ind w:left="851"/>
        <w:rPr>
          <w:sz w:val="24"/>
          <w:szCs w:val="24"/>
          <w:u w:val="single"/>
        </w:rPr>
      </w:pPr>
      <w:r w:rsidRPr="00951EF6">
        <w:rPr>
          <w:sz w:val="24"/>
          <w:szCs w:val="24"/>
          <w:u w:val="single"/>
        </w:rPr>
        <w:t>Pædiatrisk population</w:t>
      </w:r>
    </w:p>
    <w:p w14:paraId="0692AC05" w14:textId="77777777" w:rsidR="00BB70D2" w:rsidRPr="00951EF6" w:rsidRDefault="00BB70D2" w:rsidP="00F516CE">
      <w:pPr>
        <w:ind w:left="851"/>
        <w:rPr>
          <w:sz w:val="24"/>
          <w:szCs w:val="24"/>
        </w:rPr>
      </w:pPr>
    </w:p>
    <w:p w14:paraId="43DDEEC5" w14:textId="77777777" w:rsidR="00BB70D2" w:rsidRPr="00951EF6" w:rsidRDefault="00BB70D2" w:rsidP="00F516CE">
      <w:pPr>
        <w:ind w:left="851"/>
        <w:rPr>
          <w:sz w:val="24"/>
          <w:szCs w:val="24"/>
        </w:rPr>
      </w:pPr>
      <w:r w:rsidRPr="00951EF6">
        <w:rPr>
          <w:sz w:val="24"/>
          <w:szCs w:val="24"/>
        </w:rPr>
        <w:t xml:space="preserve">I placebokontrollerede studier, der inkluderede patienter i alderen fra 2 til 18 år med </w:t>
      </w:r>
      <w:proofErr w:type="spellStart"/>
      <w:r w:rsidRPr="00951EF6">
        <w:rPr>
          <w:sz w:val="24"/>
          <w:szCs w:val="24"/>
        </w:rPr>
        <w:t>fokale</w:t>
      </w:r>
      <w:proofErr w:type="spellEnd"/>
      <w:r w:rsidRPr="00951EF6">
        <w:rPr>
          <w:sz w:val="24"/>
          <w:szCs w:val="24"/>
        </w:rPr>
        <w:t xml:space="preserve"> epileptiske anfald (238 patienter behandlet med </w:t>
      </w:r>
      <w:proofErr w:type="spellStart"/>
      <w:r w:rsidRPr="00951EF6">
        <w:rPr>
          <w:sz w:val="24"/>
          <w:szCs w:val="24"/>
        </w:rPr>
        <w:t>eslicarbazepinacetat</w:t>
      </w:r>
      <w:proofErr w:type="spellEnd"/>
      <w:r w:rsidRPr="00951EF6">
        <w:rPr>
          <w:sz w:val="24"/>
          <w:szCs w:val="24"/>
        </w:rPr>
        <w:t xml:space="preserve"> og 189 med placebo), oplevede 35,7 % af patienterne behandlet med </w:t>
      </w:r>
      <w:proofErr w:type="spellStart"/>
      <w:r w:rsidRPr="00951EF6">
        <w:rPr>
          <w:sz w:val="24"/>
          <w:szCs w:val="24"/>
        </w:rPr>
        <w:t>eslicarbazepinacetat</w:t>
      </w:r>
      <w:proofErr w:type="spellEnd"/>
      <w:r w:rsidRPr="00951EF6">
        <w:rPr>
          <w:sz w:val="24"/>
          <w:szCs w:val="24"/>
        </w:rPr>
        <w:t xml:space="preserve"> og 19 % af patienterne behandlet med placebo bivirkninger. De mest almindelige bivirkninger i gruppen behandlet med </w:t>
      </w:r>
      <w:proofErr w:type="spellStart"/>
      <w:r w:rsidRPr="00951EF6">
        <w:rPr>
          <w:sz w:val="24"/>
          <w:szCs w:val="24"/>
        </w:rPr>
        <w:t>eslicarbazepinacetat</w:t>
      </w:r>
      <w:proofErr w:type="spellEnd"/>
      <w:r w:rsidRPr="00951EF6">
        <w:rPr>
          <w:sz w:val="24"/>
          <w:szCs w:val="24"/>
        </w:rPr>
        <w:t xml:space="preserve"> var </w:t>
      </w:r>
      <w:proofErr w:type="spellStart"/>
      <w:r w:rsidRPr="00951EF6">
        <w:rPr>
          <w:sz w:val="24"/>
          <w:szCs w:val="24"/>
        </w:rPr>
        <w:t>diplopi</w:t>
      </w:r>
      <w:proofErr w:type="spellEnd"/>
      <w:r w:rsidRPr="00951EF6">
        <w:rPr>
          <w:sz w:val="24"/>
          <w:szCs w:val="24"/>
        </w:rPr>
        <w:t xml:space="preserve"> (5,0 %), døsighed (8,0 %) og opkastning (4,6</w:t>
      </w:r>
      <w:r w:rsidRPr="00951EF6">
        <w:rPr>
          <w:spacing w:val="-2"/>
          <w:sz w:val="24"/>
          <w:szCs w:val="24"/>
        </w:rPr>
        <w:t xml:space="preserve"> </w:t>
      </w:r>
      <w:r w:rsidRPr="00951EF6">
        <w:rPr>
          <w:sz w:val="24"/>
          <w:szCs w:val="24"/>
        </w:rPr>
        <w:t>%).</w:t>
      </w:r>
    </w:p>
    <w:p w14:paraId="341DC2D3" w14:textId="77777777" w:rsidR="00BB70D2" w:rsidRPr="00951EF6" w:rsidRDefault="00BB70D2" w:rsidP="00F516CE">
      <w:pPr>
        <w:ind w:left="851"/>
        <w:rPr>
          <w:sz w:val="24"/>
          <w:szCs w:val="24"/>
        </w:rPr>
      </w:pPr>
    </w:p>
    <w:p w14:paraId="34304EA6" w14:textId="061F122B" w:rsidR="00BB70D2" w:rsidRPr="00951EF6" w:rsidRDefault="00BB70D2" w:rsidP="00F516CE">
      <w:pPr>
        <w:ind w:left="851"/>
        <w:rPr>
          <w:sz w:val="24"/>
          <w:szCs w:val="24"/>
        </w:rPr>
      </w:pPr>
      <w:r w:rsidRPr="00951EF6">
        <w:rPr>
          <w:sz w:val="24"/>
          <w:szCs w:val="24"/>
        </w:rPr>
        <w:t xml:space="preserve">Bivirkningsprofilen for </w:t>
      </w:r>
      <w:proofErr w:type="spellStart"/>
      <w:r w:rsidRPr="00951EF6">
        <w:rPr>
          <w:sz w:val="24"/>
          <w:szCs w:val="24"/>
        </w:rPr>
        <w:t>eslicarbazepinacetat</w:t>
      </w:r>
      <w:proofErr w:type="spellEnd"/>
      <w:r w:rsidRPr="00951EF6">
        <w:rPr>
          <w:sz w:val="24"/>
          <w:szCs w:val="24"/>
        </w:rPr>
        <w:t xml:space="preserve"> er generelt ens på tværs af aldersgrupper. I aldersgruppen fra 6 til 11 år var de mest almindelige bivirkninger, der blev observeret hos mere end to patienter behandlet med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diplopi</w:t>
      </w:r>
      <w:proofErr w:type="spellEnd"/>
      <w:r w:rsidRPr="00951EF6">
        <w:rPr>
          <w:sz w:val="24"/>
          <w:szCs w:val="24"/>
        </w:rPr>
        <w:t xml:space="preserve"> (9,5 %) døsighed (7,4 %), svimmelhed (6,3 %), kramper (6,3 %) og kvalme (3,2 %). I aldersgruppen fra 12 til 18 år var det døsighed (7,4 %), opkastning</w:t>
      </w:r>
      <w:r w:rsidR="00DB7A55">
        <w:rPr>
          <w:sz w:val="24"/>
          <w:szCs w:val="24"/>
        </w:rPr>
        <w:t xml:space="preserve"> </w:t>
      </w:r>
      <w:r w:rsidRPr="00951EF6">
        <w:rPr>
          <w:sz w:val="24"/>
          <w:szCs w:val="24"/>
        </w:rPr>
        <w:t xml:space="preserve">(4,2 %), </w:t>
      </w:r>
      <w:proofErr w:type="spellStart"/>
      <w:r w:rsidRPr="00951EF6">
        <w:rPr>
          <w:sz w:val="24"/>
          <w:szCs w:val="24"/>
        </w:rPr>
        <w:t>diplopi</w:t>
      </w:r>
      <w:proofErr w:type="spellEnd"/>
      <w:r w:rsidRPr="00951EF6">
        <w:rPr>
          <w:sz w:val="24"/>
          <w:szCs w:val="24"/>
        </w:rPr>
        <w:t xml:space="preserve"> (3,2 %) og træthed (3,2 %). </w:t>
      </w:r>
      <w:proofErr w:type="spellStart"/>
      <w:r w:rsidR="00951EF6" w:rsidRPr="00951EF6">
        <w:rPr>
          <w:sz w:val="24"/>
          <w:szCs w:val="24"/>
        </w:rPr>
        <w:t>Arupsan</w:t>
      </w:r>
      <w:r w:rsidRPr="00951EF6">
        <w:rPr>
          <w:sz w:val="24"/>
          <w:szCs w:val="24"/>
        </w:rPr>
        <w:t>s</w:t>
      </w:r>
      <w:proofErr w:type="spellEnd"/>
      <w:r w:rsidRPr="00951EF6">
        <w:rPr>
          <w:sz w:val="24"/>
          <w:szCs w:val="24"/>
        </w:rPr>
        <w:t xml:space="preserve"> sikkerhed hos børn i alderen 6 år og derunder er endnu ikke klarlagt.</w:t>
      </w:r>
    </w:p>
    <w:p w14:paraId="3C45F46C" w14:textId="77777777" w:rsidR="00BB70D2" w:rsidRPr="00951EF6" w:rsidRDefault="00BB70D2" w:rsidP="00F516CE">
      <w:pPr>
        <w:ind w:left="851"/>
        <w:rPr>
          <w:sz w:val="24"/>
          <w:szCs w:val="24"/>
        </w:rPr>
      </w:pPr>
    </w:p>
    <w:p w14:paraId="62BE9CF6" w14:textId="77777777" w:rsidR="00BB70D2" w:rsidRPr="00951EF6" w:rsidRDefault="00BB70D2" w:rsidP="00F516CE">
      <w:pPr>
        <w:ind w:left="851"/>
        <w:rPr>
          <w:sz w:val="24"/>
          <w:szCs w:val="24"/>
        </w:rPr>
      </w:pPr>
      <w:r w:rsidRPr="00951EF6">
        <w:rPr>
          <w:sz w:val="24"/>
          <w:szCs w:val="24"/>
        </w:rPr>
        <w:t xml:space="preserve">Sikkerhedsprofilen for </w:t>
      </w:r>
      <w:proofErr w:type="spellStart"/>
      <w:r w:rsidRPr="00951EF6">
        <w:rPr>
          <w:sz w:val="24"/>
          <w:szCs w:val="24"/>
        </w:rPr>
        <w:t>eslicarbazepinacetat</w:t>
      </w:r>
      <w:proofErr w:type="spellEnd"/>
      <w:r w:rsidRPr="00951EF6">
        <w:rPr>
          <w:sz w:val="24"/>
          <w:szCs w:val="24"/>
        </w:rPr>
        <w:t xml:space="preserve"> var generelt ens mellem voksne og pædiatriske patienter, bortset fra agitation (almindelig, 1,3 %) og </w:t>
      </w:r>
      <w:proofErr w:type="spellStart"/>
      <w:r w:rsidRPr="00951EF6">
        <w:rPr>
          <w:sz w:val="24"/>
          <w:szCs w:val="24"/>
        </w:rPr>
        <w:t>abdominalsmerter</w:t>
      </w:r>
      <w:proofErr w:type="spellEnd"/>
      <w:r w:rsidRPr="00951EF6">
        <w:rPr>
          <w:sz w:val="24"/>
          <w:szCs w:val="24"/>
        </w:rPr>
        <w:t xml:space="preserve"> (almindelig, 2,1 %), der var mere almindelig hos børn end hos voksne. Svimmelhed, døsighed, </w:t>
      </w:r>
      <w:proofErr w:type="spellStart"/>
      <w:r w:rsidRPr="00951EF6">
        <w:rPr>
          <w:sz w:val="24"/>
          <w:szCs w:val="24"/>
        </w:rPr>
        <w:t>vertigo</w:t>
      </w:r>
      <w:proofErr w:type="spellEnd"/>
      <w:r w:rsidRPr="00951EF6">
        <w:rPr>
          <w:sz w:val="24"/>
          <w:szCs w:val="24"/>
        </w:rPr>
        <w:t xml:space="preserve">, asteni, gangforstyrrelse, </w:t>
      </w:r>
      <w:proofErr w:type="spellStart"/>
      <w:r w:rsidRPr="00951EF6">
        <w:rPr>
          <w:sz w:val="24"/>
          <w:szCs w:val="24"/>
        </w:rPr>
        <w:t>tremor</w:t>
      </w:r>
      <w:proofErr w:type="spellEnd"/>
      <w:r w:rsidRPr="00951EF6">
        <w:rPr>
          <w:sz w:val="24"/>
          <w:szCs w:val="24"/>
        </w:rPr>
        <w:t xml:space="preserve">, </w:t>
      </w:r>
      <w:proofErr w:type="spellStart"/>
      <w:r w:rsidRPr="00951EF6">
        <w:rPr>
          <w:sz w:val="24"/>
          <w:szCs w:val="24"/>
        </w:rPr>
        <w:t>ataksi</w:t>
      </w:r>
      <w:proofErr w:type="spellEnd"/>
      <w:r w:rsidRPr="00951EF6">
        <w:rPr>
          <w:sz w:val="24"/>
          <w:szCs w:val="24"/>
        </w:rPr>
        <w:t xml:space="preserve">, balanceforstyrrelse, uskarpt syn, diarré, udslæt og </w:t>
      </w:r>
      <w:proofErr w:type="spellStart"/>
      <w:r w:rsidRPr="00951EF6">
        <w:rPr>
          <w:sz w:val="24"/>
          <w:szCs w:val="24"/>
        </w:rPr>
        <w:t>hyponatriæmi</w:t>
      </w:r>
      <w:proofErr w:type="spellEnd"/>
      <w:r w:rsidRPr="00951EF6">
        <w:rPr>
          <w:sz w:val="24"/>
          <w:szCs w:val="24"/>
        </w:rPr>
        <w:t xml:space="preserve"> var mindre almindelig hos børn end hos voksne. Allergisk </w:t>
      </w:r>
      <w:proofErr w:type="spellStart"/>
      <w:r w:rsidRPr="00951EF6">
        <w:rPr>
          <w:sz w:val="24"/>
          <w:szCs w:val="24"/>
        </w:rPr>
        <w:t>dermatitis</w:t>
      </w:r>
      <w:proofErr w:type="spellEnd"/>
      <w:r w:rsidRPr="00951EF6">
        <w:rPr>
          <w:sz w:val="24"/>
          <w:szCs w:val="24"/>
        </w:rPr>
        <w:t xml:space="preserve"> (ikke almindelig, 0,8 %) blev kun rapporteret i den pædiatriske population.</w:t>
      </w:r>
    </w:p>
    <w:p w14:paraId="45987F61" w14:textId="77777777" w:rsidR="00BB70D2" w:rsidRPr="00951EF6" w:rsidRDefault="00BB70D2" w:rsidP="00F516CE">
      <w:pPr>
        <w:ind w:left="851"/>
        <w:rPr>
          <w:sz w:val="24"/>
          <w:szCs w:val="24"/>
        </w:rPr>
      </w:pPr>
    </w:p>
    <w:p w14:paraId="065B894E" w14:textId="77777777" w:rsidR="00BB70D2" w:rsidRPr="00951EF6" w:rsidRDefault="00BB70D2" w:rsidP="00F516CE">
      <w:pPr>
        <w:ind w:left="851"/>
        <w:rPr>
          <w:sz w:val="24"/>
          <w:szCs w:val="24"/>
        </w:rPr>
      </w:pPr>
      <w:r w:rsidRPr="00951EF6">
        <w:rPr>
          <w:sz w:val="24"/>
          <w:szCs w:val="24"/>
        </w:rPr>
        <w:t xml:space="preserve">I den åbne forlængelse til fase III-studiet var data vedrørende den langsigtede sikkerhed hos den pædiatriske </w:t>
      </w:r>
      <w:proofErr w:type="spellStart"/>
      <w:r w:rsidRPr="00951EF6">
        <w:rPr>
          <w:sz w:val="24"/>
          <w:szCs w:val="24"/>
        </w:rPr>
        <w:t>populationi</w:t>
      </w:r>
      <w:proofErr w:type="spellEnd"/>
      <w:r w:rsidRPr="00951EF6">
        <w:rPr>
          <w:sz w:val="24"/>
          <w:szCs w:val="24"/>
        </w:rPr>
        <w:t xml:space="preserve"> overensstemmelse med lægemidlets kendte sikkerhedsprofil, og der blev ikke observeret nye problematiske fund.</w:t>
      </w:r>
    </w:p>
    <w:p w14:paraId="00AF1961" w14:textId="77777777" w:rsidR="00BB70D2" w:rsidRPr="00951EF6" w:rsidRDefault="00BB70D2" w:rsidP="00F516CE">
      <w:pPr>
        <w:ind w:left="851"/>
        <w:rPr>
          <w:sz w:val="24"/>
          <w:szCs w:val="24"/>
        </w:rPr>
      </w:pPr>
    </w:p>
    <w:p w14:paraId="586D5FE0" w14:textId="77777777" w:rsidR="00BB70D2" w:rsidRPr="00951EF6" w:rsidRDefault="00BB70D2" w:rsidP="00F516CE">
      <w:pPr>
        <w:ind w:left="851"/>
        <w:rPr>
          <w:sz w:val="24"/>
          <w:szCs w:val="24"/>
          <w:u w:val="single"/>
        </w:rPr>
      </w:pPr>
      <w:r w:rsidRPr="00951EF6">
        <w:rPr>
          <w:sz w:val="24"/>
          <w:szCs w:val="24"/>
          <w:u w:val="single"/>
        </w:rPr>
        <w:t>Indberetning af formodede bivirkninger</w:t>
      </w:r>
    </w:p>
    <w:p w14:paraId="6D83095B" w14:textId="77777777" w:rsidR="00BB70D2" w:rsidRPr="00951EF6" w:rsidRDefault="00BB70D2" w:rsidP="00F516CE">
      <w:pPr>
        <w:ind w:left="851"/>
        <w:rPr>
          <w:sz w:val="24"/>
          <w:szCs w:val="24"/>
          <w:highlight w:val="lightGray"/>
        </w:rPr>
      </w:pPr>
      <w:r w:rsidRPr="00951EF6">
        <w:rPr>
          <w:sz w:val="24"/>
          <w:szCs w:val="24"/>
        </w:rPr>
        <w:t>Når lægemidlet er godkendt, er indberetning af formodede bivirkninger vigtig. Det muliggør løbende overvågning af benefit/</w:t>
      </w:r>
      <w:proofErr w:type="spellStart"/>
      <w:r w:rsidRPr="00951EF6">
        <w:rPr>
          <w:sz w:val="24"/>
          <w:szCs w:val="24"/>
        </w:rPr>
        <w:t>risk</w:t>
      </w:r>
      <w:proofErr w:type="spellEnd"/>
      <w:r w:rsidRPr="00951EF6">
        <w:rPr>
          <w:sz w:val="24"/>
          <w:szCs w:val="24"/>
        </w:rPr>
        <w:t>-forholdet for lægemidlet. Sundhedspersoner anmodes om at indberette alle formodede bivirkninger via:</w:t>
      </w:r>
    </w:p>
    <w:p w14:paraId="570ACEC9" w14:textId="77777777" w:rsidR="00BB70D2" w:rsidRPr="00951EF6" w:rsidRDefault="00BB70D2" w:rsidP="00F516CE">
      <w:pPr>
        <w:ind w:left="851"/>
        <w:rPr>
          <w:sz w:val="24"/>
          <w:szCs w:val="24"/>
          <w:highlight w:val="lightGray"/>
        </w:rPr>
      </w:pPr>
    </w:p>
    <w:p w14:paraId="54ABD00E" w14:textId="77777777" w:rsidR="00BB70D2" w:rsidRPr="00951EF6" w:rsidRDefault="00BB70D2" w:rsidP="00F516CE">
      <w:pPr>
        <w:ind w:left="851"/>
        <w:rPr>
          <w:rFonts w:eastAsia="Calibri"/>
          <w:color w:val="000000"/>
          <w:sz w:val="24"/>
          <w:szCs w:val="24"/>
          <w:lang w:eastAsia="zh-CN"/>
        </w:rPr>
      </w:pPr>
      <w:r w:rsidRPr="00951EF6">
        <w:rPr>
          <w:sz w:val="24"/>
          <w:szCs w:val="24"/>
        </w:rPr>
        <w:t>Lægemiddelstyrelsen</w:t>
      </w:r>
    </w:p>
    <w:p w14:paraId="5E599D86"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Axel Heides Gade 1</w:t>
      </w:r>
    </w:p>
    <w:p w14:paraId="2EFD01DC" w14:textId="77777777" w:rsidR="00BB70D2" w:rsidRPr="00951EF6" w:rsidRDefault="00BB70D2" w:rsidP="00F516CE">
      <w:pPr>
        <w:ind w:left="851"/>
        <w:rPr>
          <w:rFonts w:eastAsia="Calibri"/>
          <w:noProof/>
          <w:sz w:val="24"/>
          <w:szCs w:val="24"/>
          <w:lang w:eastAsia="zh-CN"/>
        </w:rPr>
      </w:pPr>
      <w:r w:rsidRPr="00951EF6">
        <w:rPr>
          <w:rFonts w:eastAsia="Calibri"/>
          <w:noProof/>
          <w:sz w:val="24"/>
          <w:szCs w:val="24"/>
          <w:lang w:eastAsia="zh-CN"/>
        </w:rPr>
        <w:t xml:space="preserve">DK-2300 </w:t>
      </w:r>
      <w:r w:rsidRPr="00951EF6">
        <w:rPr>
          <w:rFonts w:eastAsia="Calibri"/>
          <w:sz w:val="24"/>
          <w:szCs w:val="24"/>
          <w:lang w:eastAsia="zh-CN"/>
        </w:rPr>
        <w:t>København S</w:t>
      </w:r>
    </w:p>
    <w:p w14:paraId="3B3D2924" w14:textId="77777777" w:rsidR="00BB70D2" w:rsidRPr="00951EF6" w:rsidRDefault="00BB70D2" w:rsidP="00F516CE">
      <w:pPr>
        <w:ind w:left="851"/>
        <w:rPr>
          <w:rFonts w:eastAsia="Calibri"/>
          <w:noProof/>
          <w:sz w:val="24"/>
          <w:szCs w:val="24"/>
          <w:lang w:eastAsia="zh-CN"/>
        </w:rPr>
      </w:pPr>
      <w:r w:rsidRPr="00951EF6">
        <w:rPr>
          <w:rFonts w:eastAsia="Calibri"/>
          <w:sz w:val="24"/>
          <w:szCs w:val="24"/>
          <w:lang w:eastAsia="zh-CN"/>
        </w:rPr>
        <w:t>Websted</w:t>
      </w:r>
      <w:r w:rsidRPr="00951EF6">
        <w:rPr>
          <w:rFonts w:eastAsia="Calibri"/>
          <w:noProof/>
          <w:sz w:val="24"/>
          <w:szCs w:val="24"/>
          <w:lang w:eastAsia="zh-CN"/>
        </w:rPr>
        <w:t xml:space="preserve">: </w:t>
      </w:r>
      <w:hyperlink r:id="rId8" w:history="1">
        <w:r w:rsidRPr="00951EF6">
          <w:rPr>
            <w:rStyle w:val="Hyperlink"/>
            <w:rFonts w:eastAsia="Calibri"/>
            <w:noProof/>
            <w:sz w:val="24"/>
            <w:szCs w:val="24"/>
            <w:lang w:eastAsia="zh-CN"/>
          </w:rPr>
          <w:t>www.meldenbivirkning.dk</w:t>
        </w:r>
      </w:hyperlink>
    </w:p>
    <w:p w14:paraId="3C3B6609" w14:textId="77777777" w:rsidR="009260DE" w:rsidRPr="00951EF6" w:rsidRDefault="009260DE" w:rsidP="009260DE">
      <w:pPr>
        <w:pStyle w:val="Sidehoved"/>
        <w:tabs>
          <w:tab w:val="left" w:pos="851"/>
        </w:tabs>
        <w:ind w:left="851"/>
        <w:rPr>
          <w:szCs w:val="24"/>
        </w:rPr>
      </w:pPr>
    </w:p>
    <w:p w14:paraId="4DC62AA1" w14:textId="77777777" w:rsidR="009260DE" w:rsidRPr="00951EF6" w:rsidRDefault="009260DE" w:rsidP="009260DE">
      <w:pPr>
        <w:tabs>
          <w:tab w:val="left" w:pos="851"/>
        </w:tabs>
        <w:ind w:left="851" w:hanging="851"/>
        <w:rPr>
          <w:b/>
          <w:sz w:val="24"/>
          <w:szCs w:val="24"/>
        </w:rPr>
      </w:pPr>
      <w:r w:rsidRPr="00951EF6">
        <w:rPr>
          <w:b/>
          <w:sz w:val="24"/>
          <w:szCs w:val="24"/>
        </w:rPr>
        <w:t>4.9</w:t>
      </w:r>
      <w:r w:rsidRPr="00951EF6">
        <w:rPr>
          <w:b/>
          <w:sz w:val="24"/>
          <w:szCs w:val="24"/>
        </w:rPr>
        <w:tab/>
        <w:t>Overdosering</w:t>
      </w:r>
    </w:p>
    <w:p w14:paraId="09FA1005" w14:textId="77777777" w:rsidR="004904F4" w:rsidRPr="00951EF6" w:rsidRDefault="004904F4" w:rsidP="007C1869">
      <w:pPr>
        <w:ind w:left="851"/>
        <w:rPr>
          <w:sz w:val="24"/>
          <w:szCs w:val="24"/>
        </w:rPr>
      </w:pPr>
      <w:r w:rsidRPr="00951EF6">
        <w:rPr>
          <w:sz w:val="24"/>
          <w:szCs w:val="24"/>
        </w:rPr>
        <w:t xml:space="preserve">Efter en overdosis </w:t>
      </w:r>
      <w:proofErr w:type="spellStart"/>
      <w:r w:rsidRPr="00951EF6">
        <w:rPr>
          <w:sz w:val="24"/>
          <w:szCs w:val="24"/>
        </w:rPr>
        <w:t>eslicarbazepinacetat</w:t>
      </w:r>
      <w:proofErr w:type="spellEnd"/>
      <w:r w:rsidRPr="00951EF6">
        <w:rPr>
          <w:sz w:val="24"/>
          <w:szCs w:val="24"/>
        </w:rPr>
        <w:t xml:space="preserve"> er der primært observeret symptomer fra centralnervesystemet (f.eks. alle typer anfald, status </w:t>
      </w:r>
      <w:proofErr w:type="spellStart"/>
      <w:r w:rsidRPr="00951EF6">
        <w:rPr>
          <w:sz w:val="24"/>
          <w:szCs w:val="24"/>
        </w:rPr>
        <w:t>epilepticus</w:t>
      </w:r>
      <w:proofErr w:type="spellEnd"/>
      <w:r w:rsidRPr="00951EF6">
        <w:rPr>
          <w:sz w:val="24"/>
          <w:szCs w:val="24"/>
        </w:rPr>
        <w:t xml:space="preserve">) og hjertelidelser (f.eks. </w:t>
      </w:r>
      <w:proofErr w:type="spellStart"/>
      <w:r w:rsidRPr="00951EF6">
        <w:rPr>
          <w:sz w:val="24"/>
          <w:szCs w:val="24"/>
        </w:rPr>
        <w:lastRenderedPageBreak/>
        <w:t>hjertearytmi</w:t>
      </w:r>
      <w:proofErr w:type="spellEnd"/>
      <w:r w:rsidRPr="00951EF6">
        <w:rPr>
          <w:sz w:val="24"/>
          <w:szCs w:val="24"/>
        </w:rPr>
        <w:t xml:space="preserve">). Der findes ingen specifik </w:t>
      </w:r>
      <w:proofErr w:type="spellStart"/>
      <w:r w:rsidRPr="00951EF6">
        <w:rPr>
          <w:sz w:val="24"/>
          <w:szCs w:val="24"/>
        </w:rPr>
        <w:t>antidot</w:t>
      </w:r>
      <w:proofErr w:type="spellEnd"/>
      <w:r w:rsidRPr="00951EF6">
        <w:rPr>
          <w:sz w:val="24"/>
          <w:szCs w:val="24"/>
        </w:rPr>
        <w:t xml:space="preserve">. Symptomatisk og understøttende behandling gives efter behov. </w:t>
      </w:r>
      <w:proofErr w:type="spellStart"/>
      <w:r w:rsidRPr="00951EF6">
        <w:rPr>
          <w:sz w:val="24"/>
          <w:szCs w:val="24"/>
        </w:rPr>
        <w:t>Eslicarbazepinacetats</w:t>
      </w:r>
      <w:proofErr w:type="spellEnd"/>
      <w:r w:rsidRPr="00951EF6">
        <w:rPr>
          <w:sz w:val="24"/>
          <w:szCs w:val="24"/>
        </w:rPr>
        <w:t xml:space="preserve"> metabolitter kan om nødvendigt fjernes effektivt med hæmodialyse (se pkt. 5.2).</w:t>
      </w:r>
    </w:p>
    <w:p w14:paraId="29EF40A9" w14:textId="77777777" w:rsidR="009260DE" w:rsidRPr="00951EF6" w:rsidRDefault="009260DE" w:rsidP="009260DE">
      <w:pPr>
        <w:tabs>
          <w:tab w:val="left" w:pos="851"/>
        </w:tabs>
        <w:ind w:left="851"/>
        <w:rPr>
          <w:sz w:val="24"/>
          <w:szCs w:val="24"/>
        </w:rPr>
      </w:pPr>
    </w:p>
    <w:p w14:paraId="5A906451" w14:textId="77777777" w:rsidR="009260DE" w:rsidRPr="00951EF6" w:rsidRDefault="009260DE" w:rsidP="009260DE">
      <w:pPr>
        <w:tabs>
          <w:tab w:val="left" w:pos="851"/>
        </w:tabs>
        <w:ind w:left="851" w:hanging="851"/>
        <w:rPr>
          <w:b/>
          <w:sz w:val="24"/>
          <w:szCs w:val="24"/>
        </w:rPr>
      </w:pPr>
      <w:r w:rsidRPr="00951EF6">
        <w:rPr>
          <w:b/>
          <w:sz w:val="24"/>
          <w:szCs w:val="24"/>
        </w:rPr>
        <w:t>4.10</w:t>
      </w:r>
      <w:r w:rsidRPr="00951EF6">
        <w:rPr>
          <w:b/>
          <w:sz w:val="24"/>
          <w:szCs w:val="24"/>
        </w:rPr>
        <w:tab/>
        <w:t>Udlevering</w:t>
      </w:r>
    </w:p>
    <w:p w14:paraId="706557DB" w14:textId="31DAD904" w:rsidR="009260DE" w:rsidRPr="00951EF6" w:rsidRDefault="004904F4" w:rsidP="009260DE">
      <w:pPr>
        <w:tabs>
          <w:tab w:val="left" w:pos="851"/>
        </w:tabs>
        <w:ind w:left="851"/>
        <w:rPr>
          <w:sz w:val="24"/>
          <w:szCs w:val="24"/>
        </w:rPr>
      </w:pPr>
      <w:r w:rsidRPr="00951EF6">
        <w:rPr>
          <w:sz w:val="24"/>
          <w:szCs w:val="24"/>
        </w:rPr>
        <w:t>B</w:t>
      </w:r>
    </w:p>
    <w:p w14:paraId="7AE863FE" w14:textId="77777777" w:rsidR="009260DE" w:rsidRPr="00951EF6" w:rsidRDefault="009260DE" w:rsidP="009260DE">
      <w:pPr>
        <w:tabs>
          <w:tab w:val="left" w:pos="851"/>
        </w:tabs>
        <w:ind w:left="851"/>
        <w:rPr>
          <w:sz w:val="24"/>
          <w:szCs w:val="24"/>
        </w:rPr>
      </w:pPr>
    </w:p>
    <w:p w14:paraId="4050F5CB" w14:textId="77777777" w:rsidR="009260DE" w:rsidRPr="00951EF6" w:rsidRDefault="009260DE" w:rsidP="009260DE">
      <w:pPr>
        <w:tabs>
          <w:tab w:val="left" w:pos="851"/>
        </w:tabs>
        <w:ind w:left="851"/>
        <w:rPr>
          <w:sz w:val="24"/>
          <w:szCs w:val="24"/>
        </w:rPr>
      </w:pPr>
    </w:p>
    <w:p w14:paraId="7CF24396" w14:textId="77777777" w:rsidR="009260DE" w:rsidRPr="00951EF6" w:rsidRDefault="009260DE" w:rsidP="009260DE">
      <w:pPr>
        <w:tabs>
          <w:tab w:val="left" w:pos="851"/>
        </w:tabs>
        <w:ind w:left="851" w:hanging="851"/>
        <w:rPr>
          <w:b/>
          <w:sz w:val="24"/>
          <w:szCs w:val="24"/>
        </w:rPr>
      </w:pPr>
      <w:r w:rsidRPr="00951EF6">
        <w:rPr>
          <w:b/>
          <w:sz w:val="24"/>
          <w:szCs w:val="24"/>
        </w:rPr>
        <w:t>5.</w:t>
      </w:r>
      <w:r w:rsidRPr="00951EF6">
        <w:rPr>
          <w:b/>
          <w:sz w:val="24"/>
          <w:szCs w:val="24"/>
        </w:rPr>
        <w:tab/>
        <w:t>FARMAKOLOGISKE EGENSKABER</w:t>
      </w:r>
    </w:p>
    <w:p w14:paraId="7517BF56" w14:textId="77777777" w:rsidR="009260DE" w:rsidRPr="00951EF6" w:rsidRDefault="009260DE" w:rsidP="009260DE">
      <w:pPr>
        <w:tabs>
          <w:tab w:val="left" w:pos="851"/>
        </w:tabs>
        <w:ind w:left="851"/>
        <w:rPr>
          <w:sz w:val="24"/>
          <w:szCs w:val="24"/>
        </w:rPr>
      </w:pPr>
    </w:p>
    <w:p w14:paraId="2B142B2C" w14:textId="77777777" w:rsidR="009260DE" w:rsidRPr="00951EF6" w:rsidRDefault="009260DE" w:rsidP="009260DE">
      <w:pPr>
        <w:tabs>
          <w:tab w:val="left" w:pos="851"/>
        </w:tabs>
        <w:ind w:left="851" w:hanging="851"/>
        <w:rPr>
          <w:b/>
          <w:sz w:val="24"/>
          <w:szCs w:val="24"/>
        </w:rPr>
      </w:pPr>
      <w:r w:rsidRPr="00951EF6">
        <w:rPr>
          <w:b/>
          <w:sz w:val="24"/>
          <w:szCs w:val="24"/>
        </w:rPr>
        <w:t>5.0</w:t>
      </w:r>
      <w:r w:rsidRPr="00951EF6">
        <w:rPr>
          <w:b/>
          <w:sz w:val="24"/>
          <w:szCs w:val="24"/>
        </w:rPr>
        <w:tab/>
        <w:t>Terapeutisk klassifikation</w:t>
      </w:r>
    </w:p>
    <w:p w14:paraId="1DB4560E" w14:textId="3519DAD1" w:rsidR="009260DE" w:rsidRDefault="004904F4" w:rsidP="00DB7A55">
      <w:pPr>
        <w:pStyle w:val="Brdtekst"/>
        <w:ind w:left="851"/>
        <w:rPr>
          <w:sz w:val="24"/>
          <w:szCs w:val="24"/>
          <w:lang w:val="da-DK"/>
        </w:rPr>
      </w:pPr>
      <w:r w:rsidRPr="00951EF6">
        <w:rPr>
          <w:sz w:val="24"/>
          <w:szCs w:val="24"/>
          <w:lang w:val="da-DK"/>
        </w:rPr>
        <w:t xml:space="preserve">ATC-kode: N 03 AF 04. </w:t>
      </w:r>
      <w:proofErr w:type="spellStart"/>
      <w:r w:rsidRPr="00951EF6">
        <w:rPr>
          <w:sz w:val="24"/>
          <w:szCs w:val="24"/>
          <w:lang w:val="da-DK"/>
        </w:rPr>
        <w:t>Antiepileptika</w:t>
      </w:r>
      <w:proofErr w:type="spellEnd"/>
      <w:r w:rsidRPr="00951EF6">
        <w:rPr>
          <w:sz w:val="24"/>
          <w:szCs w:val="24"/>
          <w:lang w:val="da-DK"/>
        </w:rPr>
        <w:t xml:space="preserve">, </w:t>
      </w:r>
      <w:proofErr w:type="spellStart"/>
      <w:r w:rsidRPr="00951EF6">
        <w:rPr>
          <w:sz w:val="24"/>
          <w:szCs w:val="24"/>
          <w:lang w:val="da-DK"/>
        </w:rPr>
        <w:t>carboxamidderivater</w:t>
      </w:r>
      <w:proofErr w:type="spellEnd"/>
      <w:r w:rsidR="00DB7A55">
        <w:rPr>
          <w:sz w:val="24"/>
          <w:szCs w:val="24"/>
          <w:lang w:val="da-DK"/>
        </w:rPr>
        <w:t>.</w:t>
      </w:r>
    </w:p>
    <w:p w14:paraId="3BEC4D6E" w14:textId="77777777" w:rsidR="00DB7A55" w:rsidRPr="00DB7A55" w:rsidRDefault="00DB7A55" w:rsidP="00DB7A55">
      <w:pPr>
        <w:pStyle w:val="Brdtekst"/>
        <w:ind w:left="851"/>
        <w:rPr>
          <w:sz w:val="24"/>
          <w:szCs w:val="24"/>
          <w:lang w:val="da-DK"/>
        </w:rPr>
      </w:pPr>
    </w:p>
    <w:p w14:paraId="2A560BE9" w14:textId="77777777" w:rsidR="009260DE" w:rsidRPr="00951EF6" w:rsidRDefault="009260DE" w:rsidP="009260DE">
      <w:pPr>
        <w:tabs>
          <w:tab w:val="num" w:pos="851"/>
        </w:tabs>
        <w:ind w:left="851" w:hanging="851"/>
        <w:rPr>
          <w:b/>
          <w:sz w:val="24"/>
          <w:szCs w:val="24"/>
        </w:rPr>
      </w:pPr>
      <w:r w:rsidRPr="00951EF6">
        <w:rPr>
          <w:b/>
          <w:sz w:val="24"/>
          <w:szCs w:val="24"/>
        </w:rPr>
        <w:t>5.1</w:t>
      </w:r>
      <w:r w:rsidRPr="00951EF6">
        <w:rPr>
          <w:b/>
          <w:sz w:val="24"/>
          <w:szCs w:val="24"/>
        </w:rPr>
        <w:tab/>
      </w:r>
      <w:proofErr w:type="spellStart"/>
      <w:r w:rsidRPr="00951EF6">
        <w:rPr>
          <w:b/>
          <w:sz w:val="24"/>
          <w:szCs w:val="24"/>
        </w:rPr>
        <w:t>Farmakodynamiske</w:t>
      </w:r>
      <w:proofErr w:type="spellEnd"/>
      <w:r w:rsidRPr="00951EF6">
        <w:rPr>
          <w:b/>
          <w:sz w:val="24"/>
          <w:szCs w:val="24"/>
        </w:rPr>
        <w:t xml:space="preserve"> egenskaber</w:t>
      </w:r>
    </w:p>
    <w:p w14:paraId="2E2EE458" w14:textId="77777777" w:rsidR="007C1869" w:rsidRPr="00951EF6" w:rsidRDefault="007C1869" w:rsidP="00F516CE">
      <w:pPr>
        <w:ind w:left="851"/>
        <w:rPr>
          <w:sz w:val="24"/>
          <w:szCs w:val="24"/>
        </w:rPr>
      </w:pPr>
    </w:p>
    <w:p w14:paraId="4C16B45F" w14:textId="05E7F1AB" w:rsidR="004904F4" w:rsidRPr="00951EF6" w:rsidRDefault="004904F4" w:rsidP="00F516CE">
      <w:pPr>
        <w:ind w:left="851"/>
        <w:rPr>
          <w:sz w:val="24"/>
          <w:szCs w:val="24"/>
          <w:u w:val="single"/>
        </w:rPr>
      </w:pPr>
      <w:r w:rsidRPr="00951EF6">
        <w:rPr>
          <w:sz w:val="24"/>
          <w:szCs w:val="24"/>
          <w:u w:val="single"/>
        </w:rPr>
        <w:t>Virkningsmekanisme</w:t>
      </w:r>
    </w:p>
    <w:p w14:paraId="1E1285AB" w14:textId="77777777" w:rsidR="004904F4" w:rsidRPr="00951EF6" w:rsidRDefault="004904F4" w:rsidP="00F516CE">
      <w:pPr>
        <w:ind w:left="851"/>
        <w:rPr>
          <w:sz w:val="24"/>
          <w:szCs w:val="24"/>
        </w:rPr>
      </w:pPr>
    </w:p>
    <w:p w14:paraId="479EACD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nøjagtige virkningsmekanisme kendes ikke. Imidlertid tyder </w:t>
      </w:r>
      <w:r w:rsidRPr="00951EF6">
        <w:rPr>
          <w:i/>
          <w:sz w:val="24"/>
          <w:szCs w:val="24"/>
        </w:rPr>
        <w:t xml:space="preserve">in </w:t>
      </w:r>
      <w:proofErr w:type="spellStart"/>
      <w:r w:rsidRPr="00951EF6">
        <w:rPr>
          <w:i/>
          <w:sz w:val="24"/>
          <w:szCs w:val="24"/>
        </w:rPr>
        <w:t>vitro</w:t>
      </w:r>
      <w:proofErr w:type="spellEnd"/>
      <w:r w:rsidRPr="00951EF6">
        <w:rPr>
          <w:i/>
          <w:sz w:val="24"/>
          <w:szCs w:val="24"/>
        </w:rPr>
        <w:t xml:space="preserve">- </w:t>
      </w:r>
      <w:r w:rsidRPr="00951EF6">
        <w:rPr>
          <w:sz w:val="24"/>
          <w:szCs w:val="24"/>
        </w:rPr>
        <w:t xml:space="preserve">elektrofysiologiske studier på, at både </w:t>
      </w:r>
      <w:proofErr w:type="spellStart"/>
      <w:r w:rsidRPr="00951EF6">
        <w:rPr>
          <w:sz w:val="24"/>
          <w:szCs w:val="24"/>
        </w:rPr>
        <w:t>eslicarbazepinacetat</w:t>
      </w:r>
      <w:proofErr w:type="spellEnd"/>
      <w:r w:rsidRPr="00951EF6">
        <w:rPr>
          <w:sz w:val="24"/>
          <w:szCs w:val="24"/>
        </w:rPr>
        <w:t xml:space="preserve"> og dets metabolitter stabiliserer de spændingsafhængige natriumkanalers inaktive tilstand og forhindrer dem i at blive reaktiveret, hvorved fortsat </w:t>
      </w:r>
      <w:proofErr w:type="spellStart"/>
      <w:r w:rsidRPr="00951EF6">
        <w:rPr>
          <w:sz w:val="24"/>
          <w:szCs w:val="24"/>
        </w:rPr>
        <w:t>repetitiv</w:t>
      </w:r>
      <w:proofErr w:type="spellEnd"/>
      <w:r w:rsidRPr="00951EF6">
        <w:rPr>
          <w:sz w:val="24"/>
          <w:szCs w:val="24"/>
        </w:rPr>
        <w:t xml:space="preserve"> </w:t>
      </w:r>
      <w:proofErr w:type="spellStart"/>
      <w:r w:rsidRPr="00951EF6">
        <w:rPr>
          <w:sz w:val="24"/>
          <w:szCs w:val="24"/>
        </w:rPr>
        <w:t>neuronal</w:t>
      </w:r>
      <w:proofErr w:type="spellEnd"/>
      <w:r w:rsidRPr="00951EF6">
        <w:rPr>
          <w:sz w:val="24"/>
          <w:szCs w:val="24"/>
        </w:rPr>
        <w:t xml:space="preserve"> affyring umuliggøres.</w:t>
      </w:r>
    </w:p>
    <w:p w14:paraId="2D598508" w14:textId="77777777" w:rsidR="004904F4" w:rsidRPr="00951EF6" w:rsidRDefault="004904F4" w:rsidP="00F516CE">
      <w:pPr>
        <w:ind w:left="851"/>
        <w:rPr>
          <w:sz w:val="24"/>
          <w:szCs w:val="24"/>
        </w:rPr>
      </w:pPr>
    </w:p>
    <w:p w14:paraId="5E513DF9" w14:textId="77777777" w:rsidR="004904F4" w:rsidRPr="00951EF6" w:rsidRDefault="004904F4" w:rsidP="00F516CE">
      <w:pPr>
        <w:ind w:left="851"/>
        <w:rPr>
          <w:sz w:val="24"/>
          <w:szCs w:val="24"/>
          <w:u w:val="single"/>
        </w:rPr>
      </w:pPr>
      <w:proofErr w:type="spellStart"/>
      <w:r w:rsidRPr="00951EF6">
        <w:rPr>
          <w:sz w:val="24"/>
          <w:szCs w:val="24"/>
          <w:u w:val="single"/>
        </w:rPr>
        <w:t>Farmakodynamisk</w:t>
      </w:r>
      <w:proofErr w:type="spellEnd"/>
      <w:r w:rsidRPr="00951EF6">
        <w:rPr>
          <w:sz w:val="24"/>
          <w:szCs w:val="24"/>
          <w:u w:val="single"/>
        </w:rPr>
        <w:t xml:space="preserve"> virkning</w:t>
      </w:r>
    </w:p>
    <w:p w14:paraId="6DC370E4" w14:textId="77777777" w:rsidR="004904F4" w:rsidRPr="00951EF6" w:rsidRDefault="004904F4" w:rsidP="00F516CE">
      <w:pPr>
        <w:ind w:left="851"/>
        <w:rPr>
          <w:sz w:val="24"/>
          <w:szCs w:val="24"/>
        </w:rPr>
      </w:pPr>
    </w:p>
    <w:p w14:paraId="7DCEC932"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og dets aktive metabolitter forebyggede forekomsten af anfald i ikke-kliniske prædiktive modeller af krampestillende virkning hos mennesker. Hos mennesker udøves </w:t>
      </w:r>
      <w:proofErr w:type="spellStart"/>
      <w:r w:rsidRPr="00951EF6">
        <w:rPr>
          <w:sz w:val="24"/>
          <w:szCs w:val="24"/>
        </w:rPr>
        <w:t>eslicarbazepinacetats</w:t>
      </w:r>
      <w:proofErr w:type="spellEnd"/>
      <w:r w:rsidRPr="00951EF6">
        <w:rPr>
          <w:sz w:val="24"/>
          <w:szCs w:val="24"/>
        </w:rPr>
        <w:t xml:space="preserve"> farmakologiske aktivitet primært gennem den aktive metabolit </w:t>
      </w:r>
      <w:proofErr w:type="spellStart"/>
      <w:r w:rsidRPr="00951EF6">
        <w:rPr>
          <w:sz w:val="24"/>
          <w:szCs w:val="24"/>
        </w:rPr>
        <w:t>eslicarbazepin</w:t>
      </w:r>
      <w:proofErr w:type="spellEnd"/>
      <w:r w:rsidRPr="00951EF6">
        <w:rPr>
          <w:sz w:val="24"/>
          <w:szCs w:val="24"/>
        </w:rPr>
        <w:t>.</w:t>
      </w:r>
    </w:p>
    <w:p w14:paraId="01097270" w14:textId="77777777" w:rsidR="004904F4" w:rsidRPr="00951EF6" w:rsidRDefault="004904F4" w:rsidP="00F516CE">
      <w:pPr>
        <w:ind w:left="851"/>
        <w:rPr>
          <w:sz w:val="24"/>
          <w:szCs w:val="24"/>
        </w:rPr>
      </w:pPr>
    </w:p>
    <w:p w14:paraId="6277DC1F" w14:textId="77777777" w:rsidR="004904F4" w:rsidRPr="00951EF6" w:rsidRDefault="004904F4" w:rsidP="00F516CE">
      <w:pPr>
        <w:ind w:left="851"/>
        <w:rPr>
          <w:sz w:val="24"/>
          <w:szCs w:val="24"/>
          <w:u w:val="single"/>
        </w:rPr>
      </w:pPr>
      <w:r w:rsidRPr="00951EF6">
        <w:rPr>
          <w:sz w:val="24"/>
          <w:szCs w:val="24"/>
          <w:u w:val="single"/>
        </w:rPr>
        <w:t>Klinisk virkning</w:t>
      </w:r>
    </w:p>
    <w:p w14:paraId="2B447C43" w14:textId="77777777" w:rsidR="004904F4" w:rsidRPr="00951EF6" w:rsidRDefault="004904F4" w:rsidP="00F516CE">
      <w:pPr>
        <w:ind w:left="851"/>
        <w:rPr>
          <w:sz w:val="24"/>
          <w:szCs w:val="24"/>
        </w:rPr>
      </w:pPr>
    </w:p>
    <w:p w14:paraId="7D5FE3F6" w14:textId="77777777" w:rsidR="004904F4" w:rsidRPr="00951EF6" w:rsidRDefault="004904F4" w:rsidP="00F516CE">
      <w:pPr>
        <w:ind w:left="851"/>
        <w:rPr>
          <w:i/>
          <w:sz w:val="24"/>
          <w:szCs w:val="24"/>
        </w:rPr>
      </w:pPr>
      <w:r w:rsidRPr="00951EF6">
        <w:rPr>
          <w:i/>
          <w:sz w:val="24"/>
          <w:szCs w:val="24"/>
        </w:rPr>
        <w:t>Voksen population</w:t>
      </w:r>
    </w:p>
    <w:p w14:paraId="62B95B76"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supplerende behandling er påvist i fire dobbeltblinde, placebokontrollerede fase III-studier omfattende 1.703 randomiserede voksne patienter med </w:t>
      </w:r>
      <w:proofErr w:type="spellStart"/>
      <w:r w:rsidRPr="00951EF6">
        <w:rPr>
          <w:sz w:val="24"/>
          <w:szCs w:val="24"/>
        </w:rPr>
        <w:t>fokal</w:t>
      </w:r>
      <w:proofErr w:type="spellEnd"/>
      <w:r w:rsidRPr="00951EF6">
        <w:rPr>
          <w:sz w:val="24"/>
          <w:szCs w:val="24"/>
        </w:rPr>
        <w:t xml:space="preserve"> epilepsi, som var upåvirkelig af behandling med et til tre </w:t>
      </w:r>
      <w:proofErr w:type="spellStart"/>
      <w:r w:rsidRPr="00951EF6">
        <w:rPr>
          <w:sz w:val="24"/>
          <w:szCs w:val="24"/>
        </w:rPr>
        <w:t>antiepileptika</w:t>
      </w:r>
      <w:proofErr w:type="spellEnd"/>
      <w:r w:rsidRPr="00951EF6">
        <w:rPr>
          <w:sz w:val="24"/>
          <w:szCs w:val="24"/>
        </w:rPr>
        <w:t xml:space="preserve"> administreret samtidig.</w:t>
      </w:r>
    </w:p>
    <w:p w14:paraId="4106AB52" w14:textId="44E9B39A" w:rsidR="004904F4" w:rsidRPr="00951EF6" w:rsidRDefault="004904F4" w:rsidP="00F516CE">
      <w:pPr>
        <w:ind w:left="851"/>
        <w:rPr>
          <w:sz w:val="24"/>
          <w:szCs w:val="24"/>
        </w:rPr>
      </w:pPr>
      <w:proofErr w:type="spellStart"/>
      <w:r w:rsidRPr="00951EF6">
        <w:rPr>
          <w:sz w:val="24"/>
          <w:szCs w:val="24"/>
        </w:rPr>
        <w:t>Oxcarbazepin</w:t>
      </w:r>
      <w:proofErr w:type="spellEnd"/>
      <w:r w:rsidRPr="00951EF6">
        <w:rPr>
          <w:sz w:val="24"/>
          <w:szCs w:val="24"/>
        </w:rPr>
        <w:t xml:space="preserve"> og </w:t>
      </w:r>
      <w:proofErr w:type="spellStart"/>
      <w:r w:rsidRPr="00951EF6">
        <w:rPr>
          <w:sz w:val="24"/>
          <w:szCs w:val="24"/>
        </w:rPr>
        <w:t>felbamat</w:t>
      </w:r>
      <w:proofErr w:type="spellEnd"/>
      <w:r w:rsidRPr="00951EF6">
        <w:rPr>
          <w:sz w:val="24"/>
          <w:szCs w:val="24"/>
        </w:rPr>
        <w:t xml:space="preserve"> måtte ikke indgå i kombinationsbehandlingen i disse studier. </w:t>
      </w:r>
      <w:proofErr w:type="spellStart"/>
      <w:r w:rsidRPr="00951EF6">
        <w:rPr>
          <w:sz w:val="24"/>
          <w:szCs w:val="24"/>
        </w:rPr>
        <w:t>Eslicarbazepinacetat</w:t>
      </w:r>
      <w:proofErr w:type="spellEnd"/>
      <w:r w:rsidRPr="00951EF6">
        <w:rPr>
          <w:sz w:val="24"/>
          <w:szCs w:val="24"/>
        </w:rPr>
        <w:t xml:space="preserve"> blev undersøgt ved doser på 400 mg (kun i studierne -301 og -302), 800 mg og</w:t>
      </w:r>
      <w:r w:rsidR="00DB7A55">
        <w:rPr>
          <w:sz w:val="24"/>
          <w:szCs w:val="24"/>
        </w:rPr>
        <w:t xml:space="preserve"> </w:t>
      </w:r>
      <w:r w:rsidRPr="00951EF6">
        <w:rPr>
          <w:sz w:val="24"/>
          <w:szCs w:val="24"/>
        </w:rPr>
        <w:t xml:space="preserve">1.200 mg en gang dagligt. </w:t>
      </w:r>
      <w:proofErr w:type="spellStart"/>
      <w:r w:rsidRPr="00951EF6">
        <w:rPr>
          <w:sz w:val="24"/>
          <w:szCs w:val="24"/>
        </w:rPr>
        <w:t>Eslicarbazepinacetat</w:t>
      </w:r>
      <w:proofErr w:type="spellEnd"/>
      <w:r w:rsidRPr="00951EF6">
        <w:rPr>
          <w:sz w:val="24"/>
          <w:szCs w:val="24"/>
        </w:rPr>
        <w:t xml:space="preserve"> 800 mg en gang dagligt og 1.200 mg en gang dagligt var signifikant mere effektive end placebo til at nedsætte hyppigheden af anfald over en 12-ugers vedligeholdelsesperiode. Procentdelen af forsøgspersoner med ≥ 50 % reduktion (1581 analyserede) i </w:t>
      </w:r>
      <w:proofErr w:type="spellStart"/>
      <w:r w:rsidRPr="00951EF6">
        <w:rPr>
          <w:sz w:val="24"/>
          <w:szCs w:val="24"/>
        </w:rPr>
        <w:t>anfaldshyppighed</w:t>
      </w:r>
      <w:proofErr w:type="spellEnd"/>
      <w:r w:rsidRPr="00951EF6">
        <w:rPr>
          <w:sz w:val="24"/>
          <w:szCs w:val="24"/>
        </w:rPr>
        <w:t xml:space="preserve"> i fase III-studierne var 19,3 % for placebo, 20,8 % for </w:t>
      </w:r>
      <w:proofErr w:type="spellStart"/>
      <w:r w:rsidRPr="00951EF6">
        <w:rPr>
          <w:sz w:val="24"/>
          <w:szCs w:val="24"/>
        </w:rPr>
        <w:t>eslicarbazepinacetat</w:t>
      </w:r>
      <w:proofErr w:type="spellEnd"/>
      <w:r w:rsidRPr="00951EF6">
        <w:rPr>
          <w:sz w:val="24"/>
          <w:szCs w:val="24"/>
        </w:rPr>
        <w:t xml:space="preserve"> 400 mg, 30,5 % for </w:t>
      </w:r>
      <w:proofErr w:type="spellStart"/>
      <w:r w:rsidRPr="00951EF6">
        <w:rPr>
          <w:sz w:val="24"/>
          <w:szCs w:val="24"/>
        </w:rPr>
        <w:t>eslicarbazepinacetat</w:t>
      </w:r>
      <w:proofErr w:type="spellEnd"/>
      <w:r w:rsidRPr="00951EF6">
        <w:rPr>
          <w:sz w:val="24"/>
          <w:szCs w:val="24"/>
        </w:rPr>
        <w:t xml:space="preserve"> 800 mg og 35,3 % for </w:t>
      </w:r>
      <w:proofErr w:type="spellStart"/>
      <w:r w:rsidRPr="00951EF6">
        <w:rPr>
          <w:sz w:val="24"/>
          <w:szCs w:val="24"/>
        </w:rPr>
        <w:t>eslicarbazepinacetat</w:t>
      </w:r>
      <w:proofErr w:type="spellEnd"/>
      <w:r w:rsidRPr="00951EF6">
        <w:rPr>
          <w:sz w:val="24"/>
          <w:szCs w:val="24"/>
        </w:rPr>
        <w:t xml:space="preserve"> 1.200 mg dagligt.</w:t>
      </w:r>
    </w:p>
    <w:p w14:paraId="37E72F26" w14:textId="77777777" w:rsidR="004904F4" w:rsidRPr="00951EF6" w:rsidRDefault="004904F4" w:rsidP="00F516CE">
      <w:pPr>
        <w:ind w:left="851"/>
        <w:rPr>
          <w:sz w:val="24"/>
          <w:szCs w:val="24"/>
        </w:rPr>
      </w:pPr>
    </w:p>
    <w:p w14:paraId="3B088DC9"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som monoterapi er påvist i et dobbeltblindt, aktivt kontrolleret (</w:t>
      </w:r>
      <w:proofErr w:type="spellStart"/>
      <w:r w:rsidRPr="00951EF6">
        <w:rPr>
          <w:sz w:val="24"/>
          <w:szCs w:val="24"/>
        </w:rPr>
        <w:t>carbamazepin</w:t>
      </w:r>
      <w:proofErr w:type="spellEnd"/>
      <w:r w:rsidRPr="00951EF6">
        <w:rPr>
          <w:sz w:val="24"/>
          <w:szCs w:val="24"/>
        </w:rPr>
        <w:t xml:space="preserve">-depotformulering) studie med 815 randomiserede voksne patienter med nyligt diagnosticerede </w:t>
      </w:r>
      <w:proofErr w:type="spellStart"/>
      <w:r w:rsidRPr="00951EF6">
        <w:rPr>
          <w:sz w:val="24"/>
          <w:szCs w:val="24"/>
        </w:rPr>
        <w:t>fokale</w:t>
      </w:r>
      <w:proofErr w:type="spellEnd"/>
      <w:r w:rsidRPr="00951EF6">
        <w:rPr>
          <w:sz w:val="24"/>
          <w:szCs w:val="24"/>
        </w:rPr>
        <w:t xml:space="preserve"> epileptiske anfald. </w:t>
      </w:r>
      <w:proofErr w:type="spellStart"/>
      <w:r w:rsidRPr="00951EF6">
        <w:rPr>
          <w:sz w:val="24"/>
          <w:szCs w:val="24"/>
        </w:rPr>
        <w:t>Eslicarbazepinacetat</w:t>
      </w:r>
      <w:proofErr w:type="spellEnd"/>
      <w:r w:rsidRPr="00951EF6">
        <w:rPr>
          <w:sz w:val="24"/>
          <w:szCs w:val="24"/>
        </w:rPr>
        <w:t xml:space="preserve"> blev testet ved doser på 800 mg,</w:t>
      </w:r>
    </w:p>
    <w:p w14:paraId="36F0DC07" w14:textId="5D1D5B95" w:rsidR="004904F4" w:rsidRPr="00951EF6" w:rsidRDefault="004904F4" w:rsidP="00F516CE">
      <w:pPr>
        <w:ind w:left="851"/>
        <w:rPr>
          <w:sz w:val="24"/>
          <w:szCs w:val="24"/>
        </w:rPr>
      </w:pPr>
      <w:r w:rsidRPr="00951EF6">
        <w:rPr>
          <w:sz w:val="24"/>
          <w:szCs w:val="24"/>
        </w:rPr>
        <w:t xml:space="preserve">1.200 mg og 1.600 mg en gang dagligt. Dosis af den aktive </w:t>
      </w:r>
      <w:proofErr w:type="spellStart"/>
      <w:r w:rsidRPr="00951EF6">
        <w:rPr>
          <w:sz w:val="24"/>
          <w:szCs w:val="24"/>
        </w:rPr>
        <w:t>komparator</w:t>
      </w:r>
      <w:proofErr w:type="spellEnd"/>
      <w:r w:rsidRPr="00951EF6">
        <w:rPr>
          <w:sz w:val="24"/>
          <w:szCs w:val="24"/>
        </w:rPr>
        <w:t>,</w:t>
      </w:r>
      <w:r w:rsidR="00DB7A55">
        <w:rPr>
          <w:sz w:val="24"/>
          <w:szCs w:val="24"/>
        </w:rPr>
        <w:t xml:space="preserve"> </w:t>
      </w:r>
      <w:proofErr w:type="spellStart"/>
      <w:r w:rsidRPr="00951EF6">
        <w:rPr>
          <w:sz w:val="24"/>
          <w:szCs w:val="24"/>
        </w:rPr>
        <w:t>carbamazepin</w:t>
      </w:r>
      <w:proofErr w:type="spellEnd"/>
      <w:r w:rsidRPr="00951EF6">
        <w:rPr>
          <w:sz w:val="24"/>
          <w:szCs w:val="24"/>
        </w:rPr>
        <w:t xml:space="preserve">-depotformulering, var 200 </w:t>
      </w:r>
      <w:r w:rsidRPr="00951EF6">
        <w:rPr>
          <w:spacing w:val="-3"/>
          <w:sz w:val="24"/>
          <w:szCs w:val="24"/>
        </w:rPr>
        <w:t xml:space="preserve">mg, </w:t>
      </w:r>
      <w:r w:rsidRPr="00951EF6">
        <w:rPr>
          <w:sz w:val="24"/>
          <w:szCs w:val="24"/>
        </w:rPr>
        <w:t xml:space="preserve">400 mg og 600 mg to gange dagligt. Alle forsøgspersoner </w:t>
      </w:r>
      <w:r w:rsidRPr="00951EF6">
        <w:rPr>
          <w:sz w:val="24"/>
          <w:szCs w:val="24"/>
        </w:rPr>
        <w:lastRenderedPageBreak/>
        <w:t xml:space="preserve">blev randomiseret til laveste dosisniveau, og dosis blev kun øget til næste dosisniveau, hvis forsøgspersonen fik et anfald. Ud af de 815 randomiserede patienter blev 401 patienter behandlet med </w:t>
      </w:r>
      <w:proofErr w:type="spellStart"/>
      <w:r w:rsidRPr="00951EF6">
        <w:rPr>
          <w:sz w:val="24"/>
          <w:szCs w:val="24"/>
        </w:rPr>
        <w:t>eslicarbazepinacetat</w:t>
      </w:r>
      <w:proofErr w:type="spellEnd"/>
      <w:r w:rsidRPr="00951EF6">
        <w:rPr>
          <w:sz w:val="24"/>
          <w:szCs w:val="24"/>
        </w:rPr>
        <w:t xml:space="preserve"> en gang dagligt [271 patienter (67,6 %) forblev på en dosis på 800 </w:t>
      </w:r>
      <w:r w:rsidRPr="00951EF6">
        <w:rPr>
          <w:spacing w:val="-3"/>
          <w:sz w:val="24"/>
          <w:szCs w:val="24"/>
        </w:rPr>
        <w:t xml:space="preserve">mg, </w:t>
      </w:r>
      <w:r w:rsidRPr="00951EF6">
        <w:rPr>
          <w:sz w:val="24"/>
          <w:szCs w:val="24"/>
        </w:rPr>
        <w:t xml:space="preserve">70 patienter (17,5 %) forblev på en dosis på 1.200 </w:t>
      </w:r>
      <w:r w:rsidRPr="00951EF6">
        <w:rPr>
          <w:spacing w:val="-3"/>
          <w:sz w:val="24"/>
          <w:szCs w:val="24"/>
        </w:rPr>
        <w:t xml:space="preserve">mg, </w:t>
      </w:r>
      <w:r w:rsidRPr="00951EF6">
        <w:rPr>
          <w:sz w:val="24"/>
          <w:szCs w:val="24"/>
        </w:rPr>
        <w:t xml:space="preserve">og 60 patienter (15,0 %) blev behandlet med 1.600 mg]. I den primære effektanalyse, hvor patienter, der forlod studiet, blev betragtet som ikke-respondenter, blev 71,1 % af forsøgspersonerne i </w:t>
      </w:r>
      <w:proofErr w:type="spellStart"/>
      <w:r w:rsidRPr="00951EF6">
        <w:rPr>
          <w:sz w:val="24"/>
          <w:szCs w:val="24"/>
        </w:rPr>
        <w:t>eslicarbazepinacetat</w:t>
      </w:r>
      <w:proofErr w:type="spellEnd"/>
      <w:r w:rsidRPr="00951EF6">
        <w:rPr>
          <w:sz w:val="24"/>
          <w:szCs w:val="24"/>
        </w:rPr>
        <w:t xml:space="preserve">-gruppen og 75,6% af forsøgspersonerne i gruppen med </w:t>
      </w:r>
      <w:proofErr w:type="spellStart"/>
      <w:r w:rsidRPr="00951EF6">
        <w:rPr>
          <w:sz w:val="24"/>
          <w:szCs w:val="24"/>
        </w:rPr>
        <w:t>carbamazepin</w:t>
      </w:r>
      <w:proofErr w:type="spellEnd"/>
      <w:r w:rsidRPr="00951EF6">
        <w:rPr>
          <w:sz w:val="24"/>
          <w:szCs w:val="24"/>
        </w:rPr>
        <w:t xml:space="preserve">-depotformulering klassificeret som </w:t>
      </w:r>
      <w:proofErr w:type="spellStart"/>
      <w:r w:rsidRPr="00951EF6">
        <w:rPr>
          <w:sz w:val="24"/>
          <w:szCs w:val="24"/>
        </w:rPr>
        <w:t>anfaldsfri</w:t>
      </w:r>
      <w:proofErr w:type="spellEnd"/>
      <w:r w:rsidRPr="00951EF6">
        <w:rPr>
          <w:sz w:val="24"/>
          <w:szCs w:val="24"/>
        </w:rPr>
        <w:t xml:space="preserve"> i løbet af den 26 ugers lange evaluerings</w:t>
      </w:r>
      <w:r w:rsidR="00D012E7">
        <w:rPr>
          <w:sz w:val="24"/>
          <w:szCs w:val="24"/>
        </w:rPr>
        <w:softHyphen/>
      </w:r>
      <w:r w:rsidRPr="00951EF6">
        <w:rPr>
          <w:sz w:val="24"/>
          <w:szCs w:val="24"/>
        </w:rPr>
        <w:t xml:space="preserve">periode (gennemsnitlig risikoforskel -4,28 %, 95 % konfidensinterval: [-10,30; 1,74]). Behandlingseffekten, som blev observeret i den 26 ugers lange evalueringsperiode, blev opretholdt i 1 </w:t>
      </w:r>
      <w:proofErr w:type="spellStart"/>
      <w:r w:rsidRPr="00951EF6">
        <w:rPr>
          <w:sz w:val="24"/>
          <w:szCs w:val="24"/>
        </w:rPr>
        <w:t>behandlingsår</w:t>
      </w:r>
      <w:proofErr w:type="spellEnd"/>
      <w:r w:rsidRPr="00951EF6">
        <w:rPr>
          <w:sz w:val="24"/>
          <w:szCs w:val="24"/>
        </w:rPr>
        <w:t xml:space="preserve">, idet 64,7 % af forsøgspersonerne, der fik </w:t>
      </w:r>
      <w:proofErr w:type="spellStart"/>
      <w:r w:rsidRPr="00951EF6">
        <w:rPr>
          <w:sz w:val="24"/>
          <w:szCs w:val="24"/>
        </w:rPr>
        <w:t>eslicarbazepin</w:t>
      </w:r>
      <w:r w:rsidR="00D012E7">
        <w:rPr>
          <w:sz w:val="24"/>
          <w:szCs w:val="24"/>
        </w:rPr>
        <w:softHyphen/>
      </w:r>
      <w:r w:rsidRPr="00951EF6">
        <w:rPr>
          <w:sz w:val="24"/>
          <w:szCs w:val="24"/>
        </w:rPr>
        <w:t>acetat</w:t>
      </w:r>
      <w:proofErr w:type="spellEnd"/>
      <w:r w:rsidRPr="00951EF6">
        <w:rPr>
          <w:sz w:val="24"/>
          <w:szCs w:val="24"/>
        </w:rPr>
        <w:t xml:space="preserve">, og 70,3 % af forsøgspersonerne, der fik </w:t>
      </w:r>
      <w:proofErr w:type="spellStart"/>
      <w:r w:rsidRPr="00951EF6">
        <w:rPr>
          <w:sz w:val="24"/>
          <w:szCs w:val="24"/>
        </w:rPr>
        <w:t>carbamazepin</w:t>
      </w:r>
      <w:proofErr w:type="spellEnd"/>
      <w:r w:rsidRPr="00951EF6">
        <w:rPr>
          <w:sz w:val="24"/>
          <w:szCs w:val="24"/>
        </w:rPr>
        <w:t xml:space="preserve">-depotformulering, blev klassificeret som </w:t>
      </w:r>
      <w:proofErr w:type="spellStart"/>
      <w:r w:rsidRPr="00951EF6">
        <w:rPr>
          <w:sz w:val="24"/>
          <w:szCs w:val="24"/>
        </w:rPr>
        <w:t>anfaldsfri</w:t>
      </w:r>
      <w:proofErr w:type="spellEnd"/>
      <w:r w:rsidRPr="00951EF6">
        <w:rPr>
          <w:sz w:val="24"/>
          <w:szCs w:val="24"/>
        </w:rPr>
        <w:t xml:space="preserve"> (gennemsnitlig risikoforskel -5,46 %, 95 % konfidensinterval: [-11,88; 0,97]). I analysen af behandlingssvigt (risiko for krampeanfald) baseret på tid-til-hændelse-analyse (Kaplan-Meier-analyse og Cox-regressionsanalyse) var Kaplan-Meier-estimatet af risiko for krampeanfald 0,06 med </w:t>
      </w:r>
      <w:proofErr w:type="spellStart"/>
      <w:r w:rsidRPr="00951EF6">
        <w:rPr>
          <w:sz w:val="24"/>
          <w:szCs w:val="24"/>
        </w:rPr>
        <w:t>carbamazepin</w:t>
      </w:r>
      <w:proofErr w:type="spellEnd"/>
      <w:r w:rsidRPr="00951EF6">
        <w:rPr>
          <w:sz w:val="24"/>
          <w:szCs w:val="24"/>
        </w:rPr>
        <w:t xml:space="preserve"> og 0,12 med </w:t>
      </w:r>
      <w:proofErr w:type="spellStart"/>
      <w:r w:rsidRPr="00951EF6">
        <w:rPr>
          <w:sz w:val="24"/>
          <w:szCs w:val="24"/>
        </w:rPr>
        <w:t>eslicarbazepinacetat</w:t>
      </w:r>
      <w:proofErr w:type="spellEnd"/>
      <w:r w:rsidRPr="00951EF6">
        <w:rPr>
          <w:sz w:val="24"/>
          <w:szCs w:val="24"/>
        </w:rPr>
        <w:t xml:space="preserve"> i slutningen af evalueringsperioden, og i slutningen af år 1 var risikoen steget til 0,11 med </w:t>
      </w:r>
      <w:proofErr w:type="spellStart"/>
      <w:r w:rsidRPr="00951EF6">
        <w:rPr>
          <w:sz w:val="24"/>
          <w:szCs w:val="24"/>
        </w:rPr>
        <w:t>carbamazepin</w:t>
      </w:r>
      <w:proofErr w:type="spellEnd"/>
      <w:r w:rsidRPr="00951EF6">
        <w:rPr>
          <w:sz w:val="24"/>
          <w:szCs w:val="24"/>
        </w:rPr>
        <w:t xml:space="preserve"> og 0,19 med </w:t>
      </w:r>
      <w:proofErr w:type="spellStart"/>
      <w:r w:rsidRPr="00951EF6">
        <w:rPr>
          <w:sz w:val="24"/>
          <w:szCs w:val="24"/>
        </w:rPr>
        <w:t>eslicarbazepinacetat</w:t>
      </w:r>
      <w:proofErr w:type="spellEnd"/>
      <w:r w:rsidRPr="00951EF6">
        <w:rPr>
          <w:spacing w:val="1"/>
          <w:sz w:val="24"/>
          <w:szCs w:val="24"/>
        </w:rPr>
        <w:t xml:space="preserve"> </w:t>
      </w:r>
      <w:r w:rsidRPr="00951EF6">
        <w:rPr>
          <w:sz w:val="24"/>
          <w:szCs w:val="24"/>
        </w:rPr>
        <w:t>(p=0,0002).</w:t>
      </w:r>
    </w:p>
    <w:p w14:paraId="5135BF33" w14:textId="77777777" w:rsidR="004904F4" w:rsidRPr="00951EF6" w:rsidRDefault="004904F4" w:rsidP="00F516CE">
      <w:pPr>
        <w:ind w:left="851"/>
        <w:rPr>
          <w:sz w:val="24"/>
          <w:szCs w:val="24"/>
        </w:rPr>
      </w:pPr>
    </w:p>
    <w:p w14:paraId="701D31CF" w14:textId="63117437" w:rsidR="004904F4" w:rsidRPr="00951EF6" w:rsidRDefault="004904F4" w:rsidP="00F516CE">
      <w:pPr>
        <w:ind w:left="851"/>
        <w:rPr>
          <w:sz w:val="24"/>
          <w:szCs w:val="24"/>
        </w:rPr>
      </w:pPr>
      <w:r w:rsidRPr="00951EF6">
        <w:rPr>
          <w:sz w:val="24"/>
          <w:szCs w:val="24"/>
        </w:rPr>
        <w:t xml:space="preserve">Ved år 1 var sandsynligheden for, at forsøgspersonerne afbrød behandlingen på grund af enten bivirkninger eller manglende virkning, 0,26 for </w:t>
      </w:r>
      <w:proofErr w:type="spellStart"/>
      <w:r w:rsidRPr="00951EF6">
        <w:rPr>
          <w:sz w:val="24"/>
          <w:szCs w:val="24"/>
        </w:rPr>
        <w:t>eslicarbazepinacetat</w:t>
      </w:r>
      <w:proofErr w:type="spellEnd"/>
      <w:r w:rsidRPr="00951EF6">
        <w:rPr>
          <w:sz w:val="24"/>
          <w:szCs w:val="24"/>
        </w:rPr>
        <w:t xml:space="preserve"> og 0,21 for</w:t>
      </w:r>
      <w:r w:rsidR="00E74B7E">
        <w:rPr>
          <w:sz w:val="24"/>
          <w:szCs w:val="24"/>
        </w:rPr>
        <w:t xml:space="preserve"> </w:t>
      </w:r>
      <w:proofErr w:type="spellStart"/>
      <w:r w:rsidRPr="00951EF6">
        <w:rPr>
          <w:sz w:val="24"/>
          <w:szCs w:val="24"/>
        </w:rPr>
        <w:t>carbamazepin</w:t>
      </w:r>
      <w:proofErr w:type="spellEnd"/>
      <w:r w:rsidRPr="00951EF6">
        <w:rPr>
          <w:sz w:val="24"/>
          <w:szCs w:val="24"/>
        </w:rPr>
        <w:t>-depotformulering.</w:t>
      </w:r>
    </w:p>
    <w:p w14:paraId="2B0CB39C"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virkning ved konvertering til monoterapi er blevet undersøgt i 2 dobbeltblinde, randomiserede, kontrollerede studier med 365 voksne patienter med </w:t>
      </w:r>
      <w:proofErr w:type="spellStart"/>
      <w:r w:rsidRPr="00951EF6">
        <w:rPr>
          <w:sz w:val="24"/>
          <w:szCs w:val="24"/>
        </w:rPr>
        <w:t>fokale</w:t>
      </w:r>
      <w:proofErr w:type="spellEnd"/>
      <w:r w:rsidRPr="00951EF6">
        <w:rPr>
          <w:sz w:val="24"/>
          <w:szCs w:val="24"/>
        </w:rPr>
        <w:t xml:space="preserve"> epileptiske anfald.</w:t>
      </w:r>
    </w:p>
    <w:p w14:paraId="2153203F"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1.200 mg og 1.600 mg en gang dagligt. Frekvensen for </w:t>
      </w:r>
      <w:proofErr w:type="spellStart"/>
      <w:r w:rsidRPr="00951EF6">
        <w:rPr>
          <w:sz w:val="24"/>
          <w:szCs w:val="24"/>
        </w:rPr>
        <w:t>anfaldsfrihed</w:t>
      </w:r>
      <w:proofErr w:type="spellEnd"/>
      <w:r w:rsidRPr="00951EF6">
        <w:rPr>
          <w:sz w:val="24"/>
          <w:szCs w:val="24"/>
        </w:rPr>
        <w:t xml:space="preserve"> i den 10 uger lange periode med monoterapi var henholdsvis 7,6 % (1.600 mg) og 8,3 % (1.200 mg) i det ene studie og 10,0 % (1.600 mg) og 7,4 % (1.200 mg) i det andet studie.</w:t>
      </w:r>
    </w:p>
    <w:p w14:paraId="0D08C9B0" w14:textId="77777777" w:rsidR="004904F4" w:rsidRPr="00951EF6" w:rsidRDefault="004904F4" w:rsidP="00F516CE">
      <w:pPr>
        <w:ind w:left="851"/>
        <w:rPr>
          <w:sz w:val="24"/>
          <w:szCs w:val="24"/>
        </w:rPr>
      </w:pPr>
    </w:p>
    <w:p w14:paraId="252E0C47" w14:textId="77777777" w:rsidR="004904F4" w:rsidRPr="00951EF6" w:rsidRDefault="004904F4" w:rsidP="00F516CE">
      <w:pPr>
        <w:ind w:left="851"/>
        <w:rPr>
          <w:i/>
          <w:sz w:val="24"/>
          <w:szCs w:val="24"/>
        </w:rPr>
      </w:pPr>
      <w:r w:rsidRPr="00951EF6">
        <w:rPr>
          <w:i/>
          <w:sz w:val="24"/>
          <w:szCs w:val="24"/>
        </w:rPr>
        <w:t>Ældre population</w:t>
      </w:r>
    </w:p>
    <w:p w14:paraId="0F92F7D1" w14:textId="4B163345"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ældre patienter med </w:t>
      </w:r>
      <w:proofErr w:type="spellStart"/>
      <w:r w:rsidRPr="00951EF6">
        <w:rPr>
          <w:sz w:val="24"/>
          <w:szCs w:val="24"/>
        </w:rPr>
        <w:t>fokale</w:t>
      </w:r>
      <w:proofErr w:type="spellEnd"/>
      <w:r w:rsidRPr="00951EF6">
        <w:rPr>
          <w:sz w:val="24"/>
          <w:szCs w:val="24"/>
        </w:rPr>
        <w:t xml:space="preserve"> epileptiske anfald blev evalueret i ét ikke-kontrolleret studie med en varighed på 26 uger hos 72 ældre patienter (≥ 65 år). Dataene viser, at forekomsten af bivirkninger i denne population (65,3 %) svarer til forekomsten i den generelle population, som er inkluderet i de dobbeltblinde epilepsistudier</w:t>
      </w:r>
      <w:r w:rsidRPr="00951EF6">
        <w:rPr>
          <w:spacing w:val="30"/>
          <w:sz w:val="24"/>
          <w:szCs w:val="24"/>
        </w:rPr>
        <w:t xml:space="preserve"> </w:t>
      </w:r>
      <w:r w:rsidRPr="00951EF6">
        <w:rPr>
          <w:sz w:val="24"/>
          <w:szCs w:val="24"/>
        </w:rPr>
        <w:t>(66,8</w:t>
      </w:r>
      <w:r w:rsidR="00E74B7E">
        <w:rPr>
          <w:sz w:val="24"/>
          <w:szCs w:val="24"/>
        </w:rPr>
        <w:t xml:space="preserve"> </w:t>
      </w:r>
      <w:r w:rsidRPr="00951EF6">
        <w:rPr>
          <w:sz w:val="24"/>
          <w:szCs w:val="24"/>
        </w:rPr>
        <w:t xml:space="preserve">%). De hyppigste individuelle bivirkninger var svimmelhed (12,5 % af forsøgspersonerne), døsighed (9,7 %), træthed, kramper og </w:t>
      </w:r>
      <w:proofErr w:type="spellStart"/>
      <w:r w:rsidRPr="00951EF6">
        <w:rPr>
          <w:sz w:val="24"/>
          <w:szCs w:val="24"/>
        </w:rPr>
        <w:t>hyponatriæmi</w:t>
      </w:r>
      <w:proofErr w:type="spellEnd"/>
      <w:r w:rsidRPr="00951EF6">
        <w:rPr>
          <w:sz w:val="24"/>
          <w:szCs w:val="24"/>
        </w:rPr>
        <w:t xml:space="preserve"> (8,3 % hver), </w:t>
      </w:r>
      <w:proofErr w:type="spellStart"/>
      <w:r w:rsidRPr="00951EF6">
        <w:rPr>
          <w:sz w:val="24"/>
          <w:szCs w:val="24"/>
        </w:rPr>
        <w:t>nasofaryngitis</w:t>
      </w:r>
      <w:proofErr w:type="spellEnd"/>
      <w:r w:rsidRPr="00951EF6">
        <w:rPr>
          <w:sz w:val="24"/>
          <w:szCs w:val="24"/>
        </w:rPr>
        <w:t xml:space="preserve"> (6,9 %) og infektion i de øvre luftveje (5,6 %). I alt 50 ud af de 72 forsøgspersoner, som indgik i studiet, gennemførte den 26 ugers behandlingsperiode, hvilket svarer til en retentionsrate på 69,4 % (se pkt. 4.2 for oplysninger om anvendelse til ældre).</w:t>
      </w:r>
    </w:p>
    <w:p w14:paraId="1439C4E6" w14:textId="77777777" w:rsidR="004904F4" w:rsidRPr="00951EF6" w:rsidRDefault="004904F4" w:rsidP="00F516CE">
      <w:pPr>
        <w:ind w:left="851"/>
        <w:rPr>
          <w:sz w:val="24"/>
          <w:szCs w:val="24"/>
        </w:rPr>
      </w:pPr>
      <w:r w:rsidRPr="00951EF6">
        <w:rPr>
          <w:sz w:val="24"/>
          <w:szCs w:val="24"/>
        </w:rPr>
        <w:t xml:space="preserve">Der foreligger kun begrænsede data for monoterapi hos den ældre population. Kun få forsøgspersoner (N=27) over 65 år blev behandlet med </w:t>
      </w:r>
      <w:proofErr w:type="spellStart"/>
      <w:r w:rsidRPr="00951EF6">
        <w:rPr>
          <w:sz w:val="24"/>
          <w:szCs w:val="24"/>
        </w:rPr>
        <w:t>eslicarbazepinacetat</w:t>
      </w:r>
      <w:proofErr w:type="spellEnd"/>
      <w:r w:rsidRPr="00951EF6">
        <w:rPr>
          <w:sz w:val="24"/>
          <w:szCs w:val="24"/>
        </w:rPr>
        <w:t xml:space="preserve"> i monoterapistudiet.</w:t>
      </w:r>
    </w:p>
    <w:p w14:paraId="07437956" w14:textId="77777777" w:rsidR="004904F4" w:rsidRPr="00951EF6" w:rsidRDefault="004904F4" w:rsidP="00F516CE">
      <w:pPr>
        <w:ind w:left="851"/>
        <w:rPr>
          <w:sz w:val="24"/>
          <w:szCs w:val="24"/>
        </w:rPr>
      </w:pPr>
    </w:p>
    <w:p w14:paraId="42927A2F" w14:textId="77777777" w:rsidR="004904F4" w:rsidRPr="00951EF6" w:rsidRDefault="004904F4" w:rsidP="00F516CE">
      <w:pPr>
        <w:ind w:left="851"/>
        <w:rPr>
          <w:i/>
          <w:sz w:val="24"/>
          <w:szCs w:val="24"/>
        </w:rPr>
      </w:pPr>
      <w:r w:rsidRPr="00951EF6">
        <w:rPr>
          <w:i/>
          <w:sz w:val="24"/>
          <w:szCs w:val="24"/>
        </w:rPr>
        <w:t>Pædiatrisk population</w:t>
      </w:r>
    </w:p>
    <w:p w14:paraId="086641C8" w14:textId="77777777" w:rsidR="004904F4" w:rsidRPr="00951EF6" w:rsidRDefault="004904F4" w:rsidP="00F516CE">
      <w:pPr>
        <w:ind w:left="851"/>
        <w:rPr>
          <w:sz w:val="24"/>
          <w:szCs w:val="24"/>
        </w:rPr>
      </w:pPr>
      <w:r w:rsidRPr="00951EF6">
        <w:rPr>
          <w:sz w:val="24"/>
          <w:szCs w:val="24"/>
        </w:rPr>
        <w:t xml:space="preserve">Sikkerhed og virkning af </w:t>
      </w:r>
      <w:proofErr w:type="spellStart"/>
      <w:r w:rsidRPr="00951EF6">
        <w:rPr>
          <w:sz w:val="24"/>
          <w:szCs w:val="24"/>
        </w:rPr>
        <w:t>eslicarbazepinacetat</w:t>
      </w:r>
      <w:proofErr w:type="spellEnd"/>
      <w:r w:rsidRPr="00951EF6">
        <w:rPr>
          <w:sz w:val="24"/>
          <w:szCs w:val="24"/>
        </w:rPr>
        <w:t xml:space="preserve"> som tillægsbehandling til børn med </w:t>
      </w:r>
      <w:proofErr w:type="spellStart"/>
      <w:r w:rsidRPr="00951EF6">
        <w:rPr>
          <w:sz w:val="24"/>
          <w:szCs w:val="24"/>
        </w:rPr>
        <w:t>fokale</w:t>
      </w:r>
      <w:proofErr w:type="spellEnd"/>
      <w:r w:rsidRPr="00951EF6">
        <w:rPr>
          <w:sz w:val="24"/>
          <w:szCs w:val="24"/>
        </w:rPr>
        <w:t xml:space="preserve"> epileptiske anfald blev evalueret i ét fase II-studie hos børn i alderen fra 6 til 16 år (N = 123) og ét fase III-studie hos børn i alderen fra 2 til 18 år (N = 304). Begge studier var dobbeltblinde og placebokontrollerede med en varighed på henholdsvis 8 uger (studie 208) og 12 uger (studie 305). Studie 208 omfattede yderligere 2 efterfølgende åbne </w:t>
      </w:r>
      <w:r w:rsidRPr="00951EF6">
        <w:rPr>
          <w:sz w:val="24"/>
          <w:szCs w:val="24"/>
        </w:rPr>
        <w:lastRenderedPageBreak/>
        <w:t>forlængelsesstudier (1 år i del II og 2 år i del III), og studie 305 omfattede 4 efterfølgende åbne forlængelsesstudier (1 år i del II, III og IV og 2 år i del V).</w:t>
      </w:r>
    </w:p>
    <w:p w14:paraId="55F64DED"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blev testet ved doser på 20 og 30 mg/kg/dag op til et maksimum på 1.200 mg/dag. Måldosis var 30 mg/kg/dag i studie 208 og 20 mg/kg/dag i studie 305. Doserne kunne justeres på basis af </w:t>
      </w:r>
      <w:proofErr w:type="spellStart"/>
      <w:r w:rsidRPr="00951EF6">
        <w:rPr>
          <w:sz w:val="24"/>
          <w:szCs w:val="24"/>
        </w:rPr>
        <w:t>tolerabilitet</w:t>
      </w:r>
      <w:proofErr w:type="spellEnd"/>
      <w:r w:rsidRPr="00951EF6">
        <w:rPr>
          <w:sz w:val="24"/>
          <w:szCs w:val="24"/>
        </w:rPr>
        <w:t xml:space="preserve"> og behandlingsrespons.</w:t>
      </w:r>
    </w:p>
    <w:p w14:paraId="651866BF" w14:textId="77777777" w:rsidR="004904F4" w:rsidRPr="00951EF6" w:rsidRDefault="004904F4" w:rsidP="00F516CE">
      <w:pPr>
        <w:ind w:left="851"/>
        <w:rPr>
          <w:sz w:val="24"/>
          <w:szCs w:val="24"/>
        </w:rPr>
      </w:pPr>
    </w:p>
    <w:p w14:paraId="742A8B92" w14:textId="77777777" w:rsidR="004904F4" w:rsidRPr="00951EF6" w:rsidRDefault="004904F4" w:rsidP="00F516CE">
      <w:pPr>
        <w:ind w:left="851"/>
        <w:rPr>
          <w:sz w:val="24"/>
          <w:szCs w:val="24"/>
        </w:rPr>
      </w:pPr>
      <w:r w:rsidRPr="00951EF6">
        <w:rPr>
          <w:sz w:val="24"/>
          <w:szCs w:val="24"/>
        </w:rPr>
        <w:t xml:space="preserve">I den dobbeltblinde periode af fase II-studiet var evaluering af virkning et sekundært formål. Mindste kvadraters-gennemsnitlige reduktion i standardiseret </w:t>
      </w:r>
      <w:proofErr w:type="spellStart"/>
      <w:r w:rsidRPr="00951EF6">
        <w:rPr>
          <w:sz w:val="24"/>
          <w:szCs w:val="24"/>
        </w:rPr>
        <w:t>anfaldsfrekvens</w:t>
      </w:r>
      <w:proofErr w:type="spellEnd"/>
      <w:r w:rsidRPr="00951EF6">
        <w:rPr>
          <w:sz w:val="24"/>
          <w:szCs w:val="24"/>
        </w:rPr>
        <w:t xml:space="preserve"> fra baseline til vedligeholdelsesperioden var signifikant (p &lt; 0,001) højere med </w:t>
      </w:r>
      <w:proofErr w:type="spellStart"/>
      <w:r w:rsidRPr="00951EF6">
        <w:rPr>
          <w:sz w:val="24"/>
          <w:szCs w:val="24"/>
        </w:rPr>
        <w:t>eslicarbazepinacetat</w:t>
      </w:r>
      <w:proofErr w:type="spellEnd"/>
      <w:r w:rsidRPr="00951EF6">
        <w:rPr>
          <w:sz w:val="24"/>
          <w:szCs w:val="24"/>
        </w:rPr>
        <w:t xml:space="preserve"> (-34,8 %) sammenlignet med placebo (-13,8 %). 42 patienter (50,6 %) i </w:t>
      </w:r>
      <w:proofErr w:type="spellStart"/>
      <w:r w:rsidRPr="00951EF6">
        <w:rPr>
          <w:sz w:val="24"/>
          <w:szCs w:val="24"/>
        </w:rPr>
        <w:t>eslicarbazepinacetat</w:t>
      </w:r>
      <w:proofErr w:type="spellEnd"/>
      <w:r w:rsidRPr="00951EF6">
        <w:rPr>
          <w:sz w:val="24"/>
          <w:szCs w:val="24"/>
        </w:rPr>
        <w:t>-gruppen sammenlignet med 10 patienter (25,0 %) i placebogruppen viste respons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signifikant forskel (p = 0,009).</w:t>
      </w:r>
    </w:p>
    <w:p w14:paraId="1F39463E" w14:textId="77777777" w:rsidR="004904F4" w:rsidRPr="00951EF6" w:rsidRDefault="004904F4" w:rsidP="00F516CE">
      <w:pPr>
        <w:ind w:left="851"/>
        <w:rPr>
          <w:sz w:val="24"/>
          <w:szCs w:val="24"/>
        </w:rPr>
      </w:pPr>
    </w:p>
    <w:p w14:paraId="40BF5B7E" w14:textId="00C754C9" w:rsidR="004904F4" w:rsidRPr="00951EF6" w:rsidRDefault="004904F4" w:rsidP="00F516CE">
      <w:pPr>
        <w:ind w:left="851"/>
        <w:rPr>
          <w:sz w:val="24"/>
          <w:szCs w:val="24"/>
        </w:rPr>
      </w:pPr>
      <w:r w:rsidRPr="00951EF6">
        <w:rPr>
          <w:sz w:val="24"/>
          <w:szCs w:val="24"/>
        </w:rPr>
        <w:t xml:space="preserve">I den dobbeltblinde periode af fase III-studiet var mindste kvadraters-gennemsnitlige reduktion i standardiseret </w:t>
      </w:r>
      <w:proofErr w:type="spellStart"/>
      <w:r w:rsidRPr="00951EF6">
        <w:rPr>
          <w:sz w:val="24"/>
          <w:szCs w:val="24"/>
        </w:rPr>
        <w:t>anfaldsfrekvens</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(-18,1 % versus baseline) forskellig fra placebo (-8,6 % versus baseline), men ikke statistisk signifikant (p</w:t>
      </w:r>
      <w:r w:rsidR="00D012E7">
        <w:rPr>
          <w:sz w:val="24"/>
          <w:szCs w:val="24"/>
        </w:rPr>
        <w:t> </w:t>
      </w:r>
      <w:r w:rsidRPr="00951EF6">
        <w:rPr>
          <w:sz w:val="24"/>
          <w:szCs w:val="24"/>
        </w:rPr>
        <w:t xml:space="preserve">= 0,2490). 41 patienter (30,6 %) i </w:t>
      </w:r>
      <w:proofErr w:type="spellStart"/>
      <w:r w:rsidRPr="00951EF6">
        <w:rPr>
          <w:sz w:val="24"/>
          <w:szCs w:val="24"/>
        </w:rPr>
        <w:t>eslicarbazepinacetat</w:t>
      </w:r>
      <w:proofErr w:type="spellEnd"/>
      <w:r w:rsidRPr="00951EF6">
        <w:rPr>
          <w:sz w:val="24"/>
          <w:szCs w:val="24"/>
        </w:rPr>
        <w:t>-gruppen viste respons sammenlignet med 40 patienter (31,0 %) i placebogruppen (</w:t>
      </w:r>
      <w:r w:rsidRPr="00951EF6">
        <w:rPr>
          <w:b/>
          <w:sz w:val="24"/>
          <w:szCs w:val="24"/>
        </w:rPr>
        <w:t xml:space="preserve">≥ </w:t>
      </w:r>
      <w:r w:rsidRPr="00951EF6">
        <w:rPr>
          <w:sz w:val="24"/>
          <w:szCs w:val="24"/>
        </w:rPr>
        <w:t xml:space="preserve">50 % reduktion i standardiseret </w:t>
      </w:r>
      <w:proofErr w:type="spellStart"/>
      <w:r w:rsidRPr="00951EF6">
        <w:rPr>
          <w:sz w:val="24"/>
          <w:szCs w:val="24"/>
        </w:rPr>
        <w:t>anfaldsfrekvens</w:t>
      </w:r>
      <w:proofErr w:type="spellEnd"/>
      <w:r w:rsidRPr="00951EF6">
        <w:rPr>
          <w:sz w:val="24"/>
          <w:szCs w:val="24"/>
        </w:rPr>
        <w:t>), hvilket resulterede i en ikke-signifikant forskel (p</w:t>
      </w:r>
      <w:r w:rsidR="00D012E7">
        <w:rPr>
          <w:sz w:val="24"/>
          <w:szCs w:val="24"/>
        </w:rPr>
        <w:t> </w:t>
      </w:r>
      <w:r w:rsidRPr="00951EF6">
        <w:rPr>
          <w:sz w:val="24"/>
          <w:szCs w:val="24"/>
        </w:rPr>
        <w:t>=</w:t>
      </w:r>
      <w:r w:rsidR="00D012E7">
        <w:rPr>
          <w:sz w:val="24"/>
          <w:szCs w:val="24"/>
        </w:rPr>
        <w:t> </w:t>
      </w:r>
      <w:r w:rsidRPr="00951EF6">
        <w:rPr>
          <w:sz w:val="24"/>
          <w:szCs w:val="24"/>
        </w:rPr>
        <w:t xml:space="preserve">0,9017). </w:t>
      </w:r>
      <w:r w:rsidRPr="00951EF6">
        <w:rPr>
          <w:i/>
          <w:sz w:val="24"/>
          <w:szCs w:val="24"/>
        </w:rPr>
        <w:t>Post-hoc-</w:t>
      </w:r>
      <w:r w:rsidRPr="00951EF6">
        <w:rPr>
          <w:sz w:val="24"/>
          <w:szCs w:val="24"/>
        </w:rPr>
        <w:t xml:space="preserve">undergruppeanalyser for fase III-studiet blev udført i aldersstrata og over 6 år samt i forhold til dosis. Hos børn over 6 år viste 36 patienter (35,0 %) i </w:t>
      </w:r>
      <w:proofErr w:type="spellStart"/>
      <w:r w:rsidRPr="00951EF6">
        <w:rPr>
          <w:sz w:val="24"/>
          <w:szCs w:val="24"/>
        </w:rPr>
        <w:t>eslicarbazepinacetat</w:t>
      </w:r>
      <w:proofErr w:type="spellEnd"/>
      <w:r w:rsidRPr="00951EF6">
        <w:rPr>
          <w:sz w:val="24"/>
          <w:szCs w:val="24"/>
        </w:rPr>
        <w:t>-gruppen respons sammenlignet med 29 patiente</w:t>
      </w:r>
      <w:r w:rsidR="009C51D8" w:rsidRPr="00951EF6">
        <w:rPr>
          <w:sz w:val="24"/>
          <w:szCs w:val="24"/>
        </w:rPr>
        <w:t>r</w:t>
      </w:r>
      <w:r w:rsidRPr="00951EF6">
        <w:rPr>
          <w:sz w:val="24"/>
          <w:szCs w:val="24"/>
        </w:rPr>
        <w:t xml:space="preserve"> (30,2 %) i </w:t>
      </w:r>
      <w:proofErr w:type="spellStart"/>
      <w:r w:rsidRPr="00951EF6">
        <w:rPr>
          <w:sz w:val="24"/>
          <w:szCs w:val="24"/>
        </w:rPr>
        <w:t>placebo-gruppen</w:t>
      </w:r>
      <w:proofErr w:type="spellEnd"/>
      <w:r w:rsidRPr="00951EF6">
        <w:rPr>
          <w:sz w:val="24"/>
          <w:szCs w:val="24"/>
        </w:rPr>
        <w:t xml:space="preserve"> (p = 0,4759), og mindste kvadraters-gennemsnitlige reduktion i standardiseret </w:t>
      </w:r>
      <w:proofErr w:type="spellStart"/>
      <w:r w:rsidRPr="00951EF6">
        <w:rPr>
          <w:sz w:val="24"/>
          <w:szCs w:val="24"/>
        </w:rPr>
        <w:t>anfaldsfrekvens</w:t>
      </w:r>
      <w:proofErr w:type="spellEnd"/>
      <w:r w:rsidRPr="00951EF6">
        <w:rPr>
          <w:sz w:val="24"/>
          <w:szCs w:val="24"/>
        </w:rPr>
        <w:t xml:space="preserve"> var højere</w:t>
      </w:r>
      <w:r w:rsidRPr="00951EF6">
        <w:rPr>
          <w:spacing w:val="3"/>
          <w:sz w:val="24"/>
          <w:szCs w:val="24"/>
        </w:rPr>
        <w:t xml:space="preserve"> </w:t>
      </w:r>
      <w:r w:rsidRPr="00951EF6">
        <w:rPr>
          <w:sz w:val="24"/>
          <w:szCs w:val="24"/>
        </w:rPr>
        <w:t>i</w:t>
      </w:r>
      <w:r w:rsidR="009C51D8" w:rsidRPr="00951EF6">
        <w:rPr>
          <w:sz w:val="24"/>
          <w:szCs w:val="24"/>
        </w:rPr>
        <w:t xml:space="preserve"> </w:t>
      </w:r>
      <w:proofErr w:type="spellStart"/>
      <w:r w:rsidRPr="00951EF6">
        <w:rPr>
          <w:sz w:val="24"/>
          <w:szCs w:val="24"/>
        </w:rPr>
        <w:t>eslicarbazepinacetat</w:t>
      </w:r>
      <w:proofErr w:type="spellEnd"/>
      <w:r w:rsidRPr="00951EF6">
        <w:rPr>
          <w:sz w:val="24"/>
          <w:szCs w:val="24"/>
        </w:rPr>
        <w:t xml:space="preserve">-gruppen sammenlignet med placebo (-24,4 % versus -10,5 %). Forskellen på 13,9 % var dog ikke statistisk signifikant (p = 0,1040). I alt 39 % af patienterne i studie 305 blev titreret op til den maksimale mulige dosis (30 mg/kg/dag). Hvis man ser bort fra patienter i alderen 6 år og derunder viste 14 (48,3 %) og 11 (30,6 %) af disse patienter i henholdsvis </w:t>
      </w:r>
      <w:proofErr w:type="spellStart"/>
      <w:r w:rsidRPr="00951EF6">
        <w:rPr>
          <w:sz w:val="24"/>
          <w:szCs w:val="24"/>
        </w:rPr>
        <w:t>eslicarbazepinacetat</w:t>
      </w:r>
      <w:proofErr w:type="spellEnd"/>
      <w:r w:rsidRPr="00951EF6">
        <w:rPr>
          <w:sz w:val="24"/>
          <w:szCs w:val="24"/>
        </w:rPr>
        <w:t xml:space="preserve">- og </w:t>
      </w:r>
      <w:proofErr w:type="spellStart"/>
      <w:r w:rsidRPr="00951EF6">
        <w:rPr>
          <w:sz w:val="24"/>
          <w:szCs w:val="24"/>
        </w:rPr>
        <w:t>placebo-gruppen</w:t>
      </w:r>
      <w:proofErr w:type="spellEnd"/>
      <w:r w:rsidRPr="00951EF6">
        <w:rPr>
          <w:sz w:val="24"/>
          <w:szCs w:val="24"/>
        </w:rPr>
        <w:t xml:space="preserve"> respons (p = 0,1514). Selvom soliditeten af disse </w:t>
      </w:r>
      <w:r w:rsidRPr="00951EF6">
        <w:rPr>
          <w:i/>
          <w:sz w:val="24"/>
          <w:szCs w:val="24"/>
        </w:rPr>
        <w:t>post-hoc-</w:t>
      </w:r>
      <w:r w:rsidRPr="00951EF6">
        <w:rPr>
          <w:sz w:val="24"/>
          <w:szCs w:val="24"/>
        </w:rPr>
        <w:t>undergruppeanalyser er begrænset, tyder dataene på en alders- og dosisafhængig stigning i virkningsstørrelse.</w:t>
      </w:r>
    </w:p>
    <w:p w14:paraId="0825D69B" w14:textId="77777777" w:rsidR="004904F4" w:rsidRPr="00951EF6" w:rsidRDefault="004904F4" w:rsidP="00F516CE">
      <w:pPr>
        <w:ind w:left="851"/>
        <w:rPr>
          <w:sz w:val="24"/>
          <w:szCs w:val="24"/>
        </w:rPr>
      </w:pPr>
    </w:p>
    <w:p w14:paraId="2EA6A604" w14:textId="77777777" w:rsidR="004904F4" w:rsidRPr="00951EF6" w:rsidRDefault="004904F4" w:rsidP="00F516CE">
      <w:pPr>
        <w:ind w:left="851"/>
        <w:rPr>
          <w:sz w:val="24"/>
          <w:szCs w:val="24"/>
        </w:rPr>
      </w:pPr>
      <w:r w:rsidRPr="00951EF6">
        <w:rPr>
          <w:sz w:val="24"/>
          <w:szCs w:val="24"/>
        </w:rPr>
        <w:t xml:space="preserve">I det efterfølgende åbne forlængelsesstudie af 1 års varighed (del II) i fase III-studiet (ITT set N=225) var den totale responsrate 46,7 % (støt stigende fra 44,9 % (uge 1-4) til 57,5 % (uge &gt; 40)). Total median standardiseret </w:t>
      </w:r>
      <w:proofErr w:type="spellStart"/>
      <w:r w:rsidRPr="00951EF6">
        <w:rPr>
          <w:sz w:val="24"/>
          <w:szCs w:val="24"/>
        </w:rPr>
        <w:t>anfaldsfrekvens</w:t>
      </w:r>
      <w:proofErr w:type="spellEnd"/>
      <w:r w:rsidRPr="00951EF6">
        <w:rPr>
          <w:sz w:val="24"/>
          <w:szCs w:val="24"/>
        </w:rPr>
        <w:t xml:space="preserve"> var 6,1 (faldende fra 7,0 (uge 1-4) til 4,0 (uge &gt; 40), hvilket resulterede i en median relativ forskel på -46,7 % i forhold til baseline</w:t>
      </w:r>
      <w:r w:rsidRPr="00951EF6">
        <w:rPr>
          <w:i/>
          <w:sz w:val="24"/>
          <w:szCs w:val="24"/>
        </w:rPr>
        <w:t>-</w:t>
      </w:r>
      <w:r w:rsidRPr="00951EF6">
        <w:rPr>
          <w:sz w:val="24"/>
          <w:szCs w:val="24"/>
        </w:rPr>
        <w:t xml:space="preserve">perioden). Den </w:t>
      </w:r>
      <w:proofErr w:type="spellStart"/>
      <w:r w:rsidRPr="00951EF6">
        <w:rPr>
          <w:sz w:val="24"/>
          <w:szCs w:val="24"/>
        </w:rPr>
        <w:t>mediane</w:t>
      </w:r>
      <w:proofErr w:type="spellEnd"/>
      <w:r w:rsidRPr="00951EF6">
        <w:rPr>
          <w:sz w:val="24"/>
          <w:szCs w:val="24"/>
        </w:rPr>
        <w:t xml:space="preserve"> relative forskel var større i den tidligere placebogruppe (-51,4 %) end i den tidligere ESL-gruppe (- 40,4 %). Andelen af patienter med </w:t>
      </w:r>
      <w:proofErr w:type="spellStart"/>
      <w:r w:rsidRPr="00951EF6">
        <w:rPr>
          <w:sz w:val="24"/>
          <w:szCs w:val="24"/>
        </w:rPr>
        <w:t>eksacerbation</w:t>
      </w:r>
      <w:proofErr w:type="spellEnd"/>
      <w:r w:rsidRPr="00951EF6">
        <w:rPr>
          <w:sz w:val="24"/>
          <w:szCs w:val="24"/>
        </w:rPr>
        <w:t xml:space="preserve"> (stigning på ≥25 %) sammenlignet med baseline</w:t>
      </w:r>
      <w:r w:rsidRPr="00951EF6">
        <w:rPr>
          <w:i/>
          <w:sz w:val="24"/>
          <w:szCs w:val="24"/>
        </w:rPr>
        <w:t xml:space="preserve">- </w:t>
      </w:r>
      <w:r w:rsidRPr="00951EF6">
        <w:rPr>
          <w:sz w:val="24"/>
          <w:szCs w:val="24"/>
        </w:rPr>
        <w:t>perioden var 14,2 %.</w:t>
      </w:r>
    </w:p>
    <w:p w14:paraId="4A3BB9A6" w14:textId="77777777" w:rsidR="004904F4" w:rsidRPr="00951EF6" w:rsidRDefault="004904F4" w:rsidP="00F516CE">
      <w:pPr>
        <w:ind w:left="851"/>
        <w:rPr>
          <w:sz w:val="24"/>
          <w:szCs w:val="24"/>
        </w:rPr>
      </w:pPr>
    </w:p>
    <w:p w14:paraId="704DF91B" w14:textId="4C13092F" w:rsidR="004904F4" w:rsidRPr="00951EF6" w:rsidRDefault="004904F4" w:rsidP="00F516CE">
      <w:pPr>
        <w:ind w:left="851"/>
        <w:rPr>
          <w:sz w:val="24"/>
          <w:szCs w:val="24"/>
        </w:rPr>
      </w:pPr>
      <w:r w:rsidRPr="00951EF6">
        <w:rPr>
          <w:sz w:val="24"/>
          <w:szCs w:val="24"/>
        </w:rPr>
        <w:t xml:space="preserve">I de efterfølgende 3 åbne forlængelsesstudier (ITT set N=148) var den samlede responsrate 26,6 % sammenlignet med del III–V ved baseline (dvs. de sidste 4 uger af del II). Total median standardiseret </w:t>
      </w:r>
      <w:proofErr w:type="spellStart"/>
      <w:r w:rsidRPr="00951EF6">
        <w:rPr>
          <w:sz w:val="24"/>
          <w:szCs w:val="24"/>
        </w:rPr>
        <w:t>anfaldsfrekvens</w:t>
      </w:r>
      <w:proofErr w:type="spellEnd"/>
      <w:r w:rsidRPr="00951EF6">
        <w:rPr>
          <w:sz w:val="24"/>
          <w:szCs w:val="24"/>
        </w:rPr>
        <w:t xml:space="preserve"> var 2,4 (hvilket resulterede i en median relativ forskel på -22,9% i forhold til del III–V ved baseline). Den samlede </w:t>
      </w:r>
      <w:proofErr w:type="spellStart"/>
      <w:r w:rsidRPr="00951EF6">
        <w:rPr>
          <w:sz w:val="24"/>
          <w:szCs w:val="24"/>
        </w:rPr>
        <w:t>mediane</w:t>
      </w:r>
      <w:proofErr w:type="spellEnd"/>
      <w:r w:rsidRPr="00951EF6">
        <w:rPr>
          <w:sz w:val="24"/>
          <w:szCs w:val="24"/>
        </w:rPr>
        <w:t xml:space="preserve"> relative reduktion i del I var større hos patienter, der blev behandlet med ESL (-25,8 %) end hos patienter, der blev behandlet med placebo (-16,4 %). Den samlede andel af patienter med </w:t>
      </w:r>
      <w:proofErr w:type="spellStart"/>
      <w:r w:rsidRPr="00951EF6">
        <w:rPr>
          <w:sz w:val="24"/>
          <w:szCs w:val="24"/>
        </w:rPr>
        <w:t>eksacerbation</w:t>
      </w:r>
      <w:proofErr w:type="spellEnd"/>
      <w:r w:rsidRPr="00951EF6">
        <w:rPr>
          <w:sz w:val="24"/>
          <w:szCs w:val="24"/>
        </w:rPr>
        <w:t xml:space="preserve"> (stigning på ≥25 %) var 25,7 % sammenlignet med del III–V ved baseline.</w:t>
      </w:r>
    </w:p>
    <w:p w14:paraId="7A5A7EE9" w14:textId="77777777" w:rsidR="004904F4" w:rsidRPr="00951EF6" w:rsidRDefault="004904F4" w:rsidP="00F516CE">
      <w:pPr>
        <w:ind w:left="851"/>
        <w:rPr>
          <w:sz w:val="24"/>
          <w:szCs w:val="24"/>
        </w:rPr>
      </w:pPr>
    </w:p>
    <w:p w14:paraId="7CC3A574" w14:textId="77777777" w:rsidR="004904F4" w:rsidRPr="00951EF6" w:rsidRDefault="004904F4" w:rsidP="00F516CE">
      <w:pPr>
        <w:ind w:left="851"/>
        <w:rPr>
          <w:sz w:val="24"/>
          <w:szCs w:val="24"/>
        </w:rPr>
      </w:pPr>
      <w:r w:rsidRPr="00951EF6">
        <w:rPr>
          <w:sz w:val="24"/>
          <w:szCs w:val="24"/>
        </w:rPr>
        <w:t xml:space="preserve">Af de 183 patienter, som gennemførte del I og II af studiet, blev 152 patienter inkluderet i del III. 65 af disse patienter havde fået ESL, og 87 af patienterne havde fået placebo i den dobbeltblinde del af studiet. 14 patienter (9,2 %) fuldførte åben behandling med ESL i del </w:t>
      </w:r>
      <w:r w:rsidRPr="00951EF6">
        <w:rPr>
          <w:sz w:val="24"/>
          <w:szCs w:val="24"/>
        </w:rPr>
        <w:lastRenderedPageBreak/>
        <w:t xml:space="preserve">V. Den hyppigste årsag til </w:t>
      </w:r>
      <w:proofErr w:type="spellStart"/>
      <w:r w:rsidRPr="00951EF6">
        <w:rPr>
          <w:sz w:val="24"/>
          <w:szCs w:val="24"/>
        </w:rPr>
        <w:t>seponering</w:t>
      </w:r>
      <w:proofErr w:type="spellEnd"/>
      <w:r w:rsidRPr="00951EF6">
        <w:rPr>
          <w:sz w:val="24"/>
          <w:szCs w:val="24"/>
        </w:rPr>
        <w:t xml:space="preserve"> i alle dele af studiet skete efter anmodning af sponsor (30 patienter i del III [19,7 % af patienterne, som deltog i del III], 9 i del IV [9,6 % af patienterne, som deltog i del IV] og 43 i del V [64,2 % af patienterne, som deltog i del V]).</w:t>
      </w:r>
    </w:p>
    <w:p w14:paraId="78AF5A3C" w14:textId="77777777" w:rsidR="004904F4" w:rsidRPr="00951EF6" w:rsidRDefault="004904F4" w:rsidP="00F516CE">
      <w:pPr>
        <w:ind w:left="851"/>
        <w:rPr>
          <w:sz w:val="24"/>
          <w:szCs w:val="24"/>
        </w:rPr>
      </w:pPr>
    </w:p>
    <w:p w14:paraId="7A259CD0" w14:textId="77777777" w:rsidR="004904F4" w:rsidRPr="00951EF6" w:rsidRDefault="004904F4" w:rsidP="00F516CE">
      <w:pPr>
        <w:ind w:left="851"/>
        <w:rPr>
          <w:sz w:val="24"/>
          <w:szCs w:val="24"/>
        </w:rPr>
      </w:pPr>
      <w:r w:rsidRPr="00951EF6">
        <w:rPr>
          <w:sz w:val="24"/>
          <w:szCs w:val="24"/>
        </w:rPr>
        <w:t xml:space="preserve">I betragtning af begrænsningerne ved åbne ukontrollerede data blev langtidsrespons over for </w:t>
      </w:r>
      <w:proofErr w:type="spellStart"/>
      <w:r w:rsidRPr="00951EF6">
        <w:rPr>
          <w:sz w:val="24"/>
          <w:szCs w:val="24"/>
        </w:rPr>
        <w:t>eslicarbazepinacetat</w:t>
      </w:r>
      <w:proofErr w:type="spellEnd"/>
      <w:r w:rsidRPr="00951EF6">
        <w:rPr>
          <w:sz w:val="24"/>
          <w:szCs w:val="24"/>
        </w:rPr>
        <w:t xml:space="preserve"> opretholdt i de åbne dele af studiet.</w:t>
      </w:r>
    </w:p>
    <w:p w14:paraId="0FFDE2DC" w14:textId="77777777" w:rsidR="004904F4" w:rsidRPr="00951EF6" w:rsidRDefault="004904F4" w:rsidP="00F516CE">
      <w:pPr>
        <w:ind w:left="851"/>
        <w:rPr>
          <w:sz w:val="24"/>
          <w:szCs w:val="24"/>
        </w:rPr>
      </w:pPr>
    </w:p>
    <w:p w14:paraId="19F4B8D0" w14:textId="4F109EE6" w:rsidR="004904F4" w:rsidRPr="00951EF6" w:rsidRDefault="004904F4" w:rsidP="00F516CE">
      <w:pPr>
        <w:ind w:left="851"/>
        <w:rPr>
          <w:sz w:val="24"/>
          <w:szCs w:val="24"/>
        </w:rPr>
      </w:pPr>
      <w:r w:rsidRPr="00951EF6">
        <w:rPr>
          <w:sz w:val="24"/>
          <w:szCs w:val="24"/>
        </w:rPr>
        <w:t xml:space="preserve">Det Europæiske Lægemiddelagentur har udsat forpligtelsen til at fremlægge resultaterne af studier med </w:t>
      </w:r>
      <w:proofErr w:type="spellStart"/>
      <w:r w:rsidR="00951EF6" w:rsidRPr="00951EF6">
        <w:rPr>
          <w:sz w:val="24"/>
          <w:szCs w:val="24"/>
        </w:rPr>
        <w:t>Arupsan</w:t>
      </w:r>
      <w:proofErr w:type="spellEnd"/>
      <w:r w:rsidRPr="00951EF6">
        <w:rPr>
          <w:sz w:val="24"/>
          <w:szCs w:val="24"/>
        </w:rPr>
        <w:t xml:space="preserve"> i en eller flere undergrupper af den pædiatriske population til behandling af epilepsi med partielle anfald (se pkt. 4.2 for oplysninger om pædiatrisk</w:t>
      </w:r>
      <w:r w:rsidRPr="00951EF6">
        <w:rPr>
          <w:spacing w:val="-3"/>
          <w:sz w:val="24"/>
          <w:szCs w:val="24"/>
        </w:rPr>
        <w:t xml:space="preserve"> </w:t>
      </w:r>
      <w:r w:rsidRPr="00951EF6">
        <w:rPr>
          <w:sz w:val="24"/>
          <w:szCs w:val="24"/>
        </w:rPr>
        <w:t>anvendelse).</w:t>
      </w:r>
    </w:p>
    <w:p w14:paraId="0B9299F9" w14:textId="77777777" w:rsidR="009260DE" w:rsidRPr="00951EF6" w:rsidRDefault="009260DE" w:rsidP="009260DE">
      <w:pPr>
        <w:tabs>
          <w:tab w:val="left" w:pos="851"/>
        </w:tabs>
        <w:ind w:left="851"/>
        <w:rPr>
          <w:sz w:val="24"/>
          <w:szCs w:val="24"/>
        </w:rPr>
      </w:pPr>
    </w:p>
    <w:p w14:paraId="12299411" w14:textId="77777777" w:rsidR="009260DE" w:rsidRPr="00951EF6" w:rsidRDefault="009260DE" w:rsidP="009260DE">
      <w:pPr>
        <w:tabs>
          <w:tab w:val="left" w:pos="851"/>
        </w:tabs>
        <w:ind w:left="851" w:hanging="851"/>
        <w:rPr>
          <w:b/>
          <w:sz w:val="24"/>
          <w:szCs w:val="24"/>
        </w:rPr>
      </w:pPr>
      <w:r w:rsidRPr="00951EF6">
        <w:rPr>
          <w:b/>
          <w:sz w:val="24"/>
          <w:szCs w:val="24"/>
        </w:rPr>
        <w:t>5.2</w:t>
      </w:r>
      <w:r w:rsidRPr="00951EF6">
        <w:rPr>
          <w:b/>
          <w:sz w:val="24"/>
          <w:szCs w:val="24"/>
        </w:rPr>
        <w:tab/>
      </w:r>
      <w:proofErr w:type="spellStart"/>
      <w:r w:rsidRPr="00951EF6">
        <w:rPr>
          <w:b/>
          <w:sz w:val="24"/>
          <w:szCs w:val="24"/>
        </w:rPr>
        <w:t>Farmakokinetiske</w:t>
      </w:r>
      <w:proofErr w:type="spellEnd"/>
      <w:r w:rsidRPr="00951EF6">
        <w:rPr>
          <w:b/>
          <w:sz w:val="24"/>
          <w:szCs w:val="24"/>
        </w:rPr>
        <w:t xml:space="preserve"> egenskaber</w:t>
      </w:r>
    </w:p>
    <w:p w14:paraId="4D60F874" w14:textId="77777777" w:rsidR="009C51D8" w:rsidRPr="00951EF6" w:rsidRDefault="009C51D8" w:rsidP="00F516CE">
      <w:pPr>
        <w:ind w:left="851"/>
        <w:rPr>
          <w:sz w:val="24"/>
          <w:szCs w:val="24"/>
        </w:rPr>
      </w:pPr>
    </w:p>
    <w:p w14:paraId="19F468FB" w14:textId="16797A99" w:rsidR="004904F4" w:rsidRPr="00951EF6" w:rsidRDefault="004904F4" w:rsidP="00F516CE">
      <w:pPr>
        <w:ind w:left="851"/>
        <w:rPr>
          <w:sz w:val="24"/>
          <w:szCs w:val="24"/>
          <w:u w:val="single"/>
        </w:rPr>
      </w:pPr>
      <w:r w:rsidRPr="00951EF6">
        <w:rPr>
          <w:sz w:val="24"/>
          <w:szCs w:val="24"/>
          <w:u w:val="single"/>
        </w:rPr>
        <w:t>Absorption</w:t>
      </w:r>
    </w:p>
    <w:p w14:paraId="506C1609" w14:textId="77777777" w:rsidR="004904F4" w:rsidRPr="00951EF6" w:rsidRDefault="004904F4" w:rsidP="00F516CE">
      <w:pPr>
        <w:ind w:left="851"/>
        <w:rPr>
          <w:sz w:val="24"/>
          <w:szCs w:val="24"/>
        </w:rPr>
      </w:pPr>
    </w:p>
    <w:p w14:paraId="5D964197" w14:textId="744BD4D1"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i udstrakt grad til </w:t>
      </w:r>
      <w:proofErr w:type="spellStart"/>
      <w:r w:rsidRPr="00951EF6">
        <w:rPr>
          <w:sz w:val="24"/>
          <w:szCs w:val="24"/>
        </w:rPr>
        <w:t>eslicarbazepin</w:t>
      </w:r>
      <w:proofErr w:type="spellEnd"/>
      <w:r w:rsidRPr="00951EF6">
        <w:rPr>
          <w:sz w:val="24"/>
          <w:szCs w:val="24"/>
        </w:rPr>
        <w:t xml:space="preserve">. Plasmaniveauet af </w:t>
      </w:r>
      <w:proofErr w:type="spellStart"/>
      <w:r w:rsidRPr="00951EF6">
        <w:rPr>
          <w:sz w:val="24"/>
          <w:szCs w:val="24"/>
        </w:rPr>
        <w:t>eslicarbazepinacetat</w:t>
      </w:r>
      <w:proofErr w:type="spellEnd"/>
      <w:r w:rsidRPr="00951EF6">
        <w:rPr>
          <w:sz w:val="24"/>
          <w:szCs w:val="24"/>
        </w:rPr>
        <w:t xml:space="preserve"> forbliver sædvanligvis under kvantificeringsgrænsen efter 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E74B7E">
        <w:rPr>
          <w:position w:val="2"/>
          <w:sz w:val="24"/>
          <w:szCs w:val="24"/>
        </w:rPr>
        <w:t>C</w:t>
      </w:r>
      <w:r w:rsidR="00E74B7E" w:rsidRPr="00E74B7E">
        <w:rPr>
          <w:position w:val="2"/>
          <w:sz w:val="24"/>
          <w:szCs w:val="24"/>
          <w:vertAlign w:val="subscript"/>
        </w:rPr>
        <w:t>max</w:t>
      </w:r>
      <w:proofErr w:type="spellEnd"/>
      <w:r w:rsidR="00E74B7E">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Biotilgængeligheden formodes at </w:t>
      </w:r>
      <w:r w:rsidRPr="00951EF6">
        <w:rPr>
          <w:sz w:val="24"/>
          <w:szCs w:val="24"/>
        </w:rPr>
        <w:t xml:space="preserve">være høj, da mængden af metabolitter, der blev genfundet i urin, svarede til over 90 % af dosen af </w:t>
      </w:r>
      <w:proofErr w:type="spellStart"/>
      <w:r w:rsidRPr="00951EF6">
        <w:rPr>
          <w:sz w:val="24"/>
          <w:szCs w:val="24"/>
        </w:rPr>
        <w:t>eslicarbazepinacetat</w:t>
      </w:r>
      <w:proofErr w:type="spellEnd"/>
      <w:r w:rsidRPr="00951EF6">
        <w:rPr>
          <w:sz w:val="24"/>
          <w:szCs w:val="24"/>
        </w:rPr>
        <w:t>.</w:t>
      </w:r>
    </w:p>
    <w:p w14:paraId="685F3464" w14:textId="77777777" w:rsidR="004904F4" w:rsidRPr="00951EF6" w:rsidRDefault="004904F4" w:rsidP="00F516CE">
      <w:pPr>
        <w:ind w:left="851"/>
        <w:rPr>
          <w:sz w:val="24"/>
          <w:szCs w:val="24"/>
        </w:rPr>
      </w:pPr>
    </w:p>
    <w:p w14:paraId="2769C7CE" w14:textId="77777777" w:rsidR="004904F4" w:rsidRPr="00951EF6" w:rsidRDefault="004904F4" w:rsidP="00F516CE">
      <w:pPr>
        <w:ind w:left="851"/>
        <w:rPr>
          <w:sz w:val="24"/>
          <w:szCs w:val="24"/>
          <w:u w:val="single"/>
        </w:rPr>
      </w:pPr>
      <w:r w:rsidRPr="00951EF6">
        <w:rPr>
          <w:sz w:val="24"/>
          <w:szCs w:val="24"/>
          <w:u w:val="single"/>
        </w:rPr>
        <w:t>Distribution</w:t>
      </w:r>
    </w:p>
    <w:p w14:paraId="2022FDC2" w14:textId="77777777" w:rsidR="004904F4" w:rsidRPr="00951EF6" w:rsidRDefault="004904F4" w:rsidP="00F516CE">
      <w:pPr>
        <w:ind w:left="851"/>
        <w:rPr>
          <w:sz w:val="24"/>
          <w:szCs w:val="24"/>
        </w:rPr>
      </w:pPr>
    </w:p>
    <w:p w14:paraId="796DBFBC" w14:textId="77777777" w:rsidR="004904F4" w:rsidRPr="00951EF6" w:rsidRDefault="004904F4" w:rsidP="00F516CE">
      <w:pPr>
        <w:ind w:left="851"/>
        <w:rPr>
          <w:sz w:val="24"/>
          <w:szCs w:val="24"/>
        </w:rPr>
      </w:pPr>
      <w:proofErr w:type="spellStart"/>
      <w:r w:rsidRPr="00951EF6">
        <w:rPr>
          <w:sz w:val="24"/>
          <w:szCs w:val="24"/>
        </w:rPr>
        <w:t>Eslicarbazepins</w:t>
      </w:r>
      <w:proofErr w:type="spellEnd"/>
      <w:r w:rsidRPr="00951EF6">
        <w:rPr>
          <w:sz w:val="24"/>
          <w:szCs w:val="24"/>
        </w:rPr>
        <w:t xml:space="preserve"> binding til plasmaproteiner er relativt lav (&lt;40 %) og uafhængig af koncentrationen. </w:t>
      </w:r>
      <w:r w:rsidRPr="00951EF6">
        <w:rPr>
          <w:i/>
          <w:sz w:val="24"/>
          <w:szCs w:val="24"/>
        </w:rPr>
        <w:t xml:space="preserve">In </w:t>
      </w:r>
      <w:proofErr w:type="spellStart"/>
      <w:r w:rsidRPr="00951EF6">
        <w:rPr>
          <w:i/>
          <w:sz w:val="24"/>
          <w:szCs w:val="24"/>
        </w:rPr>
        <w:t>vitro</w:t>
      </w:r>
      <w:proofErr w:type="spellEnd"/>
      <w:r w:rsidRPr="00951EF6">
        <w:rPr>
          <w:sz w:val="24"/>
          <w:szCs w:val="24"/>
        </w:rPr>
        <w:t xml:space="preserve">-studier har vist, at plasmaproteinbindingen ikke påvirkes i relevant omfang af tilstedeværelsen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Bindingen af </w:t>
      </w:r>
      <w:proofErr w:type="spellStart"/>
      <w:r w:rsidRPr="00951EF6">
        <w:rPr>
          <w:sz w:val="24"/>
          <w:szCs w:val="24"/>
        </w:rPr>
        <w:t>warfarin</w:t>
      </w:r>
      <w:proofErr w:type="spellEnd"/>
      <w:r w:rsidRPr="00951EF6">
        <w:rPr>
          <w:sz w:val="24"/>
          <w:szCs w:val="24"/>
        </w:rPr>
        <w:t xml:space="preserve">, </w:t>
      </w:r>
      <w:proofErr w:type="spellStart"/>
      <w:r w:rsidRPr="00951EF6">
        <w:rPr>
          <w:sz w:val="24"/>
          <w:szCs w:val="24"/>
        </w:rPr>
        <w:t>diazepam</w:t>
      </w:r>
      <w:proofErr w:type="spellEnd"/>
      <w:r w:rsidRPr="00951EF6">
        <w:rPr>
          <w:sz w:val="24"/>
          <w:szCs w:val="24"/>
        </w:rPr>
        <w:t xml:space="preserve">, </w:t>
      </w:r>
      <w:proofErr w:type="spellStart"/>
      <w:r w:rsidRPr="00951EF6">
        <w:rPr>
          <w:sz w:val="24"/>
          <w:szCs w:val="24"/>
        </w:rPr>
        <w:t>digoxin</w:t>
      </w:r>
      <w:proofErr w:type="spellEnd"/>
      <w:r w:rsidRPr="00951EF6">
        <w:rPr>
          <w:sz w:val="24"/>
          <w:szCs w:val="24"/>
        </w:rPr>
        <w:t xml:space="preserve">, </w:t>
      </w:r>
      <w:proofErr w:type="spellStart"/>
      <w:r w:rsidRPr="00951EF6">
        <w:rPr>
          <w:sz w:val="24"/>
          <w:szCs w:val="24"/>
        </w:rPr>
        <w:t>phenytoin</w:t>
      </w:r>
      <w:proofErr w:type="spellEnd"/>
      <w:r w:rsidRPr="00951EF6">
        <w:rPr>
          <w:sz w:val="24"/>
          <w:szCs w:val="24"/>
        </w:rPr>
        <w:t xml:space="preserve"> og </w:t>
      </w:r>
      <w:proofErr w:type="spellStart"/>
      <w:r w:rsidRPr="00951EF6">
        <w:rPr>
          <w:sz w:val="24"/>
          <w:szCs w:val="24"/>
        </w:rPr>
        <w:t>tolbutamid</w:t>
      </w:r>
      <w:proofErr w:type="spellEnd"/>
      <w:r w:rsidRPr="00951EF6">
        <w:rPr>
          <w:sz w:val="24"/>
          <w:szCs w:val="24"/>
        </w:rPr>
        <w:t xml:space="preserve"> blev ikke påvirket i signifikant omfang af tilstedeværelsen af</w:t>
      </w:r>
      <w:r w:rsidRPr="00951EF6">
        <w:rPr>
          <w:spacing w:val="7"/>
          <w:sz w:val="24"/>
          <w:szCs w:val="24"/>
        </w:rPr>
        <w:t xml:space="preserve"> </w:t>
      </w:r>
      <w:proofErr w:type="spellStart"/>
      <w:r w:rsidRPr="00951EF6">
        <w:rPr>
          <w:sz w:val="24"/>
          <w:szCs w:val="24"/>
        </w:rPr>
        <w:t>eslicarbazepin</w:t>
      </w:r>
      <w:proofErr w:type="spellEnd"/>
      <w:r w:rsidRPr="00951EF6">
        <w:rPr>
          <w:sz w:val="24"/>
          <w:szCs w:val="24"/>
        </w:rPr>
        <w:t>.</w:t>
      </w:r>
    </w:p>
    <w:p w14:paraId="02617B59" w14:textId="77777777" w:rsidR="004904F4" w:rsidRPr="00951EF6" w:rsidRDefault="004904F4" w:rsidP="00F516CE">
      <w:pPr>
        <w:ind w:left="851"/>
        <w:rPr>
          <w:sz w:val="24"/>
          <w:szCs w:val="24"/>
        </w:rPr>
      </w:pPr>
    </w:p>
    <w:p w14:paraId="70C5B61C" w14:textId="77777777" w:rsidR="004904F4" w:rsidRPr="00951EF6" w:rsidRDefault="004904F4" w:rsidP="00F516CE">
      <w:pPr>
        <w:ind w:left="851"/>
        <w:rPr>
          <w:sz w:val="24"/>
          <w:szCs w:val="24"/>
          <w:u w:val="single"/>
        </w:rPr>
      </w:pPr>
      <w:r w:rsidRPr="00951EF6">
        <w:rPr>
          <w:sz w:val="24"/>
          <w:szCs w:val="24"/>
          <w:u w:val="single"/>
        </w:rPr>
        <w:t>Biotransformation</w:t>
      </w:r>
    </w:p>
    <w:p w14:paraId="6BE83387" w14:textId="77777777" w:rsidR="004904F4" w:rsidRPr="00951EF6" w:rsidRDefault="004904F4" w:rsidP="00F516CE">
      <w:pPr>
        <w:ind w:left="851"/>
        <w:rPr>
          <w:sz w:val="24"/>
          <w:szCs w:val="24"/>
        </w:rPr>
      </w:pPr>
    </w:p>
    <w:p w14:paraId="460DAD6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omdannes hurtigt og i omfattende grad til den aktive hovedmetabolit </w:t>
      </w:r>
      <w:proofErr w:type="spellStart"/>
      <w:r w:rsidRPr="00951EF6">
        <w:rPr>
          <w:sz w:val="24"/>
          <w:szCs w:val="24"/>
        </w:rPr>
        <w:t>eslicarbazepin</w:t>
      </w:r>
      <w:proofErr w:type="spellEnd"/>
      <w:r w:rsidRPr="00951EF6">
        <w:rPr>
          <w:sz w:val="24"/>
          <w:szCs w:val="24"/>
        </w:rPr>
        <w:t xml:space="preserve"> ved hydrolytisk første-passagemetabolisme. </w:t>
      </w:r>
      <w:proofErr w:type="spellStart"/>
      <w:r w:rsidRPr="00951EF6">
        <w:rPr>
          <w:sz w:val="24"/>
          <w:szCs w:val="24"/>
        </w:rPr>
        <w:t>Steady</w:t>
      </w:r>
      <w:proofErr w:type="spellEnd"/>
      <w:r w:rsidRPr="00951EF6">
        <w:rPr>
          <w:sz w:val="24"/>
          <w:szCs w:val="24"/>
        </w:rPr>
        <w:t xml:space="preserve"> </w:t>
      </w:r>
      <w:proofErr w:type="spellStart"/>
      <w:r w:rsidRPr="00951EF6">
        <w:rPr>
          <w:sz w:val="24"/>
          <w:szCs w:val="24"/>
        </w:rPr>
        <w:t>state</w:t>
      </w:r>
      <w:proofErr w:type="spellEnd"/>
      <w:r w:rsidRPr="00951EF6">
        <w:rPr>
          <w:sz w:val="24"/>
          <w:szCs w:val="24"/>
        </w:rPr>
        <w:t xml:space="preserve">-plasmakoncentration opnås efter 4 til 5 dages daglig indgift, svarende til en effektiv halveringstid på 20 til 24 timer. I studier med raske forsøgspersoner og voksne epilepsipatienter sås en halveringstid for </w:t>
      </w:r>
      <w:proofErr w:type="spellStart"/>
      <w:r w:rsidRPr="00951EF6">
        <w:rPr>
          <w:sz w:val="24"/>
          <w:szCs w:val="24"/>
        </w:rPr>
        <w:t>eslicarbazepin</w:t>
      </w:r>
      <w:proofErr w:type="spellEnd"/>
      <w:r w:rsidRPr="00951EF6">
        <w:rPr>
          <w:sz w:val="24"/>
          <w:szCs w:val="24"/>
        </w:rPr>
        <w:t xml:space="preserve"> på henholdsvis 10-20 timer og 13-20 timer. De mindre metabolitter, der ses i plasma, er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 xml:space="preserve">, som var aktive, samt </w:t>
      </w:r>
      <w:proofErr w:type="spellStart"/>
      <w:r w:rsidRPr="00951EF6">
        <w:rPr>
          <w:sz w:val="24"/>
          <w:szCs w:val="24"/>
        </w:rPr>
        <w:t>glukuronsyrekonjugaterne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xml:space="preserve"> </w:t>
      </w:r>
      <w:proofErr w:type="spellStart"/>
      <w:r w:rsidRPr="00951EF6">
        <w:rPr>
          <w:sz w:val="24"/>
          <w:szCs w:val="24"/>
        </w:rPr>
        <w:t>eslicarbazepin</w:t>
      </w:r>
      <w:proofErr w:type="spellEnd"/>
      <w:r w:rsidRPr="00951EF6">
        <w:rPr>
          <w:sz w:val="24"/>
          <w:szCs w:val="24"/>
        </w:rPr>
        <w:t>, R-</w:t>
      </w:r>
      <w:proofErr w:type="spellStart"/>
      <w:r w:rsidRPr="00951EF6">
        <w:rPr>
          <w:sz w:val="24"/>
          <w:szCs w:val="24"/>
        </w:rPr>
        <w:t>licarbazepin</w:t>
      </w:r>
      <w:proofErr w:type="spellEnd"/>
      <w:r w:rsidRPr="00951EF6">
        <w:rPr>
          <w:sz w:val="24"/>
          <w:szCs w:val="24"/>
        </w:rPr>
        <w:t xml:space="preserve"> og </w:t>
      </w:r>
      <w:proofErr w:type="spellStart"/>
      <w:r w:rsidRPr="00951EF6">
        <w:rPr>
          <w:sz w:val="24"/>
          <w:szCs w:val="24"/>
        </w:rPr>
        <w:t>oxcarbazepin</w:t>
      </w:r>
      <w:proofErr w:type="spellEnd"/>
      <w:r w:rsidRPr="00951EF6">
        <w:rPr>
          <w:sz w:val="24"/>
          <w:szCs w:val="24"/>
        </w:rPr>
        <w:t>.</w:t>
      </w:r>
    </w:p>
    <w:p w14:paraId="15C2A097" w14:textId="77777777" w:rsidR="004904F4" w:rsidRPr="00951EF6" w:rsidRDefault="004904F4" w:rsidP="00F516CE">
      <w:pPr>
        <w:ind w:left="851"/>
        <w:rPr>
          <w:sz w:val="24"/>
          <w:szCs w:val="24"/>
        </w:rPr>
      </w:pPr>
    </w:p>
    <w:p w14:paraId="6697759A"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påvirker ikke sin egen metabolisme eller </w:t>
      </w:r>
      <w:proofErr w:type="spellStart"/>
      <w:r w:rsidRPr="00951EF6">
        <w:rPr>
          <w:sz w:val="24"/>
          <w:szCs w:val="24"/>
        </w:rPr>
        <w:t>clearance</w:t>
      </w:r>
      <w:proofErr w:type="spellEnd"/>
      <w:r w:rsidRPr="00951EF6">
        <w:rPr>
          <w:sz w:val="24"/>
          <w:szCs w:val="24"/>
        </w:rPr>
        <w:t>.</w:t>
      </w:r>
    </w:p>
    <w:p w14:paraId="5B87905A" w14:textId="77777777" w:rsidR="004904F4" w:rsidRPr="00951EF6" w:rsidRDefault="004904F4" w:rsidP="00F516CE">
      <w:pPr>
        <w:ind w:left="851"/>
        <w:rPr>
          <w:sz w:val="24"/>
          <w:szCs w:val="24"/>
        </w:rPr>
      </w:pPr>
    </w:p>
    <w:p w14:paraId="7AB9ACC0" w14:textId="77777777" w:rsidR="004904F4" w:rsidRPr="00951EF6" w:rsidRDefault="004904F4" w:rsidP="00F516CE">
      <w:pPr>
        <w:ind w:left="851"/>
        <w:rPr>
          <w:sz w:val="24"/>
          <w:szCs w:val="24"/>
        </w:rPr>
      </w:pPr>
      <w:proofErr w:type="spellStart"/>
      <w:r w:rsidRPr="00951EF6">
        <w:rPr>
          <w:sz w:val="24"/>
          <w:szCs w:val="24"/>
        </w:rPr>
        <w:t>Eslicarbazepin</w:t>
      </w:r>
      <w:proofErr w:type="spellEnd"/>
      <w:r w:rsidRPr="00951EF6">
        <w:rPr>
          <w:sz w:val="24"/>
          <w:szCs w:val="24"/>
        </w:rPr>
        <w:t xml:space="preserve"> er en svag inducer af CYP3A4 og har hæmmende egenskaber over for CYP2C19 (som anført i pkt. 4.5).</w:t>
      </w:r>
    </w:p>
    <w:p w14:paraId="40253CB5" w14:textId="77777777" w:rsidR="004904F4" w:rsidRPr="00951EF6" w:rsidRDefault="004904F4" w:rsidP="00F516CE">
      <w:pPr>
        <w:ind w:left="851"/>
        <w:rPr>
          <w:sz w:val="24"/>
          <w:szCs w:val="24"/>
        </w:rPr>
      </w:pPr>
    </w:p>
    <w:p w14:paraId="6F96C870" w14:textId="77777777" w:rsidR="004904F4" w:rsidRPr="00951EF6" w:rsidRDefault="004904F4" w:rsidP="00F516CE">
      <w:pPr>
        <w:ind w:left="851"/>
        <w:rPr>
          <w:sz w:val="24"/>
          <w:szCs w:val="24"/>
        </w:rPr>
      </w:pPr>
      <w:r w:rsidRPr="00951EF6">
        <w:rPr>
          <w:sz w:val="24"/>
          <w:szCs w:val="24"/>
        </w:rPr>
        <w:t xml:space="preserve">I studier med </w:t>
      </w:r>
      <w:proofErr w:type="spellStart"/>
      <w:r w:rsidRPr="00951EF6">
        <w:rPr>
          <w:sz w:val="24"/>
          <w:szCs w:val="24"/>
        </w:rPr>
        <w:t>eslicarbazepin</w:t>
      </w:r>
      <w:proofErr w:type="spellEnd"/>
      <w:r w:rsidRPr="00951EF6">
        <w:rPr>
          <w:sz w:val="24"/>
          <w:szCs w:val="24"/>
        </w:rPr>
        <w:t xml:space="preserve"> i friske humane </w:t>
      </w:r>
      <w:proofErr w:type="spellStart"/>
      <w:r w:rsidRPr="00951EF6">
        <w:rPr>
          <w:sz w:val="24"/>
          <w:szCs w:val="24"/>
        </w:rPr>
        <w:t>hepatocytter</w:t>
      </w:r>
      <w:proofErr w:type="spellEnd"/>
      <w:r w:rsidRPr="00951EF6">
        <w:rPr>
          <w:sz w:val="24"/>
          <w:szCs w:val="24"/>
        </w:rPr>
        <w:t xml:space="preserve"> observeredes en svag induktion af </w:t>
      </w:r>
      <w:proofErr w:type="spellStart"/>
      <w:r w:rsidRPr="00951EF6">
        <w:rPr>
          <w:sz w:val="24"/>
          <w:szCs w:val="24"/>
        </w:rPr>
        <w:t>glukuronidering</w:t>
      </w:r>
      <w:proofErr w:type="spellEnd"/>
      <w:r w:rsidRPr="00951EF6">
        <w:rPr>
          <w:sz w:val="24"/>
          <w:szCs w:val="24"/>
        </w:rPr>
        <w:t>, som skyldtes UGT1A1.</w:t>
      </w:r>
    </w:p>
    <w:p w14:paraId="069464FB" w14:textId="77777777" w:rsidR="004904F4" w:rsidRPr="00951EF6" w:rsidRDefault="004904F4" w:rsidP="00F516CE">
      <w:pPr>
        <w:ind w:left="851"/>
        <w:rPr>
          <w:sz w:val="24"/>
          <w:szCs w:val="24"/>
        </w:rPr>
      </w:pPr>
    </w:p>
    <w:p w14:paraId="5017B024" w14:textId="77777777" w:rsidR="006C4DB3" w:rsidRDefault="006C4DB3" w:rsidP="00F516CE">
      <w:pPr>
        <w:ind w:left="851"/>
        <w:rPr>
          <w:sz w:val="24"/>
          <w:szCs w:val="24"/>
          <w:u w:val="single"/>
        </w:rPr>
      </w:pPr>
    </w:p>
    <w:p w14:paraId="05F2A111" w14:textId="3C3ECBA8" w:rsidR="004904F4" w:rsidRPr="00951EF6" w:rsidRDefault="004904F4" w:rsidP="00F516CE">
      <w:pPr>
        <w:ind w:left="851"/>
        <w:rPr>
          <w:sz w:val="24"/>
          <w:szCs w:val="24"/>
          <w:u w:val="single"/>
        </w:rPr>
      </w:pPr>
      <w:r w:rsidRPr="00951EF6">
        <w:rPr>
          <w:sz w:val="24"/>
          <w:szCs w:val="24"/>
          <w:u w:val="single"/>
        </w:rPr>
        <w:lastRenderedPageBreak/>
        <w:t>Elimination</w:t>
      </w:r>
    </w:p>
    <w:p w14:paraId="4819BF46" w14:textId="77777777" w:rsidR="004904F4" w:rsidRPr="00951EF6" w:rsidRDefault="004904F4" w:rsidP="00F516CE">
      <w:pPr>
        <w:ind w:left="851"/>
        <w:rPr>
          <w:sz w:val="24"/>
          <w:szCs w:val="24"/>
        </w:rPr>
      </w:pPr>
    </w:p>
    <w:p w14:paraId="1ECBBFD1"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i uændret form og som </w:t>
      </w:r>
      <w:proofErr w:type="spellStart"/>
      <w:r w:rsidRPr="00951EF6">
        <w:rPr>
          <w:sz w:val="24"/>
          <w:szCs w:val="24"/>
        </w:rPr>
        <w:t>glukuronidkonjugater</w:t>
      </w:r>
      <w:proofErr w:type="spellEnd"/>
      <w:r w:rsidRPr="00951EF6">
        <w:rPr>
          <w:sz w:val="24"/>
          <w:szCs w:val="24"/>
        </w:rPr>
        <w:t xml:space="preserve">. I alt svarer </w:t>
      </w:r>
      <w:proofErr w:type="spellStart"/>
      <w:r w:rsidRPr="00951EF6">
        <w:rPr>
          <w:sz w:val="24"/>
          <w:szCs w:val="24"/>
        </w:rPr>
        <w:t>eslicarbazepin</w:t>
      </w:r>
      <w:proofErr w:type="spellEnd"/>
      <w:r w:rsidRPr="00951EF6">
        <w:rPr>
          <w:sz w:val="24"/>
          <w:szCs w:val="24"/>
        </w:rPr>
        <w:t xml:space="preserve"> og dets </w:t>
      </w:r>
      <w:proofErr w:type="spellStart"/>
      <w:r w:rsidRPr="00951EF6">
        <w:rPr>
          <w:sz w:val="24"/>
          <w:szCs w:val="24"/>
        </w:rPr>
        <w:t>glukuronid</w:t>
      </w:r>
      <w:proofErr w:type="spellEnd"/>
      <w:r w:rsidRPr="00951EF6">
        <w:rPr>
          <w:sz w:val="24"/>
          <w:szCs w:val="24"/>
        </w:rPr>
        <w:t xml:space="preserve"> til over 90 % af den samlede mængde metabolitter, der udskilles i urinen, ca. 2/3 i uændret form og 1/3 som </w:t>
      </w:r>
      <w:proofErr w:type="spellStart"/>
      <w:r w:rsidRPr="00951EF6">
        <w:rPr>
          <w:sz w:val="24"/>
          <w:szCs w:val="24"/>
        </w:rPr>
        <w:t>glukuronidkonjugat</w:t>
      </w:r>
      <w:proofErr w:type="spellEnd"/>
      <w:r w:rsidRPr="00951EF6">
        <w:rPr>
          <w:sz w:val="24"/>
          <w:szCs w:val="24"/>
        </w:rPr>
        <w:t>.</w:t>
      </w:r>
    </w:p>
    <w:p w14:paraId="098A712C" w14:textId="77777777" w:rsidR="004904F4" w:rsidRPr="00951EF6" w:rsidRDefault="004904F4" w:rsidP="00F516CE">
      <w:pPr>
        <w:ind w:left="851"/>
        <w:rPr>
          <w:sz w:val="24"/>
          <w:szCs w:val="24"/>
        </w:rPr>
      </w:pPr>
    </w:p>
    <w:p w14:paraId="1F2459F6" w14:textId="77777777" w:rsidR="004904F4" w:rsidRPr="00951EF6" w:rsidRDefault="004904F4" w:rsidP="00F516CE">
      <w:pPr>
        <w:ind w:left="851"/>
        <w:rPr>
          <w:sz w:val="24"/>
          <w:szCs w:val="24"/>
          <w:u w:val="single"/>
        </w:rPr>
      </w:pPr>
      <w:r w:rsidRPr="00951EF6">
        <w:rPr>
          <w:sz w:val="24"/>
          <w:szCs w:val="24"/>
          <w:u w:val="single"/>
        </w:rPr>
        <w:t>Linearitet/non-linearitet</w:t>
      </w:r>
    </w:p>
    <w:p w14:paraId="509BF5F4" w14:textId="77777777" w:rsidR="004904F4" w:rsidRPr="00951EF6" w:rsidRDefault="004904F4" w:rsidP="00F516CE">
      <w:pPr>
        <w:ind w:left="851"/>
        <w:rPr>
          <w:sz w:val="24"/>
          <w:szCs w:val="24"/>
        </w:rPr>
      </w:pPr>
    </w:p>
    <w:p w14:paraId="0A376557"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lineær og dosisafhængig i intervallet 400-1.200 mg hos både raske forsøgspersoner og patienter.</w:t>
      </w:r>
    </w:p>
    <w:p w14:paraId="0A3769F7" w14:textId="77777777" w:rsidR="004904F4" w:rsidRPr="00951EF6" w:rsidRDefault="004904F4" w:rsidP="00F516CE">
      <w:pPr>
        <w:ind w:left="851"/>
        <w:rPr>
          <w:sz w:val="24"/>
          <w:szCs w:val="24"/>
        </w:rPr>
      </w:pPr>
    </w:p>
    <w:p w14:paraId="0AE8D46B" w14:textId="77777777" w:rsidR="004904F4" w:rsidRPr="00951EF6" w:rsidRDefault="004904F4" w:rsidP="00F516CE">
      <w:pPr>
        <w:ind w:left="851"/>
        <w:rPr>
          <w:sz w:val="24"/>
          <w:szCs w:val="24"/>
          <w:u w:val="single"/>
        </w:rPr>
      </w:pPr>
      <w:r w:rsidRPr="00951EF6">
        <w:rPr>
          <w:sz w:val="24"/>
          <w:szCs w:val="24"/>
          <w:u w:val="single"/>
        </w:rPr>
        <w:t>Ældre (over 65 år)</w:t>
      </w:r>
    </w:p>
    <w:p w14:paraId="2129BC61" w14:textId="77777777" w:rsidR="004904F4" w:rsidRPr="00951EF6" w:rsidRDefault="004904F4" w:rsidP="00F516CE">
      <w:pPr>
        <w:ind w:left="851"/>
        <w:rPr>
          <w:sz w:val="24"/>
          <w:szCs w:val="24"/>
        </w:rPr>
      </w:pPr>
    </w:p>
    <w:p w14:paraId="592C8EDB"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w:t>
      </w:r>
      <w:proofErr w:type="spellStart"/>
      <w:r w:rsidRPr="00951EF6">
        <w:rPr>
          <w:sz w:val="24"/>
          <w:szCs w:val="24"/>
        </w:rPr>
        <w:t>farmakokinetiske</w:t>
      </w:r>
      <w:proofErr w:type="spellEnd"/>
      <w:r w:rsidRPr="00951EF6">
        <w:rPr>
          <w:sz w:val="24"/>
          <w:szCs w:val="24"/>
        </w:rPr>
        <w:t xml:space="preserve"> profil påvirkes ikke hos ældre patienter med </w:t>
      </w:r>
      <w:proofErr w:type="spellStart"/>
      <w:r w:rsidRPr="00951EF6">
        <w:rPr>
          <w:sz w:val="24"/>
          <w:szCs w:val="24"/>
        </w:rPr>
        <w:t>kreatininclearance</w:t>
      </w:r>
      <w:proofErr w:type="spellEnd"/>
      <w:r w:rsidRPr="00951EF6">
        <w:rPr>
          <w:sz w:val="24"/>
          <w:szCs w:val="24"/>
        </w:rPr>
        <w:t xml:space="preserve"> &gt;60 ml/min (se pkt. 4.2).</w:t>
      </w:r>
    </w:p>
    <w:p w14:paraId="1D715B8D" w14:textId="77777777" w:rsidR="004904F4" w:rsidRPr="00951EF6" w:rsidRDefault="004904F4" w:rsidP="00F516CE">
      <w:pPr>
        <w:ind w:left="851"/>
        <w:rPr>
          <w:sz w:val="24"/>
          <w:szCs w:val="24"/>
        </w:rPr>
      </w:pPr>
    </w:p>
    <w:p w14:paraId="20D1EA98" w14:textId="77777777" w:rsidR="004904F4" w:rsidRPr="00951EF6" w:rsidRDefault="004904F4" w:rsidP="00F516CE">
      <w:pPr>
        <w:ind w:left="851"/>
        <w:rPr>
          <w:sz w:val="24"/>
          <w:szCs w:val="24"/>
          <w:u w:val="single"/>
        </w:rPr>
      </w:pPr>
      <w:r w:rsidRPr="00951EF6">
        <w:rPr>
          <w:sz w:val="24"/>
          <w:szCs w:val="24"/>
          <w:u w:val="single"/>
        </w:rPr>
        <w:t>Nedsat nyrefunktion</w:t>
      </w:r>
    </w:p>
    <w:p w14:paraId="30218FCD" w14:textId="77777777" w:rsidR="004904F4" w:rsidRPr="00951EF6" w:rsidRDefault="004904F4" w:rsidP="00F516CE">
      <w:pPr>
        <w:ind w:left="851"/>
        <w:rPr>
          <w:sz w:val="24"/>
          <w:szCs w:val="24"/>
        </w:rPr>
      </w:pPr>
    </w:p>
    <w:p w14:paraId="1296895C" w14:textId="3E7CD2E9"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metabolitter udskilles primært fra det systemiske kredsløb via nyrerne. Et studie med voksne patienter med let til svært nedsat nyrefunktion viste, at </w:t>
      </w:r>
      <w:proofErr w:type="spellStart"/>
      <w:r w:rsidRPr="00951EF6">
        <w:rPr>
          <w:sz w:val="24"/>
          <w:szCs w:val="24"/>
        </w:rPr>
        <w:t>clearance</w:t>
      </w:r>
      <w:proofErr w:type="spellEnd"/>
      <w:r w:rsidRPr="00951EF6">
        <w:rPr>
          <w:sz w:val="24"/>
          <w:szCs w:val="24"/>
        </w:rPr>
        <w:t xml:space="preserve"> afhænger af nyrefunktionen. Dosisjustering anbefales under behandling med </w:t>
      </w:r>
      <w:proofErr w:type="spellStart"/>
      <w:r w:rsidR="00951EF6" w:rsidRPr="00951EF6">
        <w:rPr>
          <w:sz w:val="24"/>
          <w:szCs w:val="24"/>
        </w:rPr>
        <w:t>Arupsan</w:t>
      </w:r>
      <w:proofErr w:type="spellEnd"/>
      <w:r w:rsidRPr="00951EF6">
        <w:rPr>
          <w:sz w:val="24"/>
          <w:szCs w:val="24"/>
        </w:rPr>
        <w:t xml:space="preserve"> hos patienter, voksne og børn over 6 år, med </w:t>
      </w:r>
      <w:proofErr w:type="spellStart"/>
      <w:r w:rsidRPr="00951EF6">
        <w:rPr>
          <w:sz w:val="24"/>
          <w:szCs w:val="24"/>
        </w:rPr>
        <w:t>kreatininclearance</w:t>
      </w:r>
      <w:proofErr w:type="spellEnd"/>
      <w:r w:rsidRPr="00951EF6">
        <w:rPr>
          <w:sz w:val="24"/>
          <w:szCs w:val="24"/>
        </w:rPr>
        <w:t xml:space="preserve"> &lt;60 ml/min (se pkt. 4.2).</w:t>
      </w:r>
    </w:p>
    <w:p w14:paraId="342058C0" w14:textId="77777777" w:rsidR="004904F4" w:rsidRPr="00951EF6" w:rsidRDefault="004904F4" w:rsidP="00F516CE">
      <w:pPr>
        <w:ind w:left="851"/>
        <w:rPr>
          <w:sz w:val="24"/>
          <w:szCs w:val="24"/>
        </w:rPr>
      </w:pPr>
      <w:proofErr w:type="spellStart"/>
      <w:r w:rsidRPr="00951EF6">
        <w:rPr>
          <w:sz w:val="24"/>
          <w:szCs w:val="24"/>
        </w:rPr>
        <w:t>Eslicarbazepinacetat</w:t>
      </w:r>
      <w:proofErr w:type="spellEnd"/>
      <w:r w:rsidRPr="00951EF6">
        <w:rPr>
          <w:sz w:val="24"/>
          <w:szCs w:val="24"/>
        </w:rPr>
        <w:t xml:space="preserve"> anbefales ikke til børn i alderen fra 2 til 6 år. I denne alder har elimineringsprocessens naturlige aktivitet endnu ikke nået modenhed. Hæmodialyse fjerner </w:t>
      </w:r>
      <w:proofErr w:type="spellStart"/>
      <w:r w:rsidRPr="00951EF6">
        <w:rPr>
          <w:sz w:val="24"/>
          <w:szCs w:val="24"/>
        </w:rPr>
        <w:t>eslicarbazepinacetats</w:t>
      </w:r>
      <w:proofErr w:type="spellEnd"/>
      <w:r w:rsidRPr="00951EF6">
        <w:rPr>
          <w:sz w:val="24"/>
          <w:szCs w:val="24"/>
        </w:rPr>
        <w:t xml:space="preserve"> metabolitter fra plasma.</w:t>
      </w:r>
    </w:p>
    <w:p w14:paraId="57F99EC8" w14:textId="77777777" w:rsidR="004904F4" w:rsidRPr="00951EF6" w:rsidRDefault="004904F4" w:rsidP="00F516CE">
      <w:pPr>
        <w:ind w:left="851"/>
        <w:rPr>
          <w:sz w:val="24"/>
          <w:szCs w:val="24"/>
        </w:rPr>
      </w:pPr>
    </w:p>
    <w:p w14:paraId="1E4D411D" w14:textId="77777777" w:rsidR="004904F4" w:rsidRPr="00951EF6" w:rsidRDefault="004904F4" w:rsidP="00F516CE">
      <w:pPr>
        <w:ind w:left="851"/>
        <w:rPr>
          <w:sz w:val="24"/>
          <w:szCs w:val="24"/>
          <w:u w:val="single"/>
        </w:rPr>
      </w:pPr>
      <w:r w:rsidRPr="00951EF6">
        <w:rPr>
          <w:sz w:val="24"/>
          <w:szCs w:val="24"/>
          <w:u w:val="single"/>
        </w:rPr>
        <w:t>Nedsat leverfunktion</w:t>
      </w:r>
    </w:p>
    <w:p w14:paraId="14C7C2F0" w14:textId="77777777" w:rsidR="004904F4" w:rsidRPr="00951EF6" w:rsidRDefault="004904F4" w:rsidP="00F516CE">
      <w:pPr>
        <w:ind w:left="851"/>
        <w:rPr>
          <w:sz w:val="24"/>
          <w:szCs w:val="24"/>
        </w:rPr>
      </w:pPr>
    </w:p>
    <w:p w14:paraId="4E8E3D04" w14:textId="77777777" w:rsidR="004904F4" w:rsidRPr="00951EF6" w:rsidRDefault="004904F4" w:rsidP="00F516CE">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og metabolisme blev undersøgt hos raske forsøgspersoner og patienter med moderat nedsat leverfunktion efter gentagne orale doser. Moderat nedsat leverfunktion påvirkede ikke </w:t>
      </w:r>
      <w:proofErr w:type="spellStart"/>
      <w:r w:rsidRPr="00951EF6">
        <w:rPr>
          <w:sz w:val="24"/>
          <w:szCs w:val="24"/>
        </w:rPr>
        <w:t>eslicarbazepinacetats</w:t>
      </w:r>
      <w:proofErr w:type="spellEnd"/>
      <w:r w:rsidRPr="00951EF6">
        <w:rPr>
          <w:sz w:val="24"/>
          <w:szCs w:val="24"/>
        </w:rPr>
        <w:t xml:space="preserve"> farmakokinetik. Dosisjustering er ikke nødvendig hos patienter med let til moderat nedsat leverfunktion (se pkt. 4.2).</w:t>
      </w:r>
    </w:p>
    <w:p w14:paraId="20BB46D1" w14:textId="563197AC" w:rsidR="00FD4B92" w:rsidRDefault="004904F4" w:rsidP="006C4DB3">
      <w:pPr>
        <w:ind w:left="851"/>
        <w:rPr>
          <w:sz w:val="24"/>
          <w:szCs w:val="24"/>
        </w:rPr>
      </w:pPr>
      <w:proofErr w:type="spellStart"/>
      <w:r w:rsidRPr="00951EF6">
        <w:rPr>
          <w:sz w:val="24"/>
          <w:szCs w:val="24"/>
        </w:rPr>
        <w:t>Eslicarbazepinacetats</w:t>
      </w:r>
      <w:proofErr w:type="spellEnd"/>
      <w:r w:rsidRPr="00951EF6">
        <w:rPr>
          <w:sz w:val="24"/>
          <w:szCs w:val="24"/>
        </w:rPr>
        <w:t xml:space="preserve"> farmakokinetik er ikke undersøgt hos patienter med alvorligt nedsat leverfunktion.</w:t>
      </w:r>
    </w:p>
    <w:p w14:paraId="58684BA8" w14:textId="77777777" w:rsidR="004904F4" w:rsidRPr="00951EF6" w:rsidRDefault="004904F4" w:rsidP="00F516CE">
      <w:pPr>
        <w:ind w:left="851"/>
        <w:rPr>
          <w:sz w:val="24"/>
          <w:szCs w:val="24"/>
        </w:rPr>
      </w:pPr>
    </w:p>
    <w:p w14:paraId="4B9894D2" w14:textId="77777777" w:rsidR="004904F4" w:rsidRPr="00951EF6" w:rsidRDefault="004904F4" w:rsidP="00F516CE">
      <w:pPr>
        <w:ind w:left="851"/>
        <w:rPr>
          <w:sz w:val="24"/>
          <w:szCs w:val="24"/>
          <w:u w:val="single"/>
        </w:rPr>
      </w:pPr>
      <w:r w:rsidRPr="00951EF6">
        <w:rPr>
          <w:sz w:val="24"/>
          <w:szCs w:val="24"/>
          <w:u w:val="single"/>
        </w:rPr>
        <w:t>Køn</w:t>
      </w:r>
    </w:p>
    <w:p w14:paraId="37920E69" w14:textId="77777777" w:rsidR="004904F4" w:rsidRPr="00951EF6" w:rsidRDefault="004904F4" w:rsidP="00F516CE">
      <w:pPr>
        <w:ind w:left="851"/>
        <w:rPr>
          <w:sz w:val="24"/>
          <w:szCs w:val="24"/>
        </w:rPr>
      </w:pPr>
    </w:p>
    <w:p w14:paraId="793FAEFA" w14:textId="77777777" w:rsidR="004904F4" w:rsidRPr="00951EF6" w:rsidRDefault="004904F4" w:rsidP="00F516CE">
      <w:pPr>
        <w:ind w:left="851"/>
        <w:rPr>
          <w:sz w:val="24"/>
          <w:szCs w:val="24"/>
        </w:rPr>
      </w:pPr>
      <w:r w:rsidRPr="00951EF6">
        <w:rPr>
          <w:sz w:val="24"/>
          <w:szCs w:val="24"/>
        </w:rPr>
        <w:t xml:space="preserve">Studier med raske forsøgspersoner og patienter viste, at </w:t>
      </w:r>
      <w:proofErr w:type="spellStart"/>
      <w:r w:rsidRPr="00951EF6">
        <w:rPr>
          <w:sz w:val="24"/>
          <w:szCs w:val="24"/>
        </w:rPr>
        <w:t>eslicarbazepins</w:t>
      </w:r>
      <w:proofErr w:type="spellEnd"/>
      <w:r w:rsidRPr="00951EF6">
        <w:rPr>
          <w:sz w:val="24"/>
          <w:szCs w:val="24"/>
        </w:rPr>
        <w:t xml:space="preserve"> farmakokinetik var uafhængig af køn.</w:t>
      </w:r>
    </w:p>
    <w:p w14:paraId="1B28AF0C" w14:textId="77777777" w:rsidR="004904F4" w:rsidRPr="00951EF6" w:rsidRDefault="004904F4" w:rsidP="00F516CE">
      <w:pPr>
        <w:ind w:left="851"/>
        <w:rPr>
          <w:sz w:val="24"/>
          <w:szCs w:val="24"/>
        </w:rPr>
      </w:pPr>
    </w:p>
    <w:p w14:paraId="02D02D83" w14:textId="77777777" w:rsidR="004904F4" w:rsidRPr="00951EF6" w:rsidRDefault="004904F4" w:rsidP="00F516CE">
      <w:pPr>
        <w:ind w:left="851"/>
        <w:rPr>
          <w:b/>
          <w:i/>
          <w:sz w:val="24"/>
          <w:szCs w:val="24"/>
        </w:rPr>
      </w:pPr>
      <w:r w:rsidRPr="00951EF6">
        <w:rPr>
          <w:b/>
          <w:i/>
          <w:sz w:val="24"/>
          <w:szCs w:val="24"/>
        </w:rPr>
        <w:t>Pædiatrisk population</w:t>
      </w:r>
    </w:p>
    <w:p w14:paraId="076EBF61" w14:textId="77777777" w:rsidR="004904F4" w:rsidRPr="00B7276A" w:rsidRDefault="004904F4" w:rsidP="00F516CE">
      <w:pPr>
        <w:ind w:left="851"/>
        <w:rPr>
          <w:sz w:val="24"/>
          <w:szCs w:val="24"/>
        </w:rPr>
      </w:pPr>
    </w:p>
    <w:p w14:paraId="3EB095FA" w14:textId="342B480B" w:rsidR="004904F4" w:rsidRPr="00951EF6" w:rsidRDefault="004904F4" w:rsidP="00FD4B92">
      <w:pPr>
        <w:ind w:left="851"/>
        <w:rPr>
          <w:sz w:val="24"/>
          <w:szCs w:val="24"/>
        </w:rPr>
      </w:pPr>
      <w:proofErr w:type="spellStart"/>
      <w:r w:rsidRPr="00951EF6">
        <w:rPr>
          <w:sz w:val="24"/>
          <w:szCs w:val="24"/>
        </w:rPr>
        <w:t>Eslicarbazepinacetat</w:t>
      </w:r>
      <w:proofErr w:type="spellEnd"/>
      <w:r w:rsidRPr="00951EF6">
        <w:rPr>
          <w:sz w:val="24"/>
          <w:szCs w:val="24"/>
        </w:rPr>
        <w:t xml:space="preserve"> omdannes tilsvarende som hos voksne i kraftig grad til </w:t>
      </w:r>
      <w:proofErr w:type="spellStart"/>
      <w:r w:rsidRPr="00951EF6">
        <w:rPr>
          <w:sz w:val="24"/>
          <w:szCs w:val="24"/>
        </w:rPr>
        <w:t>eslicarbazepin</w:t>
      </w:r>
      <w:proofErr w:type="spellEnd"/>
      <w:r w:rsidRPr="00951EF6">
        <w:rPr>
          <w:sz w:val="24"/>
          <w:szCs w:val="24"/>
        </w:rPr>
        <w:t xml:space="preserve">. Plasmaniveauerne af </w:t>
      </w:r>
      <w:proofErr w:type="spellStart"/>
      <w:r w:rsidRPr="00951EF6">
        <w:rPr>
          <w:sz w:val="24"/>
          <w:szCs w:val="24"/>
        </w:rPr>
        <w:t>eslicarbazepinacetat</w:t>
      </w:r>
      <w:proofErr w:type="spellEnd"/>
      <w:r w:rsidRPr="00951EF6">
        <w:rPr>
          <w:sz w:val="24"/>
          <w:szCs w:val="24"/>
        </w:rPr>
        <w:t xml:space="preserve"> forbliver sædvanligvis under kvantificerings</w:t>
      </w:r>
      <w:r w:rsidR="00FD4B92">
        <w:rPr>
          <w:sz w:val="24"/>
          <w:szCs w:val="24"/>
        </w:rPr>
        <w:softHyphen/>
      </w:r>
      <w:r w:rsidRPr="00951EF6">
        <w:rPr>
          <w:sz w:val="24"/>
          <w:szCs w:val="24"/>
        </w:rPr>
        <w:t xml:space="preserve">grænsen efter </w:t>
      </w:r>
      <w:r w:rsidRPr="00951EF6">
        <w:rPr>
          <w:position w:val="2"/>
          <w:sz w:val="24"/>
          <w:szCs w:val="24"/>
        </w:rPr>
        <w:t xml:space="preserve">oral administration. </w:t>
      </w:r>
      <w:proofErr w:type="spellStart"/>
      <w:r w:rsidRPr="00951EF6">
        <w:rPr>
          <w:position w:val="2"/>
          <w:sz w:val="24"/>
          <w:szCs w:val="24"/>
        </w:rPr>
        <w:t>Eslicarbazepin</w:t>
      </w:r>
      <w:proofErr w:type="spellEnd"/>
      <w:r w:rsidRPr="00951EF6">
        <w:rPr>
          <w:position w:val="2"/>
          <w:sz w:val="24"/>
          <w:szCs w:val="24"/>
        </w:rPr>
        <w:t xml:space="preserve"> </w:t>
      </w:r>
      <w:proofErr w:type="spellStart"/>
      <w:r w:rsidR="00B7276A">
        <w:rPr>
          <w:position w:val="2"/>
          <w:sz w:val="24"/>
          <w:szCs w:val="24"/>
        </w:rPr>
        <w:t>C</w:t>
      </w:r>
      <w:r w:rsidR="00B7276A" w:rsidRPr="00B7276A">
        <w:rPr>
          <w:position w:val="2"/>
          <w:sz w:val="24"/>
          <w:szCs w:val="24"/>
          <w:vertAlign w:val="subscript"/>
        </w:rPr>
        <w:t>max</w:t>
      </w:r>
      <w:proofErr w:type="spellEnd"/>
      <w:r w:rsidR="00B7276A">
        <w:rPr>
          <w:position w:val="2"/>
          <w:sz w:val="24"/>
          <w:szCs w:val="24"/>
        </w:rPr>
        <w:t xml:space="preserve"> </w:t>
      </w:r>
      <w:r w:rsidRPr="00951EF6">
        <w:rPr>
          <w:position w:val="2"/>
          <w:sz w:val="24"/>
          <w:szCs w:val="24"/>
        </w:rPr>
        <w:t xml:space="preserve">opnås 2 til 3 timer efter administration </w:t>
      </w:r>
      <w:r w:rsidR="00B7276A">
        <w:rPr>
          <w:position w:val="2"/>
          <w:sz w:val="24"/>
          <w:szCs w:val="24"/>
        </w:rPr>
        <w:t>(</w:t>
      </w:r>
      <w:proofErr w:type="spellStart"/>
      <w:r w:rsidR="00B7276A">
        <w:rPr>
          <w:position w:val="2"/>
          <w:sz w:val="24"/>
          <w:szCs w:val="24"/>
        </w:rPr>
        <w:t>t</w:t>
      </w:r>
      <w:r w:rsidR="00B7276A" w:rsidRPr="00B7276A">
        <w:rPr>
          <w:position w:val="2"/>
          <w:sz w:val="24"/>
          <w:szCs w:val="24"/>
          <w:vertAlign w:val="subscript"/>
        </w:rPr>
        <w:t>max</w:t>
      </w:r>
      <w:proofErr w:type="spellEnd"/>
      <w:r w:rsidR="00B7276A">
        <w:rPr>
          <w:position w:val="2"/>
          <w:sz w:val="24"/>
          <w:szCs w:val="24"/>
        </w:rPr>
        <w:t>).</w:t>
      </w:r>
      <w:r w:rsidRPr="00951EF6">
        <w:rPr>
          <w:position w:val="2"/>
          <w:sz w:val="24"/>
          <w:szCs w:val="24"/>
        </w:rPr>
        <w:t xml:space="preserve"> Det er blevet </w:t>
      </w:r>
      <w:r w:rsidRPr="00951EF6">
        <w:rPr>
          <w:sz w:val="24"/>
          <w:szCs w:val="24"/>
        </w:rPr>
        <w:t xml:space="preserve">vist, at kropsvægt har en indvirkning på distributionsvolumen og </w:t>
      </w:r>
      <w:proofErr w:type="spellStart"/>
      <w:r w:rsidRPr="00951EF6">
        <w:rPr>
          <w:sz w:val="24"/>
          <w:szCs w:val="24"/>
        </w:rPr>
        <w:t>clearance</w:t>
      </w:r>
      <w:proofErr w:type="spellEnd"/>
      <w:r w:rsidRPr="00951EF6">
        <w:rPr>
          <w:sz w:val="24"/>
          <w:szCs w:val="24"/>
        </w:rPr>
        <w:t xml:space="preserve">. Endvidere kunne det ikke udelukkes, at alder spiller en </w:t>
      </w:r>
      <w:r w:rsidRPr="00951EF6">
        <w:rPr>
          <w:sz w:val="24"/>
          <w:szCs w:val="24"/>
        </w:rPr>
        <w:lastRenderedPageBreak/>
        <w:t xml:space="preserve">rolle uafhængigt af vægt i forhold til </w:t>
      </w:r>
      <w:proofErr w:type="spellStart"/>
      <w:r w:rsidRPr="00951EF6">
        <w:rPr>
          <w:sz w:val="24"/>
          <w:szCs w:val="24"/>
        </w:rPr>
        <w:t>clearance</w:t>
      </w:r>
      <w:proofErr w:type="spellEnd"/>
      <w:r w:rsidRPr="00951EF6">
        <w:rPr>
          <w:sz w:val="24"/>
          <w:szCs w:val="24"/>
        </w:rPr>
        <w:t xml:space="preserve"> af </w:t>
      </w:r>
      <w:proofErr w:type="spellStart"/>
      <w:r w:rsidRPr="00951EF6">
        <w:rPr>
          <w:sz w:val="24"/>
          <w:szCs w:val="24"/>
        </w:rPr>
        <w:t>eslicarbazepinacetat</w:t>
      </w:r>
      <w:proofErr w:type="spellEnd"/>
      <w:r w:rsidRPr="00951EF6">
        <w:rPr>
          <w:sz w:val="24"/>
          <w:szCs w:val="24"/>
        </w:rPr>
        <w:t>, især for den yngste aldersgruppe (2-6 år).</w:t>
      </w:r>
    </w:p>
    <w:p w14:paraId="177668F6" w14:textId="77777777" w:rsidR="004904F4" w:rsidRPr="00951EF6" w:rsidRDefault="004904F4" w:rsidP="00FD4B92">
      <w:pPr>
        <w:ind w:left="851"/>
        <w:rPr>
          <w:sz w:val="24"/>
          <w:szCs w:val="24"/>
        </w:rPr>
      </w:pPr>
    </w:p>
    <w:p w14:paraId="34A5650F" w14:textId="77777777" w:rsidR="004904F4" w:rsidRPr="00951EF6" w:rsidRDefault="004904F4" w:rsidP="00F516CE">
      <w:pPr>
        <w:ind w:left="851"/>
        <w:rPr>
          <w:sz w:val="24"/>
          <w:szCs w:val="24"/>
          <w:u w:val="single"/>
        </w:rPr>
      </w:pPr>
      <w:r w:rsidRPr="00951EF6">
        <w:rPr>
          <w:sz w:val="24"/>
          <w:szCs w:val="24"/>
          <w:u w:val="single"/>
        </w:rPr>
        <w:t>Børn i alderen 6 år og derunder</w:t>
      </w:r>
    </w:p>
    <w:p w14:paraId="4822B30F" w14:textId="77777777" w:rsidR="004904F4" w:rsidRPr="00951EF6" w:rsidRDefault="004904F4" w:rsidP="00F516CE">
      <w:pPr>
        <w:ind w:left="851"/>
        <w:rPr>
          <w:sz w:val="24"/>
          <w:szCs w:val="24"/>
        </w:rPr>
      </w:pPr>
    </w:p>
    <w:p w14:paraId="763C32A5" w14:textId="77777777" w:rsidR="004904F4" w:rsidRPr="00951EF6" w:rsidRDefault="004904F4" w:rsidP="00F516CE">
      <w:pPr>
        <w:ind w:left="851"/>
        <w:rPr>
          <w:sz w:val="24"/>
          <w:szCs w:val="24"/>
        </w:rPr>
      </w:pPr>
      <w:r w:rsidRPr="00951EF6">
        <w:rPr>
          <w:sz w:val="24"/>
          <w:szCs w:val="24"/>
        </w:rPr>
        <w:t>Populationsfarmakokinetikken viser, at det i undergruppen med børn i alderen fra 2 til 6 år er nødvendigt med doser på 27,5 mg/kg/dag og 40 mg/kg/dag for at opnå eksponeringer, der svarer til de terapeutiske doser på 20 og 30 mg/kg/dag hos børn over 6 år.</w:t>
      </w:r>
    </w:p>
    <w:p w14:paraId="7E6FC8DE" w14:textId="77777777" w:rsidR="004904F4" w:rsidRPr="00951EF6" w:rsidRDefault="004904F4" w:rsidP="00F516CE">
      <w:pPr>
        <w:ind w:left="851"/>
        <w:rPr>
          <w:sz w:val="24"/>
          <w:szCs w:val="24"/>
        </w:rPr>
      </w:pPr>
    </w:p>
    <w:p w14:paraId="2179E044" w14:textId="77777777" w:rsidR="004904F4" w:rsidRPr="00951EF6" w:rsidRDefault="004904F4" w:rsidP="00F516CE">
      <w:pPr>
        <w:ind w:left="851"/>
        <w:rPr>
          <w:sz w:val="24"/>
          <w:szCs w:val="24"/>
          <w:u w:val="single"/>
        </w:rPr>
      </w:pPr>
      <w:r w:rsidRPr="00951EF6">
        <w:rPr>
          <w:sz w:val="24"/>
          <w:szCs w:val="24"/>
          <w:u w:val="single"/>
        </w:rPr>
        <w:t>Børn over 6 år</w:t>
      </w:r>
    </w:p>
    <w:p w14:paraId="5B9D4EAB" w14:textId="77777777" w:rsidR="004904F4" w:rsidRPr="00951EF6" w:rsidRDefault="004904F4" w:rsidP="00F516CE">
      <w:pPr>
        <w:ind w:left="851"/>
        <w:rPr>
          <w:sz w:val="24"/>
          <w:szCs w:val="24"/>
        </w:rPr>
      </w:pPr>
    </w:p>
    <w:p w14:paraId="3CDFD847" w14:textId="77777777" w:rsidR="004904F4" w:rsidRPr="00951EF6" w:rsidRDefault="004904F4" w:rsidP="00F516CE">
      <w:pPr>
        <w:ind w:left="851"/>
        <w:rPr>
          <w:sz w:val="24"/>
          <w:szCs w:val="24"/>
        </w:rPr>
      </w:pPr>
      <w:r w:rsidRPr="00951EF6">
        <w:rPr>
          <w:sz w:val="24"/>
          <w:szCs w:val="24"/>
        </w:rPr>
        <w:t xml:space="preserve">Populationsfarmakokinetikken viser, at der observeres sammenlignelig eksponering af </w:t>
      </w:r>
      <w:proofErr w:type="spellStart"/>
      <w:r w:rsidRPr="00951EF6">
        <w:rPr>
          <w:sz w:val="24"/>
          <w:szCs w:val="24"/>
        </w:rPr>
        <w:t>eslicarbazepin</w:t>
      </w:r>
      <w:proofErr w:type="spellEnd"/>
      <w:r w:rsidRPr="00951EF6">
        <w:rPr>
          <w:sz w:val="24"/>
          <w:szCs w:val="24"/>
        </w:rPr>
        <w:t xml:space="preserve"> mellem 20 og 30 mg/kg/dag hos børn over 6 år og voksne ved henholdsvis 800 og 1200 mg </w:t>
      </w:r>
      <w:proofErr w:type="spellStart"/>
      <w:r w:rsidRPr="00951EF6">
        <w:rPr>
          <w:sz w:val="24"/>
          <w:szCs w:val="24"/>
        </w:rPr>
        <w:t>eslicarbazepinacetat</w:t>
      </w:r>
      <w:proofErr w:type="spellEnd"/>
      <w:r w:rsidRPr="00951EF6">
        <w:rPr>
          <w:sz w:val="24"/>
          <w:szCs w:val="24"/>
        </w:rPr>
        <w:t xml:space="preserve"> en gang dagligt (se pkt. 4.2).</w:t>
      </w:r>
    </w:p>
    <w:p w14:paraId="13D630A3" w14:textId="77777777" w:rsidR="009260DE" w:rsidRPr="00951EF6" w:rsidRDefault="009260DE" w:rsidP="009260DE">
      <w:pPr>
        <w:tabs>
          <w:tab w:val="left" w:pos="851"/>
        </w:tabs>
        <w:ind w:left="851"/>
        <w:rPr>
          <w:sz w:val="24"/>
          <w:szCs w:val="24"/>
        </w:rPr>
      </w:pPr>
    </w:p>
    <w:p w14:paraId="1B149317" w14:textId="77777777" w:rsidR="009260DE" w:rsidRPr="00951EF6" w:rsidRDefault="009260DE" w:rsidP="009260DE">
      <w:pPr>
        <w:tabs>
          <w:tab w:val="left" w:pos="851"/>
        </w:tabs>
        <w:ind w:left="851" w:hanging="851"/>
        <w:rPr>
          <w:b/>
          <w:sz w:val="24"/>
          <w:szCs w:val="24"/>
        </w:rPr>
      </w:pPr>
      <w:r w:rsidRPr="00951EF6">
        <w:rPr>
          <w:b/>
          <w:sz w:val="24"/>
          <w:szCs w:val="24"/>
        </w:rPr>
        <w:t>5.3</w:t>
      </w:r>
      <w:r w:rsidRPr="00951EF6">
        <w:rPr>
          <w:b/>
          <w:sz w:val="24"/>
          <w:szCs w:val="24"/>
        </w:rPr>
        <w:tab/>
        <w:t>Prækliniske sikkerhedsdata</w:t>
      </w:r>
    </w:p>
    <w:p w14:paraId="0CB32542" w14:textId="77777777" w:rsidR="004904F4" w:rsidRPr="00951EF6" w:rsidRDefault="004904F4" w:rsidP="00F516CE">
      <w:pPr>
        <w:ind w:left="851"/>
        <w:rPr>
          <w:sz w:val="24"/>
          <w:szCs w:val="24"/>
        </w:rPr>
      </w:pPr>
      <w:r w:rsidRPr="00951EF6">
        <w:rPr>
          <w:sz w:val="24"/>
          <w:szCs w:val="24"/>
        </w:rPr>
        <w:t xml:space="preserve">De bivirkninger, der blev observeret i dyrestudier, indtraf ved eksponeringsniveau, der var betydeligt lavere end det kliniske eksponeringsniveau for </w:t>
      </w:r>
      <w:proofErr w:type="spellStart"/>
      <w:r w:rsidRPr="00951EF6">
        <w:rPr>
          <w:sz w:val="24"/>
          <w:szCs w:val="24"/>
        </w:rPr>
        <w:t>eslicarbazepin</w:t>
      </w:r>
      <w:proofErr w:type="spellEnd"/>
      <w:r w:rsidRPr="00951EF6">
        <w:rPr>
          <w:sz w:val="24"/>
          <w:szCs w:val="24"/>
        </w:rPr>
        <w:t xml:space="preserve"> (den primære og farmakologisk aktive metabolit af </w:t>
      </w:r>
      <w:proofErr w:type="spellStart"/>
      <w:r w:rsidRPr="00951EF6">
        <w:rPr>
          <w:sz w:val="24"/>
          <w:szCs w:val="24"/>
        </w:rPr>
        <w:t>eslicarbazepinacetat</w:t>
      </w:r>
      <w:proofErr w:type="spellEnd"/>
      <w:r w:rsidRPr="00951EF6">
        <w:rPr>
          <w:sz w:val="24"/>
          <w:szCs w:val="24"/>
        </w:rPr>
        <w:t>). Der er således ikke fastsat sikkerhedsmarginer ud fra sammenlignelig eksponering.</w:t>
      </w:r>
    </w:p>
    <w:p w14:paraId="4FA90AD9" w14:textId="77777777" w:rsidR="004904F4" w:rsidRPr="00951EF6" w:rsidRDefault="004904F4" w:rsidP="00F516CE">
      <w:pPr>
        <w:ind w:left="851"/>
        <w:rPr>
          <w:sz w:val="24"/>
          <w:szCs w:val="24"/>
        </w:rPr>
      </w:pPr>
    </w:p>
    <w:p w14:paraId="231217AD" w14:textId="77777777" w:rsidR="004904F4" w:rsidRPr="00951EF6" w:rsidRDefault="004904F4" w:rsidP="00F516CE">
      <w:pPr>
        <w:ind w:left="851"/>
        <w:rPr>
          <w:sz w:val="24"/>
          <w:szCs w:val="24"/>
        </w:rPr>
      </w:pPr>
      <w:r w:rsidRPr="00951EF6">
        <w:rPr>
          <w:sz w:val="24"/>
          <w:szCs w:val="24"/>
        </w:rPr>
        <w:t xml:space="preserve">Der blev påvist </w:t>
      </w:r>
      <w:proofErr w:type="spellStart"/>
      <w:r w:rsidRPr="00951EF6">
        <w:rPr>
          <w:sz w:val="24"/>
          <w:szCs w:val="24"/>
        </w:rPr>
        <w:t>nefrotoksicitet</w:t>
      </w:r>
      <w:proofErr w:type="spellEnd"/>
      <w:r w:rsidRPr="00951EF6">
        <w:rPr>
          <w:sz w:val="24"/>
          <w:szCs w:val="24"/>
        </w:rPr>
        <w:t xml:space="preserve"> i undersøgelser af toksicitet efter gentagne doser hos rotter, mens det ikke forekom i undersøgelser hos mus eller hunde, og dette svarer til forværring af spontan kronisk progredierende </w:t>
      </w:r>
      <w:proofErr w:type="spellStart"/>
      <w:r w:rsidRPr="00951EF6">
        <w:rPr>
          <w:sz w:val="24"/>
          <w:szCs w:val="24"/>
        </w:rPr>
        <w:t>nefropati</w:t>
      </w:r>
      <w:proofErr w:type="spellEnd"/>
      <w:r w:rsidRPr="00951EF6">
        <w:rPr>
          <w:sz w:val="24"/>
          <w:szCs w:val="24"/>
        </w:rPr>
        <w:t xml:space="preserve"> hos denne dyreart.</w:t>
      </w:r>
    </w:p>
    <w:p w14:paraId="08231075" w14:textId="77777777" w:rsidR="004904F4" w:rsidRPr="00951EF6" w:rsidRDefault="004904F4" w:rsidP="00F516CE">
      <w:pPr>
        <w:ind w:left="851"/>
        <w:rPr>
          <w:sz w:val="24"/>
          <w:szCs w:val="24"/>
        </w:rPr>
      </w:pPr>
    </w:p>
    <w:p w14:paraId="443B0C5B" w14:textId="77777777" w:rsidR="004904F4" w:rsidRPr="00951EF6" w:rsidRDefault="004904F4" w:rsidP="00F516CE">
      <w:pPr>
        <w:ind w:left="851"/>
        <w:rPr>
          <w:sz w:val="24"/>
          <w:szCs w:val="24"/>
        </w:rPr>
      </w:pPr>
      <w:r w:rsidRPr="00951EF6">
        <w:rPr>
          <w:sz w:val="24"/>
          <w:szCs w:val="24"/>
        </w:rPr>
        <w:t xml:space="preserve">Der sås </w:t>
      </w:r>
      <w:proofErr w:type="spellStart"/>
      <w:r w:rsidRPr="00951EF6">
        <w:rPr>
          <w:sz w:val="24"/>
          <w:szCs w:val="24"/>
        </w:rPr>
        <w:t>hepatisk</w:t>
      </w:r>
      <w:proofErr w:type="spellEnd"/>
      <w:r w:rsidRPr="00951EF6">
        <w:rPr>
          <w:sz w:val="24"/>
          <w:szCs w:val="24"/>
        </w:rPr>
        <w:t xml:space="preserve"> </w:t>
      </w:r>
      <w:proofErr w:type="spellStart"/>
      <w:r w:rsidRPr="00951EF6">
        <w:rPr>
          <w:sz w:val="24"/>
          <w:szCs w:val="24"/>
        </w:rPr>
        <w:t>centrilobulær</w:t>
      </w:r>
      <w:proofErr w:type="spellEnd"/>
      <w:r w:rsidRPr="00951EF6">
        <w:rPr>
          <w:sz w:val="24"/>
          <w:szCs w:val="24"/>
        </w:rPr>
        <w:t xml:space="preserve"> hypertrofi i toksicitetsundersøgelser efter gentagne doser hos mus og rotter og en øget </w:t>
      </w:r>
      <w:proofErr w:type="spellStart"/>
      <w:r w:rsidRPr="00951EF6">
        <w:rPr>
          <w:sz w:val="24"/>
          <w:szCs w:val="24"/>
        </w:rPr>
        <w:t>incidens</w:t>
      </w:r>
      <w:proofErr w:type="spellEnd"/>
      <w:r w:rsidRPr="00951EF6">
        <w:rPr>
          <w:sz w:val="24"/>
          <w:szCs w:val="24"/>
        </w:rPr>
        <w:t xml:space="preserve"> af levertumorer i </w:t>
      </w:r>
      <w:proofErr w:type="spellStart"/>
      <w:r w:rsidRPr="00951EF6">
        <w:rPr>
          <w:sz w:val="24"/>
          <w:szCs w:val="24"/>
        </w:rPr>
        <w:t>karcinogenicitetsstudiet</w:t>
      </w:r>
      <w:proofErr w:type="spellEnd"/>
      <w:r w:rsidRPr="00951EF6">
        <w:rPr>
          <w:sz w:val="24"/>
          <w:szCs w:val="24"/>
        </w:rPr>
        <w:t xml:space="preserve"> hos mus. Disse fund svarer til en induktion af </w:t>
      </w:r>
      <w:proofErr w:type="spellStart"/>
      <w:r w:rsidRPr="00951EF6">
        <w:rPr>
          <w:sz w:val="24"/>
          <w:szCs w:val="24"/>
        </w:rPr>
        <w:t>hepatiske</w:t>
      </w:r>
      <w:proofErr w:type="spellEnd"/>
      <w:r w:rsidRPr="00951EF6">
        <w:rPr>
          <w:sz w:val="24"/>
          <w:szCs w:val="24"/>
        </w:rPr>
        <w:t xml:space="preserve"> </w:t>
      </w:r>
      <w:proofErr w:type="spellStart"/>
      <w:r w:rsidRPr="00951EF6">
        <w:rPr>
          <w:sz w:val="24"/>
          <w:szCs w:val="24"/>
        </w:rPr>
        <w:t>mikrosomale</w:t>
      </w:r>
      <w:proofErr w:type="spellEnd"/>
      <w:r w:rsidRPr="00951EF6">
        <w:rPr>
          <w:sz w:val="24"/>
          <w:szCs w:val="24"/>
        </w:rPr>
        <w:t xml:space="preserve"> enzymer, mens denne virkning ikke sås hos patienter, der fik </w:t>
      </w:r>
      <w:proofErr w:type="spellStart"/>
      <w:r w:rsidRPr="00951EF6">
        <w:rPr>
          <w:sz w:val="24"/>
          <w:szCs w:val="24"/>
        </w:rPr>
        <w:t>eslicarbazepinacetat</w:t>
      </w:r>
      <w:proofErr w:type="spellEnd"/>
      <w:r w:rsidRPr="00951EF6">
        <w:rPr>
          <w:sz w:val="24"/>
          <w:szCs w:val="24"/>
        </w:rPr>
        <w:t>.</w:t>
      </w:r>
    </w:p>
    <w:p w14:paraId="2855CD36" w14:textId="77777777" w:rsidR="004904F4" w:rsidRPr="00951EF6" w:rsidRDefault="004904F4" w:rsidP="00F516CE">
      <w:pPr>
        <w:ind w:left="851"/>
        <w:rPr>
          <w:sz w:val="24"/>
          <w:szCs w:val="24"/>
        </w:rPr>
      </w:pPr>
    </w:p>
    <w:p w14:paraId="7EAE5566" w14:textId="77777777" w:rsidR="004904F4" w:rsidRPr="00951EF6" w:rsidRDefault="004904F4" w:rsidP="00F516CE">
      <w:pPr>
        <w:ind w:left="851"/>
        <w:rPr>
          <w:sz w:val="24"/>
          <w:szCs w:val="24"/>
          <w:u w:val="single"/>
        </w:rPr>
      </w:pPr>
      <w:r w:rsidRPr="00951EF6">
        <w:rPr>
          <w:sz w:val="24"/>
          <w:szCs w:val="24"/>
          <w:u w:val="single"/>
        </w:rPr>
        <w:t>Studier med unge dyr</w:t>
      </w:r>
    </w:p>
    <w:p w14:paraId="010F2085" w14:textId="77777777" w:rsidR="004904F4" w:rsidRPr="00951EF6" w:rsidRDefault="004904F4" w:rsidP="00F516CE">
      <w:pPr>
        <w:ind w:left="851"/>
        <w:rPr>
          <w:sz w:val="24"/>
          <w:szCs w:val="24"/>
          <w:u w:val="single"/>
        </w:rPr>
      </w:pPr>
    </w:p>
    <w:p w14:paraId="3C5F4889" w14:textId="49658BE9" w:rsidR="004904F4" w:rsidRPr="00951EF6" w:rsidRDefault="004904F4" w:rsidP="00F516CE">
      <w:pPr>
        <w:ind w:left="851"/>
        <w:rPr>
          <w:sz w:val="24"/>
          <w:szCs w:val="24"/>
        </w:rPr>
      </w:pPr>
      <w:r w:rsidRPr="00951EF6">
        <w:rPr>
          <w:sz w:val="24"/>
          <w:szCs w:val="24"/>
        </w:rPr>
        <w:t xml:space="preserve">I studier med gentagne doser til unge hunde var toksicitetsprofilen sammenlignelig med den, der observeredes for voksne dyr. I det 10 måneder lange studie observeredes fald i knoglemineralindhold, knogleareal og/eller knoglemineraldensitet i lumbale </w:t>
      </w:r>
      <w:proofErr w:type="spellStart"/>
      <w:r w:rsidRPr="00951EF6">
        <w:rPr>
          <w:sz w:val="24"/>
          <w:szCs w:val="24"/>
        </w:rPr>
        <w:t>vertebrae</w:t>
      </w:r>
      <w:proofErr w:type="spellEnd"/>
      <w:r w:rsidRPr="00951EF6">
        <w:rPr>
          <w:sz w:val="24"/>
          <w:szCs w:val="24"/>
        </w:rPr>
        <w:t xml:space="preserve"> og/eller </w:t>
      </w:r>
      <w:proofErr w:type="spellStart"/>
      <w:r w:rsidRPr="00951EF6">
        <w:rPr>
          <w:sz w:val="24"/>
          <w:szCs w:val="24"/>
        </w:rPr>
        <w:t>femur</w:t>
      </w:r>
      <w:proofErr w:type="spellEnd"/>
      <w:r w:rsidRPr="00951EF6">
        <w:rPr>
          <w:sz w:val="24"/>
          <w:szCs w:val="24"/>
        </w:rPr>
        <w:t xml:space="preserve"> hos højdosis-hundyr ved eksponeringsniveauer, der var lavere end de kliniske eksponeringsniveauer for </w:t>
      </w:r>
      <w:proofErr w:type="spellStart"/>
      <w:r w:rsidRPr="00951EF6">
        <w:rPr>
          <w:sz w:val="24"/>
          <w:szCs w:val="24"/>
        </w:rPr>
        <w:t>eslicarbazepin</w:t>
      </w:r>
      <w:proofErr w:type="spellEnd"/>
      <w:r w:rsidRPr="00951EF6">
        <w:rPr>
          <w:sz w:val="24"/>
          <w:szCs w:val="24"/>
        </w:rPr>
        <w:t xml:space="preserve"> hos børn. </w:t>
      </w:r>
      <w:proofErr w:type="spellStart"/>
      <w:r w:rsidRPr="00951EF6">
        <w:rPr>
          <w:sz w:val="24"/>
          <w:szCs w:val="24"/>
        </w:rPr>
        <w:t>Genotoksicitetsundersøgelser</w:t>
      </w:r>
      <w:proofErr w:type="spellEnd"/>
      <w:r w:rsidRPr="00951EF6">
        <w:rPr>
          <w:sz w:val="24"/>
          <w:szCs w:val="24"/>
        </w:rPr>
        <w:t xml:space="preserve"> med </w:t>
      </w:r>
      <w:proofErr w:type="spellStart"/>
      <w:r w:rsidRPr="00951EF6">
        <w:rPr>
          <w:sz w:val="24"/>
          <w:szCs w:val="24"/>
        </w:rPr>
        <w:t>eslicarbazepinacetat</w:t>
      </w:r>
      <w:proofErr w:type="spellEnd"/>
      <w:r w:rsidRPr="00951EF6">
        <w:rPr>
          <w:sz w:val="24"/>
          <w:szCs w:val="24"/>
        </w:rPr>
        <w:t xml:space="preserve"> viser ingen særlig risiko for mennesker.</w:t>
      </w:r>
    </w:p>
    <w:p w14:paraId="2E6E8EC8" w14:textId="77777777" w:rsidR="004904F4" w:rsidRPr="00951EF6" w:rsidRDefault="004904F4" w:rsidP="00F516CE">
      <w:pPr>
        <w:ind w:left="851"/>
        <w:rPr>
          <w:sz w:val="24"/>
          <w:szCs w:val="24"/>
        </w:rPr>
      </w:pPr>
    </w:p>
    <w:p w14:paraId="626859E2" w14:textId="627A203B" w:rsidR="004904F4" w:rsidRPr="00951EF6" w:rsidRDefault="004904F4" w:rsidP="00F516CE">
      <w:pPr>
        <w:ind w:left="851"/>
        <w:rPr>
          <w:sz w:val="24"/>
          <w:szCs w:val="24"/>
        </w:rPr>
      </w:pPr>
      <w:r w:rsidRPr="00951EF6">
        <w:rPr>
          <w:sz w:val="24"/>
          <w:szCs w:val="24"/>
        </w:rPr>
        <w:t xml:space="preserve">Der observeredes nedsat fertilitet hos hunrotter. De fald i implantationer og levende embryoer, der sås i musefertilitetsstudiet, kan også være tegn på indvirkning på hunlig fertilitet, </w:t>
      </w:r>
      <w:proofErr w:type="spellStart"/>
      <w:r w:rsidRPr="00951EF6">
        <w:rPr>
          <w:sz w:val="24"/>
          <w:szCs w:val="24"/>
        </w:rPr>
        <w:t>corpora</w:t>
      </w:r>
      <w:proofErr w:type="spellEnd"/>
      <w:r w:rsidRPr="00951EF6">
        <w:rPr>
          <w:sz w:val="24"/>
          <w:szCs w:val="24"/>
        </w:rPr>
        <w:t xml:space="preserve"> </w:t>
      </w:r>
      <w:proofErr w:type="spellStart"/>
      <w:r w:rsidRPr="00951EF6">
        <w:rPr>
          <w:sz w:val="24"/>
          <w:szCs w:val="24"/>
        </w:rPr>
        <w:t>lutea</w:t>
      </w:r>
      <w:proofErr w:type="spellEnd"/>
      <w:r w:rsidRPr="00951EF6">
        <w:rPr>
          <w:sz w:val="24"/>
          <w:szCs w:val="24"/>
        </w:rPr>
        <w:t xml:space="preserve">-antallene blev dog ikke vurderet. </w:t>
      </w:r>
      <w:proofErr w:type="spellStart"/>
      <w:r w:rsidRPr="00951EF6">
        <w:rPr>
          <w:sz w:val="24"/>
          <w:szCs w:val="24"/>
        </w:rPr>
        <w:t>Eslicarbazepinacetat</w:t>
      </w:r>
      <w:proofErr w:type="spellEnd"/>
      <w:r w:rsidRPr="00951EF6">
        <w:rPr>
          <w:sz w:val="24"/>
          <w:szCs w:val="24"/>
        </w:rPr>
        <w:t xml:space="preserve"> var ikke </w:t>
      </w:r>
      <w:proofErr w:type="spellStart"/>
      <w:r w:rsidRPr="00951EF6">
        <w:rPr>
          <w:sz w:val="24"/>
          <w:szCs w:val="24"/>
        </w:rPr>
        <w:t>teratogent</w:t>
      </w:r>
      <w:proofErr w:type="spellEnd"/>
      <w:r w:rsidRPr="00951EF6">
        <w:rPr>
          <w:sz w:val="24"/>
          <w:szCs w:val="24"/>
        </w:rPr>
        <w:t xml:space="preserve"> hos rotten eller kaninen, men </w:t>
      </w:r>
      <w:proofErr w:type="gramStart"/>
      <w:r w:rsidRPr="00951EF6">
        <w:rPr>
          <w:sz w:val="24"/>
          <w:szCs w:val="24"/>
        </w:rPr>
        <w:t>det</w:t>
      </w:r>
      <w:proofErr w:type="gramEnd"/>
      <w:r w:rsidRPr="00951EF6">
        <w:rPr>
          <w:sz w:val="24"/>
          <w:szCs w:val="24"/>
        </w:rPr>
        <w:t xml:space="preserve"> inducerede knogleanormaliteter hos musen. Forsinkede </w:t>
      </w:r>
      <w:proofErr w:type="spellStart"/>
      <w:r w:rsidRPr="00951EF6">
        <w:rPr>
          <w:sz w:val="24"/>
          <w:szCs w:val="24"/>
        </w:rPr>
        <w:t>ossifikationer</w:t>
      </w:r>
      <w:proofErr w:type="spellEnd"/>
      <w:r w:rsidRPr="00951EF6">
        <w:rPr>
          <w:sz w:val="24"/>
          <w:szCs w:val="24"/>
        </w:rPr>
        <w:t xml:space="preserve">, reducerede fostervægte, en stigning i mindre knogle- og </w:t>
      </w:r>
      <w:proofErr w:type="spellStart"/>
      <w:r w:rsidRPr="00951EF6">
        <w:rPr>
          <w:sz w:val="24"/>
          <w:szCs w:val="24"/>
        </w:rPr>
        <w:t>viscera</w:t>
      </w:r>
      <w:proofErr w:type="spellEnd"/>
      <w:r w:rsidRPr="00951EF6">
        <w:rPr>
          <w:sz w:val="24"/>
          <w:szCs w:val="24"/>
        </w:rPr>
        <w:t xml:space="preserve">-anomalier blev observeret ved </w:t>
      </w:r>
      <w:proofErr w:type="spellStart"/>
      <w:r w:rsidRPr="00951EF6">
        <w:rPr>
          <w:sz w:val="24"/>
          <w:szCs w:val="24"/>
        </w:rPr>
        <w:t>maternale</w:t>
      </w:r>
      <w:proofErr w:type="spellEnd"/>
      <w:r w:rsidRPr="00951EF6">
        <w:rPr>
          <w:sz w:val="24"/>
          <w:szCs w:val="24"/>
        </w:rPr>
        <w:t xml:space="preserve"> toksiske doser i embryotoksicitetsstudier med mus, rotter og kaniner. En forsinket kønsudvikling i F1-generationen blev observeret i </w:t>
      </w:r>
      <w:proofErr w:type="spellStart"/>
      <w:r w:rsidRPr="00951EF6">
        <w:rPr>
          <w:sz w:val="24"/>
          <w:szCs w:val="24"/>
        </w:rPr>
        <w:t>peri</w:t>
      </w:r>
      <w:proofErr w:type="spellEnd"/>
      <w:r w:rsidRPr="00951EF6">
        <w:rPr>
          <w:sz w:val="24"/>
          <w:szCs w:val="24"/>
        </w:rPr>
        <w:t>/</w:t>
      </w:r>
      <w:proofErr w:type="spellStart"/>
      <w:r w:rsidRPr="00951EF6">
        <w:rPr>
          <w:sz w:val="24"/>
          <w:szCs w:val="24"/>
        </w:rPr>
        <w:t>postnatale</w:t>
      </w:r>
      <w:proofErr w:type="spellEnd"/>
      <w:r w:rsidRPr="00951EF6">
        <w:rPr>
          <w:sz w:val="24"/>
          <w:szCs w:val="24"/>
        </w:rPr>
        <w:t xml:space="preserve"> studier med mus og</w:t>
      </w:r>
      <w:r w:rsidRPr="00951EF6">
        <w:rPr>
          <w:spacing w:val="-2"/>
          <w:sz w:val="24"/>
          <w:szCs w:val="24"/>
        </w:rPr>
        <w:t xml:space="preserve"> </w:t>
      </w:r>
      <w:r w:rsidRPr="00951EF6">
        <w:rPr>
          <w:sz w:val="24"/>
          <w:szCs w:val="24"/>
        </w:rPr>
        <w:t>rotter.</w:t>
      </w:r>
    </w:p>
    <w:p w14:paraId="79A91158" w14:textId="47947627" w:rsidR="009260DE" w:rsidRDefault="009260DE" w:rsidP="009260DE">
      <w:pPr>
        <w:tabs>
          <w:tab w:val="left" w:pos="851"/>
        </w:tabs>
        <w:ind w:left="851"/>
        <w:rPr>
          <w:sz w:val="24"/>
          <w:szCs w:val="24"/>
        </w:rPr>
      </w:pPr>
    </w:p>
    <w:p w14:paraId="258599C0" w14:textId="11681D97" w:rsidR="006C4DB3" w:rsidRDefault="006C4DB3" w:rsidP="009260DE">
      <w:pPr>
        <w:tabs>
          <w:tab w:val="left" w:pos="851"/>
        </w:tabs>
        <w:ind w:left="851"/>
        <w:rPr>
          <w:sz w:val="24"/>
          <w:szCs w:val="24"/>
        </w:rPr>
      </w:pPr>
    </w:p>
    <w:p w14:paraId="6243DE3B" w14:textId="77777777" w:rsidR="006C4DB3" w:rsidRPr="00951EF6" w:rsidRDefault="006C4DB3" w:rsidP="009260DE">
      <w:pPr>
        <w:tabs>
          <w:tab w:val="left" w:pos="851"/>
        </w:tabs>
        <w:ind w:left="851"/>
        <w:rPr>
          <w:sz w:val="24"/>
          <w:szCs w:val="24"/>
        </w:rPr>
      </w:pPr>
    </w:p>
    <w:p w14:paraId="660B5D9E" w14:textId="77777777" w:rsidR="009260DE" w:rsidRPr="00951EF6" w:rsidRDefault="009260DE" w:rsidP="009260DE">
      <w:pPr>
        <w:tabs>
          <w:tab w:val="left" w:pos="851"/>
        </w:tabs>
        <w:ind w:left="851"/>
        <w:rPr>
          <w:sz w:val="24"/>
          <w:szCs w:val="24"/>
        </w:rPr>
      </w:pPr>
    </w:p>
    <w:p w14:paraId="5D1371F4" w14:textId="77777777" w:rsidR="009260DE" w:rsidRPr="00951EF6" w:rsidRDefault="009260DE" w:rsidP="009260DE">
      <w:pPr>
        <w:tabs>
          <w:tab w:val="left" w:pos="851"/>
        </w:tabs>
        <w:ind w:left="851" w:hanging="851"/>
        <w:rPr>
          <w:b/>
          <w:sz w:val="24"/>
          <w:szCs w:val="24"/>
        </w:rPr>
      </w:pPr>
      <w:r w:rsidRPr="00951EF6">
        <w:rPr>
          <w:b/>
          <w:sz w:val="24"/>
          <w:szCs w:val="24"/>
        </w:rPr>
        <w:lastRenderedPageBreak/>
        <w:t>6.</w:t>
      </w:r>
      <w:r w:rsidRPr="00951EF6">
        <w:rPr>
          <w:b/>
          <w:sz w:val="24"/>
          <w:szCs w:val="24"/>
        </w:rPr>
        <w:tab/>
        <w:t>FARMACEUTISKE OPLYSNINGER</w:t>
      </w:r>
    </w:p>
    <w:p w14:paraId="4E078BA3" w14:textId="77777777" w:rsidR="009260DE" w:rsidRPr="00951EF6" w:rsidRDefault="009260DE" w:rsidP="009260DE">
      <w:pPr>
        <w:tabs>
          <w:tab w:val="left" w:pos="851"/>
        </w:tabs>
        <w:ind w:left="851"/>
        <w:rPr>
          <w:sz w:val="24"/>
          <w:szCs w:val="24"/>
        </w:rPr>
      </w:pPr>
    </w:p>
    <w:p w14:paraId="1284B892" w14:textId="77777777" w:rsidR="009260DE" w:rsidRPr="00951EF6" w:rsidRDefault="009260DE" w:rsidP="009260DE">
      <w:pPr>
        <w:tabs>
          <w:tab w:val="left" w:pos="851"/>
        </w:tabs>
        <w:ind w:left="851" w:hanging="851"/>
        <w:rPr>
          <w:b/>
          <w:sz w:val="24"/>
          <w:szCs w:val="24"/>
        </w:rPr>
      </w:pPr>
      <w:r w:rsidRPr="00951EF6">
        <w:rPr>
          <w:b/>
          <w:sz w:val="24"/>
          <w:szCs w:val="24"/>
        </w:rPr>
        <w:t>6.1</w:t>
      </w:r>
      <w:r w:rsidRPr="00951EF6">
        <w:rPr>
          <w:b/>
          <w:sz w:val="24"/>
          <w:szCs w:val="24"/>
        </w:rPr>
        <w:tab/>
        <w:t>Hjælpestoffer</w:t>
      </w:r>
    </w:p>
    <w:p w14:paraId="30E3750C" w14:textId="77777777" w:rsidR="004904F4" w:rsidRPr="00951EF6" w:rsidRDefault="004904F4" w:rsidP="00F516CE">
      <w:pPr>
        <w:ind w:left="851"/>
        <w:rPr>
          <w:sz w:val="24"/>
          <w:szCs w:val="24"/>
        </w:rPr>
      </w:pPr>
      <w:proofErr w:type="spellStart"/>
      <w:r w:rsidRPr="00951EF6">
        <w:rPr>
          <w:sz w:val="24"/>
          <w:szCs w:val="24"/>
        </w:rPr>
        <w:t>Croscarmellosenatrium</w:t>
      </w:r>
      <w:proofErr w:type="spellEnd"/>
      <w:r w:rsidRPr="00951EF6">
        <w:rPr>
          <w:sz w:val="24"/>
          <w:szCs w:val="24"/>
        </w:rPr>
        <w:t xml:space="preserve"> (E468)</w:t>
      </w:r>
    </w:p>
    <w:p w14:paraId="210E13A5" w14:textId="77777777" w:rsidR="004904F4" w:rsidRPr="00951EF6" w:rsidRDefault="004904F4" w:rsidP="00F516CE">
      <w:pPr>
        <w:ind w:left="851"/>
        <w:rPr>
          <w:sz w:val="24"/>
          <w:szCs w:val="24"/>
        </w:rPr>
      </w:pPr>
      <w:proofErr w:type="spellStart"/>
      <w:r w:rsidRPr="00951EF6">
        <w:rPr>
          <w:sz w:val="24"/>
          <w:szCs w:val="24"/>
        </w:rPr>
        <w:t>Magnesiumstearat</w:t>
      </w:r>
      <w:proofErr w:type="spellEnd"/>
      <w:r w:rsidRPr="00951EF6">
        <w:rPr>
          <w:sz w:val="24"/>
          <w:szCs w:val="24"/>
        </w:rPr>
        <w:t xml:space="preserve"> (E572)</w:t>
      </w:r>
    </w:p>
    <w:p w14:paraId="341462F4" w14:textId="77777777" w:rsidR="004904F4" w:rsidRPr="00951EF6" w:rsidRDefault="004904F4" w:rsidP="00F516CE">
      <w:pPr>
        <w:ind w:left="851"/>
        <w:rPr>
          <w:sz w:val="24"/>
          <w:szCs w:val="24"/>
        </w:rPr>
      </w:pPr>
      <w:proofErr w:type="spellStart"/>
      <w:r w:rsidRPr="00951EF6">
        <w:rPr>
          <w:sz w:val="24"/>
          <w:szCs w:val="24"/>
        </w:rPr>
        <w:t>Povidon</w:t>
      </w:r>
      <w:proofErr w:type="spellEnd"/>
      <w:r w:rsidRPr="00951EF6">
        <w:rPr>
          <w:sz w:val="24"/>
          <w:szCs w:val="24"/>
        </w:rPr>
        <w:t xml:space="preserve"> (E1201)</w:t>
      </w:r>
    </w:p>
    <w:p w14:paraId="0D250575" w14:textId="77777777" w:rsidR="004904F4" w:rsidRPr="00951EF6" w:rsidRDefault="004904F4" w:rsidP="00F516CE">
      <w:pPr>
        <w:ind w:left="851"/>
        <w:rPr>
          <w:sz w:val="24"/>
          <w:szCs w:val="24"/>
        </w:rPr>
      </w:pPr>
      <w:r w:rsidRPr="00951EF6">
        <w:rPr>
          <w:sz w:val="24"/>
          <w:szCs w:val="24"/>
        </w:rPr>
        <w:t>Cellulose, mikrokrystallinsk (E460)</w:t>
      </w:r>
    </w:p>
    <w:p w14:paraId="604F12AC" w14:textId="77777777" w:rsidR="004904F4" w:rsidRPr="00951EF6" w:rsidRDefault="004904F4" w:rsidP="00F516CE">
      <w:pPr>
        <w:ind w:left="851"/>
        <w:rPr>
          <w:sz w:val="24"/>
          <w:szCs w:val="24"/>
        </w:rPr>
      </w:pPr>
      <w:r w:rsidRPr="00951EF6">
        <w:rPr>
          <w:sz w:val="24"/>
          <w:szCs w:val="24"/>
        </w:rPr>
        <w:t xml:space="preserve">Kolloid </w:t>
      </w:r>
      <w:proofErr w:type="spellStart"/>
      <w:r w:rsidRPr="00951EF6">
        <w:rPr>
          <w:sz w:val="24"/>
          <w:szCs w:val="24"/>
        </w:rPr>
        <w:t>silica</w:t>
      </w:r>
      <w:proofErr w:type="spellEnd"/>
      <w:r w:rsidRPr="00951EF6">
        <w:rPr>
          <w:sz w:val="24"/>
          <w:szCs w:val="24"/>
        </w:rPr>
        <w:t>, vandfri (E551)</w:t>
      </w:r>
    </w:p>
    <w:p w14:paraId="673BEF8B" w14:textId="77777777" w:rsidR="009260DE" w:rsidRPr="00951EF6" w:rsidRDefault="009260DE" w:rsidP="009260DE">
      <w:pPr>
        <w:tabs>
          <w:tab w:val="left" w:pos="851"/>
        </w:tabs>
        <w:ind w:left="851"/>
        <w:rPr>
          <w:sz w:val="24"/>
          <w:szCs w:val="24"/>
        </w:rPr>
      </w:pPr>
    </w:p>
    <w:p w14:paraId="0161A561" w14:textId="77777777" w:rsidR="009260DE" w:rsidRPr="00951EF6" w:rsidRDefault="009260DE" w:rsidP="009260DE">
      <w:pPr>
        <w:tabs>
          <w:tab w:val="left" w:pos="851"/>
        </w:tabs>
        <w:ind w:left="851" w:hanging="851"/>
        <w:rPr>
          <w:b/>
          <w:sz w:val="24"/>
          <w:szCs w:val="24"/>
        </w:rPr>
      </w:pPr>
      <w:r w:rsidRPr="00951EF6">
        <w:rPr>
          <w:b/>
          <w:sz w:val="24"/>
          <w:szCs w:val="24"/>
        </w:rPr>
        <w:t>6.2</w:t>
      </w:r>
      <w:r w:rsidRPr="00951EF6">
        <w:rPr>
          <w:b/>
          <w:sz w:val="24"/>
          <w:szCs w:val="24"/>
        </w:rPr>
        <w:tab/>
        <w:t>Uforligeligheder</w:t>
      </w:r>
    </w:p>
    <w:p w14:paraId="59D93F1E" w14:textId="77777777" w:rsidR="004904F4" w:rsidRPr="00951EF6" w:rsidRDefault="004904F4" w:rsidP="00F516CE">
      <w:pPr>
        <w:pStyle w:val="Brdtekst"/>
        <w:ind w:left="851"/>
        <w:rPr>
          <w:sz w:val="24"/>
          <w:szCs w:val="24"/>
          <w:lang w:val="da-DK"/>
        </w:rPr>
      </w:pPr>
      <w:r w:rsidRPr="00951EF6">
        <w:rPr>
          <w:sz w:val="24"/>
          <w:szCs w:val="24"/>
          <w:lang w:val="da-DK"/>
        </w:rPr>
        <w:t>Ikke relevant.</w:t>
      </w:r>
    </w:p>
    <w:p w14:paraId="47568CCF" w14:textId="77777777" w:rsidR="009260DE" w:rsidRPr="00951EF6" w:rsidRDefault="009260DE" w:rsidP="009260DE">
      <w:pPr>
        <w:tabs>
          <w:tab w:val="left" w:pos="851"/>
        </w:tabs>
        <w:ind w:left="851"/>
        <w:rPr>
          <w:sz w:val="24"/>
          <w:szCs w:val="24"/>
        </w:rPr>
      </w:pPr>
    </w:p>
    <w:p w14:paraId="5E64AF4F" w14:textId="77777777" w:rsidR="009260DE" w:rsidRPr="00951EF6" w:rsidRDefault="009260DE" w:rsidP="009260DE">
      <w:pPr>
        <w:tabs>
          <w:tab w:val="left" w:pos="851"/>
        </w:tabs>
        <w:ind w:left="851" w:hanging="851"/>
        <w:rPr>
          <w:b/>
          <w:sz w:val="24"/>
          <w:szCs w:val="24"/>
        </w:rPr>
      </w:pPr>
      <w:r w:rsidRPr="00951EF6">
        <w:rPr>
          <w:b/>
          <w:sz w:val="24"/>
          <w:szCs w:val="24"/>
        </w:rPr>
        <w:t>6.3</w:t>
      </w:r>
      <w:r w:rsidRPr="00951EF6">
        <w:rPr>
          <w:b/>
          <w:sz w:val="24"/>
          <w:szCs w:val="24"/>
        </w:rPr>
        <w:tab/>
        <w:t>Opbevaringstid</w:t>
      </w:r>
    </w:p>
    <w:p w14:paraId="4224DCB6" w14:textId="3C8786CD" w:rsidR="004904F4" w:rsidRPr="00951EF6" w:rsidRDefault="00EB3428" w:rsidP="00F516CE">
      <w:pPr>
        <w:ind w:left="851"/>
        <w:rPr>
          <w:sz w:val="24"/>
          <w:szCs w:val="24"/>
        </w:rPr>
      </w:pPr>
      <w:r>
        <w:rPr>
          <w:sz w:val="24"/>
          <w:szCs w:val="24"/>
        </w:rPr>
        <w:t>3</w:t>
      </w:r>
      <w:r w:rsidR="004904F4" w:rsidRPr="00951EF6">
        <w:rPr>
          <w:sz w:val="24"/>
          <w:szCs w:val="24"/>
        </w:rPr>
        <w:t xml:space="preserve"> år.</w:t>
      </w:r>
    </w:p>
    <w:p w14:paraId="256D7DC6" w14:textId="77777777" w:rsidR="009260DE" w:rsidRPr="00951EF6" w:rsidRDefault="009260DE" w:rsidP="009260DE">
      <w:pPr>
        <w:tabs>
          <w:tab w:val="left" w:pos="851"/>
        </w:tabs>
        <w:ind w:left="851"/>
        <w:rPr>
          <w:sz w:val="24"/>
          <w:szCs w:val="24"/>
        </w:rPr>
      </w:pPr>
    </w:p>
    <w:p w14:paraId="747EE001" w14:textId="77777777" w:rsidR="009260DE" w:rsidRPr="00951EF6" w:rsidRDefault="009260DE" w:rsidP="009260DE">
      <w:pPr>
        <w:tabs>
          <w:tab w:val="left" w:pos="851"/>
        </w:tabs>
        <w:ind w:left="851" w:hanging="851"/>
        <w:rPr>
          <w:b/>
          <w:sz w:val="24"/>
          <w:szCs w:val="24"/>
        </w:rPr>
      </w:pPr>
      <w:r w:rsidRPr="00951EF6">
        <w:rPr>
          <w:b/>
          <w:sz w:val="24"/>
          <w:szCs w:val="24"/>
        </w:rPr>
        <w:t>6.4</w:t>
      </w:r>
      <w:r w:rsidRPr="00951EF6">
        <w:rPr>
          <w:b/>
          <w:sz w:val="24"/>
          <w:szCs w:val="24"/>
        </w:rPr>
        <w:tab/>
        <w:t>Særlige opbevaringsforhold</w:t>
      </w:r>
    </w:p>
    <w:p w14:paraId="29411E83" w14:textId="77777777" w:rsidR="004904F4" w:rsidRPr="00951EF6" w:rsidRDefault="004904F4" w:rsidP="00F516CE">
      <w:pPr>
        <w:ind w:left="851"/>
        <w:rPr>
          <w:sz w:val="24"/>
          <w:szCs w:val="24"/>
        </w:rPr>
      </w:pPr>
      <w:r w:rsidRPr="00951EF6">
        <w:rPr>
          <w:sz w:val="24"/>
          <w:szCs w:val="24"/>
        </w:rPr>
        <w:t>Dette lægemiddel kræver ingen særlige forholdsregler vedrørende opbevaringen.</w:t>
      </w:r>
    </w:p>
    <w:p w14:paraId="2590FA2A" w14:textId="77777777" w:rsidR="009260DE" w:rsidRPr="00951EF6" w:rsidRDefault="009260DE" w:rsidP="009260DE">
      <w:pPr>
        <w:tabs>
          <w:tab w:val="left" w:pos="851"/>
        </w:tabs>
        <w:ind w:left="851"/>
        <w:rPr>
          <w:sz w:val="24"/>
          <w:szCs w:val="24"/>
        </w:rPr>
      </w:pPr>
    </w:p>
    <w:p w14:paraId="45D9F560" w14:textId="77777777" w:rsidR="009260DE" w:rsidRPr="00951EF6" w:rsidRDefault="009260DE" w:rsidP="009260DE">
      <w:pPr>
        <w:tabs>
          <w:tab w:val="left" w:pos="851"/>
        </w:tabs>
        <w:ind w:left="851" w:hanging="851"/>
        <w:rPr>
          <w:b/>
          <w:sz w:val="24"/>
          <w:szCs w:val="24"/>
        </w:rPr>
      </w:pPr>
      <w:r w:rsidRPr="00951EF6">
        <w:rPr>
          <w:b/>
          <w:sz w:val="24"/>
          <w:szCs w:val="24"/>
        </w:rPr>
        <w:t>6.5</w:t>
      </w:r>
      <w:r w:rsidRPr="00951EF6">
        <w:rPr>
          <w:b/>
          <w:sz w:val="24"/>
          <w:szCs w:val="24"/>
        </w:rPr>
        <w:tab/>
        <w:t>Emballagetyper og pakningsstørrelser</w:t>
      </w:r>
    </w:p>
    <w:p w14:paraId="390040BC" w14:textId="1E3BEE52" w:rsidR="004904F4" w:rsidRPr="00951EF6" w:rsidRDefault="00460B9B" w:rsidP="00F516CE">
      <w:pPr>
        <w:ind w:left="851"/>
        <w:rPr>
          <w:sz w:val="24"/>
          <w:szCs w:val="24"/>
        </w:rPr>
      </w:pPr>
      <w:r>
        <w:rPr>
          <w:sz w:val="24"/>
          <w:szCs w:val="24"/>
        </w:rPr>
        <w:t>Blister.</w:t>
      </w:r>
    </w:p>
    <w:p w14:paraId="09B88105" w14:textId="77777777" w:rsidR="009260DE" w:rsidRPr="00951EF6" w:rsidRDefault="009260DE" w:rsidP="009260DE">
      <w:pPr>
        <w:tabs>
          <w:tab w:val="left" w:pos="851"/>
        </w:tabs>
        <w:ind w:left="851"/>
        <w:rPr>
          <w:sz w:val="24"/>
          <w:szCs w:val="24"/>
        </w:rPr>
      </w:pPr>
    </w:p>
    <w:p w14:paraId="063A626E" w14:textId="77777777" w:rsidR="009260DE" w:rsidRPr="00951EF6" w:rsidRDefault="009260DE" w:rsidP="009260DE">
      <w:pPr>
        <w:tabs>
          <w:tab w:val="left" w:pos="851"/>
        </w:tabs>
        <w:ind w:left="851" w:hanging="851"/>
        <w:rPr>
          <w:b/>
          <w:sz w:val="24"/>
          <w:szCs w:val="24"/>
        </w:rPr>
      </w:pPr>
      <w:r w:rsidRPr="00951EF6">
        <w:rPr>
          <w:b/>
          <w:sz w:val="24"/>
          <w:szCs w:val="24"/>
        </w:rPr>
        <w:t>6.6</w:t>
      </w:r>
      <w:r w:rsidRPr="00951EF6">
        <w:rPr>
          <w:b/>
          <w:sz w:val="24"/>
          <w:szCs w:val="24"/>
        </w:rPr>
        <w:tab/>
        <w:t>Regler for destruktion og anden håndtering</w:t>
      </w:r>
    </w:p>
    <w:p w14:paraId="44734C85" w14:textId="164B6B94" w:rsidR="006C4DB3" w:rsidRDefault="004904F4" w:rsidP="006C4DB3">
      <w:pPr>
        <w:ind w:left="851"/>
        <w:rPr>
          <w:sz w:val="24"/>
          <w:szCs w:val="24"/>
        </w:rPr>
      </w:pPr>
      <w:r w:rsidRPr="00951EF6">
        <w:rPr>
          <w:sz w:val="24"/>
          <w:szCs w:val="24"/>
        </w:rPr>
        <w:t>Ikke anvendt lægemiddel samt affald heraf skal bortskaffes i henhold til lokale retningslinjer.</w:t>
      </w:r>
    </w:p>
    <w:p w14:paraId="659F6FFB" w14:textId="77777777" w:rsidR="009260DE" w:rsidRPr="00951EF6" w:rsidRDefault="009260DE" w:rsidP="009260DE">
      <w:pPr>
        <w:tabs>
          <w:tab w:val="left" w:pos="851"/>
        </w:tabs>
        <w:ind w:left="851"/>
        <w:jc w:val="both"/>
        <w:rPr>
          <w:sz w:val="24"/>
          <w:szCs w:val="24"/>
        </w:rPr>
      </w:pPr>
    </w:p>
    <w:p w14:paraId="54003622" w14:textId="77777777" w:rsidR="009260DE" w:rsidRPr="00951EF6" w:rsidRDefault="009260DE" w:rsidP="009260DE">
      <w:pPr>
        <w:tabs>
          <w:tab w:val="left" w:pos="851"/>
        </w:tabs>
        <w:ind w:left="851" w:hanging="851"/>
        <w:rPr>
          <w:b/>
          <w:sz w:val="24"/>
          <w:szCs w:val="24"/>
        </w:rPr>
      </w:pPr>
      <w:r w:rsidRPr="00951EF6">
        <w:rPr>
          <w:b/>
          <w:sz w:val="24"/>
          <w:szCs w:val="24"/>
        </w:rPr>
        <w:t>7.</w:t>
      </w:r>
      <w:r w:rsidRPr="00951EF6">
        <w:rPr>
          <w:b/>
          <w:sz w:val="24"/>
          <w:szCs w:val="24"/>
        </w:rPr>
        <w:tab/>
        <w:t>INDEHAVER AF MARKEDSFØRINGSTILLADELSEN</w:t>
      </w:r>
    </w:p>
    <w:p w14:paraId="5D6FE7A0" w14:textId="77777777" w:rsidR="00460B9B" w:rsidRPr="00C77BE5" w:rsidRDefault="00460B9B" w:rsidP="00460B9B">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C77BE5">
        <w:rPr>
          <w:spacing w:val="-3"/>
          <w:sz w:val="24"/>
          <w:szCs w:val="24"/>
        </w:rPr>
        <w:t>Orifarm A/S</w:t>
      </w:r>
    </w:p>
    <w:p w14:paraId="2915C2F0" w14:textId="77777777" w:rsidR="00460B9B" w:rsidRPr="00C77BE5" w:rsidRDefault="00460B9B" w:rsidP="00460B9B">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C77BE5">
        <w:rPr>
          <w:spacing w:val="-3"/>
          <w:sz w:val="24"/>
          <w:szCs w:val="24"/>
        </w:rPr>
        <w:t>Energivej 15</w:t>
      </w:r>
    </w:p>
    <w:p w14:paraId="42E4348C" w14:textId="77777777" w:rsidR="00460B9B" w:rsidRPr="00C77BE5" w:rsidRDefault="00460B9B" w:rsidP="00460B9B">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C77BE5">
        <w:rPr>
          <w:spacing w:val="-3"/>
          <w:sz w:val="24"/>
          <w:szCs w:val="24"/>
        </w:rPr>
        <w:t>5260 Odense S</w:t>
      </w:r>
    </w:p>
    <w:p w14:paraId="02F49DCD" w14:textId="77777777" w:rsidR="009260DE" w:rsidRPr="00C77BE5" w:rsidRDefault="009260DE" w:rsidP="009260DE">
      <w:pPr>
        <w:tabs>
          <w:tab w:val="left" w:pos="851"/>
        </w:tabs>
        <w:ind w:left="851"/>
        <w:rPr>
          <w:sz w:val="24"/>
          <w:szCs w:val="24"/>
        </w:rPr>
      </w:pPr>
    </w:p>
    <w:p w14:paraId="7D5674F2" w14:textId="77777777" w:rsidR="009260DE" w:rsidRPr="00951EF6" w:rsidRDefault="009260DE" w:rsidP="009260DE">
      <w:pPr>
        <w:tabs>
          <w:tab w:val="left" w:pos="851"/>
        </w:tabs>
        <w:ind w:left="851" w:hanging="851"/>
        <w:rPr>
          <w:b/>
          <w:sz w:val="24"/>
          <w:szCs w:val="24"/>
        </w:rPr>
      </w:pPr>
      <w:r w:rsidRPr="00951EF6">
        <w:rPr>
          <w:b/>
          <w:sz w:val="24"/>
          <w:szCs w:val="24"/>
        </w:rPr>
        <w:t>8.</w:t>
      </w:r>
      <w:r w:rsidRPr="00951EF6">
        <w:rPr>
          <w:b/>
          <w:sz w:val="24"/>
          <w:szCs w:val="24"/>
        </w:rPr>
        <w:tab/>
        <w:t>MARKEDSFØRINGSTILLADELSESNUMMER (NUMRE)</w:t>
      </w:r>
    </w:p>
    <w:p w14:paraId="68395BC6" w14:textId="0738C38D" w:rsidR="004904F4" w:rsidRPr="00951EF6" w:rsidRDefault="00460B9B" w:rsidP="009260DE">
      <w:pPr>
        <w:tabs>
          <w:tab w:val="left" w:pos="851"/>
        </w:tabs>
        <w:ind w:left="851"/>
        <w:rPr>
          <w:sz w:val="24"/>
          <w:szCs w:val="24"/>
        </w:rPr>
      </w:pPr>
      <w:r>
        <w:rPr>
          <w:sz w:val="24"/>
          <w:szCs w:val="24"/>
        </w:rPr>
        <w:t>71698</w:t>
      </w:r>
    </w:p>
    <w:p w14:paraId="135ADDBF" w14:textId="77777777" w:rsidR="009260DE" w:rsidRPr="00951EF6" w:rsidRDefault="009260DE" w:rsidP="009260DE">
      <w:pPr>
        <w:tabs>
          <w:tab w:val="left" w:pos="851"/>
        </w:tabs>
        <w:ind w:left="851"/>
        <w:jc w:val="both"/>
        <w:rPr>
          <w:sz w:val="24"/>
          <w:szCs w:val="24"/>
        </w:rPr>
      </w:pPr>
    </w:p>
    <w:p w14:paraId="1FF9B497" w14:textId="77777777" w:rsidR="009260DE" w:rsidRPr="00951EF6" w:rsidRDefault="009260DE" w:rsidP="009260DE">
      <w:pPr>
        <w:tabs>
          <w:tab w:val="left" w:pos="851"/>
        </w:tabs>
        <w:ind w:left="851" w:hanging="851"/>
        <w:rPr>
          <w:b/>
          <w:sz w:val="24"/>
          <w:szCs w:val="24"/>
        </w:rPr>
      </w:pPr>
      <w:r w:rsidRPr="00951EF6">
        <w:rPr>
          <w:b/>
          <w:sz w:val="24"/>
          <w:szCs w:val="24"/>
        </w:rPr>
        <w:t>9.</w:t>
      </w:r>
      <w:r w:rsidRPr="00951EF6">
        <w:rPr>
          <w:b/>
          <w:sz w:val="24"/>
          <w:szCs w:val="24"/>
        </w:rPr>
        <w:tab/>
        <w:t>DATO FOR FØRSTE MARKEDSFØRINGSTILLADELSE</w:t>
      </w:r>
    </w:p>
    <w:p w14:paraId="4991D447" w14:textId="01567BD4" w:rsidR="009260DE" w:rsidRPr="00951EF6" w:rsidRDefault="00460B9B" w:rsidP="009260DE">
      <w:pPr>
        <w:tabs>
          <w:tab w:val="left" w:pos="851"/>
        </w:tabs>
        <w:ind w:left="851"/>
        <w:rPr>
          <w:sz w:val="24"/>
          <w:szCs w:val="24"/>
        </w:rPr>
      </w:pPr>
      <w:r>
        <w:rPr>
          <w:sz w:val="24"/>
          <w:szCs w:val="24"/>
        </w:rPr>
        <w:t>26. juli 2024</w:t>
      </w:r>
    </w:p>
    <w:p w14:paraId="7A89964F" w14:textId="77777777" w:rsidR="009260DE" w:rsidRPr="00951EF6" w:rsidRDefault="009260DE" w:rsidP="009260DE">
      <w:pPr>
        <w:tabs>
          <w:tab w:val="left" w:pos="851"/>
        </w:tabs>
        <w:ind w:left="851"/>
        <w:rPr>
          <w:sz w:val="24"/>
          <w:szCs w:val="24"/>
        </w:rPr>
      </w:pPr>
    </w:p>
    <w:p w14:paraId="0B5851D5" w14:textId="77777777" w:rsidR="009260DE" w:rsidRPr="00951EF6" w:rsidRDefault="009260DE" w:rsidP="009260DE">
      <w:pPr>
        <w:tabs>
          <w:tab w:val="left" w:pos="851"/>
        </w:tabs>
        <w:ind w:left="851" w:hanging="851"/>
        <w:rPr>
          <w:b/>
          <w:sz w:val="24"/>
          <w:szCs w:val="24"/>
        </w:rPr>
      </w:pPr>
      <w:r w:rsidRPr="00951EF6">
        <w:rPr>
          <w:b/>
          <w:sz w:val="24"/>
          <w:szCs w:val="24"/>
        </w:rPr>
        <w:t>10.</w:t>
      </w:r>
      <w:r w:rsidRPr="00951EF6">
        <w:rPr>
          <w:b/>
          <w:sz w:val="24"/>
          <w:szCs w:val="24"/>
        </w:rPr>
        <w:tab/>
        <w:t>DATO FOR ÆNDRING AF TEKSTEN</w:t>
      </w:r>
    </w:p>
    <w:p w14:paraId="5648190A" w14:textId="3E514402" w:rsidR="009260DE" w:rsidRPr="00951EF6" w:rsidRDefault="00460B9B" w:rsidP="009260DE">
      <w:pPr>
        <w:tabs>
          <w:tab w:val="left" w:pos="851"/>
        </w:tabs>
        <w:ind w:left="851"/>
        <w:rPr>
          <w:sz w:val="24"/>
          <w:szCs w:val="24"/>
        </w:rPr>
      </w:pPr>
      <w:r>
        <w:rPr>
          <w:sz w:val="24"/>
          <w:szCs w:val="24"/>
        </w:rPr>
        <w:t>-</w:t>
      </w:r>
    </w:p>
    <w:sectPr w:rsidR="009260DE" w:rsidRPr="00951EF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3E39F" w14:textId="77777777" w:rsidR="004904F4" w:rsidRDefault="004904F4">
      <w:r>
        <w:separator/>
      </w:r>
    </w:p>
  </w:endnote>
  <w:endnote w:type="continuationSeparator" w:id="0">
    <w:p w14:paraId="31AA0D55" w14:textId="77777777" w:rsidR="004904F4" w:rsidRDefault="0049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05DE" w14:textId="77777777" w:rsidR="004904F4" w:rsidRDefault="004904F4">
    <w:pPr>
      <w:pStyle w:val="Sidefod"/>
      <w:pBdr>
        <w:bottom w:val="single" w:sz="6" w:space="1" w:color="auto"/>
      </w:pBdr>
    </w:pPr>
  </w:p>
  <w:p w14:paraId="456C127B" w14:textId="77777777" w:rsidR="004904F4" w:rsidRDefault="004904F4" w:rsidP="00C42586">
    <w:pPr>
      <w:pStyle w:val="Sidefod"/>
      <w:tabs>
        <w:tab w:val="clear" w:pos="4819"/>
        <w:tab w:val="left" w:pos="8505"/>
      </w:tabs>
      <w:rPr>
        <w:i/>
        <w:sz w:val="18"/>
        <w:szCs w:val="18"/>
      </w:rPr>
    </w:pPr>
  </w:p>
  <w:p w14:paraId="5E0DC3D6" w14:textId="31CD679C" w:rsidR="004904F4" w:rsidRPr="00B373D7" w:rsidRDefault="004904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60B9B">
      <w:rPr>
        <w:i/>
        <w:noProof/>
        <w:sz w:val="18"/>
        <w:szCs w:val="18"/>
      </w:rPr>
      <w:t>Arupsan (Orifarm), tabletter 800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BFD92" w14:textId="77777777" w:rsidR="004904F4" w:rsidRDefault="004904F4">
      <w:r>
        <w:separator/>
      </w:r>
    </w:p>
  </w:footnote>
  <w:footnote w:type="continuationSeparator" w:id="0">
    <w:p w14:paraId="2DC639BE" w14:textId="77777777" w:rsidR="004904F4" w:rsidRDefault="00490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6AF6"/>
    <w:multiLevelType w:val="hybridMultilevel"/>
    <w:tmpl w:val="75DA9B8C"/>
    <w:lvl w:ilvl="0" w:tplc="603E8650">
      <w:numFmt w:val="bullet"/>
      <w:lvlText w:val="-"/>
      <w:lvlJc w:val="left"/>
      <w:pPr>
        <w:ind w:left="1571" w:hanging="360"/>
      </w:pPr>
      <w:rPr>
        <w:rFonts w:ascii="Times New Roman" w:eastAsia="Times New Roman" w:hAnsi="Times New Roman" w:cs="Times New Roman" w:hint="default"/>
        <w:w w:val="100"/>
        <w:position w:val="2"/>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76253D"/>
    <w:multiLevelType w:val="hybridMultilevel"/>
    <w:tmpl w:val="8ECEF916"/>
    <w:lvl w:ilvl="0" w:tplc="603E8650">
      <w:numFmt w:val="bullet"/>
      <w:lvlText w:val="-"/>
      <w:lvlJc w:val="left"/>
      <w:pPr>
        <w:ind w:left="621" w:hanging="284"/>
      </w:pPr>
      <w:rPr>
        <w:rFonts w:ascii="Times New Roman" w:eastAsia="Times New Roman" w:hAnsi="Times New Roman" w:cs="Times New Roman" w:hint="default"/>
        <w:w w:val="100"/>
        <w:position w:val="2"/>
        <w:sz w:val="22"/>
        <w:szCs w:val="22"/>
      </w:rPr>
    </w:lvl>
    <w:lvl w:ilvl="1" w:tplc="351E1E1C">
      <w:numFmt w:val="bullet"/>
      <w:lvlText w:val="•"/>
      <w:lvlJc w:val="left"/>
      <w:pPr>
        <w:ind w:left="1520" w:hanging="284"/>
      </w:pPr>
    </w:lvl>
    <w:lvl w:ilvl="2" w:tplc="8ADED580">
      <w:numFmt w:val="bullet"/>
      <w:lvlText w:val="•"/>
      <w:lvlJc w:val="left"/>
      <w:pPr>
        <w:ind w:left="2420" w:hanging="284"/>
      </w:pPr>
    </w:lvl>
    <w:lvl w:ilvl="3" w:tplc="09FED3D0">
      <w:numFmt w:val="bullet"/>
      <w:lvlText w:val="•"/>
      <w:lvlJc w:val="left"/>
      <w:pPr>
        <w:ind w:left="3320" w:hanging="284"/>
      </w:pPr>
    </w:lvl>
    <w:lvl w:ilvl="4" w:tplc="8E8C3416">
      <w:numFmt w:val="bullet"/>
      <w:lvlText w:val="•"/>
      <w:lvlJc w:val="left"/>
      <w:pPr>
        <w:ind w:left="4220" w:hanging="284"/>
      </w:pPr>
    </w:lvl>
    <w:lvl w:ilvl="5" w:tplc="980EC382">
      <w:numFmt w:val="bullet"/>
      <w:lvlText w:val="•"/>
      <w:lvlJc w:val="left"/>
      <w:pPr>
        <w:ind w:left="5120" w:hanging="284"/>
      </w:pPr>
    </w:lvl>
    <w:lvl w:ilvl="6" w:tplc="DFD8E312">
      <w:numFmt w:val="bullet"/>
      <w:lvlText w:val="•"/>
      <w:lvlJc w:val="left"/>
      <w:pPr>
        <w:ind w:left="6020" w:hanging="284"/>
      </w:pPr>
    </w:lvl>
    <w:lvl w:ilvl="7" w:tplc="E146CAEA">
      <w:numFmt w:val="bullet"/>
      <w:lvlText w:val="•"/>
      <w:lvlJc w:val="left"/>
      <w:pPr>
        <w:ind w:left="6921" w:hanging="284"/>
      </w:pPr>
    </w:lvl>
    <w:lvl w:ilvl="8" w:tplc="008AEC66">
      <w:numFmt w:val="bullet"/>
      <w:lvlText w:val="•"/>
      <w:lvlJc w:val="left"/>
      <w:pPr>
        <w:ind w:left="7821" w:hanging="284"/>
      </w:pPr>
    </w:lvl>
  </w:abstractNum>
  <w:abstractNum w:abstractNumId="7" w15:restartNumberingAfterBreak="0">
    <w:nsid w:val="63370741"/>
    <w:multiLevelType w:val="hybridMultilevel"/>
    <w:tmpl w:val="F69A13B8"/>
    <w:lvl w:ilvl="0" w:tplc="01E27910">
      <w:numFmt w:val="bullet"/>
      <w:lvlText w:val=""/>
      <w:lvlJc w:val="left"/>
      <w:pPr>
        <w:ind w:left="6381" w:hanging="284"/>
      </w:pPr>
      <w:rPr>
        <w:rFonts w:ascii="Symbol" w:eastAsia="Symbol" w:hAnsi="Symbol" w:cs="Symbol" w:hint="default"/>
        <w:w w:val="100"/>
        <w:sz w:val="22"/>
        <w:szCs w:val="22"/>
      </w:rPr>
    </w:lvl>
    <w:lvl w:ilvl="1" w:tplc="C6647B38">
      <w:numFmt w:val="bullet"/>
      <w:lvlText w:val="•"/>
      <w:lvlJc w:val="left"/>
      <w:pPr>
        <w:ind w:left="7280" w:hanging="284"/>
      </w:pPr>
    </w:lvl>
    <w:lvl w:ilvl="2" w:tplc="B6F0A04C">
      <w:numFmt w:val="bullet"/>
      <w:lvlText w:val="•"/>
      <w:lvlJc w:val="left"/>
      <w:pPr>
        <w:ind w:left="8180" w:hanging="284"/>
      </w:pPr>
    </w:lvl>
    <w:lvl w:ilvl="3" w:tplc="19B21658">
      <w:numFmt w:val="bullet"/>
      <w:lvlText w:val="•"/>
      <w:lvlJc w:val="left"/>
      <w:pPr>
        <w:ind w:left="9080" w:hanging="284"/>
      </w:pPr>
    </w:lvl>
    <w:lvl w:ilvl="4" w:tplc="883C0F40">
      <w:numFmt w:val="bullet"/>
      <w:lvlText w:val="•"/>
      <w:lvlJc w:val="left"/>
      <w:pPr>
        <w:ind w:left="9980" w:hanging="284"/>
      </w:pPr>
    </w:lvl>
    <w:lvl w:ilvl="5" w:tplc="54582AAE">
      <w:numFmt w:val="bullet"/>
      <w:lvlText w:val="•"/>
      <w:lvlJc w:val="left"/>
      <w:pPr>
        <w:ind w:left="10880" w:hanging="284"/>
      </w:pPr>
    </w:lvl>
    <w:lvl w:ilvl="6" w:tplc="D5223378">
      <w:numFmt w:val="bullet"/>
      <w:lvlText w:val="•"/>
      <w:lvlJc w:val="left"/>
      <w:pPr>
        <w:ind w:left="11780" w:hanging="284"/>
      </w:pPr>
    </w:lvl>
    <w:lvl w:ilvl="7" w:tplc="0C30DF98">
      <w:numFmt w:val="bullet"/>
      <w:lvlText w:val="•"/>
      <w:lvlJc w:val="left"/>
      <w:pPr>
        <w:ind w:left="12681" w:hanging="284"/>
      </w:pPr>
    </w:lvl>
    <w:lvl w:ilvl="8" w:tplc="6B507E16">
      <w:numFmt w:val="bullet"/>
      <w:lvlText w:val="•"/>
      <w:lvlJc w:val="left"/>
      <w:pPr>
        <w:ind w:left="13581" w:hanging="284"/>
      </w:pPr>
    </w:lvl>
  </w:abstractNum>
  <w:abstractNum w:abstractNumId="8" w15:restartNumberingAfterBreak="0">
    <w:nsid w:val="78411F7E"/>
    <w:multiLevelType w:val="hybridMultilevel"/>
    <w:tmpl w:val="CA9E97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B3"/>
    <w:rsid w:val="000259B9"/>
    <w:rsid w:val="00041491"/>
    <w:rsid w:val="00050D16"/>
    <w:rsid w:val="00074F2A"/>
    <w:rsid w:val="000A1CA8"/>
    <w:rsid w:val="000A466B"/>
    <w:rsid w:val="000B058C"/>
    <w:rsid w:val="000E4EE6"/>
    <w:rsid w:val="001032B1"/>
    <w:rsid w:val="001454E2"/>
    <w:rsid w:val="001B58C0"/>
    <w:rsid w:val="00206CE8"/>
    <w:rsid w:val="0021526C"/>
    <w:rsid w:val="00283A2B"/>
    <w:rsid w:val="002B30AD"/>
    <w:rsid w:val="002C2C01"/>
    <w:rsid w:val="00377307"/>
    <w:rsid w:val="003903A4"/>
    <w:rsid w:val="003A29AE"/>
    <w:rsid w:val="003A32D7"/>
    <w:rsid w:val="003B4074"/>
    <w:rsid w:val="003C769A"/>
    <w:rsid w:val="003E3889"/>
    <w:rsid w:val="003F1838"/>
    <w:rsid w:val="00435CC8"/>
    <w:rsid w:val="0045746C"/>
    <w:rsid w:val="00460B9B"/>
    <w:rsid w:val="004771F1"/>
    <w:rsid w:val="00487E9A"/>
    <w:rsid w:val="004904F4"/>
    <w:rsid w:val="0049104B"/>
    <w:rsid w:val="004E3B12"/>
    <w:rsid w:val="00532310"/>
    <w:rsid w:val="00535FF6"/>
    <w:rsid w:val="00550F66"/>
    <w:rsid w:val="00565F0F"/>
    <w:rsid w:val="00594A86"/>
    <w:rsid w:val="00596D86"/>
    <w:rsid w:val="005E2F90"/>
    <w:rsid w:val="00637F5A"/>
    <w:rsid w:val="006560B1"/>
    <w:rsid w:val="006756DD"/>
    <w:rsid w:val="006C4DB3"/>
    <w:rsid w:val="006E023F"/>
    <w:rsid w:val="006E3F63"/>
    <w:rsid w:val="00737275"/>
    <w:rsid w:val="00740EEC"/>
    <w:rsid w:val="0078011A"/>
    <w:rsid w:val="00782AF4"/>
    <w:rsid w:val="00790EE7"/>
    <w:rsid w:val="007B6649"/>
    <w:rsid w:val="007C1869"/>
    <w:rsid w:val="007E46B9"/>
    <w:rsid w:val="0082576E"/>
    <w:rsid w:val="0083778C"/>
    <w:rsid w:val="00850A19"/>
    <w:rsid w:val="00895129"/>
    <w:rsid w:val="009029D1"/>
    <w:rsid w:val="00907F75"/>
    <w:rsid w:val="009260DE"/>
    <w:rsid w:val="0093258A"/>
    <w:rsid w:val="00951EF6"/>
    <w:rsid w:val="0097582C"/>
    <w:rsid w:val="009B229A"/>
    <w:rsid w:val="009C51D8"/>
    <w:rsid w:val="009C7BA3"/>
    <w:rsid w:val="009D1F5A"/>
    <w:rsid w:val="009D492B"/>
    <w:rsid w:val="009F5CF0"/>
    <w:rsid w:val="00A40EB1"/>
    <w:rsid w:val="00B003BF"/>
    <w:rsid w:val="00B32278"/>
    <w:rsid w:val="00B373D7"/>
    <w:rsid w:val="00B4453E"/>
    <w:rsid w:val="00B7276A"/>
    <w:rsid w:val="00BB5CFF"/>
    <w:rsid w:val="00BB70D2"/>
    <w:rsid w:val="00C36276"/>
    <w:rsid w:val="00C42586"/>
    <w:rsid w:val="00C60CCD"/>
    <w:rsid w:val="00C77BE5"/>
    <w:rsid w:val="00C84483"/>
    <w:rsid w:val="00C95551"/>
    <w:rsid w:val="00CA2DAD"/>
    <w:rsid w:val="00CB20D7"/>
    <w:rsid w:val="00CD2EC0"/>
    <w:rsid w:val="00D012E7"/>
    <w:rsid w:val="00D020B0"/>
    <w:rsid w:val="00D11748"/>
    <w:rsid w:val="00D321D6"/>
    <w:rsid w:val="00D366CF"/>
    <w:rsid w:val="00D72757"/>
    <w:rsid w:val="00DB7A55"/>
    <w:rsid w:val="00E108AA"/>
    <w:rsid w:val="00E3749A"/>
    <w:rsid w:val="00E7437F"/>
    <w:rsid w:val="00E74B7E"/>
    <w:rsid w:val="00E865B8"/>
    <w:rsid w:val="00E92FB3"/>
    <w:rsid w:val="00EB3428"/>
    <w:rsid w:val="00EB7245"/>
    <w:rsid w:val="00EC0B9B"/>
    <w:rsid w:val="00ED5E9F"/>
    <w:rsid w:val="00F07E1B"/>
    <w:rsid w:val="00F26EC5"/>
    <w:rsid w:val="00F516CE"/>
    <w:rsid w:val="00F66D4F"/>
    <w:rsid w:val="00FB6D01"/>
    <w:rsid w:val="00FD4B92"/>
    <w:rsid w:val="00FE41F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C33C7"/>
  <w15:chartTrackingRefBased/>
  <w15:docId w15:val="{B1C6250D-4FC5-447A-8336-9D638FB97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BB70D2"/>
    <w:pPr>
      <w:widowControl w:val="0"/>
      <w:autoSpaceDE w:val="0"/>
      <w:autoSpaceDN w:val="0"/>
      <w:ind w:left="338"/>
      <w:outlineLvl w:val="1"/>
    </w:pPr>
    <w:rPr>
      <w:b/>
      <w:bCs/>
      <w:i/>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7275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72757"/>
    <w:rPr>
      <w:sz w:val="22"/>
      <w:szCs w:val="22"/>
      <w:lang w:val="en-US" w:eastAsia="en-US"/>
    </w:rPr>
  </w:style>
  <w:style w:type="paragraph" w:styleId="Listeafsnit">
    <w:name w:val="List Paragraph"/>
    <w:basedOn w:val="Normal"/>
    <w:uiPriority w:val="1"/>
    <w:qFormat/>
    <w:rsid w:val="00BB70D2"/>
    <w:pPr>
      <w:widowControl w:val="0"/>
      <w:autoSpaceDE w:val="0"/>
      <w:autoSpaceDN w:val="0"/>
      <w:spacing w:before="4"/>
      <w:ind w:left="904" w:hanging="361"/>
    </w:pPr>
    <w:rPr>
      <w:sz w:val="22"/>
      <w:szCs w:val="22"/>
      <w:lang w:val="en-US"/>
    </w:rPr>
  </w:style>
  <w:style w:type="character" w:customStyle="1" w:styleId="Overskrift2Tegn">
    <w:name w:val="Overskrift 2 Tegn"/>
    <w:basedOn w:val="Standardskrifttypeiafsnit"/>
    <w:link w:val="Overskrift2"/>
    <w:uiPriority w:val="1"/>
    <w:semiHidden/>
    <w:rsid w:val="00BB70D2"/>
    <w:rPr>
      <w:b/>
      <w:bCs/>
      <w:i/>
      <w:sz w:val="22"/>
      <w:szCs w:val="22"/>
      <w:lang w:val="en-US" w:eastAsia="en-US"/>
    </w:rPr>
  </w:style>
  <w:style w:type="paragraph" w:customStyle="1" w:styleId="TableParagraph">
    <w:name w:val="Table Paragraph"/>
    <w:basedOn w:val="Normal"/>
    <w:uiPriority w:val="1"/>
    <w:qFormat/>
    <w:rsid w:val="00BB70D2"/>
    <w:pPr>
      <w:widowControl w:val="0"/>
      <w:autoSpaceDE w:val="0"/>
      <w:autoSpaceDN w:val="0"/>
    </w:pPr>
    <w:rPr>
      <w:sz w:val="22"/>
      <w:szCs w:val="22"/>
      <w:lang w:val="en-US"/>
    </w:rPr>
  </w:style>
  <w:style w:type="character" w:styleId="Hyperlink">
    <w:name w:val="Hyperlink"/>
    <w:basedOn w:val="Standardskrifttypeiafsnit"/>
    <w:uiPriority w:val="99"/>
    <w:semiHidden/>
    <w:unhideWhenUsed/>
    <w:rsid w:val="00BB70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129620">
      <w:bodyDiv w:val="1"/>
      <w:marLeft w:val="0"/>
      <w:marRight w:val="0"/>
      <w:marTop w:val="0"/>
      <w:marBottom w:val="0"/>
      <w:divBdr>
        <w:top w:val="none" w:sz="0" w:space="0" w:color="auto"/>
        <w:left w:val="none" w:sz="0" w:space="0" w:color="auto"/>
        <w:bottom w:val="none" w:sz="0" w:space="0" w:color="auto"/>
        <w:right w:val="none" w:sz="0" w:space="0" w:color="auto"/>
      </w:divBdr>
    </w:div>
    <w:div w:id="26007249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11108393">
      <w:bodyDiv w:val="1"/>
      <w:marLeft w:val="0"/>
      <w:marRight w:val="0"/>
      <w:marTop w:val="0"/>
      <w:marBottom w:val="0"/>
      <w:divBdr>
        <w:top w:val="none" w:sz="0" w:space="0" w:color="auto"/>
        <w:left w:val="none" w:sz="0" w:space="0" w:color="auto"/>
        <w:bottom w:val="none" w:sz="0" w:space="0" w:color="auto"/>
        <w:right w:val="none" w:sz="0" w:space="0" w:color="auto"/>
      </w:divBdr>
    </w:div>
    <w:div w:id="317074773">
      <w:bodyDiv w:val="1"/>
      <w:marLeft w:val="0"/>
      <w:marRight w:val="0"/>
      <w:marTop w:val="0"/>
      <w:marBottom w:val="0"/>
      <w:divBdr>
        <w:top w:val="none" w:sz="0" w:space="0" w:color="auto"/>
        <w:left w:val="none" w:sz="0" w:space="0" w:color="auto"/>
        <w:bottom w:val="none" w:sz="0" w:space="0" w:color="auto"/>
        <w:right w:val="none" w:sz="0" w:space="0" w:color="auto"/>
      </w:divBdr>
    </w:div>
    <w:div w:id="538709951">
      <w:bodyDiv w:val="1"/>
      <w:marLeft w:val="0"/>
      <w:marRight w:val="0"/>
      <w:marTop w:val="0"/>
      <w:marBottom w:val="0"/>
      <w:divBdr>
        <w:top w:val="none" w:sz="0" w:space="0" w:color="auto"/>
        <w:left w:val="none" w:sz="0" w:space="0" w:color="auto"/>
        <w:bottom w:val="none" w:sz="0" w:space="0" w:color="auto"/>
        <w:right w:val="none" w:sz="0" w:space="0" w:color="auto"/>
      </w:divBdr>
    </w:div>
    <w:div w:id="611861551">
      <w:bodyDiv w:val="1"/>
      <w:marLeft w:val="0"/>
      <w:marRight w:val="0"/>
      <w:marTop w:val="0"/>
      <w:marBottom w:val="0"/>
      <w:divBdr>
        <w:top w:val="none" w:sz="0" w:space="0" w:color="auto"/>
        <w:left w:val="none" w:sz="0" w:space="0" w:color="auto"/>
        <w:bottom w:val="none" w:sz="0" w:space="0" w:color="auto"/>
        <w:right w:val="none" w:sz="0" w:space="0" w:color="auto"/>
      </w:divBdr>
    </w:div>
    <w:div w:id="733356041">
      <w:bodyDiv w:val="1"/>
      <w:marLeft w:val="0"/>
      <w:marRight w:val="0"/>
      <w:marTop w:val="0"/>
      <w:marBottom w:val="0"/>
      <w:divBdr>
        <w:top w:val="none" w:sz="0" w:space="0" w:color="auto"/>
        <w:left w:val="none" w:sz="0" w:space="0" w:color="auto"/>
        <w:bottom w:val="none" w:sz="0" w:space="0" w:color="auto"/>
        <w:right w:val="none" w:sz="0" w:space="0" w:color="auto"/>
      </w:divBdr>
    </w:div>
    <w:div w:id="820003662">
      <w:bodyDiv w:val="1"/>
      <w:marLeft w:val="0"/>
      <w:marRight w:val="0"/>
      <w:marTop w:val="0"/>
      <w:marBottom w:val="0"/>
      <w:divBdr>
        <w:top w:val="none" w:sz="0" w:space="0" w:color="auto"/>
        <w:left w:val="none" w:sz="0" w:space="0" w:color="auto"/>
        <w:bottom w:val="none" w:sz="0" w:space="0" w:color="auto"/>
        <w:right w:val="none" w:sz="0" w:space="0" w:color="auto"/>
      </w:divBdr>
    </w:div>
    <w:div w:id="1013915580">
      <w:bodyDiv w:val="1"/>
      <w:marLeft w:val="0"/>
      <w:marRight w:val="0"/>
      <w:marTop w:val="0"/>
      <w:marBottom w:val="0"/>
      <w:divBdr>
        <w:top w:val="none" w:sz="0" w:space="0" w:color="auto"/>
        <w:left w:val="none" w:sz="0" w:space="0" w:color="auto"/>
        <w:bottom w:val="none" w:sz="0" w:space="0" w:color="auto"/>
        <w:right w:val="none" w:sz="0" w:space="0" w:color="auto"/>
      </w:divBdr>
    </w:div>
    <w:div w:id="1021005535">
      <w:bodyDiv w:val="1"/>
      <w:marLeft w:val="0"/>
      <w:marRight w:val="0"/>
      <w:marTop w:val="0"/>
      <w:marBottom w:val="0"/>
      <w:divBdr>
        <w:top w:val="none" w:sz="0" w:space="0" w:color="auto"/>
        <w:left w:val="none" w:sz="0" w:space="0" w:color="auto"/>
        <w:bottom w:val="none" w:sz="0" w:space="0" w:color="auto"/>
        <w:right w:val="none" w:sz="0" w:space="0" w:color="auto"/>
      </w:divBdr>
    </w:div>
    <w:div w:id="1054624054">
      <w:bodyDiv w:val="1"/>
      <w:marLeft w:val="0"/>
      <w:marRight w:val="0"/>
      <w:marTop w:val="0"/>
      <w:marBottom w:val="0"/>
      <w:divBdr>
        <w:top w:val="none" w:sz="0" w:space="0" w:color="auto"/>
        <w:left w:val="none" w:sz="0" w:space="0" w:color="auto"/>
        <w:bottom w:val="none" w:sz="0" w:space="0" w:color="auto"/>
        <w:right w:val="none" w:sz="0" w:space="0" w:color="auto"/>
      </w:divBdr>
    </w:div>
    <w:div w:id="1144859888">
      <w:bodyDiv w:val="1"/>
      <w:marLeft w:val="0"/>
      <w:marRight w:val="0"/>
      <w:marTop w:val="0"/>
      <w:marBottom w:val="0"/>
      <w:divBdr>
        <w:top w:val="none" w:sz="0" w:space="0" w:color="auto"/>
        <w:left w:val="none" w:sz="0" w:space="0" w:color="auto"/>
        <w:bottom w:val="none" w:sz="0" w:space="0" w:color="auto"/>
        <w:right w:val="none" w:sz="0" w:space="0" w:color="auto"/>
      </w:divBdr>
    </w:div>
    <w:div w:id="1181316605">
      <w:bodyDiv w:val="1"/>
      <w:marLeft w:val="0"/>
      <w:marRight w:val="0"/>
      <w:marTop w:val="0"/>
      <w:marBottom w:val="0"/>
      <w:divBdr>
        <w:top w:val="none" w:sz="0" w:space="0" w:color="auto"/>
        <w:left w:val="none" w:sz="0" w:space="0" w:color="auto"/>
        <w:bottom w:val="none" w:sz="0" w:space="0" w:color="auto"/>
        <w:right w:val="none" w:sz="0" w:space="0" w:color="auto"/>
      </w:divBdr>
    </w:div>
    <w:div w:id="1205099190">
      <w:bodyDiv w:val="1"/>
      <w:marLeft w:val="0"/>
      <w:marRight w:val="0"/>
      <w:marTop w:val="0"/>
      <w:marBottom w:val="0"/>
      <w:divBdr>
        <w:top w:val="none" w:sz="0" w:space="0" w:color="auto"/>
        <w:left w:val="none" w:sz="0" w:space="0" w:color="auto"/>
        <w:bottom w:val="none" w:sz="0" w:space="0" w:color="auto"/>
        <w:right w:val="none" w:sz="0" w:space="0" w:color="auto"/>
      </w:divBdr>
    </w:div>
    <w:div w:id="1322737922">
      <w:bodyDiv w:val="1"/>
      <w:marLeft w:val="0"/>
      <w:marRight w:val="0"/>
      <w:marTop w:val="0"/>
      <w:marBottom w:val="0"/>
      <w:divBdr>
        <w:top w:val="none" w:sz="0" w:space="0" w:color="auto"/>
        <w:left w:val="none" w:sz="0" w:space="0" w:color="auto"/>
        <w:bottom w:val="none" w:sz="0" w:space="0" w:color="auto"/>
        <w:right w:val="none" w:sz="0" w:space="0" w:color="auto"/>
      </w:divBdr>
    </w:div>
    <w:div w:id="1328628218">
      <w:bodyDiv w:val="1"/>
      <w:marLeft w:val="0"/>
      <w:marRight w:val="0"/>
      <w:marTop w:val="0"/>
      <w:marBottom w:val="0"/>
      <w:divBdr>
        <w:top w:val="none" w:sz="0" w:space="0" w:color="auto"/>
        <w:left w:val="none" w:sz="0" w:space="0" w:color="auto"/>
        <w:bottom w:val="none" w:sz="0" w:space="0" w:color="auto"/>
        <w:right w:val="none" w:sz="0" w:space="0" w:color="auto"/>
      </w:divBdr>
    </w:div>
    <w:div w:id="1463231875">
      <w:bodyDiv w:val="1"/>
      <w:marLeft w:val="0"/>
      <w:marRight w:val="0"/>
      <w:marTop w:val="0"/>
      <w:marBottom w:val="0"/>
      <w:divBdr>
        <w:top w:val="none" w:sz="0" w:space="0" w:color="auto"/>
        <w:left w:val="none" w:sz="0" w:space="0" w:color="auto"/>
        <w:bottom w:val="none" w:sz="0" w:space="0" w:color="auto"/>
        <w:right w:val="none" w:sz="0" w:space="0" w:color="auto"/>
      </w:divBdr>
    </w:div>
    <w:div w:id="1482696857">
      <w:bodyDiv w:val="1"/>
      <w:marLeft w:val="0"/>
      <w:marRight w:val="0"/>
      <w:marTop w:val="0"/>
      <w:marBottom w:val="0"/>
      <w:divBdr>
        <w:top w:val="none" w:sz="0" w:space="0" w:color="auto"/>
        <w:left w:val="none" w:sz="0" w:space="0" w:color="auto"/>
        <w:bottom w:val="none" w:sz="0" w:space="0" w:color="auto"/>
        <w:right w:val="none" w:sz="0" w:space="0" w:color="auto"/>
      </w:divBdr>
    </w:div>
    <w:div w:id="1549800587">
      <w:bodyDiv w:val="1"/>
      <w:marLeft w:val="0"/>
      <w:marRight w:val="0"/>
      <w:marTop w:val="0"/>
      <w:marBottom w:val="0"/>
      <w:divBdr>
        <w:top w:val="none" w:sz="0" w:space="0" w:color="auto"/>
        <w:left w:val="none" w:sz="0" w:space="0" w:color="auto"/>
        <w:bottom w:val="none" w:sz="0" w:space="0" w:color="auto"/>
        <w:right w:val="none" w:sz="0" w:space="0" w:color="auto"/>
      </w:divBdr>
    </w:div>
    <w:div w:id="1589923973">
      <w:bodyDiv w:val="1"/>
      <w:marLeft w:val="0"/>
      <w:marRight w:val="0"/>
      <w:marTop w:val="0"/>
      <w:marBottom w:val="0"/>
      <w:divBdr>
        <w:top w:val="none" w:sz="0" w:space="0" w:color="auto"/>
        <w:left w:val="none" w:sz="0" w:space="0" w:color="auto"/>
        <w:bottom w:val="none" w:sz="0" w:space="0" w:color="auto"/>
        <w:right w:val="none" w:sz="0" w:space="0" w:color="auto"/>
      </w:divBdr>
    </w:div>
    <w:div w:id="1657222182">
      <w:bodyDiv w:val="1"/>
      <w:marLeft w:val="0"/>
      <w:marRight w:val="0"/>
      <w:marTop w:val="0"/>
      <w:marBottom w:val="0"/>
      <w:divBdr>
        <w:top w:val="none" w:sz="0" w:space="0" w:color="auto"/>
        <w:left w:val="none" w:sz="0" w:space="0" w:color="auto"/>
        <w:bottom w:val="none" w:sz="0" w:space="0" w:color="auto"/>
        <w:right w:val="none" w:sz="0" w:space="0" w:color="auto"/>
      </w:divBdr>
    </w:div>
    <w:div w:id="1835995463">
      <w:bodyDiv w:val="1"/>
      <w:marLeft w:val="0"/>
      <w:marRight w:val="0"/>
      <w:marTop w:val="0"/>
      <w:marBottom w:val="0"/>
      <w:divBdr>
        <w:top w:val="none" w:sz="0" w:space="0" w:color="auto"/>
        <w:left w:val="none" w:sz="0" w:space="0" w:color="auto"/>
        <w:bottom w:val="none" w:sz="0" w:space="0" w:color="auto"/>
        <w:right w:val="none" w:sz="0" w:space="0" w:color="auto"/>
      </w:divBdr>
    </w:div>
    <w:div w:id="198601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6415</Words>
  <Characters>42083</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2024050110 - Nyt PI SPC</dc:description>
  <cp:lastModifiedBy>Camilla Sværke Hansen</cp:lastModifiedBy>
  <cp:revision>5</cp:revision>
  <cp:lastPrinted>2012-08-22T08:53:00Z</cp:lastPrinted>
  <dcterms:created xsi:type="dcterms:W3CDTF">2022-11-21T12:52:00Z</dcterms:created>
  <dcterms:modified xsi:type="dcterms:W3CDTF">2024-07-26T08:51:00Z</dcterms:modified>
</cp:coreProperties>
</file>