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109" w:rsidRPr="008F49E1" w:rsidRDefault="00DC3109" w:rsidP="00DC3109">
      <w:pPr>
        <w:rPr>
          <w:sz w:val="24"/>
          <w:szCs w:val="24"/>
        </w:rPr>
      </w:pPr>
      <w:r w:rsidRPr="009260DE">
        <w:rPr>
          <w:noProof/>
          <w:sz w:val="24"/>
          <w:szCs w:val="24"/>
          <w:lang w:eastAsia="da-DK"/>
        </w:rPr>
        <w:drawing>
          <wp:anchor distT="0" distB="0" distL="114300" distR="114300" simplePos="0" relativeHeight="251659264" behindDoc="0" locked="0" layoutInCell="1" allowOverlap="1" wp14:anchorId="1ED06845" wp14:editId="3C3CD3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C3109" w:rsidRPr="00C84483" w:rsidRDefault="00DC3109" w:rsidP="00DC3109">
      <w:pPr>
        <w:pStyle w:val="Titel"/>
        <w:tabs>
          <w:tab w:val="right" w:pos="9356"/>
        </w:tabs>
        <w:jc w:val="left"/>
        <w:rPr>
          <w:b w:val="0"/>
          <w:szCs w:val="24"/>
          <w:lang w:eastAsia="en-US"/>
        </w:rPr>
      </w:pPr>
      <w:r w:rsidRPr="00C84483">
        <w:rPr>
          <w:b w:val="0"/>
          <w:szCs w:val="24"/>
          <w:lang w:eastAsia="en-US"/>
        </w:rPr>
        <w:tab/>
      </w:r>
      <w:r w:rsidR="009F4409">
        <w:rPr>
          <w:szCs w:val="24"/>
        </w:rPr>
        <w:t xml:space="preserve">18. august </w:t>
      </w:r>
      <w:r w:rsidR="001729B1">
        <w:rPr>
          <w:szCs w:val="24"/>
        </w:rPr>
        <w:t>2023</w:t>
      </w:r>
    </w:p>
    <w:p w:rsidR="00DC3109" w:rsidRPr="00C84483" w:rsidRDefault="00DC3109" w:rsidP="00DC3109">
      <w:pPr>
        <w:pStyle w:val="Titel"/>
        <w:jc w:val="left"/>
        <w:rPr>
          <w:b w:val="0"/>
          <w:szCs w:val="24"/>
        </w:rPr>
      </w:pPr>
    </w:p>
    <w:p w:rsidR="00DC3109" w:rsidRPr="00C84483" w:rsidRDefault="00DC3109" w:rsidP="00DC3109">
      <w:pPr>
        <w:pStyle w:val="Titel"/>
        <w:jc w:val="left"/>
        <w:rPr>
          <w:b w:val="0"/>
          <w:szCs w:val="24"/>
        </w:rPr>
      </w:pPr>
      <w:bookmarkStart w:id="0" w:name="_GoBack"/>
      <w:bookmarkEnd w:id="0"/>
    </w:p>
    <w:p w:rsidR="00DC3109" w:rsidRPr="006D04B3" w:rsidRDefault="00DC3109" w:rsidP="00DC3109">
      <w:pPr>
        <w:jc w:val="center"/>
        <w:rPr>
          <w:b/>
          <w:sz w:val="24"/>
          <w:szCs w:val="24"/>
        </w:rPr>
      </w:pPr>
      <w:r w:rsidRPr="006D04B3">
        <w:rPr>
          <w:b/>
          <w:sz w:val="24"/>
          <w:szCs w:val="24"/>
        </w:rPr>
        <w:t>PRODUKTRESUMÉ</w:t>
      </w:r>
    </w:p>
    <w:p w:rsidR="00DC3109" w:rsidRPr="006D04B3" w:rsidRDefault="00DC3109" w:rsidP="00DC3109">
      <w:pPr>
        <w:jc w:val="center"/>
        <w:rPr>
          <w:b/>
          <w:sz w:val="24"/>
          <w:szCs w:val="24"/>
        </w:rPr>
      </w:pPr>
    </w:p>
    <w:p w:rsidR="00DC3109" w:rsidRPr="006D04B3" w:rsidRDefault="000631B2" w:rsidP="000631B2">
      <w:pPr>
        <w:tabs>
          <w:tab w:val="left" w:pos="288"/>
          <w:tab w:val="center" w:pos="4819"/>
        </w:tabs>
        <w:rPr>
          <w:b/>
          <w:sz w:val="24"/>
          <w:szCs w:val="24"/>
        </w:rPr>
      </w:pPr>
      <w:r>
        <w:rPr>
          <w:b/>
          <w:sz w:val="24"/>
          <w:szCs w:val="24"/>
        </w:rPr>
        <w:tab/>
      </w:r>
      <w:r>
        <w:rPr>
          <w:b/>
          <w:sz w:val="24"/>
          <w:szCs w:val="24"/>
        </w:rPr>
        <w:tab/>
      </w:r>
      <w:r w:rsidR="00DC3109" w:rsidRPr="006D04B3">
        <w:rPr>
          <w:b/>
          <w:sz w:val="24"/>
          <w:szCs w:val="24"/>
        </w:rPr>
        <w:t>for</w:t>
      </w:r>
    </w:p>
    <w:p w:rsidR="00DC3109" w:rsidRPr="006D04B3" w:rsidRDefault="00DC3109" w:rsidP="00DC3109">
      <w:pPr>
        <w:jc w:val="center"/>
        <w:rPr>
          <w:b/>
          <w:sz w:val="24"/>
          <w:szCs w:val="24"/>
        </w:rPr>
      </w:pPr>
    </w:p>
    <w:p w:rsidR="00DC3109" w:rsidRPr="00C84483" w:rsidRDefault="00DC3109" w:rsidP="00DC3109">
      <w:pPr>
        <w:jc w:val="center"/>
        <w:rPr>
          <w:b/>
          <w:sz w:val="24"/>
          <w:szCs w:val="24"/>
        </w:rPr>
      </w:pPr>
      <w:proofErr w:type="spellStart"/>
      <w:r w:rsidRPr="006D04B3">
        <w:rPr>
          <w:b/>
          <w:sz w:val="24"/>
          <w:szCs w:val="24"/>
        </w:rPr>
        <w:t>Asacol</w:t>
      </w:r>
      <w:proofErr w:type="spellEnd"/>
      <w:r w:rsidRPr="006D04B3">
        <w:rPr>
          <w:b/>
          <w:sz w:val="24"/>
          <w:szCs w:val="24"/>
        </w:rPr>
        <w:t xml:space="preserve">, </w:t>
      </w:r>
      <w:r w:rsidRPr="00BD09CE">
        <w:rPr>
          <w:b/>
          <w:sz w:val="24"/>
          <w:szCs w:val="24"/>
        </w:rPr>
        <w:t>tabletter m</w:t>
      </w:r>
      <w:r>
        <w:rPr>
          <w:b/>
          <w:sz w:val="24"/>
          <w:szCs w:val="24"/>
        </w:rPr>
        <w:t>ed modificeret udløsning</w:t>
      </w:r>
      <w:r w:rsidR="001729B1">
        <w:rPr>
          <w:b/>
          <w:sz w:val="24"/>
          <w:szCs w:val="24"/>
        </w:rPr>
        <w:t xml:space="preserve"> (</w:t>
      </w:r>
      <w:proofErr w:type="spellStart"/>
      <w:r w:rsidR="001729B1">
        <w:rPr>
          <w:b/>
          <w:sz w:val="24"/>
          <w:szCs w:val="24"/>
        </w:rPr>
        <w:t>Orifarm</w:t>
      </w:r>
      <w:proofErr w:type="spellEnd"/>
      <w:r w:rsidR="001729B1">
        <w:rPr>
          <w:b/>
          <w:sz w:val="24"/>
          <w:szCs w:val="24"/>
        </w:rPr>
        <w:t>)</w:t>
      </w:r>
    </w:p>
    <w:p w:rsidR="00DC3109" w:rsidRPr="00C84483" w:rsidRDefault="00DC3109" w:rsidP="00DC3109">
      <w:pPr>
        <w:jc w:val="both"/>
        <w:rPr>
          <w:sz w:val="24"/>
          <w:szCs w:val="24"/>
        </w:rPr>
      </w:pPr>
    </w:p>
    <w:p w:rsidR="00DC3109" w:rsidRPr="00C84483" w:rsidRDefault="00DC3109" w:rsidP="00DC3109">
      <w:pPr>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0.</w:t>
      </w:r>
      <w:r w:rsidRPr="00C84483">
        <w:rPr>
          <w:b/>
          <w:sz w:val="24"/>
          <w:szCs w:val="24"/>
        </w:rPr>
        <w:tab/>
        <w:t>D.SP.NR.</w:t>
      </w:r>
    </w:p>
    <w:p w:rsidR="00DC3109" w:rsidRPr="006D04B3" w:rsidRDefault="00DC3109" w:rsidP="00DC3109">
      <w:pPr>
        <w:tabs>
          <w:tab w:val="left" w:pos="851"/>
        </w:tabs>
        <w:ind w:left="851"/>
        <w:rPr>
          <w:sz w:val="24"/>
          <w:szCs w:val="24"/>
        </w:rPr>
      </w:pPr>
      <w:r w:rsidRPr="006D04B3">
        <w:rPr>
          <w:sz w:val="24"/>
          <w:szCs w:val="24"/>
        </w:rPr>
        <w:t>06697</w:t>
      </w:r>
    </w:p>
    <w:p w:rsidR="00DC3109" w:rsidRPr="006D04B3" w:rsidRDefault="00DC3109" w:rsidP="00DC3109">
      <w:pPr>
        <w:tabs>
          <w:tab w:val="left" w:pos="851"/>
        </w:tabs>
        <w:ind w:left="851"/>
        <w:rPr>
          <w:sz w:val="24"/>
          <w:szCs w:val="24"/>
        </w:rPr>
      </w:pPr>
    </w:p>
    <w:p w:rsidR="00DC3109" w:rsidRPr="006D04B3" w:rsidRDefault="00DC3109" w:rsidP="00DC3109">
      <w:pPr>
        <w:tabs>
          <w:tab w:val="left" w:pos="851"/>
        </w:tabs>
        <w:ind w:left="851" w:hanging="851"/>
        <w:rPr>
          <w:b/>
          <w:sz w:val="24"/>
          <w:szCs w:val="24"/>
        </w:rPr>
      </w:pPr>
      <w:r w:rsidRPr="006D04B3">
        <w:rPr>
          <w:b/>
          <w:sz w:val="24"/>
          <w:szCs w:val="24"/>
        </w:rPr>
        <w:t>1.</w:t>
      </w:r>
      <w:r w:rsidRPr="006D04B3">
        <w:rPr>
          <w:b/>
          <w:sz w:val="24"/>
          <w:szCs w:val="24"/>
        </w:rPr>
        <w:tab/>
        <w:t>LÆGEMIDLETS NAVN</w:t>
      </w:r>
    </w:p>
    <w:p w:rsidR="00DC3109" w:rsidRPr="006D04B3" w:rsidRDefault="00DC3109" w:rsidP="00DC3109">
      <w:pPr>
        <w:tabs>
          <w:tab w:val="left" w:pos="851"/>
        </w:tabs>
        <w:ind w:left="851"/>
        <w:rPr>
          <w:sz w:val="24"/>
          <w:szCs w:val="24"/>
        </w:rPr>
      </w:pPr>
      <w:proofErr w:type="spellStart"/>
      <w:r w:rsidRPr="006D04B3">
        <w:rPr>
          <w:sz w:val="24"/>
          <w:szCs w:val="24"/>
        </w:rPr>
        <w:t>Asacol</w:t>
      </w:r>
      <w:proofErr w:type="spellEnd"/>
    </w:p>
    <w:p w:rsidR="00DC3109" w:rsidRPr="006D04B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3109" w:rsidRPr="007307E7" w:rsidRDefault="00DC3109" w:rsidP="00DC3109">
      <w:pPr>
        <w:tabs>
          <w:tab w:val="left" w:pos="851"/>
        </w:tabs>
        <w:ind w:left="851"/>
        <w:rPr>
          <w:sz w:val="24"/>
          <w:szCs w:val="24"/>
          <w:lang w:eastAsia="de-DE"/>
        </w:rPr>
      </w:pPr>
      <w:r w:rsidRPr="007307E7">
        <w:rPr>
          <w:sz w:val="24"/>
          <w:szCs w:val="24"/>
          <w:lang w:eastAsia="de-DE"/>
        </w:rPr>
        <w:t>Hver tablet med m</w:t>
      </w:r>
      <w:r>
        <w:rPr>
          <w:sz w:val="24"/>
          <w:szCs w:val="24"/>
          <w:lang w:eastAsia="de-DE"/>
        </w:rPr>
        <w:t>odificeret udløsning indeholder</w:t>
      </w:r>
      <w:r w:rsidRPr="007307E7">
        <w:rPr>
          <w:sz w:val="24"/>
          <w:szCs w:val="24"/>
          <w:lang w:eastAsia="de-DE"/>
        </w:rPr>
        <w:t xml:space="preserve"> 1600 mg </w:t>
      </w:r>
      <w:proofErr w:type="spellStart"/>
      <w:r w:rsidRPr="007307E7">
        <w:rPr>
          <w:sz w:val="24"/>
          <w:szCs w:val="24"/>
          <w:lang w:eastAsia="de-DE"/>
        </w:rPr>
        <w:t>mesalazin</w:t>
      </w:r>
      <w:proofErr w:type="spellEnd"/>
      <w:r w:rsidRPr="007307E7">
        <w:rPr>
          <w:sz w:val="24"/>
          <w:szCs w:val="24"/>
          <w:lang w:eastAsia="de-DE"/>
        </w:rPr>
        <w:t>.</w:t>
      </w:r>
    </w:p>
    <w:p w:rsidR="00DC3109" w:rsidRPr="007307E7" w:rsidRDefault="00DC3109" w:rsidP="00DC3109">
      <w:pPr>
        <w:tabs>
          <w:tab w:val="left" w:pos="851"/>
        </w:tabs>
        <w:ind w:left="851"/>
        <w:rPr>
          <w:sz w:val="24"/>
          <w:szCs w:val="24"/>
          <w:lang w:eastAsia="de-DE"/>
        </w:rPr>
      </w:pPr>
    </w:p>
    <w:p w:rsidR="00DC3109" w:rsidRPr="00C84483" w:rsidRDefault="00DC3109" w:rsidP="00DC3109">
      <w:pPr>
        <w:tabs>
          <w:tab w:val="left" w:pos="851"/>
        </w:tabs>
        <w:ind w:left="851"/>
        <w:rPr>
          <w:sz w:val="24"/>
          <w:szCs w:val="24"/>
          <w:lang w:eastAsia="de-DE"/>
        </w:rPr>
      </w:pPr>
      <w:r w:rsidRPr="007307E7">
        <w:rPr>
          <w:sz w:val="24"/>
          <w:szCs w:val="24"/>
          <w:lang w:eastAsia="de-DE"/>
        </w:rPr>
        <w:t>Alle hjælpestoffer er anført under pkt. 6.1.</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3.</w:t>
      </w:r>
      <w:r w:rsidRPr="00C84483">
        <w:rPr>
          <w:b/>
          <w:sz w:val="24"/>
          <w:szCs w:val="24"/>
        </w:rPr>
        <w:tab/>
        <w:t>LÆGEMIDDELFORM</w:t>
      </w:r>
    </w:p>
    <w:p w:rsidR="00DC3109" w:rsidRPr="00021B33" w:rsidRDefault="00DC3109" w:rsidP="00DC3109">
      <w:pPr>
        <w:tabs>
          <w:tab w:val="left" w:pos="851"/>
        </w:tabs>
        <w:ind w:left="851"/>
        <w:rPr>
          <w:sz w:val="24"/>
          <w:szCs w:val="24"/>
          <w:lang w:eastAsia="de-DE"/>
        </w:rPr>
      </w:pPr>
      <w:r w:rsidRPr="00021B33">
        <w:rPr>
          <w:sz w:val="24"/>
          <w:szCs w:val="24"/>
          <w:lang w:eastAsia="de-DE"/>
        </w:rPr>
        <w:t>Tablet</w:t>
      </w:r>
      <w:r>
        <w:rPr>
          <w:sz w:val="24"/>
          <w:szCs w:val="24"/>
          <w:lang w:eastAsia="de-DE"/>
        </w:rPr>
        <w:t>ter med modificeret udløsning</w:t>
      </w:r>
      <w:r w:rsidR="001729B1">
        <w:rPr>
          <w:sz w:val="24"/>
          <w:szCs w:val="24"/>
          <w:lang w:eastAsia="de-DE"/>
        </w:rPr>
        <w:t xml:space="preserve"> (</w:t>
      </w:r>
      <w:proofErr w:type="spellStart"/>
      <w:r w:rsidR="001729B1">
        <w:rPr>
          <w:sz w:val="24"/>
          <w:szCs w:val="24"/>
          <w:lang w:eastAsia="de-DE"/>
        </w:rPr>
        <w:t>Orifarm</w:t>
      </w:r>
      <w:proofErr w:type="spellEnd"/>
      <w:r w:rsidR="001729B1">
        <w:rPr>
          <w:sz w:val="24"/>
          <w:szCs w:val="24"/>
          <w:lang w:eastAsia="de-DE"/>
        </w:rPr>
        <w: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w:t>
      </w:r>
      <w:r w:rsidRPr="00C84483">
        <w:rPr>
          <w:b/>
          <w:sz w:val="24"/>
          <w:szCs w:val="24"/>
        </w:rPr>
        <w:tab/>
        <w:t>KLINISKE OPLYSNINGER</w:t>
      </w:r>
    </w:p>
    <w:p w:rsidR="00DC3109" w:rsidRPr="00C84483" w:rsidRDefault="00DC3109" w:rsidP="00DC3109">
      <w:pPr>
        <w:tabs>
          <w:tab w:val="left" w:pos="851"/>
        </w:tabs>
        <w:ind w:left="851"/>
        <w:rPr>
          <w:b/>
          <w:sz w:val="24"/>
          <w:szCs w:val="24"/>
        </w:rPr>
      </w:pPr>
    </w:p>
    <w:p w:rsidR="00DC3109" w:rsidRPr="008C35E7" w:rsidRDefault="00DC3109" w:rsidP="00DC310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C3109" w:rsidRPr="004756CC" w:rsidRDefault="00DC3109" w:rsidP="00DC3109">
      <w:pPr>
        <w:tabs>
          <w:tab w:val="left" w:pos="851"/>
        </w:tabs>
        <w:ind w:left="851"/>
        <w:rPr>
          <w:sz w:val="24"/>
          <w:szCs w:val="24"/>
          <w:u w:val="single"/>
          <w:lang w:eastAsia="de-DE"/>
        </w:rPr>
      </w:pPr>
      <w:r>
        <w:rPr>
          <w:sz w:val="24"/>
          <w:szCs w:val="24"/>
          <w:u w:val="single"/>
          <w:lang w:eastAsia="de-DE"/>
        </w:rPr>
        <w:t xml:space="preserve">Colitis </w:t>
      </w:r>
      <w:proofErr w:type="spellStart"/>
      <w:r>
        <w:rPr>
          <w:sz w:val="24"/>
          <w:szCs w:val="24"/>
          <w:u w:val="single"/>
          <w:lang w:eastAsia="de-DE"/>
        </w:rPr>
        <w:t>ulcerosa</w:t>
      </w:r>
      <w:proofErr w:type="spellEnd"/>
    </w:p>
    <w:p w:rsidR="00DC3109" w:rsidRDefault="00DC3109" w:rsidP="00DC3109">
      <w:pPr>
        <w:tabs>
          <w:tab w:val="left" w:pos="851"/>
        </w:tabs>
        <w:ind w:left="851"/>
        <w:rPr>
          <w:sz w:val="24"/>
          <w:szCs w:val="24"/>
          <w:lang w:eastAsia="de-DE"/>
        </w:rPr>
      </w:pPr>
      <w:r w:rsidRPr="004756CC">
        <w:rPr>
          <w:sz w:val="24"/>
          <w:szCs w:val="24"/>
          <w:lang w:eastAsia="de-DE"/>
        </w:rPr>
        <w:t>Til behandling af</w:t>
      </w:r>
      <w:r>
        <w:rPr>
          <w:sz w:val="24"/>
          <w:szCs w:val="24"/>
          <w:lang w:eastAsia="de-DE"/>
        </w:rPr>
        <w:t xml:space="preserve"> mild til moderat aktiv sygdom.</w:t>
      </w:r>
    </w:p>
    <w:p w:rsidR="00DC3109" w:rsidRPr="00C84483" w:rsidRDefault="00DC3109" w:rsidP="00DC3109">
      <w:pPr>
        <w:tabs>
          <w:tab w:val="left" w:pos="851"/>
        </w:tabs>
        <w:ind w:left="851"/>
        <w:rPr>
          <w:sz w:val="24"/>
          <w:szCs w:val="24"/>
          <w:lang w:eastAsia="de-DE"/>
        </w:rPr>
      </w:pPr>
      <w:r w:rsidRPr="004756CC">
        <w:rPr>
          <w:sz w:val="24"/>
          <w:szCs w:val="24"/>
          <w:lang w:eastAsia="de-DE"/>
        </w:rPr>
        <w:t>Til vedligeholdelse af remission.</w:t>
      </w:r>
    </w:p>
    <w:p w:rsidR="00DC3109" w:rsidRPr="00C84483" w:rsidRDefault="00DC3109" w:rsidP="00DC3109">
      <w:pPr>
        <w:tabs>
          <w:tab w:val="left" w:pos="851"/>
        </w:tabs>
        <w:ind w:left="851"/>
        <w:rPr>
          <w:sz w:val="24"/>
          <w:szCs w:val="24"/>
        </w:rPr>
      </w:pPr>
    </w:p>
    <w:p w:rsidR="00DC3109" w:rsidRPr="008C35E7" w:rsidRDefault="00DC3109" w:rsidP="00DC310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F4409">
        <w:rPr>
          <w:b/>
          <w:sz w:val="24"/>
          <w:szCs w:val="24"/>
        </w:rPr>
        <w:t>administration</w:t>
      </w:r>
    </w:p>
    <w:p w:rsidR="00DC3109" w:rsidRPr="00894B44" w:rsidRDefault="00DC3109" w:rsidP="00DC3109">
      <w:pPr>
        <w:tabs>
          <w:tab w:val="left" w:pos="851"/>
        </w:tabs>
        <w:ind w:left="851"/>
        <w:rPr>
          <w:b/>
          <w:sz w:val="24"/>
          <w:szCs w:val="24"/>
          <w:lang w:eastAsia="de-DE"/>
        </w:rPr>
      </w:pPr>
      <w:r w:rsidRPr="00894B44">
        <w:rPr>
          <w:b/>
          <w:sz w:val="24"/>
          <w:szCs w:val="24"/>
          <w:lang w:eastAsia="de-DE"/>
        </w:rPr>
        <w:t>Dosering</w:t>
      </w:r>
    </w:p>
    <w:p w:rsidR="00DC3109" w:rsidRPr="00894B44" w:rsidRDefault="00DC3109" w:rsidP="00DC3109">
      <w:pPr>
        <w:tabs>
          <w:tab w:val="left" w:pos="851"/>
        </w:tabs>
        <w:ind w:left="851"/>
        <w:rPr>
          <w:sz w:val="24"/>
          <w:szCs w:val="24"/>
          <w:u w:val="single"/>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Voksne, inklusive ældre (&gt; 65 år)</w:t>
      </w:r>
    </w:p>
    <w:p w:rsidR="00DC3109" w:rsidRPr="00894B44" w:rsidRDefault="00DC3109" w:rsidP="00DC3109">
      <w:pPr>
        <w:tabs>
          <w:tab w:val="left" w:pos="851"/>
        </w:tabs>
        <w:ind w:left="851"/>
        <w:rPr>
          <w:sz w:val="24"/>
          <w:szCs w:val="24"/>
          <w:lang w:eastAsia="de-DE"/>
        </w:rPr>
      </w:pPr>
      <w:r>
        <w:rPr>
          <w:sz w:val="24"/>
          <w:szCs w:val="24"/>
          <w:lang w:eastAsia="de-DE"/>
        </w:rPr>
        <w:t>Dosis</w:t>
      </w:r>
      <w:r w:rsidRPr="00894B44">
        <w:rPr>
          <w:sz w:val="24"/>
          <w:szCs w:val="24"/>
          <w:lang w:eastAsia="de-DE"/>
        </w:rPr>
        <w:t xml:space="preserve"> bør justeres i henhold til sygdommens sværhedsgrad og tolerans.</w:t>
      </w:r>
    </w:p>
    <w:p w:rsidR="00DC3109" w:rsidRPr="00894B44" w:rsidRDefault="00DC3109" w:rsidP="00DC3109">
      <w:pPr>
        <w:tabs>
          <w:tab w:val="left" w:pos="851"/>
        </w:tabs>
        <w:ind w:left="851"/>
        <w:rPr>
          <w:sz w:val="24"/>
          <w:szCs w:val="24"/>
          <w:u w:val="single"/>
          <w:lang w:eastAsia="de-DE"/>
        </w:rPr>
      </w:pPr>
    </w:p>
    <w:p w:rsidR="00DC3109" w:rsidRDefault="00DC3109" w:rsidP="00DC3109">
      <w:pPr>
        <w:tabs>
          <w:tab w:val="left" w:pos="851"/>
        </w:tabs>
        <w:ind w:left="851"/>
        <w:rPr>
          <w:sz w:val="24"/>
          <w:szCs w:val="24"/>
          <w:lang w:eastAsia="de-DE"/>
        </w:rPr>
      </w:pPr>
      <w:r w:rsidRPr="00894B44">
        <w:rPr>
          <w:i/>
          <w:sz w:val="24"/>
          <w:szCs w:val="24"/>
          <w:lang w:eastAsia="de-DE"/>
        </w:rPr>
        <w:t>Aktiv sygdom</w:t>
      </w:r>
    </w:p>
    <w:p w:rsidR="00DC3109" w:rsidRPr="00894B44" w:rsidRDefault="00DC3109" w:rsidP="00DC3109">
      <w:pPr>
        <w:tabs>
          <w:tab w:val="left" w:pos="851"/>
        </w:tabs>
        <w:ind w:left="851"/>
        <w:rPr>
          <w:sz w:val="24"/>
          <w:szCs w:val="24"/>
          <w:lang w:eastAsia="de-DE"/>
        </w:rPr>
      </w:pPr>
      <w:r w:rsidRPr="00894B44">
        <w:rPr>
          <w:sz w:val="24"/>
          <w:szCs w:val="24"/>
          <w:lang w:eastAsia="de-DE"/>
        </w:rPr>
        <w:t xml:space="preserve">I tilfælde af </w:t>
      </w:r>
      <w:proofErr w:type="spellStart"/>
      <w:r w:rsidRPr="00894B44">
        <w:rPr>
          <w:sz w:val="24"/>
          <w:szCs w:val="24"/>
          <w:lang w:eastAsia="de-DE"/>
        </w:rPr>
        <w:t>eksacerbation</w:t>
      </w:r>
      <w:proofErr w:type="spellEnd"/>
      <w:r w:rsidRPr="00894B44">
        <w:rPr>
          <w:sz w:val="24"/>
          <w:szCs w:val="24"/>
          <w:lang w:eastAsia="de-DE"/>
        </w:rPr>
        <w:t xml:space="preserve"> kan den daglige dosis øges til 4800 mg </w:t>
      </w:r>
      <w:r>
        <w:rPr>
          <w:sz w:val="24"/>
          <w:szCs w:val="24"/>
          <w:lang w:eastAsia="de-DE"/>
        </w:rPr>
        <w:t>en</w:t>
      </w:r>
      <w:r w:rsidRPr="00894B44">
        <w:rPr>
          <w:sz w:val="24"/>
          <w:szCs w:val="24"/>
          <w:lang w:eastAsia="de-DE"/>
        </w:rPr>
        <w:t xml:space="preserve"> gang </w:t>
      </w:r>
      <w:r>
        <w:rPr>
          <w:sz w:val="24"/>
          <w:szCs w:val="24"/>
          <w:lang w:eastAsia="de-DE"/>
        </w:rPr>
        <w:t>daglig</w:t>
      </w:r>
      <w:r w:rsidRPr="00894B44">
        <w:rPr>
          <w:sz w:val="24"/>
          <w:szCs w:val="24"/>
          <w:lang w:eastAsia="de-DE"/>
        </w:rPr>
        <w:t xml:space="preserve"> eller fordelt på 2</w:t>
      </w:r>
      <w:r>
        <w:rPr>
          <w:sz w:val="24"/>
          <w:szCs w:val="24"/>
          <w:lang w:eastAsia="de-DE"/>
        </w:rPr>
        <w:t>-</w:t>
      </w:r>
      <w:r w:rsidRPr="00894B44">
        <w:rPr>
          <w:sz w:val="24"/>
          <w:szCs w:val="24"/>
          <w:lang w:eastAsia="de-DE"/>
        </w:rPr>
        <w:t xml:space="preserve">3 doser.  </w:t>
      </w:r>
    </w:p>
    <w:p w:rsidR="00DC3109" w:rsidRPr="00894B44" w:rsidRDefault="00DC3109" w:rsidP="00DC3109">
      <w:pPr>
        <w:tabs>
          <w:tab w:val="left" w:pos="851"/>
        </w:tabs>
        <w:ind w:left="851"/>
        <w:rPr>
          <w:sz w:val="24"/>
          <w:szCs w:val="24"/>
          <w:lang w:eastAsia="de-DE"/>
        </w:rPr>
      </w:pPr>
      <w:r w:rsidRPr="00894B44">
        <w:rPr>
          <w:sz w:val="24"/>
          <w:szCs w:val="24"/>
          <w:lang w:eastAsia="de-DE"/>
        </w:rPr>
        <w:t>Når der er opnået klinisk remission, bør dosen reduceres gradvist til vedligeholdelsesdosen.</w:t>
      </w:r>
    </w:p>
    <w:p w:rsidR="00DC3109" w:rsidRPr="00894B44" w:rsidRDefault="00DC3109" w:rsidP="00DC3109">
      <w:pPr>
        <w:tabs>
          <w:tab w:val="left" w:pos="851"/>
        </w:tabs>
        <w:ind w:left="851"/>
        <w:rPr>
          <w:sz w:val="24"/>
          <w:szCs w:val="24"/>
          <w:lang w:eastAsia="de-DE"/>
        </w:rPr>
      </w:pPr>
    </w:p>
    <w:p w:rsidR="00DC3109" w:rsidRPr="00894B44" w:rsidRDefault="00DC3109" w:rsidP="00DC3109">
      <w:pPr>
        <w:tabs>
          <w:tab w:val="left" w:pos="851"/>
        </w:tabs>
        <w:ind w:left="851"/>
        <w:rPr>
          <w:sz w:val="24"/>
          <w:szCs w:val="24"/>
          <w:lang w:eastAsia="de-DE"/>
        </w:rPr>
      </w:pPr>
      <w:r w:rsidRPr="00894B44">
        <w:rPr>
          <w:sz w:val="24"/>
          <w:szCs w:val="24"/>
          <w:lang w:eastAsia="de-DE"/>
        </w:rPr>
        <w:t>Fortsat behandling bør overvejes omhyggeligt hos patienter, der ikke responderer i uge 8.</w:t>
      </w:r>
    </w:p>
    <w:p w:rsidR="00DC3109" w:rsidRPr="00894B44" w:rsidRDefault="00DC3109" w:rsidP="00DC3109">
      <w:pPr>
        <w:tabs>
          <w:tab w:val="left" w:pos="851"/>
        </w:tabs>
        <w:ind w:left="851"/>
        <w:rPr>
          <w:i/>
          <w:sz w:val="24"/>
          <w:szCs w:val="24"/>
          <w:lang w:eastAsia="de-DE"/>
        </w:rPr>
      </w:pPr>
    </w:p>
    <w:p w:rsidR="00DC3109" w:rsidRDefault="00DC3109" w:rsidP="00DC3109">
      <w:pPr>
        <w:tabs>
          <w:tab w:val="left" w:pos="851"/>
        </w:tabs>
        <w:ind w:left="851"/>
        <w:rPr>
          <w:i/>
          <w:sz w:val="24"/>
          <w:szCs w:val="24"/>
          <w:lang w:eastAsia="de-DE"/>
        </w:rPr>
      </w:pPr>
      <w:r>
        <w:rPr>
          <w:i/>
          <w:sz w:val="24"/>
          <w:szCs w:val="24"/>
          <w:lang w:eastAsia="de-DE"/>
        </w:rPr>
        <w:t>Vedligeholdelsesbehandling</w:t>
      </w:r>
    </w:p>
    <w:p w:rsidR="00DC3109" w:rsidRDefault="00DC3109" w:rsidP="00DC3109">
      <w:pPr>
        <w:tabs>
          <w:tab w:val="left" w:pos="851"/>
        </w:tabs>
        <w:ind w:left="851"/>
        <w:rPr>
          <w:sz w:val="24"/>
          <w:szCs w:val="24"/>
          <w:lang w:eastAsia="de-DE"/>
        </w:rPr>
      </w:pPr>
      <w:r>
        <w:rPr>
          <w:sz w:val="24"/>
          <w:szCs w:val="24"/>
          <w:lang w:eastAsia="de-DE"/>
        </w:rPr>
        <w:t xml:space="preserve">1600 mg en gang daglig. </w:t>
      </w:r>
    </w:p>
    <w:p w:rsidR="00DC3109" w:rsidRDefault="00DC3109" w:rsidP="00DC3109">
      <w:pPr>
        <w:tabs>
          <w:tab w:val="left" w:pos="851"/>
        </w:tabs>
        <w:ind w:left="851"/>
        <w:rPr>
          <w:sz w:val="24"/>
          <w:szCs w:val="24"/>
          <w:lang w:eastAsia="de-DE"/>
        </w:rPr>
      </w:pPr>
    </w:p>
    <w:p w:rsidR="00DC3109" w:rsidRDefault="00DC3109" w:rsidP="00DC3109">
      <w:pPr>
        <w:tabs>
          <w:tab w:val="left" w:pos="851"/>
        </w:tabs>
        <w:ind w:left="851"/>
        <w:rPr>
          <w:sz w:val="24"/>
          <w:szCs w:val="24"/>
          <w:lang w:eastAsia="de-DE"/>
        </w:rPr>
      </w:pPr>
      <w:r>
        <w:rPr>
          <w:sz w:val="24"/>
          <w:szCs w:val="24"/>
          <w:lang w:eastAsia="de-DE"/>
        </w:rPr>
        <w:t xml:space="preserve">Andre orale </w:t>
      </w:r>
      <w:proofErr w:type="spellStart"/>
      <w:r>
        <w:rPr>
          <w:sz w:val="24"/>
          <w:szCs w:val="24"/>
          <w:lang w:eastAsia="de-DE"/>
        </w:rPr>
        <w:t>mesalazinformuleringer</w:t>
      </w:r>
      <w:proofErr w:type="spellEnd"/>
      <w:r>
        <w:rPr>
          <w:sz w:val="24"/>
          <w:szCs w:val="24"/>
          <w:lang w:eastAsia="de-DE"/>
        </w:rPr>
        <w:t xml:space="preserve"> er tilgængelige, hvis en alternativ dosis til vedligeholdelsesbehandling anses for mere hensigtsmæssig.</w:t>
      </w:r>
    </w:p>
    <w:p w:rsidR="00DC3109" w:rsidRPr="00894B44" w:rsidRDefault="00DC3109" w:rsidP="00DC3109">
      <w:pPr>
        <w:tabs>
          <w:tab w:val="left" w:pos="851"/>
        </w:tabs>
        <w:ind w:left="851"/>
        <w:rPr>
          <w:i/>
          <w:sz w:val="24"/>
          <w:szCs w:val="24"/>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Geriatrisk population</w:t>
      </w:r>
    </w:p>
    <w:p w:rsidR="00DC3109" w:rsidRPr="00894B44" w:rsidRDefault="00DC3109" w:rsidP="00DC3109">
      <w:pPr>
        <w:tabs>
          <w:tab w:val="left" w:pos="851"/>
        </w:tabs>
        <w:ind w:left="851"/>
        <w:rPr>
          <w:sz w:val="24"/>
          <w:szCs w:val="24"/>
          <w:lang w:eastAsia="de-DE"/>
        </w:rPr>
      </w:pPr>
      <w:r w:rsidRPr="00894B44">
        <w:rPr>
          <w:sz w:val="24"/>
          <w:szCs w:val="24"/>
          <w:lang w:eastAsia="de-DE"/>
        </w:rPr>
        <w:t>Der er ikke udført studier med ældre.</w:t>
      </w:r>
    </w:p>
    <w:p w:rsidR="00DC3109" w:rsidRPr="00894B44" w:rsidRDefault="00DC3109" w:rsidP="00DC3109">
      <w:pPr>
        <w:tabs>
          <w:tab w:val="left" w:pos="851"/>
        </w:tabs>
        <w:ind w:left="851"/>
        <w:rPr>
          <w:sz w:val="24"/>
          <w:szCs w:val="24"/>
          <w:u w:val="single"/>
          <w:lang w:eastAsia="de-DE"/>
        </w:rPr>
      </w:pPr>
    </w:p>
    <w:p w:rsidR="00DC3109" w:rsidRPr="00894B44" w:rsidRDefault="00DC3109" w:rsidP="00DC3109">
      <w:pPr>
        <w:tabs>
          <w:tab w:val="left" w:pos="851"/>
        </w:tabs>
        <w:ind w:left="851"/>
        <w:rPr>
          <w:sz w:val="24"/>
          <w:szCs w:val="24"/>
          <w:u w:val="single"/>
          <w:lang w:eastAsia="de-DE"/>
        </w:rPr>
      </w:pPr>
      <w:r w:rsidRPr="00894B44">
        <w:rPr>
          <w:sz w:val="24"/>
          <w:szCs w:val="24"/>
          <w:u w:val="single"/>
          <w:lang w:eastAsia="de-DE"/>
        </w:rPr>
        <w:t>Pædiatrisk population</w:t>
      </w:r>
    </w:p>
    <w:p w:rsidR="00DC3109" w:rsidRPr="00894B44" w:rsidRDefault="00DC3109" w:rsidP="00DC3109">
      <w:pPr>
        <w:tabs>
          <w:tab w:val="left" w:pos="851"/>
        </w:tabs>
        <w:ind w:left="851"/>
        <w:rPr>
          <w:sz w:val="24"/>
          <w:szCs w:val="24"/>
          <w:lang w:eastAsia="de-DE"/>
        </w:rPr>
      </w:pPr>
      <w:r w:rsidRPr="00894B44">
        <w:rPr>
          <w:sz w:val="24"/>
          <w:szCs w:val="24"/>
          <w:lang w:eastAsia="de-DE"/>
        </w:rPr>
        <w:t xml:space="preserve">Sikkerheden og virkningen af </w:t>
      </w:r>
      <w:proofErr w:type="spellStart"/>
      <w:r>
        <w:rPr>
          <w:sz w:val="24"/>
          <w:szCs w:val="24"/>
          <w:lang w:eastAsia="de-DE"/>
        </w:rPr>
        <w:t>Asacol</w:t>
      </w:r>
      <w:proofErr w:type="spellEnd"/>
      <w:r w:rsidRPr="00894B44">
        <w:rPr>
          <w:sz w:val="24"/>
          <w:szCs w:val="24"/>
          <w:lang w:eastAsia="de-DE"/>
        </w:rPr>
        <w:t xml:space="preserve"> hos børn og unge under 18 år er ikke klarlagt. </w:t>
      </w:r>
    </w:p>
    <w:p w:rsidR="00DC3109" w:rsidRPr="00894B44" w:rsidRDefault="00DC3109" w:rsidP="00DC3109">
      <w:pPr>
        <w:tabs>
          <w:tab w:val="left" w:pos="851"/>
        </w:tabs>
        <w:ind w:left="851"/>
        <w:rPr>
          <w:sz w:val="24"/>
          <w:szCs w:val="24"/>
          <w:lang w:eastAsia="de-DE"/>
        </w:rPr>
      </w:pPr>
    </w:p>
    <w:p w:rsidR="00DC3109" w:rsidRPr="009F4409" w:rsidRDefault="00DC3109" w:rsidP="00DC3109">
      <w:pPr>
        <w:tabs>
          <w:tab w:val="left" w:pos="851"/>
        </w:tabs>
        <w:ind w:left="851"/>
        <w:rPr>
          <w:sz w:val="24"/>
          <w:szCs w:val="24"/>
          <w:u w:val="single"/>
          <w:lang w:eastAsia="de-DE"/>
        </w:rPr>
      </w:pPr>
      <w:r w:rsidRPr="009F4409">
        <w:rPr>
          <w:sz w:val="24"/>
          <w:szCs w:val="24"/>
          <w:u w:val="single"/>
          <w:lang w:eastAsia="de-DE"/>
        </w:rPr>
        <w:t>Administration</w:t>
      </w:r>
    </w:p>
    <w:p w:rsidR="00DC3109" w:rsidRPr="00894B44" w:rsidRDefault="00DC3109" w:rsidP="00DC3109">
      <w:pPr>
        <w:tabs>
          <w:tab w:val="left" w:pos="851"/>
        </w:tabs>
        <w:ind w:left="851"/>
        <w:rPr>
          <w:sz w:val="24"/>
          <w:szCs w:val="24"/>
          <w:lang w:eastAsia="de-DE"/>
        </w:rPr>
      </w:pPr>
      <w:r>
        <w:rPr>
          <w:sz w:val="24"/>
          <w:szCs w:val="24"/>
          <w:lang w:eastAsia="de-DE"/>
        </w:rPr>
        <w:t>O</w:t>
      </w:r>
      <w:r w:rsidRPr="00894B44">
        <w:rPr>
          <w:sz w:val="24"/>
          <w:szCs w:val="24"/>
          <w:lang w:eastAsia="de-DE"/>
        </w:rPr>
        <w:t>ral.</w:t>
      </w:r>
    </w:p>
    <w:p w:rsidR="00DC3109" w:rsidRPr="00894B44" w:rsidRDefault="00DC3109" w:rsidP="00DC3109">
      <w:pPr>
        <w:tabs>
          <w:tab w:val="left" w:pos="851"/>
        </w:tabs>
        <w:ind w:left="851"/>
        <w:rPr>
          <w:sz w:val="24"/>
          <w:szCs w:val="24"/>
          <w:lang w:eastAsia="de-DE"/>
        </w:rPr>
      </w:pPr>
    </w:p>
    <w:p w:rsidR="00DC3109" w:rsidRDefault="00DC3109" w:rsidP="00DC3109">
      <w:pPr>
        <w:tabs>
          <w:tab w:val="left" w:pos="851"/>
        </w:tabs>
        <w:ind w:left="851"/>
        <w:rPr>
          <w:sz w:val="24"/>
          <w:szCs w:val="24"/>
          <w:lang w:eastAsia="de-DE"/>
        </w:rPr>
      </w:pPr>
      <w:r w:rsidRPr="004756CC">
        <w:rPr>
          <w:sz w:val="24"/>
          <w:szCs w:val="24"/>
          <w:lang w:eastAsia="de-DE"/>
        </w:rPr>
        <w:t>Tabletterne ska</w:t>
      </w:r>
      <w:r>
        <w:rPr>
          <w:sz w:val="24"/>
          <w:szCs w:val="24"/>
          <w:lang w:eastAsia="de-DE"/>
        </w:rPr>
        <w:t xml:space="preserve">l synkes hele med et glas vand. </w:t>
      </w:r>
      <w:r w:rsidRPr="004756CC">
        <w:rPr>
          <w:sz w:val="24"/>
          <w:szCs w:val="24"/>
          <w:lang w:eastAsia="de-DE"/>
        </w:rPr>
        <w:t>De må ikke tygges, kn</w:t>
      </w:r>
      <w:r>
        <w:rPr>
          <w:sz w:val="24"/>
          <w:szCs w:val="24"/>
          <w:lang w:eastAsia="de-DE"/>
        </w:rPr>
        <w:t>uses eller deles, før de synkes.</w:t>
      </w:r>
    </w:p>
    <w:p w:rsidR="00DC3109" w:rsidRDefault="00DC3109" w:rsidP="00DC3109">
      <w:pPr>
        <w:tabs>
          <w:tab w:val="left" w:pos="851"/>
        </w:tabs>
        <w:ind w:left="851"/>
        <w:rPr>
          <w:sz w:val="24"/>
          <w:szCs w:val="24"/>
          <w:lang w:eastAsia="de-DE"/>
        </w:rPr>
      </w:pPr>
      <w:r w:rsidRPr="004756CC">
        <w:rPr>
          <w:sz w:val="24"/>
          <w:szCs w:val="24"/>
          <w:lang w:eastAsia="de-DE"/>
        </w:rPr>
        <w:t>Tabletterne kan t</w:t>
      </w:r>
      <w:r>
        <w:rPr>
          <w:sz w:val="24"/>
          <w:szCs w:val="24"/>
          <w:lang w:eastAsia="de-DE"/>
        </w:rPr>
        <w:t>ages sammen med eller uden mad.</w:t>
      </w:r>
    </w:p>
    <w:p w:rsidR="00DC3109" w:rsidRPr="00C84483" w:rsidRDefault="00DC3109" w:rsidP="00DC3109">
      <w:pPr>
        <w:tabs>
          <w:tab w:val="left" w:pos="851"/>
        </w:tabs>
        <w:ind w:left="851"/>
        <w:rPr>
          <w:sz w:val="24"/>
          <w:szCs w:val="24"/>
          <w:lang w:eastAsia="de-DE"/>
        </w:rPr>
      </w:pPr>
      <w:r w:rsidRPr="004756CC">
        <w:rPr>
          <w:sz w:val="24"/>
          <w:szCs w:val="24"/>
          <w:lang w:eastAsia="de-DE"/>
        </w:rPr>
        <w:t xml:space="preserve">Hvis patienten glemmer at tage </w:t>
      </w:r>
      <w:r>
        <w:rPr>
          <w:sz w:val="24"/>
          <w:szCs w:val="24"/>
          <w:lang w:eastAsia="de-DE"/>
        </w:rPr>
        <w:t>en</w:t>
      </w:r>
      <w:r w:rsidRPr="004756CC">
        <w:rPr>
          <w:sz w:val="24"/>
          <w:szCs w:val="24"/>
          <w:lang w:eastAsia="de-DE"/>
        </w:rPr>
        <w:t xml:space="preserve"> eller flere doser, skal den næste dosis tages som sædvanligt.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4.3</w:t>
      </w:r>
      <w:r w:rsidRPr="00C84483">
        <w:rPr>
          <w:b/>
          <w:sz w:val="24"/>
          <w:szCs w:val="24"/>
        </w:rPr>
        <w:tab/>
        <w:t>Kontraindikationer</w:t>
      </w:r>
    </w:p>
    <w:p w:rsidR="00DC3109" w:rsidRPr="004756CC"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 xml:space="preserve">Overfølsomhed over for </w:t>
      </w:r>
      <w:proofErr w:type="spellStart"/>
      <w:r w:rsidRPr="004756CC">
        <w:rPr>
          <w:sz w:val="24"/>
          <w:szCs w:val="24"/>
          <w:lang w:eastAsia="de-DE"/>
        </w:rPr>
        <w:t>salicylater</w:t>
      </w:r>
      <w:proofErr w:type="spellEnd"/>
      <w:r w:rsidRPr="004756CC">
        <w:rPr>
          <w:sz w:val="24"/>
          <w:szCs w:val="24"/>
          <w:lang w:eastAsia="de-DE"/>
        </w:rPr>
        <w:t xml:space="preserve"> (inklusive </w:t>
      </w:r>
      <w:proofErr w:type="spellStart"/>
      <w:r w:rsidRPr="004756CC">
        <w:rPr>
          <w:sz w:val="24"/>
          <w:szCs w:val="24"/>
          <w:lang w:eastAsia="de-DE"/>
        </w:rPr>
        <w:t>mesalazin</w:t>
      </w:r>
      <w:proofErr w:type="spellEnd"/>
      <w:r w:rsidRPr="004756CC">
        <w:rPr>
          <w:sz w:val="24"/>
          <w:szCs w:val="24"/>
          <w:lang w:eastAsia="de-DE"/>
        </w:rPr>
        <w:t>) eller over for et eller flere af hjælpestofferne anført i pkt. 6.1.</w:t>
      </w:r>
    </w:p>
    <w:p w:rsidR="00DC3109" w:rsidRPr="004756CC"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Alvorligt nedsat leverfunktion.</w:t>
      </w:r>
    </w:p>
    <w:p w:rsidR="00DC3109" w:rsidRPr="00894B44" w:rsidRDefault="00DC3109" w:rsidP="00DC3109">
      <w:pPr>
        <w:numPr>
          <w:ilvl w:val="0"/>
          <w:numId w:val="4"/>
        </w:numPr>
        <w:tabs>
          <w:tab w:val="left" w:pos="1134"/>
          <w:tab w:val="num" w:pos="1560"/>
          <w:tab w:val="left" w:pos="2520"/>
          <w:tab w:val="left" w:pos="3060"/>
        </w:tabs>
        <w:ind w:left="1134" w:hanging="283"/>
        <w:contextualSpacing/>
        <w:rPr>
          <w:sz w:val="24"/>
          <w:szCs w:val="24"/>
          <w:lang w:eastAsia="de-DE"/>
        </w:rPr>
      </w:pPr>
      <w:r w:rsidRPr="004756CC">
        <w:rPr>
          <w:sz w:val="24"/>
          <w:szCs w:val="24"/>
          <w:lang w:eastAsia="de-DE"/>
        </w:rPr>
        <w:t>Alvorligt nedsat nyrefunktion (GFR &lt; 30 ml/min./1,73 m</w:t>
      </w:r>
      <w:r w:rsidRPr="004756CC">
        <w:rPr>
          <w:sz w:val="24"/>
          <w:szCs w:val="24"/>
          <w:vertAlign w:val="superscript"/>
          <w:lang w:eastAsia="de-DE"/>
        </w:rPr>
        <w:t>2</w:t>
      </w:r>
      <w:r w:rsidRPr="004756CC">
        <w:rPr>
          <w:sz w:val="24"/>
          <w:szCs w:val="24"/>
          <w:lang w:eastAsia="de-DE"/>
        </w:rPr>
        <w: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B2995" w:rsidRDefault="008B2995" w:rsidP="008B2995">
      <w:pPr>
        <w:tabs>
          <w:tab w:val="left" w:pos="851"/>
        </w:tabs>
        <w:ind w:left="851"/>
        <w:rPr>
          <w:sz w:val="24"/>
          <w:szCs w:val="24"/>
          <w:lang w:eastAsia="de-DE"/>
        </w:rPr>
      </w:pPr>
      <w:r w:rsidRPr="00AD2824">
        <w:rPr>
          <w:sz w:val="24"/>
          <w:szCs w:val="24"/>
          <w:lang w:eastAsia="de-DE"/>
        </w:rPr>
        <w:t>Blodprøver (</w:t>
      </w:r>
      <w:proofErr w:type="spellStart"/>
      <w:r w:rsidRPr="00AD2824">
        <w:rPr>
          <w:sz w:val="24"/>
          <w:szCs w:val="24"/>
          <w:lang w:eastAsia="de-DE"/>
        </w:rPr>
        <w:t>differentialtælling</w:t>
      </w:r>
      <w:proofErr w:type="spellEnd"/>
      <w:r w:rsidRPr="00AD2824">
        <w:rPr>
          <w:sz w:val="24"/>
          <w:szCs w:val="24"/>
          <w:lang w:eastAsia="de-DE"/>
        </w:rPr>
        <w:t xml:space="preserve">; leverfunktionsparametre såsom ALAT eller ASAT; </w:t>
      </w:r>
      <w:proofErr w:type="spellStart"/>
      <w:r w:rsidRPr="00AD2824">
        <w:rPr>
          <w:sz w:val="24"/>
          <w:szCs w:val="24"/>
          <w:lang w:eastAsia="de-DE"/>
        </w:rPr>
        <w:t>serumkreatinin</w:t>
      </w:r>
      <w:proofErr w:type="spellEnd"/>
      <w:r w:rsidRPr="00AD2824">
        <w:rPr>
          <w:sz w:val="24"/>
          <w:szCs w:val="24"/>
          <w:lang w:eastAsia="de-DE"/>
        </w:rPr>
        <w:t>) og urinstatus (urinstrimler) bør undersøges før og under behandlingen efter den behandlende læges skøn. Som retningslinje anbefales det at gennemføre opfølgende prøver 14 dage efter opstart af behandling og herefter yderligere to til tre prøver med 4 ugers mellemrum.</w:t>
      </w:r>
    </w:p>
    <w:p w:rsidR="008B2995" w:rsidRPr="00AD2824" w:rsidRDefault="008B2995" w:rsidP="008B2995">
      <w:pPr>
        <w:tabs>
          <w:tab w:val="left" w:pos="851"/>
        </w:tabs>
        <w:ind w:left="851"/>
        <w:rPr>
          <w:sz w:val="24"/>
          <w:szCs w:val="24"/>
          <w:lang w:eastAsia="de-DE"/>
        </w:rPr>
      </w:pPr>
    </w:p>
    <w:p w:rsidR="008B2995" w:rsidRDefault="008B2995" w:rsidP="008B2995">
      <w:pPr>
        <w:tabs>
          <w:tab w:val="left" w:pos="851"/>
        </w:tabs>
        <w:ind w:left="851"/>
        <w:rPr>
          <w:sz w:val="24"/>
          <w:szCs w:val="24"/>
          <w:lang w:eastAsia="de-DE"/>
        </w:rPr>
      </w:pPr>
      <w:r w:rsidRPr="00AD2824">
        <w:rPr>
          <w:sz w:val="24"/>
          <w:szCs w:val="24"/>
          <w:lang w:eastAsia="de-DE"/>
        </w:rPr>
        <w:t>Hvis resultaterne er normale, bør der gennemføres opfølgende prøver hver 3. måned. Hvis der opstår yderligere symptomer, bør disse prøver gennemføres med det samme.</w:t>
      </w:r>
    </w:p>
    <w:p w:rsidR="008B2995" w:rsidRPr="00AD2824" w:rsidRDefault="008B2995" w:rsidP="008B2995">
      <w:pPr>
        <w:tabs>
          <w:tab w:val="left" w:pos="851"/>
        </w:tabs>
        <w:ind w:left="851"/>
        <w:rPr>
          <w:sz w:val="24"/>
          <w:szCs w:val="24"/>
          <w:lang w:eastAsia="de-DE"/>
        </w:rPr>
      </w:pPr>
    </w:p>
    <w:p w:rsidR="00B8332B" w:rsidRPr="00AD2824" w:rsidRDefault="008B2995" w:rsidP="00B8332B">
      <w:pPr>
        <w:tabs>
          <w:tab w:val="left" w:pos="851"/>
        </w:tabs>
        <w:ind w:left="851"/>
        <w:rPr>
          <w:sz w:val="24"/>
          <w:szCs w:val="24"/>
          <w:lang w:eastAsia="sv-SE"/>
        </w:rPr>
      </w:pPr>
      <w:r w:rsidRPr="00AD2824">
        <w:rPr>
          <w:sz w:val="24"/>
          <w:szCs w:val="24"/>
          <w:u w:val="single"/>
          <w:lang w:eastAsia="sv-SE"/>
        </w:rPr>
        <w:t>Nedsat nyrefunktion</w:t>
      </w:r>
      <w:r w:rsidRPr="00AD2824">
        <w:rPr>
          <w:sz w:val="24"/>
          <w:szCs w:val="24"/>
          <w:u w:val="single"/>
          <w:lang w:eastAsia="sv-SE"/>
        </w:rPr>
        <w:br/>
      </w:r>
      <w:proofErr w:type="spellStart"/>
      <w:r w:rsidR="00B8332B">
        <w:rPr>
          <w:sz w:val="24"/>
          <w:szCs w:val="24"/>
          <w:lang w:eastAsia="sv-SE"/>
        </w:rPr>
        <w:t>Asacol</w:t>
      </w:r>
      <w:proofErr w:type="spellEnd"/>
      <w:r w:rsidR="00B8332B" w:rsidRPr="00AD2824">
        <w:rPr>
          <w:sz w:val="24"/>
          <w:szCs w:val="24"/>
          <w:lang w:eastAsia="sv-SE"/>
        </w:rPr>
        <w:t xml:space="preserve"> bør ikke anvendes til patienter med nedsat nyrefunktion</w:t>
      </w:r>
      <w:r w:rsidR="00B8332B" w:rsidRPr="00AD2824">
        <w:rPr>
          <w:sz w:val="24"/>
          <w:szCs w:val="24"/>
          <w:u w:val="single"/>
          <w:lang w:eastAsia="sv-SE"/>
        </w:rPr>
        <w:t>.</w:t>
      </w:r>
      <w:r w:rsidR="00B8332B" w:rsidRPr="00AD2824">
        <w:rPr>
          <w:sz w:val="24"/>
          <w:szCs w:val="24"/>
          <w:lang w:eastAsia="sv-SE"/>
        </w:rPr>
        <w:t xml:space="preserve"> Hvis nyrefunktionen falder under behandlingen, skal der rettes mistanke mod </w:t>
      </w:r>
      <w:proofErr w:type="spellStart"/>
      <w:r w:rsidR="00B8332B">
        <w:rPr>
          <w:sz w:val="24"/>
          <w:szCs w:val="24"/>
          <w:lang w:eastAsia="sv-SE"/>
        </w:rPr>
        <w:t>mesalazin</w:t>
      </w:r>
      <w:proofErr w:type="spellEnd"/>
      <w:r w:rsidR="00B8332B" w:rsidRPr="00AD2824">
        <w:rPr>
          <w:sz w:val="24"/>
          <w:szCs w:val="24"/>
          <w:lang w:eastAsia="sv-SE"/>
        </w:rPr>
        <w:t xml:space="preserve">-induceret nyretoksicitet, og behandlingen skal seponeres med det samme. </w:t>
      </w:r>
    </w:p>
    <w:p w:rsidR="00B8332B" w:rsidRDefault="00B8332B" w:rsidP="00B8332B">
      <w:pPr>
        <w:tabs>
          <w:tab w:val="left" w:pos="851"/>
        </w:tabs>
        <w:ind w:left="851"/>
        <w:rPr>
          <w:sz w:val="24"/>
          <w:szCs w:val="24"/>
          <w:lang w:eastAsia="sv-SE"/>
        </w:rPr>
      </w:pPr>
      <w:r w:rsidRPr="00AD2824">
        <w:rPr>
          <w:sz w:val="24"/>
          <w:szCs w:val="24"/>
          <w:lang w:eastAsia="sv-SE"/>
        </w:rPr>
        <w:t xml:space="preserve">Det anbefales at kontrollere nyrefunktionen inden behandling med </w:t>
      </w:r>
      <w:proofErr w:type="spellStart"/>
      <w:r>
        <w:rPr>
          <w:sz w:val="24"/>
          <w:szCs w:val="24"/>
          <w:lang w:eastAsia="sv-SE"/>
        </w:rPr>
        <w:t>Asacol</w:t>
      </w:r>
      <w:proofErr w:type="spellEnd"/>
      <w:r w:rsidRPr="00AD2824">
        <w:rPr>
          <w:sz w:val="24"/>
          <w:szCs w:val="24"/>
          <w:lang w:eastAsia="sv-SE"/>
        </w:rPr>
        <w:t xml:space="preserve"> og løbende under behandlingen.</w:t>
      </w:r>
    </w:p>
    <w:p w:rsidR="008B2995" w:rsidRDefault="008B2995" w:rsidP="008B2995">
      <w:pPr>
        <w:tabs>
          <w:tab w:val="left" w:pos="851"/>
        </w:tabs>
        <w:ind w:left="851"/>
        <w:rPr>
          <w:sz w:val="24"/>
          <w:szCs w:val="24"/>
          <w:lang w:eastAsia="sv-SE"/>
        </w:rPr>
      </w:pPr>
    </w:p>
    <w:p w:rsidR="00B8332B" w:rsidRPr="00972E85" w:rsidRDefault="00B8332B" w:rsidP="00B8332B">
      <w:pPr>
        <w:ind w:left="851"/>
        <w:rPr>
          <w:sz w:val="24"/>
          <w:szCs w:val="24"/>
          <w:u w:val="single"/>
        </w:rPr>
      </w:pPr>
      <w:r w:rsidRPr="00972E85">
        <w:rPr>
          <w:sz w:val="24"/>
          <w:szCs w:val="24"/>
          <w:u w:val="single"/>
        </w:rPr>
        <w:t xml:space="preserve">Svære </w:t>
      </w:r>
      <w:proofErr w:type="spellStart"/>
      <w:r w:rsidRPr="00972E85">
        <w:rPr>
          <w:sz w:val="24"/>
          <w:szCs w:val="24"/>
          <w:u w:val="single"/>
        </w:rPr>
        <w:t>kutane</w:t>
      </w:r>
      <w:proofErr w:type="spellEnd"/>
      <w:r w:rsidRPr="00972E85">
        <w:rPr>
          <w:sz w:val="24"/>
          <w:szCs w:val="24"/>
          <w:u w:val="single"/>
        </w:rPr>
        <w:t xml:space="preserve"> bivirkninger</w:t>
      </w:r>
    </w:p>
    <w:p w:rsidR="009F4409" w:rsidRPr="00972E85" w:rsidRDefault="009F4409" w:rsidP="009F4409">
      <w:pPr>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lægemiddelreaktion med </w:t>
      </w:r>
      <w:proofErr w:type="spellStart"/>
      <w:r>
        <w:rPr>
          <w:sz w:val="24"/>
          <w:szCs w:val="24"/>
        </w:rPr>
        <w:t>eosinofili</w:t>
      </w:r>
      <w:proofErr w:type="spellEnd"/>
      <w:r>
        <w:rPr>
          <w:sz w:val="24"/>
          <w:szCs w:val="24"/>
        </w:rPr>
        <w:t xml:space="preserve"> og systemiske symptomer (DRESS),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i forbindelse med </w:t>
      </w:r>
      <w:proofErr w:type="spellStart"/>
      <w:r>
        <w:rPr>
          <w:sz w:val="24"/>
          <w:szCs w:val="24"/>
        </w:rPr>
        <w:t>mesalazin</w:t>
      </w:r>
      <w:proofErr w:type="spellEnd"/>
      <w:r>
        <w:rPr>
          <w:sz w:val="24"/>
          <w:szCs w:val="24"/>
        </w:rPr>
        <w:t>-behandling.</w:t>
      </w:r>
    </w:p>
    <w:p w:rsidR="00B8332B" w:rsidRPr="00972E85" w:rsidRDefault="009F4409" w:rsidP="009F4409">
      <w:pPr>
        <w:ind w:left="851"/>
        <w:rPr>
          <w:sz w:val="24"/>
          <w:szCs w:val="24"/>
        </w:rPr>
      </w:pPr>
      <w:proofErr w:type="spellStart"/>
      <w:r w:rsidRPr="00972E85">
        <w:rPr>
          <w:sz w:val="24"/>
          <w:szCs w:val="24"/>
        </w:rPr>
        <w:t>Mesalazin</w:t>
      </w:r>
      <w:proofErr w:type="spellEnd"/>
      <w:r w:rsidRPr="00972E85">
        <w:rPr>
          <w:sz w:val="24"/>
          <w:szCs w:val="24"/>
        </w:rPr>
        <w:t xml:space="preserve"> bør seponeres ved de første tegn og symptomer på svære hudreaktioner, f.eks. hududslæt, slimhindelæsioner eller andre tegn på overfølsomhed.</w:t>
      </w:r>
    </w:p>
    <w:p w:rsidR="00B8332B" w:rsidRDefault="00B8332B" w:rsidP="008B2995">
      <w:pPr>
        <w:tabs>
          <w:tab w:val="left" w:pos="851"/>
        </w:tabs>
        <w:ind w:left="851"/>
        <w:rPr>
          <w:sz w:val="24"/>
          <w:szCs w:val="24"/>
          <w:lang w:eastAsia="sv-SE"/>
        </w:rPr>
      </w:pPr>
    </w:p>
    <w:p w:rsidR="008B2995" w:rsidRPr="00D87712" w:rsidRDefault="008B2995" w:rsidP="008B2995">
      <w:pPr>
        <w:tabs>
          <w:tab w:val="left" w:pos="851"/>
        </w:tabs>
        <w:ind w:left="851"/>
        <w:rPr>
          <w:sz w:val="24"/>
          <w:szCs w:val="24"/>
          <w:u w:val="single"/>
          <w:lang w:eastAsia="sv-SE"/>
        </w:rPr>
      </w:pPr>
      <w:proofErr w:type="spellStart"/>
      <w:r w:rsidRPr="00D87712">
        <w:rPr>
          <w:sz w:val="24"/>
          <w:szCs w:val="24"/>
          <w:u w:val="single"/>
          <w:lang w:eastAsia="sv-SE"/>
        </w:rPr>
        <w:t>Nefrolitiasis</w:t>
      </w:r>
      <w:proofErr w:type="spellEnd"/>
    </w:p>
    <w:p w:rsidR="008B2995" w:rsidRDefault="008B2995" w:rsidP="008B2995">
      <w:pPr>
        <w:tabs>
          <w:tab w:val="left" w:pos="851"/>
        </w:tabs>
        <w:ind w:left="851"/>
        <w:rPr>
          <w:sz w:val="24"/>
          <w:szCs w:val="24"/>
          <w:lang w:eastAsia="sv-SE"/>
        </w:rPr>
      </w:pPr>
      <w:r w:rsidRPr="00D87712">
        <w:rPr>
          <w:sz w:val="24"/>
          <w:szCs w:val="24"/>
          <w:lang w:eastAsia="sv-SE"/>
        </w:rPr>
        <w:t xml:space="preserve">Der er rapporteret om tilfælde af </w:t>
      </w:r>
      <w:proofErr w:type="spellStart"/>
      <w:r w:rsidRPr="00D87712">
        <w:rPr>
          <w:sz w:val="24"/>
          <w:szCs w:val="24"/>
          <w:lang w:eastAsia="sv-SE"/>
        </w:rPr>
        <w:t>nefrolitiasis</w:t>
      </w:r>
      <w:proofErr w:type="spellEnd"/>
      <w:r w:rsidRPr="00D87712">
        <w:rPr>
          <w:sz w:val="24"/>
          <w:szCs w:val="24"/>
          <w:lang w:eastAsia="sv-SE"/>
        </w:rPr>
        <w:t xml:space="preserve"> ved anvendelse af </w:t>
      </w:r>
      <w:proofErr w:type="spellStart"/>
      <w:r w:rsidRPr="00D87712">
        <w:rPr>
          <w:sz w:val="24"/>
          <w:szCs w:val="24"/>
          <w:lang w:eastAsia="sv-SE"/>
        </w:rPr>
        <w:t>mesalazin</w:t>
      </w:r>
      <w:proofErr w:type="spellEnd"/>
      <w:r w:rsidRPr="00D87712">
        <w:rPr>
          <w:sz w:val="24"/>
          <w:szCs w:val="24"/>
          <w:lang w:eastAsia="sv-SE"/>
        </w:rPr>
        <w:t xml:space="preserve">, herunder sten med et </w:t>
      </w:r>
      <w:proofErr w:type="spellStart"/>
      <w:r w:rsidRPr="00D87712">
        <w:rPr>
          <w:sz w:val="24"/>
          <w:szCs w:val="24"/>
          <w:lang w:eastAsia="sv-SE"/>
        </w:rPr>
        <w:t>mesalazin</w:t>
      </w:r>
      <w:proofErr w:type="spellEnd"/>
      <w:r w:rsidRPr="00D87712">
        <w:rPr>
          <w:sz w:val="24"/>
          <w:szCs w:val="24"/>
          <w:lang w:eastAsia="sv-SE"/>
        </w:rPr>
        <w:t>-indhold på 100 %. Det anbefales at sørge for tilstrækkelig væskeindtagelse under behandlingen.</w:t>
      </w:r>
    </w:p>
    <w:p w:rsidR="009F4409" w:rsidRDefault="009F4409" w:rsidP="008B2995">
      <w:pPr>
        <w:tabs>
          <w:tab w:val="left" w:pos="851"/>
        </w:tabs>
        <w:ind w:left="851"/>
        <w:rPr>
          <w:sz w:val="24"/>
          <w:szCs w:val="24"/>
          <w:lang w:eastAsia="sv-SE"/>
        </w:rPr>
      </w:pPr>
    </w:p>
    <w:p w:rsidR="009F4409" w:rsidRDefault="009F4409" w:rsidP="009F4409">
      <w:pPr>
        <w:tabs>
          <w:tab w:val="left" w:pos="851"/>
        </w:tabs>
        <w:ind w:left="851"/>
        <w:rPr>
          <w:sz w:val="24"/>
          <w:szCs w:val="24"/>
          <w:u w:val="single"/>
          <w:lang w:eastAsia="sv-SE"/>
        </w:rPr>
      </w:pPr>
      <w:r>
        <w:rPr>
          <w:sz w:val="24"/>
          <w:szCs w:val="24"/>
          <w:u w:val="single"/>
          <w:lang w:eastAsia="sv-SE"/>
        </w:rPr>
        <w:t>Misfarvning af urinen</w:t>
      </w:r>
    </w:p>
    <w:p w:rsidR="009F4409" w:rsidRDefault="009F4409" w:rsidP="009F4409">
      <w:pPr>
        <w:tabs>
          <w:tab w:val="left" w:pos="851"/>
        </w:tabs>
        <w:ind w:left="851"/>
        <w:rPr>
          <w:sz w:val="24"/>
          <w:szCs w:val="24"/>
          <w:lang w:eastAsia="sv-SE"/>
        </w:rPr>
      </w:pPr>
      <w:proofErr w:type="spellStart"/>
      <w:r>
        <w:rPr>
          <w:sz w:val="24"/>
          <w:szCs w:val="24"/>
          <w:lang w:eastAsia="sv-SE"/>
        </w:rPr>
        <w:t>Mesalazin</w:t>
      </w:r>
      <w:proofErr w:type="spellEnd"/>
      <w:r>
        <w:rPr>
          <w:sz w:val="24"/>
          <w:szCs w:val="24"/>
          <w:lang w:eastAsia="sv-SE"/>
        </w:rPr>
        <w:t xml:space="preserve"> kan forårsage </w:t>
      </w:r>
      <w:proofErr w:type="spellStart"/>
      <w:r>
        <w:rPr>
          <w:sz w:val="24"/>
          <w:szCs w:val="24"/>
          <w:lang w:eastAsia="sv-SE"/>
        </w:rPr>
        <w:t>rød-brun</w:t>
      </w:r>
      <w:proofErr w:type="spellEnd"/>
      <w:r>
        <w:rPr>
          <w:sz w:val="24"/>
          <w:szCs w:val="24"/>
          <w:lang w:eastAsia="sv-SE"/>
        </w:rPr>
        <w:t xml:space="preserve"> misfarvning af urinen efter kontakt med </w:t>
      </w:r>
      <w:proofErr w:type="spellStart"/>
      <w:r>
        <w:rPr>
          <w:sz w:val="24"/>
          <w:szCs w:val="24"/>
          <w:lang w:eastAsia="sv-SE"/>
        </w:rPr>
        <w:t>natriumhypoklorit</w:t>
      </w:r>
      <w:proofErr w:type="spellEnd"/>
      <w:r>
        <w:rPr>
          <w:sz w:val="24"/>
          <w:szCs w:val="24"/>
          <w:lang w:eastAsia="sv-SE"/>
        </w:rPr>
        <w:t xml:space="preserve"> blegemiddel (fx i toiletter der er blevet renset med </w:t>
      </w:r>
      <w:proofErr w:type="spellStart"/>
      <w:r>
        <w:rPr>
          <w:sz w:val="24"/>
          <w:szCs w:val="24"/>
          <w:lang w:eastAsia="sv-SE"/>
        </w:rPr>
        <w:t>natriumhypoklorit</w:t>
      </w:r>
      <w:proofErr w:type="spellEnd"/>
      <w:r>
        <w:rPr>
          <w:sz w:val="24"/>
          <w:szCs w:val="24"/>
          <w:lang w:eastAsia="sv-SE"/>
        </w:rPr>
        <w:t xml:space="preserve"> som findes i nogle former af blegemidler).</w:t>
      </w:r>
    </w:p>
    <w:p w:rsidR="008B2995" w:rsidRPr="00AD2824" w:rsidRDefault="008B2995" w:rsidP="008B2995">
      <w:pPr>
        <w:tabs>
          <w:tab w:val="left" w:pos="851"/>
        </w:tabs>
        <w:ind w:left="851"/>
        <w:rPr>
          <w:sz w:val="24"/>
          <w:szCs w:val="24"/>
          <w:lang w:eastAsia="sv-SE"/>
        </w:rPr>
      </w:pP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proofErr w:type="spellStart"/>
      <w:r w:rsidRPr="00AD2824">
        <w:rPr>
          <w:sz w:val="24"/>
          <w:szCs w:val="24"/>
          <w:u w:val="single"/>
          <w:lang w:eastAsia="de-DE"/>
        </w:rPr>
        <w:t>Bloddyskrasi</w:t>
      </w:r>
      <w:proofErr w:type="spellEnd"/>
    </w:p>
    <w:p w:rsidR="008B2995" w:rsidRPr="00AD2824" w:rsidRDefault="008B2995" w:rsidP="008B2995">
      <w:pPr>
        <w:tabs>
          <w:tab w:val="left" w:pos="426"/>
          <w:tab w:val="left" w:pos="709"/>
          <w:tab w:val="left" w:pos="851"/>
          <w:tab w:val="left" w:pos="1080"/>
          <w:tab w:val="left" w:pos="2520"/>
          <w:tab w:val="left" w:pos="3060"/>
        </w:tabs>
        <w:ind w:left="851"/>
        <w:rPr>
          <w:sz w:val="24"/>
          <w:szCs w:val="24"/>
          <w:lang w:eastAsia="de-DE"/>
        </w:rPr>
      </w:pPr>
      <w:r w:rsidRPr="00AD2824">
        <w:rPr>
          <w:sz w:val="24"/>
          <w:szCs w:val="24"/>
          <w:lang w:eastAsia="de-DE"/>
        </w:rPr>
        <w:t xml:space="preserve">Der er i meget sjældne tilfælde indberettet alvorlig </w:t>
      </w:r>
      <w:proofErr w:type="spellStart"/>
      <w:r w:rsidRPr="00AD2824">
        <w:rPr>
          <w:sz w:val="24"/>
          <w:szCs w:val="24"/>
          <w:lang w:eastAsia="de-DE"/>
        </w:rPr>
        <w:t>bloddyskrasi</w:t>
      </w:r>
      <w:proofErr w:type="spellEnd"/>
      <w:r w:rsidRPr="00AD2824">
        <w:rPr>
          <w:sz w:val="24"/>
          <w:szCs w:val="24"/>
          <w:lang w:eastAsia="de-DE"/>
        </w:rPr>
        <w:t xml:space="preserve">. Behandlingen med </w:t>
      </w:r>
      <w:proofErr w:type="spellStart"/>
      <w:r>
        <w:rPr>
          <w:sz w:val="24"/>
          <w:szCs w:val="24"/>
          <w:lang w:eastAsia="de-DE"/>
        </w:rPr>
        <w:t>Asacol</w:t>
      </w:r>
      <w:proofErr w:type="spellEnd"/>
      <w:r w:rsidRPr="00AD2824">
        <w:rPr>
          <w:sz w:val="24"/>
          <w:szCs w:val="24"/>
          <w:lang w:eastAsia="de-DE"/>
        </w:rPr>
        <w:t xml:space="preserve"> skal stoppes </w:t>
      </w:r>
      <w:r w:rsidRPr="00AD2824">
        <w:rPr>
          <w:sz w:val="24"/>
          <w:szCs w:val="24"/>
          <w:u w:val="single"/>
          <w:lang w:eastAsia="de-DE"/>
        </w:rPr>
        <w:t>omgående</w:t>
      </w:r>
      <w:r w:rsidRPr="00AD2824">
        <w:rPr>
          <w:sz w:val="24"/>
          <w:szCs w:val="24"/>
          <w:lang w:eastAsia="de-DE"/>
        </w:rPr>
        <w:t xml:space="preserve">, hvis der er mistanke om eller tegn på </w:t>
      </w:r>
      <w:proofErr w:type="spellStart"/>
      <w:r w:rsidRPr="00AD2824">
        <w:rPr>
          <w:sz w:val="24"/>
          <w:szCs w:val="24"/>
          <w:lang w:eastAsia="de-DE"/>
        </w:rPr>
        <w:t>bloddyskrasi</w:t>
      </w:r>
      <w:proofErr w:type="spellEnd"/>
      <w:r w:rsidRPr="00AD2824">
        <w:rPr>
          <w:sz w:val="24"/>
          <w:szCs w:val="24"/>
          <w:lang w:eastAsia="de-DE"/>
        </w:rPr>
        <w:t xml:space="preserve"> (uforklarlig blødning, blå mærker, </w:t>
      </w:r>
      <w:proofErr w:type="spellStart"/>
      <w:r w:rsidRPr="00AD2824">
        <w:rPr>
          <w:sz w:val="24"/>
          <w:szCs w:val="24"/>
          <w:lang w:eastAsia="de-DE"/>
        </w:rPr>
        <w:t>purpura</w:t>
      </w:r>
      <w:proofErr w:type="spellEnd"/>
      <w:r w:rsidRPr="00AD2824">
        <w:rPr>
          <w:sz w:val="24"/>
          <w:szCs w:val="24"/>
          <w:lang w:eastAsia="de-DE"/>
        </w:rPr>
        <w:t xml:space="preserve">, anæmi, vedvarende feber og ondt i halsen), og patienten skal søge øjeblikkelig lægerådgivning. </w:t>
      </w:r>
    </w:p>
    <w:p w:rsidR="008B2995" w:rsidRPr="00AD2824" w:rsidRDefault="008B2995" w:rsidP="008B2995">
      <w:pPr>
        <w:tabs>
          <w:tab w:val="left" w:pos="426"/>
          <w:tab w:val="left" w:pos="709"/>
          <w:tab w:val="left" w:pos="851"/>
          <w:tab w:val="left" w:pos="1080"/>
          <w:tab w:val="left" w:pos="2520"/>
          <w:tab w:val="left" w:pos="3060"/>
        </w:tabs>
        <w:ind w:left="851"/>
        <w:rPr>
          <w:sz w:val="24"/>
          <w:szCs w:val="24"/>
          <w:lang w:eastAsia="de-DE"/>
        </w:rPr>
      </w:pPr>
    </w:p>
    <w:p w:rsidR="008B2995" w:rsidRPr="00AD2824" w:rsidRDefault="008B2995" w:rsidP="008B2995">
      <w:pPr>
        <w:keepNext/>
        <w:keepLines/>
        <w:tabs>
          <w:tab w:val="left" w:pos="851"/>
        </w:tabs>
        <w:ind w:left="851"/>
        <w:rPr>
          <w:sz w:val="24"/>
          <w:szCs w:val="24"/>
          <w:u w:val="single"/>
          <w:lang w:eastAsia="de-DE"/>
        </w:rPr>
      </w:pPr>
      <w:r w:rsidRPr="00AD2824">
        <w:rPr>
          <w:sz w:val="24"/>
          <w:szCs w:val="24"/>
          <w:u w:val="single"/>
          <w:lang w:eastAsia="de-DE"/>
        </w:rPr>
        <w:t>Nedsat leverfu</w:t>
      </w:r>
      <w:r>
        <w:rPr>
          <w:sz w:val="24"/>
          <w:szCs w:val="24"/>
          <w:u w:val="single"/>
          <w:lang w:eastAsia="de-DE"/>
        </w:rPr>
        <w:t>nktion</w:t>
      </w:r>
    </w:p>
    <w:p w:rsidR="008B2995" w:rsidRPr="00AD2824" w:rsidRDefault="008B2995" w:rsidP="008B2995">
      <w:pPr>
        <w:tabs>
          <w:tab w:val="left" w:pos="851"/>
        </w:tabs>
        <w:ind w:left="851"/>
        <w:rPr>
          <w:sz w:val="24"/>
          <w:szCs w:val="24"/>
          <w:lang w:eastAsia="de-DE"/>
        </w:rPr>
      </w:pPr>
      <w:r w:rsidRPr="00AD2824">
        <w:rPr>
          <w:sz w:val="24"/>
          <w:szCs w:val="24"/>
          <w:lang w:eastAsia="de-DE"/>
        </w:rPr>
        <w:t xml:space="preserve">Der er rapporteret øgede leverenzymniveauer hos patienter, der tog præparater indeholdende </w:t>
      </w:r>
      <w:proofErr w:type="spellStart"/>
      <w:r w:rsidRPr="00AD2824">
        <w:rPr>
          <w:sz w:val="24"/>
          <w:szCs w:val="24"/>
          <w:lang w:eastAsia="de-DE"/>
        </w:rPr>
        <w:t>mesalazin</w:t>
      </w:r>
      <w:proofErr w:type="spellEnd"/>
      <w:r w:rsidRPr="00AD2824">
        <w:rPr>
          <w:sz w:val="24"/>
          <w:szCs w:val="24"/>
          <w:lang w:eastAsia="de-DE"/>
        </w:rPr>
        <w:t xml:space="preserve">. Der bør udvises forsigtighed ved administration af </w:t>
      </w:r>
      <w:proofErr w:type="spellStart"/>
      <w:r>
        <w:rPr>
          <w:sz w:val="24"/>
          <w:szCs w:val="24"/>
          <w:lang w:eastAsia="de-DE"/>
        </w:rPr>
        <w:t>Asacol</w:t>
      </w:r>
      <w:proofErr w:type="spellEnd"/>
      <w:r w:rsidRPr="00AD2824">
        <w:rPr>
          <w:sz w:val="24"/>
          <w:szCs w:val="24"/>
          <w:lang w:eastAsia="de-DE"/>
        </w:rPr>
        <w:t xml:space="preserve"> til patienter med nedsat leverfunktion.</w:t>
      </w:r>
    </w:p>
    <w:p w:rsidR="008B2995" w:rsidRPr="00AD2824" w:rsidRDefault="008B2995" w:rsidP="008B2995">
      <w:pPr>
        <w:tabs>
          <w:tab w:val="left" w:pos="851"/>
        </w:tabs>
        <w:ind w:left="851"/>
        <w:rPr>
          <w:spacing w:val="-6"/>
          <w:sz w:val="24"/>
          <w:szCs w:val="24"/>
          <w:lang w:eastAsia="de-DE"/>
        </w:rPr>
      </w:pPr>
    </w:p>
    <w:p w:rsidR="008B2995" w:rsidRPr="00AD2824" w:rsidRDefault="008B2995" w:rsidP="008B2995">
      <w:pPr>
        <w:tabs>
          <w:tab w:val="left" w:pos="426"/>
          <w:tab w:val="left" w:pos="709"/>
          <w:tab w:val="left" w:pos="851"/>
          <w:tab w:val="left" w:pos="1080"/>
          <w:tab w:val="left" w:pos="2520"/>
          <w:tab w:val="left" w:pos="3060"/>
        </w:tabs>
        <w:ind w:left="851"/>
        <w:rPr>
          <w:sz w:val="24"/>
          <w:szCs w:val="24"/>
          <w:u w:val="single"/>
          <w:lang w:eastAsia="de-DE"/>
        </w:rPr>
      </w:pPr>
      <w:proofErr w:type="spellStart"/>
      <w:r w:rsidRPr="00AD2824">
        <w:rPr>
          <w:sz w:val="24"/>
          <w:szCs w:val="24"/>
          <w:u w:val="single"/>
          <w:lang w:eastAsia="de-DE"/>
        </w:rPr>
        <w:t>Kardielle</w:t>
      </w:r>
      <w:proofErr w:type="spellEnd"/>
      <w:r w:rsidRPr="00AD2824">
        <w:rPr>
          <w:sz w:val="24"/>
          <w:szCs w:val="24"/>
          <w:u w:val="single"/>
          <w:lang w:eastAsia="de-DE"/>
        </w:rPr>
        <w:t xml:space="preserve"> overfølsomhedsreaktioner</w:t>
      </w:r>
    </w:p>
    <w:p w:rsidR="008B2995" w:rsidRPr="00AD2824" w:rsidRDefault="008B2995" w:rsidP="008B2995">
      <w:pPr>
        <w:tabs>
          <w:tab w:val="left" w:pos="426"/>
          <w:tab w:val="left" w:pos="709"/>
          <w:tab w:val="left" w:pos="851"/>
          <w:tab w:val="left" w:pos="1080"/>
          <w:tab w:val="left" w:pos="2520"/>
          <w:tab w:val="left" w:pos="3060"/>
        </w:tabs>
        <w:ind w:left="851" w:right="355"/>
        <w:rPr>
          <w:spacing w:val="-6"/>
          <w:sz w:val="24"/>
          <w:szCs w:val="24"/>
          <w:lang w:eastAsia="de-DE"/>
        </w:rPr>
      </w:pPr>
      <w:r w:rsidRPr="00AD2824">
        <w:rPr>
          <w:sz w:val="24"/>
          <w:szCs w:val="24"/>
          <w:lang w:eastAsia="de-DE"/>
        </w:rPr>
        <w:t xml:space="preserve">Der er i sjældne tilfælde rapporteret om </w:t>
      </w:r>
      <w:proofErr w:type="spellStart"/>
      <w:r w:rsidR="00B8332B">
        <w:rPr>
          <w:sz w:val="24"/>
          <w:szCs w:val="24"/>
          <w:lang w:eastAsia="de-DE"/>
        </w:rPr>
        <w:t>mesalazin</w:t>
      </w:r>
      <w:proofErr w:type="spellEnd"/>
      <w:r w:rsidR="00B8332B" w:rsidRPr="00AD2824">
        <w:rPr>
          <w:sz w:val="24"/>
          <w:szCs w:val="24"/>
          <w:lang w:eastAsia="de-DE"/>
        </w:rPr>
        <w:t>-inducerede</w:t>
      </w:r>
      <w:r w:rsidR="00B8332B">
        <w:rPr>
          <w:sz w:val="24"/>
          <w:szCs w:val="24"/>
          <w:lang w:eastAsia="de-DE"/>
        </w:rPr>
        <w:t xml:space="preserve"> </w:t>
      </w:r>
      <w:r w:rsidRPr="00AD2824">
        <w:rPr>
          <w:sz w:val="24"/>
          <w:szCs w:val="24"/>
          <w:lang w:eastAsia="de-DE"/>
        </w:rPr>
        <w:t>overfølsomheds</w:t>
      </w:r>
      <w:r w:rsidR="00B8332B">
        <w:rPr>
          <w:sz w:val="24"/>
          <w:szCs w:val="24"/>
          <w:lang w:eastAsia="de-DE"/>
        </w:rPr>
        <w:softHyphen/>
      </w:r>
      <w:r w:rsidRPr="00AD2824">
        <w:rPr>
          <w:sz w:val="24"/>
          <w:szCs w:val="24"/>
          <w:lang w:eastAsia="de-DE"/>
        </w:rPr>
        <w:t>reaktioner (</w:t>
      </w:r>
      <w:proofErr w:type="spellStart"/>
      <w:r w:rsidRPr="00AD2824">
        <w:rPr>
          <w:sz w:val="24"/>
          <w:szCs w:val="24"/>
          <w:lang w:eastAsia="de-DE"/>
        </w:rPr>
        <w:t>myo</w:t>
      </w:r>
      <w:proofErr w:type="spellEnd"/>
      <w:r w:rsidRPr="00AD2824">
        <w:rPr>
          <w:sz w:val="24"/>
          <w:szCs w:val="24"/>
          <w:lang w:eastAsia="de-DE"/>
        </w:rPr>
        <w:t xml:space="preserve">- og </w:t>
      </w:r>
      <w:proofErr w:type="spellStart"/>
      <w:r w:rsidRPr="00AD2824">
        <w:rPr>
          <w:sz w:val="24"/>
          <w:szCs w:val="24"/>
          <w:lang w:eastAsia="de-DE"/>
        </w:rPr>
        <w:t>pericarditis</w:t>
      </w:r>
      <w:proofErr w:type="spellEnd"/>
      <w:r w:rsidRPr="00AD2824">
        <w:rPr>
          <w:sz w:val="24"/>
          <w:szCs w:val="24"/>
          <w:lang w:eastAsia="de-DE"/>
        </w:rPr>
        <w:t xml:space="preserve">) med </w:t>
      </w:r>
      <w:proofErr w:type="spellStart"/>
      <w:r>
        <w:rPr>
          <w:sz w:val="24"/>
          <w:szCs w:val="24"/>
          <w:lang w:eastAsia="de-DE"/>
        </w:rPr>
        <w:t>Asacol</w:t>
      </w:r>
      <w:proofErr w:type="spellEnd"/>
      <w:r w:rsidRPr="00AD2824">
        <w:rPr>
          <w:sz w:val="24"/>
          <w:szCs w:val="24"/>
          <w:lang w:eastAsia="de-DE"/>
        </w:rPr>
        <w:t xml:space="preserve">. Hvis der er mistanke om en </w:t>
      </w:r>
      <w:proofErr w:type="spellStart"/>
      <w:r w:rsidRPr="00AD2824">
        <w:rPr>
          <w:sz w:val="24"/>
          <w:szCs w:val="24"/>
          <w:lang w:eastAsia="de-DE"/>
        </w:rPr>
        <w:t>kardiel</w:t>
      </w:r>
      <w:proofErr w:type="spellEnd"/>
      <w:r w:rsidRPr="00AD2824">
        <w:rPr>
          <w:sz w:val="24"/>
          <w:szCs w:val="24"/>
          <w:lang w:eastAsia="de-DE"/>
        </w:rPr>
        <w:t xml:space="preserve"> overfølsomhedsreaktion, må behandling med </w:t>
      </w:r>
      <w:proofErr w:type="spellStart"/>
      <w:r>
        <w:rPr>
          <w:sz w:val="24"/>
          <w:szCs w:val="24"/>
          <w:lang w:eastAsia="de-DE"/>
        </w:rPr>
        <w:t>Asacol</w:t>
      </w:r>
      <w:proofErr w:type="spellEnd"/>
      <w:r w:rsidRPr="00AD2824">
        <w:rPr>
          <w:sz w:val="24"/>
          <w:szCs w:val="24"/>
          <w:lang w:eastAsia="de-DE"/>
        </w:rPr>
        <w:t xml:space="preserve"> ikke genoptages. Der bør udvises forsigtighed hos patienter med tidligere </w:t>
      </w:r>
      <w:proofErr w:type="spellStart"/>
      <w:r w:rsidRPr="00AD2824">
        <w:rPr>
          <w:sz w:val="24"/>
          <w:szCs w:val="24"/>
          <w:lang w:eastAsia="de-DE"/>
        </w:rPr>
        <w:t>myo</w:t>
      </w:r>
      <w:proofErr w:type="spellEnd"/>
      <w:r w:rsidRPr="00AD2824">
        <w:rPr>
          <w:sz w:val="24"/>
          <w:szCs w:val="24"/>
          <w:lang w:eastAsia="de-DE"/>
        </w:rPr>
        <w:t xml:space="preserve">- eller </w:t>
      </w:r>
      <w:proofErr w:type="spellStart"/>
      <w:r w:rsidRPr="00AD2824">
        <w:rPr>
          <w:sz w:val="24"/>
          <w:szCs w:val="24"/>
          <w:lang w:eastAsia="de-DE"/>
        </w:rPr>
        <w:t>pericarditis</w:t>
      </w:r>
      <w:proofErr w:type="spellEnd"/>
      <w:r w:rsidRPr="00AD2824">
        <w:rPr>
          <w:sz w:val="24"/>
          <w:szCs w:val="24"/>
          <w:lang w:eastAsia="de-DE"/>
        </w:rPr>
        <w:t xml:space="preserve"> af allergisk karakter, uanset årsagen.</w:t>
      </w:r>
    </w:p>
    <w:p w:rsidR="008B2995" w:rsidRPr="00AD2824" w:rsidRDefault="008B2995" w:rsidP="008B2995">
      <w:pPr>
        <w:tabs>
          <w:tab w:val="left" w:pos="851"/>
        </w:tabs>
        <w:ind w:left="851"/>
        <w:rPr>
          <w:spacing w:val="-6"/>
          <w:sz w:val="24"/>
          <w:szCs w:val="24"/>
          <w:lang w:eastAsia="de-DE"/>
        </w:rPr>
      </w:pP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r w:rsidRPr="00AD2824">
        <w:rPr>
          <w:sz w:val="24"/>
          <w:szCs w:val="24"/>
          <w:u w:val="single"/>
          <w:lang w:eastAsia="de-DE"/>
        </w:rPr>
        <w:t>Lungesygdom</w:t>
      </w:r>
    </w:p>
    <w:p w:rsidR="008B2995" w:rsidRPr="00AD2824" w:rsidRDefault="008B2995" w:rsidP="008B2995">
      <w:pPr>
        <w:tabs>
          <w:tab w:val="left" w:pos="851"/>
        </w:tabs>
        <w:ind w:left="851"/>
        <w:rPr>
          <w:sz w:val="24"/>
          <w:szCs w:val="24"/>
          <w:lang w:eastAsia="de-DE"/>
        </w:rPr>
      </w:pPr>
      <w:r w:rsidRPr="00AD2824">
        <w:rPr>
          <w:sz w:val="24"/>
          <w:szCs w:val="24"/>
          <w:lang w:eastAsia="de-DE"/>
        </w:rPr>
        <w:t xml:space="preserve">Patienter med lungesygdom, især astma, bør monitoreres meget nøje under behandlingen med </w:t>
      </w:r>
      <w:proofErr w:type="spellStart"/>
      <w:r>
        <w:rPr>
          <w:sz w:val="24"/>
          <w:szCs w:val="24"/>
          <w:lang w:eastAsia="de-DE"/>
        </w:rPr>
        <w:t>Asacol</w:t>
      </w:r>
      <w:proofErr w:type="spellEnd"/>
      <w:r w:rsidRPr="00AD2824">
        <w:rPr>
          <w:sz w:val="24"/>
          <w:szCs w:val="24"/>
          <w:lang w:eastAsia="de-DE"/>
        </w:rPr>
        <w:t>.</w:t>
      </w: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lang w:eastAsia="de-DE"/>
        </w:rPr>
      </w:pPr>
    </w:p>
    <w:p w:rsidR="008B2995" w:rsidRPr="00AD2824" w:rsidRDefault="008B2995" w:rsidP="008B2995">
      <w:pPr>
        <w:tabs>
          <w:tab w:val="left" w:pos="709"/>
          <w:tab w:val="left" w:pos="851"/>
          <w:tab w:val="left" w:pos="1080"/>
          <w:tab w:val="left" w:pos="2520"/>
          <w:tab w:val="left" w:pos="3060"/>
        </w:tabs>
        <w:ind w:left="851"/>
        <w:rPr>
          <w:spacing w:val="-6"/>
          <w:sz w:val="24"/>
          <w:szCs w:val="24"/>
          <w:u w:val="single"/>
          <w:lang w:eastAsia="de-DE"/>
        </w:rPr>
      </w:pPr>
      <w:r w:rsidRPr="00AD2824">
        <w:rPr>
          <w:sz w:val="24"/>
          <w:szCs w:val="24"/>
          <w:u w:val="single"/>
          <w:lang w:eastAsia="de-DE"/>
        </w:rPr>
        <w:t xml:space="preserve">Overfølsomhed over for </w:t>
      </w:r>
      <w:proofErr w:type="spellStart"/>
      <w:r w:rsidRPr="00AD2824">
        <w:rPr>
          <w:sz w:val="24"/>
          <w:szCs w:val="24"/>
          <w:u w:val="single"/>
          <w:lang w:eastAsia="de-DE"/>
        </w:rPr>
        <w:t>sulfasalazin</w:t>
      </w:r>
      <w:proofErr w:type="spellEnd"/>
    </w:p>
    <w:p w:rsidR="008B2995" w:rsidRPr="00AD2824" w:rsidRDefault="008B2995" w:rsidP="008B2995">
      <w:pPr>
        <w:tabs>
          <w:tab w:val="left" w:pos="709"/>
          <w:tab w:val="left" w:pos="851"/>
          <w:tab w:val="left" w:pos="1080"/>
          <w:tab w:val="left" w:pos="2520"/>
          <w:tab w:val="left" w:pos="3060"/>
        </w:tabs>
        <w:ind w:left="851" w:right="355"/>
        <w:rPr>
          <w:sz w:val="24"/>
          <w:szCs w:val="24"/>
          <w:lang w:eastAsia="de-DE"/>
        </w:rPr>
      </w:pPr>
      <w:r w:rsidRPr="00AD2824">
        <w:rPr>
          <w:sz w:val="24"/>
          <w:szCs w:val="24"/>
          <w:lang w:eastAsia="de-DE"/>
        </w:rPr>
        <w:t xml:space="preserve">Patienter med overfølsomhedsreaktioner over for </w:t>
      </w:r>
      <w:proofErr w:type="spellStart"/>
      <w:r w:rsidRPr="00AD2824">
        <w:rPr>
          <w:sz w:val="24"/>
          <w:szCs w:val="24"/>
          <w:lang w:eastAsia="de-DE"/>
        </w:rPr>
        <w:t>sulfasalazin</w:t>
      </w:r>
      <w:proofErr w:type="spellEnd"/>
      <w:r w:rsidRPr="00AD2824">
        <w:rPr>
          <w:sz w:val="24"/>
          <w:szCs w:val="24"/>
          <w:lang w:eastAsia="de-DE"/>
        </w:rPr>
        <w:t xml:space="preserve"> i anamnesen bør holdes under tæt lægelig overvågning. Behandlingen skal stoppes </w:t>
      </w:r>
      <w:r w:rsidRPr="00AD2824">
        <w:rPr>
          <w:sz w:val="24"/>
          <w:szCs w:val="24"/>
          <w:u w:val="single"/>
          <w:lang w:eastAsia="de-DE"/>
        </w:rPr>
        <w:t>med det samme</w:t>
      </w:r>
      <w:r w:rsidRPr="00AD2824">
        <w:rPr>
          <w:sz w:val="24"/>
          <w:szCs w:val="24"/>
          <w:lang w:eastAsia="de-DE"/>
        </w:rPr>
        <w:t xml:space="preserve">, hvis der opstår akutte symptomer på </w:t>
      </w:r>
      <w:proofErr w:type="spellStart"/>
      <w:r w:rsidRPr="00AD2824">
        <w:rPr>
          <w:sz w:val="24"/>
          <w:szCs w:val="24"/>
          <w:lang w:eastAsia="de-DE"/>
        </w:rPr>
        <w:t>intolerans</w:t>
      </w:r>
      <w:proofErr w:type="spellEnd"/>
      <w:r w:rsidRPr="00AD2824">
        <w:rPr>
          <w:sz w:val="24"/>
          <w:szCs w:val="24"/>
          <w:lang w:eastAsia="de-DE"/>
        </w:rPr>
        <w:t>, såsom mavekramper, akutte mavesmerter, feber, kraftig hovedpine og udslæt.</w:t>
      </w:r>
    </w:p>
    <w:p w:rsidR="008B2995" w:rsidRPr="00AD2824" w:rsidRDefault="008B2995" w:rsidP="008B2995">
      <w:pPr>
        <w:tabs>
          <w:tab w:val="left" w:pos="709"/>
          <w:tab w:val="left" w:pos="851"/>
          <w:tab w:val="left" w:pos="1080"/>
          <w:tab w:val="left" w:pos="2520"/>
          <w:tab w:val="left" w:pos="3060"/>
        </w:tabs>
        <w:ind w:left="851" w:right="355"/>
        <w:rPr>
          <w:spacing w:val="-6"/>
          <w:sz w:val="24"/>
          <w:szCs w:val="24"/>
          <w:lang w:eastAsia="de-DE"/>
        </w:rPr>
      </w:pPr>
    </w:p>
    <w:p w:rsidR="008B2995" w:rsidRPr="00AD2824" w:rsidRDefault="008B2995" w:rsidP="008B2995">
      <w:pPr>
        <w:tabs>
          <w:tab w:val="left" w:pos="851"/>
        </w:tabs>
        <w:ind w:left="851"/>
        <w:rPr>
          <w:sz w:val="24"/>
          <w:szCs w:val="24"/>
          <w:u w:val="single"/>
          <w:lang w:eastAsia="de-DE"/>
        </w:rPr>
      </w:pPr>
      <w:r w:rsidRPr="00AD2824">
        <w:rPr>
          <w:sz w:val="24"/>
          <w:szCs w:val="24"/>
          <w:u w:val="single"/>
          <w:lang w:eastAsia="de-DE"/>
        </w:rPr>
        <w:t xml:space="preserve">Ventrikelsår og </w:t>
      </w:r>
      <w:proofErr w:type="spellStart"/>
      <w:r w:rsidRPr="00AD2824">
        <w:rPr>
          <w:sz w:val="24"/>
          <w:szCs w:val="24"/>
          <w:u w:val="single"/>
          <w:lang w:eastAsia="de-DE"/>
        </w:rPr>
        <w:t>duodenalsår</w:t>
      </w:r>
      <w:proofErr w:type="spellEnd"/>
    </w:p>
    <w:p w:rsidR="008B2995" w:rsidRDefault="008B2995" w:rsidP="008B2995">
      <w:pPr>
        <w:tabs>
          <w:tab w:val="left" w:pos="851"/>
        </w:tabs>
        <w:ind w:left="851"/>
        <w:rPr>
          <w:sz w:val="24"/>
          <w:szCs w:val="24"/>
          <w:lang w:eastAsia="de-DE"/>
        </w:rPr>
      </w:pPr>
      <w:r w:rsidRPr="00AD2824">
        <w:rPr>
          <w:sz w:val="24"/>
          <w:szCs w:val="24"/>
          <w:lang w:eastAsia="de-DE"/>
        </w:rPr>
        <w:t xml:space="preserve">Der bør udvises forsigtighed ved behandling af patienter med eksisterende ventrikel- eller </w:t>
      </w:r>
      <w:proofErr w:type="spellStart"/>
      <w:r w:rsidRPr="00AD2824">
        <w:rPr>
          <w:sz w:val="24"/>
          <w:szCs w:val="24"/>
          <w:lang w:eastAsia="de-DE"/>
        </w:rPr>
        <w:t>duodenalsår</w:t>
      </w:r>
      <w:proofErr w:type="spellEnd"/>
      <w:r w:rsidRPr="00AD2824">
        <w:rPr>
          <w:sz w:val="24"/>
          <w:szCs w:val="24"/>
          <w:lang w:eastAsia="de-DE"/>
        </w:rPr>
        <w:t>.</w:t>
      </w:r>
    </w:p>
    <w:p w:rsidR="00B8332B" w:rsidRDefault="00B8332B" w:rsidP="00B8332B">
      <w:pPr>
        <w:tabs>
          <w:tab w:val="left" w:pos="851"/>
        </w:tabs>
        <w:ind w:left="851"/>
        <w:rPr>
          <w:sz w:val="24"/>
          <w:szCs w:val="24"/>
          <w:lang w:eastAsia="de-DE"/>
        </w:rPr>
      </w:pPr>
    </w:p>
    <w:p w:rsidR="00B8332B" w:rsidRPr="00AB572F" w:rsidRDefault="00B8332B" w:rsidP="00B8332B">
      <w:pPr>
        <w:ind w:left="851"/>
        <w:rPr>
          <w:sz w:val="24"/>
          <w:szCs w:val="24"/>
          <w:u w:val="single"/>
        </w:rPr>
      </w:pPr>
      <w:proofErr w:type="spellStart"/>
      <w:r w:rsidRPr="00AB572F">
        <w:rPr>
          <w:sz w:val="24"/>
          <w:szCs w:val="24"/>
          <w:u w:val="single"/>
        </w:rPr>
        <w:t>Asacol</w:t>
      </w:r>
      <w:proofErr w:type="spellEnd"/>
      <w:r w:rsidRPr="00AB572F">
        <w:rPr>
          <w:sz w:val="24"/>
          <w:szCs w:val="24"/>
          <w:u w:val="single"/>
        </w:rPr>
        <w:t xml:space="preserve"> indeholder natrium</w:t>
      </w:r>
    </w:p>
    <w:p w:rsidR="00B8332B" w:rsidRPr="00AB572F" w:rsidRDefault="00B8332B" w:rsidP="00B8332B">
      <w:pPr>
        <w:ind w:left="851"/>
        <w:rPr>
          <w:sz w:val="24"/>
          <w:szCs w:val="24"/>
        </w:rPr>
      </w:pPr>
      <w:r w:rsidRPr="00AB572F">
        <w:rPr>
          <w:sz w:val="24"/>
          <w:szCs w:val="24"/>
        </w:rPr>
        <w:t>Dette lægemiddel indeholder mindre end 1 mmol (23 mg) natrium pr. dosisenhed, dvs. de</w:t>
      </w:r>
      <w:r>
        <w:rPr>
          <w:sz w:val="24"/>
          <w:szCs w:val="24"/>
        </w:rPr>
        <w:t>t</w:t>
      </w:r>
      <w:r w:rsidRPr="00AB572F">
        <w:rPr>
          <w:sz w:val="24"/>
          <w:szCs w:val="24"/>
        </w:rPr>
        <w:t xml:space="preserve"> er i det væsentlige natriumfri</w:t>
      </w:r>
      <w:r>
        <w:rPr>
          <w:sz w:val="24"/>
          <w:szCs w:val="24"/>
        </w:rPr>
        <w:t>t</w:t>
      </w:r>
      <w:r w:rsidRPr="00AB572F">
        <w:rPr>
          <w:sz w:val="24"/>
          <w:szCs w:val="24"/>
        </w:rPr>
        <w:t>.</w:t>
      </w:r>
    </w:p>
    <w:p w:rsidR="00B8332B" w:rsidRPr="00AD2824" w:rsidRDefault="00B8332B" w:rsidP="00B8332B">
      <w:pPr>
        <w:tabs>
          <w:tab w:val="left" w:pos="851"/>
        </w:tabs>
        <w:ind w:left="851"/>
        <w:rPr>
          <w:sz w:val="24"/>
          <w:szCs w:val="24"/>
          <w:lang w:eastAsia="de-DE"/>
        </w:rPr>
      </w:pPr>
    </w:p>
    <w:p w:rsidR="00B8332B" w:rsidRPr="00AD2824" w:rsidRDefault="00B8332B" w:rsidP="00B8332B">
      <w:pPr>
        <w:tabs>
          <w:tab w:val="left" w:pos="851"/>
        </w:tabs>
        <w:ind w:left="851"/>
        <w:rPr>
          <w:sz w:val="24"/>
          <w:szCs w:val="24"/>
          <w:u w:val="single"/>
          <w:lang w:eastAsia="de-DE"/>
        </w:rPr>
      </w:pPr>
      <w:r w:rsidRPr="00AD2824">
        <w:rPr>
          <w:sz w:val="24"/>
          <w:szCs w:val="24"/>
          <w:u w:val="single"/>
          <w:lang w:eastAsia="de-DE"/>
        </w:rPr>
        <w:t>Ældre patienter</w:t>
      </w:r>
    </w:p>
    <w:p w:rsidR="00B8332B" w:rsidRPr="00AD2824" w:rsidRDefault="00B8332B" w:rsidP="00B8332B">
      <w:pPr>
        <w:tabs>
          <w:tab w:val="left" w:pos="851"/>
        </w:tabs>
        <w:ind w:left="851"/>
        <w:rPr>
          <w:sz w:val="24"/>
          <w:szCs w:val="24"/>
          <w:lang w:eastAsia="de-DE"/>
        </w:rPr>
      </w:pPr>
      <w:proofErr w:type="spellStart"/>
      <w:r>
        <w:rPr>
          <w:sz w:val="24"/>
          <w:szCs w:val="24"/>
          <w:lang w:eastAsia="de-DE"/>
        </w:rPr>
        <w:t>Asacol</w:t>
      </w:r>
      <w:proofErr w:type="spellEnd"/>
      <w:r w:rsidRPr="00AD2824">
        <w:rPr>
          <w:sz w:val="24"/>
          <w:szCs w:val="24"/>
          <w:lang w:eastAsia="de-DE"/>
        </w:rPr>
        <w:t xml:space="preserve"> bør administreres med forsigtighed til ældre patienter. Det bør kun gives til patienter med normal </w:t>
      </w:r>
      <w:r>
        <w:rPr>
          <w:sz w:val="24"/>
          <w:szCs w:val="24"/>
          <w:lang w:eastAsia="de-DE"/>
        </w:rPr>
        <w:t xml:space="preserve">nyre- eller leverfunktion </w:t>
      </w:r>
      <w:r w:rsidRPr="00AD2824">
        <w:rPr>
          <w:sz w:val="24"/>
          <w:szCs w:val="24"/>
          <w:lang w:eastAsia="de-DE"/>
        </w:rPr>
        <w:t xml:space="preserve">eller </w:t>
      </w:r>
      <w:r>
        <w:rPr>
          <w:sz w:val="24"/>
          <w:szCs w:val="24"/>
          <w:lang w:eastAsia="de-DE"/>
        </w:rPr>
        <w:t xml:space="preserve">let til </w:t>
      </w:r>
      <w:r w:rsidRPr="00AD2824">
        <w:rPr>
          <w:sz w:val="24"/>
          <w:szCs w:val="24"/>
          <w:lang w:eastAsia="de-DE"/>
        </w:rPr>
        <w:t>moderat nedsat nyre</w:t>
      </w:r>
      <w:r>
        <w:rPr>
          <w:sz w:val="24"/>
          <w:szCs w:val="24"/>
          <w:lang w:eastAsia="de-DE"/>
        </w:rPr>
        <w:t>- eller lever</w:t>
      </w:r>
      <w:r w:rsidRPr="00AD2824">
        <w:rPr>
          <w:sz w:val="24"/>
          <w:szCs w:val="24"/>
          <w:lang w:eastAsia="de-DE"/>
        </w:rPr>
        <w:t>funktion (se pkt. 4.3).</w:t>
      </w:r>
    </w:p>
    <w:p w:rsidR="008B2995" w:rsidRPr="00AD2824" w:rsidRDefault="008B2995" w:rsidP="008B2995">
      <w:pPr>
        <w:tabs>
          <w:tab w:val="left" w:pos="426"/>
          <w:tab w:val="left" w:pos="709"/>
          <w:tab w:val="left" w:pos="851"/>
          <w:tab w:val="left" w:pos="1080"/>
          <w:tab w:val="left" w:pos="2520"/>
          <w:tab w:val="left" w:pos="3060"/>
        </w:tabs>
        <w:ind w:left="851"/>
        <w:rPr>
          <w:spacing w:val="-6"/>
          <w:sz w:val="24"/>
          <w:szCs w:val="24"/>
          <w:u w:val="single"/>
          <w:lang w:eastAsia="de-DE"/>
        </w:rPr>
      </w:pPr>
    </w:p>
    <w:p w:rsidR="008B2995" w:rsidRPr="00AD2824" w:rsidRDefault="008B2995" w:rsidP="008B2995">
      <w:pPr>
        <w:tabs>
          <w:tab w:val="left" w:pos="851"/>
        </w:tabs>
        <w:ind w:left="851"/>
        <w:rPr>
          <w:spacing w:val="-6"/>
          <w:sz w:val="24"/>
          <w:szCs w:val="24"/>
          <w:u w:val="single"/>
          <w:lang w:eastAsia="de-DE"/>
        </w:rPr>
      </w:pPr>
      <w:r w:rsidRPr="00AD2824">
        <w:rPr>
          <w:sz w:val="24"/>
          <w:szCs w:val="24"/>
          <w:u w:val="single"/>
          <w:lang w:eastAsia="de-DE"/>
        </w:rPr>
        <w:t>Pædiatrisk population</w:t>
      </w:r>
    </w:p>
    <w:p w:rsidR="00DC3109" w:rsidRPr="00C84483" w:rsidRDefault="008B2995" w:rsidP="008B2995">
      <w:pPr>
        <w:tabs>
          <w:tab w:val="left" w:pos="851"/>
        </w:tabs>
        <w:ind w:left="851"/>
        <w:rPr>
          <w:sz w:val="24"/>
          <w:szCs w:val="24"/>
          <w:lang w:eastAsia="de-DE"/>
        </w:rPr>
      </w:pPr>
      <w:r w:rsidRPr="00AD2824">
        <w:rPr>
          <w:sz w:val="24"/>
          <w:szCs w:val="24"/>
          <w:lang w:eastAsia="de-DE"/>
        </w:rPr>
        <w:t>Der er kun begrænset dokumentation for virkning hos børn, se pkt. 4.2.</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C3109" w:rsidRPr="00967B2D" w:rsidRDefault="00DC3109" w:rsidP="00DC3109">
      <w:pPr>
        <w:tabs>
          <w:tab w:val="left" w:pos="851"/>
        </w:tabs>
        <w:ind w:left="851"/>
        <w:rPr>
          <w:sz w:val="24"/>
          <w:szCs w:val="24"/>
          <w:lang w:eastAsia="de-DE"/>
        </w:rPr>
      </w:pPr>
      <w:r w:rsidRPr="00967B2D">
        <w:rPr>
          <w:sz w:val="24"/>
          <w:szCs w:val="24"/>
          <w:lang w:eastAsia="de-DE"/>
        </w:rPr>
        <w:t>Der er ikke udført interaktionsstudier.</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er evidens for, at </w:t>
      </w:r>
      <w:proofErr w:type="spellStart"/>
      <w:r w:rsidRPr="00967B2D">
        <w:rPr>
          <w:sz w:val="24"/>
          <w:szCs w:val="24"/>
          <w:lang w:eastAsia="de-DE"/>
        </w:rPr>
        <w:t>mesalazin</w:t>
      </w:r>
      <w:proofErr w:type="spellEnd"/>
      <w:r w:rsidRPr="00967B2D">
        <w:rPr>
          <w:sz w:val="24"/>
          <w:szCs w:val="24"/>
          <w:lang w:eastAsia="de-DE"/>
        </w:rPr>
        <w:t xml:space="preserve"> kan reducere den antikoagulerende virkning af </w:t>
      </w:r>
      <w:proofErr w:type="spellStart"/>
      <w:r w:rsidRPr="00967B2D">
        <w:rPr>
          <w:sz w:val="24"/>
          <w:szCs w:val="24"/>
          <w:lang w:eastAsia="de-DE"/>
        </w:rPr>
        <w:t>warfarin</w:t>
      </w:r>
      <w:proofErr w:type="spellEnd"/>
      <w:r w:rsidRPr="00967B2D">
        <w:rPr>
          <w:sz w:val="24"/>
          <w:szCs w:val="24"/>
          <w:lang w:eastAsia="de-DE"/>
        </w:rPr>
        <w:t>.</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bør udvises forsigtighed ved samtidig brug af </w:t>
      </w:r>
      <w:proofErr w:type="spellStart"/>
      <w:r w:rsidRPr="00967B2D">
        <w:rPr>
          <w:sz w:val="24"/>
          <w:szCs w:val="24"/>
          <w:lang w:eastAsia="de-DE"/>
        </w:rPr>
        <w:t>mesalazin</w:t>
      </w:r>
      <w:proofErr w:type="spellEnd"/>
      <w:r w:rsidRPr="00967B2D">
        <w:rPr>
          <w:sz w:val="24"/>
          <w:szCs w:val="24"/>
          <w:lang w:eastAsia="de-DE"/>
        </w:rPr>
        <w:t xml:space="preserve"> og </w:t>
      </w:r>
      <w:proofErr w:type="spellStart"/>
      <w:r w:rsidRPr="00967B2D">
        <w:rPr>
          <w:sz w:val="24"/>
          <w:szCs w:val="24"/>
          <w:lang w:eastAsia="de-DE"/>
        </w:rPr>
        <w:t>nefrotoksiske</w:t>
      </w:r>
      <w:proofErr w:type="spellEnd"/>
      <w:r w:rsidRPr="00967B2D">
        <w:rPr>
          <w:sz w:val="24"/>
          <w:szCs w:val="24"/>
          <w:lang w:eastAsia="de-DE"/>
        </w:rPr>
        <w:t xml:space="preserve"> midler, herunder non-</w:t>
      </w:r>
      <w:proofErr w:type="spellStart"/>
      <w:r w:rsidRPr="00967B2D">
        <w:rPr>
          <w:sz w:val="24"/>
          <w:szCs w:val="24"/>
          <w:lang w:eastAsia="de-DE"/>
        </w:rPr>
        <w:t>steroide</w:t>
      </w:r>
      <w:proofErr w:type="spellEnd"/>
      <w:r w:rsidRPr="00967B2D">
        <w:rPr>
          <w:sz w:val="24"/>
          <w:szCs w:val="24"/>
          <w:lang w:eastAsia="de-DE"/>
        </w:rPr>
        <w:t xml:space="preserve"> antiinflammatoriske lægemidler (</w:t>
      </w:r>
      <w:proofErr w:type="spellStart"/>
      <w:r w:rsidRPr="00967B2D">
        <w:rPr>
          <w:sz w:val="24"/>
          <w:szCs w:val="24"/>
          <w:lang w:eastAsia="de-DE"/>
        </w:rPr>
        <w:t>NSAID’er</w:t>
      </w:r>
      <w:proofErr w:type="spellEnd"/>
      <w:r w:rsidRPr="00967B2D">
        <w:rPr>
          <w:sz w:val="24"/>
          <w:szCs w:val="24"/>
          <w:lang w:eastAsia="de-DE"/>
        </w:rPr>
        <w:t xml:space="preserve">) og </w:t>
      </w:r>
      <w:proofErr w:type="spellStart"/>
      <w:r w:rsidRPr="00967B2D">
        <w:rPr>
          <w:sz w:val="24"/>
          <w:szCs w:val="24"/>
          <w:lang w:eastAsia="de-DE"/>
        </w:rPr>
        <w:t>azathioprin</w:t>
      </w:r>
      <w:proofErr w:type="spellEnd"/>
      <w:r w:rsidRPr="00967B2D">
        <w:rPr>
          <w:sz w:val="24"/>
          <w:szCs w:val="24"/>
          <w:lang w:eastAsia="de-DE"/>
        </w:rPr>
        <w:t xml:space="preserve">, eller </w:t>
      </w:r>
      <w:proofErr w:type="spellStart"/>
      <w:r w:rsidRPr="00967B2D">
        <w:rPr>
          <w:sz w:val="24"/>
          <w:szCs w:val="24"/>
          <w:lang w:eastAsia="de-DE"/>
        </w:rPr>
        <w:t>methotrexat</w:t>
      </w:r>
      <w:proofErr w:type="spellEnd"/>
      <w:r w:rsidRPr="00967B2D">
        <w:rPr>
          <w:sz w:val="24"/>
          <w:szCs w:val="24"/>
          <w:lang w:eastAsia="de-DE"/>
        </w:rPr>
        <w:t xml:space="preserve">, da disse kan øge risikoen for </w:t>
      </w:r>
      <w:proofErr w:type="spellStart"/>
      <w:r w:rsidRPr="00967B2D">
        <w:rPr>
          <w:sz w:val="24"/>
          <w:szCs w:val="24"/>
          <w:lang w:eastAsia="de-DE"/>
        </w:rPr>
        <w:t>renale</w:t>
      </w:r>
      <w:proofErr w:type="spellEnd"/>
      <w:r w:rsidRPr="00967B2D">
        <w:rPr>
          <w:sz w:val="24"/>
          <w:szCs w:val="24"/>
          <w:lang w:eastAsia="de-DE"/>
        </w:rPr>
        <w:t xml:space="preserve"> bivirkninger.</w:t>
      </w:r>
    </w:p>
    <w:p w:rsidR="00DC3109" w:rsidRPr="00967B2D" w:rsidRDefault="00DC3109" w:rsidP="00DC3109">
      <w:pPr>
        <w:tabs>
          <w:tab w:val="left" w:pos="851"/>
        </w:tabs>
        <w:ind w:left="851"/>
        <w:rPr>
          <w:sz w:val="24"/>
          <w:szCs w:val="24"/>
          <w:lang w:eastAsia="de-DE"/>
        </w:rPr>
      </w:pPr>
    </w:p>
    <w:p w:rsidR="00DC3109" w:rsidRDefault="00DC3109" w:rsidP="008B2995">
      <w:pPr>
        <w:tabs>
          <w:tab w:val="left" w:pos="851"/>
        </w:tabs>
        <w:ind w:left="851"/>
        <w:rPr>
          <w:sz w:val="24"/>
          <w:szCs w:val="24"/>
        </w:rPr>
      </w:pPr>
      <w:r w:rsidRPr="00967B2D">
        <w:rPr>
          <w:sz w:val="24"/>
          <w:szCs w:val="24"/>
          <w:lang w:eastAsia="de-DE"/>
        </w:rPr>
        <w:t xml:space="preserve">Der bør tages højde for potentielt forøget </w:t>
      </w:r>
      <w:proofErr w:type="spellStart"/>
      <w:r w:rsidRPr="00967B2D">
        <w:rPr>
          <w:sz w:val="24"/>
          <w:szCs w:val="24"/>
          <w:lang w:eastAsia="de-DE"/>
        </w:rPr>
        <w:t>myelosuppressiv</w:t>
      </w:r>
      <w:proofErr w:type="spellEnd"/>
      <w:r w:rsidRPr="00967B2D">
        <w:rPr>
          <w:sz w:val="24"/>
          <w:szCs w:val="24"/>
          <w:lang w:eastAsia="de-DE"/>
        </w:rPr>
        <w:t xml:space="preserve"> virkning af </w:t>
      </w:r>
      <w:proofErr w:type="spellStart"/>
      <w:r w:rsidRPr="00967B2D">
        <w:rPr>
          <w:sz w:val="24"/>
          <w:szCs w:val="24"/>
          <w:lang w:eastAsia="de-DE"/>
        </w:rPr>
        <w:t>azathioprin</w:t>
      </w:r>
      <w:proofErr w:type="spellEnd"/>
      <w:r w:rsidRPr="00967B2D">
        <w:rPr>
          <w:sz w:val="24"/>
          <w:szCs w:val="24"/>
          <w:lang w:eastAsia="de-DE"/>
        </w:rPr>
        <w:t xml:space="preserve">, 6-mercaptopurin eller thioguanin hos patienter, der får samtidig behandling med et af disse præparater. Livstruende infektion kan forekomme. Patienterne bør overvåges nøje for tegn på infektion og </w:t>
      </w:r>
      <w:proofErr w:type="spellStart"/>
      <w:r w:rsidRPr="00967B2D">
        <w:rPr>
          <w:sz w:val="24"/>
          <w:szCs w:val="24"/>
          <w:lang w:eastAsia="de-DE"/>
        </w:rPr>
        <w:t>myelosuppression</w:t>
      </w:r>
      <w:proofErr w:type="spellEnd"/>
      <w:r w:rsidRPr="00967B2D">
        <w:rPr>
          <w:sz w:val="24"/>
          <w:szCs w:val="24"/>
          <w:lang w:eastAsia="de-DE"/>
        </w:rPr>
        <w:t xml:space="preserve">. Hæmatologiske parametre, især leukocyt-, </w:t>
      </w:r>
      <w:proofErr w:type="spellStart"/>
      <w:r w:rsidRPr="00967B2D">
        <w:rPr>
          <w:sz w:val="24"/>
          <w:szCs w:val="24"/>
          <w:lang w:eastAsia="de-DE"/>
        </w:rPr>
        <w:t>trombocyt</w:t>
      </w:r>
      <w:proofErr w:type="spellEnd"/>
      <w:r w:rsidRPr="00967B2D">
        <w:rPr>
          <w:sz w:val="24"/>
          <w:szCs w:val="24"/>
          <w:lang w:eastAsia="de-DE"/>
        </w:rPr>
        <w:t>- og lymfocyttællinger, bør kontrolleres regelmæssigt (ugentligt), især ved opstart af sådan kombinationsbehandling, se pkt. 4.4.</w:t>
      </w:r>
    </w:p>
    <w:p w:rsidR="00DC3109" w:rsidRPr="00C84483" w:rsidRDefault="00DC3109" w:rsidP="00DC3109">
      <w:pPr>
        <w:tabs>
          <w:tab w:val="left" w:pos="851"/>
        </w:tabs>
        <w:ind w:left="851"/>
        <w:rPr>
          <w:sz w:val="24"/>
          <w:szCs w:val="24"/>
        </w:rPr>
      </w:pPr>
    </w:p>
    <w:p w:rsidR="00DC3109" w:rsidRPr="00967B2D" w:rsidRDefault="00DC3109" w:rsidP="00DC3109">
      <w:pPr>
        <w:tabs>
          <w:tab w:val="left" w:pos="851"/>
        </w:tabs>
        <w:ind w:left="851" w:hanging="851"/>
        <w:rPr>
          <w:b/>
          <w:sz w:val="24"/>
          <w:szCs w:val="24"/>
        </w:rPr>
      </w:pPr>
      <w:r w:rsidRPr="00C84483">
        <w:rPr>
          <w:b/>
          <w:sz w:val="24"/>
          <w:szCs w:val="24"/>
        </w:rPr>
        <w:t>4.6</w:t>
      </w:r>
      <w:r w:rsidRPr="00C84483">
        <w:rPr>
          <w:b/>
          <w:sz w:val="24"/>
          <w:szCs w:val="24"/>
        </w:rPr>
        <w:tab/>
      </w:r>
      <w:r w:rsidR="009F4409">
        <w:rPr>
          <w:b/>
          <w:sz w:val="24"/>
          <w:szCs w:val="24"/>
        </w:rPr>
        <w:t>Fertilitet, g</w:t>
      </w:r>
      <w:r w:rsidRPr="00C84483">
        <w:rPr>
          <w:b/>
          <w:sz w:val="24"/>
          <w:szCs w:val="24"/>
        </w:rPr>
        <w:t>raviditet og amning</w:t>
      </w:r>
    </w:p>
    <w:p w:rsidR="00DC3109" w:rsidRPr="00967B2D" w:rsidRDefault="00DC3109" w:rsidP="00DC3109">
      <w:pPr>
        <w:tabs>
          <w:tab w:val="left" w:pos="851"/>
        </w:tabs>
        <w:ind w:left="851"/>
        <w:rPr>
          <w:sz w:val="24"/>
          <w:szCs w:val="24"/>
          <w:lang w:eastAsia="de-DE"/>
        </w:rPr>
      </w:pPr>
      <w:r w:rsidRPr="00967B2D">
        <w:rPr>
          <w:sz w:val="24"/>
          <w:szCs w:val="24"/>
          <w:u w:val="single"/>
          <w:lang w:eastAsia="de-DE"/>
        </w:rPr>
        <w:t>Fertilitet</w:t>
      </w:r>
    </w:p>
    <w:p w:rsidR="00DC3109" w:rsidRPr="00967B2D" w:rsidRDefault="00DC3109" w:rsidP="00DC3109">
      <w:pPr>
        <w:tabs>
          <w:tab w:val="left" w:pos="851"/>
        </w:tabs>
        <w:ind w:left="851"/>
        <w:rPr>
          <w:sz w:val="24"/>
          <w:szCs w:val="24"/>
          <w:lang w:eastAsia="de-DE"/>
        </w:rPr>
      </w:pPr>
      <w:r w:rsidRPr="00967B2D">
        <w:rPr>
          <w:sz w:val="24"/>
          <w:szCs w:val="24"/>
          <w:lang w:eastAsia="de-DE"/>
        </w:rPr>
        <w:t>Der er ikke set nogen indvirkning på fertiliteten.</w:t>
      </w:r>
    </w:p>
    <w:p w:rsidR="00DC3109" w:rsidRPr="00967B2D" w:rsidRDefault="00DC3109" w:rsidP="00DC3109">
      <w:pPr>
        <w:tabs>
          <w:tab w:val="left" w:pos="851"/>
        </w:tabs>
        <w:ind w:left="851"/>
        <w:rPr>
          <w:sz w:val="24"/>
          <w:szCs w:val="24"/>
          <w:u w:val="single"/>
          <w:lang w:eastAsia="de-DE"/>
        </w:rPr>
      </w:pPr>
    </w:p>
    <w:p w:rsidR="00DC3109" w:rsidRPr="00967B2D" w:rsidRDefault="00DC3109" w:rsidP="00DC3109">
      <w:pPr>
        <w:tabs>
          <w:tab w:val="left" w:pos="851"/>
        </w:tabs>
        <w:ind w:left="851"/>
        <w:rPr>
          <w:sz w:val="24"/>
          <w:szCs w:val="24"/>
          <w:u w:val="single"/>
          <w:lang w:eastAsia="de-DE"/>
        </w:rPr>
      </w:pPr>
      <w:r w:rsidRPr="00967B2D">
        <w:rPr>
          <w:sz w:val="24"/>
          <w:szCs w:val="24"/>
          <w:u w:val="single"/>
          <w:lang w:eastAsia="de-DE"/>
        </w:rPr>
        <w:t>Graviditet</w:t>
      </w: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Der er utilstrækkelige data fra anvendelse af </w:t>
      </w:r>
      <w:proofErr w:type="spellStart"/>
      <w:r>
        <w:rPr>
          <w:sz w:val="24"/>
          <w:szCs w:val="24"/>
          <w:lang w:eastAsia="de-DE"/>
        </w:rPr>
        <w:t>Asacol</w:t>
      </w:r>
      <w:proofErr w:type="spellEnd"/>
      <w:r w:rsidRPr="00967B2D">
        <w:rPr>
          <w:sz w:val="24"/>
          <w:szCs w:val="24"/>
          <w:lang w:eastAsia="de-DE"/>
        </w:rPr>
        <w:t xml:space="preserve"> til gravide kvinder. Data fra anvendelse af </w:t>
      </w:r>
      <w:proofErr w:type="spellStart"/>
      <w:r w:rsidRPr="00967B2D">
        <w:rPr>
          <w:sz w:val="24"/>
          <w:szCs w:val="24"/>
          <w:lang w:eastAsia="de-DE"/>
        </w:rPr>
        <w:t>mesalazin</w:t>
      </w:r>
      <w:proofErr w:type="spellEnd"/>
      <w:r w:rsidRPr="00967B2D">
        <w:rPr>
          <w:sz w:val="24"/>
          <w:szCs w:val="24"/>
          <w:lang w:eastAsia="de-DE"/>
        </w:rPr>
        <w:t xml:space="preserve"> hos et begrænset antal gravide kvinder indikerer imidlertid ingen negativ virkning på graviditeten eller på fostret/det nyfødte barn. Der foreligger på nuværende tidspunkt ikke andre relevante epidemiologiske data. </w:t>
      </w:r>
    </w:p>
    <w:p w:rsidR="00DC3109" w:rsidRPr="00967B2D" w:rsidRDefault="00DC3109" w:rsidP="00DC3109">
      <w:pPr>
        <w:tabs>
          <w:tab w:val="left" w:pos="567"/>
          <w:tab w:val="left" w:pos="851"/>
        </w:tabs>
        <w:ind w:left="851"/>
        <w:rPr>
          <w:sz w:val="24"/>
          <w:szCs w:val="24"/>
          <w:lang w:eastAsia="de-DE"/>
        </w:rPr>
      </w:pPr>
    </w:p>
    <w:p w:rsidR="00DC3109" w:rsidRPr="00967B2D" w:rsidRDefault="00DC3109" w:rsidP="00DC3109">
      <w:pPr>
        <w:tabs>
          <w:tab w:val="left" w:pos="567"/>
          <w:tab w:val="left" w:pos="851"/>
        </w:tabs>
        <w:ind w:left="851"/>
        <w:rPr>
          <w:sz w:val="24"/>
          <w:szCs w:val="24"/>
          <w:lang w:eastAsia="de-DE"/>
        </w:rPr>
      </w:pPr>
      <w:r w:rsidRPr="00967B2D">
        <w:rPr>
          <w:sz w:val="24"/>
          <w:szCs w:val="24"/>
          <w:lang w:eastAsia="de-DE"/>
        </w:rPr>
        <w:t xml:space="preserve">I ét enkelt tilfælde efter langvarig brug af en høj dosis af </w:t>
      </w:r>
      <w:proofErr w:type="spellStart"/>
      <w:r w:rsidRPr="00967B2D">
        <w:rPr>
          <w:sz w:val="24"/>
          <w:szCs w:val="24"/>
          <w:lang w:eastAsia="de-DE"/>
        </w:rPr>
        <w:t>mesalazin</w:t>
      </w:r>
      <w:proofErr w:type="spellEnd"/>
      <w:r w:rsidRPr="00967B2D">
        <w:rPr>
          <w:sz w:val="24"/>
          <w:szCs w:val="24"/>
          <w:lang w:eastAsia="de-DE"/>
        </w:rPr>
        <w:t xml:space="preserve"> (2</w:t>
      </w:r>
      <w:r>
        <w:rPr>
          <w:sz w:val="24"/>
          <w:szCs w:val="24"/>
          <w:lang w:eastAsia="de-DE"/>
        </w:rPr>
        <w:t>-</w:t>
      </w:r>
      <w:r w:rsidRPr="00967B2D">
        <w:rPr>
          <w:sz w:val="24"/>
          <w:szCs w:val="24"/>
          <w:lang w:eastAsia="de-DE"/>
        </w:rPr>
        <w:t>4 g, oralt) under graviditeten er der rapporteret om nyresvigt hos det nyfødte barn.</w:t>
      </w:r>
    </w:p>
    <w:p w:rsidR="00DC3109" w:rsidRPr="00967B2D" w:rsidRDefault="00DC3109" w:rsidP="00DC3109">
      <w:pPr>
        <w:tabs>
          <w:tab w:val="left" w:pos="567"/>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lang w:eastAsia="de-DE"/>
        </w:rPr>
        <w:t xml:space="preserve">Dyreforsøg med oral </w:t>
      </w:r>
      <w:proofErr w:type="spellStart"/>
      <w:r w:rsidRPr="00967B2D">
        <w:rPr>
          <w:sz w:val="24"/>
          <w:szCs w:val="24"/>
          <w:lang w:eastAsia="de-DE"/>
        </w:rPr>
        <w:t>mesalazin</w:t>
      </w:r>
      <w:proofErr w:type="spellEnd"/>
      <w:r w:rsidRPr="00967B2D">
        <w:rPr>
          <w:sz w:val="24"/>
          <w:szCs w:val="24"/>
          <w:lang w:eastAsia="de-DE"/>
        </w:rPr>
        <w:t xml:space="preserve"> indikerer hverken direkte eller indirekte skadelige virkninger, hvad angår graviditeten, embryoets/fostrets udvikling, fødslen eller den </w:t>
      </w:r>
      <w:proofErr w:type="spellStart"/>
      <w:r w:rsidRPr="00967B2D">
        <w:rPr>
          <w:sz w:val="24"/>
          <w:szCs w:val="24"/>
          <w:lang w:eastAsia="de-DE"/>
        </w:rPr>
        <w:t>postnatale</w:t>
      </w:r>
      <w:proofErr w:type="spellEnd"/>
      <w:r w:rsidRPr="00967B2D">
        <w:rPr>
          <w:sz w:val="24"/>
          <w:szCs w:val="24"/>
          <w:lang w:eastAsia="de-DE"/>
        </w:rPr>
        <w:t xml:space="preserve"> udvikling. </w:t>
      </w:r>
      <w:proofErr w:type="spellStart"/>
      <w:r>
        <w:rPr>
          <w:sz w:val="24"/>
          <w:szCs w:val="24"/>
          <w:lang w:eastAsia="de-DE"/>
        </w:rPr>
        <w:t>Asacol</w:t>
      </w:r>
      <w:proofErr w:type="spellEnd"/>
      <w:r w:rsidRPr="00967B2D">
        <w:rPr>
          <w:sz w:val="24"/>
          <w:szCs w:val="24"/>
          <w:lang w:eastAsia="de-DE"/>
        </w:rPr>
        <w:t xml:space="preserve"> bør kun anvendes under graviditet, hvis den potentielle fordel opvejer den mulige risiko.</w:t>
      </w:r>
    </w:p>
    <w:p w:rsidR="00DC3109" w:rsidRPr="00967B2D" w:rsidRDefault="00DC3109" w:rsidP="00DC3109">
      <w:pPr>
        <w:tabs>
          <w:tab w:val="left" w:pos="851"/>
        </w:tabs>
        <w:ind w:left="851"/>
        <w:rPr>
          <w:sz w:val="24"/>
          <w:szCs w:val="24"/>
          <w:lang w:eastAsia="de-DE"/>
        </w:rPr>
      </w:pPr>
    </w:p>
    <w:p w:rsidR="00DC3109" w:rsidRPr="00967B2D" w:rsidRDefault="00DC3109" w:rsidP="00DC3109">
      <w:pPr>
        <w:tabs>
          <w:tab w:val="left" w:pos="851"/>
        </w:tabs>
        <w:ind w:left="851"/>
        <w:rPr>
          <w:sz w:val="24"/>
          <w:szCs w:val="24"/>
          <w:lang w:eastAsia="de-DE"/>
        </w:rPr>
      </w:pPr>
      <w:r w:rsidRPr="00967B2D">
        <w:rPr>
          <w:sz w:val="24"/>
          <w:szCs w:val="24"/>
          <w:u w:val="single"/>
          <w:lang w:eastAsia="de-DE"/>
        </w:rPr>
        <w:t>Amning</w:t>
      </w:r>
    </w:p>
    <w:p w:rsidR="00DC3109" w:rsidRPr="00C84483" w:rsidRDefault="00DC3109" w:rsidP="00DC3109">
      <w:pPr>
        <w:tabs>
          <w:tab w:val="left" w:pos="851"/>
        </w:tabs>
        <w:ind w:left="851"/>
        <w:rPr>
          <w:sz w:val="24"/>
          <w:szCs w:val="24"/>
          <w:lang w:eastAsia="de-DE"/>
        </w:rPr>
      </w:pPr>
      <w:r w:rsidRPr="00967B2D">
        <w:rPr>
          <w:sz w:val="24"/>
          <w:szCs w:val="24"/>
          <w:lang w:eastAsia="de-DE"/>
        </w:rPr>
        <w:t xml:space="preserve">N-acetyl-5-aminosalicylsyre og i mindre grad </w:t>
      </w:r>
      <w:proofErr w:type="spellStart"/>
      <w:r w:rsidRPr="00967B2D">
        <w:rPr>
          <w:sz w:val="24"/>
          <w:szCs w:val="24"/>
          <w:lang w:eastAsia="de-DE"/>
        </w:rPr>
        <w:t>mesalazin</w:t>
      </w:r>
      <w:proofErr w:type="spellEnd"/>
      <w:r w:rsidRPr="00967B2D">
        <w:rPr>
          <w:sz w:val="24"/>
          <w:szCs w:val="24"/>
          <w:lang w:eastAsia="de-DE"/>
        </w:rPr>
        <w:t xml:space="preserve"> udskilles i human mælk. Den kliniske betydning af dette er ikke klarlagt. På nuværende tidspunkt er der kun begrænset erfaring fra kvinder, der ammer. Overfølsomhedsreaktioner hos spædbarnet, såsom diarré, kan ikke udelukkes. Derfor bør </w:t>
      </w:r>
      <w:proofErr w:type="spellStart"/>
      <w:r>
        <w:rPr>
          <w:sz w:val="24"/>
          <w:szCs w:val="24"/>
          <w:lang w:eastAsia="de-DE"/>
        </w:rPr>
        <w:t>Asacol</w:t>
      </w:r>
      <w:proofErr w:type="spellEnd"/>
      <w:r w:rsidRPr="00967B2D">
        <w:rPr>
          <w:sz w:val="24"/>
          <w:szCs w:val="24"/>
          <w:lang w:eastAsia="de-DE"/>
        </w:rPr>
        <w:t xml:space="preserve"> kun anvendes under amning, hvis den potentielle fordel opvejer den mulige risiko. Hvis spædbarnet får diarré, bør amning ophøre.</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F4409">
        <w:rPr>
          <w:b/>
          <w:sz w:val="24"/>
          <w:szCs w:val="24"/>
        </w:rPr>
        <w:t>og</w:t>
      </w:r>
      <w:r w:rsidRPr="00C84483">
        <w:rPr>
          <w:b/>
          <w:sz w:val="24"/>
          <w:szCs w:val="24"/>
        </w:rPr>
        <w:t xml:space="preserve"> betjene maskiner</w:t>
      </w:r>
    </w:p>
    <w:p w:rsidR="00DC3109" w:rsidRPr="00F71BF2" w:rsidRDefault="00DC3109" w:rsidP="00DC3109">
      <w:pPr>
        <w:tabs>
          <w:tab w:val="left" w:pos="851"/>
        </w:tabs>
        <w:ind w:left="851"/>
        <w:rPr>
          <w:sz w:val="24"/>
          <w:szCs w:val="24"/>
          <w:lang w:eastAsia="de-DE"/>
        </w:rPr>
      </w:pPr>
      <w:r w:rsidRPr="00F71BF2">
        <w:rPr>
          <w:sz w:val="24"/>
          <w:szCs w:val="24"/>
          <w:lang w:eastAsia="de-DE"/>
        </w:rPr>
        <w:t>Ikke mærkning.</w:t>
      </w:r>
    </w:p>
    <w:p w:rsidR="00DC3109" w:rsidRPr="00F71BF2" w:rsidRDefault="00DC3109" w:rsidP="00DC3109">
      <w:pPr>
        <w:tabs>
          <w:tab w:val="left" w:pos="851"/>
        </w:tabs>
        <w:ind w:left="851"/>
        <w:rPr>
          <w:sz w:val="24"/>
          <w:szCs w:val="24"/>
          <w:lang w:eastAsia="de-DE"/>
        </w:rPr>
      </w:pPr>
      <w:r w:rsidRPr="00F71BF2">
        <w:rPr>
          <w:sz w:val="24"/>
          <w:szCs w:val="24"/>
          <w:lang w:eastAsia="de-DE"/>
        </w:rPr>
        <w:t xml:space="preserve">Der er ikke foretaget undersøgelser af virkningen på evnen til at føre motorkøretøj og betjene maskiner. </w:t>
      </w:r>
      <w:proofErr w:type="spellStart"/>
      <w:r>
        <w:rPr>
          <w:sz w:val="24"/>
          <w:szCs w:val="24"/>
          <w:lang w:eastAsia="de-DE"/>
        </w:rPr>
        <w:t>Asacol</w:t>
      </w:r>
      <w:proofErr w:type="spellEnd"/>
      <w:r w:rsidRPr="00F71BF2">
        <w:rPr>
          <w:sz w:val="24"/>
          <w:szCs w:val="24"/>
          <w:lang w:eastAsia="de-DE"/>
        </w:rPr>
        <w:t xml:space="preserve"> vurderes at have ubetydelig indvirkning på disse evner.</w:t>
      </w:r>
    </w:p>
    <w:p w:rsidR="00DC3109" w:rsidRPr="00C84483" w:rsidRDefault="00DC3109" w:rsidP="00DC3109">
      <w:pPr>
        <w:tabs>
          <w:tab w:val="left" w:pos="851"/>
        </w:tabs>
        <w:ind w:left="851"/>
        <w:rPr>
          <w:sz w:val="24"/>
          <w:szCs w:val="24"/>
        </w:rPr>
      </w:pPr>
    </w:p>
    <w:p w:rsidR="00DC3109" w:rsidRPr="008C35E7" w:rsidRDefault="00DC3109" w:rsidP="000B4320">
      <w:pPr>
        <w:keepNext/>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DC3109" w:rsidRPr="004736E4" w:rsidRDefault="00DC3109" w:rsidP="00DC3109">
      <w:pPr>
        <w:tabs>
          <w:tab w:val="left" w:pos="851"/>
          <w:tab w:val="center" w:pos="7993"/>
        </w:tabs>
        <w:ind w:left="851"/>
        <w:rPr>
          <w:sz w:val="24"/>
          <w:szCs w:val="24"/>
          <w:u w:val="single"/>
          <w:lang w:eastAsia="de-DE"/>
        </w:rPr>
      </w:pPr>
      <w:r w:rsidRPr="004736E4">
        <w:rPr>
          <w:sz w:val="24"/>
          <w:szCs w:val="24"/>
          <w:u w:val="single"/>
          <w:lang w:eastAsia="de-DE"/>
        </w:rPr>
        <w:t>a) Sammendrag af sikkerhedsprofilen</w:t>
      </w: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 xml:space="preserve">Der er rapporteret om organspecifikke bivirkninger, der påvirker hjerte, lunger, lever, nyrer, bugspytkirtel, hud og subkutane væv. Hovedpine (1,7 %), hæmaturi (1,7 %), mavesmerter (1,5 %), colitis </w:t>
      </w:r>
      <w:proofErr w:type="spellStart"/>
      <w:r w:rsidRPr="004736E4">
        <w:rPr>
          <w:sz w:val="24"/>
          <w:szCs w:val="24"/>
          <w:lang w:eastAsia="de-DE"/>
        </w:rPr>
        <w:t>ulcerosa</w:t>
      </w:r>
      <w:proofErr w:type="spellEnd"/>
      <w:r w:rsidRPr="004736E4">
        <w:rPr>
          <w:sz w:val="24"/>
          <w:szCs w:val="24"/>
          <w:lang w:eastAsia="de-DE"/>
        </w:rPr>
        <w:t xml:space="preserve"> (1,5 %) og </w:t>
      </w:r>
      <w:proofErr w:type="spellStart"/>
      <w:r w:rsidRPr="004736E4">
        <w:rPr>
          <w:sz w:val="24"/>
          <w:szCs w:val="24"/>
          <w:lang w:eastAsia="de-DE"/>
        </w:rPr>
        <w:t>proteinuri</w:t>
      </w:r>
      <w:proofErr w:type="spellEnd"/>
      <w:r w:rsidRPr="004736E4">
        <w:rPr>
          <w:sz w:val="24"/>
          <w:szCs w:val="24"/>
          <w:lang w:eastAsia="de-DE"/>
        </w:rPr>
        <w:t xml:space="preserve"> (1,5 %) er de hyppigst indberettede bivirkninger i det kliniske udviklingsprogram. </w:t>
      </w:r>
    </w:p>
    <w:p w:rsidR="00DC3109" w:rsidRPr="004736E4" w:rsidRDefault="00DC3109" w:rsidP="00DC3109">
      <w:pPr>
        <w:tabs>
          <w:tab w:val="left" w:pos="851"/>
          <w:tab w:val="center" w:pos="7993"/>
        </w:tabs>
        <w:ind w:left="851"/>
        <w:rPr>
          <w:sz w:val="24"/>
          <w:szCs w:val="24"/>
          <w:lang w:eastAsia="de-DE"/>
        </w:rPr>
      </w:pPr>
    </w:p>
    <w:p w:rsidR="00DC3109" w:rsidRDefault="00DC3109" w:rsidP="00DC3109">
      <w:pPr>
        <w:tabs>
          <w:tab w:val="left" w:pos="851"/>
          <w:tab w:val="center" w:pos="7993"/>
        </w:tabs>
        <w:ind w:left="851"/>
        <w:rPr>
          <w:sz w:val="24"/>
          <w:szCs w:val="24"/>
          <w:lang w:eastAsia="de-DE"/>
        </w:rPr>
      </w:pPr>
      <w:r w:rsidRPr="004736E4">
        <w:rPr>
          <w:sz w:val="24"/>
          <w:szCs w:val="24"/>
          <w:lang w:eastAsia="de-DE"/>
        </w:rPr>
        <w:t xml:space="preserve">Behandlingen skal stoppes med det samme, hvis der opstår akutte symptomer på </w:t>
      </w:r>
      <w:proofErr w:type="spellStart"/>
      <w:r w:rsidRPr="004736E4">
        <w:rPr>
          <w:sz w:val="24"/>
          <w:szCs w:val="24"/>
          <w:lang w:eastAsia="de-DE"/>
        </w:rPr>
        <w:t>intolerans</w:t>
      </w:r>
      <w:proofErr w:type="spellEnd"/>
      <w:r w:rsidRPr="004736E4">
        <w:rPr>
          <w:sz w:val="24"/>
          <w:szCs w:val="24"/>
          <w:lang w:eastAsia="de-DE"/>
        </w:rPr>
        <w:t>, såsom mavekramper, akutte mavesmerter, feber, kraftig hovedpine og udslæt.</w:t>
      </w:r>
    </w:p>
    <w:p w:rsidR="00990B23" w:rsidRDefault="00990B23" w:rsidP="00990B23">
      <w:pPr>
        <w:tabs>
          <w:tab w:val="left" w:pos="851"/>
          <w:tab w:val="center" w:pos="7993"/>
        </w:tabs>
        <w:ind w:left="851"/>
        <w:rPr>
          <w:sz w:val="24"/>
          <w:szCs w:val="24"/>
          <w:lang w:eastAsia="de-DE"/>
        </w:rPr>
      </w:pPr>
    </w:p>
    <w:p w:rsidR="00990B23" w:rsidRPr="00972E85" w:rsidRDefault="009F4409" w:rsidP="00990B23">
      <w:pPr>
        <w:tabs>
          <w:tab w:val="left" w:pos="851"/>
        </w:tabs>
        <w:ind w:left="851"/>
        <w:rPr>
          <w:noProof/>
          <w:sz w:val="24"/>
          <w:szCs w:val="24"/>
        </w:rPr>
      </w:pPr>
      <w:r w:rsidRPr="0048082D">
        <w:rPr>
          <w:noProof/>
          <w:sz w:val="24"/>
          <w:szCs w:val="24"/>
        </w:rPr>
        <w:t>Der er rapporteret om svære kutane bivirkninger, herunder lægemiddelreaktion med eosinofili og</w:t>
      </w:r>
      <w:r>
        <w:rPr>
          <w:noProof/>
          <w:sz w:val="24"/>
          <w:szCs w:val="24"/>
        </w:rPr>
        <w:t xml:space="preserve"> </w:t>
      </w:r>
      <w:r w:rsidRPr="0048082D">
        <w:rPr>
          <w:noProof/>
          <w:sz w:val="24"/>
          <w:szCs w:val="24"/>
        </w:rPr>
        <w:t>systemiske symptomer (DRESS), Stevens-Johnsons syndrom (SJS) og toksisk epidermal nekrolyse (TEN), i forbindelse med mesalazin-behandling (se pkt. 4.4).</w:t>
      </w:r>
      <w:r>
        <w:rPr>
          <w:noProof/>
          <w:sz w:val="24"/>
          <w:szCs w:val="24"/>
        </w:rPr>
        <w:tab/>
      </w:r>
    </w:p>
    <w:p w:rsidR="00DC3109" w:rsidRPr="004736E4" w:rsidRDefault="00DC3109" w:rsidP="00DC3109">
      <w:pPr>
        <w:tabs>
          <w:tab w:val="left" w:pos="851"/>
          <w:tab w:val="center" w:pos="7993"/>
        </w:tabs>
        <w:ind w:left="851"/>
        <w:rPr>
          <w:sz w:val="24"/>
          <w:szCs w:val="24"/>
          <w:lang w:eastAsia="de-DE"/>
        </w:rPr>
      </w:pPr>
    </w:p>
    <w:p w:rsidR="00DC3109" w:rsidRPr="004736E4" w:rsidRDefault="00DC3109" w:rsidP="00DC3109">
      <w:pPr>
        <w:tabs>
          <w:tab w:val="left" w:pos="851"/>
          <w:tab w:val="center" w:pos="7993"/>
        </w:tabs>
        <w:ind w:left="851"/>
        <w:rPr>
          <w:sz w:val="24"/>
          <w:szCs w:val="24"/>
          <w:u w:val="single"/>
          <w:lang w:eastAsia="de-DE"/>
        </w:rPr>
      </w:pPr>
      <w:r w:rsidRPr="004736E4">
        <w:rPr>
          <w:sz w:val="24"/>
          <w:szCs w:val="24"/>
          <w:u w:val="single"/>
          <w:lang w:eastAsia="de-DE"/>
        </w:rPr>
        <w:t>b. Resumé af bivirkninger i tabelform</w:t>
      </w: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 xml:space="preserve">Bivirkninger, der er indberettet fra kliniske studier og andre kilder, er angivet nedenfor: </w:t>
      </w:r>
    </w:p>
    <w:p w:rsidR="00DC3109" w:rsidRPr="004736E4" w:rsidRDefault="00DC3109" w:rsidP="00DC3109">
      <w:pPr>
        <w:tabs>
          <w:tab w:val="left" w:pos="851"/>
          <w:tab w:val="center" w:pos="7993"/>
        </w:tabs>
        <w:ind w:left="851"/>
        <w:rPr>
          <w:sz w:val="24"/>
          <w:szCs w:val="24"/>
          <w:lang w:eastAsia="de-DE"/>
        </w:rPr>
      </w:pPr>
    </w:p>
    <w:p w:rsidR="00DC3109" w:rsidRPr="004736E4" w:rsidRDefault="00DC3109" w:rsidP="00DC3109">
      <w:pPr>
        <w:tabs>
          <w:tab w:val="left" w:pos="851"/>
          <w:tab w:val="center" w:pos="7993"/>
        </w:tabs>
        <w:ind w:left="851"/>
        <w:rPr>
          <w:sz w:val="24"/>
          <w:szCs w:val="24"/>
          <w:lang w:eastAsia="de-DE"/>
        </w:rPr>
      </w:pPr>
      <w:r w:rsidRPr="004736E4">
        <w:rPr>
          <w:sz w:val="24"/>
          <w:szCs w:val="24"/>
          <w:lang w:eastAsia="de-DE"/>
        </w:rPr>
        <w:t>Almindelig (≥ 1/100 til &lt; 1/10), ikke almindelig (≥ 1/1.000 til &lt; 1/100), sjælden (≥ 1/10.000 til &lt; 1/1.000), meget sjælden (&lt; 1/10.000), ikke kendt (kan ikke estimeres ud fra forhåndenværende data).</w:t>
      </w:r>
    </w:p>
    <w:p w:rsidR="00DC3109" w:rsidRPr="004736E4" w:rsidRDefault="00DC3109" w:rsidP="00DC3109">
      <w:pPr>
        <w:widowControl w:val="0"/>
        <w:tabs>
          <w:tab w:val="left" w:pos="851"/>
        </w:tabs>
        <w:autoSpaceDE w:val="0"/>
        <w:autoSpaceDN w:val="0"/>
        <w:adjustRightInd w:val="0"/>
        <w:ind w:left="851"/>
        <w:outlineLvl w:val="0"/>
        <w:rPr>
          <w:iCs/>
          <w:sz w:val="24"/>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276"/>
        <w:gridCol w:w="1276"/>
        <w:gridCol w:w="1417"/>
        <w:gridCol w:w="1872"/>
        <w:gridCol w:w="1565"/>
      </w:tblGrid>
      <w:tr w:rsidR="008B2995" w:rsidRPr="004736E4" w:rsidTr="00123A9F">
        <w:trPr>
          <w:cantSplit/>
          <w:tblHeader/>
        </w:trPr>
        <w:tc>
          <w:tcPr>
            <w:tcW w:w="1809" w:type="dxa"/>
          </w:tcPr>
          <w:p w:rsidR="008B2995" w:rsidRPr="004736E4" w:rsidRDefault="008B2995" w:rsidP="00123A9F">
            <w:pPr>
              <w:suppressAutoHyphens/>
              <w:ind w:left="29"/>
              <w:rPr>
                <w:b/>
                <w:sz w:val="24"/>
                <w:szCs w:val="24"/>
                <w:lang w:eastAsia="de-DE"/>
              </w:rPr>
            </w:pPr>
            <w:r w:rsidRPr="004736E4">
              <w:rPr>
                <w:b/>
                <w:sz w:val="24"/>
                <w:szCs w:val="24"/>
                <w:lang w:eastAsia="de-DE"/>
              </w:rPr>
              <w:t>System</w:t>
            </w:r>
            <w:r w:rsidRPr="004736E4">
              <w:rPr>
                <w:b/>
                <w:sz w:val="24"/>
                <w:szCs w:val="24"/>
                <w:lang w:eastAsia="de-DE"/>
              </w:rPr>
              <w:softHyphen/>
              <w:t>organklasse</w:t>
            </w:r>
          </w:p>
        </w:tc>
        <w:tc>
          <w:tcPr>
            <w:tcW w:w="1276"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Almindelig</w:t>
            </w:r>
          </w:p>
          <w:p w:rsidR="008B2995" w:rsidRPr="004736E4" w:rsidRDefault="008B2995" w:rsidP="00123A9F">
            <w:pPr>
              <w:suppressAutoHyphens/>
              <w:ind w:left="-79"/>
              <w:rPr>
                <w:sz w:val="24"/>
                <w:szCs w:val="24"/>
                <w:u w:val="single"/>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 til &lt; 1/10)</w:t>
            </w:r>
          </w:p>
        </w:tc>
        <w:tc>
          <w:tcPr>
            <w:tcW w:w="1276"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Ikke almindelig</w:t>
            </w:r>
          </w:p>
          <w:p w:rsidR="008B2995" w:rsidRPr="004736E4" w:rsidRDefault="008B2995" w:rsidP="00123A9F">
            <w:pPr>
              <w:suppressAutoHyphens/>
              <w:ind w:left="-79"/>
              <w:rPr>
                <w:sz w:val="24"/>
                <w:szCs w:val="24"/>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1/1.000 til &lt; 1/100)</w:t>
            </w:r>
          </w:p>
        </w:tc>
        <w:tc>
          <w:tcPr>
            <w:tcW w:w="1417" w:type="dxa"/>
          </w:tcPr>
          <w:p w:rsidR="008B2995" w:rsidRPr="004736E4" w:rsidRDefault="008B2995" w:rsidP="00123A9F">
            <w:pPr>
              <w:keepLines/>
              <w:autoSpaceDE w:val="0"/>
              <w:autoSpaceDN w:val="0"/>
              <w:ind w:left="-79"/>
              <w:rPr>
                <w:rFonts w:eastAsia="Batang"/>
                <w:b/>
                <w:sz w:val="24"/>
                <w:szCs w:val="24"/>
                <w:lang w:eastAsia="de-DE"/>
              </w:rPr>
            </w:pPr>
            <w:r w:rsidRPr="004736E4">
              <w:rPr>
                <w:b/>
                <w:sz w:val="24"/>
                <w:szCs w:val="24"/>
                <w:lang w:eastAsia="de-DE"/>
              </w:rPr>
              <w:t>Sjælden</w:t>
            </w:r>
          </w:p>
          <w:p w:rsidR="008B2995" w:rsidRPr="004736E4" w:rsidRDefault="008B2995" w:rsidP="00123A9F">
            <w:pPr>
              <w:suppressAutoHyphens/>
              <w:ind w:left="-79"/>
              <w:rPr>
                <w:sz w:val="24"/>
                <w:szCs w:val="24"/>
                <w:lang w:eastAsia="de-DE"/>
              </w:rPr>
            </w:pPr>
            <w:r w:rsidRPr="004736E4">
              <w:rPr>
                <w:sz w:val="24"/>
                <w:szCs w:val="24"/>
                <w:lang w:eastAsia="de-DE"/>
              </w:rPr>
              <w:t>(</w:t>
            </w:r>
            <w:r w:rsidRPr="004736E4">
              <w:rPr>
                <w:sz w:val="24"/>
                <w:szCs w:val="24"/>
                <w:lang w:eastAsia="de-DE"/>
              </w:rPr>
              <w:sym w:font="Symbol" w:char="F0B3"/>
            </w:r>
            <w:r w:rsidRPr="004736E4">
              <w:rPr>
                <w:sz w:val="24"/>
                <w:szCs w:val="24"/>
                <w:lang w:eastAsia="de-DE"/>
              </w:rPr>
              <w:t> 1/10.000 til &lt; 1/1.000)</w:t>
            </w:r>
          </w:p>
        </w:tc>
        <w:tc>
          <w:tcPr>
            <w:tcW w:w="1872" w:type="dxa"/>
          </w:tcPr>
          <w:p w:rsidR="008B2995" w:rsidRPr="004736E4" w:rsidRDefault="008B2995" w:rsidP="00123A9F">
            <w:pPr>
              <w:keepLines/>
              <w:autoSpaceDE w:val="0"/>
              <w:autoSpaceDN w:val="0"/>
              <w:ind w:left="-79"/>
              <w:rPr>
                <w:rFonts w:eastAsia="Batang"/>
                <w:b/>
                <w:bCs/>
                <w:sz w:val="24"/>
                <w:szCs w:val="24"/>
                <w:lang w:eastAsia="de-DE"/>
              </w:rPr>
            </w:pPr>
            <w:r w:rsidRPr="004736E4">
              <w:rPr>
                <w:b/>
                <w:bCs/>
                <w:sz w:val="24"/>
                <w:szCs w:val="24"/>
                <w:lang w:eastAsia="de-DE"/>
              </w:rPr>
              <w:t>Meget sjælden</w:t>
            </w:r>
          </w:p>
          <w:p w:rsidR="008B2995" w:rsidRPr="004736E4" w:rsidRDefault="008B2995" w:rsidP="00123A9F">
            <w:pPr>
              <w:suppressAutoHyphens/>
              <w:ind w:left="-79"/>
              <w:rPr>
                <w:sz w:val="24"/>
                <w:szCs w:val="24"/>
                <w:u w:val="single"/>
                <w:lang w:eastAsia="de-DE"/>
              </w:rPr>
            </w:pPr>
            <w:r w:rsidRPr="004736E4">
              <w:rPr>
                <w:sz w:val="24"/>
                <w:szCs w:val="24"/>
                <w:lang w:eastAsia="de-DE"/>
              </w:rPr>
              <w:t>(&lt; 1/10.000)</w:t>
            </w:r>
          </w:p>
        </w:tc>
        <w:tc>
          <w:tcPr>
            <w:tcW w:w="1565" w:type="dxa"/>
          </w:tcPr>
          <w:p w:rsidR="008B2995" w:rsidRPr="004736E4" w:rsidRDefault="008B2995" w:rsidP="00123A9F">
            <w:pPr>
              <w:keepLines/>
              <w:autoSpaceDE w:val="0"/>
              <w:autoSpaceDN w:val="0"/>
              <w:ind w:left="-97"/>
              <w:rPr>
                <w:rFonts w:eastAsia="Batang"/>
                <w:b/>
                <w:bCs/>
                <w:sz w:val="24"/>
                <w:szCs w:val="24"/>
                <w:lang w:eastAsia="de-DE"/>
              </w:rPr>
            </w:pPr>
            <w:r w:rsidRPr="004736E4">
              <w:rPr>
                <w:b/>
                <w:bCs/>
                <w:sz w:val="24"/>
                <w:szCs w:val="24"/>
                <w:lang w:eastAsia="de-DE"/>
              </w:rPr>
              <w:t>Ikke kendt</w:t>
            </w:r>
          </w:p>
          <w:p w:rsidR="008B2995" w:rsidRPr="004736E4" w:rsidRDefault="008B2995" w:rsidP="00123A9F">
            <w:pPr>
              <w:suppressAutoHyphens/>
              <w:ind w:left="-97"/>
              <w:rPr>
                <w:sz w:val="24"/>
                <w:szCs w:val="24"/>
                <w:u w:val="single"/>
                <w:lang w:eastAsia="de-DE"/>
              </w:rPr>
            </w:pPr>
            <w:r w:rsidRPr="004736E4">
              <w:rPr>
                <w:sz w:val="24"/>
                <w:szCs w:val="24"/>
                <w:lang w:eastAsia="de-DE"/>
              </w:rPr>
              <w:t>(Kan ikke estimeres ud fra forhånden</w:t>
            </w:r>
            <w:r w:rsidRPr="004736E4">
              <w:rPr>
                <w:sz w:val="24"/>
                <w:szCs w:val="24"/>
                <w:lang w:eastAsia="de-DE"/>
              </w:rPr>
              <w:softHyphen/>
              <w:t>værende data)</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bCs/>
                <w:sz w:val="24"/>
                <w:szCs w:val="24"/>
                <w:lang w:eastAsia="de-DE"/>
              </w:rPr>
              <w:t>Blod og lymfesystem</w:t>
            </w:r>
            <w:r w:rsidRPr="004736E4">
              <w:rPr>
                <w:b/>
                <w:sz w:val="24"/>
                <w:szCs w:val="24"/>
                <w:lang w:eastAsia="de-DE"/>
              </w:rPr>
              <w:t xml:space="preserve"> </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Eosinofili</w:t>
            </w:r>
            <w:proofErr w:type="spellEnd"/>
            <w:r w:rsidRPr="004736E4">
              <w:rPr>
                <w:sz w:val="24"/>
                <w:szCs w:val="24"/>
                <w:lang w:eastAsia="de-DE"/>
              </w:rPr>
              <w:t xml:space="preserve"> (som del af en allergisk reaktion).</w:t>
            </w: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Ændring i blodtællinger (aplastisk anæmi, agranulocytose, pancytopeni, neutropeni, leukopeni, </w:t>
            </w:r>
            <w:proofErr w:type="spellStart"/>
            <w:r w:rsidRPr="004736E4">
              <w:rPr>
                <w:sz w:val="24"/>
                <w:szCs w:val="24"/>
                <w:lang w:eastAsia="de-DE"/>
              </w:rPr>
              <w:t>thrombocyto</w:t>
            </w:r>
            <w:r w:rsidRPr="004736E4">
              <w:rPr>
                <w:sz w:val="24"/>
                <w:szCs w:val="24"/>
                <w:lang w:eastAsia="de-DE"/>
              </w:rPr>
              <w:softHyphen/>
              <w:t>peni</w:t>
            </w:r>
            <w:proofErr w:type="spellEnd"/>
            <w:r w:rsidRPr="004736E4">
              <w:rPr>
                <w:noProof/>
                <w:sz w:val="24"/>
                <w:szCs w:val="24"/>
                <w:lang w:eastAsia="de-DE"/>
              </w:rPr>
              <w:t>), bloddyskrasi.</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Height w:val="2130"/>
        </w:trPr>
        <w:tc>
          <w:tcPr>
            <w:tcW w:w="1809" w:type="dxa"/>
          </w:tcPr>
          <w:p w:rsidR="008B2995" w:rsidRPr="004736E4" w:rsidRDefault="008B2995" w:rsidP="00123A9F">
            <w:pPr>
              <w:keepLines/>
              <w:autoSpaceDE w:val="0"/>
              <w:autoSpaceDN w:val="0"/>
              <w:ind w:left="29"/>
              <w:rPr>
                <w:rFonts w:eastAsia="Batang"/>
                <w:b/>
                <w:bCs/>
                <w:sz w:val="24"/>
                <w:szCs w:val="24"/>
                <w:lang w:eastAsia="de-DE"/>
              </w:rPr>
            </w:pPr>
            <w:r w:rsidRPr="004736E4">
              <w:rPr>
                <w:b/>
                <w:sz w:val="24"/>
                <w:szCs w:val="24"/>
                <w:lang w:eastAsia="de-DE"/>
              </w:rPr>
              <w:t>Immun</w:t>
            </w:r>
            <w:r w:rsidRPr="004736E4">
              <w:rPr>
                <w:b/>
                <w:sz w:val="24"/>
                <w:szCs w:val="24"/>
                <w:lang w:eastAsia="de-DE"/>
              </w:rPr>
              <w:softHyphen/>
              <w:t>systemet</w:t>
            </w:r>
          </w:p>
          <w:p w:rsidR="008B2995" w:rsidRPr="004736E4" w:rsidRDefault="008B2995" w:rsidP="00123A9F">
            <w:pPr>
              <w:suppressAutoHyphens/>
              <w:ind w:left="29"/>
              <w:rPr>
                <w:b/>
                <w:sz w:val="24"/>
                <w:szCs w:val="24"/>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sz w:val="24"/>
                <w:szCs w:val="24"/>
                <w:lang w:eastAsia="de-DE"/>
              </w:rPr>
              <w:t xml:space="preserve">Overfølsomheds-reaktioner såsom allergisk </w:t>
            </w:r>
            <w:proofErr w:type="spellStart"/>
            <w:r w:rsidRPr="004736E4">
              <w:rPr>
                <w:sz w:val="24"/>
                <w:szCs w:val="24"/>
                <w:lang w:eastAsia="de-DE"/>
              </w:rPr>
              <w:t>eksantem</w:t>
            </w:r>
            <w:proofErr w:type="spellEnd"/>
            <w:r w:rsidRPr="004736E4">
              <w:rPr>
                <w:sz w:val="24"/>
                <w:szCs w:val="24"/>
                <w:lang w:eastAsia="de-DE"/>
              </w:rPr>
              <w:t>, lægemiddel</w:t>
            </w:r>
            <w:r w:rsidRPr="004736E4">
              <w:rPr>
                <w:sz w:val="24"/>
                <w:szCs w:val="24"/>
                <w:lang w:eastAsia="de-DE"/>
              </w:rPr>
              <w:softHyphen/>
              <w:t xml:space="preserve">induceret feber, lupus </w:t>
            </w:r>
            <w:proofErr w:type="spellStart"/>
            <w:r w:rsidRPr="004736E4">
              <w:rPr>
                <w:sz w:val="24"/>
                <w:szCs w:val="24"/>
                <w:lang w:eastAsia="de-DE"/>
              </w:rPr>
              <w:t>erythematosus</w:t>
            </w:r>
            <w:proofErr w:type="spellEnd"/>
            <w:r w:rsidRPr="004736E4">
              <w:rPr>
                <w:sz w:val="24"/>
                <w:szCs w:val="24"/>
                <w:lang w:eastAsia="de-DE"/>
              </w:rPr>
              <w:t xml:space="preserve">-syndrom, </w:t>
            </w:r>
            <w:proofErr w:type="spellStart"/>
            <w:r w:rsidRPr="004736E4">
              <w:rPr>
                <w:sz w:val="24"/>
                <w:szCs w:val="24"/>
                <w:lang w:eastAsia="de-DE"/>
              </w:rPr>
              <w:t>pancolitis</w:t>
            </w:r>
            <w:proofErr w:type="spellEnd"/>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Nervesystemet</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Paræstesi</w:t>
            </w:r>
            <w:proofErr w:type="spellEnd"/>
          </w:p>
        </w:tc>
        <w:tc>
          <w:tcPr>
            <w:tcW w:w="1417" w:type="dxa"/>
          </w:tcPr>
          <w:p w:rsidR="008B2995" w:rsidRPr="004736E4" w:rsidRDefault="008B2995" w:rsidP="00123A9F">
            <w:pPr>
              <w:suppressAutoHyphens/>
              <w:ind w:left="-79"/>
              <w:rPr>
                <w:sz w:val="24"/>
                <w:szCs w:val="24"/>
                <w:lang w:eastAsia="de-DE"/>
              </w:rPr>
            </w:pPr>
            <w:r w:rsidRPr="004736E4">
              <w:rPr>
                <w:noProof/>
                <w:sz w:val="24"/>
                <w:szCs w:val="24"/>
                <w:lang w:eastAsia="de-DE"/>
              </w:rPr>
              <w:t>Hovedpine, svimmelhed</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Perifer neuropati</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sz w:val="24"/>
                <w:szCs w:val="24"/>
                <w:lang w:eastAsia="de-DE"/>
              </w:rPr>
              <w:t>Hjerte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Myocarditis</w:t>
            </w:r>
            <w:proofErr w:type="spellEnd"/>
            <w:r w:rsidRPr="004736E4">
              <w:rPr>
                <w:sz w:val="24"/>
                <w:szCs w:val="24"/>
                <w:lang w:eastAsia="de-DE"/>
              </w:rPr>
              <w:t xml:space="preserve">, </w:t>
            </w:r>
            <w:proofErr w:type="spellStart"/>
            <w:r w:rsidRPr="004736E4">
              <w:rPr>
                <w:sz w:val="24"/>
                <w:szCs w:val="24"/>
                <w:lang w:eastAsia="de-DE"/>
              </w:rPr>
              <w:t>pericarditis</w:t>
            </w:r>
            <w:proofErr w:type="spellEnd"/>
          </w:p>
        </w:tc>
        <w:tc>
          <w:tcPr>
            <w:tcW w:w="1872" w:type="dxa"/>
          </w:tcPr>
          <w:p w:rsidR="008B2995" w:rsidRPr="004736E4" w:rsidRDefault="008B2995" w:rsidP="00123A9F">
            <w:pPr>
              <w:suppressAutoHyphens/>
              <w:ind w:left="-79"/>
              <w:rPr>
                <w:sz w:val="24"/>
                <w:szCs w:val="24"/>
                <w:u w:val="single"/>
                <w:lang w:eastAsia="de-DE"/>
              </w:rPr>
            </w:pP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lastRenderedPageBreak/>
              <w:t>Luftveje, thorax og mediastinum</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Allergiske og fibrotiske lungereaktioner (inklusive dyspnø, hoste, bronkospasmer, alveolitis, pulmonal eosinofili, lungeinfiltrater, pneumonitis), interstitiel pneumoni, eosinofil pneumoni, lungesygdom.</w:t>
            </w:r>
          </w:p>
        </w:tc>
        <w:tc>
          <w:tcPr>
            <w:tcW w:w="1565" w:type="dxa"/>
          </w:tcPr>
          <w:p w:rsidR="00990B23" w:rsidRPr="00223DCC" w:rsidRDefault="00990B23" w:rsidP="00990B23">
            <w:pPr>
              <w:suppressAutoHyphens/>
              <w:ind w:left="-97"/>
              <w:rPr>
                <w:sz w:val="24"/>
                <w:szCs w:val="24"/>
                <w:lang w:eastAsia="de-DE"/>
              </w:rPr>
            </w:pPr>
            <w:r w:rsidRPr="00223DCC">
              <w:rPr>
                <w:sz w:val="24"/>
                <w:szCs w:val="24"/>
                <w:lang w:eastAsia="de-DE"/>
              </w:rPr>
              <w:t>Lungehinde-</w:t>
            </w:r>
          </w:p>
          <w:p w:rsidR="008B2995" w:rsidRPr="004736E4" w:rsidRDefault="00990B23" w:rsidP="00990B23">
            <w:pPr>
              <w:suppressAutoHyphens/>
              <w:ind w:left="-97"/>
              <w:rPr>
                <w:sz w:val="24"/>
                <w:szCs w:val="24"/>
                <w:u w:val="single"/>
                <w:lang w:eastAsia="de-DE"/>
              </w:rPr>
            </w:pPr>
            <w:r w:rsidRPr="00223DCC">
              <w:rPr>
                <w:sz w:val="24"/>
                <w:szCs w:val="24"/>
                <w:lang w:eastAsia="de-DE"/>
              </w:rPr>
              <w:t>betændelse</w:t>
            </w:r>
            <w:r w:rsidRPr="00AB572F">
              <w:rPr>
                <w:sz w:val="24"/>
                <w:szCs w:val="24"/>
                <w:u w:val="single"/>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Mave-tarm-kanalen</w:t>
            </w:r>
          </w:p>
        </w:tc>
        <w:tc>
          <w:tcPr>
            <w:tcW w:w="1276" w:type="dxa"/>
          </w:tcPr>
          <w:p w:rsidR="008B2995" w:rsidRPr="004736E4" w:rsidRDefault="008B2995" w:rsidP="00123A9F">
            <w:pPr>
              <w:suppressAutoHyphens/>
              <w:ind w:left="-79"/>
              <w:rPr>
                <w:sz w:val="24"/>
                <w:szCs w:val="24"/>
                <w:lang w:eastAsia="de-DE"/>
              </w:rPr>
            </w:pPr>
            <w:r w:rsidRPr="004736E4">
              <w:rPr>
                <w:sz w:val="24"/>
                <w:szCs w:val="24"/>
                <w:lang w:eastAsia="de-DE"/>
              </w:rPr>
              <w:t>Dyspepsi</w:t>
            </w:r>
          </w:p>
        </w:tc>
        <w:tc>
          <w:tcPr>
            <w:tcW w:w="1276" w:type="dxa"/>
          </w:tcPr>
          <w:p w:rsidR="008B2995" w:rsidRPr="004736E4" w:rsidRDefault="008B2995" w:rsidP="00123A9F">
            <w:pPr>
              <w:suppressAutoHyphens/>
              <w:ind w:left="-79"/>
              <w:rPr>
                <w:sz w:val="24"/>
                <w:szCs w:val="24"/>
                <w:lang w:eastAsia="de-DE"/>
              </w:rPr>
            </w:pPr>
          </w:p>
        </w:tc>
        <w:tc>
          <w:tcPr>
            <w:tcW w:w="1417" w:type="dxa"/>
          </w:tcPr>
          <w:p w:rsidR="008B2995" w:rsidRPr="004736E4" w:rsidRDefault="008B2995" w:rsidP="00123A9F">
            <w:pPr>
              <w:suppressAutoHyphens/>
              <w:ind w:left="-79"/>
              <w:rPr>
                <w:sz w:val="24"/>
                <w:szCs w:val="24"/>
                <w:lang w:eastAsia="de-DE"/>
              </w:rPr>
            </w:pPr>
            <w:r w:rsidRPr="004736E4">
              <w:rPr>
                <w:sz w:val="24"/>
                <w:szCs w:val="24"/>
                <w:lang w:eastAsia="de-DE"/>
              </w:rPr>
              <w:t>Mave</w:t>
            </w:r>
            <w:r w:rsidRPr="004736E4">
              <w:rPr>
                <w:sz w:val="24"/>
                <w:szCs w:val="24"/>
                <w:lang w:eastAsia="de-DE"/>
              </w:rPr>
              <w:softHyphen/>
              <w:t xml:space="preserve">smerter, diarré, </w:t>
            </w:r>
            <w:proofErr w:type="spellStart"/>
            <w:r w:rsidRPr="004736E4">
              <w:rPr>
                <w:sz w:val="24"/>
                <w:szCs w:val="24"/>
                <w:lang w:eastAsia="de-DE"/>
              </w:rPr>
              <w:t>flatulens</w:t>
            </w:r>
            <w:proofErr w:type="spellEnd"/>
            <w:r w:rsidRPr="004736E4">
              <w:rPr>
                <w:sz w:val="24"/>
                <w:szCs w:val="24"/>
                <w:lang w:eastAsia="de-DE"/>
              </w:rPr>
              <w:t>, kvalme, opkastning.</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Akut pancreatitis</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Lever og galdeveje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Ændringer i </w:t>
            </w:r>
            <w:r w:rsidRPr="004736E4">
              <w:rPr>
                <w:sz w:val="24"/>
                <w:szCs w:val="24"/>
                <w:lang w:eastAsia="de-DE"/>
              </w:rPr>
              <w:t>leverfunktions</w:t>
            </w:r>
            <w:r w:rsidRPr="004736E4">
              <w:rPr>
                <w:sz w:val="24"/>
                <w:szCs w:val="24"/>
                <w:lang w:eastAsia="de-DE"/>
              </w:rPr>
              <w:softHyphen/>
              <w:t>parametre</w:t>
            </w:r>
            <w:r w:rsidRPr="004736E4">
              <w:rPr>
                <w:noProof/>
                <w:sz w:val="24"/>
                <w:szCs w:val="24"/>
                <w:lang w:eastAsia="de-DE"/>
              </w:rPr>
              <w:t xml:space="preserve"> (stigning i transaminaser og </w:t>
            </w:r>
            <w:proofErr w:type="spellStart"/>
            <w:r w:rsidRPr="004736E4">
              <w:rPr>
                <w:sz w:val="24"/>
                <w:szCs w:val="24"/>
                <w:lang w:eastAsia="de-DE"/>
              </w:rPr>
              <w:t>kolestase</w:t>
            </w:r>
            <w:r w:rsidRPr="004736E4">
              <w:rPr>
                <w:sz w:val="24"/>
                <w:szCs w:val="24"/>
                <w:lang w:eastAsia="de-DE"/>
              </w:rPr>
              <w:softHyphen/>
              <w:t>parametre</w:t>
            </w:r>
            <w:proofErr w:type="spellEnd"/>
            <w:r w:rsidRPr="004736E4">
              <w:rPr>
                <w:noProof/>
                <w:sz w:val="24"/>
                <w:szCs w:val="24"/>
                <w:lang w:eastAsia="de-DE"/>
              </w:rPr>
              <w:t>), hepatitis, kolestatisk hepatitis</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Hud og subkutane væv</w:t>
            </w: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Udslæt</w:t>
            </w: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Urticaria, pruritus</w:t>
            </w:r>
          </w:p>
        </w:tc>
        <w:tc>
          <w:tcPr>
            <w:tcW w:w="1417" w:type="dxa"/>
          </w:tcPr>
          <w:p w:rsidR="008B2995" w:rsidRPr="004736E4" w:rsidRDefault="008B2995" w:rsidP="00123A9F">
            <w:pPr>
              <w:suppressAutoHyphens/>
              <w:ind w:left="-79"/>
              <w:rPr>
                <w:sz w:val="24"/>
                <w:szCs w:val="24"/>
                <w:lang w:eastAsia="de-DE"/>
              </w:rPr>
            </w:pPr>
            <w:proofErr w:type="spellStart"/>
            <w:r w:rsidRPr="004736E4">
              <w:rPr>
                <w:sz w:val="24"/>
                <w:szCs w:val="24"/>
                <w:lang w:eastAsia="de-DE"/>
              </w:rPr>
              <w:t>Lysfølsom-hed</w:t>
            </w:r>
            <w:proofErr w:type="spellEnd"/>
            <w:r w:rsidRPr="004736E4">
              <w:rPr>
                <w:sz w:val="24"/>
                <w:szCs w:val="24"/>
                <w:lang w:eastAsia="de-DE"/>
              </w:rPr>
              <w:t>*</w:t>
            </w: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Alopeci</w:t>
            </w:r>
          </w:p>
        </w:tc>
        <w:tc>
          <w:tcPr>
            <w:tcW w:w="1565" w:type="dxa"/>
          </w:tcPr>
          <w:p w:rsidR="009F4409" w:rsidRDefault="009F4409" w:rsidP="009F4409">
            <w:pPr>
              <w:suppressAutoHyphens/>
              <w:ind w:left="-97"/>
              <w:rPr>
                <w:sz w:val="24"/>
                <w:szCs w:val="24"/>
              </w:rPr>
            </w:pPr>
            <w:r>
              <w:rPr>
                <w:sz w:val="24"/>
                <w:szCs w:val="24"/>
              </w:rPr>
              <w:t>Lægemiddel</w:t>
            </w:r>
            <w:r>
              <w:rPr>
                <w:sz w:val="24"/>
                <w:szCs w:val="24"/>
              </w:rPr>
              <w:softHyphen/>
              <w:t xml:space="preserve">reaktion med </w:t>
            </w:r>
            <w:proofErr w:type="spellStart"/>
            <w:r>
              <w:rPr>
                <w:sz w:val="24"/>
                <w:szCs w:val="24"/>
              </w:rPr>
              <w:t>eosinofili</w:t>
            </w:r>
            <w:proofErr w:type="spellEnd"/>
            <w:r>
              <w:rPr>
                <w:sz w:val="24"/>
                <w:szCs w:val="24"/>
              </w:rPr>
              <w:t xml:space="preserve"> og systemiske symptomer (DRESS),</w:t>
            </w:r>
          </w:p>
          <w:p w:rsidR="008B2995" w:rsidRPr="004736E4" w:rsidRDefault="009F4409" w:rsidP="009F4409">
            <w:pPr>
              <w:suppressAutoHyphens/>
              <w:ind w:left="-97"/>
              <w:rPr>
                <w:sz w:val="24"/>
                <w:szCs w:val="24"/>
                <w:u w:val="single"/>
                <w:lang w:eastAsia="de-DE"/>
              </w:rPr>
            </w:pPr>
            <w:r w:rsidRPr="00972E85">
              <w:rPr>
                <w:sz w:val="24"/>
                <w:szCs w:val="24"/>
              </w:rPr>
              <w:t xml:space="preserve">Stevens-Johnsons syndrom (SJS), toksisk </w:t>
            </w:r>
            <w:proofErr w:type="spellStart"/>
            <w:r w:rsidRPr="00972E85">
              <w:rPr>
                <w:sz w:val="24"/>
                <w:szCs w:val="24"/>
              </w:rPr>
              <w:t>epidermal</w:t>
            </w:r>
            <w:proofErr w:type="spellEnd"/>
            <w:r w:rsidRPr="00972E85">
              <w:rPr>
                <w:sz w:val="24"/>
                <w:szCs w:val="24"/>
              </w:rPr>
              <w:t xml:space="preserve"> </w:t>
            </w:r>
            <w:proofErr w:type="spellStart"/>
            <w:r w:rsidRPr="00972E85">
              <w:rPr>
                <w:sz w:val="24"/>
                <w:szCs w:val="24"/>
              </w:rPr>
              <w:t>nekrolyse</w:t>
            </w:r>
            <w:proofErr w:type="spellEnd"/>
            <w:r w:rsidRPr="00972E85">
              <w:rPr>
                <w:sz w:val="24"/>
                <w:szCs w:val="24"/>
              </w:rPr>
              <w:t xml:space="preserve"> (TEN)</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lastRenderedPageBreak/>
              <w:t>Knogler, led, muskler og bindevæv</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sz w:val="24"/>
                <w:szCs w:val="24"/>
                <w:lang w:eastAsia="de-DE"/>
              </w:rPr>
              <w:t xml:space="preserve">Myalgi, </w:t>
            </w:r>
            <w:proofErr w:type="spellStart"/>
            <w:r w:rsidRPr="004736E4">
              <w:rPr>
                <w:sz w:val="24"/>
                <w:szCs w:val="24"/>
                <w:lang w:eastAsia="de-DE"/>
              </w:rPr>
              <w:t>artralgi</w:t>
            </w:r>
            <w:proofErr w:type="spellEnd"/>
            <w:r w:rsidRPr="004736E4">
              <w:rPr>
                <w:sz w:val="24"/>
                <w:szCs w:val="24"/>
                <w:lang w:eastAsia="de-DE"/>
              </w:rPr>
              <w:t>.</w:t>
            </w:r>
          </w:p>
        </w:tc>
        <w:tc>
          <w:tcPr>
            <w:tcW w:w="1565" w:type="dxa"/>
          </w:tcPr>
          <w:p w:rsidR="008B2995" w:rsidRPr="004736E4" w:rsidRDefault="008B2995" w:rsidP="00123A9F">
            <w:pPr>
              <w:suppressAutoHyphens/>
              <w:ind w:left="-97"/>
              <w:rPr>
                <w:sz w:val="24"/>
                <w:szCs w:val="24"/>
                <w:lang w:eastAsia="de-DE"/>
              </w:rPr>
            </w:pPr>
            <w:r w:rsidRPr="004736E4">
              <w:rPr>
                <w:noProof/>
                <w:sz w:val="24"/>
                <w:szCs w:val="24"/>
                <w:lang w:eastAsia="de-DE"/>
              </w:rPr>
              <w:t xml:space="preserve">Lupuslignende syndrom med pericarditis og </w:t>
            </w:r>
            <w:proofErr w:type="spellStart"/>
            <w:r w:rsidRPr="004736E4">
              <w:rPr>
                <w:sz w:val="24"/>
                <w:szCs w:val="24"/>
                <w:lang w:eastAsia="de-DE"/>
              </w:rPr>
              <w:t>pleuro</w:t>
            </w:r>
            <w:r w:rsidRPr="004736E4">
              <w:rPr>
                <w:sz w:val="24"/>
                <w:szCs w:val="24"/>
                <w:lang w:eastAsia="de-DE"/>
              </w:rPr>
              <w:softHyphen/>
              <w:t>pericarditis</w:t>
            </w:r>
            <w:proofErr w:type="spellEnd"/>
            <w:r w:rsidRPr="004736E4">
              <w:rPr>
                <w:noProof/>
                <w:sz w:val="24"/>
                <w:szCs w:val="24"/>
                <w:lang w:eastAsia="de-DE"/>
              </w:rPr>
              <w:t xml:space="preserve"> som fremtrædende symptomer samt udslæt og artralgi.</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 xml:space="preserve">Nyrer og urinveje </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Nedsat nyrefunktion, herunder akut og kronisk interstitiel nefritis og nyreinsufficiens, nefrotisk syndrom, nyresvigt som kan være reversibelt ved tidlig seponering.</w:t>
            </w:r>
          </w:p>
        </w:tc>
        <w:tc>
          <w:tcPr>
            <w:tcW w:w="1565" w:type="dxa"/>
          </w:tcPr>
          <w:p w:rsidR="008B2995" w:rsidRPr="00F86F8D" w:rsidRDefault="008B2995" w:rsidP="00123A9F">
            <w:pPr>
              <w:suppressAutoHyphens/>
              <w:ind w:left="-97"/>
              <w:rPr>
                <w:sz w:val="24"/>
                <w:szCs w:val="24"/>
                <w:lang w:eastAsia="de-DE"/>
              </w:rPr>
            </w:pPr>
            <w:proofErr w:type="spellStart"/>
            <w:r w:rsidRPr="00F86F8D">
              <w:rPr>
                <w:sz w:val="24"/>
                <w:szCs w:val="24"/>
                <w:lang w:eastAsia="de-DE"/>
              </w:rPr>
              <w:t>Nefrolitiasis</w:t>
            </w:r>
            <w:proofErr w:type="spellEnd"/>
            <w:r w:rsidRPr="00F86F8D">
              <w:rPr>
                <w:sz w:val="24"/>
                <w:szCs w:val="24"/>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Det reproduktive system og mammae</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r w:rsidRPr="004736E4">
              <w:rPr>
                <w:noProof/>
                <w:sz w:val="24"/>
                <w:szCs w:val="24"/>
                <w:lang w:eastAsia="de-DE"/>
              </w:rPr>
              <w:t>Oligospermi (reversibel)</w:t>
            </w:r>
          </w:p>
        </w:tc>
        <w:tc>
          <w:tcPr>
            <w:tcW w:w="1565" w:type="dxa"/>
          </w:tcPr>
          <w:p w:rsidR="008B2995" w:rsidRPr="004736E4" w:rsidRDefault="008B2995" w:rsidP="00123A9F">
            <w:pPr>
              <w:suppressAutoHyphens/>
              <w:ind w:left="-97"/>
              <w:rPr>
                <w:sz w:val="24"/>
                <w:szCs w:val="24"/>
                <w:u w:val="single"/>
                <w:lang w:eastAsia="de-DE"/>
              </w:rPr>
            </w:pP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t xml:space="preserve">Almene symptomer og reaktioner på </w:t>
            </w:r>
            <w:r w:rsidRPr="004736E4">
              <w:rPr>
                <w:b/>
                <w:sz w:val="24"/>
                <w:szCs w:val="24"/>
                <w:lang w:eastAsia="de-DE"/>
              </w:rPr>
              <w:t>administrations</w:t>
            </w:r>
            <w:r w:rsidRPr="004736E4">
              <w:rPr>
                <w:b/>
                <w:sz w:val="24"/>
                <w:szCs w:val="24"/>
                <w:lang w:eastAsia="de-DE"/>
              </w:rPr>
              <w:softHyphen/>
              <w:t>stedet</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lang w:eastAsia="de-DE"/>
              </w:rPr>
            </w:pPr>
            <w:r w:rsidRPr="004736E4">
              <w:rPr>
                <w:noProof/>
                <w:sz w:val="24"/>
                <w:szCs w:val="24"/>
                <w:lang w:eastAsia="de-DE"/>
              </w:rPr>
              <w:t xml:space="preserve">Pyreksi, </w:t>
            </w:r>
            <w:r w:rsidRPr="004736E4">
              <w:rPr>
                <w:sz w:val="24"/>
                <w:szCs w:val="24"/>
                <w:lang w:eastAsia="de-DE"/>
              </w:rPr>
              <w:t>bryst</w:t>
            </w:r>
            <w:r w:rsidRPr="004736E4">
              <w:rPr>
                <w:sz w:val="24"/>
                <w:szCs w:val="24"/>
                <w:lang w:eastAsia="de-DE"/>
              </w:rPr>
              <w:softHyphen/>
              <w:t>smerter</w:t>
            </w: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p>
        </w:tc>
        <w:tc>
          <w:tcPr>
            <w:tcW w:w="1565" w:type="dxa"/>
          </w:tcPr>
          <w:p w:rsidR="008B2995" w:rsidRPr="004736E4" w:rsidRDefault="00990B23" w:rsidP="00123A9F">
            <w:pPr>
              <w:suppressAutoHyphens/>
              <w:ind w:left="-97"/>
              <w:rPr>
                <w:sz w:val="24"/>
                <w:szCs w:val="24"/>
                <w:lang w:eastAsia="de-DE"/>
              </w:rPr>
            </w:pPr>
            <w:r w:rsidRPr="00AB572F">
              <w:rPr>
                <w:sz w:val="24"/>
                <w:szCs w:val="24"/>
                <w:lang w:eastAsia="de-DE"/>
              </w:rPr>
              <w:t xml:space="preserve">Intolerance over for </w:t>
            </w:r>
            <w:proofErr w:type="spellStart"/>
            <w:r w:rsidRPr="00AB572F">
              <w:rPr>
                <w:sz w:val="24"/>
                <w:szCs w:val="24"/>
                <w:lang w:eastAsia="de-DE"/>
              </w:rPr>
              <w:t>mesalazin</w:t>
            </w:r>
            <w:proofErr w:type="spellEnd"/>
            <w:r w:rsidRPr="00AB572F">
              <w:rPr>
                <w:sz w:val="24"/>
                <w:szCs w:val="24"/>
                <w:lang w:eastAsia="de-DE"/>
              </w:rPr>
              <w:t xml:space="preserve"> </w:t>
            </w:r>
            <w:r>
              <w:rPr>
                <w:sz w:val="24"/>
                <w:szCs w:val="24"/>
                <w:lang w:eastAsia="de-DE"/>
              </w:rPr>
              <w:t xml:space="preserve">og/eller </w:t>
            </w:r>
            <w:r w:rsidRPr="00AB572F">
              <w:rPr>
                <w:sz w:val="24"/>
                <w:szCs w:val="24"/>
                <w:lang w:eastAsia="de-DE"/>
              </w:rPr>
              <w:t xml:space="preserve">forværring af </w:t>
            </w:r>
            <w:r>
              <w:rPr>
                <w:sz w:val="24"/>
                <w:szCs w:val="24"/>
                <w:lang w:eastAsia="de-DE"/>
              </w:rPr>
              <w:t>underliggende sygdom,</w:t>
            </w:r>
            <w:r w:rsidRPr="00AB572F">
              <w:rPr>
                <w:sz w:val="24"/>
                <w:szCs w:val="24"/>
                <w:lang w:eastAsia="de-DE"/>
              </w:rPr>
              <w:t xml:space="preserve"> forhøjet C-reaktivt protein</w:t>
            </w:r>
            <w:r>
              <w:rPr>
                <w:sz w:val="24"/>
                <w:szCs w:val="24"/>
                <w:lang w:eastAsia="de-DE"/>
              </w:rPr>
              <w:t>.</w:t>
            </w:r>
          </w:p>
        </w:tc>
      </w:tr>
      <w:tr w:rsidR="008B2995" w:rsidRPr="004736E4" w:rsidTr="00123A9F">
        <w:trPr>
          <w:cantSplit/>
        </w:trPr>
        <w:tc>
          <w:tcPr>
            <w:tcW w:w="1809" w:type="dxa"/>
          </w:tcPr>
          <w:p w:rsidR="008B2995" w:rsidRPr="004736E4" w:rsidRDefault="008B2995" w:rsidP="00123A9F">
            <w:pPr>
              <w:suppressAutoHyphens/>
              <w:ind w:left="29"/>
              <w:rPr>
                <w:b/>
                <w:sz w:val="24"/>
                <w:szCs w:val="24"/>
                <w:lang w:eastAsia="de-DE"/>
              </w:rPr>
            </w:pPr>
            <w:r w:rsidRPr="004736E4">
              <w:rPr>
                <w:b/>
                <w:noProof/>
                <w:sz w:val="24"/>
                <w:szCs w:val="24"/>
                <w:lang w:eastAsia="de-DE"/>
              </w:rPr>
              <w:lastRenderedPageBreak/>
              <w:t>Undersøgelser</w:t>
            </w:r>
          </w:p>
        </w:tc>
        <w:tc>
          <w:tcPr>
            <w:tcW w:w="1276" w:type="dxa"/>
          </w:tcPr>
          <w:p w:rsidR="008B2995" w:rsidRPr="004736E4" w:rsidRDefault="008B2995" w:rsidP="00123A9F">
            <w:pPr>
              <w:suppressAutoHyphens/>
              <w:ind w:left="-79"/>
              <w:rPr>
                <w:sz w:val="24"/>
                <w:szCs w:val="24"/>
                <w:u w:val="single"/>
                <w:lang w:eastAsia="de-DE"/>
              </w:rPr>
            </w:pPr>
          </w:p>
        </w:tc>
        <w:tc>
          <w:tcPr>
            <w:tcW w:w="1276" w:type="dxa"/>
          </w:tcPr>
          <w:p w:rsidR="008B2995" w:rsidRPr="004736E4" w:rsidRDefault="008B2995" w:rsidP="00123A9F">
            <w:pPr>
              <w:suppressAutoHyphens/>
              <w:ind w:left="-79"/>
              <w:rPr>
                <w:sz w:val="24"/>
                <w:szCs w:val="24"/>
                <w:u w:val="single"/>
                <w:lang w:eastAsia="de-DE"/>
              </w:rPr>
            </w:pPr>
          </w:p>
        </w:tc>
        <w:tc>
          <w:tcPr>
            <w:tcW w:w="1417" w:type="dxa"/>
          </w:tcPr>
          <w:p w:rsidR="008B2995" w:rsidRPr="004736E4" w:rsidRDefault="008B2995" w:rsidP="00123A9F">
            <w:pPr>
              <w:suppressAutoHyphens/>
              <w:ind w:left="-79"/>
              <w:rPr>
                <w:sz w:val="24"/>
                <w:szCs w:val="24"/>
                <w:u w:val="single"/>
                <w:lang w:eastAsia="de-DE"/>
              </w:rPr>
            </w:pPr>
          </w:p>
        </w:tc>
        <w:tc>
          <w:tcPr>
            <w:tcW w:w="1872" w:type="dxa"/>
          </w:tcPr>
          <w:p w:rsidR="008B2995" w:rsidRPr="004736E4" w:rsidRDefault="008B2995" w:rsidP="00123A9F">
            <w:pPr>
              <w:suppressAutoHyphens/>
              <w:ind w:left="-79"/>
              <w:rPr>
                <w:sz w:val="24"/>
                <w:szCs w:val="24"/>
                <w:lang w:eastAsia="de-DE"/>
              </w:rPr>
            </w:pPr>
          </w:p>
        </w:tc>
        <w:tc>
          <w:tcPr>
            <w:tcW w:w="1565" w:type="dxa"/>
          </w:tcPr>
          <w:p w:rsidR="008B2995" w:rsidRPr="004736E4" w:rsidRDefault="008B2995" w:rsidP="00123A9F">
            <w:pPr>
              <w:suppressAutoHyphens/>
              <w:ind w:left="-97"/>
              <w:rPr>
                <w:sz w:val="24"/>
                <w:szCs w:val="24"/>
                <w:lang w:eastAsia="de-DE"/>
              </w:rPr>
            </w:pPr>
            <w:r w:rsidRPr="004736E4">
              <w:rPr>
                <w:noProof/>
                <w:sz w:val="24"/>
                <w:szCs w:val="24"/>
                <w:lang w:eastAsia="de-DE"/>
              </w:rPr>
              <w:t xml:space="preserve">Stigning i blodkreatinin, vægttab, nedsat </w:t>
            </w:r>
            <w:proofErr w:type="spellStart"/>
            <w:r w:rsidRPr="004736E4">
              <w:rPr>
                <w:sz w:val="24"/>
                <w:szCs w:val="24"/>
                <w:lang w:eastAsia="de-DE"/>
              </w:rPr>
              <w:t>kreatinin</w:t>
            </w:r>
            <w:r w:rsidRPr="004736E4">
              <w:rPr>
                <w:sz w:val="24"/>
                <w:szCs w:val="24"/>
                <w:lang w:eastAsia="de-DE"/>
              </w:rPr>
              <w:softHyphen/>
              <w:t>clearance</w:t>
            </w:r>
            <w:proofErr w:type="spellEnd"/>
            <w:r w:rsidRPr="004736E4">
              <w:rPr>
                <w:noProof/>
                <w:sz w:val="24"/>
                <w:szCs w:val="24"/>
                <w:lang w:eastAsia="de-DE"/>
              </w:rPr>
              <w:t xml:space="preserve">, stigning i amylase, øget </w:t>
            </w:r>
            <w:r w:rsidRPr="004736E4">
              <w:rPr>
                <w:sz w:val="24"/>
                <w:szCs w:val="24"/>
                <w:lang w:eastAsia="de-DE"/>
              </w:rPr>
              <w:t>erytrocyt</w:t>
            </w:r>
            <w:r w:rsidRPr="004736E4">
              <w:rPr>
                <w:sz w:val="24"/>
                <w:szCs w:val="24"/>
                <w:lang w:eastAsia="de-DE"/>
              </w:rPr>
              <w:softHyphen/>
              <w:t>sedimentations</w:t>
            </w:r>
            <w:r w:rsidRPr="004736E4">
              <w:rPr>
                <w:sz w:val="24"/>
                <w:szCs w:val="24"/>
                <w:lang w:eastAsia="de-DE"/>
              </w:rPr>
              <w:softHyphen/>
              <w:t>hastighed</w:t>
            </w:r>
            <w:r w:rsidRPr="004736E4">
              <w:rPr>
                <w:noProof/>
                <w:sz w:val="24"/>
                <w:szCs w:val="24"/>
                <w:lang w:eastAsia="de-DE"/>
              </w:rPr>
              <w:t>, øget lipase, øget BUN.</w:t>
            </w:r>
          </w:p>
        </w:tc>
      </w:tr>
    </w:tbl>
    <w:p w:rsidR="008B2995" w:rsidRDefault="008B2995" w:rsidP="008B2995">
      <w:pPr>
        <w:widowControl w:val="0"/>
        <w:tabs>
          <w:tab w:val="left" w:pos="851"/>
        </w:tabs>
        <w:autoSpaceDE w:val="0"/>
        <w:autoSpaceDN w:val="0"/>
        <w:adjustRightInd w:val="0"/>
        <w:ind w:left="851"/>
        <w:outlineLvl w:val="0"/>
        <w:rPr>
          <w:iCs/>
          <w:sz w:val="24"/>
          <w:szCs w:val="24"/>
          <w:lang w:eastAsia="de-DE"/>
        </w:rPr>
      </w:pPr>
      <w:r w:rsidRPr="004736E4">
        <w:rPr>
          <w:iCs/>
          <w:sz w:val="24"/>
          <w:szCs w:val="24"/>
          <w:lang w:eastAsia="de-DE"/>
        </w:rPr>
        <w:t>*</w:t>
      </w:r>
      <w:r>
        <w:rPr>
          <w:iCs/>
          <w:sz w:val="24"/>
          <w:szCs w:val="24"/>
          <w:lang w:eastAsia="de-DE"/>
        </w:rPr>
        <w:t xml:space="preserve"> </w:t>
      </w:r>
      <w:r w:rsidRPr="004736E4">
        <w:rPr>
          <w:iCs/>
          <w:sz w:val="24"/>
          <w:szCs w:val="24"/>
          <w:lang w:eastAsia="de-DE"/>
        </w:rPr>
        <w:t>se punkt c)</w:t>
      </w:r>
    </w:p>
    <w:p w:rsidR="008B2995" w:rsidRPr="004736E4" w:rsidRDefault="008B2995" w:rsidP="008B2995">
      <w:pPr>
        <w:widowControl w:val="0"/>
        <w:tabs>
          <w:tab w:val="left" w:pos="851"/>
        </w:tabs>
        <w:autoSpaceDE w:val="0"/>
        <w:autoSpaceDN w:val="0"/>
        <w:adjustRightInd w:val="0"/>
        <w:ind w:left="851"/>
        <w:outlineLvl w:val="0"/>
        <w:rPr>
          <w:iCs/>
          <w:sz w:val="24"/>
          <w:szCs w:val="24"/>
          <w:lang w:eastAsia="de-DE"/>
        </w:rPr>
      </w:pPr>
      <w:r w:rsidRPr="00D87712">
        <w:rPr>
          <w:iCs/>
          <w:sz w:val="24"/>
          <w:szCs w:val="24"/>
          <w:lang w:eastAsia="de-DE"/>
        </w:rPr>
        <w:t>*</w:t>
      </w:r>
      <w:r>
        <w:rPr>
          <w:iCs/>
          <w:sz w:val="24"/>
          <w:szCs w:val="24"/>
          <w:lang w:eastAsia="de-DE"/>
        </w:rPr>
        <w:t>*</w:t>
      </w:r>
      <w:r w:rsidRPr="00D87712">
        <w:rPr>
          <w:iCs/>
          <w:sz w:val="24"/>
          <w:szCs w:val="24"/>
          <w:lang w:eastAsia="de-DE"/>
        </w:rPr>
        <w:t xml:space="preserve"> </w:t>
      </w:r>
      <w:r>
        <w:rPr>
          <w:iCs/>
          <w:sz w:val="24"/>
          <w:szCs w:val="24"/>
          <w:lang w:eastAsia="de-DE"/>
        </w:rPr>
        <w:t>s</w:t>
      </w:r>
      <w:r w:rsidRPr="00D87712">
        <w:rPr>
          <w:iCs/>
          <w:sz w:val="24"/>
          <w:szCs w:val="24"/>
          <w:lang w:eastAsia="de-DE"/>
        </w:rPr>
        <w:t>e pkt. 4.4 for yderligere oplysninger</w:t>
      </w:r>
    </w:p>
    <w:p w:rsidR="008B2995" w:rsidRPr="004736E4" w:rsidRDefault="008B2995" w:rsidP="008B2995">
      <w:pPr>
        <w:widowControl w:val="0"/>
        <w:tabs>
          <w:tab w:val="left" w:pos="851"/>
        </w:tabs>
        <w:autoSpaceDE w:val="0"/>
        <w:autoSpaceDN w:val="0"/>
        <w:adjustRightInd w:val="0"/>
        <w:ind w:left="851"/>
        <w:outlineLvl w:val="0"/>
        <w:rPr>
          <w:iCs/>
          <w:sz w:val="24"/>
          <w:szCs w:val="24"/>
          <w:lang w:eastAsia="de-DE"/>
        </w:rPr>
      </w:pPr>
    </w:p>
    <w:p w:rsidR="008B2995" w:rsidRPr="004736E4" w:rsidRDefault="008B2995" w:rsidP="008B2995">
      <w:pPr>
        <w:tabs>
          <w:tab w:val="left" w:pos="851"/>
          <w:tab w:val="center" w:pos="7993"/>
        </w:tabs>
        <w:ind w:left="851"/>
        <w:rPr>
          <w:sz w:val="24"/>
          <w:szCs w:val="24"/>
          <w:u w:val="single"/>
          <w:lang w:eastAsia="de-DE"/>
        </w:rPr>
      </w:pPr>
      <w:r w:rsidRPr="004736E4">
        <w:rPr>
          <w:sz w:val="24"/>
          <w:szCs w:val="24"/>
          <w:u w:val="single"/>
          <w:lang w:eastAsia="de-DE"/>
        </w:rPr>
        <w:t>c) Beskrivelse af udvalgte bivirkninger</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Et ukendt antal af ovennævnte bivirkninger er sandsynligvis snarere relateret til den underliggende inflammatoriske tarmsygdom end </w:t>
      </w:r>
      <w:proofErr w:type="spellStart"/>
      <w:r>
        <w:rPr>
          <w:sz w:val="24"/>
          <w:szCs w:val="24"/>
          <w:lang w:eastAsia="de-DE"/>
        </w:rPr>
        <w:t>Asacol</w:t>
      </w:r>
      <w:proofErr w:type="spellEnd"/>
      <w:r w:rsidRPr="004736E4">
        <w:rPr>
          <w:sz w:val="24"/>
          <w:szCs w:val="24"/>
          <w:lang w:eastAsia="de-DE"/>
        </w:rPr>
        <w:t xml:space="preserve">. Dette gælder især </w:t>
      </w:r>
      <w:proofErr w:type="spellStart"/>
      <w:r w:rsidRPr="004736E4">
        <w:rPr>
          <w:sz w:val="24"/>
          <w:szCs w:val="24"/>
          <w:lang w:eastAsia="de-DE"/>
        </w:rPr>
        <w:t>gastrointestinale</w:t>
      </w:r>
      <w:proofErr w:type="spellEnd"/>
      <w:r w:rsidRPr="004736E4">
        <w:rPr>
          <w:sz w:val="24"/>
          <w:szCs w:val="24"/>
          <w:lang w:eastAsia="de-DE"/>
        </w:rPr>
        <w:t xml:space="preserve"> bivirkninger, </w:t>
      </w:r>
      <w:proofErr w:type="spellStart"/>
      <w:r w:rsidRPr="004736E4">
        <w:rPr>
          <w:sz w:val="24"/>
          <w:szCs w:val="24"/>
          <w:lang w:eastAsia="de-DE"/>
        </w:rPr>
        <w:t>artralgi</w:t>
      </w:r>
      <w:proofErr w:type="spellEnd"/>
      <w:r w:rsidRPr="004736E4">
        <w:rPr>
          <w:sz w:val="24"/>
          <w:szCs w:val="24"/>
          <w:lang w:eastAsia="de-DE"/>
        </w:rPr>
        <w:t xml:space="preserve"> og </w:t>
      </w:r>
      <w:proofErr w:type="spellStart"/>
      <w:r w:rsidRPr="004736E4">
        <w:rPr>
          <w:sz w:val="24"/>
          <w:szCs w:val="24"/>
          <w:lang w:eastAsia="de-DE"/>
        </w:rPr>
        <w:t>alopeci</w:t>
      </w:r>
      <w:proofErr w:type="spellEnd"/>
      <w:r w:rsidRPr="004736E4">
        <w:rPr>
          <w:sz w:val="24"/>
          <w:szCs w:val="24"/>
          <w:lang w:eastAsia="de-DE"/>
        </w:rPr>
        <w:t xml:space="preserve">. </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For at undgå </w:t>
      </w:r>
      <w:proofErr w:type="spellStart"/>
      <w:r w:rsidRPr="004736E4">
        <w:rPr>
          <w:sz w:val="24"/>
          <w:szCs w:val="24"/>
          <w:lang w:eastAsia="de-DE"/>
        </w:rPr>
        <w:t>bloddyskrasi</w:t>
      </w:r>
      <w:proofErr w:type="spellEnd"/>
      <w:r w:rsidRPr="004736E4">
        <w:rPr>
          <w:sz w:val="24"/>
          <w:szCs w:val="24"/>
          <w:lang w:eastAsia="de-DE"/>
        </w:rPr>
        <w:t xml:space="preserve"> som følge af knoglemarvsdepression skal patienterne monitoreres nøje, se pkt. 4.4. </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tabs>
          <w:tab w:val="left" w:pos="851"/>
        </w:tabs>
        <w:ind w:left="851"/>
        <w:rPr>
          <w:sz w:val="24"/>
          <w:szCs w:val="24"/>
          <w:lang w:eastAsia="de-DE"/>
        </w:rPr>
      </w:pPr>
      <w:r w:rsidRPr="004736E4">
        <w:rPr>
          <w:sz w:val="24"/>
          <w:szCs w:val="24"/>
          <w:lang w:eastAsia="de-DE"/>
        </w:rPr>
        <w:t xml:space="preserve">Ved samtidig administration af </w:t>
      </w:r>
      <w:proofErr w:type="spellStart"/>
      <w:r w:rsidRPr="004736E4">
        <w:rPr>
          <w:sz w:val="24"/>
          <w:szCs w:val="24"/>
          <w:lang w:eastAsia="de-DE"/>
        </w:rPr>
        <w:t>mesalazin</w:t>
      </w:r>
      <w:proofErr w:type="spellEnd"/>
      <w:r w:rsidRPr="004736E4">
        <w:rPr>
          <w:sz w:val="24"/>
          <w:szCs w:val="24"/>
          <w:lang w:eastAsia="de-DE"/>
        </w:rPr>
        <w:t xml:space="preserve"> og </w:t>
      </w:r>
      <w:proofErr w:type="spellStart"/>
      <w:r w:rsidRPr="004736E4">
        <w:rPr>
          <w:sz w:val="24"/>
          <w:szCs w:val="24"/>
          <w:lang w:eastAsia="de-DE"/>
        </w:rPr>
        <w:t>immunsuppressiva</w:t>
      </w:r>
      <w:proofErr w:type="spellEnd"/>
      <w:r w:rsidRPr="004736E4">
        <w:rPr>
          <w:sz w:val="24"/>
          <w:szCs w:val="24"/>
          <w:lang w:eastAsia="de-DE"/>
        </w:rPr>
        <w:t xml:space="preserve">, såsom </w:t>
      </w:r>
      <w:proofErr w:type="spellStart"/>
      <w:r w:rsidRPr="004736E4">
        <w:rPr>
          <w:sz w:val="24"/>
          <w:szCs w:val="24"/>
          <w:lang w:eastAsia="de-DE"/>
        </w:rPr>
        <w:t>azathioprin</w:t>
      </w:r>
      <w:proofErr w:type="spellEnd"/>
      <w:r w:rsidRPr="004736E4">
        <w:rPr>
          <w:sz w:val="24"/>
          <w:szCs w:val="24"/>
          <w:lang w:eastAsia="de-DE"/>
        </w:rPr>
        <w:t>, 6-MP eller thioguanin, kan der opstå livstruende infektion, se pkt. 4.5.</w:t>
      </w:r>
    </w:p>
    <w:p w:rsidR="008B2995" w:rsidRPr="004736E4" w:rsidRDefault="008B2995" w:rsidP="008B2995">
      <w:pPr>
        <w:tabs>
          <w:tab w:val="left" w:pos="851"/>
        </w:tabs>
        <w:ind w:left="851"/>
        <w:rPr>
          <w:sz w:val="24"/>
          <w:szCs w:val="24"/>
          <w:lang w:eastAsia="de-DE"/>
        </w:rPr>
      </w:pPr>
    </w:p>
    <w:p w:rsidR="008B2995" w:rsidRPr="004736E4" w:rsidRDefault="008B2995" w:rsidP="008B2995">
      <w:pPr>
        <w:tabs>
          <w:tab w:val="left" w:pos="851"/>
        </w:tabs>
        <w:ind w:left="851"/>
        <w:rPr>
          <w:i/>
          <w:spacing w:val="-6"/>
          <w:sz w:val="24"/>
          <w:szCs w:val="24"/>
          <w:lang w:eastAsia="de-DE"/>
        </w:rPr>
      </w:pPr>
      <w:r w:rsidRPr="004736E4">
        <w:rPr>
          <w:i/>
          <w:spacing w:val="-6"/>
          <w:sz w:val="24"/>
          <w:szCs w:val="24"/>
          <w:lang w:eastAsia="de-DE"/>
        </w:rPr>
        <w:t>Lysfølsomhed</w:t>
      </w:r>
    </w:p>
    <w:p w:rsidR="008B2995" w:rsidRDefault="008B2995" w:rsidP="008B2995">
      <w:pPr>
        <w:tabs>
          <w:tab w:val="left" w:pos="851"/>
        </w:tabs>
        <w:ind w:left="851"/>
        <w:rPr>
          <w:spacing w:val="-6"/>
          <w:sz w:val="24"/>
          <w:szCs w:val="24"/>
          <w:lang w:eastAsia="de-DE"/>
        </w:rPr>
      </w:pPr>
      <w:r w:rsidRPr="004736E4">
        <w:rPr>
          <w:spacing w:val="-6"/>
          <w:sz w:val="24"/>
          <w:szCs w:val="24"/>
          <w:lang w:eastAsia="de-DE"/>
        </w:rPr>
        <w:t xml:space="preserve">Der er indberettet flere svære reaktioner hos patienter med præeksisterende hudlidelser som f.eks. </w:t>
      </w:r>
      <w:proofErr w:type="spellStart"/>
      <w:r w:rsidRPr="004736E4">
        <w:rPr>
          <w:spacing w:val="-6"/>
          <w:sz w:val="24"/>
          <w:szCs w:val="24"/>
          <w:lang w:eastAsia="de-DE"/>
        </w:rPr>
        <w:t>atopisk</w:t>
      </w:r>
      <w:proofErr w:type="spellEnd"/>
      <w:r w:rsidRPr="004736E4">
        <w:rPr>
          <w:spacing w:val="-6"/>
          <w:sz w:val="24"/>
          <w:szCs w:val="24"/>
          <w:lang w:eastAsia="de-DE"/>
        </w:rPr>
        <w:t xml:space="preserve"> </w:t>
      </w:r>
      <w:proofErr w:type="spellStart"/>
      <w:r w:rsidRPr="004736E4">
        <w:rPr>
          <w:spacing w:val="-6"/>
          <w:sz w:val="24"/>
          <w:szCs w:val="24"/>
          <w:lang w:eastAsia="de-DE"/>
        </w:rPr>
        <w:t>dermatitis</w:t>
      </w:r>
      <w:proofErr w:type="spellEnd"/>
      <w:r w:rsidRPr="004736E4">
        <w:rPr>
          <w:spacing w:val="-6"/>
          <w:sz w:val="24"/>
          <w:szCs w:val="24"/>
          <w:lang w:eastAsia="de-DE"/>
        </w:rPr>
        <w:t xml:space="preserve"> og </w:t>
      </w:r>
      <w:proofErr w:type="spellStart"/>
      <w:r w:rsidRPr="004736E4">
        <w:rPr>
          <w:spacing w:val="-6"/>
          <w:sz w:val="24"/>
          <w:szCs w:val="24"/>
          <w:lang w:eastAsia="de-DE"/>
        </w:rPr>
        <w:t>atopisk</w:t>
      </w:r>
      <w:proofErr w:type="spellEnd"/>
      <w:r w:rsidRPr="004736E4">
        <w:rPr>
          <w:spacing w:val="-6"/>
          <w:sz w:val="24"/>
          <w:szCs w:val="24"/>
          <w:lang w:eastAsia="de-DE"/>
        </w:rPr>
        <w:t xml:space="preserve"> eksem.</w:t>
      </w:r>
    </w:p>
    <w:p w:rsidR="008B2995" w:rsidRPr="004736E4" w:rsidRDefault="008B2995" w:rsidP="008B2995">
      <w:pPr>
        <w:tabs>
          <w:tab w:val="left" w:pos="851"/>
        </w:tabs>
        <w:ind w:left="851"/>
        <w:rPr>
          <w:spacing w:val="-6"/>
          <w:sz w:val="24"/>
          <w:szCs w:val="24"/>
          <w:lang w:eastAsia="de-DE"/>
        </w:rPr>
      </w:pPr>
    </w:p>
    <w:p w:rsidR="008B2995" w:rsidRPr="004736E4" w:rsidRDefault="008B2995" w:rsidP="008B2995">
      <w:pPr>
        <w:keepNext/>
        <w:keepLines/>
        <w:tabs>
          <w:tab w:val="left" w:pos="851"/>
          <w:tab w:val="center" w:pos="7993"/>
        </w:tabs>
        <w:ind w:left="851"/>
        <w:rPr>
          <w:sz w:val="24"/>
          <w:szCs w:val="24"/>
          <w:u w:val="single"/>
          <w:lang w:eastAsia="de-DE"/>
        </w:rPr>
      </w:pPr>
      <w:r w:rsidRPr="004736E4">
        <w:rPr>
          <w:sz w:val="24"/>
          <w:szCs w:val="24"/>
          <w:u w:val="single"/>
          <w:lang w:eastAsia="de-DE"/>
        </w:rPr>
        <w:t>d) Pædiatrisk population</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 xml:space="preserve">Der er ingen sikkerhedsmæssig erfaring fra brug af </w:t>
      </w:r>
      <w:proofErr w:type="spellStart"/>
      <w:r>
        <w:rPr>
          <w:sz w:val="24"/>
          <w:szCs w:val="24"/>
          <w:lang w:eastAsia="de-DE"/>
        </w:rPr>
        <w:t>Asacol</w:t>
      </w:r>
      <w:proofErr w:type="spellEnd"/>
      <w:r w:rsidRPr="004736E4">
        <w:rPr>
          <w:sz w:val="24"/>
          <w:szCs w:val="24"/>
          <w:lang w:eastAsia="de-DE"/>
        </w:rPr>
        <w:t xml:space="preserve"> i den pædiatriske population. Det forventes, at målorganerne for mulige bivirkninger er de samme i den pædiatriske population som hos voksne (hjerte, lunger, lever, nyrer, bugspytkirtel, hud og subkutane væv).</w:t>
      </w:r>
    </w:p>
    <w:p w:rsidR="008B2995" w:rsidRPr="004736E4" w:rsidRDefault="008B2995" w:rsidP="008B2995">
      <w:pPr>
        <w:tabs>
          <w:tab w:val="left" w:pos="851"/>
        </w:tabs>
        <w:autoSpaceDE w:val="0"/>
        <w:autoSpaceDN w:val="0"/>
        <w:adjustRightInd w:val="0"/>
        <w:ind w:left="851"/>
        <w:rPr>
          <w:b/>
          <w:bCs/>
          <w:sz w:val="24"/>
          <w:szCs w:val="24"/>
          <w:lang w:eastAsia="de-CH"/>
        </w:rPr>
      </w:pPr>
    </w:p>
    <w:p w:rsidR="008B2995" w:rsidRPr="004736E4" w:rsidRDefault="008B2995" w:rsidP="008B2995">
      <w:pPr>
        <w:tabs>
          <w:tab w:val="left" w:pos="851"/>
        </w:tabs>
        <w:autoSpaceDE w:val="0"/>
        <w:autoSpaceDN w:val="0"/>
        <w:adjustRightInd w:val="0"/>
        <w:ind w:left="851"/>
        <w:rPr>
          <w:color w:val="000000"/>
          <w:sz w:val="24"/>
          <w:szCs w:val="24"/>
          <w:u w:val="single"/>
          <w:lang w:eastAsia="de-CH"/>
        </w:rPr>
      </w:pPr>
      <w:r w:rsidRPr="004736E4">
        <w:rPr>
          <w:color w:val="000000"/>
          <w:sz w:val="24"/>
          <w:szCs w:val="24"/>
          <w:u w:val="single"/>
          <w:lang w:eastAsia="de-CH"/>
        </w:rPr>
        <w:t xml:space="preserve">Indberetning af formodede bivirkninger </w:t>
      </w:r>
    </w:p>
    <w:p w:rsidR="008B2995" w:rsidRPr="004736E4" w:rsidRDefault="008B2995" w:rsidP="008B2995">
      <w:pPr>
        <w:tabs>
          <w:tab w:val="left" w:pos="851"/>
        </w:tabs>
        <w:ind w:left="851"/>
        <w:rPr>
          <w:spacing w:val="-6"/>
          <w:sz w:val="24"/>
          <w:szCs w:val="24"/>
          <w:lang w:eastAsia="de-DE"/>
        </w:rPr>
      </w:pPr>
      <w:r w:rsidRPr="004736E4">
        <w:rPr>
          <w:sz w:val="24"/>
          <w:szCs w:val="24"/>
          <w:lang w:eastAsia="de-DE"/>
        </w:rPr>
        <w:t>Når lægemidlet er godkendt, er indberetning af formodede bivirkninger vigtig. Det muliggør løbende overvågning af benefit/</w:t>
      </w:r>
      <w:proofErr w:type="spellStart"/>
      <w:r w:rsidRPr="004736E4">
        <w:rPr>
          <w:sz w:val="24"/>
          <w:szCs w:val="24"/>
          <w:lang w:eastAsia="de-DE"/>
        </w:rPr>
        <w:t>risk</w:t>
      </w:r>
      <w:proofErr w:type="spellEnd"/>
      <w:r w:rsidRPr="004736E4">
        <w:rPr>
          <w:sz w:val="24"/>
          <w:szCs w:val="24"/>
          <w:lang w:eastAsia="de-DE"/>
        </w:rPr>
        <w:t xml:space="preserve">-forholdet for lægemidlet. </w:t>
      </w:r>
      <w:r w:rsidR="00990B23">
        <w:rPr>
          <w:sz w:val="24"/>
          <w:szCs w:val="24"/>
          <w:lang w:eastAsia="de-DE"/>
        </w:rPr>
        <w:t>S</w:t>
      </w:r>
      <w:r w:rsidRPr="004736E4">
        <w:rPr>
          <w:sz w:val="24"/>
          <w:szCs w:val="24"/>
          <w:lang w:eastAsia="de-DE"/>
        </w:rPr>
        <w:t>undhedsperson</w:t>
      </w:r>
      <w:r w:rsidR="00990B23">
        <w:rPr>
          <w:sz w:val="24"/>
          <w:szCs w:val="24"/>
          <w:lang w:eastAsia="de-DE"/>
        </w:rPr>
        <w:t>er</w:t>
      </w:r>
      <w:r w:rsidRPr="004736E4">
        <w:rPr>
          <w:sz w:val="24"/>
          <w:szCs w:val="24"/>
          <w:lang w:eastAsia="de-DE"/>
        </w:rPr>
        <w:t xml:space="preserve"> anmodes om at indberette alle formodede bivirkninger via: </w:t>
      </w:r>
    </w:p>
    <w:p w:rsidR="008B2995" w:rsidRPr="004736E4" w:rsidRDefault="008B2995" w:rsidP="008B2995">
      <w:pPr>
        <w:tabs>
          <w:tab w:val="left" w:pos="426"/>
          <w:tab w:val="left" w:pos="851"/>
          <w:tab w:val="left" w:pos="3060"/>
        </w:tabs>
        <w:ind w:left="851"/>
        <w:rPr>
          <w:spacing w:val="-6"/>
          <w:sz w:val="24"/>
          <w:szCs w:val="24"/>
          <w:lang w:eastAsia="de-DE"/>
        </w:rPr>
      </w:pP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Lægemiddelstyrelsen</w:t>
      </w: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Axel Heides Gade 1</w:t>
      </w:r>
    </w:p>
    <w:p w:rsidR="008B2995" w:rsidRPr="004736E4" w:rsidRDefault="008B2995" w:rsidP="008B2995">
      <w:pPr>
        <w:tabs>
          <w:tab w:val="left" w:pos="426"/>
          <w:tab w:val="left" w:pos="851"/>
          <w:tab w:val="left" w:pos="3060"/>
        </w:tabs>
        <w:ind w:left="851"/>
        <w:rPr>
          <w:spacing w:val="-6"/>
          <w:sz w:val="24"/>
          <w:szCs w:val="24"/>
          <w:lang w:eastAsia="de-DE"/>
        </w:rPr>
      </w:pPr>
      <w:r w:rsidRPr="004736E4">
        <w:rPr>
          <w:spacing w:val="-6"/>
          <w:sz w:val="24"/>
          <w:szCs w:val="24"/>
          <w:lang w:eastAsia="de-DE"/>
        </w:rPr>
        <w:t>DK-2300 København S</w:t>
      </w:r>
    </w:p>
    <w:p w:rsidR="00DC3109" w:rsidRPr="00AD0781" w:rsidRDefault="008B2995" w:rsidP="008B2995">
      <w:pPr>
        <w:tabs>
          <w:tab w:val="left" w:pos="426"/>
          <w:tab w:val="left" w:pos="851"/>
          <w:tab w:val="left" w:pos="3060"/>
        </w:tabs>
        <w:ind w:left="851"/>
        <w:rPr>
          <w:spacing w:val="-6"/>
          <w:sz w:val="24"/>
          <w:szCs w:val="24"/>
          <w:lang w:eastAsia="de-DE"/>
        </w:rPr>
      </w:pPr>
      <w:r w:rsidRPr="00AD0781">
        <w:rPr>
          <w:spacing w:val="-6"/>
          <w:sz w:val="24"/>
          <w:szCs w:val="24"/>
          <w:lang w:eastAsia="de-DE"/>
        </w:rPr>
        <w:t xml:space="preserve">Websted: </w:t>
      </w:r>
      <w:hyperlink r:id="rId8" w:history="1">
        <w:r w:rsidRPr="00AD0781">
          <w:rPr>
            <w:rStyle w:val="Hyperlink"/>
            <w:spacing w:val="-6"/>
            <w:sz w:val="24"/>
            <w:szCs w:val="24"/>
            <w:lang w:eastAsia="de-DE"/>
          </w:rPr>
          <w:t>www.meldenbivirkning.dk</w:t>
        </w:r>
      </w:hyperlink>
    </w:p>
    <w:p w:rsidR="00DC3109" w:rsidRPr="000631B2" w:rsidRDefault="00DC3109" w:rsidP="00DC3109">
      <w:pPr>
        <w:pStyle w:val="Sidehoved"/>
        <w:tabs>
          <w:tab w:val="left" w:pos="851"/>
        </w:tabs>
        <w:ind w:left="851"/>
        <w:rPr>
          <w:szCs w:val="24"/>
        </w:rPr>
      </w:pPr>
    </w:p>
    <w:p w:rsidR="00DC3109" w:rsidRPr="00C84483" w:rsidRDefault="00DC3109" w:rsidP="00DC3109">
      <w:pPr>
        <w:tabs>
          <w:tab w:val="left" w:pos="851"/>
        </w:tabs>
        <w:ind w:left="851" w:hanging="851"/>
        <w:rPr>
          <w:b/>
          <w:sz w:val="24"/>
          <w:szCs w:val="24"/>
        </w:rPr>
      </w:pPr>
      <w:r w:rsidRPr="00C84483">
        <w:rPr>
          <w:b/>
          <w:sz w:val="24"/>
          <w:szCs w:val="24"/>
        </w:rPr>
        <w:t>4.9</w:t>
      </w:r>
      <w:r w:rsidRPr="00C84483">
        <w:rPr>
          <w:b/>
          <w:sz w:val="24"/>
          <w:szCs w:val="24"/>
        </w:rPr>
        <w:tab/>
        <w:t>Overdosering</w:t>
      </w:r>
    </w:p>
    <w:p w:rsidR="00DC3109" w:rsidRPr="00F36D77" w:rsidRDefault="00DC3109" w:rsidP="00DC3109">
      <w:pPr>
        <w:tabs>
          <w:tab w:val="left" w:pos="851"/>
        </w:tabs>
        <w:ind w:left="851"/>
        <w:rPr>
          <w:spacing w:val="-6"/>
          <w:sz w:val="24"/>
          <w:szCs w:val="24"/>
          <w:lang w:eastAsia="de-DE"/>
        </w:rPr>
      </w:pPr>
      <w:proofErr w:type="spellStart"/>
      <w:r w:rsidRPr="00F36D77">
        <w:rPr>
          <w:sz w:val="24"/>
          <w:szCs w:val="24"/>
          <w:lang w:eastAsia="de-DE"/>
        </w:rPr>
        <w:t>Mesalazin</w:t>
      </w:r>
      <w:proofErr w:type="spellEnd"/>
      <w:r w:rsidRPr="00F36D77">
        <w:rPr>
          <w:sz w:val="24"/>
          <w:szCs w:val="24"/>
          <w:lang w:eastAsia="de-DE"/>
        </w:rPr>
        <w:t xml:space="preserve"> er et </w:t>
      </w:r>
      <w:proofErr w:type="spellStart"/>
      <w:r w:rsidRPr="00F36D77">
        <w:rPr>
          <w:sz w:val="24"/>
          <w:szCs w:val="24"/>
          <w:lang w:eastAsia="de-DE"/>
        </w:rPr>
        <w:t>aminosalicylat</w:t>
      </w:r>
      <w:proofErr w:type="spellEnd"/>
      <w:r w:rsidRPr="00F36D77">
        <w:rPr>
          <w:sz w:val="24"/>
          <w:szCs w:val="24"/>
          <w:lang w:eastAsia="de-DE"/>
        </w:rPr>
        <w:t xml:space="preserve">, og tegnene på </w:t>
      </w:r>
      <w:proofErr w:type="spellStart"/>
      <w:r w:rsidRPr="00F36D77">
        <w:rPr>
          <w:sz w:val="24"/>
          <w:szCs w:val="24"/>
          <w:lang w:eastAsia="de-DE"/>
        </w:rPr>
        <w:t>salicylattoksicitet</w:t>
      </w:r>
      <w:proofErr w:type="spellEnd"/>
      <w:r w:rsidRPr="00F36D77">
        <w:rPr>
          <w:sz w:val="24"/>
          <w:szCs w:val="24"/>
          <w:lang w:eastAsia="de-DE"/>
        </w:rPr>
        <w:t xml:space="preserve"> omfatter tinnitus, </w:t>
      </w:r>
      <w:proofErr w:type="spellStart"/>
      <w:r w:rsidRPr="00F36D77">
        <w:rPr>
          <w:sz w:val="24"/>
          <w:szCs w:val="24"/>
          <w:lang w:eastAsia="de-DE"/>
        </w:rPr>
        <w:t>vertigo</w:t>
      </w:r>
      <w:proofErr w:type="spellEnd"/>
      <w:r w:rsidRPr="00F36D77">
        <w:rPr>
          <w:sz w:val="24"/>
          <w:szCs w:val="24"/>
          <w:lang w:eastAsia="de-DE"/>
        </w:rPr>
        <w:t xml:space="preserve">, hovedpine, forvirring, døsighed, lungeødem, dehydrering som følge af øget svedtendens, diarré og opkastning, hypoglykæmi, hyperventilation, elektrolyt- og pH-forstyrrelser samt </w:t>
      </w:r>
      <w:proofErr w:type="spellStart"/>
      <w:r w:rsidRPr="00F36D77">
        <w:rPr>
          <w:sz w:val="24"/>
          <w:szCs w:val="24"/>
          <w:lang w:eastAsia="de-DE"/>
        </w:rPr>
        <w:t>hypertermi</w:t>
      </w:r>
      <w:proofErr w:type="spellEnd"/>
      <w:r w:rsidRPr="00F36D77">
        <w:rPr>
          <w:sz w:val="24"/>
          <w:szCs w:val="24"/>
          <w:lang w:eastAsia="de-DE"/>
        </w:rPr>
        <w:t>.</w:t>
      </w:r>
    </w:p>
    <w:p w:rsidR="00DC3109" w:rsidRPr="00C84483" w:rsidRDefault="00DC3109" w:rsidP="00DC3109">
      <w:pPr>
        <w:tabs>
          <w:tab w:val="left" w:pos="851"/>
        </w:tabs>
        <w:ind w:left="851"/>
        <w:rPr>
          <w:sz w:val="24"/>
          <w:szCs w:val="24"/>
          <w:lang w:eastAsia="de-DE"/>
        </w:rPr>
      </w:pPr>
      <w:r w:rsidRPr="00F36D77">
        <w:rPr>
          <w:sz w:val="24"/>
          <w:szCs w:val="24"/>
          <w:lang w:eastAsia="de-DE"/>
        </w:rPr>
        <w:t xml:space="preserve">Standardbehandling for </w:t>
      </w:r>
      <w:proofErr w:type="spellStart"/>
      <w:r w:rsidRPr="00F36D77">
        <w:rPr>
          <w:sz w:val="24"/>
          <w:szCs w:val="24"/>
          <w:lang w:eastAsia="de-DE"/>
        </w:rPr>
        <w:t>salicylattoksicitet</w:t>
      </w:r>
      <w:proofErr w:type="spellEnd"/>
      <w:r w:rsidRPr="00F36D77">
        <w:rPr>
          <w:sz w:val="24"/>
          <w:szCs w:val="24"/>
          <w:lang w:eastAsia="de-DE"/>
        </w:rPr>
        <w:t xml:space="preserve"> kan være nyttig i tilfælde af akut overdosering. Hypoglykæmi og væske- og elektrolytforstyrrelser bør korrigeres ved administration af passende behandling. Der skal opretholdes tilstrækkelig nyrefunktion.</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4.10</w:t>
      </w:r>
      <w:r w:rsidRPr="00C84483">
        <w:rPr>
          <w:b/>
          <w:sz w:val="24"/>
          <w:szCs w:val="24"/>
        </w:rPr>
        <w:tab/>
        <w:t>Udlevering</w:t>
      </w:r>
    </w:p>
    <w:p w:rsidR="00DC3109" w:rsidRPr="00C84483" w:rsidRDefault="00DC3109" w:rsidP="00DC3109">
      <w:pPr>
        <w:tabs>
          <w:tab w:val="left" w:pos="851"/>
        </w:tabs>
        <w:ind w:left="851"/>
        <w:rPr>
          <w:sz w:val="24"/>
          <w:szCs w:val="24"/>
        </w:rPr>
      </w:pPr>
      <w:r>
        <w:rPr>
          <w:sz w:val="24"/>
          <w:szCs w:val="24"/>
        </w:rPr>
        <w:t>B</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C3109" w:rsidRPr="00C84483" w:rsidRDefault="00DC3109" w:rsidP="00DC3109">
      <w:pPr>
        <w:tabs>
          <w:tab w:val="left" w:pos="851"/>
        </w:tabs>
        <w:ind w:left="851"/>
        <w:rPr>
          <w:sz w:val="24"/>
          <w:szCs w:val="24"/>
        </w:rPr>
      </w:pPr>
    </w:p>
    <w:p w:rsidR="00DC3109" w:rsidRPr="00433098" w:rsidRDefault="00DC3109" w:rsidP="00DC310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4409" w:rsidRPr="00C84483" w:rsidRDefault="009F4409" w:rsidP="009F4409">
      <w:pPr>
        <w:tabs>
          <w:tab w:val="left" w:pos="851"/>
        </w:tabs>
        <w:ind w:left="851" w:hanging="851"/>
        <w:rPr>
          <w:sz w:val="24"/>
          <w:szCs w:val="24"/>
          <w:lang w:eastAsia="de-DE"/>
        </w:rPr>
      </w:pPr>
      <w:r>
        <w:rPr>
          <w:b/>
          <w:sz w:val="24"/>
          <w:szCs w:val="24"/>
        </w:rPr>
        <w:tab/>
      </w:r>
      <w:proofErr w:type="spellStart"/>
      <w:r w:rsidRPr="009F4409">
        <w:rPr>
          <w:sz w:val="24"/>
          <w:szCs w:val="24"/>
        </w:rPr>
        <w:t>Farmakoterapeutisk</w:t>
      </w:r>
      <w:proofErr w:type="spellEnd"/>
      <w:r w:rsidRPr="009F4409">
        <w:rPr>
          <w:sz w:val="24"/>
          <w:szCs w:val="24"/>
        </w:rPr>
        <w:t xml:space="preserve"> klassifikation</w:t>
      </w:r>
      <w:r>
        <w:rPr>
          <w:sz w:val="24"/>
          <w:szCs w:val="24"/>
        </w:rPr>
        <w:t xml:space="preserve">: </w:t>
      </w:r>
      <w:r w:rsidRPr="0096114C">
        <w:rPr>
          <w:sz w:val="24"/>
          <w:szCs w:val="24"/>
          <w:lang w:eastAsia="de-DE"/>
        </w:rPr>
        <w:t>Antiinflammatorisk middel ved tarmsygdom.</w:t>
      </w:r>
      <w:r>
        <w:rPr>
          <w:sz w:val="24"/>
          <w:szCs w:val="24"/>
          <w:lang w:eastAsia="de-DE"/>
        </w:rPr>
        <w:t xml:space="preserve"> </w:t>
      </w:r>
      <w:r w:rsidRPr="0096114C">
        <w:rPr>
          <w:sz w:val="24"/>
          <w:szCs w:val="24"/>
          <w:lang w:eastAsia="de-DE"/>
        </w:rPr>
        <w:t>ATC-kode: A</w:t>
      </w:r>
      <w:r>
        <w:rPr>
          <w:sz w:val="24"/>
          <w:szCs w:val="24"/>
          <w:lang w:eastAsia="de-DE"/>
        </w:rPr>
        <w:t xml:space="preserve"> </w:t>
      </w:r>
      <w:r w:rsidRPr="0096114C">
        <w:rPr>
          <w:sz w:val="24"/>
          <w:szCs w:val="24"/>
          <w:lang w:eastAsia="de-DE"/>
        </w:rPr>
        <w:t>07</w:t>
      </w:r>
      <w:r>
        <w:rPr>
          <w:sz w:val="24"/>
          <w:szCs w:val="24"/>
          <w:lang w:eastAsia="de-DE"/>
        </w:rPr>
        <w:t xml:space="preserve"> </w:t>
      </w:r>
      <w:r w:rsidRPr="0096114C">
        <w:rPr>
          <w:sz w:val="24"/>
          <w:szCs w:val="24"/>
          <w:lang w:eastAsia="de-DE"/>
        </w:rPr>
        <w:t>EC</w:t>
      </w:r>
      <w:r>
        <w:rPr>
          <w:sz w:val="24"/>
          <w:szCs w:val="24"/>
          <w:lang w:eastAsia="de-DE"/>
        </w:rPr>
        <w:t xml:space="preserve"> </w:t>
      </w:r>
      <w:r w:rsidRPr="0096114C">
        <w:rPr>
          <w:sz w:val="24"/>
          <w:szCs w:val="24"/>
          <w:lang w:eastAsia="de-DE"/>
        </w:rPr>
        <w:t>02.</w:t>
      </w:r>
    </w:p>
    <w:p w:rsidR="009F4409" w:rsidRDefault="009F4409" w:rsidP="00DC3109">
      <w:pPr>
        <w:tabs>
          <w:tab w:val="left" w:pos="851"/>
        </w:tabs>
        <w:ind w:left="851"/>
        <w:rPr>
          <w:sz w:val="24"/>
          <w:szCs w:val="24"/>
          <w:u w:val="single"/>
          <w:lang w:eastAsia="de-DE"/>
        </w:rPr>
      </w:pPr>
    </w:p>
    <w:p w:rsidR="00DC3109" w:rsidRPr="00433098" w:rsidRDefault="00DC3109" w:rsidP="00DC3109">
      <w:pPr>
        <w:tabs>
          <w:tab w:val="left" w:pos="851"/>
        </w:tabs>
        <w:ind w:left="851"/>
        <w:rPr>
          <w:sz w:val="24"/>
          <w:szCs w:val="24"/>
          <w:lang w:eastAsia="de-DE"/>
        </w:rPr>
      </w:pPr>
      <w:r w:rsidRPr="00433098">
        <w:rPr>
          <w:sz w:val="24"/>
          <w:szCs w:val="24"/>
          <w:u w:val="single"/>
          <w:lang w:eastAsia="de-DE"/>
        </w:rPr>
        <w:t>Virkningsmekanisme</w:t>
      </w:r>
    </w:p>
    <w:p w:rsidR="00DC3109" w:rsidRPr="00433098" w:rsidRDefault="00DC3109" w:rsidP="00DC3109">
      <w:pPr>
        <w:tabs>
          <w:tab w:val="left" w:pos="851"/>
        </w:tabs>
        <w:ind w:left="851"/>
        <w:rPr>
          <w:spacing w:val="-6"/>
          <w:sz w:val="24"/>
          <w:szCs w:val="24"/>
          <w:lang w:eastAsia="de-DE"/>
        </w:rPr>
      </w:pPr>
      <w:proofErr w:type="spellStart"/>
      <w:r>
        <w:rPr>
          <w:sz w:val="24"/>
          <w:szCs w:val="24"/>
          <w:lang w:eastAsia="de-DE"/>
        </w:rPr>
        <w:t>Asacol</w:t>
      </w:r>
      <w:proofErr w:type="spellEnd"/>
      <w:r w:rsidRPr="00433098">
        <w:rPr>
          <w:sz w:val="24"/>
          <w:szCs w:val="24"/>
          <w:lang w:eastAsia="de-DE"/>
        </w:rPr>
        <w:t xml:space="preserve"> indeholder </w:t>
      </w:r>
      <w:proofErr w:type="spellStart"/>
      <w:r w:rsidRPr="00433098">
        <w:rPr>
          <w:sz w:val="24"/>
          <w:szCs w:val="24"/>
          <w:lang w:eastAsia="de-DE"/>
        </w:rPr>
        <w:t>mesalazin</w:t>
      </w:r>
      <w:proofErr w:type="spellEnd"/>
      <w:r w:rsidRPr="00433098">
        <w:rPr>
          <w:sz w:val="24"/>
          <w:szCs w:val="24"/>
          <w:lang w:eastAsia="de-DE"/>
        </w:rPr>
        <w:t xml:space="preserve">, også kendt som 5-aminosalicylsyre, som har en </w:t>
      </w:r>
      <w:proofErr w:type="spellStart"/>
      <w:r w:rsidRPr="00433098">
        <w:rPr>
          <w:sz w:val="24"/>
          <w:szCs w:val="24"/>
          <w:lang w:eastAsia="de-DE"/>
        </w:rPr>
        <w:t>topikal</w:t>
      </w:r>
      <w:proofErr w:type="spellEnd"/>
      <w:r w:rsidRPr="00433098">
        <w:rPr>
          <w:sz w:val="24"/>
          <w:szCs w:val="24"/>
          <w:lang w:eastAsia="de-DE"/>
        </w:rPr>
        <w:t xml:space="preserve"> antiinflammatorisk virkning på celler i tarmens slimhinde via mekanismer, som endnu ikke er fuldt klarlagt. </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Det er påvist, at </w:t>
      </w:r>
      <w:proofErr w:type="spellStart"/>
      <w:r>
        <w:rPr>
          <w:sz w:val="24"/>
          <w:szCs w:val="24"/>
          <w:lang w:eastAsia="de-DE"/>
        </w:rPr>
        <w:t>Asacol</w:t>
      </w:r>
      <w:proofErr w:type="spellEnd"/>
      <w:r w:rsidRPr="00433098">
        <w:rPr>
          <w:sz w:val="24"/>
          <w:szCs w:val="24"/>
          <w:lang w:eastAsia="de-DE"/>
        </w:rPr>
        <w:t xml:space="preserve"> hæmmer LTB</w:t>
      </w:r>
      <w:r w:rsidRPr="00433098">
        <w:rPr>
          <w:sz w:val="24"/>
          <w:szCs w:val="24"/>
          <w:vertAlign w:val="subscript"/>
          <w:lang w:eastAsia="de-DE"/>
        </w:rPr>
        <w:t>4</w:t>
      </w:r>
      <w:r w:rsidRPr="00433098">
        <w:rPr>
          <w:sz w:val="24"/>
          <w:szCs w:val="24"/>
          <w:lang w:eastAsia="de-DE"/>
        </w:rPr>
        <w:t xml:space="preserve">-stimuleret migration af </w:t>
      </w:r>
      <w:proofErr w:type="spellStart"/>
      <w:r w:rsidRPr="00433098">
        <w:rPr>
          <w:sz w:val="24"/>
          <w:szCs w:val="24"/>
          <w:lang w:eastAsia="de-DE"/>
        </w:rPr>
        <w:t>intestinale</w:t>
      </w:r>
      <w:proofErr w:type="spellEnd"/>
      <w:r w:rsidRPr="00433098">
        <w:rPr>
          <w:sz w:val="24"/>
          <w:szCs w:val="24"/>
          <w:lang w:eastAsia="de-DE"/>
        </w:rPr>
        <w:t xml:space="preserve"> makrofager ved at begrænse migrationen af makrofager til betændte områder. Derved hæmmes produktionen af pro-inflammatoriske </w:t>
      </w:r>
      <w:proofErr w:type="spellStart"/>
      <w:r w:rsidRPr="00433098">
        <w:rPr>
          <w:sz w:val="24"/>
          <w:szCs w:val="24"/>
          <w:lang w:eastAsia="de-DE"/>
        </w:rPr>
        <w:t>leukotriener</w:t>
      </w:r>
      <w:proofErr w:type="spellEnd"/>
      <w:r w:rsidRPr="00433098">
        <w:rPr>
          <w:sz w:val="24"/>
          <w:szCs w:val="24"/>
          <w:lang w:eastAsia="de-DE"/>
        </w:rPr>
        <w:t xml:space="preserve"> (LTB</w:t>
      </w:r>
      <w:r w:rsidRPr="00433098">
        <w:rPr>
          <w:sz w:val="24"/>
          <w:szCs w:val="24"/>
          <w:vertAlign w:val="subscript"/>
          <w:lang w:eastAsia="de-DE"/>
        </w:rPr>
        <w:t>4</w:t>
      </w:r>
      <w:r w:rsidRPr="00433098">
        <w:rPr>
          <w:sz w:val="24"/>
          <w:szCs w:val="24"/>
          <w:lang w:eastAsia="de-DE"/>
        </w:rPr>
        <w:t xml:space="preserve"> og 5-HETE) i tarmvæggens makrofager. Det er påvist, at </w:t>
      </w:r>
      <w:proofErr w:type="spellStart"/>
      <w:r>
        <w:rPr>
          <w:sz w:val="24"/>
          <w:szCs w:val="24"/>
          <w:lang w:eastAsia="de-DE"/>
        </w:rPr>
        <w:t>Asacol</w:t>
      </w:r>
      <w:proofErr w:type="spellEnd"/>
      <w:r w:rsidRPr="00433098">
        <w:rPr>
          <w:sz w:val="24"/>
          <w:szCs w:val="24"/>
          <w:lang w:eastAsia="de-DE"/>
        </w:rPr>
        <w:t xml:space="preserve"> aktiverer PPAR-γ-receptorer, der modvirker nuklear aktivering af den inflammatoriske proces i tarmen.</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proofErr w:type="spellStart"/>
      <w:r w:rsidRPr="00433098">
        <w:rPr>
          <w:sz w:val="24"/>
          <w:szCs w:val="24"/>
          <w:u w:val="single"/>
          <w:lang w:eastAsia="de-DE"/>
        </w:rPr>
        <w:t>Farmakodynamisk</w:t>
      </w:r>
      <w:proofErr w:type="spellEnd"/>
      <w:r w:rsidRPr="00433098">
        <w:rPr>
          <w:sz w:val="24"/>
          <w:szCs w:val="24"/>
          <w:u w:val="single"/>
          <w:lang w:eastAsia="de-DE"/>
        </w:rPr>
        <w:t xml:space="preserve"> virkning</w:t>
      </w:r>
    </w:p>
    <w:p w:rsidR="00DC3109" w:rsidRPr="00433098" w:rsidRDefault="00DC3109" w:rsidP="00DC3109">
      <w:pPr>
        <w:tabs>
          <w:tab w:val="left" w:pos="851"/>
        </w:tabs>
        <w:ind w:left="851"/>
        <w:rPr>
          <w:spacing w:val="-6"/>
          <w:sz w:val="24"/>
          <w:szCs w:val="24"/>
          <w:lang w:eastAsia="de-DE"/>
        </w:rPr>
      </w:pPr>
      <w:proofErr w:type="spellStart"/>
      <w:r>
        <w:rPr>
          <w:sz w:val="24"/>
          <w:szCs w:val="24"/>
          <w:lang w:eastAsia="de-DE"/>
        </w:rPr>
        <w:t>Asacol</w:t>
      </w:r>
      <w:proofErr w:type="spellEnd"/>
      <w:r w:rsidRPr="00433098">
        <w:rPr>
          <w:sz w:val="24"/>
          <w:szCs w:val="24"/>
          <w:lang w:eastAsia="de-DE"/>
        </w:rPr>
        <w:t xml:space="preserve"> tabletterne indeholder en kerne med 1600 mg </w:t>
      </w:r>
      <w:proofErr w:type="spellStart"/>
      <w:r w:rsidRPr="00433098">
        <w:rPr>
          <w:sz w:val="24"/>
          <w:szCs w:val="24"/>
          <w:lang w:eastAsia="de-DE"/>
        </w:rPr>
        <w:t>mesalazin</w:t>
      </w:r>
      <w:proofErr w:type="spellEnd"/>
      <w:r w:rsidRPr="00433098">
        <w:rPr>
          <w:sz w:val="24"/>
          <w:szCs w:val="24"/>
          <w:lang w:eastAsia="de-DE"/>
        </w:rPr>
        <w:t xml:space="preserve">, der er dækket af et overtræk bestående af flere lag. Overtrækket består af et lag af </w:t>
      </w:r>
      <w:proofErr w:type="spellStart"/>
      <w:r w:rsidRPr="00433098">
        <w:rPr>
          <w:sz w:val="24"/>
          <w:szCs w:val="24"/>
          <w:lang w:eastAsia="de-DE"/>
        </w:rPr>
        <w:t>methacrylsyre-methylmethacrylat</w:t>
      </w:r>
      <w:proofErr w:type="spellEnd"/>
      <w:r w:rsidRPr="00433098">
        <w:rPr>
          <w:sz w:val="24"/>
          <w:szCs w:val="24"/>
          <w:lang w:eastAsia="de-DE"/>
        </w:rPr>
        <w:t xml:space="preserve"> </w:t>
      </w:r>
      <w:proofErr w:type="spellStart"/>
      <w:r w:rsidRPr="00433098">
        <w:rPr>
          <w:sz w:val="24"/>
          <w:szCs w:val="24"/>
          <w:lang w:eastAsia="de-DE"/>
        </w:rPr>
        <w:t>copolymer</w:t>
      </w:r>
      <w:proofErr w:type="spellEnd"/>
      <w:r w:rsidRPr="00433098">
        <w:rPr>
          <w:sz w:val="24"/>
          <w:szCs w:val="24"/>
          <w:lang w:eastAsia="de-DE"/>
        </w:rPr>
        <w:t xml:space="preserve"> (</w:t>
      </w:r>
      <w:proofErr w:type="spellStart"/>
      <w:r w:rsidRPr="00433098">
        <w:rPr>
          <w:sz w:val="24"/>
          <w:szCs w:val="24"/>
          <w:lang w:eastAsia="de-DE"/>
        </w:rPr>
        <w:t>Eudragit</w:t>
      </w:r>
      <w:proofErr w:type="spellEnd"/>
      <w:r w:rsidRPr="00433098">
        <w:rPr>
          <w:sz w:val="24"/>
          <w:szCs w:val="24"/>
          <w:lang w:eastAsia="de-DE"/>
        </w:rPr>
        <w:t xml:space="preserve"> S) kombineret med stivelsespartikler oven på et </w:t>
      </w:r>
      <w:proofErr w:type="spellStart"/>
      <w:r w:rsidRPr="00433098">
        <w:rPr>
          <w:sz w:val="24"/>
          <w:szCs w:val="24"/>
          <w:lang w:eastAsia="de-DE"/>
        </w:rPr>
        <w:t>midterlag</w:t>
      </w:r>
      <w:proofErr w:type="spellEnd"/>
      <w:r w:rsidRPr="00433098">
        <w:rPr>
          <w:sz w:val="24"/>
          <w:szCs w:val="24"/>
          <w:lang w:eastAsia="de-DE"/>
        </w:rPr>
        <w:t xml:space="preserve"> af alkalisk buffer (som øger hastigheden af lægemidlets udløsning). Overtrækket er designet til at udskyde udløsningen af </w:t>
      </w:r>
      <w:proofErr w:type="spellStart"/>
      <w:r w:rsidRPr="00433098">
        <w:rPr>
          <w:sz w:val="24"/>
          <w:szCs w:val="24"/>
          <w:lang w:eastAsia="de-DE"/>
        </w:rPr>
        <w:t>mesalazin</w:t>
      </w:r>
      <w:proofErr w:type="spellEnd"/>
      <w:r w:rsidRPr="00433098">
        <w:rPr>
          <w:sz w:val="24"/>
          <w:szCs w:val="24"/>
          <w:lang w:eastAsia="de-DE"/>
        </w:rPr>
        <w:t xml:space="preserve">, indtil tarmvæsken når en pH på 7. Stivelsen kan fordøjes af tarmbakterier som giver en ekstra udløsningsmekanisme af </w:t>
      </w:r>
      <w:proofErr w:type="spellStart"/>
      <w:r w:rsidRPr="00433098">
        <w:rPr>
          <w:sz w:val="24"/>
          <w:szCs w:val="24"/>
          <w:lang w:eastAsia="de-DE"/>
        </w:rPr>
        <w:t>mesalazin</w:t>
      </w:r>
      <w:proofErr w:type="spellEnd"/>
      <w:r w:rsidRPr="00433098">
        <w:rPr>
          <w:sz w:val="24"/>
          <w:szCs w:val="24"/>
          <w:lang w:eastAsia="de-DE"/>
        </w:rPr>
        <w:t xml:space="preserve"> fra den overtrukne tablet. Den systemiske biotilgængelighed/plasmakoncentrationen af </w:t>
      </w:r>
      <w:proofErr w:type="spellStart"/>
      <w:r w:rsidRPr="00433098">
        <w:rPr>
          <w:sz w:val="24"/>
          <w:szCs w:val="24"/>
          <w:lang w:eastAsia="de-DE"/>
        </w:rPr>
        <w:t>mesalazin</w:t>
      </w:r>
      <w:proofErr w:type="spellEnd"/>
      <w:r w:rsidRPr="00433098">
        <w:rPr>
          <w:sz w:val="24"/>
          <w:szCs w:val="24"/>
          <w:lang w:eastAsia="de-DE"/>
        </w:rPr>
        <w:t xml:space="preserve"> er derfor ikke af relevans for den terapeutiske virkning, men snarere et kriterie for sikkerhed.</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Risikoen for </w:t>
      </w:r>
      <w:proofErr w:type="spellStart"/>
      <w:r w:rsidRPr="00433098">
        <w:rPr>
          <w:sz w:val="24"/>
          <w:szCs w:val="24"/>
          <w:lang w:eastAsia="de-DE"/>
        </w:rPr>
        <w:t>kolorektal</w:t>
      </w:r>
      <w:proofErr w:type="spellEnd"/>
      <w:r w:rsidRPr="00433098">
        <w:rPr>
          <w:sz w:val="24"/>
          <w:szCs w:val="24"/>
          <w:lang w:eastAsia="de-DE"/>
        </w:rPr>
        <w:t xml:space="preserve"> cancer (CRC) er let forøget ved colitis </w:t>
      </w:r>
      <w:proofErr w:type="spellStart"/>
      <w:r w:rsidRPr="00433098">
        <w:rPr>
          <w:sz w:val="24"/>
          <w:szCs w:val="24"/>
          <w:lang w:eastAsia="de-DE"/>
        </w:rPr>
        <w:t>ulcerosa</w:t>
      </w:r>
      <w:proofErr w:type="spellEnd"/>
      <w:r w:rsidRPr="00433098">
        <w:rPr>
          <w:sz w:val="24"/>
          <w:szCs w:val="24"/>
          <w:lang w:eastAsia="de-DE"/>
        </w:rPr>
        <w:t xml:space="preserve">. </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tabs>
          <w:tab w:val="left" w:pos="851"/>
        </w:tabs>
        <w:ind w:left="851"/>
        <w:rPr>
          <w:spacing w:val="-6"/>
          <w:sz w:val="24"/>
          <w:szCs w:val="24"/>
          <w:lang w:eastAsia="de-DE"/>
        </w:rPr>
      </w:pPr>
      <w:r w:rsidRPr="00433098">
        <w:rPr>
          <w:sz w:val="24"/>
          <w:szCs w:val="24"/>
          <w:lang w:eastAsia="de-DE"/>
        </w:rPr>
        <w:t xml:space="preserve">De virkninger, der er set med </w:t>
      </w:r>
      <w:proofErr w:type="spellStart"/>
      <w:r w:rsidRPr="00433098">
        <w:rPr>
          <w:sz w:val="24"/>
          <w:szCs w:val="24"/>
          <w:lang w:eastAsia="de-DE"/>
        </w:rPr>
        <w:t>mesalazin</w:t>
      </w:r>
      <w:proofErr w:type="spellEnd"/>
      <w:r w:rsidRPr="00433098">
        <w:rPr>
          <w:sz w:val="24"/>
          <w:szCs w:val="24"/>
          <w:lang w:eastAsia="de-DE"/>
        </w:rPr>
        <w:t xml:space="preserve"> i eksperimentelle modeller og patientbiopsier, understøtter, at </w:t>
      </w:r>
      <w:proofErr w:type="spellStart"/>
      <w:r w:rsidRPr="00433098">
        <w:rPr>
          <w:sz w:val="24"/>
          <w:szCs w:val="24"/>
          <w:lang w:eastAsia="de-DE"/>
        </w:rPr>
        <w:t>mesalazin</w:t>
      </w:r>
      <w:proofErr w:type="spellEnd"/>
      <w:r w:rsidRPr="00433098">
        <w:rPr>
          <w:sz w:val="24"/>
          <w:szCs w:val="24"/>
          <w:lang w:eastAsia="de-DE"/>
        </w:rPr>
        <w:t xml:space="preserve"> forebygger colitis-associeret CRC via nedregulering af såvel de inflammationsafhængige og -uafhængige inflammatoriske signalbaner, der er involveret i udviklingen af colitis-associeret CRC. Data fra metaanalyser af populationer med både remission og recidiv viser imidlertid inkonsekvent klinisk information om benefit/</w:t>
      </w:r>
      <w:proofErr w:type="spellStart"/>
      <w:r w:rsidRPr="00433098">
        <w:rPr>
          <w:sz w:val="24"/>
          <w:szCs w:val="24"/>
          <w:lang w:eastAsia="de-DE"/>
        </w:rPr>
        <w:t>risk</w:t>
      </w:r>
      <w:proofErr w:type="spellEnd"/>
      <w:r w:rsidRPr="00433098">
        <w:rPr>
          <w:sz w:val="24"/>
          <w:szCs w:val="24"/>
          <w:lang w:eastAsia="de-DE"/>
        </w:rPr>
        <w:t xml:space="preserve">-forholdet af </w:t>
      </w:r>
      <w:proofErr w:type="spellStart"/>
      <w:r w:rsidRPr="00433098">
        <w:rPr>
          <w:sz w:val="24"/>
          <w:szCs w:val="24"/>
          <w:lang w:eastAsia="de-DE"/>
        </w:rPr>
        <w:t>mesalazin</w:t>
      </w:r>
      <w:proofErr w:type="spellEnd"/>
      <w:r w:rsidRPr="00433098">
        <w:rPr>
          <w:sz w:val="24"/>
          <w:szCs w:val="24"/>
          <w:lang w:eastAsia="de-DE"/>
        </w:rPr>
        <w:t xml:space="preserve">, hvad angår </w:t>
      </w:r>
      <w:proofErr w:type="spellStart"/>
      <w:r w:rsidRPr="00433098">
        <w:rPr>
          <w:sz w:val="24"/>
          <w:szCs w:val="24"/>
          <w:lang w:eastAsia="de-DE"/>
        </w:rPr>
        <w:t>karcinogenesen</w:t>
      </w:r>
      <w:proofErr w:type="spellEnd"/>
      <w:r w:rsidRPr="00433098">
        <w:rPr>
          <w:sz w:val="24"/>
          <w:szCs w:val="24"/>
          <w:lang w:eastAsia="de-DE"/>
        </w:rPr>
        <w:t xml:space="preserve"> af colitis </w:t>
      </w:r>
      <w:proofErr w:type="spellStart"/>
      <w:r w:rsidRPr="00433098">
        <w:rPr>
          <w:sz w:val="24"/>
          <w:szCs w:val="24"/>
          <w:lang w:eastAsia="de-DE"/>
        </w:rPr>
        <w:t>ulcerosa</w:t>
      </w:r>
      <w:proofErr w:type="spellEnd"/>
      <w:r w:rsidRPr="00433098">
        <w:rPr>
          <w:sz w:val="24"/>
          <w:szCs w:val="24"/>
          <w:lang w:eastAsia="de-DE"/>
        </w:rPr>
        <w:t>.</w:t>
      </w:r>
    </w:p>
    <w:p w:rsidR="00DC3109" w:rsidRPr="00433098" w:rsidRDefault="00DC3109" w:rsidP="00DC3109">
      <w:pPr>
        <w:tabs>
          <w:tab w:val="left" w:pos="851"/>
        </w:tabs>
        <w:ind w:left="851"/>
        <w:rPr>
          <w:spacing w:val="-6"/>
          <w:sz w:val="24"/>
          <w:szCs w:val="24"/>
          <w:lang w:eastAsia="de-DE"/>
        </w:rPr>
      </w:pPr>
    </w:p>
    <w:p w:rsidR="00DC3109" w:rsidRPr="00433098" w:rsidRDefault="00DC3109" w:rsidP="00DC3109">
      <w:pPr>
        <w:keepNext/>
        <w:tabs>
          <w:tab w:val="left" w:pos="0"/>
          <w:tab w:val="left" w:pos="851"/>
        </w:tabs>
        <w:autoSpaceDE w:val="0"/>
        <w:autoSpaceDN w:val="0"/>
        <w:adjustRightInd w:val="0"/>
        <w:ind w:left="851"/>
        <w:rPr>
          <w:spacing w:val="-6"/>
          <w:sz w:val="24"/>
          <w:szCs w:val="24"/>
          <w:u w:val="single"/>
          <w:lang w:eastAsia="de-DE"/>
        </w:rPr>
      </w:pPr>
      <w:r w:rsidRPr="00433098">
        <w:rPr>
          <w:sz w:val="24"/>
          <w:szCs w:val="24"/>
          <w:u w:val="single"/>
          <w:lang w:eastAsia="de-DE"/>
        </w:rPr>
        <w:lastRenderedPageBreak/>
        <w:t>Klinisk virkning og sikkerhed</w:t>
      </w:r>
    </w:p>
    <w:p w:rsidR="00DC3109" w:rsidRDefault="00DC3109" w:rsidP="00DC3109">
      <w:pPr>
        <w:tabs>
          <w:tab w:val="left" w:pos="0"/>
          <w:tab w:val="left" w:pos="851"/>
        </w:tabs>
        <w:autoSpaceDE w:val="0"/>
        <w:autoSpaceDN w:val="0"/>
        <w:adjustRightInd w:val="0"/>
        <w:ind w:left="851"/>
        <w:rPr>
          <w:i/>
          <w:sz w:val="24"/>
          <w:szCs w:val="24"/>
          <w:lang w:eastAsia="de-DE"/>
        </w:rPr>
      </w:pPr>
    </w:p>
    <w:p w:rsidR="00DC3109" w:rsidRPr="00433098" w:rsidRDefault="00DC3109" w:rsidP="00DC3109">
      <w:pPr>
        <w:tabs>
          <w:tab w:val="left" w:pos="0"/>
          <w:tab w:val="left" w:pos="851"/>
        </w:tabs>
        <w:autoSpaceDE w:val="0"/>
        <w:autoSpaceDN w:val="0"/>
        <w:adjustRightInd w:val="0"/>
        <w:ind w:left="851"/>
        <w:rPr>
          <w:i/>
          <w:sz w:val="24"/>
          <w:szCs w:val="24"/>
          <w:lang w:eastAsia="de-DE"/>
        </w:rPr>
      </w:pPr>
      <w:r w:rsidRPr="00433098">
        <w:rPr>
          <w:i/>
          <w:sz w:val="24"/>
          <w:szCs w:val="24"/>
          <w:lang w:eastAsia="de-DE"/>
        </w:rPr>
        <w:t xml:space="preserve">Mild til moderat akut colitis </w:t>
      </w:r>
      <w:proofErr w:type="spellStart"/>
      <w:r w:rsidRPr="00433098">
        <w:rPr>
          <w:i/>
          <w:sz w:val="24"/>
          <w:szCs w:val="24"/>
          <w:lang w:eastAsia="de-DE"/>
        </w:rPr>
        <w:t>ulcerosa</w:t>
      </w:r>
      <w:proofErr w:type="spellEnd"/>
    </w:p>
    <w:p w:rsidR="00DC3109" w:rsidRPr="00433098" w:rsidRDefault="00DC3109" w:rsidP="00DC3109">
      <w:pPr>
        <w:tabs>
          <w:tab w:val="left" w:pos="0"/>
          <w:tab w:val="left" w:pos="851"/>
        </w:tabs>
        <w:autoSpaceDE w:val="0"/>
        <w:autoSpaceDN w:val="0"/>
        <w:adjustRightInd w:val="0"/>
        <w:ind w:left="851"/>
        <w:rPr>
          <w:spacing w:val="-6"/>
          <w:sz w:val="24"/>
          <w:szCs w:val="24"/>
          <w:lang w:eastAsia="de-DE"/>
        </w:rPr>
      </w:pPr>
      <w:r w:rsidRPr="00433098">
        <w:rPr>
          <w:sz w:val="24"/>
          <w:szCs w:val="24"/>
          <w:lang w:eastAsia="de-DE"/>
        </w:rPr>
        <w:t xml:space="preserve">Indikationen blev undersøgt i et randomiseret, aktivt kontrolleret, dobbeltblindet, multicenter, noninferioritets-induktionsstudie med 817 patienter, der fik 3,2 g </w:t>
      </w:r>
      <w:proofErr w:type="spellStart"/>
      <w:r w:rsidRPr="00433098">
        <w:rPr>
          <w:sz w:val="24"/>
          <w:szCs w:val="24"/>
          <w:lang w:eastAsia="de-DE"/>
        </w:rPr>
        <w:t>mesalazin</w:t>
      </w:r>
      <w:proofErr w:type="spellEnd"/>
      <w:r w:rsidRPr="00433098">
        <w:rPr>
          <w:sz w:val="24"/>
          <w:szCs w:val="24"/>
          <w:lang w:eastAsia="de-DE"/>
        </w:rPr>
        <w:t xml:space="preserve"> dagligt i 8 uger.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Ved uge 8 havde 22,4 % af per-protokol-patienterne behandlet med </w:t>
      </w:r>
      <w:proofErr w:type="spellStart"/>
      <w:r>
        <w:rPr>
          <w:sz w:val="24"/>
          <w:szCs w:val="24"/>
          <w:lang w:eastAsia="de-DE"/>
        </w:rPr>
        <w:t>Asacol</w:t>
      </w:r>
      <w:proofErr w:type="spellEnd"/>
      <w:r w:rsidRPr="00433098">
        <w:rPr>
          <w:sz w:val="24"/>
          <w:szCs w:val="24"/>
          <w:lang w:eastAsia="de-DE"/>
        </w:rPr>
        <w:t xml:space="preserve"> 1600 mg tabletter med modificeret udløsning og 24,6 % af patienterne behandlet med </w:t>
      </w:r>
      <w:proofErr w:type="spellStart"/>
      <w:r w:rsidRPr="00433098">
        <w:rPr>
          <w:sz w:val="24"/>
          <w:szCs w:val="24"/>
          <w:lang w:eastAsia="de-DE"/>
        </w:rPr>
        <w:t>mesalazin</w:t>
      </w:r>
      <w:proofErr w:type="spellEnd"/>
      <w:r w:rsidRPr="00433098">
        <w:rPr>
          <w:sz w:val="24"/>
          <w:szCs w:val="24"/>
          <w:lang w:eastAsia="de-DE"/>
        </w:rPr>
        <w:t xml:space="preserve"> 400 mg tabletter opnået klinisk og </w:t>
      </w:r>
      <w:proofErr w:type="spellStart"/>
      <w:r w:rsidRPr="00433098">
        <w:rPr>
          <w:sz w:val="24"/>
          <w:szCs w:val="24"/>
          <w:lang w:eastAsia="de-DE"/>
        </w:rPr>
        <w:t>endoskopisk</w:t>
      </w:r>
      <w:proofErr w:type="spellEnd"/>
      <w:r w:rsidRPr="00433098">
        <w:rPr>
          <w:sz w:val="24"/>
          <w:szCs w:val="24"/>
          <w:lang w:eastAsia="de-DE"/>
        </w:rPr>
        <w:t xml:space="preserve"> remission. Den </w:t>
      </w:r>
      <w:proofErr w:type="spellStart"/>
      <w:r w:rsidRPr="00433098">
        <w:rPr>
          <w:sz w:val="24"/>
          <w:szCs w:val="24"/>
          <w:lang w:eastAsia="de-DE"/>
        </w:rPr>
        <w:t>ujusterede</w:t>
      </w:r>
      <w:proofErr w:type="spellEnd"/>
      <w:r w:rsidRPr="00433098">
        <w:rPr>
          <w:sz w:val="24"/>
          <w:szCs w:val="24"/>
          <w:lang w:eastAsia="de-DE"/>
        </w:rPr>
        <w:t xml:space="preserve"> forskel mellem grupperne var 2,2 % (95 % konfidensinterval: –8,1 % op til 3,8 %). Under hensyntagen til den prædefinerede </w:t>
      </w:r>
      <w:proofErr w:type="spellStart"/>
      <w:r w:rsidRPr="00433098">
        <w:rPr>
          <w:sz w:val="24"/>
          <w:szCs w:val="24"/>
          <w:lang w:eastAsia="de-DE"/>
        </w:rPr>
        <w:t>noninferioritetsmargin</w:t>
      </w:r>
      <w:proofErr w:type="spellEnd"/>
      <w:r w:rsidRPr="00433098">
        <w:rPr>
          <w:sz w:val="24"/>
          <w:szCs w:val="24"/>
          <w:lang w:eastAsia="de-DE"/>
        </w:rPr>
        <w:t xml:space="preserve"> på </w:t>
      </w:r>
      <w:bookmarkStart w:id="1" w:name="_Hlk495841155"/>
      <w:r w:rsidRPr="00433098">
        <w:rPr>
          <w:sz w:val="24"/>
          <w:szCs w:val="24"/>
          <w:lang w:eastAsia="de-DE"/>
        </w:rPr>
        <w:t>–</w:t>
      </w:r>
      <w:bookmarkEnd w:id="1"/>
      <w:r w:rsidRPr="00433098">
        <w:rPr>
          <w:sz w:val="24"/>
          <w:szCs w:val="24"/>
          <w:lang w:eastAsia="de-DE"/>
        </w:rPr>
        <w:t xml:space="preserve">10 % blev behandling en gang dagligt med </w:t>
      </w:r>
      <w:proofErr w:type="spellStart"/>
      <w:r>
        <w:rPr>
          <w:sz w:val="24"/>
          <w:szCs w:val="24"/>
          <w:lang w:eastAsia="de-DE"/>
        </w:rPr>
        <w:t>Asacol</w:t>
      </w:r>
      <w:proofErr w:type="spellEnd"/>
      <w:r w:rsidRPr="00433098">
        <w:rPr>
          <w:sz w:val="24"/>
          <w:szCs w:val="24"/>
          <w:lang w:eastAsia="de-DE"/>
        </w:rPr>
        <w:t xml:space="preserve"> 1600 mg tabletter med modificeret udløsning vurderet at være noninferiør i forhold til </w:t>
      </w:r>
      <w:proofErr w:type="spellStart"/>
      <w:r w:rsidRPr="00433098">
        <w:rPr>
          <w:sz w:val="24"/>
          <w:szCs w:val="24"/>
          <w:lang w:eastAsia="de-DE"/>
        </w:rPr>
        <w:t>mesalazin</w:t>
      </w:r>
      <w:proofErr w:type="spellEnd"/>
      <w:r w:rsidRPr="00433098">
        <w:rPr>
          <w:sz w:val="24"/>
          <w:szCs w:val="24"/>
          <w:lang w:eastAsia="de-DE"/>
        </w:rPr>
        <w:t xml:space="preserve"> 400 mg tabletter to gange dagligt, i at opnå induktion af klinisk og </w:t>
      </w:r>
      <w:proofErr w:type="spellStart"/>
      <w:r w:rsidRPr="00433098">
        <w:rPr>
          <w:sz w:val="24"/>
          <w:szCs w:val="24"/>
          <w:lang w:eastAsia="de-DE"/>
        </w:rPr>
        <w:t>endoskopisk</w:t>
      </w:r>
      <w:proofErr w:type="spellEnd"/>
      <w:r w:rsidRPr="00433098">
        <w:rPr>
          <w:sz w:val="24"/>
          <w:szCs w:val="24"/>
          <w:lang w:eastAsia="de-DE"/>
        </w:rPr>
        <w:t xml:space="preserve"> remission.</w:t>
      </w:r>
    </w:p>
    <w:p w:rsidR="00DC3109" w:rsidRPr="00433098" w:rsidRDefault="00DC3109" w:rsidP="00DC3109">
      <w:pPr>
        <w:tabs>
          <w:tab w:val="left" w:pos="0"/>
          <w:tab w:val="left" w:pos="851"/>
        </w:tabs>
        <w:autoSpaceDE w:val="0"/>
        <w:autoSpaceDN w:val="0"/>
        <w:adjustRightInd w:val="0"/>
        <w:ind w:left="851"/>
        <w:rPr>
          <w:spacing w:val="-6"/>
          <w:sz w:val="24"/>
          <w:szCs w:val="24"/>
          <w:lang w:eastAsia="de-DE"/>
        </w:rPr>
      </w:pPr>
      <w:r w:rsidRPr="00433098">
        <w:rPr>
          <w:sz w:val="24"/>
          <w:szCs w:val="24"/>
          <w:lang w:eastAsia="de-DE"/>
        </w:rPr>
        <w:t xml:space="preserve">I alt 10,3 % af de patienter, der blev behandlet med </w:t>
      </w:r>
      <w:proofErr w:type="spellStart"/>
      <w:r>
        <w:rPr>
          <w:sz w:val="24"/>
          <w:szCs w:val="24"/>
          <w:lang w:eastAsia="de-DE"/>
        </w:rPr>
        <w:t>Asacol</w:t>
      </w:r>
      <w:proofErr w:type="spellEnd"/>
      <w:r w:rsidRPr="00433098">
        <w:rPr>
          <w:sz w:val="24"/>
          <w:szCs w:val="24"/>
          <w:lang w:eastAsia="de-DE"/>
        </w:rPr>
        <w:t xml:space="preserve"> 1600 mg tabletter med modificeret udløsning, og 9,8 % af de patienter, der fik </w:t>
      </w:r>
      <w:proofErr w:type="spellStart"/>
      <w:r w:rsidRPr="00433098">
        <w:rPr>
          <w:sz w:val="24"/>
          <w:szCs w:val="24"/>
          <w:lang w:eastAsia="de-DE"/>
        </w:rPr>
        <w:t>mesalazin</w:t>
      </w:r>
      <w:proofErr w:type="spellEnd"/>
      <w:r w:rsidRPr="00433098">
        <w:rPr>
          <w:sz w:val="24"/>
          <w:szCs w:val="24"/>
          <w:lang w:eastAsia="de-DE"/>
        </w:rPr>
        <w:t xml:space="preserve"> 400 mg tabletter, rapporterede om behandlingsrelaterede bivirkninger. </w:t>
      </w:r>
      <w:proofErr w:type="spellStart"/>
      <w:r w:rsidRPr="00433098">
        <w:rPr>
          <w:sz w:val="24"/>
          <w:szCs w:val="24"/>
          <w:lang w:eastAsia="de-DE"/>
        </w:rPr>
        <w:t>Incidensen</w:t>
      </w:r>
      <w:proofErr w:type="spellEnd"/>
      <w:r w:rsidRPr="00433098">
        <w:rPr>
          <w:sz w:val="24"/>
          <w:szCs w:val="24"/>
          <w:lang w:eastAsia="de-DE"/>
        </w:rPr>
        <w:t xml:space="preserve"> af alvorlige bivirkninger i begge behandlingsgrupper var 2,0 % kontra 1,7 %. </w:t>
      </w:r>
    </w:p>
    <w:p w:rsidR="00DC3109" w:rsidRPr="00433098" w:rsidRDefault="00DC3109" w:rsidP="00DC3109">
      <w:pPr>
        <w:tabs>
          <w:tab w:val="left" w:pos="0"/>
          <w:tab w:val="left" w:pos="851"/>
        </w:tabs>
        <w:autoSpaceDE w:val="0"/>
        <w:autoSpaceDN w:val="0"/>
        <w:adjustRightInd w:val="0"/>
        <w:ind w:left="851"/>
        <w:rPr>
          <w:i/>
          <w:sz w:val="24"/>
          <w:szCs w:val="24"/>
          <w:lang w:eastAsia="de-DE"/>
        </w:rPr>
      </w:pPr>
    </w:p>
    <w:p w:rsidR="00DC3109" w:rsidRPr="00433098" w:rsidRDefault="00DC3109" w:rsidP="00DC3109">
      <w:pPr>
        <w:tabs>
          <w:tab w:val="left" w:pos="0"/>
          <w:tab w:val="left" w:pos="851"/>
        </w:tabs>
        <w:autoSpaceDE w:val="0"/>
        <w:autoSpaceDN w:val="0"/>
        <w:adjustRightInd w:val="0"/>
        <w:ind w:left="851"/>
        <w:rPr>
          <w:i/>
          <w:sz w:val="24"/>
          <w:szCs w:val="24"/>
          <w:lang w:eastAsia="de-DE"/>
        </w:rPr>
      </w:pPr>
      <w:r w:rsidRPr="00433098">
        <w:rPr>
          <w:i/>
          <w:sz w:val="24"/>
          <w:szCs w:val="24"/>
          <w:lang w:eastAsia="de-DE"/>
        </w:rPr>
        <w:t xml:space="preserve">Vedligeholdelse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727 patienter deltog i en </w:t>
      </w:r>
      <w:proofErr w:type="spellStart"/>
      <w:r w:rsidRPr="00433098">
        <w:rPr>
          <w:sz w:val="24"/>
          <w:szCs w:val="24"/>
          <w:lang w:eastAsia="de-DE"/>
        </w:rPr>
        <w:t>ublindet</w:t>
      </w:r>
      <w:proofErr w:type="spellEnd"/>
      <w:r w:rsidRPr="00433098">
        <w:rPr>
          <w:sz w:val="24"/>
          <w:szCs w:val="24"/>
          <w:lang w:eastAsia="de-DE"/>
        </w:rPr>
        <w:t xml:space="preserve"> forlængelse af induktionsstudiet. I alt 243 patienter, som ikke havde vist respons ved uge 8, indgik i en forlænget induktionsperiode på 8 uger med en daglig dosis på 4,8 g.</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 xml:space="preserve">Den daglige dosis af </w:t>
      </w:r>
      <w:proofErr w:type="spellStart"/>
      <w:r>
        <w:rPr>
          <w:sz w:val="24"/>
          <w:szCs w:val="24"/>
          <w:lang w:eastAsia="de-DE"/>
        </w:rPr>
        <w:t>Asacol</w:t>
      </w:r>
      <w:proofErr w:type="spellEnd"/>
      <w:r w:rsidRPr="00433098">
        <w:rPr>
          <w:sz w:val="24"/>
          <w:szCs w:val="24"/>
          <w:lang w:eastAsia="de-DE"/>
        </w:rPr>
        <w:t xml:space="preserve"> i vedligeholdelsesfasen blev tildelt ud fra induktionsresultaterne ved uge 8 eller uge 12. Patienter i klinisk remission (202) fik 1600 mg/dag, mens patienter med et klinisk respons (274) fik 3,2 g/dag. Patienter uden indledningsvist respons ved uge 8, som viste respons efter yderligere 8 uger med 4,8 g </w:t>
      </w:r>
      <w:proofErr w:type="spellStart"/>
      <w:r>
        <w:rPr>
          <w:sz w:val="24"/>
          <w:szCs w:val="24"/>
          <w:lang w:eastAsia="de-DE"/>
        </w:rPr>
        <w:t>Asacol</w:t>
      </w:r>
      <w:proofErr w:type="spellEnd"/>
      <w:r w:rsidRPr="00433098">
        <w:rPr>
          <w:sz w:val="24"/>
          <w:szCs w:val="24"/>
          <w:lang w:eastAsia="de-DE"/>
        </w:rPr>
        <w:t xml:space="preserve"> om dagen (199), fortsatte med at få 4,8 g i endnu 22 uger. </w:t>
      </w:r>
    </w:p>
    <w:p w:rsidR="00DC3109" w:rsidRPr="00433098" w:rsidRDefault="00DC3109" w:rsidP="00DC3109">
      <w:pPr>
        <w:tabs>
          <w:tab w:val="left" w:pos="0"/>
          <w:tab w:val="left" w:pos="851"/>
        </w:tabs>
        <w:autoSpaceDE w:val="0"/>
        <w:autoSpaceDN w:val="0"/>
        <w:adjustRightInd w:val="0"/>
        <w:ind w:left="851"/>
        <w:rPr>
          <w:sz w:val="24"/>
          <w:szCs w:val="24"/>
          <w:lang w:eastAsia="de-DE"/>
        </w:rPr>
      </w:pPr>
      <w:r w:rsidRPr="00433098">
        <w:rPr>
          <w:sz w:val="24"/>
          <w:szCs w:val="24"/>
          <w:lang w:eastAsia="de-DE"/>
        </w:rPr>
        <w:t>Ved uge 38 var remissionen vedligeholdt med 1600 mg/dag hos 70,3 % (142/202) af patienterne. Yderligere 33,9 % (93/274) og 30,7 % (61/199) af patienterne i grupperne med doser på hhv. 3,2 g/dag og 4,8 g/dag oplevede klinisk remission på et senere tidspunkt.</w:t>
      </w:r>
    </w:p>
    <w:p w:rsidR="00DC3109" w:rsidRPr="00C84483" w:rsidRDefault="00DC3109" w:rsidP="00DC3109">
      <w:pPr>
        <w:tabs>
          <w:tab w:val="left" w:pos="0"/>
          <w:tab w:val="left" w:pos="851"/>
        </w:tabs>
        <w:autoSpaceDE w:val="0"/>
        <w:autoSpaceDN w:val="0"/>
        <w:adjustRightInd w:val="0"/>
        <w:ind w:left="851"/>
        <w:rPr>
          <w:sz w:val="24"/>
          <w:szCs w:val="24"/>
          <w:lang w:eastAsia="de-DE"/>
        </w:rPr>
      </w:pPr>
      <w:proofErr w:type="spellStart"/>
      <w:r w:rsidRPr="00433098">
        <w:rPr>
          <w:sz w:val="24"/>
          <w:szCs w:val="24"/>
          <w:lang w:eastAsia="de-DE"/>
        </w:rPr>
        <w:t>Incidensen</w:t>
      </w:r>
      <w:proofErr w:type="spellEnd"/>
      <w:r w:rsidRPr="00433098">
        <w:rPr>
          <w:sz w:val="24"/>
          <w:szCs w:val="24"/>
          <w:lang w:eastAsia="de-DE"/>
        </w:rPr>
        <w:t xml:space="preserve"> af alvorlige bivirkninger i den </w:t>
      </w:r>
      <w:proofErr w:type="spellStart"/>
      <w:r w:rsidRPr="00433098">
        <w:rPr>
          <w:sz w:val="24"/>
          <w:szCs w:val="24"/>
          <w:lang w:eastAsia="de-DE"/>
        </w:rPr>
        <w:t>ublinde</w:t>
      </w:r>
      <w:proofErr w:type="spellEnd"/>
      <w:r w:rsidRPr="00433098">
        <w:rPr>
          <w:sz w:val="24"/>
          <w:szCs w:val="24"/>
          <w:lang w:eastAsia="de-DE"/>
        </w:rPr>
        <w:t xml:space="preserve"> forlængelse var lav og uafhængig af den daglige dosis med 5,0 % (10/202), 4,4 % (12/274) og 1,5 % (3/199) af patienterne i de grupper, der fik daglige doser på hhv. 1,6; 3,2 og 4,8 g.</w:t>
      </w:r>
    </w:p>
    <w:p w:rsidR="00DC3109" w:rsidRPr="00C84483" w:rsidRDefault="00DC3109" w:rsidP="00DC3109">
      <w:pPr>
        <w:tabs>
          <w:tab w:val="left" w:pos="851"/>
        </w:tabs>
        <w:ind w:left="851"/>
        <w:rPr>
          <w:sz w:val="24"/>
          <w:szCs w:val="24"/>
        </w:rPr>
      </w:pPr>
    </w:p>
    <w:p w:rsidR="00DC3109" w:rsidRPr="00181C63" w:rsidRDefault="00DC3109" w:rsidP="00DC310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Absorption</w:t>
      </w:r>
    </w:p>
    <w:p w:rsidR="00DC3109" w:rsidRPr="00181C63" w:rsidRDefault="00DC3109" w:rsidP="00DC3109">
      <w:pPr>
        <w:tabs>
          <w:tab w:val="left" w:pos="851"/>
        </w:tabs>
        <w:ind w:left="851"/>
        <w:outlineLvl w:val="0"/>
        <w:rPr>
          <w:sz w:val="24"/>
          <w:szCs w:val="24"/>
          <w:lang w:eastAsia="de-DE"/>
        </w:rPr>
      </w:pPr>
      <w:proofErr w:type="spellStart"/>
      <w:r>
        <w:rPr>
          <w:sz w:val="24"/>
          <w:szCs w:val="24"/>
          <w:lang w:eastAsia="de-DE"/>
        </w:rPr>
        <w:t>Asacol</w:t>
      </w:r>
      <w:proofErr w:type="spellEnd"/>
      <w:r w:rsidRPr="00181C63">
        <w:rPr>
          <w:sz w:val="24"/>
          <w:szCs w:val="24"/>
          <w:lang w:eastAsia="de-DE"/>
        </w:rPr>
        <w:t xml:space="preserve"> tabletter har en modificeret udløsning af </w:t>
      </w:r>
      <w:proofErr w:type="spellStart"/>
      <w:r w:rsidRPr="00181C63">
        <w:rPr>
          <w:sz w:val="24"/>
          <w:szCs w:val="24"/>
          <w:lang w:eastAsia="de-DE"/>
        </w:rPr>
        <w:t>mesalazin</w:t>
      </w:r>
      <w:proofErr w:type="spellEnd"/>
      <w:r w:rsidRPr="00181C63">
        <w:rPr>
          <w:sz w:val="24"/>
          <w:szCs w:val="24"/>
          <w:lang w:eastAsia="de-DE"/>
        </w:rPr>
        <w:t xml:space="preserve">, som først starter ved en pH over 7; dvs. i den terminale </w:t>
      </w:r>
      <w:proofErr w:type="spellStart"/>
      <w:r w:rsidRPr="00181C63">
        <w:rPr>
          <w:sz w:val="24"/>
          <w:szCs w:val="24"/>
          <w:lang w:eastAsia="de-DE"/>
        </w:rPr>
        <w:t>ileum</w:t>
      </w:r>
      <w:proofErr w:type="spellEnd"/>
      <w:r w:rsidRPr="00181C63">
        <w:rPr>
          <w:sz w:val="24"/>
          <w:szCs w:val="24"/>
          <w:lang w:eastAsia="de-DE"/>
        </w:rPr>
        <w:t xml:space="preserve"> og </w:t>
      </w:r>
      <w:proofErr w:type="spellStart"/>
      <w:r w:rsidRPr="00181C63">
        <w:rPr>
          <w:sz w:val="24"/>
          <w:szCs w:val="24"/>
          <w:lang w:eastAsia="de-DE"/>
        </w:rPr>
        <w:t>colon</w:t>
      </w:r>
      <w:proofErr w:type="spellEnd"/>
      <w:r w:rsidRPr="00181C63">
        <w:rPr>
          <w:sz w:val="24"/>
          <w:szCs w:val="24"/>
          <w:lang w:eastAsia="de-DE"/>
        </w:rPr>
        <w:t xml:space="preserve">. Data vedrørende urinudskillelsen over 60 timer viser, at cirka 31 % af en oral dosis (i fastende tilstand) absorberes. </w:t>
      </w:r>
    </w:p>
    <w:p w:rsidR="00DC3109" w:rsidRPr="00181C63" w:rsidRDefault="00DC3109" w:rsidP="00DC3109">
      <w:pPr>
        <w:tabs>
          <w:tab w:val="left" w:pos="851"/>
        </w:tabs>
        <w:ind w:left="851"/>
        <w:outlineLvl w:val="0"/>
        <w:rPr>
          <w:sz w:val="24"/>
          <w:szCs w:val="24"/>
          <w:lang w:eastAsia="de-DE"/>
        </w:rPr>
      </w:pP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t xml:space="preserve">En enkelt dosis af </w:t>
      </w:r>
      <w:proofErr w:type="spellStart"/>
      <w:r>
        <w:rPr>
          <w:sz w:val="24"/>
          <w:szCs w:val="24"/>
          <w:lang w:eastAsia="de-DE"/>
        </w:rPr>
        <w:t>Asacol</w:t>
      </w:r>
      <w:proofErr w:type="spellEnd"/>
      <w:r w:rsidRPr="00181C63">
        <w:rPr>
          <w:sz w:val="24"/>
          <w:szCs w:val="24"/>
          <w:lang w:eastAsia="de-DE"/>
        </w:rPr>
        <w:t xml:space="preserve"> 1600 mg tabletter med modificeret udløsning hos raske frivillige i fastende tilstand resulterede i en 1,5-folds stigning i </w:t>
      </w:r>
      <w:proofErr w:type="spellStart"/>
      <w:r w:rsidRPr="00181C63">
        <w:rPr>
          <w:sz w:val="24"/>
          <w:szCs w:val="24"/>
          <w:lang w:eastAsia="de-DE"/>
        </w:rPr>
        <w:t>mesalazins</w:t>
      </w:r>
      <w:proofErr w:type="spellEnd"/>
      <w:r w:rsidRPr="00181C63">
        <w:rPr>
          <w:sz w:val="24"/>
          <w:szCs w:val="24"/>
          <w:lang w:eastAsia="de-DE"/>
        </w:rPr>
        <w:t xml:space="preserve"> </w:t>
      </w:r>
      <w:proofErr w:type="spellStart"/>
      <w:r w:rsidRPr="00181C63">
        <w:rPr>
          <w:sz w:val="24"/>
          <w:szCs w:val="24"/>
          <w:lang w:eastAsia="de-DE"/>
        </w:rPr>
        <w:t>C</w:t>
      </w:r>
      <w:r w:rsidRPr="00181C63">
        <w:rPr>
          <w:sz w:val="24"/>
          <w:szCs w:val="24"/>
          <w:vertAlign w:val="subscript"/>
          <w:lang w:eastAsia="de-DE"/>
        </w:rPr>
        <w:t>max</w:t>
      </w:r>
      <w:proofErr w:type="spellEnd"/>
      <w:r w:rsidRPr="00181C63">
        <w:rPr>
          <w:sz w:val="24"/>
          <w:szCs w:val="24"/>
          <w:lang w:eastAsia="de-DE"/>
        </w:rPr>
        <w:t xml:space="preserve"> og en 1,5-folds stigning i AUC sammenlignet med ikke-fastende tilstand. </w:t>
      </w:r>
    </w:p>
    <w:p w:rsidR="00DC3109" w:rsidRPr="00181C63" w:rsidRDefault="00DC3109" w:rsidP="00DC3109">
      <w:pPr>
        <w:tabs>
          <w:tab w:val="left" w:pos="851"/>
        </w:tabs>
        <w:ind w:left="851"/>
        <w:outlineLvl w:val="0"/>
        <w:rPr>
          <w:sz w:val="24"/>
          <w:szCs w:val="24"/>
          <w:lang w:eastAsia="de-DE"/>
        </w:rPr>
      </w:pPr>
    </w:p>
    <w:p w:rsidR="00DC3109" w:rsidRPr="00181C63" w:rsidRDefault="00DC3109" w:rsidP="008B2995">
      <w:pPr>
        <w:keepNext/>
        <w:tabs>
          <w:tab w:val="left" w:pos="851"/>
        </w:tabs>
        <w:ind w:left="851"/>
        <w:outlineLvl w:val="0"/>
        <w:rPr>
          <w:sz w:val="24"/>
          <w:szCs w:val="24"/>
          <w:u w:val="single"/>
          <w:lang w:eastAsia="de-DE"/>
        </w:rPr>
      </w:pPr>
      <w:r w:rsidRPr="00181C63">
        <w:rPr>
          <w:sz w:val="24"/>
          <w:szCs w:val="24"/>
          <w:u w:val="single"/>
          <w:lang w:eastAsia="de-DE"/>
        </w:rPr>
        <w:t>Fordeling</w:t>
      </w: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t xml:space="preserve">Cirka 43 % af </w:t>
      </w:r>
      <w:proofErr w:type="spellStart"/>
      <w:r w:rsidRPr="00181C63">
        <w:rPr>
          <w:sz w:val="24"/>
          <w:szCs w:val="24"/>
          <w:lang w:eastAsia="de-DE"/>
        </w:rPr>
        <w:t>mesalazin</w:t>
      </w:r>
      <w:proofErr w:type="spellEnd"/>
      <w:r w:rsidRPr="00181C63">
        <w:rPr>
          <w:sz w:val="24"/>
          <w:szCs w:val="24"/>
          <w:lang w:eastAsia="de-DE"/>
        </w:rPr>
        <w:t xml:space="preserve"> og 78 % af N-</w:t>
      </w:r>
      <w:proofErr w:type="spellStart"/>
      <w:r w:rsidRPr="00181C63">
        <w:rPr>
          <w:sz w:val="24"/>
          <w:szCs w:val="24"/>
          <w:lang w:eastAsia="de-DE"/>
        </w:rPr>
        <w:t>acetylmesalazin</w:t>
      </w:r>
      <w:proofErr w:type="spellEnd"/>
      <w:r w:rsidRPr="00181C63">
        <w:rPr>
          <w:sz w:val="24"/>
          <w:szCs w:val="24"/>
          <w:lang w:eastAsia="de-DE"/>
        </w:rPr>
        <w:t xml:space="preserve"> bindes til plasmaproteiner.</w:t>
      </w:r>
    </w:p>
    <w:p w:rsidR="00DC3109" w:rsidRPr="00181C63" w:rsidRDefault="00DC3109" w:rsidP="00DC3109">
      <w:pPr>
        <w:tabs>
          <w:tab w:val="left" w:pos="851"/>
        </w:tabs>
        <w:ind w:left="851"/>
        <w:outlineLvl w:val="0"/>
        <w:rPr>
          <w:sz w:val="24"/>
          <w:szCs w:val="24"/>
          <w:lang w:eastAsia="de-DE"/>
        </w:rPr>
      </w:pPr>
      <w:r w:rsidRPr="00181C63">
        <w:rPr>
          <w:sz w:val="24"/>
          <w:szCs w:val="24"/>
          <w:lang w:eastAsia="de-DE"/>
        </w:rPr>
        <w:t>Cirka 75 % af den administrerede dosis bliver i tarmlumen og slimhindevævene. Det gennemsnitlige tilsyneladende distributionsvolumen (</w:t>
      </w:r>
      <w:proofErr w:type="spellStart"/>
      <w:r w:rsidRPr="00181C63">
        <w:rPr>
          <w:sz w:val="24"/>
          <w:szCs w:val="24"/>
          <w:lang w:eastAsia="de-DE"/>
        </w:rPr>
        <w:t>Vd</w:t>
      </w:r>
      <w:r w:rsidRPr="00181C63">
        <w:rPr>
          <w:sz w:val="24"/>
          <w:szCs w:val="24"/>
          <w:vertAlign w:val="subscript"/>
          <w:lang w:eastAsia="de-DE"/>
        </w:rPr>
        <w:t>w</w:t>
      </w:r>
      <w:proofErr w:type="spellEnd"/>
      <w:r w:rsidRPr="00181C63">
        <w:rPr>
          <w:sz w:val="24"/>
          <w:szCs w:val="24"/>
          <w:lang w:eastAsia="de-DE"/>
        </w:rPr>
        <w:t xml:space="preserve">) var 12,1 l/kg. Der er påvist lave koncentrationer af </w:t>
      </w:r>
      <w:proofErr w:type="spellStart"/>
      <w:r w:rsidRPr="00181C63">
        <w:rPr>
          <w:sz w:val="24"/>
          <w:szCs w:val="24"/>
          <w:lang w:eastAsia="de-DE"/>
        </w:rPr>
        <w:t>mesalazin</w:t>
      </w:r>
      <w:proofErr w:type="spellEnd"/>
      <w:r w:rsidRPr="00181C63">
        <w:rPr>
          <w:sz w:val="24"/>
          <w:szCs w:val="24"/>
          <w:lang w:eastAsia="de-DE"/>
        </w:rPr>
        <w:t xml:space="preserve"> og N-</w:t>
      </w:r>
      <w:proofErr w:type="spellStart"/>
      <w:r w:rsidRPr="00181C63">
        <w:rPr>
          <w:sz w:val="24"/>
          <w:szCs w:val="24"/>
          <w:lang w:eastAsia="de-DE"/>
        </w:rPr>
        <w:t>acetylmesalazin</w:t>
      </w:r>
      <w:proofErr w:type="spellEnd"/>
      <w:r w:rsidRPr="00181C63">
        <w:rPr>
          <w:sz w:val="24"/>
          <w:szCs w:val="24"/>
          <w:lang w:eastAsia="de-DE"/>
        </w:rPr>
        <w:t xml:space="preserve"> i human mælk. Den kliniske betydning af dette er ikke klarlagt.</w:t>
      </w:r>
    </w:p>
    <w:p w:rsidR="00DC3109" w:rsidRPr="00181C63" w:rsidRDefault="00DC3109" w:rsidP="00DC3109">
      <w:pPr>
        <w:tabs>
          <w:tab w:val="left" w:pos="851"/>
        </w:tabs>
        <w:ind w:left="851"/>
        <w:outlineLvl w:val="0"/>
        <w:rPr>
          <w:sz w:val="24"/>
          <w:szCs w:val="24"/>
          <w:u w:val="single"/>
          <w:lang w:eastAsia="de-DE"/>
        </w:rPr>
      </w:pP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Biotransformation</w:t>
      </w:r>
    </w:p>
    <w:p w:rsidR="00DC3109" w:rsidRPr="00181C63" w:rsidRDefault="00DC3109" w:rsidP="00DC3109">
      <w:pPr>
        <w:tabs>
          <w:tab w:val="left" w:pos="851"/>
        </w:tabs>
        <w:ind w:left="851"/>
        <w:rPr>
          <w:sz w:val="24"/>
          <w:szCs w:val="24"/>
          <w:lang w:eastAsia="de-DE"/>
        </w:rPr>
      </w:pPr>
      <w:proofErr w:type="spellStart"/>
      <w:r w:rsidRPr="00181C63">
        <w:rPr>
          <w:sz w:val="24"/>
          <w:szCs w:val="24"/>
          <w:lang w:eastAsia="de-DE"/>
        </w:rPr>
        <w:t>Mesalazin</w:t>
      </w:r>
      <w:proofErr w:type="spellEnd"/>
      <w:r w:rsidRPr="00181C63">
        <w:rPr>
          <w:sz w:val="24"/>
          <w:szCs w:val="24"/>
          <w:lang w:eastAsia="de-DE"/>
        </w:rPr>
        <w:t xml:space="preserve"> </w:t>
      </w:r>
      <w:proofErr w:type="spellStart"/>
      <w:r w:rsidRPr="00181C63">
        <w:rPr>
          <w:sz w:val="24"/>
          <w:szCs w:val="24"/>
          <w:lang w:eastAsia="de-DE"/>
        </w:rPr>
        <w:t>metaboliseres</w:t>
      </w:r>
      <w:proofErr w:type="spellEnd"/>
      <w:r w:rsidRPr="00181C63">
        <w:rPr>
          <w:sz w:val="24"/>
          <w:szCs w:val="24"/>
          <w:lang w:eastAsia="de-DE"/>
        </w:rPr>
        <w:t xml:space="preserve"> både af tarmslimhinden og leveren til den inaktive metabolit N-</w:t>
      </w:r>
      <w:proofErr w:type="spellStart"/>
      <w:r w:rsidRPr="00181C63">
        <w:rPr>
          <w:sz w:val="24"/>
          <w:szCs w:val="24"/>
          <w:lang w:eastAsia="de-DE"/>
        </w:rPr>
        <w:t>acetylmesalazin</w:t>
      </w:r>
      <w:proofErr w:type="spellEnd"/>
      <w:r w:rsidRPr="00181C63">
        <w:rPr>
          <w:sz w:val="24"/>
          <w:szCs w:val="24"/>
          <w:lang w:eastAsia="de-DE"/>
        </w:rPr>
        <w:t>. Data vedrørende urinudskillelsen viser, at &gt; 95 % af den absorberede dosis udskilles som metabolitter.</w:t>
      </w:r>
    </w:p>
    <w:p w:rsidR="00DC3109" w:rsidRPr="00181C63" w:rsidRDefault="00DC3109" w:rsidP="00DC3109">
      <w:pPr>
        <w:tabs>
          <w:tab w:val="left" w:pos="851"/>
        </w:tabs>
        <w:ind w:left="851"/>
        <w:outlineLvl w:val="0"/>
        <w:rPr>
          <w:sz w:val="24"/>
          <w:szCs w:val="24"/>
          <w:u w:val="single"/>
          <w:lang w:eastAsia="de-DE"/>
        </w:rPr>
      </w:pPr>
    </w:p>
    <w:p w:rsidR="00DC3109" w:rsidRPr="00181C63" w:rsidRDefault="00DC3109" w:rsidP="00DC3109">
      <w:pPr>
        <w:tabs>
          <w:tab w:val="left" w:pos="851"/>
        </w:tabs>
        <w:ind w:left="851"/>
        <w:outlineLvl w:val="0"/>
        <w:rPr>
          <w:sz w:val="24"/>
          <w:szCs w:val="24"/>
          <w:u w:val="single"/>
          <w:lang w:eastAsia="de-DE"/>
        </w:rPr>
      </w:pPr>
      <w:r w:rsidRPr="00181C63">
        <w:rPr>
          <w:sz w:val="24"/>
          <w:szCs w:val="24"/>
          <w:u w:val="single"/>
          <w:lang w:eastAsia="de-DE"/>
        </w:rPr>
        <w:t>Elimination</w:t>
      </w:r>
    </w:p>
    <w:p w:rsidR="00DC3109" w:rsidRPr="00C84483" w:rsidRDefault="00DC3109" w:rsidP="00DC3109">
      <w:pPr>
        <w:tabs>
          <w:tab w:val="left" w:pos="851"/>
        </w:tabs>
        <w:ind w:left="851"/>
        <w:outlineLvl w:val="0"/>
        <w:rPr>
          <w:sz w:val="24"/>
          <w:szCs w:val="24"/>
          <w:lang w:eastAsia="de-DE"/>
        </w:rPr>
      </w:pPr>
      <w:proofErr w:type="spellStart"/>
      <w:r w:rsidRPr="00181C63">
        <w:rPr>
          <w:sz w:val="24"/>
          <w:szCs w:val="24"/>
          <w:lang w:eastAsia="de-DE"/>
        </w:rPr>
        <w:t>Mesalazin</w:t>
      </w:r>
      <w:proofErr w:type="spellEnd"/>
      <w:r w:rsidRPr="00181C63">
        <w:rPr>
          <w:sz w:val="24"/>
          <w:szCs w:val="24"/>
          <w:lang w:eastAsia="de-DE"/>
        </w:rPr>
        <w:t xml:space="preserve"> elimineres primært via urin og fæces i form af </w:t>
      </w:r>
      <w:proofErr w:type="spellStart"/>
      <w:r w:rsidRPr="00181C63">
        <w:rPr>
          <w:sz w:val="24"/>
          <w:szCs w:val="24"/>
          <w:lang w:eastAsia="de-DE"/>
        </w:rPr>
        <w:t>mesalazin</w:t>
      </w:r>
      <w:proofErr w:type="spellEnd"/>
      <w:r w:rsidRPr="00181C63">
        <w:rPr>
          <w:sz w:val="24"/>
          <w:szCs w:val="24"/>
          <w:lang w:eastAsia="de-DE"/>
        </w:rPr>
        <w:t xml:space="preserve"> og dets N-acetyl-metabolit. Cirka 23 % af dosis blev genfundet i urinen inden for 60 timer ved administration i ikke-fastende tilstand og 31 % ved administration i fastende tilstand (enkelt dosis af 1600 mg tablet). </w:t>
      </w:r>
      <w:proofErr w:type="spellStart"/>
      <w:r w:rsidRPr="00181C63">
        <w:rPr>
          <w:sz w:val="24"/>
          <w:szCs w:val="24"/>
          <w:lang w:eastAsia="de-DE"/>
        </w:rPr>
        <w:t>Mesalazins</w:t>
      </w:r>
      <w:proofErr w:type="spellEnd"/>
      <w:r w:rsidRPr="00181C63">
        <w:rPr>
          <w:sz w:val="24"/>
          <w:szCs w:val="24"/>
          <w:lang w:eastAsia="de-DE"/>
        </w:rPr>
        <w:t xml:space="preserve"> gennemsnitlige eliminationshalveringstid var 20 timer (interval: 5 til 77 timer).</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5.3</w:t>
      </w:r>
      <w:r w:rsidRPr="00C84483">
        <w:rPr>
          <w:b/>
          <w:sz w:val="24"/>
          <w:szCs w:val="24"/>
        </w:rPr>
        <w:tab/>
      </w:r>
      <w:r w:rsidR="009F4409">
        <w:rPr>
          <w:b/>
          <w:sz w:val="24"/>
          <w:szCs w:val="24"/>
        </w:rPr>
        <w:t>Non-</w:t>
      </w:r>
      <w:r w:rsidRPr="00C84483">
        <w:rPr>
          <w:b/>
          <w:sz w:val="24"/>
          <w:szCs w:val="24"/>
        </w:rPr>
        <w:t>kliniske sikkerhedsdata</w:t>
      </w:r>
    </w:p>
    <w:p w:rsidR="00DC3109" w:rsidRPr="00C84483" w:rsidRDefault="00DC3109" w:rsidP="00DC3109">
      <w:pPr>
        <w:tabs>
          <w:tab w:val="left" w:pos="851"/>
        </w:tabs>
        <w:ind w:left="851"/>
        <w:outlineLvl w:val="0"/>
        <w:rPr>
          <w:sz w:val="24"/>
          <w:szCs w:val="24"/>
          <w:lang w:eastAsia="de-DE"/>
        </w:rPr>
      </w:pPr>
      <w:r w:rsidRPr="00FC0DD5">
        <w:rPr>
          <w:sz w:val="24"/>
          <w:szCs w:val="24"/>
          <w:lang w:eastAsia="de-DE"/>
        </w:rPr>
        <w:t xml:space="preserve">Der findes ikke andre prækliniske data af relevans til ordinerende læge end dem, der allerede er nævnt i andre </w:t>
      </w:r>
      <w:r>
        <w:rPr>
          <w:sz w:val="24"/>
          <w:szCs w:val="24"/>
          <w:lang w:eastAsia="de-DE"/>
        </w:rPr>
        <w:t>punkter</w:t>
      </w:r>
      <w:r w:rsidRPr="00FC0DD5">
        <w:rPr>
          <w:sz w:val="24"/>
          <w:szCs w:val="24"/>
          <w:lang w:eastAsia="de-DE"/>
        </w:rPr>
        <w:t xml:space="preserve"> af dette produktresumé.</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C3109" w:rsidRPr="00BA09F1"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6.1</w:t>
      </w:r>
      <w:r w:rsidRPr="00C84483">
        <w:rPr>
          <w:b/>
          <w:sz w:val="24"/>
          <w:szCs w:val="24"/>
        </w:rPr>
        <w:tab/>
        <w:t>Hjælpestoffer</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Magnesiumstearat</w:t>
      </w:r>
      <w:proofErr w:type="spellEnd"/>
      <w:r w:rsidRPr="009D6CFA">
        <w:rPr>
          <w:sz w:val="24"/>
          <w:szCs w:val="24"/>
          <w:lang w:eastAsia="de-DE"/>
        </w:rPr>
        <w:t xml:space="preserve"> (E470B)</w:t>
      </w:r>
    </w:p>
    <w:p w:rsidR="00DC3109" w:rsidRPr="00843B5D" w:rsidRDefault="00DC3109" w:rsidP="00DC3109">
      <w:pPr>
        <w:tabs>
          <w:tab w:val="left" w:pos="851"/>
        </w:tabs>
        <w:ind w:left="851"/>
        <w:rPr>
          <w:sz w:val="24"/>
          <w:szCs w:val="24"/>
          <w:lang w:eastAsia="de-DE"/>
        </w:rPr>
      </w:pPr>
      <w:proofErr w:type="spellStart"/>
      <w:r w:rsidRPr="00843B5D">
        <w:rPr>
          <w:sz w:val="24"/>
          <w:szCs w:val="24"/>
          <w:lang w:eastAsia="de-DE"/>
        </w:rPr>
        <w:t>Methacrylsyre-methylmethacrylat</w:t>
      </w:r>
      <w:proofErr w:type="spellEnd"/>
      <w:r w:rsidRPr="00843B5D">
        <w:rPr>
          <w:sz w:val="24"/>
          <w:szCs w:val="24"/>
          <w:lang w:eastAsia="de-DE"/>
        </w:rPr>
        <w:t xml:space="preserve"> </w:t>
      </w:r>
      <w:proofErr w:type="spellStart"/>
      <w:r w:rsidRPr="00843B5D">
        <w:rPr>
          <w:sz w:val="24"/>
          <w:szCs w:val="24"/>
          <w:lang w:eastAsia="de-DE"/>
        </w:rPr>
        <w:t>copolymer</w:t>
      </w:r>
      <w:proofErr w:type="spellEnd"/>
      <w:r w:rsidRPr="00843B5D">
        <w:rPr>
          <w:sz w:val="24"/>
          <w:szCs w:val="24"/>
          <w:lang w:eastAsia="de-DE"/>
        </w:rPr>
        <w:t xml:space="preserve"> (1:2)</w:t>
      </w:r>
    </w:p>
    <w:p w:rsidR="00DC3109" w:rsidRPr="00843B5D" w:rsidRDefault="00DC3109" w:rsidP="00DC3109">
      <w:pPr>
        <w:tabs>
          <w:tab w:val="left" w:pos="851"/>
        </w:tabs>
        <w:ind w:left="851"/>
        <w:rPr>
          <w:sz w:val="24"/>
          <w:szCs w:val="24"/>
          <w:lang w:eastAsia="de-DE"/>
        </w:rPr>
      </w:pPr>
      <w:proofErr w:type="spellStart"/>
      <w:r w:rsidRPr="00843B5D">
        <w:rPr>
          <w:sz w:val="24"/>
          <w:szCs w:val="24"/>
          <w:lang w:eastAsia="de-DE"/>
        </w:rPr>
        <w:t>Triethylcitrat</w:t>
      </w:r>
      <w:proofErr w:type="spellEnd"/>
    </w:p>
    <w:p w:rsidR="00DC3109" w:rsidRPr="00843B5D" w:rsidRDefault="00DC3109" w:rsidP="00DC3109">
      <w:pPr>
        <w:tabs>
          <w:tab w:val="left" w:pos="851"/>
        </w:tabs>
        <w:ind w:left="851"/>
        <w:rPr>
          <w:sz w:val="24"/>
          <w:szCs w:val="24"/>
          <w:lang w:eastAsia="de-DE"/>
        </w:rPr>
      </w:pPr>
      <w:r w:rsidRPr="00843B5D">
        <w:rPr>
          <w:sz w:val="24"/>
          <w:szCs w:val="24"/>
          <w:lang w:eastAsia="de-DE"/>
        </w:rPr>
        <w:t>Gul jernoxid (E172)</w:t>
      </w:r>
    </w:p>
    <w:p w:rsidR="00DC3109" w:rsidRPr="00843B5D" w:rsidRDefault="00DC3109" w:rsidP="00DC3109">
      <w:pPr>
        <w:tabs>
          <w:tab w:val="left" w:pos="851"/>
        </w:tabs>
        <w:ind w:left="851"/>
        <w:rPr>
          <w:sz w:val="24"/>
          <w:szCs w:val="24"/>
          <w:lang w:eastAsia="de-DE"/>
        </w:rPr>
      </w:pPr>
      <w:r w:rsidRPr="00843B5D">
        <w:rPr>
          <w:sz w:val="24"/>
          <w:szCs w:val="24"/>
          <w:lang w:eastAsia="de-DE"/>
        </w:rPr>
        <w:t>Rød jernoxid (E172)</w:t>
      </w:r>
    </w:p>
    <w:p w:rsidR="00DC3109" w:rsidRPr="00843B5D" w:rsidRDefault="00DC3109" w:rsidP="00DC3109">
      <w:pPr>
        <w:tabs>
          <w:tab w:val="left" w:pos="851"/>
        </w:tabs>
        <w:ind w:left="851"/>
        <w:rPr>
          <w:sz w:val="24"/>
          <w:szCs w:val="24"/>
          <w:lang w:eastAsia="de-DE"/>
        </w:rPr>
      </w:pPr>
      <w:proofErr w:type="spellStart"/>
      <w:r w:rsidRPr="00843B5D">
        <w:rPr>
          <w:sz w:val="24"/>
          <w:szCs w:val="24"/>
          <w:lang w:eastAsia="de-DE"/>
        </w:rPr>
        <w:t>Macrogol</w:t>
      </w:r>
      <w:proofErr w:type="spellEnd"/>
      <w:r w:rsidRPr="00843B5D">
        <w:rPr>
          <w:sz w:val="24"/>
          <w:szCs w:val="24"/>
          <w:lang w:eastAsia="de-DE"/>
        </w:rPr>
        <w:t xml:space="preserve"> </w:t>
      </w:r>
    </w:p>
    <w:p w:rsidR="00DC3109" w:rsidRPr="00843B5D" w:rsidRDefault="00DC3109" w:rsidP="00DC3109">
      <w:pPr>
        <w:tabs>
          <w:tab w:val="left" w:pos="851"/>
        </w:tabs>
        <w:ind w:left="851"/>
        <w:rPr>
          <w:sz w:val="24"/>
          <w:szCs w:val="24"/>
          <w:lang w:eastAsia="de-DE"/>
        </w:rPr>
      </w:pPr>
      <w:r w:rsidRPr="00843B5D">
        <w:rPr>
          <w:sz w:val="24"/>
          <w:szCs w:val="24"/>
          <w:lang w:eastAsia="de-DE"/>
        </w:rPr>
        <w:t>Mikrokrystallinsk cellulose</w:t>
      </w:r>
    </w:p>
    <w:p w:rsidR="00DC3109" w:rsidRPr="00843B5D" w:rsidRDefault="00DC3109" w:rsidP="00DC3109">
      <w:pPr>
        <w:tabs>
          <w:tab w:val="left" w:pos="851"/>
        </w:tabs>
        <w:ind w:left="851"/>
        <w:rPr>
          <w:sz w:val="24"/>
          <w:szCs w:val="24"/>
          <w:lang w:eastAsia="de-DE"/>
        </w:rPr>
      </w:pPr>
      <w:proofErr w:type="spellStart"/>
      <w:r w:rsidRPr="00843B5D">
        <w:rPr>
          <w:sz w:val="24"/>
          <w:szCs w:val="24"/>
          <w:lang w:eastAsia="de-DE"/>
        </w:rPr>
        <w:t>Glycerolmonostearat</w:t>
      </w:r>
      <w:proofErr w:type="spellEnd"/>
      <w:r w:rsidRPr="00843B5D">
        <w:rPr>
          <w:sz w:val="24"/>
          <w:szCs w:val="24"/>
          <w:lang w:eastAsia="de-DE"/>
        </w:rPr>
        <w:t xml:space="preserve"> 40-55</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Hypromellose</w:t>
      </w:r>
      <w:proofErr w:type="spellEnd"/>
    </w:p>
    <w:p w:rsidR="00DC3109" w:rsidRPr="009D6CFA" w:rsidRDefault="00DC3109" w:rsidP="00DC3109">
      <w:pPr>
        <w:tabs>
          <w:tab w:val="left" w:pos="851"/>
        </w:tabs>
        <w:ind w:left="851"/>
        <w:rPr>
          <w:sz w:val="24"/>
          <w:szCs w:val="24"/>
          <w:lang w:eastAsia="de-DE"/>
        </w:rPr>
      </w:pPr>
      <w:r w:rsidRPr="009D6CFA">
        <w:rPr>
          <w:sz w:val="24"/>
          <w:szCs w:val="24"/>
          <w:lang w:eastAsia="de-DE"/>
        </w:rPr>
        <w:t>Majsstivelse</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Polysorbat</w:t>
      </w:r>
      <w:proofErr w:type="spellEnd"/>
      <w:r w:rsidRPr="009D6CFA">
        <w:rPr>
          <w:sz w:val="24"/>
          <w:szCs w:val="24"/>
          <w:lang w:eastAsia="de-DE"/>
        </w:rPr>
        <w:t xml:space="preserve"> 80</w:t>
      </w:r>
    </w:p>
    <w:p w:rsidR="00DC3109" w:rsidRPr="009D6CFA" w:rsidRDefault="00DC3109" w:rsidP="00DC3109">
      <w:pPr>
        <w:tabs>
          <w:tab w:val="left" w:pos="851"/>
        </w:tabs>
        <w:ind w:left="851"/>
        <w:rPr>
          <w:sz w:val="24"/>
          <w:szCs w:val="24"/>
          <w:lang w:eastAsia="de-DE"/>
        </w:rPr>
      </w:pPr>
      <w:proofErr w:type="spellStart"/>
      <w:r w:rsidRPr="009D6CFA">
        <w:rPr>
          <w:sz w:val="24"/>
          <w:szCs w:val="24"/>
          <w:lang w:eastAsia="de-DE"/>
        </w:rPr>
        <w:t>Kaliumdihydrogenphosphat</w:t>
      </w:r>
      <w:proofErr w:type="spellEnd"/>
    </w:p>
    <w:p w:rsidR="00DC3109" w:rsidRPr="009D6CFA" w:rsidRDefault="00DC3109" w:rsidP="00DC3109">
      <w:pPr>
        <w:tabs>
          <w:tab w:val="left" w:pos="851"/>
        </w:tabs>
        <w:ind w:left="851"/>
        <w:rPr>
          <w:sz w:val="24"/>
          <w:szCs w:val="24"/>
          <w:lang w:eastAsia="de-DE"/>
        </w:rPr>
      </w:pPr>
      <w:r w:rsidRPr="009D6CFA">
        <w:rPr>
          <w:sz w:val="24"/>
          <w:szCs w:val="24"/>
          <w:lang w:eastAsia="de-DE"/>
        </w:rPr>
        <w:t xml:space="preserve">Kolloid vandfri </w:t>
      </w:r>
      <w:proofErr w:type="spellStart"/>
      <w:r w:rsidRPr="009D6CFA">
        <w:rPr>
          <w:sz w:val="24"/>
          <w:szCs w:val="24"/>
          <w:lang w:eastAsia="de-DE"/>
        </w:rPr>
        <w:t>silica</w:t>
      </w:r>
      <w:proofErr w:type="spellEnd"/>
    </w:p>
    <w:p w:rsidR="00DC3109" w:rsidRPr="00C84483" w:rsidRDefault="00DC3109" w:rsidP="00DC3109">
      <w:pPr>
        <w:tabs>
          <w:tab w:val="left" w:pos="851"/>
        </w:tabs>
        <w:ind w:left="851"/>
        <w:rPr>
          <w:sz w:val="24"/>
          <w:szCs w:val="24"/>
          <w:lang w:eastAsia="de-DE"/>
        </w:rPr>
      </w:pPr>
      <w:proofErr w:type="spellStart"/>
      <w:r w:rsidRPr="009D6CFA">
        <w:rPr>
          <w:sz w:val="24"/>
          <w:szCs w:val="24"/>
          <w:lang w:eastAsia="de-DE"/>
        </w:rPr>
        <w:t>Natriumstivelsesglycolat</w:t>
      </w:r>
      <w:proofErr w:type="spellEnd"/>
      <w:r w:rsidRPr="009D6CFA">
        <w:rPr>
          <w:sz w:val="24"/>
          <w:szCs w:val="24"/>
          <w:lang w:eastAsia="de-DE"/>
        </w:rPr>
        <w:t xml:space="preserve"> (type A)</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6.2</w:t>
      </w:r>
      <w:r w:rsidRPr="00C84483">
        <w:rPr>
          <w:b/>
          <w:sz w:val="24"/>
          <w:szCs w:val="24"/>
        </w:rPr>
        <w:tab/>
        <w:t>Uforligeligheder</w:t>
      </w:r>
    </w:p>
    <w:p w:rsidR="00DC3109" w:rsidRPr="00C84483" w:rsidRDefault="00DC3109" w:rsidP="00DC3109">
      <w:pPr>
        <w:tabs>
          <w:tab w:val="left" w:pos="851"/>
        </w:tabs>
        <w:ind w:left="851"/>
        <w:rPr>
          <w:sz w:val="24"/>
          <w:szCs w:val="24"/>
        </w:rPr>
      </w:pPr>
      <w:r>
        <w:rPr>
          <w:sz w:val="24"/>
          <w:szCs w:val="24"/>
        </w:rPr>
        <w:t>Ikke relevant.</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6.3</w:t>
      </w:r>
      <w:r w:rsidRPr="00C84483">
        <w:rPr>
          <w:b/>
          <w:sz w:val="24"/>
          <w:szCs w:val="24"/>
        </w:rPr>
        <w:tab/>
        <w:t>Opbevaringstid</w:t>
      </w:r>
    </w:p>
    <w:p w:rsidR="00DC3109" w:rsidRPr="00C84483" w:rsidRDefault="00DC3109" w:rsidP="00DC3109">
      <w:pPr>
        <w:tabs>
          <w:tab w:val="left" w:pos="851"/>
        </w:tabs>
        <w:ind w:left="851" w:hanging="851"/>
        <w:rPr>
          <w:sz w:val="24"/>
          <w:szCs w:val="24"/>
        </w:rPr>
      </w:pPr>
      <w:r w:rsidRPr="00C84483">
        <w:rPr>
          <w:sz w:val="24"/>
          <w:szCs w:val="24"/>
        </w:rPr>
        <w:tab/>
      </w:r>
      <w:r>
        <w:rPr>
          <w:sz w:val="24"/>
          <w:szCs w:val="24"/>
        </w:rPr>
        <w:t>24 måneder.</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C3109" w:rsidRPr="001734D7" w:rsidRDefault="00DC3109" w:rsidP="00DC3109">
      <w:pPr>
        <w:tabs>
          <w:tab w:val="left" w:pos="851"/>
        </w:tabs>
        <w:ind w:left="851"/>
        <w:rPr>
          <w:spacing w:val="-6"/>
          <w:sz w:val="24"/>
          <w:szCs w:val="24"/>
          <w:lang w:eastAsia="de-DE"/>
        </w:rPr>
      </w:pPr>
      <w:r w:rsidRPr="001734D7">
        <w:rPr>
          <w:sz w:val="24"/>
          <w:szCs w:val="24"/>
          <w:lang w:eastAsia="de-DE"/>
        </w:rPr>
        <w:t>Dette lægemiddel kræver ingen særlige forholdsregler vedrørende opbevaringen.</w:t>
      </w:r>
    </w:p>
    <w:p w:rsidR="00DC3109" w:rsidRPr="00C84483" w:rsidRDefault="00DC3109" w:rsidP="00DC3109">
      <w:pPr>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C3109" w:rsidRPr="00C84483" w:rsidRDefault="001729B1" w:rsidP="00DC3109">
      <w:pPr>
        <w:tabs>
          <w:tab w:val="left" w:pos="851"/>
        </w:tabs>
        <w:ind w:left="851"/>
        <w:rPr>
          <w:sz w:val="24"/>
          <w:szCs w:val="24"/>
          <w:lang w:eastAsia="de-DE"/>
        </w:rPr>
      </w:pPr>
      <w:r>
        <w:rPr>
          <w:sz w:val="24"/>
          <w:szCs w:val="24"/>
          <w:lang w:eastAsia="de-DE"/>
        </w:rPr>
        <w:t>Blister.</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F4409">
        <w:rPr>
          <w:b/>
          <w:sz w:val="24"/>
          <w:szCs w:val="24"/>
        </w:rPr>
        <w:t>bortskaffelse</w:t>
      </w:r>
      <w:r w:rsidRPr="00C84483">
        <w:rPr>
          <w:b/>
          <w:sz w:val="24"/>
          <w:szCs w:val="24"/>
        </w:rPr>
        <w:t xml:space="preserve"> og anden håndtering</w:t>
      </w:r>
    </w:p>
    <w:p w:rsidR="00DC3109" w:rsidRPr="00C84483" w:rsidRDefault="00DC3109" w:rsidP="00DC3109">
      <w:pPr>
        <w:tabs>
          <w:tab w:val="left" w:pos="851"/>
        </w:tabs>
        <w:ind w:left="851"/>
        <w:rPr>
          <w:sz w:val="24"/>
          <w:szCs w:val="24"/>
          <w:lang w:eastAsia="de-DE"/>
        </w:rPr>
      </w:pPr>
      <w:r w:rsidRPr="007512EA">
        <w:rPr>
          <w:sz w:val="24"/>
          <w:szCs w:val="24"/>
          <w:lang w:eastAsia="de-DE"/>
        </w:rPr>
        <w:t>Ingen særlige forholdsregler ved bortskaffelse.</w:t>
      </w:r>
    </w:p>
    <w:p w:rsidR="00DC3109" w:rsidRPr="00C84483" w:rsidRDefault="00DC3109" w:rsidP="00DC3109">
      <w:pPr>
        <w:tabs>
          <w:tab w:val="left" w:pos="851"/>
        </w:tabs>
        <w:ind w:left="851"/>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1729B1" w:rsidRPr="00843B5D" w:rsidRDefault="001729B1" w:rsidP="001729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843B5D">
        <w:rPr>
          <w:spacing w:val="-3"/>
          <w:sz w:val="24"/>
          <w:szCs w:val="24"/>
        </w:rPr>
        <w:t>Orifarm</w:t>
      </w:r>
      <w:proofErr w:type="spellEnd"/>
      <w:r w:rsidRPr="00843B5D">
        <w:rPr>
          <w:spacing w:val="-3"/>
          <w:sz w:val="24"/>
          <w:szCs w:val="24"/>
        </w:rPr>
        <w:t xml:space="preserve"> A/S</w:t>
      </w:r>
    </w:p>
    <w:p w:rsidR="001729B1" w:rsidRPr="00843B5D" w:rsidRDefault="001729B1" w:rsidP="001729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43B5D">
        <w:rPr>
          <w:spacing w:val="-3"/>
          <w:sz w:val="24"/>
          <w:szCs w:val="24"/>
        </w:rPr>
        <w:t>Energivej 15</w:t>
      </w:r>
    </w:p>
    <w:p w:rsidR="001729B1" w:rsidRPr="00843B5D" w:rsidRDefault="001729B1" w:rsidP="001729B1">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843B5D">
        <w:rPr>
          <w:spacing w:val="-3"/>
          <w:sz w:val="24"/>
          <w:szCs w:val="24"/>
        </w:rPr>
        <w:t>5260 Odense S</w:t>
      </w:r>
    </w:p>
    <w:p w:rsidR="00DC3109" w:rsidRPr="00843B5D" w:rsidRDefault="00DC3109" w:rsidP="00DC3109">
      <w:pPr>
        <w:tabs>
          <w:tab w:val="left" w:pos="851"/>
        </w:tabs>
        <w:ind w:left="851"/>
        <w:rPr>
          <w:sz w:val="24"/>
          <w:szCs w:val="24"/>
          <w:lang w:eastAsia="de-DE"/>
        </w:rPr>
      </w:pPr>
    </w:p>
    <w:p w:rsidR="00DC3109" w:rsidRPr="00C84483" w:rsidRDefault="00DC3109" w:rsidP="00DC310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9F4409">
        <w:rPr>
          <w:b/>
          <w:sz w:val="24"/>
          <w:szCs w:val="24"/>
        </w:rPr>
        <w:t>-</w:t>
      </w:r>
      <w:r w:rsidRPr="00C84483">
        <w:rPr>
          <w:b/>
          <w:sz w:val="24"/>
          <w:szCs w:val="24"/>
        </w:rPr>
        <w:t>NUMRE)</w:t>
      </w:r>
    </w:p>
    <w:p w:rsidR="00DC3109" w:rsidRPr="00C84483" w:rsidRDefault="001729B1" w:rsidP="00DC3109">
      <w:pPr>
        <w:tabs>
          <w:tab w:val="left" w:pos="851"/>
        </w:tabs>
        <w:ind w:left="851"/>
        <w:rPr>
          <w:sz w:val="24"/>
          <w:szCs w:val="24"/>
        </w:rPr>
      </w:pPr>
      <w:r>
        <w:rPr>
          <w:sz w:val="24"/>
          <w:szCs w:val="24"/>
        </w:rPr>
        <w:t>69027</w:t>
      </w:r>
    </w:p>
    <w:p w:rsidR="00DC3109" w:rsidRPr="00C84483" w:rsidRDefault="00DC3109" w:rsidP="00DC3109">
      <w:pPr>
        <w:tabs>
          <w:tab w:val="left" w:pos="851"/>
        </w:tabs>
        <w:ind w:left="851"/>
        <w:jc w:val="both"/>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C3109" w:rsidRPr="00C84483" w:rsidRDefault="001729B1" w:rsidP="00DC3109">
      <w:pPr>
        <w:tabs>
          <w:tab w:val="left" w:pos="851"/>
        </w:tabs>
        <w:ind w:left="851"/>
        <w:rPr>
          <w:sz w:val="24"/>
          <w:szCs w:val="24"/>
        </w:rPr>
      </w:pPr>
      <w:r>
        <w:rPr>
          <w:sz w:val="24"/>
          <w:szCs w:val="24"/>
        </w:rPr>
        <w:t>24. februar 2023</w:t>
      </w:r>
    </w:p>
    <w:p w:rsidR="00DC3109" w:rsidRPr="00C84483" w:rsidRDefault="00DC3109" w:rsidP="00DC3109">
      <w:pPr>
        <w:tabs>
          <w:tab w:val="left" w:pos="851"/>
        </w:tabs>
        <w:ind w:left="851"/>
        <w:rPr>
          <w:sz w:val="24"/>
          <w:szCs w:val="24"/>
        </w:rPr>
      </w:pPr>
    </w:p>
    <w:p w:rsidR="00DC3109" w:rsidRPr="00C84483" w:rsidRDefault="00DC3109" w:rsidP="00DC310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C3109" w:rsidRPr="00C84483" w:rsidRDefault="009F4409" w:rsidP="00DC3109">
      <w:pPr>
        <w:tabs>
          <w:tab w:val="left" w:pos="851"/>
        </w:tabs>
        <w:ind w:left="851"/>
        <w:rPr>
          <w:sz w:val="24"/>
          <w:szCs w:val="24"/>
        </w:rPr>
      </w:pPr>
      <w:r w:rsidRPr="009F4409">
        <w:rPr>
          <w:sz w:val="24"/>
          <w:szCs w:val="24"/>
        </w:rPr>
        <w:t>18. august 2023</w:t>
      </w:r>
    </w:p>
    <w:p w:rsidR="00DC3109" w:rsidRPr="005938AC" w:rsidRDefault="00DC3109" w:rsidP="00DC3109"/>
    <w:p w:rsidR="0003527F" w:rsidRPr="00DC3109" w:rsidRDefault="0003527F" w:rsidP="00DC3109"/>
    <w:sectPr w:rsidR="0003527F" w:rsidRPr="00DC310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109" w:rsidRDefault="00DC3109">
      <w:r>
        <w:separator/>
      </w:r>
    </w:p>
  </w:endnote>
  <w:endnote w:type="continuationSeparator" w:id="0">
    <w:p w:rsidR="00DC3109" w:rsidRDefault="00DC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729B1">
      <w:rPr>
        <w:i/>
        <w:noProof/>
        <w:snapToGrid w:val="0"/>
        <w:sz w:val="18"/>
      </w:rPr>
      <w:t>Asacol (Orifarm), tabletter med modificeret udløsning 1600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729B1">
      <w:rPr>
        <w:i/>
        <w:noProof/>
        <w:snapToGrid w:val="0"/>
        <w:sz w:val="18"/>
      </w:rPr>
      <w:t>Asacol (Orifarm), tabletter med modificeret udløsning 1600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109" w:rsidRDefault="00DC3109">
      <w:r>
        <w:separator/>
      </w:r>
    </w:p>
  </w:footnote>
  <w:footnote w:type="continuationSeparator" w:id="0">
    <w:p w:rsidR="00DC3109" w:rsidRDefault="00DC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87EA3"/>
    <w:multiLevelType w:val="hybridMultilevel"/>
    <w:tmpl w:val="161C9AC6"/>
    <w:lvl w:ilvl="0" w:tplc="041D0001">
      <w:start w:val="1"/>
      <w:numFmt w:val="bullet"/>
      <w:lvlText w:val=""/>
      <w:lvlJc w:val="left"/>
      <w:pPr>
        <w:ind w:left="900" w:hanging="360"/>
      </w:pPr>
      <w:rPr>
        <w:rFonts w:ascii="Symbol" w:hAnsi="Symbol" w:hint="default"/>
      </w:rPr>
    </w:lvl>
    <w:lvl w:ilvl="1" w:tplc="041D0003" w:tentative="1">
      <w:start w:val="1"/>
      <w:numFmt w:val="bullet"/>
      <w:lvlText w:val="o"/>
      <w:lvlJc w:val="left"/>
      <w:pPr>
        <w:ind w:left="1620" w:hanging="360"/>
      </w:pPr>
      <w:rPr>
        <w:rFonts w:ascii="Courier New" w:hAnsi="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09"/>
    <w:rsid w:val="00031F27"/>
    <w:rsid w:val="0003527F"/>
    <w:rsid w:val="000607B8"/>
    <w:rsid w:val="000631B2"/>
    <w:rsid w:val="00065C7D"/>
    <w:rsid w:val="00083C60"/>
    <w:rsid w:val="00090F32"/>
    <w:rsid w:val="000B4320"/>
    <w:rsid w:val="000C6CD4"/>
    <w:rsid w:val="0014415E"/>
    <w:rsid w:val="001458BB"/>
    <w:rsid w:val="00145ECF"/>
    <w:rsid w:val="001577E4"/>
    <w:rsid w:val="001729B1"/>
    <w:rsid w:val="001858CA"/>
    <w:rsid w:val="001A7631"/>
    <w:rsid w:val="001C4AEF"/>
    <w:rsid w:val="001D3CC5"/>
    <w:rsid w:val="0023582A"/>
    <w:rsid w:val="00255A0B"/>
    <w:rsid w:val="002D22D8"/>
    <w:rsid w:val="00322BDE"/>
    <w:rsid w:val="00331A74"/>
    <w:rsid w:val="003718A9"/>
    <w:rsid w:val="003F0FBB"/>
    <w:rsid w:val="003F4F73"/>
    <w:rsid w:val="00404760"/>
    <w:rsid w:val="00406EE7"/>
    <w:rsid w:val="00407013"/>
    <w:rsid w:val="00444A0F"/>
    <w:rsid w:val="00454C52"/>
    <w:rsid w:val="00472DBB"/>
    <w:rsid w:val="004A62CC"/>
    <w:rsid w:val="004F3E1A"/>
    <w:rsid w:val="004F5D17"/>
    <w:rsid w:val="004F74AA"/>
    <w:rsid w:val="0054382B"/>
    <w:rsid w:val="00565A74"/>
    <w:rsid w:val="00570CA6"/>
    <w:rsid w:val="005B0036"/>
    <w:rsid w:val="005F5831"/>
    <w:rsid w:val="006545E4"/>
    <w:rsid w:val="00662012"/>
    <w:rsid w:val="00666B01"/>
    <w:rsid w:val="006B1539"/>
    <w:rsid w:val="006B669C"/>
    <w:rsid w:val="006E2BA2"/>
    <w:rsid w:val="006F5621"/>
    <w:rsid w:val="0072489B"/>
    <w:rsid w:val="00783D64"/>
    <w:rsid w:val="00785822"/>
    <w:rsid w:val="007B17FB"/>
    <w:rsid w:val="007E2A00"/>
    <w:rsid w:val="008010F2"/>
    <w:rsid w:val="0084333F"/>
    <w:rsid w:val="00843B5D"/>
    <w:rsid w:val="0088674B"/>
    <w:rsid w:val="00891E81"/>
    <w:rsid w:val="008B2995"/>
    <w:rsid w:val="008C575A"/>
    <w:rsid w:val="008F6A14"/>
    <w:rsid w:val="009202AE"/>
    <w:rsid w:val="00990B23"/>
    <w:rsid w:val="00991594"/>
    <w:rsid w:val="009D66C6"/>
    <w:rsid w:val="009F4409"/>
    <w:rsid w:val="00A075E0"/>
    <w:rsid w:val="00A12059"/>
    <w:rsid w:val="00A33254"/>
    <w:rsid w:val="00A33BC7"/>
    <w:rsid w:val="00A66C7A"/>
    <w:rsid w:val="00A83EB0"/>
    <w:rsid w:val="00A848BA"/>
    <w:rsid w:val="00A96525"/>
    <w:rsid w:val="00AB5B72"/>
    <w:rsid w:val="00AC441A"/>
    <w:rsid w:val="00AD0781"/>
    <w:rsid w:val="00AE29E5"/>
    <w:rsid w:val="00AE5757"/>
    <w:rsid w:val="00B25EB8"/>
    <w:rsid w:val="00B83183"/>
    <w:rsid w:val="00B8332B"/>
    <w:rsid w:val="00BB1239"/>
    <w:rsid w:val="00BC634B"/>
    <w:rsid w:val="00BC7A0B"/>
    <w:rsid w:val="00BF2AE0"/>
    <w:rsid w:val="00C4149B"/>
    <w:rsid w:val="00C41819"/>
    <w:rsid w:val="00C479BF"/>
    <w:rsid w:val="00C84C5B"/>
    <w:rsid w:val="00D8602C"/>
    <w:rsid w:val="00DA2CC3"/>
    <w:rsid w:val="00DA4B7C"/>
    <w:rsid w:val="00DC3109"/>
    <w:rsid w:val="00DD5980"/>
    <w:rsid w:val="00DD6D71"/>
    <w:rsid w:val="00DF32BE"/>
    <w:rsid w:val="00E14F0A"/>
    <w:rsid w:val="00E879C5"/>
    <w:rsid w:val="00EB5778"/>
    <w:rsid w:val="00EE5253"/>
    <w:rsid w:val="00F37237"/>
    <w:rsid w:val="00F510C1"/>
    <w:rsid w:val="00F94443"/>
    <w:rsid w:val="00FA615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8D0A0E-B32C-46FF-9011-1F7FD62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DC3109"/>
    <w:pPr>
      <w:jc w:val="center"/>
    </w:pPr>
    <w:rPr>
      <w:b/>
      <w:sz w:val="24"/>
      <w:lang w:eastAsia="da-DK"/>
    </w:rPr>
  </w:style>
  <w:style w:type="character" w:customStyle="1" w:styleId="TitelTegn">
    <w:name w:val="Titel Tegn"/>
    <w:basedOn w:val="Standardskrifttypeiafsnit"/>
    <w:link w:val="Titel"/>
    <w:rsid w:val="00DC3109"/>
    <w:rPr>
      <w:b/>
      <w:sz w:val="24"/>
    </w:rPr>
  </w:style>
  <w:style w:type="character" w:styleId="Hyperlink">
    <w:name w:val="Hyperlink"/>
    <w:basedOn w:val="Standardskrifttypeiafsnit"/>
    <w:uiPriority w:val="99"/>
    <w:unhideWhenUsed/>
    <w:rsid w:val="008B2995"/>
    <w:rPr>
      <w:color w:val="0563C1" w:themeColor="hyperlink"/>
      <w:u w:val="single"/>
    </w:rPr>
  </w:style>
  <w:style w:type="character" w:styleId="Ulstomtale">
    <w:name w:val="Unresolved Mention"/>
    <w:basedOn w:val="Standardskrifttypeiafsnit"/>
    <w:uiPriority w:val="99"/>
    <w:semiHidden/>
    <w:unhideWhenUsed/>
    <w:rsid w:val="008B2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0</TotalTime>
  <Pages>12</Pages>
  <Words>2679</Words>
  <Characters>17725</Characters>
  <Application>Microsoft Office Word</Application>
  <DocSecurity>0</DocSecurity>
  <Lines>147</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2023085117_x000d_
SPC pkt. 4.4, 4.8 samt overskrifter iht. QRD9</dc:description>
  <cp:lastModifiedBy>Betty Winther Andersen</cp:lastModifiedBy>
  <cp:revision>2</cp:revision>
  <dcterms:created xsi:type="dcterms:W3CDTF">2023-08-30T09:18:00Z</dcterms:created>
  <dcterms:modified xsi:type="dcterms:W3CDTF">2023-08-30T09:18:00Z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