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909A4">
        <w:rPr>
          <w:szCs w:val="24"/>
        </w:rPr>
        <w:t>29. november</w:t>
      </w:r>
      <w:r w:rsidR="00E91E25">
        <w:rPr>
          <w:szCs w:val="24"/>
        </w:rPr>
        <w:t xml:space="preserve"> 2023</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A418CF" w:rsidP="00A418CF">
      <w:pPr>
        <w:tabs>
          <w:tab w:val="left" w:pos="375"/>
          <w:tab w:val="center" w:pos="4819"/>
        </w:tabs>
        <w:rPr>
          <w:b/>
          <w:sz w:val="24"/>
          <w:szCs w:val="24"/>
        </w:rPr>
      </w:pPr>
      <w:r>
        <w:rPr>
          <w:b/>
          <w:sz w:val="24"/>
          <w:szCs w:val="24"/>
        </w:rPr>
        <w:tab/>
      </w:r>
      <w:r>
        <w:rPr>
          <w:b/>
          <w:sz w:val="24"/>
          <w:szCs w:val="24"/>
        </w:rPr>
        <w:tab/>
      </w:r>
      <w:r w:rsidR="009260DE" w:rsidRPr="00C84483">
        <w:rPr>
          <w:b/>
          <w:sz w:val="24"/>
          <w:szCs w:val="24"/>
        </w:rPr>
        <w:t>for</w:t>
      </w:r>
    </w:p>
    <w:p w:rsidR="000B058C" w:rsidRPr="00C84483" w:rsidRDefault="000B058C" w:rsidP="009260DE">
      <w:pPr>
        <w:jc w:val="center"/>
        <w:rPr>
          <w:b/>
          <w:sz w:val="24"/>
          <w:szCs w:val="24"/>
        </w:rPr>
      </w:pPr>
    </w:p>
    <w:p w:rsidR="009260DE" w:rsidRPr="00C84483" w:rsidRDefault="007038C1" w:rsidP="009260DE">
      <w:pPr>
        <w:jc w:val="center"/>
        <w:rPr>
          <w:b/>
          <w:sz w:val="24"/>
          <w:szCs w:val="24"/>
        </w:rPr>
      </w:pPr>
      <w:proofErr w:type="spellStart"/>
      <w:r>
        <w:rPr>
          <w:b/>
          <w:sz w:val="24"/>
          <w:szCs w:val="24"/>
        </w:rPr>
        <w:t>Asacol</w:t>
      </w:r>
      <w:proofErr w:type="spellEnd"/>
      <w:r>
        <w:rPr>
          <w:b/>
          <w:sz w:val="24"/>
          <w:szCs w:val="24"/>
        </w:rPr>
        <w:t>, suppositorier</w:t>
      </w:r>
      <w:r w:rsidR="00D8542B">
        <w:rPr>
          <w:b/>
          <w:sz w:val="24"/>
          <w:szCs w:val="24"/>
        </w:rPr>
        <w:t xml:space="preserve"> 1 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A935CE" w:rsidP="009260DE">
      <w:pPr>
        <w:tabs>
          <w:tab w:val="left" w:pos="851"/>
        </w:tabs>
        <w:ind w:left="851"/>
        <w:rPr>
          <w:sz w:val="24"/>
          <w:szCs w:val="24"/>
        </w:rPr>
      </w:pPr>
      <w:r>
        <w:rPr>
          <w:sz w:val="24"/>
          <w:szCs w:val="24"/>
        </w:rPr>
        <w:t>06697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7038C1" w:rsidP="009260DE">
      <w:pPr>
        <w:tabs>
          <w:tab w:val="left" w:pos="851"/>
        </w:tabs>
        <w:ind w:left="851"/>
        <w:rPr>
          <w:sz w:val="24"/>
          <w:szCs w:val="24"/>
        </w:rPr>
      </w:pPr>
      <w:proofErr w:type="spellStart"/>
      <w:r>
        <w:rPr>
          <w:sz w:val="24"/>
          <w:szCs w:val="24"/>
        </w:rPr>
        <w:t>Asacol</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8484A" w:rsidRDefault="0028484A" w:rsidP="0028484A">
      <w:pPr>
        <w:tabs>
          <w:tab w:val="left" w:pos="851"/>
        </w:tabs>
        <w:ind w:left="851"/>
        <w:rPr>
          <w:sz w:val="24"/>
          <w:szCs w:val="24"/>
        </w:rPr>
      </w:pPr>
      <w:r w:rsidRPr="0028484A">
        <w:rPr>
          <w:sz w:val="24"/>
          <w:szCs w:val="24"/>
        </w:rPr>
        <w:t xml:space="preserve">Hvert suppositorie indeholder 1 g </w:t>
      </w:r>
      <w:proofErr w:type="spellStart"/>
      <w:r w:rsidRPr="0028484A">
        <w:rPr>
          <w:sz w:val="24"/>
          <w:szCs w:val="24"/>
        </w:rPr>
        <w:t>mesalazin</w:t>
      </w:r>
      <w:proofErr w:type="spellEnd"/>
      <w:r w:rsidRPr="0028484A">
        <w:rPr>
          <w:sz w:val="24"/>
          <w:szCs w:val="24"/>
        </w:rPr>
        <w:t>.</w:t>
      </w:r>
    </w:p>
    <w:p w:rsidR="0028484A" w:rsidRPr="0028484A" w:rsidRDefault="0028484A" w:rsidP="0028484A">
      <w:pPr>
        <w:tabs>
          <w:tab w:val="left" w:pos="851"/>
        </w:tabs>
        <w:ind w:left="851"/>
        <w:rPr>
          <w:sz w:val="24"/>
          <w:szCs w:val="24"/>
        </w:rPr>
      </w:pPr>
    </w:p>
    <w:p w:rsidR="0028484A" w:rsidRPr="0028484A" w:rsidRDefault="0028484A" w:rsidP="0028484A">
      <w:pPr>
        <w:tabs>
          <w:tab w:val="left" w:pos="851"/>
        </w:tabs>
        <w:ind w:left="851"/>
        <w:rPr>
          <w:sz w:val="24"/>
          <w:szCs w:val="24"/>
        </w:rPr>
      </w:pPr>
      <w:r w:rsidRPr="0028484A">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73A79" w:rsidRDefault="00A73A79" w:rsidP="00A73A79">
      <w:pPr>
        <w:tabs>
          <w:tab w:val="left" w:pos="-720"/>
        </w:tabs>
        <w:suppressAutoHyphens/>
        <w:ind w:left="851"/>
        <w:rPr>
          <w:spacing w:val="-3"/>
          <w:sz w:val="24"/>
          <w:szCs w:val="24"/>
        </w:rPr>
      </w:pPr>
      <w:r w:rsidRPr="00A73A79">
        <w:rPr>
          <w:spacing w:val="-3"/>
          <w:sz w:val="24"/>
          <w:szCs w:val="24"/>
        </w:rPr>
        <w:t>Suppositorie</w:t>
      </w:r>
      <w:r w:rsidR="00F9088A">
        <w:rPr>
          <w:spacing w:val="-3"/>
          <w:sz w:val="24"/>
          <w:szCs w:val="24"/>
        </w:rPr>
        <w:t>r</w:t>
      </w:r>
    </w:p>
    <w:p w:rsidR="00F9088A" w:rsidRPr="00A73A79" w:rsidRDefault="00F9088A" w:rsidP="00A73A79">
      <w:pPr>
        <w:tabs>
          <w:tab w:val="left" w:pos="-720"/>
        </w:tabs>
        <w:suppressAutoHyphens/>
        <w:ind w:left="851"/>
        <w:rPr>
          <w:spacing w:val="-3"/>
          <w:sz w:val="24"/>
          <w:szCs w:val="24"/>
        </w:rPr>
      </w:pPr>
    </w:p>
    <w:p w:rsidR="00A73A79" w:rsidRPr="00A73A79" w:rsidRDefault="00A73A79" w:rsidP="00A73A79">
      <w:pPr>
        <w:tabs>
          <w:tab w:val="left" w:pos="-720"/>
        </w:tabs>
        <w:suppressAutoHyphens/>
        <w:ind w:left="851"/>
        <w:rPr>
          <w:spacing w:val="-3"/>
          <w:sz w:val="24"/>
          <w:szCs w:val="24"/>
        </w:rPr>
      </w:pPr>
      <w:proofErr w:type="spellStart"/>
      <w:r w:rsidRPr="00A73A79">
        <w:rPr>
          <w:spacing w:val="-3"/>
          <w:sz w:val="24"/>
          <w:szCs w:val="24"/>
        </w:rPr>
        <w:t>Lysebeige</w:t>
      </w:r>
      <w:proofErr w:type="spellEnd"/>
      <w:r w:rsidRPr="00A73A79">
        <w:rPr>
          <w:spacing w:val="-3"/>
          <w:sz w:val="24"/>
          <w:szCs w:val="24"/>
        </w:rPr>
        <w:t>, torpedo-forme</w:t>
      </w:r>
      <w:r w:rsidR="00F9088A">
        <w:rPr>
          <w:spacing w:val="-3"/>
          <w:sz w:val="24"/>
          <w:szCs w:val="24"/>
        </w:rPr>
        <w:t>t</w:t>
      </w:r>
      <w:r w:rsidRPr="00A73A79">
        <w:rPr>
          <w:spacing w:val="-3"/>
          <w:sz w:val="24"/>
          <w:szCs w:val="24"/>
        </w:rPr>
        <w:t xml:space="preserve"> suppositorie, 33</w:t>
      </w:r>
      <w:r w:rsidR="00F9088A">
        <w:rPr>
          <w:spacing w:val="-3"/>
          <w:sz w:val="24"/>
          <w:szCs w:val="24"/>
        </w:rPr>
        <w:t>×</w:t>
      </w:r>
      <w:r w:rsidRPr="00A73A79">
        <w:rPr>
          <w:spacing w:val="-3"/>
          <w:sz w:val="24"/>
          <w:szCs w:val="24"/>
        </w:rPr>
        <w:t>11 mm.</w:t>
      </w:r>
    </w:p>
    <w:p w:rsidR="00A73A79" w:rsidRDefault="00A73A79" w:rsidP="00A73A79">
      <w:pPr>
        <w:tabs>
          <w:tab w:val="left" w:pos="-720"/>
        </w:tabs>
        <w:suppressAutoHyphens/>
        <w:ind w:left="851"/>
        <w:rPr>
          <w:sz w:val="24"/>
          <w:szCs w:val="24"/>
        </w:rPr>
      </w:pPr>
    </w:p>
    <w:p w:rsidR="00F9088A" w:rsidRPr="00A73A79" w:rsidRDefault="00F9088A" w:rsidP="00A73A79">
      <w:pPr>
        <w:tabs>
          <w:tab w:val="left" w:pos="-720"/>
        </w:tabs>
        <w:suppressAutoHyphen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60DE" w:rsidRPr="00C84483" w:rsidRDefault="00521625" w:rsidP="00521625">
      <w:pPr>
        <w:ind w:left="851"/>
        <w:rPr>
          <w:sz w:val="24"/>
          <w:szCs w:val="24"/>
        </w:rPr>
      </w:pPr>
      <w:r w:rsidRPr="00C807DF">
        <w:rPr>
          <w:sz w:val="24"/>
          <w:szCs w:val="24"/>
        </w:rPr>
        <w:t xml:space="preserve">Behandling af akut mild til moderat colitis </w:t>
      </w:r>
      <w:proofErr w:type="spellStart"/>
      <w:r w:rsidRPr="00C807DF">
        <w:rPr>
          <w:sz w:val="24"/>
          <w:szCs w:val="24"/>
        </w:rPr>
        <w:t>ulcerosa</w:t>
      </w:r>
      <w:proofErr w:type="spellEnd"/>
      <w:r w:rsidRPr="00C807DF">
        <w:rPr>
          <w:sz w:val="24"/>
          <w:szCs w:val="24"/>
        </w:rPr>
        <w:t xml:space="preserve">, som er begrænset til endetarmen (ulcerøs </w:t>
      </w:r>
      <w:proofErr w:type="spellStart"/>
      <w:r w:rsidRPr="00C807DF">
        <w:rPr>
          <w:sz w:val="24"/>
          <w:szCs w:val="24"/>
        </w:rPr>
        <w:t>proctitis</w:t>
      </w:r>
      <w:proofErr w:type="spellEnd"/>
      <w:r w:rsidRPr="00C807DF">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91E25">
        <w:rPr>
          <w:b/>
          <w:sz w:val="24"/>
          <w:szCs w:val="24"/>
        </w:rPr>
        <w:t>administration</w:t>
      </w:r>
    </w:p>
    <w:p w:rsidR="00521625" w:rsidRDefault="00521625" w:rsidP="00521625">
      <w:pPr>
        <w:ind w:left="851"/>
        <w:rPr>
          <w:noProof/>
          <w:sz w:val="24"/>
          <w:szCs w:val="24"/>
          <w:u w:val="single"/>
        </w:rPr>
      </w:pPr>
    </w:p>
    <w:p w:rsidR="00521625" w:rsidRPr="00C807DF" w:rsidRDefault="00521625" w:rsidP="00521625">
      <w:pPr>
        <w:ind w:left="851"/>
        <w:rPr>
          <w:noProof/>
          <w:sz w:val="24"/>
          <w:szCs w:val="24"/>
          <w:u w:val="single"/>
        </w:rPr>
      </w:pPr>
      <w:r w:rsidRPr="00C807DF">
        <w:rPr>
          <w:noProof/>
          <w:sz w:val="24"/>
          <w:szCs w:val="24"/>
          <w:u w:val="single"/>
        </w:rPr>
        <w:t>Dosering</w:t>
      </w:r>
    </w:p>
    <w:p w:rsidR="00521625" w:rsidRPr="00C807DF" w:rsidRDefault="00521625" w:rsidP="00521625">
      <w:pPr>
        <w:ind w:left="851"/>
        <w:rPr>
          <w:noProof/>
          <w:sz w:val="24"/>
          <w:szCs w:val="24"/>
        </w:rPr>
      </w:pPr>
    </w:p>
    <w:p w:rsidR="00521625" w:rsidRPr="00C807DF" w:rsidRDefault="00521625" w:rsidP="00521625">
      <w:pPr>
        <w:ind w:left="851"/>
        <w:rPr>
          <w:bCs/>
          <w:i/>
          <w:iCs/>
          <w:sz w:val="24"/>
          <w:szCs w:val="24"/>
        </w:rPr>
      </w:pPr>
      <w:r w:rsidRPr="00C807DF">
        <w:rPr>
          <w:bCs/>
          <w:i/>
          <w:iCs/>
          <w:sz w:val="24"/>
          <w:szCs w:val="24"/>
        </w:rPr>
        <w:t>Voksne og ældre</w:t>
      </w:r>
    </w:p>
    <w:p w:rsidR="00521625" w:rsidRPr="00C807DF" w:rsidRDefault="00191D7C" w:rsidP="00521625">
      <w:pPr>
        <w:ind w:left="851"/>
        <w:rPr>
          <w:bCs/>
          <w:sz w:val="24"/>
          <w:szCs w:val="24"/>
        </w:rPr>
      </w:pPr>
      <w:r>
        <w:rPr>
          <w:sz w:val="24"/>
          <w:szCs w:val="24"/>
        </w:rPr>
        <w:t>Et</w:t>
      </w:r>
      <w:r w:rsidR="00521625" w:rsidRPr="00C807DF">
        <w:rPr>
          <w:sz w:val="24"/>
          <w:szCs w:val="24"/>
        </w:rPr>
        <w:t xml:space="preserve"> </w:t>
      </w:r>
      <w:proofErr w:type="spellStart"/>
      <w:r w:rsidR="00521625" w:rsidRPr="00C807DF">
        <w:rPr>
          <w:sz w:val="24"/>
          <w:szCs w:val="24"/>
        </w:rPr>
        <w:t>Asacol</w:t>
      </w:r>
      <w:proofErr w:type="spellEnd"/>
      <w:r w:rsidR="00521625" w:rsidRPr="00C807DF">
        <w:rPr>
          <w:sz w:val="24"/>
          <w:szCs w:val="24"/>
        </w:rPr>
        <w:t xml:space="preserve"> 1 g suppositorie </w:t>
      </w:r>
      <w:r>
        <w:rPr>
          <w:sz w:val="24"/>
          <w:szCs w:val="24"/>
        </w:rPr>
        <w:t>en</w:t>
      </w:r>
      <w:r w:rsidR="00521625" w:rsidRPr="00C807DF">
        <w:rPr>
          <w:sz w:val="24"/>
          <w:szCs w:val="24"/>
        </w:rPr>
        <w:t xml:space="preserve"> gang </w:t>
      </w:r>
      <w:r w:rsidR="0054480E">
        <w:rPr>
          <w:sz w:val="24"/>
          <w:szCs w:val="24"/>
        </w:rPr>
        <w:t>daglig</w:t>
      </w:r>
      <w:r w:rsidR="00521625" w:rsidRPr="00C807DF">
        <w:rPr>
          <w:sz w:val="24"/>
          <w:szCs w:val="24"/>
        </w:rPr>
        <w:t xml:space="preserve"> (svarende til 1 g </w:t>
      </w:r>
      <w:proofErr w:type="spellStart"/>
      <w:r w:rsidR="00521625" w:rsidRPr="00C807DF">
        <w:rPr>
          <w:sz w:val="24"/>
          <w:szCs w:val="24"/>
        </w:rPr>
        <w:t>mesalazin</w:t>
      </w:r>
      <w:proofErr w:type="spellEnd"/>
      <w:r w:rsidR="00521625" w:rsidRPr="00C807DF">
        <w:rPr>
          <w:sz w:val="24"/>
          <w:szCs w:val="24"/>
        </w:rPr>
        <w:t xml:space="preserve"> </w:t>
      </w:r>
      <w:r w:rsidR="0054480E">
        <w:rPr>
          <w:sz w:val="24"/>
          <w:szCs w:val="24"/>
        </w:rPr>
        <w:t>daglig</w:t>
      </w:r>
      <w:r w:rsidR="00521625" w:rsidRPr="00C807DF">
        <w:rPr>
          <w:sz w:val="24"/>
          <w:szCs w:val="24"/>
        </w:rPr>
        <w:t>) ved indføring i endetarmen.</w:t>
      </w:r>
    </w:p>
    <w:p w:rsidR="00521625" w:rsidRPr="00325E24" w:rsidRDefault="00521625" w:rsidP="00325E24">
      <w:pPr>
        <w:ind w:left="851"/>
        <w:jc w:val="both"/>
        <w:rPr>
          <w:bCs/>
          <w:iCs/>
          <w:sz w:val="24"/>
          <w:szCs w:val="24"/>
        </w:rPr>
      </w:pPr>
    </w:p>
    <w:p w:rsidR="00521625" w:rsidRPr="00C807DF" w:rsidRDefault="00521625" w:rsidP="00521625">
      <w:pPr>
        <w:ind w:left="851"/>
        <w:rPr>
          <w:bCs/>
          <w:i/>
          <w:iCs/>
          <w:sz w:val="24"/>
          <w:szCs w:val="24"/>
        </w:rPr>
      </w:pPr>
      <w:r w:rsidRPr="00C807DF">
        <w:rPr>
          <w:bCs/>
          <w:i/>
          <w:iCs/>
          <w:sz w:val="24"/>
          <w:szCs w:val="24"/>
        </w:rPr>
        <w:t>Pædiatrisk population</w:t>
      </w:r>
    </w:p>
    <w:p w:rsidR="00521625" w:rsidRPr="00C807DF" w:rsidRDefault="00521625" w:rsidP="00521625">
      <w:pPr>
        <w:autoSpaceDE w:val="0"/>
        <w:autoSpaceDN w:val="0"/>
        <w:adjustRightInd w:val="0"/>
        <w:ind w:left="851"/>
        <w:jc w:val="both"/>
        <w:rPr>
          <w:sz w:val="24"/>
          <w:szCs w:val="24"/>
        </w:rPr>
      </w:pPr>
      <w:r w:rsidRPr="00C807DF">
        <w:rPr>
          <w:sz w:val="24"/>
          <w:szCs w:val="24"/>
        </w:rPr>
        <w:t>Der er få erfaringer og kun begrænset dokumentation for virkning hos børn.</w:t>
      </w:r>
    </w:p>
    <w:p w:rsidR="00521625" w:rsidRPr="00C807DF" w:rsidRDefault="00521625" w:rsidP="00521625">
      <w:pPr>
        <w:autoSpaceDE w:val="0"/>
        <w:autoSpaceDN w:val="0"/>
        <w:adjustRightInd w:val="0"/>
        <w:ind w:left="851"/>
        <w:jc w:val="both"/>
        <w:rPr>
          <w:b/>
          <w:i/>
          <w:sz w:val="24"/>
          <w:szCs w:val="24"/>
        </w:rPr>
      </w:pPr>
    </w:p>
    <w:p w:rsidR="00521625" w:rsidRPr="00C807DF" w:rsidRDefault="00521625" w:rsidP="00521625">
      <w:pPr>
        <w:ind w:left="851"/>
        <w:rPr>
          <w:sz w:val="24"/>
          <w:szCs w:val="24"/>
          <w:u w:val="single"/>
        </w:rPr>
      </w:pPr>
      <w:r w:rsidRPr="00C807DF">
        <w:rPr>
          <w:sz w:val="24"/>
          <w:szCs w:val="24"/>
          <w:u w:val="single"/>
        </w:rPr>
        <w:t xml:space="preserve">Administration </w:t>
      </w:r>
    </w:p>
    <w:p w:rsidR="00521625" w:rsidRPr="00C807DF" w:rsidRDefault="00521625" w:rsidP="00521625">
      <w:pPr>
        <w:tabs>
          <w:tab w:val="left" w:pos="567"/>
        </w:tabs>
        <w:ind w:left="851"/>
        <w:rPr>
          <w:sz w:val="24"/>
          <w:szCs w:val="24"/>
        </w:rPr>
      </w:pPr>
      <w:r w:rsidRPr="00C807DF">
        <w:rPr>
          <w:sz w:val="24"/>
          <w:szCs w:val="24"/>
        </w:rPr>
        <w:lastRenderedPageBreak/>
        <w:t xml:space="preserve">Kun til </w:t>
      </w:r>
      <w:proofErr w:type="spellStart"/>
      <w:r w:rsidRPr="00C807DF">
        <w:rPr>
          <w:sz w:val="24"/>
          <w:szCs w:val="24"/>
        </w:rPr>
        <w:t>rektal</w:t>
      </w:r>
      <w:proofErr w:type="spellEnd"/>
      <w:r w:rsidRPr="00C807DF">
        <w:rPr>
          <w:sz w:val="24"/>
          <w:szCs w:val="24"/>
        </w:rPr>
        <w:t xml:space="preserve"> anvendelse.</w:t>
      </w:r>
    </w:p>
    <w:p w:rsidR="00521625" w:rsidRPr="00C807DF" w:rsidRDefault="00521625" w:rsidP="00521625">
      <w:pPr>
        <w:tabs>
          <w:tab w:val="left" w:pos="567"/>
        </w:tabs>
        <w:ind w:left="851"/>
        <w:rPr>
          <w:sz w:val="24"/>
          <w:szCs w:val="24"/>
        </w:rPr>
      </w:pPr>
      <w:proofErr w:type="spellStart"/>
      <w:r w:rsidRPr="00C807DF">
        <w:rPr>
          <w:sz w:val="24"/>
          <w:szCs w:val="24"/>
        </w:rPr>
        <w:t>Asacol</w:t>
      </w:r>
      <w:proofErr w:type="spellEnd"/>
      <w:r w:rsidRPr="00C807DF">
        <w:rPr>
          <w:sz w:val="24"/>
          <w:szCs w:val="24"/>
        </w:rPr>
        <w:t xml:space="preserve"> 1 g suppositorier bør administreres ved sengetid.</w:t>
      </w:r>
    </w:p>
    <w:p w:rsidR="00521625" w:rsidRPr="00C807DF" w:rsidRDefault="00521625" w:rsidP="00521625">
      <w:pPr>
        <w:tabs>
          <w:tab w:val="left" w:pos="567"/>
        </w:tabs>
        <w:ind w:left="851"/>
        <w:rPr>
          <w:sz w:val="24"/>
          <w:szCs w:val="24"/>
        </w:rPr>
      </w:pPr>
      <w:r w:rsidRPr="00C807DF">
        <w:rPr>
          <w:sz w:val="24"/>
          <w:szCs w:val="24"/>
        </w:rPr>
        <w:t xml:space="preserve">Behandling med </w:t>
      </w:r>
      <w:proofErr w:type="spellStart"/>
      <w:r w:rsidRPr="00C807DF">
        <w:rPr>
          <w:sz w:val="24"/>
          <w:szCs w:val="24"/>
        </w:rPr>
        <w:t>Asacol</w:t>
      </w:r>
      <w:proofErr w:type="spellEnd"/>
      <w:r w:rsidRPr="00C807DF">
        <w:rPr>
          <w:sz w:val="24"/>
          <w:szCs w:val="24"/>
        </w:rPr>
        <w:t xml:space="preserve"> 1 g suppositorier skal administreres regelmæssigt og konsekvent for at opnå den ønskede heling.</w:t>
      </w:r>
    </w:p>
    <w:p w:rsidR="00521625" w:rsidRPr="00C807DF" w:rsidRDefault="00521625" w:rsidP="00521625">
      <w:pPr>
        <w:tabs>
          <w:tab w:val="left" w:pos="567"/>
        </w:tabs>
        <w:ind w:left="851"/>
        <w:rPr>
          <w:sz w:val="24"/>
          <w:szCs w:val="24"/>
        </w:rPr>
      </w:pPr>
    </w:p>
    <w:p w:rsidR="00521625" w:rsidRPr="00C807DF" w:rsidRDefault="00521625" w:rsidP="00521625">
      <w:pPr>
        <w:tabs>
          <w:tab w:val="left" w:pos="567"/>
        </w:tabs>
        <w:ind w:left="851"/>
        <w:rPr>
          <w:i/>
          <w:iCs/>
          <w:sz w:val="24"/>
          <w:szCs w:val="24"/>
        </w:rPr>
      </w:pPr>
      <w:r w:rsidRPr="00C807DF">
        <w:rPr>
          <w:i/>
          <w:iCs/>
          <w:sz w:val="24"/>
          <w:szCs w:val="24"/>
        </w:rPr>
        <w:t>Behandlingsvarighed</w:t>
      </w:r>
    </w:p>
    <w:p w:rsidR="00521625" w:rsidRPr="00C807DF" w:rsidRDefault="00521625" w:rsidP="00521625">
      <w:pPr>
        <w:tabs>
          <w:tab w:val="left" w:pos="567"/>
        </w:tabs>
        <w:ind w:left="851"/>
        <w:rPr>
          <w:sz w:val="24"/>
          <w:szCs w:val="24"/>
        </w:rPr>
      </w:pPr>
      <w:r w:rsidRPr="00C807DF">
        <w:rPr>
          <w:sz w:val="24"/>
          <w:szCs w:val="24"/>
        </w:rPr>
        <w:t>Behandlingsvarigheden fastsættes af lægen.</w:t>
      </w:r>
    </w:p>
    <w:p w:rsidR="00521625" w:rsidRPr="00C807DF" w:rsidRDefault="00521625" w:rsidP="00521625">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BB1906" w:rsidRPr="00C807DF" w:rsidRDefault="00BB1906" w:rsidP="00BB1906">
      <w:pPr>
        <w:tabs>
          <w:tab w:val="left" w:pos="567"/>
        </w:tabs>
        <w:ind w:left="851"/>
        <w:rPr>
          <w:sz w:val="24"/>
          <w:szCs w:val="24"/>
        </w:rPr>
      </w:pPr>
      <w:proofErr w:type="spellStart"/>
      <w:r w:rsidRPr="00C807DF">
        <w:rPr>
          <w:sz w:val="24"/>
          <w:szCs w:val="24"/>
        </w:rPr>
        <w:t>Asacol</w:t>
      </w:r>
      <w:proofErr w:type="spellEnd"/>
      <w:r w:rsidRPr="00C807DF">
        <w:rPr>
          <w:sz w:val="24"/>
          <w:szCs w:val="24"/>
        </w:rPr>
        <w:t xml:space="preserve"> 1 g suppositorier er kontraindicerede hos patienter med:</w:t>
      </w:r>
    </w:p>
    <w:p w:rsidR="00BB1906" w:rsidRPr="00C807DF" w:rsidRDefault="00BB1906" w:rsidP="00BB1906">
      <w:pPr>
        <w:ind w:left="1134" w:hanging="283"/>
        <w:rPr>
          <w:sz w:val="24"/>
          <w:szCs w:val="24"/>
        </w:rPr>
      </w:pPr>
      <w:r w:rsidRPr="00C807DF">
        <w:rPr>
          <w:sz w:val="24"/>
          <w:szCs w:val="24"/>
        </w:rPr>
        <w:t xml:space="preserve">- </w:t>
      </w:r>
      <w:r w:rsidRPr="00C807DF">
        <w:rPr>
          <w:sz w:val="24"/>
          <w:szCs w:val="24"/>
        </w:rPr>
        <w:tab/>
        <w:t xml:space="preserve">overfølsomhed over for </w:t>
      </w:r>
      <w:proofErr w:type="spellStart"/>
      <w:r w:rsidRPr="00C807DF">
        <w:rPr>
          <w:sz w:val="24"/>
          <w:szCs w:val="24"/>
        </w:rPr>
        <w:t>salicylater</w:t>
      </w:r>
      <w:proofErr w:type="spellEnd"/>
      <w:r w:rsidRPr="00C807DF">
        <w:rPr>
          <w:sz w:val="24"/>
          <w:szCs w:val="24"/>
        </w:rPr>
        <w:t xml:space="preserve"> eller over for hjælpestoffet anført i pkt. 6.1</w:t>
      </w:r>
    </w:p>
    <w:p w:rsidR="009260DE" w:rsidRPr="00C84483" w:rsidRDefault="00BB1906" w:rsidP="00BB1906">
      <w:pPr>
        <w:ind w:left="1134" w:hanging="283"/>
        <w:rPr>
          <w:sz w:val="24"/>
          <w:szCs w:val="24"/>
        </w:rPr>
      </w:pPr>
      <w:r w:rsidRPr="00C807DF">
        <w:rPr>
          <w:sz w:val="24"/>
          <w:szCs w:val="24"/>
        </w:rPr>
        <w:t xml:space="preserve">- </w:t>
      </w:r>
      <w:r w:rsidRPr="00C807DF">
        <w:rPr>
          <w:sz w:val="24"/>
          <w:szCs w:val="24"/>
        </w:rPr>
        <w:tab/>
        <w:t>svært nedsat lever- eller nyrefunktion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840CC" w:rsidRPr="00C807DF" w:rsidRDefault="003840CC" w:rsidP="003840CC">
      <w:pPr>
        <w:ind w:left="851"/>
        <w:rPr>
          <w:noProof/>
          <w:sz w:val="24"/>
          <w:szCs w:val="24"/>
        </w:rPr>
      </w:pPr>
      <w:r w:rsidRPr="00C807DF">
        <w:rPr>
          <w:sz w:val="24"/>
          <w:szCs w:val="24"/>
        </w:rPr>
        <w:t>Der bør tages blodprøver (</w:t>
      </w:r>
      <w:proofErr w:type="spellStart"/>
      <w:r w:rsidRPr="00C807DF">
        <w:rPr>
          <w:sz w:val="24"/>
          <w:szCs w:val="24"/>
        </w:rPr>
        <w:t>differentialtælling</w:t>
      </w:r>
      <w:proofErr w:type="spellEnd"/>
      <w:r w:rsidRPr="00C807DF">
        <w:rPr>
          <w:sz w:val="24"/>
          <w:szCs w:val="24"/>
        </w:rPr>
        <w:t xml:space="preserve">; leverfunktionsparametre såsom ALAT eller ASAT; </w:t>
      </w:r>
      <w:proofErr w:type="spellStart"/>
      <w:r w:rsidRPr="00C807DF">
        <w:rPr>
          <w:sz w:val="24"/>
          <w:szCs w:val="24"/>
        </w:rPr>
        <w:t>serumkreatinin</w:t>
      </w:r>
      <w:proofErr w:type="spellEnd"/>
      <w:r w:rsidRPr="00C807DF">
        <w:rPr>
          <w:sz w:val="24"/>
          <w:szCs w:val="24"/>
        </w:rPr>
        <w:t>) og urinprøver (urinstrimler) før og under behandlingen efter den behandlende læges skøn. Som retningslinje anbefales det at tage opfølgende prøver 14 dage efter opstart af behandlingen og herefter yderligere to til tre prøver med 4 ugers mellemrum.</w:t>
      </w:r>
    </w:p>
    <w:p w:rsidR="003840CC" w:rsidRPr="00C807DF" w:rsidRDefault="003840CC" w:rsidP="003840CC">
      <w:pPr>
        <w:ind w:left="851"/>
        <w:rPr>
          <w:noProof/>
          <w:sz w:val="24"/>
          <w:szCs w:val="24"/>
        </w:rPr>
      </w:pPr>
      <w:r w:rsidRPr="00C807DF">
        <w:rPr>
          <w:sz w:val="24"/>
          <w:szCs w:val="24"/>
        </w:rPr>
        <w:t>Hvis resultaterne er normale, bør der gennemføres opfølgende prøver hver 3. måned. Hvis der opstår yderligere symptomer, bør disse prøver gennemføres med det samme. Der bør udvises forsigtighed hos patienter med nedsat leverfunktion.</w:t>
      </w:r>
    </w:p>
    <w:p w:rsidR="003840CC" w:rsidRPr="00C807DF" w:rsidRDefault="003840CC" w:rsidP="003840CC">
      <w:pPr>
        <w:ind w:left="851"/>
        <w:rPr>
          <w:noProof/>
          <w:sz w:val="24"/>
          <w:szCs w:val="24"/>
        </w:rPr>
      </w:pPr>
    </w:p>
    <w:p w:rsidR="003840CC" w:rsidRPr="00C807DF" w:rsidRDefault="003840CC" w:rsidP="003840CC">
      <w:pPr>
        <w:ind w:left="851"/>
        <w:rPr>
          <w:noProof/>
          <w:sz w:val="24"/>
          <w:szCs w:val="24"/>
        </w:rPr>
      </w:pPr>
      <w:proofErr w:type="spellStart"/>
      <w:r w:rsidRPr="00C807DF">
        <w:rPr>
          <w:sz w:val="24"/>
          <w:szCs w:val="24"/>
        </w:rPr>
        <w:t>Asacol</w:t>
      </w:r>
      <w:proofErr w:type="spellEnd"/>
      <w:r w:rsidRPr="00C807DF">
        <w:rPr>
          <w:sz w:val="24"/>
          <w:szCs w:val="24"/>
        </w:rPr>
        <w:t xml:space="preserve"> 1 g suppositorier bør ikke anvendes hos patienter med nedsat nyrefunktion.</w:t>
      </w:r>
    </w:p>
    <w:p w:rsidR="003840CC" w:rsidRPr="00C807DF" w:rsidRDefault="003840CC" w:rsidP="003840CC">
      <w:pPr>
        <w:ind w:left="851"/>
        <w:rPr>
          <w:noProof/>
          <w:sz w:val="24"/>
          <w:szCs w:val="24"/>
        </w:rPr>
      </w:pPr>
      <w:proofErr w:type="spellStart"/>
      <w:r w:rsidRPr="00C807DF">
        <w:rPr>
          <w:sz w:val="24"/>
          <w:szCs w:val="24"/>
        </w:rPr>
        <w:t>Mesalazin</w:t>
      </w:r>
      <w:proofErr w:type="spellEnd"/>
      <w:r w:rsidRPr="00C807DF">
        <w:rPr>
          <w:sz w:val="24"/>
          <w:szCs w:val="24"/>
        </w:rPr>
        <w:t>-fremkaldt nyretoksicitet bør overvejes, hvis nyrefunktionen forringes under behandlingen.</w:t>
      </w:r>
    </w:p>
    <w:p w:rsidR="003840CC" w:rsidRPr="00C807DF" w:rsidRDefault="003840CC" w:rsidP="003840CC">
      <w:pPr>
        <w:ind w:left="851"/>
        <w:rPr>
          <w:noProof/>
          <w:sz w:val="24"/>
          <w:szCs w:val="24"/>
        </w:rPr>
      </w:pPr>
    </w:p>
    <w:p w:rsidR="003840CC" w:rsidRPr="00C807DF" w:rsidRDefault="003840CC" w:rsidP="003840CC">
      <w:pPr>
        <w:ind w:left="851"/>
        <w:rPr>
          <w:noProof/>
          <w:sz w:val="24"/>
          <w:szCs w:val="24"/>
        </w:rPr>
      </w:pPr>
      <w:r w:rsidRPr="00C807DF">
        <w:rPr>
          <w:sz w:val="24"/>
          <w:szCs w:val="24"/>
        </w:rPr>
        <w:t xml:space="preserve">Der er indberettet tilfælde af </w:t>
      </w:r>
      <w:proofErr w:type="spellStart"/>
      <w:r w:rsidRPr="00C807DF">
        <w:rPr>
          <w:sz w:val="24"/>
          <w:szCs w:val="24"/>
        </w:rPr>
        <w:t>nephrolithiasis</w:t>
      </w:r>
      <w:proofErr w:type="spellEnd"/>
      <w:r w:rsidRPr="00C807DF">
        <w:rPr>
          <w:sz w:val="24"/>
          <w:szCs w:val="24"/>
        </w:rPr>
        <w:t xml:space="preserve"> ved brug af </w:t>
      </w:r>
      <w:proofErr w:type="spellStart"/>
      <w:r w:rsidRPr="00C807DF">
        <w:rPr>
          <w:sz w:val="24"/>
          <w:szCs w:val="24"/>
        </w:rPr>
        <w:t>mesalazin</w:t>
      </w:r>
      <w:proofErr w:type="spellEnd"/>
      <w:r w:rsidRPr="00C807DF">
        <w:rPr>
          <w:sz w:val="24"/>
          <w:szCs w:val="24"/>
        </w:rPr>
        <w:t>, herunder sten bestående af</w:t>
      </w:r>
      <w:r>
        <w:rPr>
          <w:sz w:val="24"/>
          <w:szCs w:val="24"/>
        </w:rPr>
        <w:t xml:space="preserve"> </w:t>
      </w:r>
      <w:r w:rsidRPr="00C807DF">
        <w:rPr>
          <w:sz w:val="24"/>
          <w:szCs w:val="24"/>
        </w:rPr>
        <w:t xml:space="preserve">100 % </w:t>
      </w:r>
      <w:proofErr w:type="spellStart"/>
      <w:r w:rsidRPr="00C807DF">
        <w:rPr>
          <w:sz w:val="24"/>
          <w:szCs w:val="24"/>
        </w:rPr>
        <w:t>mesalazin</w:t>
      </w:r>
      <w:proofErr w:type="spellEnd"/>
      <w:r w:rsidRPr="00C807DF">
        <w:rPr>
          <w:sz w:val="24"/>
          <w:szCs w:val="24"/>
        </w:rPr>
        <w:t>. Der bør tilsikres, at patienten indtager tilstrækkelig væske under behandlingen.</w:t>
      </w:r>
    </w:p>
    <w:p w:rsidR="003840CC" w:rsidRPr="00C807DF" w:rsidRDefault="003840CC" w:rsidP="003840CC">
      <w:pPr>
        <w:ind w:left="851"/>
        <w:rPr>
          <w:noProof/>
          <w:sz w:val="24"/>
          <w:szCs w:val="24"/>
        </w:rPr>
      </w:pPr>
    </w:p>
    <w:p w:rsidR="003840CC" w:rsidRPr="00C807DF" w:rsidRDefault="003840CC" w:rsidP="003840CC">
      <w:pPr>
        <w:ind w:left="851"/>
        <w:rPr>
          <w:noProof/>
          <w:sz w:val="24"/>
          <w:szCs w:val="24"/>
        </w:rPr>
      </w:pPr>
      <w:r w:rsidRPr="00C807DF">
        <w:rPr>
          <w:sz w:val="24"/>
          <w:szCs w:val="24"/>
        </w:rPr>
        <w:t xml:space="preserve">Patienter med lungesygdom, især astma, bør monitoreres meget nøje under behandlingen med </w:t>
      </w:r>
      <w:proofErr w:type="spellStart"/>
      <w:r w:rsidRPr="00C807DF">
        <w:rPr>
          <w:sz w:val="24"/>
          <w:szCs w:val="24"/>
        </w:rPr>
        <w:t>Asacol</w:t>
      </w:r>
      <w:proofErr w:type="spellEnd"/>
      <w:r w:rsidRPr="00C807DF">
        <w:rPr>
          <w:sz w:val="24"/>
          <w:szCs w:val="24"/>
        </w:rPr>
        <w:t xml:space="preserve"> 1 g suppositorier.</w:t>
      </w:r>
    </w:p>
    <w:p w:rsidR="003840CC" w:rsidRPr="00C807DF" w:rsidRDefault="003840CC" w:rsidP="003840CC">
      <w:pPr>
        <w:ind w:left="851"/>
        <w:rPr>
          <w:noProof/>
          <w:sz w:val="24"/>
          <w:szCs w:val="24"/>
        </w:rPr>
      </w:pPr>
    </w:p>
    <w:p w:rsidR="00E91E25" w:rsidRPr="00C807DF" w:rsidRDefault="00E91E25" w:rsidP="00E91E25">
      <w:pPr>
        <w:ind w:left="851"/>
        <w:rPr>
          <w:sz w:val="24"/>
          <w:szCs w:val="24"/>
        </w:rPr>
      </w:pPr>
      <w:r w:rsidRPr="00C807DF">
        <w:rPr>
          <w:sz w:val="24"/>
          <w:szCs w:val="24"/>
        </w:rPr>
        <w:t xml:space="preserve">Patienter, der tidligere har oplevet bivirkninger ved </w:t>
      </w:r>
      <w:proofErr w:type="spellStart"/>
      <w:r w:rsidRPr="00C807DF">
        <w:rPr>
          <w:sz w:val="24"/>
          <w:szCs w:val="24"/>
        </w:rPr>
        <w:t>sulfasalazin</w:t>
      </w:r>
      <w:proofErr w:type="spellEnd"/>
      <w:r w:rsidRPr="00C807DF">
        <w:rPr>
          <w:sz w:val="24"/>
          <w:szCs w:val="24"/>
        </w:rPr>
        <w:t xml:space="preserve">-præparater, bør overvåges tæt, når behandlingen med </w:t>
      </w:r>
      <w:proofErr w:type="spellStart"/>
      <w:r w:rsidRPr="00C807DF">
        <w:rPr>
          <w:sz w:val="24"/>
          <w:szCs w:val="24"/>
        </w:rPr>
        <w:t>Asacol</w:t>
      </w:r>
      <w:proofErr w:type="spellEnd"/>
      <w:r w:rsidRPr="00C807DF">
        <w:rPr>
          <w:sz w:val="24"/>
          <w:szCs w:val="24"/>
        </w:rPr>
        <w:t xml:space="preserve"> 1 g suppositorier påbegyndes. Hvis </w:t>
      </w:r>
      <w:proofErr w:type="spellStart"/>
      <w:r w:rsidRPr="00C807DF">
        <w:rPr>
          <w:sz w:val="24"/>
          <w:szCs w:val="24"/>
        </w:rPr>
        <w:t>Asacol</w:t>
      </w:r>
      <w:proofErr w:type="spellEnd"/>
      <w:r w:rsidRPr="00C807DF">
        <w:rPr>
          <w:sz w:val="24"/>
          <w:szCs w:val="24"/>
        </w:rPr>
        <w:t xml:space="preserve"> 1 g suppositorier forårsager akutte </w:t>
      </w:r>
      <w:proofErr w:type="spellStart"/>
      <w:r w:rsidRPr="00C807DF">
        <w:rPr>
          <w:sz w:val="24"/>
          <w:szCs w:val="24"/>
        </w:rPr>
        <w:t>intoleransreaktioner</w:t>
      </w:r>
      <w:proofErr w:type="spellEnd"/>
      <w:r w:rsidRPr="00C807DF">
        <w:rPr>
          <w:sz w:val="24"/>
          <w:szCs w:val="24"/>
        </w:rPr>
        <w:t>, såsom mavekramper, akutte mavesmerter, feber, kraftig hovedpine og udslæt, bør behandlingen straks seponeres.</w:t>
      </w:r>
    </w:p>
    <w:p w:rsidR="00E91E25" w:rsidRDefault="00E91E25" w:rsidP="00E91E25">
      <w:pPr>
        <w:ind w:left="851"/>
        <w:rPr>
          <w:sz w:val="24"/>
          <w:szCs w:val="24"/>
        </w:rPr>
      </w:pPr>
    </w:p>
    <w:p w:rsidR="00E91E25" w:rsidRPr="00486077" w:rsidRDefault="00E91E25" w:rsidP="00E91E25">
      <w:pPr>
        <w:autoSpaceDE w:val="0"/>
        <w:autoSpaceDN w:val="0"/>
        <w:adjustRightInd w:val="0"/>
        <w:ind w:left="851"/>
        <w:rPr>
          <w:sz w:val="24"/>
          <w:szCs w:val="24"/>
        </w:rPr>
      </w:pPr>
      <w:proofErr w:type="spellStart"/>
      <w:r w:rsidRPr="00486077">
        <w:rPr>
          <w:sz w:val="24"/>
          <w:szCs w:val="24"/>
        </w:rPr>
        <w:t>Mesalazin</w:t>
      </w:r>
      <w:proofErr w:type="spellEnd"/>
      <w:r w:rsidRPr="00486077">
        <w:rPr>
          <w:sz w:val="24"/>
          <w:szCs w:val="24"/>
        </w:rPr>
        <w:t xml:space="preserve"> kan forårsage </w:t>
      </w:r>
      <w:proofErr w:type="spellStart"/>
      <w:r w:rsidRPr="00486077">
        <w:rPr>
          <w:sz w:val="24"/>
          <w:szCs w:val="24"/>
        </w:rPr>
        <w:t>rød-brun</w:t>
      </w:r>
      <w:proofErr w:type="spellEnd"/>
      <w:r w:rsidRPr="00486077">
        <w:rPr>
          <w:sz w:val="24"/>
          <w:szCs w:val="24"/>
        </w:rPr>
        <w:t xml:space="preserve"> misfarvning af urinen efter kontakt med</w:t>
      </w:r>
      <w:r>
        <w:rPr>
          <w:sz w:val="24"/>
          <w:szCs w:val="24"/>
        </w:rPr>
        <w:t xml:space="preserve"> </w:t>
      </w:r>
      <w:proofErr w:type="spellStart"/>
      <w:r w:rsidRPr="00486077">
        <w:rPr>
          <w:sz w:val="24"/>
          <w:szCs w:val="24"/>
        </w:rPr>
        <w:t>natriumhypoklorit</w:t>
      </w:r>
      <w:proofErr w:type="spellEnd"/>
      <w:r w:rsidRPr="00486077">
        <w:rPr>
          <w:sz w:val="24"/>
          <w:szCs w:val="24"/>
        </w:rPr>
        <w:t xml:space="preserve"> blegemiddel (</w:t>
      </w:r>
      <w:proofErr w:type="spellStart"/>
      <w:r w:rsidRPr="00486077">
        <w:rPr>
          <w:sz w:val="24"/>
          <w:szCs w:val="24"/>
        </w:rPr>
        <w:t>fex</w:t>
      </w:r>
      <w:proofErr w:type="spellEnd"/>
      <w:r w:rsidRPr="00486077">
        <w:rPr>
          <w:sz w:val="24"/>
          <w:szCs w:val="24"/>
        </w:rPr>
        <w:t>. i toiletter der er blevet renset med</w:t>
      </w:r>
      <w:r>
        <w:rPr>
          <w:sz w:val="24"/>
          <w:szCs w:val="24"/>
        </w:rPr>
        <w:t xml:space="preserve"> </w:t>
      </w:r>
      <w:proofErr w:type="spellStart"/>
      <w:r w:rsidRPr="00486077">
        <w:rPr>
          <w:sz w:val="24"/>
          <w:szCs w:val="24"/>
        </w:rPr>
        <w:t>natriumhypoklorit</w:t>
      </w:r>
      <w:proofErr w:type="spellEnd"/>
      <w:r w:rsidRPr="00486077">
        <w:rPr>
          <w:sz w:val="24"/>
          <w:szCs w:val="24"/>
        </w:rPr>
        <w:t xml:space="preserve"> som findes i nogle former af blegemidler)</w:t>
      </w:r>
      <w:r>
        <w:rPr>
          <w:sz w:val="24"/>
          <w:szCs w:val="24"/>
        </w:rPr>
        <w:t>.</w:t>
      </w:r>
    </w:p>
    <w:p w:rsidR="00E91E25" w:rsidRPr="00C807DF" w:rsidRDefault="00E91E25" w:rsidP="00E91E25">
      <w:pPr>
        <w:ind w:left="851"/>
        <w:rPr>
          <w:sz w:val="24"/>
          <w:szCs w:val="24"/>
        </w:rPr>
      </w:pPr>
    </w:p>
    <w:p w:rsidR="00E91E25" w:rsidRPr="00C807DF" w:rsidRDefault="00E91E25" w:rsidP="00E91E25">
      <w:pPr>
        <w:ind w:left="851"/>
        <w:rPr>
          <w:noProof/>
          <w:sz w:val="24"/>
          <w:szCs w:val="24"/>
          <w:u w:val="single"/>
          <w:lang w:val="sv-SE"/>
        </w:rPr>
      </w:pPr>
      <w:r w:rsidRPr="00C807DF">
        <w:rPr>
          <w:noProof/>
          <w:sz w:val="24"/>
          <w:szCs w:val="24"/>
          <w:u w:val="single"/>
          <w:lang w:val="sv-SE"/>
        </w:rPr>
        <w:t xml:space="preserve">Svære kutane bivirkninger </w:t>
      </w:r>
    </w:p>
    <w:p w:rsidR="00E91E25" w:rsidRPr="00486077" w:rsidRDefault="00E91E25" w:rsidP="00E91E25">
      <w:pPr>
        <w:autoSpaceDE w:val="0"/>
        <w:autoSpaceDN w:val="0"/>
        <w:adjustRightInd w:val="0"/>
        <w:ind w:firstLine="851"/>
        <w:rPr>
          <w:noProof/>
          <w:sz w:val="24"/>
          <w:szCs w:val="24"/>
          <w:lang w:val="sv-SE"/>
        </w:rPr>
      </w:pPr>
      <w:r w:rsidRPr="00C807DF">
        <w:rPr>
          <w:noProof/>
          <w:sz w:val="24"/>
          <w:szCs w:val="24"/>
          <w:lang w:val="sv-SE"/>
        </w:rPr>
        <w:t xml:space="preserve">Der er rapporteret om svære kutane bivirkninger (SCARs), herunder </w:t>
      </w:r>
      <w:r w:rsidRPr="00486077">
        <w:rPr>
          <w:noProof/>
          <w:sz w:val="24"/>
          <w:szCs w:val="24"/>
          <w:lang w:val="sv-SE"/>
        </w:rPr>
        <w:t>lægemiddelreaktionen</w:t>
      </w:r>
    </w:p>
    <w:p w:rsidR="00E91E25" w:rsidRPr="00C807DF" w:rsidRDefault="00E91E25" w:rsidP="00E91E25">
      <w:pPr>
        <w:ind w:left="851"/>
        <w:rPr>
          <w:noProof/>
          <w:sz w:val="24"/>
          <w:szCs w:val="24"/>
          <w:lang w:val="sv-SE"/>
        </w:rPr>
      </w:pPr>
      <w:r w:rsidRPr="00486077">
        <w:rPr>
          <w:noProof/>
          <w:sz w:val="24"/>
          <w:szCs w:val="24"/>
          <w:lang w:val="sv-SE"/>
        </w:rPr>
        <w:t>eosinofili og systemiske symptomer (DRESS),</w:t>
      </w:r>
      <w:r>
        <w:rPr>
          <w:rFonts w:ascii="Verdana" w:hAnsi="Verdana" w:cs="Verdana"/>
          <w:b/>
          <w:bCs/>
          <w:sz w:val="18"/>
          <w:szCs w:val="18"/>
          <w:lang w:val="sv-SE" w:eastAsia="da-DK"/>
        </w:rPr>
        <w:t xml:space="preserve"> </w:t>
      </w:r>
      <w:r w:rsidRPr="00C807DF">
        <w:rPr>
          <w:noProof/>
          <w:sz w:val="24"/>
          <w:szCs w:val="24"/>
          <w:lang w:val="sv-SE"/>
        </w:rPr>
        <w:t xml:space="preserve">Stevens-Johnsons syndrom (SJS) og toksisk epidermal nekrolyse (TEN), i forbindelse med mesalazin-behandling. </w:t>
      </w:r>
    </w:p>
    <w:p w:rsidR="00E91E25" w:rsidRPr="00C84483" w:rsidRDefault="00E91E25" w:rsidP="00E91E25">
      <w:pPr>
        <w:ind w:left="851"/>
        <w:rPr>
          <w:noProof/>
          <w:sz w:val="24"/>
          <w:szCs w:val="24"/>
        </w:rPr>
      </w:pPr>
      <w:r w:rsidRPr="00C807DF">
        <w:rPr>
          <w:noProof/>
          <w:sz w:val="24"/>
          <w:szCs w:val="24"/>
          <w:lang w:val="sv-SE"/>
        </w:rPr>
        <w:t>Mesalazin bør seponeres ved de første tegn og symptomer på svære hudreaktioner, f.eks. hududslæt, slimhindelæsioner eller andre tegn på overfølsomhed.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260DE" w:rsidRPr="004B48C7" w:rsidRDefault="004B48C7" w:rsidP="004B48C7">
      <w:pPr>
        <w:ind w:left="851"/>
        <w:rPr>
          <w:noProof/>
          <w:sz w:val="24"/>
          <w:szCs w:val="24"/>
          <w:u w:val="single"/>
        </w:rPr>
      </w:pPr>
      <w:r w:rsidRPr="00C807DF">
        <w:rPr>
          <w:sz w:val="24"/>
          <w:szCs w:val="24"/>
        </w:rPr>
        <w:lastRenderedPageBreak/>
        <w:t xml:space="preserve">Der er ikke udført specifikke interaktionsstudier. Hos patienter, som er i samtidig behandling med </w:t>
      </w:r>
      <w:proofErr w:type="spellStart"/>
      <w:r w:rsidRPr="00C807DF">
        <w:rPr>
          <w:sz w:val="24"/>
          <w:szCs w:val="24"/>
        </w:rPr>
        <w:t>azathioprin</w:t>
      </w:r>
      <w:proofErr w:type="spellEnd"/>
      <w:r w:rsidRPr="00C807DF">
        <w:rPr>
          <w:sz w:val="24"/>
          <w:szCs w:val="24"/>
        </w:rPr>
        <w:t xml:space="preserve">, 6-mercaptopurin eller thioguanin, bør der tages højde for, at den </w:t>
      </w:r>
      <w:proofErr w:type="spellStart"/>
      <w:r w:rsidRPr="00C807DF">
        <w:rPr>
          <w:sz w:val="24"/>
          <w:szCs w:val="24"/>
        </w:rPr>
        <w:t>myelosuppressive</w:t>
      </w:r>
      <w:proofErr w:type="spellEnd"/>
      <w:r w:rsidRPr="00C807DF">
        <w:rPr>
          <w:sz w:val="24"/>
          <w:szCs w:val="24"/>
        </w:rPr>
        <w:t xml:space="preserve"> virkning af </w:t>
      </w:r>
      <w:proofErr w:type="spellStart"/>
      <w:r w:rsidRPr="00C807DF">
        <w:rPr>
          <w:sz w:val="24"/>
          <w:szCs w:val="24"/>
        </w:rPr>
        <w:t>azathioprin</w:t>
      </w:r>
      <w:proofErr w:type="spellEnd"/>
      <w:r w:rsidRPr="00C807DF">
        <w:rPr>
          <w:sz w:val="24"/>
          <w:szCs w:val="24"/>
        </w:rPr>
        <w:t xml:space="preserve">, 6-mercaptopurin eller thioguanin kan være forøget. Der er svag evidens for, at </w:t>
      </w:r>
      <w:proofErr w:type="spellStart"/>
      <w:r w:rsidRPr="00C807DF">
        <w:rPr>
          <w:sz w:val="24"/>
          <w:szCs w:val="24"/>
        </w:rPr>
        <w:t>mesalazin</w:t>
      </w:r>
      <w:proofErr w:type="spellEnd"/>
      <w:r w:rsidRPr="00C807DF">
        <w:rPr>
          <w:sz w:val="24"/>
          <w:szCs w:val="24"/>
        </w:rPr>
        <w:t xml:space="preserve"> kan reducere den antikoagulerende virkning af </w:t>
      </w:r>
      <w:proofErr w:type="spellStart"/>
      <w:r w:rsidRPr="00C807DF">
        <w:rPr>
          <w:sz w:val="24"/>
          <w:szCs w:val="24"/>
        </w:rPr>
        <w:t>warfarin</w:t>
      </w:r>
      <w:proofErr w:type="spellEnd"/>
      <w:r w:rsidRPr="00C807DF">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E91E25">
        <w:rPr>
          <w:b/>
          <w:sz w:val="24"/>
          <w:szCs w:val="24"/>
        </w:rPr>
        <w:t>Fertilitet, g</w:t>
      </w:r>
      <w:r w:rsidRPr="00C84483">
        <w:rPr>
          <w:b/>
          <w:sz w:val="24"/>
          <w:szCs w:val="24"/>
        </w:rPr>
        <w:t>raviditet og amning</w:t>
      </w:r>
    </w:p>
    <w:p w:rsidR="004B48C7" w:rsidRDefault="004B48C7" w:rsidP="004B48C7">
      <w:pPr>
        <w:tabs>
          <w:tab w:val="left" w:pos="851"/>
        </w:tabs>
        <w:ind w:left="851"/>
        <w:rPr>
          <w:sz w:val="24"/>
          <w:szCs w:val="24"/>
          <w:u w:val="single"/>
        </w:rPr>
      </w:pPr>
    </w:p>
    <w:p w:rsidR="004B48C7" w:rsidRPr="004B48C7" w:rsidRDefault="004B48C7" w:rsidP="004B48C7">
      <w:pPr>
        <w:tabs>
          <w:tab w:val="left" w:pos="851"/>
        </w:tabs>
        <w:ind w:left="851"/>
        <w:rPr>
          <w:sz w:val="24"/>
          <w:szCs w:val="24"/>
          <w:u w:val="single"/>
        </w:rPr>
      </w:pPr>
      <w:r w:rsidRPr="004B48C7">
        <w:rPr>
          <w:sz w:val="24"/>
          <w:szCs w:val="24"/>
          <w:u w:val="single"/>
        </w:rPr>
        <w:t>Graviditet</w:t>
      </w:r>
    </w:p>
    <w:p w:rsidR="004B48C7" w:rsidRPr="004B48C7" w:rsidRDefault="004B48C7" w:rsidP="004B48C7">
      <w:pPr>
        <w:tabs>
          <w:tab w:val="left" w:pos="851"/>
        </w:tabs>
        <w:ind w:left="851"/>
        <w:rPr>
          <w:sz w:val="24"/>
          <w:szCs w:val="24"/>
        </w:rPr>
      </w:pPr>
      <w:r w:rsidRPr="004B48C7">
        <w:rPr>
          <w:sz w:val="24"/>
          <w:szCs w:val="24"/>
        </w:rPr>
        <w:t xml:space="preserve">Der er utilstrækkelige data fra anvendelse af </w:t>
      </w:r>
      <w:proofErr w:type="spellStart"/>
      <w:r w:rsidRPr="004B48C7">
        <w:rPr>
          <w:sz w:val="24"/>
          <w:szCs w:val="24"/>
        </w:rPr>
        <w:t>Asacol</w:t>
      </w:r>
      <w:proofErr w:type="spellEnd"/>
      <w:r w:rsidRPr="004B48C7">
        <w:rPr>
          <w:sz w:val="24"/>
          <w:szCs w:val="24"/>
        </w:rPr>
        <w:t xml:space="preserve"> 1 g suppositorier til gravide kvinder. Data fra anvendelse hos et begrænset antal gravide kvinder indikerer imidlertid ingen uønskede </w:t>
      </w:r>
      <w:proofErr w:type="spellStart"/>
      <w:r w:rsidRPr="004B48C7">
        <w:rPr>
          <w:sz w:val="24"/>
          <w:szCs w:val="24"/>
        </w:rPr>
        <w:t>mesalazin</w:t>
      </w:r>
      <w:proofErr w:type="spellEnd"/>
      <w:r w:rsidRPr="004B48C7">
        <w:rPr>
          <w:sz w:val="24"/>
          <w:szCs w:val="24"/>
        </w:rPr>
        <w:t xml:space="preserve"> virkninger på graviditeten eller fostret/det nyfødte barns helbred. På nuværende tidspunkt foreligger der ikke andre relevante epidemiologiske data.</w:t>
      </w:r>
    </w:p>
    <w:p w:rsidR="004B48C7" w:rsidRPr="004B48C7" w:rsidRDefault="004B48C7" w:rsidP="004B48C7">
      <w:pPr>
        <w:tabs>
          <w:tab w:val="left" w:pos="851"/>
        </w:tabs>
        <w:ind w:left="851"/>
        <w:rPr>
          <w:sz w:val="24"/>
          <w:szCs w:val="24"/>
        </w:rPr>
      </w:pPr>
      <w:r w:rsidRPr="004B48C7">
        <w:rPr>
          <w:sz w:val="24"/>
          <w:szCs w:val="24"/>
        </w:rPr>
        <w:t xml:space="preserve">I </w:t>
      </w:r>
      <w:r w:rsidR="00191D7C">
        <w:rPr>
          <w:sz w:val="24"/>
          <w:szCs w:val="24"/>
        </w:rPr>
        <w:t>et</w:t>
      </w:r>
      <w:r w:rsidRPr="004B48C7">
        <w:rPr>
          <w:sz w:val="24"/>
          <w:szCs w:val="24"/>
        </w:rPr>
        <w:t xml:space="preserve"> enkelt tilfælde efter langvarig brug af en høj dosis af </w:t>
      </w:r>
      <w:proofErr w:type="spellStart"/>
      <w:r w:rsidRPr="004B48C7">
        <w:rPr>
          <w:sz w:val="24"/>
          <w:szCs w:val="24"/>
        </w:rPr>
        <w:t>mesalazin</w:t>
      </w:r>
      <w:proofErr w:type="spellEnd"/>
      <w:r w:rsidRPr="004B48C7">
        <w:rPr>
          <w:sz w:val="24"/>
          <w:szCs w:val="24"/>
        </w:rPr>
        <w:t xml:space="preserve"> (2-4 g oralt) under graviditeten er der rapporteret om nyresvigt hos det nyfødte barn.</w:t>
      </w:r>
    </w:p>
    <w:p w:rsidR="004B48C7" w:rsidRPr="004B48C7" w:rsidRDefault="004B48C7" w:rsidP="004B48C7">
      <w:pPr>
        <w:tabs>
          <w:tab w:val="left" w:pos="851"/>
        </w:tabs>
        <w:ind w:left="851"/>
        <w:rPr>
          <w:sz w:val="24"/>
          <w:szCs w:val="24"/>
        </w:rPr>
      </w:pPr>
      <w:r w:rsidRPr="004B48C7">
        <w:rPr>
          <w:sz w:val="24"/>
          <w:szCs w:val="24"/>
        </w:rPr>
        <w:t xml:space="preserve">Dyreforsøg med oral </w:t>
      </w:r>
      <w:proofErr w:type="spellStart"/>
      <w:r w:rsidRPr="004B48C7">
        <w:rPr>
          <w:sz w:val="24"/>
          <w:szCs w:val="24"/>
        </w:rPr>
        <w:t>mesalazin</w:t>
      </w:r>
      <w:proofErr w:type="spellEnd"/>
      <w:r w:rsidRPr="004B48C7">
        <w:rPr>
          <w:sz w:val="24"/>
          <w:szCs w:val="24"/>
        </w:rPr>
        <w:t xml:space="preserve"> indikerer hverken direkte eller indirekte skadelige virkninger, hvad angår graviditeten, embryoets/fostrets udvikling, fødslen eller den </w:t>
      </w:r>
      <w:proofErr w:type="spellStart"/>
      <w:r w:rsidRPr="004B48C7">
        <w:rPr>
          <w:sz w:val="24"/>
          <w:szCs w:val="24"/>
        </w:rPr>
        <w:t>postnatale</w:t>
      </w:r>
      <w:proofErr w:type="spellEnd"/>
      <w:r w:rsidRPr="004B48C7">
        <w:rPr>
          <w:sz w:val="24"/>
          <w:szCs w:val="24"/>
        </w:rPr>
        <w:t xml:space="preserve"> udvikling.</w:t>
      </w:r>
    </w:p>
    <w:p w:rsidR="004B48C7" w:rsidRPr="004B48C7" w:rsidRDefault="004B48C7" w:rsidP="004B48C7">
      <w:pPr>
        <w:tabs>
          <w:tab w:val="left" w:pos="851"/>
        </w:tabs>
        <w:ind w:left="851"/>
        <w:rPr>
          <w:sz w:val="24"/>
          <w:szCs w:val="24"/>
        </w:rPr>
      </w:pPr>
      <w:proofErr w:type="spellStart"/>
      <w:r w:rsidRPr="004B48C7">
        <w:rPr>
          <w:sz w:val="24"/>
          <w:szCs w:val="24"/>
        </w:rPr>
        <w:t>Asacol</w:t>
      </w:r>
      <w:proofErr w:type="spellEnd"/>
      <w:r w:rsidRPr="004B48C7">
        <w:rPr>
          <w:sz w:val="24"/>
          <w:szCs w:val="24"/>
        </w:rPr>
        <w:t xml:space="preserve"> 1 g suppositorier bør kun anvendes under graviditet, hvis den potentielle fordel opvejer den mulige risiko.</w:t>
      </w:r>
    </w:p>
    <w:p w:rsidR="004B48C7" w:rsidRPr="004B48C7" w:rsidRDefault="004B48C7" w:rsidP="004B48C7">
      <w:pPr>
        <w:tabs>
          <w:tab w:val="left" w:pos="851"/>
        </w:tabs>
        <w:ind w:left="851"/>
        <w:rPr>
          <w:sz w:val="24"/>
          <w:szCs w:val="24"/>
        </w:rPr>
      </w:pPr>
    </w:p>
    <w:p w:rsidR="004B48C7" w:rsidRPr="004B48C7" w:rsidRDefault="004B48C7" w:rsidP="004B48C7">
      <w:pPr>
        <w:tabs>
          <w:tab w:val="left" w:pos="851"/>
        </w:tabs>
        <w:ind w:left="851"/>
        <w:rPr>
          <w:sz w:val="24"/>
          <w:szCs w:val="24"/>
          <w:u w:val="single"/>
        </w:rPr>
      </w:pPr>
      <w:r w:rsidRPr="004B48C7">
        <w:rPr>
          <w:sz w:val="24"/>
          <w:szCs w:val="24"/>
          <w:u w:val="single"/>
        </w:rPr>
        <w:t>Amning</w:t>
      </w:r>
    </w:p>
    <w:p w:rsidR="004B48C7" w:rsidRPr="004B48C7" w:rsidRDefault="004B48C7" w:rsidP="004B48C7">
      <w:pPr>
        <w:tabs>
          <w:tab w:val="left" w:pos="851"/>
        </w:tabs>
        <w:ind w:left="851"/>
        <w:rPr>
          <w:sz w:val="24"/>
          <w:szCs w:val="24"/>
        </w:rPr>
      </w:pPr>
      <w:r w:rsidRPr="004B48C7">
        <w:rPr>
          <w:sz w:val="24"/>
          <w:szCs w:val="24"/>
        </w:rPr>
        <w:t xml:space="preserve">N-acetyl-5-aminosalicylsyre, og i mindre grad </w:t>
      </w:r>
      <w:proofErr w:type="spellStart"/>
      <w:r w:rsidRPr="004B48C7">
        <w:rPr>
          <w:sz w:val="24"/>
          <w:szCs w:val="24"/>
        </w:rPr>
        <w:t>mesalazin</w:t>
      </w:r>
      <w:proofErr w:type="spellEnd"/>
      <w:r w:rsidRPr="004B48C7">
        <w:rPr>
          <w:sz w:val="24"/>
          <w:szCs w:val="24"/>
        </w:rPr>
        <w:t>, udskilles i human mælk. På nuværende tidspunkt er der kun begrænset erfaring hos ammende kvinder.</w:t>
      </w:r>
    </w:p>
    <w:p w:rsidR="004B48C7" w:rsidRPr="004B48C7" w:rsidRDefault="004B48C7" w:rsidP="004B48C7">
      <w:pPr>
        <w:tabs>
          <w:tab w:val="left" w:pos="851"/>
        </w:tabs>
        <w:ind w:left="851"/>
        <w:rPr>
          <w:sz w:val="24"/>
          <w:szCs w:val="24"/>
        </w:rPr>
      </w:pPr>
      <w:r w:rsidRPr="004B48C7">
        <w:rPr>
          <w:sz w:val="24"/>
          <w:szCs w:val="24"/>
        </w:rPr>
        <w:t xml:space="preserve">Overfølsomhedsreaktioner hos spædbarnet, såsom diarré, kan ikke udelukkes. Derfor bør </w:t>
      </w:r>
      <w:proofErr w:type="spellStart"/>
      <w:r w:rsidRPr="004B48C7">
        <w:rPr>
          <w:sz w:val="24"/>
          <w:szCs w:val="24"/>
        </w:rPr>
        <w:t>Asacol</w:t>
      </w:r>
      <w:proofErr w:type="spellEnd"/>
      <w:r w:rsidRPr="004B48C7">
        <w:rPr>
          <w:sz w:val="24"/>
          <w:szCs w:val="24"/>
        </w:rPr>
        <w:t xml:space="preserve"> 1 g suppositorier kun anvendes under amning, hvis den potentielle fordel opvejer den mulige risiko. Hvis spædbarnet får diarré, bør amning ophøre.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260DE" w:rsidRDefault="004B48C7" w:rsidP="009260DE">
      <w:pPr>
        <w:tabs>
          <w:tab w:val="left" w:pos="851"/>
        </w:tabs>
        <w:ind w:left="851"/>
        <w:rPr>
          <w:sz w:val="24"/>
          <w:szCs w:val="24"/>
        </w:rPr>
      </w:pPr>
      <w:r>
        <w:rPr>
          <w:sz w:val="24"/>
          <w:szCs w:val="24"/>
        </w:rPr>
        <w:t>Ikke mærkning.</w:t>
      </w:r>
    </w:p>
    <w:p w:rsidR="004B48C7" w:rsidRPr="00C807DF" w:rsidRDefault="004B48C7" w:rsidP="004B48C7">
      <w:pPr>
        <w:tabs>
          <w:tab w:val="left" w:pos="567"/>
        </w:tabs>
        <w:ind w:left="851"/>
        <w:rPr>
          <w:sz w:val="24"/>
          <w:szCs w:val="24"/>
        </w:rPr>
      </w:pPr>
      <w:proofErr w:type="spellStart"/>
      <w:r w:rsidRPr="00C807DF">
        <w:rPr>
          <w:sz w:val="24"/>
          <w:szCs w:val="24"/>
        </w:rPr>
        <w:t>Asacol</w:t>
      </w:r>
      <w:proofErr w:type="spellEnd"/>
      <w:r w:rsidRPr="00C807DF">
        <w:rPr>
          <w:sz w:val="24"/>
          <w:szCs w:val="24"/>
        </w:rPr>
        <w:t xml:space="preserve"> 1 g suppositorier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B48C7" w:rsidRPr="00C807DF" w:rsidRDefault="004B48C7" w:rsidP="004B48C7">
      <w:pPr>
        <w:tabs>
          <w:tab w:val="left" w:pos="567"/>
        </w:tabs>
        <w:ind w:left="851"/>
        <w:rPr>
          <w:sz w:val="24"/>
          <w:szCs w:val="24"/>
        </w:rPr>
      </w:pPr>
      <w:r w:rsidRPr="00C807DF">
        <w:rPr>
          <w:sz w:val="24"/>
          <w:szCs w:val="24"/>
        </w:rPr>
        <w:t xml:space="preserve">I kliniske studier med 248 deltagere oplevede cirka 3 % bivirkninger, mens de fik suppositorier med 1 g </w:t>
      </w:r>
      <w:proofErr w:type="spellStart"/>
      <w:r w:rsidRPr="00C807DF">
        <w:rPr>
          <w:sz w:val="24"/>
          <w:szCs w:val="24"/>
        </w:rPr>
        <w:t>mesalazin</w:t>
      </w:r>
      <w:proofErr w:type="spellEnd"/>
      <w:r w:rsidRPr="00C807DF">
        <w:rPr>
          <w:sz w:val="24"/>
          <w:szCs w:val="24"/>
        </w:rPr>
        <w:t xml:space="preserve">. De hyppigst rapporterede bivirkninger var hovedpine (hos ca. 0,8 %) og </w:t>
      </w:r>
      <w:proofErr w:type="spellStart"/>
      <w:r w:rsidRPr="00C807DF">
        <w:rPr>
          <w:sz w:val="24"/>
          <w:szCs w:val="24"/>
        </w:rPr>
        <w:t>gastrointestinale</w:t>
      </w:r>
      <w:proofErr w:type="spellEnd"/>
      <w:r w:rsidRPr="00C807DF">
        <w:rPr>
          <w:sz w:val="24"/>
          <w:szCs w:val="24"/>
        </w:rPr>
        <w:t xml:space="preserve"> bivirkninger (forstoppelse hos ca. 0,8 %; kvalme, opkastning og mavesmerter hos hver især 0,4 %).</w:t>
      </w:r>
    </w:p>
    <w:p w:rsidR="004B48C7" w:rsidRPr="00C807DF" w:rsidRDefault="004B48C7" w:rsidP="004B48C7">
      <w:pPr>
        <w:tabs>
          <w:tab w:val="left" w:pos="567"/>
        </w:tabs>
        <w:ind w:left="851"/>
        <w:rPr>
          <w:sz w:val="24"/>
          <w:szCs w:val="24"/>
        </w:rPr>
      </w:pPr>
    </w:p>
    <w:p w:rsidR="004B48C7" w:rsidRPr="00C807DF" w:rsidRDefault="004B48C7" w:rsidP="004B48C7">
      <w:pPr>
        <w:tabs>
          <w:tab w:val="left" w:pos="567"/>
        </w:tabs>
        <w:ind w:left="851"/>
        <w:rPr>
          <w:sz w:val="24"/>
          <w:szCs w:val="24"/>
        </w:rPr>
      </w:pPr>
      <w:r w:rsidRPr="00C807DF">
        <w:rPr>
          <w:sz w:val="24"/>
          <w:szCs w:val="24"/>
        </w:rPr>
        <w:t xml:space="preserve">Der er indberettet følgende bivirkninger ved brug af </w:t>
      </w:r>
      <w:proofErr w:type="spellStart"/>
      <w:r w:rsidRPr="00C807DF">
        <w:rPr>
          <w:sz w:val="24"/>
          <w:szCs w:val="24"/>
        </w:rPr>
        <w:t>mesalazin</w:t>
      </w:r>
      <w:proofErr w:type="spellEnd"/>
      <w:r w:rsidRPr="00C807DF">
        <w:rPr>
          <w:sz w:val="24"/>
          <w:szCs w:val="24"/>
        </w:rPr>
        <w:t>:</w:t>
      </w:r>
    </w:p>
    <w:p w:rsidR="004B48C7" w:rsidRPr="00C807DF" w:rsidRDefault="004B48C7" w:rsidP="004B48C7">
      <w:pPr>
        <w:tabs>
          <w:tab w:val="left" w:pos="567"/>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100"/>
        <w:gridCol w:w="2784"/>
        <w:gridCol w:w="2437"/>
      </w:tblGrid>
      <w:tr w:rsidR="004B48C7" w:rsidRPr="00C807DF" w:rsidTr="00E91E25">
        <w:trPr>
          <w:cantSplit/>
          <w:tblHeader/>
        </w:trPr>
        <w:tc>
          <w:tcPr>
            <w:tcW w:w="1235" w:type="pct"/>
            <w:shd w:val="clear" w:color="auto" w:fill="auto"/>
          </w:tcPr>
          <w:p w:rsidR="004B48C7" w:rsidRPr="00C807DF" w:rsidRDefault="004B48C7" w:rsidP="004B48C7">
            <w:pPr>
              <w:ind w:left="32"/>
              <w:rPr>
                <w:b/>
                <w:bCs/>
                <w:sz w:val="24"/>
                <w:szCs w:val="24"/>
                <w:lang w:eastAsia="en-GB"/>
              </w:rPr>
            </w:pPr>
            <w:r w:rsidRPr="00C807DF">
              <w:rPr>
                <w:b/>
                <w:bCs/>
                <w:sz w:val="24"/>
                <w:szCs w:val="24"/>
                <w:lang w:eastAsia="en-GB"/>
              </w:rPr>
              <w:lastRenderedPageBreak/>
              <w:t>Systemorganklasse</w:t>
            </w:r>
          </w:p>
        </w:tc>
        <w:tc>
          <w:tcPr>
            <w:tcW w:w="3765" w:type="pct"/>
            <w:gridSpan w:val="3"/>
            <w:shd w:val="clear" w:color="auto" w:fill="auto"/>
          </w:tcPr>
          <w:p w:rsidR="004B48C7" w:rsidRPr="00C807DF" w:rsidRDefault="004B48C7" w:rsidP="004B48C7">
            <w:pPr>
              <w:ind w:left="8"/>
              <w:rPr>
                <w:b/>
                <w:bCs/>
                <w:sz w:val="24"/>
                <w:szCs w:val="24"/>
                <w:lang w:eastAsia="en-GB"/>
              </w:rPr>
            </w:pPr>
            <w:r w:rsidRPr="00C807DF">
              <w:rPr>
                <w:b/>
                <w:bCs/>
                <w:sz w:val="24"/>
                <w:szCs w:val="24"/>
                <w:lang w:eastAsia="en-GB"/>
              </w:rPr>
              <w:t xml:space="preserve">Hyppighed i henhold til </w:t>
            </w:r>
            <w:proofErr w:type="spellStart"/>
            <w:r w:rsidRPr="00C807DF">
              <w:rPr>
                <w:b/>
                <w:bCs/>
                <w:sz w:val="24"/>
                <w:szCs w:val="24"/>
                <w:lang w:eastAsia="en-GB"/>
              </w:rPr>
              <w:t>MedDRA</w:t>
            </w:r>
            <w:proofErr w:type="spellEnd"/>
            <w:r w:rsidRPr="00C807DF">
              <w:rPr>
                <w:b/>
                <w:bCs/>
                <w:sz w:val="24"/>
                <w:szCs w:val="24"/>
                <w:lang w:eastAsia="en-GB"/>
              </w:rPr>
              <w:t>-konventionen</w:t>
            </w:r>
          </w:p>
        </w:tc>
      </w:tr>
      <w:tr w:rsidR="004B48C7" w:rsidRPr="00C807DF" w:rsidTr="00E91E25">
        <w:trPr>
          <w:cantSplit/>
          <w:tblHeader/>
        </w:trPr>
        <w:tc>
          <w:tcPr>
            <w:tcW w:w="1235" w:type="pct"/>
            <w:shd w:val="clear" w:color="auto" w:fill="auto"/>
          </w:tcPr>
          <w:p w:rsidR="004B48C7" w:rsidRPr="00C807DF" w:rsidRDefault="004B48C7" w:rsidP="004B48C7">
            <w:pPr>
              <w:ind w:left="32"/>
              <w:rPr>
                <w:b/>
                <w:bCs/>
                <w:sz w:val="24"/>
                <w:szCs w:val="24"/>
                <w:lang w:eastAsia="en-GB"/>
              </w:rPr>
            </w:pPr>
          </w:p>
        </w:tc>
        <w:tc>
          <w:tcPr>
            <w:tcW w:w="1127" w:type="pct"/>
            <w:shd w:val="clear" w:color="auto" w:fill="auto"/>
          </w:tcPr>
          <w:p w:rsidR="004B48C7" w:rsidRPr="00C807DF" w:rsidRDefault="004B48C7" w:rsidP="004B48C7">
            <w:pPr>
              <w:ind w:left="8"/>
              <w:rPr>
                <w:b/>
                <w:bCs/>
                <w:sz w:val="24"/>
                <w:szCs w:val="24"/>
                <w:lang w:eastAsia="en-GB"/>
              </w:rPr>
            </w:pPr>
            <w:r w:rsidRPr="00C807DF">
              <w:rPr>
                <w:b/>
                <w:bCs/>
                <w:sz w:val="24"/>
                <w:szCs w:val="24"/>
                <w:lang w:eastAsia="en-GB"/>
              </w:rPr>
              <w:t>Sjælden</w:t>
            </w:r>
          </w:p>
          <w:p w:rsidR="004B48C7" w:rsidRPr="00C807DF" w:rsidRDefault="004B48C7" w:rsidP="004B48C7">
            <w:pPr>
              <w:ind w:left="8"/>
              <w:rPr>
                <w:b/>
                <w:bCs/>
                <w:sz w:val="24"/>
                <w:szCs w:val="24"/>
                <w:lang w:eastAsia="en-GB"/>
              </w:rPr>
            </w:pPr>
            <w:r w:rsidRPr="00C807DF">
              <w:rPr>
                <w:b/>
                <w:bCs/>
                <w:sz w:val="24"/>
                <w:szCs w:val="24"/>
                <w:lang w:eastAsia="en-GB"/>
              </w:rPr>
              <w:t>(≥ 1/10.000 til &lt; 1/1.000)</w:t>
            </w:r>
          </w:p>
        </w:tc>
        <w:tc>
          <w:tcPr>
            <w:tcW w:w="1446" w:type="pct"/>
            <w:shd w:val="clear" w:color="auto" w:fill="auto"/>
          </w:tcPr>
          <w:p w:rsidR="004B48C7" w:rsidRPr="00C807DF" w:rsidRDefault="004B48C7" w:rsidP="004B48C7">
            <w:pPr>
              <w:ind w:left="8"/>
              <w:rPr>
                <w:b/>
                <w:bCs/>
                <w:sz w:val="24"/>
                <w:szCs w:val="24"/>
                <w:lang w:eastAsia="en-GB"/>
              </w:rPr>
            </w:pPr>
            <w:r w:rsidRPr="00C807DF">
              <w:rPr>
                <w:b/>
                <w:bCs/>
                <w:sz w:val="24"/>
                <w:szCs w:val="24"/>
                <w:lang w:eastAsia="en-GB"/>
              </w:rPr>
              <w:t>Meget sjælden</w:t>
            </w:r>
          </w:p>
          <w:p w:rsidR="004B48C7" w:rsidRPr="00C807DF" w:rsidRDefault="004B48C7" w:rsidP="004B48C7">
            <w:pPr>
              <w:ind w:left="8"/>
              <w:rPr>
                <w:b/>
                <w:bCs/>
                <w:sz w:val="24"/>
                <w:szCs w:val="24"/>
                <w:lang w:eastAsia="en-GB"/>
              </w:rPr>
            </w:pPr>
            <w:r w:rsidRPr="00C807DF">
              <w:rPr>
                <w:b/>
                <w:bCs/>
                <w:sz w:val="24"/>
                <w:szCs w:val="24"/>
                <w:lang w:eastAsia="en-GB"/>
              </w:rPr>
              <w:t>(&lt; 1/10.000)</w:t>
            </w:r>
          </w:p>
        </w:tc>
        <w:tc>
          <w:tcPr>
            <w:tcW w:w="1192" w:type="pct"/>
            <w:shd w:val="clear" w:color="auto" w:fill="auto"/>
          </w:tcPr>
          <w:p w:rsidR="004B48C7" w:rsidRPr="00C807DF" w:rsidRDefault="004B48C7" w:rsidP="004B48C7">
            <w:pPr>
              <w:ind w:left="8"/>
              <w:rPr>
                <w:b/>
                <w:bCs/>
                <w:sz w:val="24"/>
                <w:szCs w:val="24"/>
                <w:lang w:eastAsia="en-GB"/>
              </w:rPr>
            </w:pPr>
            <w:r w:rsidRPr="00C807DF">
              <w:rPr>
                <w:b/>
                <w:bCs/>
                <w:sz w:val="24"/>
                <w:szCs w:val="24"/>
                <w:lang w:eastAsia="en-GB"/>
              </w:rPr>
              <w:t>Ikke kendt</w:t>
            </w:r>
          </w:p>
          <w:p w:rsidR="004B48C7" w:rsidRPr="00C807DF" w:rsidRDefault="004B48C7" w:rsidP="004B48C7">
            <w:pPr>
              <w:ind w:left="8"/>
              <w:rPr>
                <w:b/>
                <w:bCs/>
                <w:sz w:val="24"/>
                <w:szCs w:val="24"/>
                <w:lang w:eastAsia="en-GB"/>
              </w:rPr>
            </w:pPr>
            <w:r w:rsidRPr="00C807DF">
              <w:rPr>
                <w:b/>
                <w:bCs/>
                <w:sz w:val="24"/>
                <w:szCs w:val="24"/>
                <w:lang w:eastAsia="en-GB"/>
              </w:rPr>
              <w:t>(kan ikke estimeres ud fra forhåndenværende data)</w:t>
            </w:r>
          </w:p>
        </w:tc>
      </w:tr>
      <w:tr w:rsidR="004B48C7" w:rsidRPr="00C807DF" w:rsidTr="00E91E25">
        <w:trPr>
          <w:cantSplit/>
        </w:trPr>
        <w:tc>
          <w:tcPr>
            <w:tcW w:w="1235" w:type="pct"/>
            <w:shd w:val="clear" w:color="auto" w:fill="auto"/>
          </w:tcPr>
          <w:p w:rsidR="004B48C7" w:rsidRPr="00C807DF" w:rsidRDefault="004B48C7" w:rsidP="004B48C7">
            <w:pPr>
              <w:ind w:left="32"/>
              <w:rPr>
                <w:sz w:val="24"/>
                <w:szCs w:val="24"/>
                <w:lang w:eastAsia="en-GB"/>
              </w:rPr>
            </w:pPr>
            <w:r w:rsidRPr="00C807DF">
              <w:rPr>
                <w:sz w:val="24"/>
                <w:szCs w:val="24"/>
                <w:lang w:eastAsia="en-GB"/>
              </w:rPr>
              <w:t>Blod og lymfesystem</w:t>
            </w:r>
          </w:p>
        </w:tc>
        <w:tc>
          <w:tcPr>
            <w:tcW w:w="1127" w:type="pct"/>
            <w:shd w:val="clear" w:color="auto" w:fill="auto"/>
          </w:tcPr>
          <w:p w:rsidR="004B48C7" w:rsidRPr="00C807DF" w:rsidRDefault="004B48C7" w:rsidP="004B48C7">
            <w:pPr>
              <w:ind w:left="8"/>
              <w:rPr>
                <w:sz w:val="24"/>
                <w:szCs w:val="24"/>
                <w:lang w:eastAsia="en-GB"/>
              </w:rPr>
            </w:pPr>
          </w:p>
        </w:tc>
        <w:tc>
          <w:tcPr>
            <w:tcW w:w="1446" w:type="pct"/>
            <w:shd w:val="clear" w:color="auto" w:fill="auto"/>
          </w:tcPr>
          <w:p w:rsidR="004B48C7" w:rsidRPr="00C807DF" w:rsidRDefault="004B48C7" w:rsidP="004B48C7">
            <w:pPr>
              <w:ind w:left="8"/>
              <w:rPr>
                <w:sz w:val="24"/>
                <w:szCs w:val="24"/>
                <w:lang w:eastAsia="en-GB"/>
              </w:rPr>
            </w:pPr>
            <w:r w:rsidRPr="00C807DF">
              <w:rPr>
                <w:sz w:val="24"/>
                <w:szCs w:val="24"/>
                <w:lang w:eastAsia="en-GB"/>
              </w:rPr>
              <w:t>Ændring i blodtællinger (</w:t>
            </w:r>
            <w:proofErr w:type="spellStart"/>
            <w:r w:rsidRPr="00C807DF">
              <w:rPr>
                <w:sz w:val="24"/>
                <w:szCs w:val="24"/>
                <w:lang w:eastAsia="en-GB"/>
              </w:rPr>
              <w:t>aplastisk</w:t>
            </w:r>
            <w:proofErr w:type="spellEnd"/>
            <w:r w:rsidRPr="00C807DF">
              <w:rPr>
                <w:sz w:val="24"/>
                <w:szCs w:val="24"/>
                <w:lang w:eastAsia="en-GB"/>
              </w:rPr>
              <w:t xml:space="preserve"> anæmi, </w:t>
            </w:r>
            <w:proofErr w:type="spellStart"/>
            <w:r w:rsidRPr="00C807DF">
              <w:rPr>
                <w:sz w:val="24"/>
                <w:szCs w:val="24"/>
                <w:lang w:eastAsia="en-GB"/>
              </w:rPr>
              <w:t>agranulocytose</w:t>
            </w:r>
            <w:proofErr w:type="spellEnd"/>
            <w:r w:rsidRPr="00C807DF">
              <w:rPr>
                <w:sz w:val="24"/>
                <w:szCs w:val="24"/>
                <w:lang w:eastAsia="en-GB"/>
              </w:rPr>
              <w:t xml:space="preserve">, </w:t>
            </w:r>
            <w:proofErr w:type="spellStart"/>
            <w:r w:rsidRPr="00C807DF">
              <w:rPr>
                <w:sz w:val="24"/>
                <w:szCs w:val="24"/>
                <w:lang w:eastAsia="en-GB"/>
              </w:rPr>
              <w:t>pancytopeni</w:t>
            </w:r>
            <w:proofErr w:type="spellEnd"/>
            <w:r w:rsidRPr="00C807DF">
              <w:rPr>
                <w:sz w:val="24"/>
                <w:szCs w:val="24"/>
                <w:lang w:eastAsia="en-GB"/>
              </w:rPr>
              <w:t xml:space="preserve">, </w:t>
            </w:r>
            <w:proofErr w:type="spellStart"/>
            <w:r w:rsidRPr="00C807DF">
              <w:rPr>
                <w:sz w:val="24"/>
                <w:szCs w:val="24"/>
                <w:lang w:eastAsia="en-GB"/>
              </w:rPr>
              <w:t>neutropeni</w:t>
            </w:r>
            <w:proofErr w:type="spellEnd"/>
            <w:r w:rsidRPr="00C807DF">
              <w:rPr>
                <w:sz w:val="24"/>
                <w:szCs w:val="24"/>
                <w:lang w:eastAsia="en-GB"/>
              </w:rPr>
              <w:t xml:space="preserve">, </w:t>
            </w:r>
            <w:proofErr w:type="spellStart"/>
            <w:r w:rsidRPr="00C807DF">
              <w:rPr>
                <w:sz w:val="24"/>
                <w:szCs w:val="24"/>
                <w:lang w:eastAsia="en-GB"/>
              </w:rPr>
              <w:t>leukopeni</w:t>
            </w:r>
            <w:proofErr w:type="spellEnd"/>
            <w:r w:rsidRPr="00C807DF">
              <w:rPr>
                <w:sz w:val="24"/>
                <w:szCs w:val="24"/>
                <w:lang w:eastAsia="en-GB"/>
              </w:rPr>
              <w:t xml:space="preserve">, </w:t>
            </w:r>
            <w:proofErr w:type="spellStart"/>
            <w:r w:rsidRPr="00C807DF">
              <w:rPr>
                <w:sz w:val="24"/>
                <w:szCs w:val="24"/>
                <w:lang w:eastAsia="en-GB"/>
              </w:rPr>
              <w:t>thrombocytopeni</w:t>
            </w:r>
            <w:proofErr w:type="spellEnd"/>
            <w:r w:rsidRPr="00C807DF">
              <w:rPr>
                <w:sz w:val="24"/>
                <w:szCs w:val="24"/>
                <w:lang w:eastAsia="en-GB"/>
              </w:rPr>
              <w:t>)</w:t>
            </w:r>
          </w:p>
        </w:tc>
        <w:tc>
          <w:tcPr>
            <w:tcW w:w="1192" w:type="pct"/>
            <w:shd w:val="clear" w:color="auto" w:fill="auto"/>
          </w:tcPr>
          <w:p w:rsidR="004B48C7" w:rsidRPr="00C807DF" w:rsidRDefault="004B48C7" w:rsidP="004B48C7">
            <w:pPr>
              <w:ind w:left="8"/>
              <w:rPr>
                <w:sz w:val="24"/>
                <w:szCs w:val="24"/>
                <w:lang w:eastAsia="en-GB"/>
              </w:rPr>
            </w:pPr>
          </w:p>
        </w:tc>
      </w:tr>
      <w:tr w:rsidR="004B48C7" w:rsidRPr="00C807DF" w:rsidTr="00E91E25">
        <w:trPr>
          <w:cantSplit/>
        </w:trPr>
        <w:tc>
          <w:tcPr>
            <w:tcW w:w="1235" w:type="pct"/>
            <w:shd w:val="clear" w:color="auto" w:fill="auto"/>
          </w:tcPr>
          <w:p w:rsidR="004B48C7" w:rsidRPr="00C807DF" w:rsidRDefault="004B48C7" w:rsidP="004B48C7">
            <w:pPr>
              <w:ind w:left="32"/>
              <w:rPr>
                <w:sz w:val="24"/>
                <w:szCs w:val="24"/>
                <w:lang w:eastAsia="en-GB"/>
              </w:rPr>
            </w:pPr>
            <w:r w:rsidRPr="00C807DF">
              <w:rPr>
                <w:sz w:val="24"/>
                <w:szCs w:val="24"/>
                <w:lang w:eastAsia="en-GB"/>
              </w:rPr>
              <w:t>Nervesystemet</w:t>
            </w:r>
          </w:p>
        </w:tc>
        <w:tc>
          <w:tcPr>
            <w:tcW w:w="1127" w:type="pct"/>
            <w:shd w:val="clear" w:color="auto" w:fill="auto"/>
          </w:tcPr>
          <w:p w:rsidR="004B48C7" w:rsidRPr="00C807DF" w:rsidRDefault="004B48C7" w:rsidP="004B48C7">
            <w:pPr>
              <w:ind w:left="8"/>
              <w:rPr>
                <w:sz w:val="24"/>
                <w:szCs w:val="24"/>
                <w:lang w:eastAsia="en-GB"/>
              </w:rPr>
            </w:pPr>
            <w:r w:rsidRPr="00C807DF">
              <w:rPr>
                <w:sz w:val="24"/>
                <w:szCs w:val="24"/>
                <w:lang w:eastAsia="en-GB"/>
              </w:rPr>
              <w:t>Hovedpine, svimmelhed</w:t>
            </w:r>
          </w:p>
        </w:tc>
        <w:tc>
          <w:tcPr>
            <w:tcW w:w="1446" w:type="pct"/>
            <w:shd w:val="clear" w:color="auto" w:fill="auto"/>
          </w:tcPr>
          <w:p w:rsidR="004B48C7" w:rsidRPr="00C807DF" w:rsidRDefault="004B48C7" w:rsidP="004B48C7">
            <w:pPr>
              <w:ind w:left="8"/>
              <w:rPr>
                <w:sz w:val="24"/>
                <w:szCs w:val="24"/>
                <w:lang w:eastAsia="en-GB"/>
              </w:rPr>
            </w:pPr>
            <w:r w:rsidRPr="00C807DF">
              <w:rPr>
                <w:sz w:val="24"/>
                <w:szCs w:val="24"/>
                <w:lang w:eastAsia="en-GB"/>
              </w:rPr>
              <w:t xml:space="preserve">perifer </w:t>
            </w:r>
            <w:proofErr w:type="spellStart"/>
            <w:r w:rsidRPr="00C807DF">
              <w:rPr>
                <w:sz w:val="24"/>
                <w:szCs w:val="24"/>
                <w:lang w:eastAsia="en-GB"/>
              </w:rPr>
              <w:t>neuropati</w:t>
            </w:r>
            <w:proofErr w:type="spellEnd"/>
          </w:p>
        </w:tc>
        <w:tc>
          <w:tcPr>
            <w:tcW w:w="1192" w:type="pct"/>
            <w:shd w:val="clear" w:color="auto" w:fill="auto"/>
          </w:tcPr>
          <w:p w:rsidR="004B48C7" w:rsidRPr="00C807DF" w:rsidRDefault="004B48C7" w:rsidP="004B48C7">
            <w:pPr>
              <w:ind w:left="8"/>
              <w:rPr>
                <w:sz w:val="24"/>
                <w:szCs w:val="24"/>
                <w:lang w:eastAsia="en-GB"/>
              </w:rPr>
            </w:pPr>
          </w:p>
        </w:tc>
      </w:tr>
      <w:tr w:rsidR="004B48C7" w:rsidRPr="00C807DF" w:rsidTr="00E91E25">
        <w:trPr>
          <w:cantSplit/>
        </w:trPr>
        <w:tc>
          <w:tcPr>
            <w:tcW w:w="1235" w:type="pct"/>
            <w:shd w:val="clear" w:color="auto" w:fill="auto"/>
          </w:tcPr>
          <w:p w:rsidR="004B48C7" w:rsidRPr="00C807DF" w:rsidRDefault="004B48C7" w:rsidP="004B48C7">
            <w:pPr>
              <w:ind w:left="32"/>
              <w:rPr>
                <w:sz w:val="24"/>
                <w:szCs w:val="24"/>
                <w:lang w:eastAsia="en-GB"/>
              </w:rPr>
            </w:pPr>
            <w:r w:rsidRPr="00C807DF">
              <w:rPr>
                <w:sz w:val="24"/>
                <w:szCs w:val="24"/>
                <w:lang w:eastAsia="en-GB"/>
              </w:rPr>
              <w:t>Hjerte</w:t>
            </w:r>
          </w:p>
        </w:tc>
        <w:tc>
          <w:tcPr>
            <w:tcW w:w="1127" w:type="pct"/>
            <w:shd w:val="clear" w:color="auto" w:fill="auto"/>
          </w:tcPr>
          <w:p w:rsidR="004B48C7" w:rsidRPr="00C807DF" w:rsidRDefault="004B48C7" w:rsidP="004B48C7">
            <w:pPr>
              <w:ind w:left="8"/>
              <w:rPr>
                <w:sz w:val="24"/>
                <w:szCs w:val="24"/>
                <w:lang w:eastAsia="en-GB"/>
              </w:rPr>
            </w:pPr>
            <w:proofErr w:type="spellStart"/>
            <w:r w:rsidRPr="00C807DF">
              <w:rPr>
                <w:sz w:val="24"/>
                <w:szCs w:val="24"/>
                <w:lang w:eastAsia="en-GB"/>
              </w:rPr>
              <w:t>Myocarditis</w:t>
            </w:r>
            <w:proofErr w:type="spellEnd"/>
            <w:r w:rsidRPr="00C807DF">
              <w:rPr>
                <w:sz w:val="24"/>
                <w:szCs w:val="24"/>
                <w:lang w:eastAsia="en-GB"/>
              </w:rPr>
              <w:t>,</w:t>
            </w:r>
          </w:p>
          <w:p w:rsidR="004B48C7" w:rsidRPr="00C807DF" w:rsidRDefault="004B48C7" w:rsidP="004B48C7">
            <w:pPr>
              <w:ind w:left="8"/>
              <w:rPr>
                <w:sz w:val="24"/>
                <w:szCs w:val="24"/>
                <w:lang w:eastAsia="en-GB"/>
              </w:rPr>
            </w:pPr>
            <w:proofErr w:type="spellStart"/>
            <w:r w:rsidRPr="00C807DF">
              <w:rPr>
                <w:sz w:val="24"/>
                <w:szCs w:val="24"/>
                <w:lang w:eastAsia="en-GB"/>
              </w:rPr>
              <w:t>pericarditis</w:t>
            </w:r>
            <w:proofErr w:type="spellEnd"/>
          </w:p>
        </w:tc>
        <w:tc>
          <w:tcPr>
            <w:tcW w:w="1446" w:type="pct"/>
            <w:shd w:val="clear" w:color="auto" w:fill="auto"/>
          </w:tcPr>
          <w:p w:rsidR="004B48C7" w:rsidRPr="00C807DF" w:rsidRDefault="004B48C7" w:rsidP="004B48C7">
            <w:pPr>
              <w:ind w:left="8"/>
              <w:rPr>
                <w:sz w:val="24"/>
                <w:szCs w:val="24"/>
                <w:lang w:eastAsia="en-GB"/>
              </w:rPr>
            </w:pPr>
          </w:p>
        </w:tc>
        <w:tc>
          <w:tcPr>
            <w:tcW w:w="1192" w:type="pct"/>
            <w:shd w:val="clear" w:color="auto" w:fill="auto"/>
          </w:tcPr>
          <w:p w:rsidR="004B48C7" w:rsidRPr="00C807DF" w:rsidRDefault="004B48C7" w:rsidP="004B48C7">
            <w:pPr>
              <w:ind w:left="8"/>
              <w:rPr>
                <w:sz w:val="24"/>
                <w:szCs w:val="24"/>
                <w:lang w:eastAsia="en-GB"/>
              </w:rPr>
            </w:pPr>
          </w:p>
        </w:tc>
      </w:tr>
      <w:tr w:rsidR="004B48C7" w:rsidRPr="00C807DF" w:rsidTr="00E91E25">
        <w:trPr>
          <w:cantSplit/>
        </w:trPr>
        <w:tc>
          <w:tcPr>
            <w:tcW w:w="1235" w:type="pct"/>
            <w:shd w:val="clear" w:color="auto" w:fill="auto"/>
          </w:tcPr>
          <w:p w:rsidR="004B48C7" w:rsidRPr="00C807DF" w:rsidRDefault="004B48C7" w:rsidP="004B48C7">
            <w:pPr>
              <w:ind w:left="32"/>
              <w:rPr>
                <w:sz w:val="24"/>
                <w:szCs w:val="24"/>
                <w:lang w:eastAsia="en-GB"/>
              </w:rPr>
            </w:pPr>
            <w:r w:rsidRPr="00C807DF">
              <w:rPr>
                <w:sz w:val="24"/>
                <w:szCs w:val="24"/>
                <w:lang w:eastAsia="en-GB"/>
              </w:rPr>
              <w:t xml:space="preserve">Luftveje, thorax og </w:t>
            </w:r>
            <w:proofErr w:type="spellStart"/>
            <w:r w:rsidRPr="00C807DF">
              <w:rPr>
                <w:sz w:val="24"/>
                <w:szCs w:val="24"/>
                <w:lang w:eastAsia="en-GB"/>
              </w:rPr>
              <w:t>mediastinum</w:t>
            </w:r>
            <w:proofErr w:type="spellEnd"/>
          </w:p>
        </w:tc>
        <w:tc>
          <w:tcPr>
            <w:tcW w:w="1127" w:type="pct"/>
            <w:shd w:val="clear" w:color="auto" w:fill="auto"/>
          </w:tcPr>
          <w:p w:rsidR="004B48C7" w:rsidRPr="00C807DF" w:rsidRDefault="004B48C7" w:rsidP="004B48C7">
            <w:pPr>
              <w:ind w:left="8"/>
              <w:rPr>
                <w:sz w:val="24"/>
                <w:szCs w:val="24"/>
                <w:lang w:eastAsia="en-GB"/>
              </w:rPr>
            </w:pPr>
          </w:p>
        </w:tc>
        <w:tc>
          <w:tcPr>
            <w:tcW w:w="1446" w:type="pct"/>
            <w:shd w:val="clear" w:color="auto" w:fill="auto"/>
          </w:tcPr>
          <w:p w:rsidR="004B48C7" w:rsidRPr="00C807DF" w:rsidRDefault="004B48C7" w:rsidP="004B48C7">
            <w:pPr>
              <w:ind w:left="8"/>
              <w:rPr>
                <w:sz w:val="24"/>
                <w:szCs w:val="24"/>
                <w:lang w:eastAsia="en-GB"/>
              </w:rPr>
            </w:pPr>
            <w:r w:rsidRPr="00C807DF">
              <w:rPr>
                <w:sz w:val="24"/>
                <w:szCs w:val="24"/>
                <w:lang w:eastAsia="en-GB"/>
              </w:rPr>
              <w:t xml:space="preserve">Allergiske og </w:t>
            </w:r>
            <w:proofErr w:type="spellStart"/>
            <w:r w:rsidRPr="00C807DF">
              <w:rPr>
                <w:sz w:val="24"/>
                <w:szCs w:val="24"/>
                <w:lang w:eastAsia="en-GB"/>
              </w:rPr>
              <w:t>fibrotiske</w:t>
            </w:r>
            <w:proofErr w:type="spellEnd"/>
            <w:r w:rsidRPr="00C807DF">
              <w:rPr>
                <w:sz w:val="24"/>
                <w:szCs w:val="24"/>
                <w:lang w:eastAsia="en-GB"/>
              </w:rPr>
              <w:t xml:space="preserve"> lungereaktioner (inklusive dyspnø, hoste, </w:t>
            </w:r>
            <w:proofErr w:type="spellStart"/>
            <w:r w:rsidRPr="00C807DF">
              <w:rPr>
                <w:sz w:val="24"/>
                <w:szCs w:val="24"/>
                <w:lang w:eastAsia="en-GB"/>
              </w:rPr>
              <w:t>bronkospasmer</w:t>
            </w:r>
            <w:proofErr w:type="spellEnd"/>
            <w:r w:rsidRPr="00C807DF">
              <w:rPr>
                <w:sz w:val="24"/>
                <w:szCs w:val="24"/>
                <w:lang w:eastAsia="en-GB"/>
              </w:rPr>
              <w:t xml:space="preserve">, </w:t>
            </w:r>
            <w:proofErr w:type="spellStart"/>
            <w:r w:rsidRPr="00C807DF">
              <w:rPr>
                <w:sz w:val="24"/>
                <w:szCs w:val="24"/>
                <w:lang w:eastAsia="en-GB"/>
              </w:rPr>
              <w:t>alveolitis</w:t>
            </w:r>
            <w:proofErr w:type="spellEnd"/>
            <w:r w:rsidRPr="00C807DF">
              <w:rPr>
                <w:sz w:val="24"/>
                <w:szCs w:val="24"/>
                <w:lang w:eastAsia="en-GB"/>
              </w:rPr>
              <w:t xml:space="preserve">, </w:t>
            </w:r>
            <w:proofErr w:type="spellStart"/>
            <w:r w:rsidRPr="00C807DF">
              <w:rPr>
                <w:sz w:val="24"/>
                <w:szCs w:val="24"/>
                <w:lang w:eastAsia="en-GB"/>
              </w:rPr>
              <w:t>pulmonal</w:t>
            </w:r>
            <w:proofErr w:type="spellEnd"/>
            <w:r w:rsidRPr="00C807DF">
              <w:rPr>
                <w:sz w:val="24"/>
                <w:szCs w:val="24"/>
                <w:lang w:eastAsia="en-GB"/>
              </w:rPr>
              <w:t xml:space="preserve"> </w:t>
            </w:r>
            <w:proofErr w:type="spellStart"/>
            <w:r w:rsidRPr="00C807DF">
              <w:rPr>
                <w:sz w:val="24"/>
                <w:szCs w:val="24"/>
                <w:lang w:eastAsia="en-GB"/>
              </w:rPr>
              <w:t>eosinofili</w:t>
            </w:r>
            <w:proofErr w:type="spellEnd"/>
            <w:r w:rsidRPr="00C807DF">
              <w:rPr>
                <w:sz w:val="24"/>
                <w:szCs w:val="24"/>
                <w:lang w:eastAsia="en-GB"/>
              </w:rPr>
              <w:t xml:space="preserve">, </w:t>
            </w:r>
            <w:proofErr w:type="spellStart"/>
            <w:r w:rsidRPr="00C807DF">
              <w:rPr>
                <w:sz w:val="24"/>
                <w:szCs w:val="24"/>
                <w:lang w:eastAsia="en-GB"/>
              </w:rPr>
              <w:t>lungeinfiltrater</w:t>
            </w:r>
            <w:proofErr w:type="spellEnd"/>
            <w:r w:rsidRPr="00C807DF">
              <w:rPr>
                <w:sz w:val="24"/>
                <w:szCs w:val="24"/>
                <w:lang w:eastAsia="en-GB"/>
              </w:rPr>
              <w:t>, pneumonitis)</w:t>
            </w:r>
          </w:p>
        </w:tc>
        <w:tc>
          <w:tcPr>
            <w:tcW w:w="1192" w:type="pct"/>
            <w:shd w:val="clear" w:color="auto" w:fill="auto"/>
          </w:tcPr>
          <w:p w:rsidR="004B48C7" w:rsidRPr="00C807DF" w:rsidRDefault="004B48C7" w:rsidP="004B48C7">
            <w:pPr>
              <w:ind w:left="8"/>
              <w:rPr>
                <w:sz w:val="24"/>
                <w:szCs w:val="24"/>
                <w:lang w:eastAsia="en-GB"/>
              </w:rPr>
            </w:pPr>
          </w:p>
        </w:tc>
      </w:tr>
      <w:tr w:rsidR="004B48C7" w:rsidRPr="00C807DF" w:rsidTr="00E91E25">
        <w:trPr>
          <w:cantSplit/>
        </w:trPr>
        <w:tc>
          <w:tcPr>
            <w:tcW w:w="1235" w:type="pct"/>
            <w:shd w:val="clear" w:color="auto" w:fill="auto"/>
          </w:tcPr>
          <w:p w:rsidR="004B48C7" w:rsidRPr="00C807DF" w:rsidRDefault="004B48C7" w:rsidP="004B48C7">
            <w:pPr>
              <w:ind w:left="32"/>
              <w:rPr>
                <w:sz w:val="24"/>
                <w:szCs w:val="24"/>
                <w:lang w:eastAsia="en-GB"/>
              </w:rPr>
            </w:pPr>
            <w:r w:rsidRPr="00C807DF">
              <w:rPr>
                <w:sz w:val="24"/>
                <w:szCs w:val="24"/>
                <w:lang w:eastAsia="en-GB"/>
              </w:rPr>
              <w:t>Mave-tarm-kanalen</w:t>
            </w:r>
          </w:p>
        </w:tc>
        <w:tc>
          <w:tcPr>
            <w:tcW w:w="1127" w:type="pct"/>
            <w:shd w:val="clear" w:color="auto" w:fill="auto"/>
          </w:tcPr>
          <w:p w:rsidR="004B48C7" w:rsidRPr="00C807DF" w:rsidRDefault="004B48C7" w:rsidP="004B48C7">
            <w:pPr>
              <w:ind w:left="8"/>
              <w:rPr>
                <w:sz w:val="24"/>
                <w:szCs w:val="24"/>
                <w:lang w:eastAsia="en-GB"/>
              </w:rPr>
            </w:pPr>
            <w:r w:rsidRPr="00C807DF">
              <w:rPr>
                <w:sz w:val="24"/>
                <w:szCs w:val="24"/>
                <w:lang w:eastAsia="en-GB"/>
              </w:rPr>
              <w:t xml:space="preserve">Mavesmerter, diarré, </w:t>
            </w:r>
            <w:proofErr w:type="spellStart"/>
            <w:r w:rsidRPr="00C807DF">
              <w:rPr>
                <w:sz w:val="24"/>
                <w:szCs w:val="24"/>
                <w:lang w:eastAsia="en-GB"/>
              </w:rPr>
              <w:t>flatulens</w:t>
            </w:r>
            <w:proofErr w:type="spellEnd"/>
            <w:r w:rsidRPr="00C807DF">
              <w:rPr>
                <w:sz w:val="24"/>
                <w:szCs w:val="24"/>
                <w:lang w:eastAsia="en-GB"/>
              </w:rPr>
              <w:t>, kvalme, opkastning, forstoppelse</w:t>
            </w:r>
          </w:p>
        </w:tc>
        <w:tc>
          <w:tcPr>
            <w:tcW w:w="1446" w:type="pct"/>
            <w:shd w:val="clear" w:color="auto" w:fill="auto"/>
          </w:tcPr>
          <w:p w:rsidR="004B48C7" w:rsidRPr="00C807DF" w:rsidRDefault="004B48C7" w:rsidP="004B48C7">
            <w:pPr>
              <w:ind w:left="8"/>
              <w:rPr>
                <w:sz w:val="24"/>
                <w:szCs w:val="24"/>
                <w:lang w:eastAsia="en-GB"/>
              </w:rPr>
            </w:pPr>
            <w:r w:rsidRPr="00C807DF">
              <w:rPr>
                <w:sz w:val="24"/>
                <w:szCs w:val="24"/>
                <w:lang w:eastAsia="en-GB"/>
              </w:rPr>
              <w:t xml:space="preserve">Akut </w:t>
            </w:r>
            <w:proofErr w:type="spellStart"/>
            <w:r w:rsidRPr="00C807DF">
              <w:rPr>
                <w:sz w:val="24"/>
                <w:szCs w:val="24"/>
                <w:lang w:eastAsia="en-GB"/>
              </w:rPr>
              <w:t>pancreatitis</w:t>
            </w:r>
            <w:proofErr w:type="spellEnd"/>
          </w:p>
        </w:tc>
        <w:tc>
          <w:tcPr>
            <w:tcW w:w="1192" w:type="pct"/>
            <w:shd w:val="clear" w:color="auto" w:fill="auto"/>
          </w:tcPr>
          <w:p w:rsidR="004B48C7" w:rsidRPr="00C807DF" w:rsidRDefault="004B48C7" w:rsidP="004B48C7">
            <w:pPr>
              <w:ind w:left="8"/>
              <w:rPr>
                <w:sz w:val="24"/>
                <w:szCs w:val="24"/>
                <w:lang w:eastAsia="en-GB"/>
              </w:rPr>
            </w:pPr>
          </w:p>
        </w:tc>
      </w:tr>
      <w:tr w:rsidR="004B48C7" w:rsidRPr="00C807DF" w:rsidTr="00E91E25">
        <w:trPr>
          <w:cantSplit/>
        </w:trPr>
        <w:tc>
          <w:tcPr>
            <w:tcW w:w="1235" w:type="pct"/>
            <w:shd w:val="clear" w:color="auto" w:fill="auto"/>
          </w:tcPr>
          <w:p w:rsidR="004B48C7" w:rsidRPr="00C807DF" w:rsidRDefault="004B48C7" w:rsidP="004B48C7">
            <w:pPr>
              <w:ind w:left="32"/>
              <w:rPr>
                <w:sz w:val="24"/>
                <w:szCs w:val="24"/>
                <w:lang w:eastAsia="en-GB"/>
              </w:rPr>
            </w:pPr>
            <w:r w:rsidRPr="00C807DF">
              <w:rPr>
                <w:sz w:val="24"/>
                <w:szCs w:val="24"/>
                <w:lang w:eastAsia="en-GB"/>
              </w:rPr>
              <w:t>Nyrer og urinveje</w:t>
            </w:r>
          </w:p>
        </w:tc>
        <w:tc>
          <w:tcPr>
            <w:tcW w:w="1127" w:type="pct"/>
            <w:shd w:val="clear" w:color="auto" w:fill="auto"/>
          </w:tcPr>
          <w:p w:rsidR="004B48C7" w:rsidRPr="00C807DF" w:rsidRDefault="004B48C7" w:rsidP="004B48C7">
            <w:pPr>
              <w:ind w:left="8"/>
              <w:rPr>
                <w:sz w:val="24"/>
                <w:szCs w:val="24"/>
                <w:lang w:eastAsia="en-GB"/>
              </w:rPr>
            </w:pPr>
          </w:p>
        </w:tc>
        <w:tc>
          <w:tcPr>
            <w:tcW w:w="1446" w:type="pct"/>
            <w:shd w:val="clear" w:color="auto" w:fill="auto"/>
          </w:tcPr>
          <w:p w:rsidR="004B48C7" w:rsidRPr="00C807DF" w:rsidRDefault="004B48C7" w:rsidP="004B48C7">
            <w:pPr>
              <w:ind w:left="8"/>
              <w:rPr>
                <w:sz w:val="24"/>
                <w:szCs w:val="24"/>
                <w:lang w:eastAsia="en-GB"/>
              </w:rPr>
            </w:pPr>
            <w:r w:rsidRPr="00C807DF">
              <w:rPr>
                <w:sz w:val="24"/>
                <w:szCs w:val="24"/>
                <w:lang w:eastAsia="en-GB"/>
              </w:rPr>
              <w:t xml:space="preserve">Nedsat nyrefunktion, inklusive akut og kronisk </w:t>
            </w:r>
            <w:proofErr w:type="spellStart"/>
            <w:r w:rsidRPr="00C807DF">
              <w:rPr>
                <w:sz w:val="24"/>
                <w:szCs w:val="24"/>
                <w:lang w:eastAsia="en-GB"/>
              </w:rPr>
              <w:t>interstitiel</w:t>
            </w:r>
            <w:proofErr w:type="spellEnd"/>
            <w:r w:rsidRPr="00C807DF">
              <w:rPr>
                <w:sz w:val="24"/>
                <w:szCs w:val="24"/>
                <w:lang w:eastAsia="en-GB"/>
              </w:rPr>
              <w:t xml:space="preserve"> </w:t>
            </w:r>
            <w:proofErr w:type="spellStart"/>
            <w:r w:rsidRPr="00C807DF">
              <w:rPr>
                <w:sz w:val="24"/>
                <w:szCs w:val="24"/>
                <w:lang w:eastAsia="en-GB"/>
              </w:rPr>
              <w:t>nefritis</w:t>
            </w:r>
            <w:proofErr w:type="spellEnd"/>
            <w:r w:rsidRPr="00C807DF">
              <w:rPr>
                <w:sz w:val="24"/>
                <w:szCs w:val="24"/>
                <w:lang w:eastAsia="en-GB"/>
              </w:rPr>
              <w:t xml:space="preserve"> og nyreinsufficiens</w:t>
            </w:r>
          </w:p>
        </w:tc>
        <w:tc>
          <w:tcPr>
            <w:tcW w:w="1192" w:type="pct"/>
            <w:shd w:val="clear" w:color="auto" w:fill="auto"/>
          </w:tcPr>
          <w:p w:rsidR="004B48C7" w:rsidRPr="00C807DF" w:rsidRDefault="004B48C7" w:rsidP="004B48C7">
            <w:pPr>
              <w:ind w:left="8"/>
              <w:rPr>
                <w:sz w:val="24"/>
                <w:szCs w:val="24"/>
                <w:lang w:eastAsia="en-GB"/>
              </w:rPr>
            </w:pPr>
            <w:proofErr w:type="spellStart"/>
            <w:r w:rsidRPr="00C807DF">
              <w:rPr>
                <w:sz w:val="24"/>
                <w:szCs w:val="24"/>
                <w:lang w:eastAsia="en-GB"/>
              </w:rPr>
              <w:t>Nephrolithiasis</w:t>
            </w:r>
            <w:proofErr w:type="spellEnd"/>
            <w:r w:rsidRPr="00C807DF">
              <w:rPr>
                <w:sz w:val="24"/>
                <w:szCs w:val="24"/>
                <w:lang w:eastAsia="en-GB"/>
              </w:rPr>
              <w:t>*</w:t>
            </w:r>
          </w:p>
        </w:tc>
      </w:tr>
      <w:tr w:rsidR="00E91E25" w:rsidRPr="00C807DF" w:rsidTr="00E91E25">
        <w:trPr>
          <w:cantSplit/>
        </w:trPr>
        <w:tc>
          <w:tcPr>
            <w:tcW w:w="1235" w:type="pct"/>
            <w:shd w:val="clear" w:color="auto" w:fill="auto"/>
          </w:tcPr>
          <w:p w:rsidR="00E91E25" w:rsidRPr="00C807DF" w:rsidRDefault="00E91E25" w:rsidP="00E91E25">
            <w:pPr>
              <w:ind w:left="32"/>
              <w:rPr>
                <w:sz w:val="24"/>
                <w:szCs w:val="24"/>
                <w:lang w:eastAsia="en-GB"/>
              </w:rPr>
            </w:pPr>
            <w:r w:rsidRPr="00C807DF">
              <w:rPr>
                <w:sz w:val="24"/>
                <w:szCs w:val="24"/>
                <w:lang w:eastAsia="en-GB"/>
              </w:rPr>
              <w:t>Hud og subkutane væv</w:t>
            </w:r>
          </w:p>
        </w:tc>
        <w:tc>
          <w:tcPr>
            <w:tcW w:w="1127" w:type="pct"/>
            <w:shd w:val="clear" w:color="auto" w:fill="auto"/>
          </w:tcPr>
          <w:p w:rsidR="00E91E25" w:rsidRPr="00C807DF" w:rsidRDefault="00E91E25" w:rsidP="00E91E25">
            <w:pPr>
              <w:ind w:left="8"/>
              <w:rPr>
                <w:sz w:val="24"/>
                <w:szCs w:val="24"/>
                <w:lang w:eastAsia="en-GB"/>
              </w:rPr>
            </w:pPr>
            <w:r w:rsidRPr="00C807DF">
              <w:rPr>
                <w:sz w:val="24"/>
                <w:szCs w:val="24"/>
                <w:lang w:eastAsia="en-GB"/>
              </w:rPr>
              <w:t>Fotosensitivitet</w:t>
            </w:r>
          </w:p>
        </w:tc>
        <w:tc>
          <w:tcPr>
            <w:tcW w:w="1446" w:type="pct"/>
            <w:shd w:val="clear" w:color="auto" w:fill="auto"/>
          </w:tcPr>
          <w:p w:rsidR="00E91E25" w:rsidRPr="00C807DF" w:rsidRDefault="00E91E25" w:rsidP="00E91E25">
            <w:pPr>
              <w:ind w:left="8"/>
              <w:rPr>
                <w:sz w:val="24"/>
                <w:szCs w:val="24"/>
                <w:lang w:eastAsia="en-GB"/>
              </w:rPr>
            </w:pPr>
            <w:proofErr w:type="spellStart"/>
            <w:r w:rsidRPr="00C807DF">
              <w:rPr>
                <w:sz w:val="24"/>
                <w:szCs w:val="24"/>
                <w:lang w:eastAsia="en-GB"/>
              </w:rPr>
              <w:t>Alopeci</w:t>
            </w:r>
            <w:proofErr w:type="spellEnd"/>
          </w:p>
        </w:tc>
        <w:tc>
          <w:tcPr>
            <w:tcW w:w="1192" w:type="pct"/>
            <w:shd w:val="clear" w:color="auto" w:fill="auto"/>
          </w:tcPr>
          <w:p w:rsidR="00E91E25" w:rsidRPr="00C807DF" w:rsidRDefault="00E91E25" w:rsidP="00E91E25">
            <w:pPr>
              <w:ind w:left="8"/>
              <w:rPr>
                <w:sz w:val="24"/>
                <w:szCs w:val="24"/>
                <w:lang w:eastAsia="en-GB"/>
              </w:rPr>
            </w:pPr>
            <w:r w:rsidRPr="00486077">
              <w:rPr>
                <w:sz w:val="24"/>
                <w:szCs w:val="24"/>
                <w:lang w:eastAsia="en-GB"/>
              </w:rPr>
              <w:t xml:space="preserve">Lægemiddelreaktionen </w:t>
            </w:r>
            <w:proofErr w:type="spellStart"/>
            <w:r w:rsidRPr="00486077">
              <w:rPr>
                <w:sz w:val="24"/>
                <w:szCs w:val="24"/>
                <w:lang w:eastAsia="en-GB"/>
              </w:rPr>
              <w:t>eosinofili</w:t>
            </w:r>
            <w:proofErr w:type="spellEnd"/>
            <w:r w:rsidRPr="00486077">
              <w:rPr>
                <w:sz w:val="24"/>
                <w:szCs w:val="24"/>
                <w:lang w:eastAsia="en-GB"/>
              </w:rPr>
              <w:t xml:space="preserve"> og systemiske symptomer (DRESS),</w:t>
            </w:r>
            <w:r>
              <w:rPr>
                <w:rFonts w:ascii="Verdana" w:hAnsi="Verdana" w:cs="Verdana"/>
                <w:b/>
                <w:bCs/>
                <w:sz w:val="18"/>
                <w:szCs w:val="18"/>
                <w:lang w:val="sv-SE" w:eastAsia="da-DK"/>
              </w:rPr>
              <w:t xml:space="preserve"> </w:t>
            </w:r>
            <w:r w:rsidRPr="00C807DF">
              <w:rPr>
                <w:sz w:val="24"/>
                <w:szCs w:val="24"/>
                <w:lang w:eastAsia="en-GB"/>
              </w:rPr>
              <w:t xml:space="preserve">Stevens-Johnsons syndrom (SJS), toksisk </w:t>
            </w:r>
            <w:proofErr w:type="spellStart"/>
            <w:r w:rsidRPr="00C807DF">
              <w:rPr>
                <w:sz w:val="24"/>
                <w:szCs w:val="24"/>
                <w:lang w:eastAsia="en-GB"/>
              </w:rPr>
              <w:t>epidermal</w:t>
            </w:r>
            <w:proofErr w:type="spellEnd"/>
            <w:r w:rsidRPr="00C807DF">
              <w:rPr>
                <w:sz w:val="24"/>
                <w:szCs w:val="24"/>
                <w:lang w:eastAsia="en-GB"/>
              </w:rPr>
              <w:t xml:space="preserve"> </w:t>
            </w:r>
            <w:proofErr w:type="spellStart"/>
            <w:r w:rsidRPr="00C807DF">
              <w:rPr>
                <w:sz w:val="24"/>
                <w:szCs w:val="24"/>
                <w:lang w:eastAsia="en-GB"/>
              </w:rPr>
              <w:t>nekrolyse</w:t>
            </w:r>
            <w:proofErr w:type="spellEnd"/>
            <w:r w:rsidRPr="00C807DF">
              <w:rPr>
                <w:sz w:val="24"/>
                <w:szCs w:val="24"/>
                <w:lang w:eastAsia="en-GB"/>
              </w:rPr>
              <w:t xml:space="preserve"> (TEN)</w:t>
            </w:r>
          </w:p>
        </w:tc>
      </w:tr>
      <w:tr w:rsidR="00E91E25" w:rsidRPr="00C807DF" w:rsidTr="00E91E25">
        <w:trPr>
          <w:cantSplit/>
        </w:trPr>
        <w:tc>
          <w:tcPr>
            <w:tcW w:w="1235" w:type="pct"/>
            <w:shd w:val="clear" w:color="auto" w:fill="auto"/>
          </w:tcPr>
          <w:p w:rsidR="00E91E25" w:rsidRPr="00C807DF" w:rsidRDefault="00E91E25" w:rsidP="00E91E25">
            <w:pPr>
              <w:ind w:left="32"/>
              <w:rPr>
                <w:sz w:val="24"/>
                <w:szCs w:val="24"/>
                <w:lang w:eastAsia="en-GB"/>
              </w:rPr>
            </w:pPr>
            <w:r w:rsidRPr="00C807DF">
              <w:rPr>
                <w:sz w:val="24"/>
                <w:szCs w:val="24"/>
                <w:lang w:eastAsia="en-GB"/>
              </w:rPr>
              <w:t>Knogler, led, muskler og bindevæv</w:t>
            </w:r>
          </w:p>
        </w:tc>
        <w:tc>
          <w:tcPr>
            <w:tcW w:w="1127" w:type="pct"/>
            <w:shd w:val="clear" w:color="auto" w:fill="auto"/>
          </w:tcPr>
          <w:p w:rsidR="00E91E25" w:rsidRPr="00C807DF" w:rsidRDefault="00E91E25" w:rsidP="00E91E25">
            <w:pPr>
              <w:ind w:left="8"/>
              <w:rPr>
                <w:sz w:val="24"/>
                <w:szCs w:val="24"/>
                <w:lang w:eastAsia="en-GB"/>
              </w:rPr>
            </w:pPr>
          </w:p>
        </w:tc>
        <w:tc>
          <w:tcPr>
            <w:tcW w:w="1446" w:type="pct"/>
            <w:shd w:val="clear" w:color="auto" w:fill="auto"/>
          </w:tcPr>
          <w:p w:rsidR="00E91E25" w:rsidRPr="00C807DF" w:rsidRDefault="00E91E25" w:rsidP="00E91E25">
            <w:pPr>
              <w:ind w:left="8"/>
              <w:rPr>
                <w:sz w:val="24"/>
                <w:szCs w:val="24"/>
                <w:lang w:eastAsia="en-GB"/>
              </w:rPr>
            </w:pPr>
            <w:r w:rsidRPr="00C807DF">
              <w:rPr>
                <w:sz w:val="24"/>
                <w:szCs w:val="24"/>
                <w:lang w:eastAsia="en-GB"/>
              </w:rPr>
              <w:t xml:space="preserve">Myalgi, </w:t>
            </w:r>
            <w:proofErr w:type="spellStart"/>
            <w:r w:rsidRPr="00C807DF">
              <w:rPr>
                <w:sz w:val="24"/>
                <w:szCs w:val="24"/>
                <w:lang w:eastAsia="en-GB"/>
              </w:rPr>
              <w:t>artralgi</w:t>
            </w:r>
            <w:proofErr w:type="spellEnd"/>
          </w:p>
        </w:tc>
        <w:tc>
          <w:tcPr>
            <w:tcW w:w="1192" w:type="pct"/>
            <w:shd w:val="clear" w:color="auto" w:fill="auto"/>
          </w:tcPr>
          <w:p w:rsidR="00E91E25" w:rsidRPr="00C807DF" w:rsidRDefault="00E91E25" w:rsidP="00E91E25">
            <w:pPr>
              <w:ind w:left="8"/>
              <w:rPr>
                <w:sz w:val="24"/>
                <w:szCs w:val="24"/>
                <w:lang w:eastAsia="en-GB"/>
              </w:rPr>
            </w:pPr>
          </w:p>
        </w:tc>
      </w:tr>
      <w:tr w:rsidR="00E91E25" w:rsidRPr="00C807DF" w:rsidTr="00E91E25">
        <w:trPr>
          <w:cantSplit/>
        </w:trPr>
        <w:tc>
          <w:tcPr>
            <w:tcW w:w="1235" w:type="pct"/>
            <w:shd w:val="clear" w:color="auto" w:fill="auto"/>
          </w:tcPr>
          <w:p w:rsidR="00E91E25" w:rsidRPr="00C807DF" w:rsidRDefault="00E91E25" w:rsidP="00E91E25">
            <w:pPr>
              <w:ind w:left="32"/>
              <w:rPr>
                <w:sz w:val="24"/>
                <w:szCs w:val="24"/>
                <w:lang w:eastAsia="en-GB"/>
              </w:rPr>
            </w:pPr>
            <w:r w:rsidRPr="00C807DF">
              <w:rPr>
                <w:sz w:val="24"/>
                <w:szCs w:val="24"/>
                <w:lang w:eastAsia="en-GB"/>
              </w:rPr>
              <w:t>Immunsystemet</w:t>
            </w:r>
          </w:p>
        </w:tc>
        <w:tc>
          <w:tcPr>
            <w:tcW w:w="1127" w:type="pct"/>
            <w:shd w:val="clear" w:color="auto" w:fill="auto"/>
          </w:tcPr>
          <w:p w:rsidR="00E91E25" w:rsidRPr="00C807DF" w:rsidRDefault="00E91E25" w:rsidP="00E91E25">
            <w:pPr>
              <w:ind w:left="8"/>
              <w:rPr>
                <w:sz w:val="24"/>
                <w:szCs w:val="24"/>
                <w:lang w:eastAsia="en-GB"/>
              </w:rPr>
            </w:pPr>
          </w:p>
        </w:tc>
        <w:tc>
          <w:tcPr>
            <w:tcW w:w="1446" w:type="pct"/>
            <w:shd w:val="clear" w:color="auto" w:fill="auto"/>
          </w:tcPr>
          <w:p w:rsidR="00E91E25" w:rsidRPr="00C807DF" w:rsidRDefault="00E91E25" w:rsidP="00E91E25">
            <w:pPr>
              <w:ind w:left="8"/>
              <w:rPr>
                <w:sz w:val="24"/>
                <w:szCs w:val="24"/>
                <w:lang w:eastAsia="en-GB"/>
              </w:rPr>
            </w:pPr>
            <w:r w:rsidRPr="00C807DF">
              <w:rPr>
                <w:sz w:val="24"/>
                <w:szCs w:val="24"/>
                <w:lang w:eastAsia="en-GB"/>
              </w:rPr>
              <w:t xml:space="preserve">Overfølsomhedsreaktioner såsom allergisk </w:t>
            </w:r>
            <w:proofErr w:type="spellStart"/>
            <w:r w:rsidRPr="00C807DF">
              <w:rPr>
                <w:sz w:val="24"/>
                <w:szCs w:val="24"/>
                <w:lang w:eastAsia="en-GB"/>
              </w:rPr>
              <w:t>eksantem</w:t>
            </w:r>
            <w:proofErr w:type="spellEnd"/>
            <w:r w:rsidRPr="00C807DF">
              <w:rPr>
                <w:sz w:val="24"/>
                <w:szCs w:val="24"/>
                <w:lang w:eastAsia="en-GB"/>
              </w:rPr>
              <w:t xml:space="preserve">, lægemiddelinduceret feber, lupus </w:t>
            </w:r>
            <w:proofErr w:type="spellStart"/>
            <w:r w:rsidRPr="00C807DF">
              <w:rPr>
                <w:sz w:val="24"/>
                <w:szCs w:val="24"/>
                <w:lang w:eastAsia="en-GB"/>
              </w:rPr>
              <w:t>erythematosus</w:t>
            </w:r>
            <w:proofErr w:type="spellEnd"/>
            <w:r w:rsidRPr="00C807DF">
              <w:rPr>
                <w:sz w:val="24"/>
                <w:szCs w:val="24"/>
                <w:lang w:eastAsia="en-GB"/>
              </w:rPr>
              <w:t xml:space="preserve">-syndrom, </w:t>
            </w:r>
            <w:proofErr w:type="spellStart"/>
            <w:r w:rsidRPr="00C807DF">
              <w:rPr>
                <w:sz w:val="24"/>
                <w:szCs w:val="24"/>
                <w:lang w:eastAsia="en-GB"/>
              </w:rPr>
              <w:t>pancolitis</w:t>
            </w:r>
            <w:proofErr w:type="spellEnd"/>
          </w:p>
        </w:tc>
        <w:tc>
          <w:tcPr>
            <w:tcW w:w="1192" w:type="pct"/>
            <w:shd w:val="clear" w:color="auto" w:fill="auto"/>
          </w:tcPr>
          <w:p w:rsidR="00E91E25" w:rsidRPr="00C807DF" w:rsidRDefault="00E91E25" w:rsidP="00E91E25">
            <w:pPr>
              <w:ind w:left="8"/>
              <w:rPr>
                <w:sz w:val="24"/>
                <w:szCs w:val="24"/>
                <w:lang w:eastAsia="en-GB"/>
              </w:rPr>
            </w:pPr>
          </w:p>
        </w:tc>
      </w:tr>
      <w:tr w:rsidR="00E91E25" w:rsidRPr="00C807DF" w:rsidTr="00E91E25">
        <w:trPr>
          <w:cantSplit/>
        </w:trPr>
        <w:tc>
          <w:tcPr>
            <w:tcW w:w="1235" w:type="pct"/>
            <w:shd w:val="clear" w:color="auto" w:fill="auto"/>
          </w:tcPr>
          <w:p w:rsidR="00E91E25" w:rsidRPr="00C807DF" w:rsidRDefault="00E91E25" w:rsidP="00E91E25">
            <w:pPr>
              <w:ind w:left="32"/>
              <w:rPr>
                <w:sz w:val="24"/>
                <w:szCs w:val="24"/>
                <w:lang w:eastAsia="en-GB"/>
              </w:rPr>
            </w:pPr>
            <w:r w:rsidRPr="00C807DF">
              <w:rPr>
                <w:sz w:val="24"/>
                <w:szCs w:val="24"/>
                <w:lang w:eastAsia="en-GB"/>
              </w:rPr>
              <w:lastRenderedPageBreak/>
              <w:t>Lever og galdeveje</w:t>
            </w:r>
          </w:p>
        </w:tc>
        <w:tc>
          <w:tcPr>
            <w:tcW w:w="1127" w:type="pct"/>
            <w:shd w:val="clear" w:color="auto" w:fill="auto"/>
          </w:tcPr>
          <w:p w:rsidR="00E91E25" w:rsidRPr="00C807DF" w:rsidRDefault="00E91E25" w:rsidP="00E91E25">
            <w:pPr>
              <w:ind w:left="8"/>
              <w:rPr>
                <w:sz w:val="24"/>
                <w:szCs w:val="24"/>
                <w:lang w:eastAsia="en-GB"/>
              </w:rPr>
            </w:pPr>
          </w:p>
        </w:tc>
        <w:tc>
          <w:tcPr>
            <w:tcW w:w="1446" w:type="pct"/>
            <w:shd w:val="clear" w:color="auto" w:fill="auto"/>
          </w:tcPr>
          <w:p w:rsidR="00E91E25" w:rsidRPr="00C807DF" w:rsidRDefault="00E91E25" w:rsidP="00E91E25">
            <w:pPr>
              <w:ind w:left="8"/>
              <w:rPr>
                <w:sz w:val="24"/>
                <w:szCs w:val="24"/>
                <w:lang w:eastAsia="en-GB"/>
              </w:rPr>
            </w:pPr>
            <w:r w:rsidRPr="00C807DF">
              <w:rPr>
                <w:sz w:val="24"/>
                <w:szCs w:val="24"/>
                <w:lang w:eastAsia="en-GB"/>
              </w:rPr>
              <w:t xml:space="preserve">Ændringer i leverfunktionsparametre (stigning i </w:t>
            </w:r>
            <w:proofErr w:type="spellStart"/>
            <w:r w:rsidRPr="00C807DF">
              <w:rPr>
                <w:sz w:val="24"/>
                <w:szCs w:val="24"/>
                <w:lang w:eastAsia="en-GB"/>
              </w:rPr>
              <w:t>transaminaser</w:t>
            </w:r>
            <w:proofErr w:type="spellEnd"/>
            <w:r w:rsidRPr="00C807DF">
              <w:rPr>
                <w:sz w:val="24"/>
                <w:szCs w:val="24"/>
                <w:lang w:eastAsia="en-GB"/>
              </w:rPr>
              <w:t xml:space="preserve"> og </w:t>
            </w:r>
            <w:proofErr w:type="spellStart"/>
            <w:r w:rsidRPr="00C807DF">
              <w:rPr>
                <w:sz w:val="24"/>
                <w:szCs w:val="24"/>
                <w:lang w:eastAsia="en-GB"/>
              </w:rPr>
              <w:t>kolestaseparametre</w:t>
            </w:r>
            <w:proofErr w:type="spellEnd"/>
            <w:r w:rsidRPr="00C807DF">
              <w:rPr>
                <w:sz w:val="24"/>
                <w:szCs w:val="24"/>
                <w:lang w:eastAsia="en-GB"/>
              </w:rPr>
              <w:t xml:space="preserve">), hepatitis, </w:t>
            </w:r>
            <w:proofErr w:type="spellStart"/>
            <w:r w:rsidRPr="00C807DF">
              <w:rPr>
                <w:sz w:val="24"/>
                <w:szCs w:val="24"/>
                <w:lang w:eastAsia="en-GB"/>
              </w:rPr>
              <w:t>kolestatisk</w:t>
            </w:r>
            <w:proofErr w:type="spellEnd"/>
            <w:r w:rsidRPr="00C807DF">
              <w:rPr>
                <w:sz w:val="24"/>
                <w:szCs w:val="24"/>
                <w:lang w:eastAsia="en-GB"/>
              </w:rPr>
              <w:t xml:space="preserve"> hepatitis</w:t>
            </w:r>
          </w:p>
        </w:tc>
        <w:tc>
          <w:tcPr>
            <w:tcW w:w="1192" w:type="pct"/>
            <w:shd w:val="clear" w:color="auto" w:fill="auto"/>
          </w:tcPr>
          <w:p w:rsidR="00E91E25" w:rsidRPr="00C807DF" w:rsidRDefault="00E91E25" w:rsidP="00E91E25">
            <w:pPr>
              <w:ind w:left="8"/>
              <w:rPr>
                <w:sz w:val="24"/>
                <w:szCs w:val="24"/>
                <w:lang w:eastAsia="en-GB"/>
              </w:rPr>
            </w:pPr>
          </w:p>
        </w:tc>
      </w:tr>
      <w:tr w:rsidR="00E91E25" w:rsidRPr="00C807DF" w:rsidTr="00E91E25">
        <w:trPr>
          <w:cantSplit/>
        </w:trPr>
        <w:tc>
          <w:tcPr>
            <w:tcW w:w="1235" w:type="pct"/>
            <w:shd w:val="clear" w:color="auto" w:fill="auto"/>
          </w:tcPr>
          <w:p w:rsidR="00E91E25" w:rsidRPr="00C807DF" w:rsidRDefault="00E91E25" w:rsidP="00E91E25">
            <w:pPr>
              <w:ind w:left="32"/>
              <w:rPr>
                <w:sz w:val="24"/>
                <w:szCs w:val="24"/>
                <w:lang w:eastAsia="en-GB"/>
              </w:rPr>
            </w:pPr>
            <w:r w:rsidRPr="00C807DF">
              <w:rPr>
                <w:sz w:val="24"/>
                <w:szCs w:val="24"/>
                <w:lang w:eastAsia="en-GB"/>
              </w:rPr>
              <w:t>Det reproduktive system og mammae</w:t>
            </w:r>
          </w:p>
        </w:tc>
        <w:tc>
          <w:tcPr>
            <w:tcW w:w="1127" w:type="pct"/>
            <w:shd w:val="clear" w:color="auto" w:fill="auto"/>
          </w:tcPr>
          <w:p w:rsidR="00E91E25" w:rsidRPr="00C807DF" w:rsidRDefault="00E91E25" w:rsidP="00E91E25">
            <w:pPr>
              <w:ind w:left="8"/>
              <w:rPr>
                <w:sz w:val="24"/>
                <w:szCs w:val="24"/>
                <w:lang w:eastAsia="en-GB"/>
              </w:rPr>
            </w:pPr>
          </w:p>
        </w:tc>
        <w:tc>
          <w:tcPr>
            <w:tcW w:w="1446" w:type="pct"/>
            <w:shd w:val="clear" w:color="auto" w:fill="auto"/>
          </w:tcPr>
          <w:p w:rsidR="00E91E25" w:rsidRPr="00C807DF" w:rsidRDefault="00E91E25" w:rsidP="00E91E25">
            <w:pPr>
              <w:ind w:left="8"/>
              <w:rPr>
                <w:sz w:val="24"/>
                <w:szCs w:val="24"/>
                <w:lang w:eastAsia="en-GB"/>
              </w:rPr>
            </w:pPr>
            <w:proofErr w:type="spellStart"/>
            <w:r w:rsidRPr="00C807DF">
              <w:rPr>
                <w:sz w:val="24"/>
                <w:szCs w:val="24"/>
                <w:lang w:eastAsia="en-GB"/>
              </w:rPr>
              <w:t>Oligospermi</w:t>
            </w:r>
            <w:proofErr w:type="spellEnd"/>
            <w:r w:rsidRPr="00C807DF">
              <w:rPr>
                <w:sz w:val="24"/>
                <w:szCs w:val="24"/>
                <w:lang w:eastAsia="en-GB"/>
              </w:rPr>
              <w:t xml:space="preserve"> (reversibel)</w:t>
            </w:r>
          </w:p>
        </w:tc>
        <w:tc>
          <w:tcPr>
            <w:tcW w:w="1192" w:type="pct"/>
            <w:shd w:val="clear" w:color="auto" w:fill="auto"/>
          </w:tcPr>
          <w:p w:rsidR="00E91E25" w:rsidRPr="00C807DF" w:rsidRDefault="00E91E25" w:rsidP="00E91E25">
            <w:pPr>
              <w:ind w:left="8"/>
              <w:rPr>
                <w:sz w:val="24"/>
                <w:szCs w:val="24"/>
                <w:lang w:eastAsia="en-GB"/>
              </w:rPr>
            </w:pPr>
          </w:p>
        </w:tc>
      </w:tr>
    </w:tbl>
    <w:p w:rsidR="004B48C7" w:rsidRPr="00C807DF" w:rsidRDefault="004B48C7" w:rsidP="004B48C7">
      <w:pPr>
        <w:spacing w:after="120"/>
        <w:ind w:left="851"/>
        <w:rPr>
          <w:sz w:val="24"/>
          <w:szCs w:val="24"/>
          <w:lang w:eastAsia="en-GB"/>
        </w:rPr>
      </w:pPr>
      <w:r w:rsidRPr="00C807DF">
        <w:rPr>
          <w:sz w:val="24"/>
          <w:szCs w:val="24"/>
          <w:lang w:eastAsia="en-GB"/>
        </w:rPr>
        <w:t>* Se yderligere oplysninger i pkt. 4.4.</w:t>
      </w:r>
    </w:p>
    <w:p w:rsidR="00E91E25" w:rsidRPr="00486077" w:rsidRDefault="00E91E25" w:rsidP="00E91E25">
      <w:pPr>
        <w:autoSpaceDE w:val="0"/>
        <w:autoSpaceDN w:val="0"/>
        <w:adjustRightInd w:val="0"/>
        <w:ind w:firstLine="851"/>
        <w:rPr>
          <w:iCs/>
          <w:sz w:val="24"/>
          <w:szCs w:val="24"/>
          <w:lang w:eastAsia="en-GB"/>
        </w:rPr>
      </w:pPr>
      <w:r w:rsidRPr="00C807DF">
        <w:rPr>
          <w:iCs/>
          <w:sz w:val="24"/>
          <w:szCs w:val="24"/>
          <w:lang w:eastAsia="en-GB"/>
        </w:rPr>
        <w:t xml:space="preserve">Der er rapporteret om svære </w:t>
      </w:r>
      <w:proofErr w:type="spellStart"/>
      <w:r w:rsidRPr="00C807DF">
        <w:rPr>
          <w:iCs/>
          <w:sz w:val="24"/>
          <w:szCs w:val="24"/>
          <w:lang w:eastAsia="en-GB"/>
        </w:rPr>
        <w:t>kutane</w:t>
      </w:r>
      <w:proofErr w:type="spellEnd"/>
      <w:r w:rsidRPr="00C807DF">
        <w:rPr>
          <w:iCs/>
          <w:sz w:val="24"/>
          <w:szCs w:val="24"/>
          <w:lang w:eastAsia="en-GB"/>
        </w:rPr>
        <w:t xml:space="preserve"> bivirkninger, herunder </w:t>
      </w:r>
      <w:r w:rsidRPr="00486077">
        <w:rPr>
          <w:iCs/>
          <w:sz w:val="24"/>
          <w:szCs w:val="24"/>
          <w:lang w:eastAsia="en-GB"/>
        </w:rPr>
        <w:t>lægemiddelreaktionen</w:t>
      </w:r>
    </w:p>
    <w:p w:rsidR="00E91E25" w:rsidRPr="00C807DF" w:rsidRDefault="00E91E25" w:rsidP="00E91E25">
      <w:pPr>
        <w:ind w:left="851"/>
        <w:rPr>
          <w:iCs/>
          <w:sz w:val="24"/>
          <w:szCs w:val="24"/>
          <w:lang w:eastAsia="en-GB"/>
        </w:rPr>
      </w:pPr>
      <w:proofErr w:type="spellStart"/>
      <w:r w:rsidRPr="00486077">
        <w:rPr>
          <w:iCs/>
          <w:sz w:val="24"/>
          <w:szCs w:val="24"/>
          <w:lang w:eastAsia="en-GB"/>
        </w:rPr>
        <w:t>eosinofili</w:t>
      </w:r>
      <w:proofErr w:type="spellEnd"/>
      <w:r w:rsidRPr="00486077">
        <w:rPr>
          <w:iCs/>
          <w:sz w:val="24"/>
          <w:szCs w:val="24"/>
          <w:lang w:eastAsia="en-GB"/>
        </w:rPr>
        <w:t xml:space="preserve"> og systemiske symptomer (DRESS),</w:t>
      </w:r>
      <w:r>
        <w:rPr>
          <w:rFonts w:ascii="Verdana" w:hAnsi="Verdana" w:cs="Verdana"/>
          <w:b/>
          <w:bCs/>
          <w:sz w:val="18"/>
          <w:szCs w:val="18"/>
          <w:lang w:val="sv-SE" w:eastAsia="da-DK"/>
        </w:rPr>
        <w:t xml:space="preserve"> </w:t>
      </w:r>
      <w:r w:rsidRPr="00C807DF">
        <w:rPr>
          <w:iCs/>
          <w:sz w:val="24"/>
          <w:szCs w:val="24"/>
          <w:lang w:eastAsia="en-GB"/>
        </w:rPr>
        <w:t xml:space="preserve">Stevens-Johnsons syndrom (SJS) og toksisk </w:t>
      </w:r>
      <w:proofErr w:type="spellStart"/>
      <w:r w:rsidRPr="00C807DF">
        <w:rPr>
          <w:iCs/>
          <w:sz w:val="24"/>
          <w:szCs w:val="24"/>
          <w:lang w:eastAsia="en-GB"/>
        </w:rPr>
        <w:t>epidermal</w:t>
      </w:r>
      <w:proofErr w:type="spellEnd"/>
      <w:r w:rsidRPr="00C807DF">
        <w:rPr>
          <w:iCs/>
          <w:sz w:val="24"/>
          <w:szCs w:val="24"/>
          <w:lang w:eastAsia="en-GB"/>
        </w:rPr>
        <w:t xml:space="preserve"> </w:t>
      </w:r>
      <w:proofErr w:type="spellStart"/>
      <w:r w:rsidRPr="00C807DF">
        <w:rPr>
          <w:iCs/>
          <w:sz w:val="24"/>
          <w:szCs w:val="24"/>
          <w:lang w:eastAsia="en-GB"/>
        </w:rPr>
        <w:t>nekrolyse</w:t>
      </w:r>
      <w:proofErr w:type="spellEnd"/>
      <w:r w:rsidRPr="00C807DF">
        <w:rPr>
          <w:iCs/>
          <w:sz w:val="24"/>
          <w:szCs w:val="24"/>
          <w:lang w:eastAsia="en-GB"/>
        </w:rPr>
        <w:t xml:space="preserve"> (TEN), i forbindelse med </w:t>
      </w:r>
      <w:proofErr w:type="spellStart"/>
      <w:r w:rsidRPr="00C807DF">
        <w:rPr>
          <w:iCs/>
          <w:sz w:val="24"/>
          <w:szCs w:val="24"/>
          <w:lang w:eastAsia="en-GB"/>
        </w:rPr>
        <w:t>mesalazin</w:t>
      </w:r>
      <w:proofErr w:type="spellEnd"/>
      <w:r w:rsidRPr="00C807DF">
        <w:rPr>
          <w:iCs/>
          <w:sz w:val="24"/>
          <w:szCs w:val="24"/>
          <w:lang w:eastAsia="en-GB"/>
        </w:rPr>
        <w:t>-behandling (se pkt. 4.4).</w:t>
      </w:r>
    </w:p>
    <w:p w:rsidR="004B48C7" w:rsidRPr="00C807DF" w:rsidRDefault="004B48C7" w:rsidP="004B48C7">
      <w:pPr>
        <w:ind w:left="851"/>
        <w:rPr>
          <w:i/>
          <w:iCs/>
          <w:sz w:val="24"/>
          <w:szCs w:val="24"/>
          <w:lang w:eastAsia="en-GB"/>
        </w:rPr>
      </w:pPr>
    </w:p>
    <w:p w:rsidR="004B48C7" w:rsidRPr="00217836" w:rsidRDefault="004B48C7" w:rsidP="004B48C7">
      <w:pPr>
        <w:ind w:left="851"/>
        <w:rPr>
          <w:iCs/>
          <w:sz w:val="24"/>
          <w:szCs w:val="24"/>
          <w:u w:val="single"/>
          <w:lang w:eastAsia="en-GB"/>
        </w:rPr>
      </w:pPr>
      <w:r w:rsidRPr="00217836">
        <w:rPr>
          <w:iCs/>
          <w:sz w:val="24"/>
          <w:szCs w:val="24"/>
          <w:u w:val="single"/>
          <w:lang w:eastAsia="en-GB"/>
        </w:rPr>
        <w:t>Fotosensitivitet</w:t>
      </w:r>
    </w:p>
    <w:p w:rsidR="004B48C7" w:rsidRPr="00C807DF" w:rsidRDefault="004B48C7" w:rsidP="004B48C7">
      <w:pPr>
        <w:tabs>
          <w:tab w:val="left" w:pos="567"/>
        </w:tabs>
        <w:ind w:left="851"/>
        <w:rPr>
          <w:sz w:val="24"/>
          <w:szCs w:val="24"/>
        </w:rPr>
      </w:pPr>
      <w:r w:rsidRPr="00C807DF">
        <w:rPr>
          <w:sz w:val="24"/>
          <w:szCs w:val="24"/>
        </w:rPr>
        <w:t xml:space="preserve">Der er rapporteret om sværere reaktioner hos patienter, som allerede led af hudsygdomme, såsom </w:t>
      </w:r>
      <w:proofErr w:type="spellStart"/>
      <w:r w:rsidRPr="00C807DF">
        <w:rPr>
          <w:sz w:val="24"/>
          <w:szCs w:val="24"/>
        </w:rPr>
        <w:t>atopisk</w:t>
      </w:r>
      <w:proofErr w:type="spellEnd"/>
      <w:r w:rsidRPr="00C807DF">
        <w:rPr>
          <w:sz w:val="24"/>
          <w:szCs w:val="24"/>
        </w:rPr>
        <w:t xml:space="preserve"> </w:t>
      </w:r>
      <w:proofErr w:type="spellStart"/>
      <w:r w:rsidRPr="00C807DF">
        <w:rPr>
          <w:sz w:val="24"/>
          <w:szCs w:val="24"/>
        </w:rPr>
        <w:t>dermatitis</w:t>
      </w:r>
      <w:proofErr w:type="spellEnd"/>
      <w:r w:rsidRPr="00C807DF">
        <w:rPr>
          <w:sz w:val="24"/>
          <w:szCs w:val="24"/>
        </w:rPr>
        <w:t xml:space="preserve"> og </w:t>
      </w:r>
      <w:proofErr w:type="spellStart"/>
      <w:r w:rsidRPr="00C807DF">
        <w:rPr>
          <w:sz w:val="24"/>
          <w:szCs w:val="24"/>
        </w:rPr>
        <w:t>atopisk</w:t>
      </w:r>
      <w:proofErr w:type="spellEnd"/>
      <w:r w:rsidRPr="00C807DF">
        <w:rPr>
          <w:sz w:val="24"/>
          <w:szCs w:val="24"/>
        </w:rPr>
        <w:t xml:space="preserve"> eksem.</w:t>
      </w:r>
    </w:p>
    <w:p w:rsidR="004B48C7" w:rsidRPr="00C807DF" w:rsidRDefault="004B48C7" w:rsidP="004B48C7">
      <w:pPr>
        <w:ind w:left="851"/>
        <w:rPr>
          <w:i/>
          <w:noProof/>
          <w:sz w:val="24"/>
          <w:szCs w:val="24"/>
        </w:rPr>
      </w:pPr>
    </w:p>
    <w:p w:rsidR="004B48C7" w:rsidRPr="00C807DF" w:rsidRDefault="004B48C7" w:rsidP="004B48C7">
      <w:pPr>
        <w:autoSpaceDE w:val="0"/>
        <w:autoSpaceDN w:val="0"/>
        <w:adjustRightInd w:val="0"/>
        <w:ind w:left="851"/>
        <w:rPr>
          <w:sz w:val="24"/>
          <w:szCs w:val="24"/>
          <w:u w:val="single"/>
        </w:rPr>
      </w:pPr>
      <w:r w:rsidRPr="00C807DF">
        <w:rPr>
          <w:noProof/>
          <w:sz w:val="24"/>
          <w:szCs w:val="24"/>
          <w:u w:val="single"/>
        </w:rPr>
        <w:t>Indberetning af formodede bivirkninger</w:t>
      </w:r>
    </w:p>
    <w:p w:rsidR="004B48C7" w:rsidRPr="00C807DF" w:rsidRDefault="004B48C7" w:rsidP="004B48C7">
      <w:pPr>
        <w:autoSpaceDE w:val="0"/>
        <w:autoSpaceDN w:val="0"/>
        <w:adjustRightInd w:val="0"/>
        <w:ind w:left="851"/>
        <w:rPr>
          <w:noProof/>
          <w:sz w:val="24"/>
          <w:szCs w:val="24"/>
        </w:rPr>
      </w:pPr>
      <w:r w:rsidRPr="00C807DF">
        <w:rPr>
          <w:noProof/>
          <w:sz w:val="24"/>
          <w:szCs w:val="24"/>
        </w:rPr>
        <w:t>Når lægemidlet er godkendt, er indberetning af formodede bivirkninger vigtig.</w:t>
      </w:r>
      <w:r w:rsidRPr="00C807DF">
        <w:rPr>
          <w:sz w:val="24"/>
          <w:szCs w:val="24"/>
        </w:rPr>
        <w:t xml:space="preserve"> </w:t>
      </w:r>
      <w:r w:rsidRPr="00C807DF">
        <w:rPr>
          <w:noProof/>
          <w:sz w:val="24"/>
          <w:szCs w:val="24"/>
        </w:rPr>
        <w:t>Det muliggør løbende overvågning af benefit/risk-forholdet for lægemidlet.</w:t>
      </w:r>
      <w:r w:rsidRPr="00C807DF">
        <w:rPr>
          <w:sz w:val="24"/>
          <w:szCs w:val="24"/>
        </w:rPr>
        <w:t xml:space="preserve"> </w:t>
      </w:r>
      <w:r w:rsidRPr="00C807DF">
        <w:rPr>
          <w:noProof/>
          <w:sz w:val="24"/>
          <w:szCs w:val="24"/>
        </w:rPr>
        <w:t>Sundhedspersoner anmodes om at indberette alle formodede bivirkninger via:</w:t>
      </w:r>
    </w:p>
    <w:p w:rsidR="004B48C7" w:rsidRPr="00C807DF" w:rsidRDefault="004B48C7" w:rsidP="004B48C7">
      <w:pPr>
        <w:autoSpaceDE w:val="0"/>
        <w:autoSpaceDN w:val="0"/>
        <w:adjustRightInd w:val="0"/>
        <w:ind w:left="851"/>
        <w:rPr>
          <w:noProof/>
          <w:sz w:val="24"/>
          <w:szCs w:val="24"/>
        </w:rPr>
      </w:pPr>
    </w:p>
    <w:p w:rsidR="004B48C7" w:rsidRPr="00C807DF" w:rsidRDefault="004B48C7" w:rsidP="004B48C7">
      <w:pPr>
        <w:autoSpaceDE w:val="0"/>
        <w:autoSpaceDN w:val="0"/>
        <w:adjustRightInd w:val="0"/>
        <w:ind w:left="851"/>
        <w:rPr>
          <w:noProof/>
          <w:sz w:val="24"/>
          <w:szCs w:val="24"/>
        </w:rPr>
      </w:pPr>
      <w:r w:rsidRPr="00C807DF">
        <w:rPr>
          <w:noProof/>
          <w:sz w:val="24"/>
          <w:szCs w:val="24"/>
        </w:rPr>
        <w:t>Lægemiddelstyrelsen</w:t>
      </w:r>
    </w:p>
    <w:p w:rsidR="004B48C7" w:rsidRPr="00C807DF" w:rsidRDefault="004B48C7" w:rsidP="004B48C7">
      <w:pPr>
        <w:autoSpaceDE w:val="0"/>
        <w:autoSpaceDN w:val="0"/>
        <w:adjustRightInd w:val="0"/>
        <w:ind w:left="851"/>
        <w:rPr>
          <w:noProof/>
          <w:sz w:val="24"/>
          <w:szCs w:val="24"/>
        </w:rPr>
      </w:pPr>
      <w:r w:rsidRPr="00C807DF">
        <w:rPr>
          <w:noProof/>
          <w:sz w:val="24"/>
          <w:szCs w:val="24"/>
        </w:rPr>
        <w:t>Axel Heides Gade 1</w:t>
      </w:r>
    </w:p>
    <w:p w:rsidR="004B48C7" w:rsidRPr="00C807DF" w:rsidRDefault="004B48C7" w:rsidP="004B48C7">
      <w:pPr>
        <w:autoSpaceDE w:val="0"/>
        <w:autoSpaceDN w:val="0"/>
        <w:adjustRightInd w:val="0"/>
        <w:ind w:left="851"/>
        <w:rPr>
          <w:noProof/>
          <w:sz w:val="24"/>
          <w:szCs w:val="24"/>
        </w:rPr>
      </w:pPr>
      <w:r w:rsidRPr="00C807DF">
        <w:rPr>
          <w:noProof/>
          <w:sz w:val="24"/>
          <w:szCs w:val="24"/>
        </w:rPr>
        <w:t>DK-2300 København S</w:t>
      </w:r>
    </w:p>
    <w:p w:rsidR="009260DE" w:rsidRPr="00C84483" w:rsidRDefault="004B48C7" w:rsidP="00217836">
      <w:pPr>
        <w:autoSpaceDE w:val="0"/>
        <w:autoSpaceDN w:val="0"/>
        <w:adjustRightInd w:val="0"/>
        <w:ind w:left="851"/>
        <w:rPr>
          <w:noProof/>
          <w:sz w:val="24"/>
          <w:szCs w:val="24"/>
        </w:rPr>
      </w:pPr>
      <w:r w:rsidRPr="00C807DF">
        <w:rPr>
          <w:noProof/>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8A489E" w:rsidRPr="00C807DF" w:rsidRDefault="008A489E" w:rsidP="008A489E">
      <w:pPr>
        <w:ind w:left="851"/>
        <w:rPr>
          <w:sz w:val="24"/>
          <w:szCs w:val="24"/>
        </w:rPr>
      </w:pPr>
      <w:r w:rsidRPr="00C807DF">
        <w:rPr>
          <w:sz w:val="24"/>
          <w:szCs w:val="24"/>
        </w:rPr>
        <w:t xml:space="preserve">Der foreligger få data om overdosering (f.eks. påtænkt selvmord med høje orale doser af </w:t>
      </w:r>
      <w:proofErr w:type="spellStart"/>
      <w:r w:rsidRPr="00C807DF">
        <w:rPr>
          <w:sz w:val="24"/>
          <w:szCs w:val="24"/>
        </w:rPr>
        <w:t>mesalazin</w:t>
      </w:r>
      <w:proofErr w:type="spellEnd"/>
      <w:r w:rsidRPr="00C807DF">
        <w:rPr>
          <w:sz w:val="24"/>
          <w:szCs w:val="24"/>
        </w:rPr>
        <w:t xml:space="preserve">), som ikke indikerer </w:t>
      </w:r>
      <w:proofErr w:type="spellStart"/>
      <w:r w:rsidRPr="00C807DF">
        <w:rPr>
          <w:sz w:val="24"/>
          <w:szCs w:val="24"/>
        </w:rPr>
        <w:t>renal</w:t>
      </w:r>
      <w:proofErr w:type="spellEnd"/>
      <w:r w:rsidRPr="00C807DF">
        <w:rPr>
          <w:sz w:val="24"/>
          <w:szCs w:val="24"/>
        </w:rPr>
        <w:t xml:space="preserve"> eller </w:t>
      </w:r>
      <w:proofErr w:type="spellStart"/>
      <w:r w:rsidRPr="00C807DF">
        <w:rPr>
          <w:sz w:val="24"/>
          <w:szCs w:val="24"/>
        </w:rPr>
        <w:t>hepatisk</w:t>
      </w:r>
      <w:proofErr w:type="spellEnd"/>
      <w:r w:rsidRPr="00C807DF">
        <w:rPr>
          <w:sz w:val="24"/>
          <w:szCs w:val="24"/>
        </w:rPr>
        <w:t xml:space="preserve"> toksicitet. Der er ingen specifik </w:t>
      </w:r>
      <w:proofErr w:type="spellStart"/>
      <w:r w:rsidRPr="00C807DF">
        <w:rPr>
          <w:sz w:val="24"/>
          <w:szCs w:val="24"/>
        </w:rPr>
        <w:t>antidot</w:t>
      </w:r>
      <w:proofErr w:type="spellEnd"/>
      <w:r w:rsidRPr="00C807DF">
        <w:rPr>
          <w:sz w:val="24"/>
          <w:szCs w:val="24"/>
        </w:rPr>
        <w:t>, og behandlingen bør være symptomatisk og understøttende.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8A489E"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E91E2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91E25" w:rsidRPr="00C84483" w:rsidRDefault="00E91E25" w:rsidP="00E91E25">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C807DF">
        <w:rPr>
          <w:sz w:val="24"/>
          <w:szCs w:val="24"/>
        </w:rPr>
        <w:t>Antiinflammatorisk middel ved tarmsygdom</w:t>
      </w:r>
      <w:r>
        <w:rPr>
          <w:sz w:val="24"/>
          <w:szCs w:val="24"/>
        </w:rPr>
        <w:t xml:space="preserve">, </w:t>
      </w:r>
      <w:r w:rsidRPr="00C807DF">
        <w:rPr>
          <w:sz w:val="24"/>
          <w:szCs w:val="24"/>
        </w:rPr>
        <w:t>ATC-kode A07EC02</w:t>
      </w:r>
      <w:r>
        <w:rPr>
          <w:sz w:val="24"/>
          <w:szCs w:val="24"/>
        </w:rPr>
        <w:t xml:space="preserve">. </w:t>
      </w:r>
    </w:p>
    <w:p w:rsidR="00AD0AAE" w:rsidRDefault="00AD0AAE" w:rsidP="00AD0AAE">
      <w:pPr>
        <w:suppressAutoHyphens/>
        <w:ind w:left="851"/>
        <w:rPr>
          <w:sz w:val="24"/>
          <w:szCs w:val="24"/>
        </w:rPr>
      </w:pPr>
    </w:p>
    <w:p w:rsidR="00E91E25" w:rsidRPr="00C807DF" w:rsidRDefault="00E91E25" w:rsidP="00AD0AAE">
      <w:pPr>
        <w:suppressAutoHyphens/>
        <w:ind w:left="851"/>
        <w:rPr>
          <w:sz w:val="24"/>
          <w:szCs w:val="24"/>
        </w:rPr>
      </w:pPr>
    </w:p>
    <w:p w:rsidR="00AD0AAE" w:rsidRPr="00C807DF" w:rsidRDefault="00AD0AAE" w:rsidP="00E91E25">
      <w:pPr>
        <w:keepNext/>
        <w:suppressAutoHyphens/>
        <w:ind w:left="851"/>
        <w:rPr>
          <w:sz w:val="24"/>
          <w:szCs w:val="24"/>
          <w:u w:val="single"/>
        </w:rPr>
      </w:pPr>
      <w:r w:rsidRPr="00C807DF">
        <w:rPr>
          <w:sz w:val="24"/>
          <w:szCs w:val="24"/>
          <w:u w:val="single"/>
        </w:rPr>
        <w:lastRenderedPageBreak/>
        <w:t>Virkningsmekanisme</w:t>
      </w:r>
    </w:p>
    <w:p w:rsidR="00AD0AAE" w:rsidRPr="00C807DF" w:rsidRDefault="00AD0AAE" w:rsidP="00AD0AAE">
      <w:pPr>
        <w:suppressAutoHyphens/>
        <w:ind w:left="851"/>
        <w:rPr>
          <w:sz w:val="24"/>
          <w:szCs w:val="24"/>
        </w:rPr>
      </w:pPr>
      <w:r w:rsidRPr="00C807DF">
        <w:rPr>
          <w:sz w:val="24"/>
          <w:szCs w:val="24"/>
        </w:rPr>
        <w:t xml:space="preserve">Den antiinflammatoriske virkningsmekanisme er ukendt. Resultaterne af </w:t>
      </w:r>
      <w:r w:rsidRPr="00C807DF">
        <w:rPr>
          <w:i/>
          <w:sz w:val="24"/>
          <w:szCs w:val="24"/>
        </w:rPr>
        <w:t xml:space="preserve">in </w:t>
      </w:r>
      <w:proofErr w:type="spellStart"/>
      <w:r w:rsidRPr="00C807DF">
        <w:rPr>
          <w:i/>
          <w:sz w:val="24"/>
          <w:szCs w:val="24"/>
        </w:rPr>
        <w:t>vitro</w:t>
      </w:r>
      <w:proofErr w:type="spellEnd"/>
      <w:r w:rsidRPr="00C807DF">
        <w:rPr>
          <w:sz w:val="24"/>
          <w:szCs w:val="24"/>
        </w:rPr>
        <w:t xml:space="preserve">-studier tyder på, at hæmning af </w:t>
      </w:r>
      <w:proofErr w:type="spellStart"/>
      <w:r w:rsidRPr="00C807DF">
        <w:rPr>
          <w:sz w:val="24"/>
          <w:szCs w:val="24"/>
        </w:rPr>
        <w:t>lipooxygenase</w:t>
      </w:r>
      <w:proofErr w:type="spellEnd"/>
      <w:r w:rsidRPr="00C807DF">
        <w:rPr>
          <w:sz w:val="24"/>
          <w:szCs w:val="24"/>
        </w:rPr>
        <w:t xml:space="preserve"> kan spille en rolle. Der er også påvist virkninger på </w:t>
      </w:r>
      <w:proofErr w:type="spellStart"/>
      <w:r w:rsidRPr="00C807DF">
        <w:rPr>
          <w:sz w:val="24"/>
          <w:szCs w:val="24"/>
        </w:rPr>
        <w:t>prostaglandinkoncentrationen</w:t>
      </w:r>
      <w:proofErr w:type="spellEnd"/>
      <w:r w:rsidRPr="00C807DF">
        <w:rPr>
          <w:sz w:val="24"/>
          <w:szCs w:val="24"/>
        </w:rPr>
        <w:t xml:space="preserve"> i tarmslimhinden. </w:t>
      </w:r>
      <w:proofErr w:type="spellStart"/>
      <w:r w:rsidRPr="00C807DF">
        <w:rPr>
          <w:sz w:val="24"/>
          <w:szCs w:val="24"/>
        </w:rPr>
        <w:t>Mesalazin</w:t>
      </w:r>
      <w:proofErr w:type="spellEnd"/>
      <w:r w:rsidRPr="00C807DF">
        <w:rPr>
          <w:sz w:val="24"/>
          <w:szCs w:val="24"/>
        </w:rPr>
        <w:t xml:space="preserve"> (5-aminosalicylsyre/5-ASA) kan muligvis også fungere ved at binde frie radikaler i form af reaktive oxygenforbindelser. Når </w:t>
      </w:r>
      <w:proofErr w:type="spellStart"/>
      <w:r w:rsidRPr="00C807DF">
        <w:rPr>
          <w:sz w:val="24"/>
          <w:szCs w:val="24"/>
        </w:rPr>
        <w:t>rektalt</w:t>
      </w:r>
      <w:proofErr w:type="spellEnd"/>
      <w:r w:rsidRPr="00C807DF">
        <w:rPr>
          <w:sz w:val="24"/>
          <w:szCs w:val="24"/>
        </w:rPr>
        <w:t xml:space="preserve"> indgivet </w:t>
      </w:r>
      <w:proofErr w:type="spellStart"/>
      <w:r w:rsidRPr="00C807DF">
        <w:rPr>
          <w:sz w:val="24"/>
          <w:szCs w:val="24"/>
        </w:rPr>
        <w:t>mesalazin</w:t>
      </w:r>
      <w:proofErr w:type="spellEnd"/>
      <w:r w:rsidRPr="00C807DF">
        <w:rPr>
          <w:sz w:val="24"/>
          <w:szCs w:val="24"/>
        </w:rPr>
        <w:t xml:space="preserve"> når tarmlumen, har det overvejende lokale virkninger på tarmslimhinden og </w:t>
      </w:r>
      <w:proofErr w:type="spellStart"/>
      <w:r w:rsidRPr="00C807DF">
        <w:rPr>
          <w:sz w:val="24"/>
          <w:szCs w:val="24"/>
        </w:rPr>
        <w:t>submukøse</w:t>
      </w:r>
      <w:proofErr w:type="spellEnd"/>
      <w:r w:rsidRPr="00C807DF">
        <w:rPr>
          <w:sz w:val="24"/>
          <w:szCs w:val="24"/>
        </w:rPr>
        <w:t xml:space="preserve"> væv.</w:t>
      </w:r>
    </w:p>
    <w:p w:rsidR="00AD0AAE" w:rsidRPr="00C807DF" w:rsidRDefault="00AD0AAE" w:rsidP="00AD0AAE">
      <w:pPr>
        <w:suppressAutoHyphens/>
        <w:ind w:left="851"/>
        <w:rPr>
          <w:sz w:val="24"/>
          <w:szCs w:val="24"/>
          <w:u w:val="single"/>
        </w:rPr>
      </w:pPr>
    </w:p>
    <w:p w:rsidR="00AD0AAE" w:rsidRPr="00C807DF" w:rsidRDefault="00AD0AAE" w:rsidP="00AD0AAE">
      <w:pPr>
        <w:suppressAutoHyphens/>
        <w:ind w:left="851"/>
        <w:rPr>
          <w:sz w:val="24"/>
          <w:szCs w:val="24"/>
          <w:u w:val="single"/>
        </w:rPr>
      </w:pPr>
      <w:r w:rsidRPr="00C807DF">
        <w:rPr>
          <w:sz w:val="24"/>
          <w:szCs w:val="24"/>
          <w:u w:val="single"/>
        </w:rPr>
        <w:t>Klinisk virkning og sikkerhed</w:t>
      </w:r>
    </w:p>
    <w:p w:rsidR="00AD0AAE" w:rsidRPr="00C807DF" w:rsidRDefault="00AD0AAE" w:rsidP="00AD0AAE">
      <w:pPr>
        <w:suppressAutoHyphens/>
        <w:ind w:left="851"/>
        <w:rPr>
          <w:sz w:val="24"/>
          <w:szCs w:val="24"/>
        </w:rPr>
      </w:pPr>
      <w:r w:rsidRPr="00C807DF">
        <w:rPr>
          <w:sz w:val="24"/>
          <w:szCs w:val="24"/>
        </w:rPr>
        <w:t xml:space="preserve">Den kliniske virkning og sikkerhed af suppositorier med 1 g </w:t>
      </w:r>
      <w:proofErr w:type="spellStart"/>
      <w:r w:rsidRPr="00C807DF">
        <w:rPr>
          <w:sz w:val="24"/>
          <w:szCs w:val="24"/>
        </w:rPr>
        <w:t>mesalazin</w:t>
      </w:r>
      <w:proofErr w:type="spellEnd"/>
      <w:r w:rsidRPr="00C807DF">
        <w:rPr>
          <w:sz w:val="24"/>
          <w:szCs w:val="24"/>
        </w:rPr>
        <w:t xml:space="preserve"> er blevet vurderet i et fase III-multicenterstudie, som omfattede 403 patienter med </w:t>
      </w:r>
      <w:proofErr w:type="spellStart"/>
      <w:r w:rsidRPr="00C807DF">
        <w:rPr>
          <w:sz w:val="24"/>
          <w:szCs w:val="24"/>
        </w:rPr>
        <w:t>endoskopisk</w:t>
      </w:r>
      <w:proofErr w:type="spellEnd"/>
      <w:r w:rsidRPr="00C807DF">
        <w:rPr>
          <w:sz w:val="24"/>
          <w:szCs w:val="24"/>
        </w:rPr>
        <w:t xml:space="preserve"> og histologisk bekræftet let til moderat aktiv ulcerøs </w:t>
      </w:r>
      <w:proofErr w:type="spellStart"/>
      <w:r w:rsidRPr="00C807DF">
        <w:rPr>
          <w:sz w:val="24"/>
          <w:szCs w:val="24"/>
        </w:rPr>
        <w:t>proctitis</w:t>
      </w:r>
      <w:proofErr w:type="spellEnd"/>
      <w:r w:rsidRPr="00C807DF">
        <w:rPr>
          <w:sz w:val="24"/>
          <w:szCs w:val="24"/>
        </w:rPr>
        <w:t xml:space="preserve">. Det gennemsnitlige sygdomsaktivitetsindeks (DAI) ved baseline var 6,2 ± 1,5 (interval: 3–10). Patienterne blev randomiseret til behandling med </w:t>
      </w:r>
      <w:r w:rsidR="00191D7C">
        <w:rPr>
          <w:sz w:val="24"/>
          <w:szCs w:val="24"/>
        </w:rPr>
        <w:t>et</w:t>
      </w:r>
      <w:r w:rsidRPr="00C807DF">
        <w:rPr>
          <w:sz w:val="24"/>
          <w:szCs w:val="24"/>
        </w:rPr>
        <w:t xml:space="preserve"> suppositorie indeholdende 1 g </w:t>
      </w:r>
      <w:proofErr w:type="spellStart"/>
      <w:r w:rsidRPr="00C807DF">
        <w:rPr>
          <w:sz w:val="24"/>
          <w:szCs w:val="24"/>
        </w:rPr>
        <w:t>mesalazin</w:t>
      </w:r>
      <w:proofErr w:type="spellEnd"/>
      <w:r w:rsidRPr="00C807DF">
        <w:rPr>
          <w:sz w:val="24"/>
          <w:szCs w:val="24"/>
        </w:rPr>
        <w:t xml:space="preserve"> (1 g OD-gruppen) eller 3 suppositorier indeholdende 0,5 g </w:t>
      </w:r>
      <w:proofErr w:type="spellStart"/>
      <w:r w:rsidRPr="00C807DF">
        <w:rPr>
          <w:sz w:val="24"/>
          <w:szCs w:val="24"/>
        </w:rPr>
        <w:t>mesalazin</w:t>
      </w:r>
      <w:proofErr w:type="spellEnd"/>
      <w:r w:rsidRPr="00C807DF">
        <w:rPr>
          <w:sz w:val="24"/>
          <w:szCs w:val="24"/>
        </w:rPr>
        <w:t xml:space="preserve"> (0,5 g TID-gruppen) pr. dag i 6 uger. Den primære effektvariable var klinisk remission, defineret som DAI &lt; 4 ved det afsluttende besøg eller udtræden. Ved den endelige per-protokol-analyse var 87,9 % af patienterne i 1 g OD-gruppen og 90,7 % af patienterne i 0,5 g TID-gruppen i klinisk remission (Intention-to-</w:t>
      </w:r>
      <w:proofErr w:type="spellStart"/>
      <w:r w:rsidRPr="00C807DF">
        <w:rPr>
          <w:sz w:val="24"/>
          <w:szCs w:val="24"/>
        </w:rPr>
        <w:t>treat</w:t>
      </w:r>
      <w:proofErr w:type="spellEnd"/>
      <w:r w:rsidRPr="00C807DF">
        <w:rPr>
          <w:sz w:val="24"/>
          <w:szCs w:val="24"/>
        </w:rPr>
        <w:t>-analyse: 1 g OD-gruppen: 84,0 %; 0,5 g TID-gruppen: 84,7 %). Den gennemsnitlige ændring i DAI i forhold til baseline var -4,7 i begge behandlingsgrupper. Der forekom ingen lægemiddelrelaterede alvorlige bivirkninger.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D0AAE" w:rsidRDefault="00AD0AAE" w:rsidP="00AD0AAE">
      <w:pPr>
        <w:ind w:left="851"/>
        <w:rPr>
          <w:sz w:val="24"/>
          <w:szCs w:val="24"/>
        </w:rPr>
      </w:pPr>
    </w:p>
    <w:p w:rsidR="00AD0AAE" w:rsidRPr="00AD0AAE" w:rsidRDefault="00AD0AAE" w:rsidP="00AD0AAE">
      <w:pPr>
        <w:ind w:left="851"/>
        <w:rPr>
          <w:b/>
          <w:iCs/>
          <w:sz w:val="24"/>
          <w:szCs w:val="24"/>
        </w:rPr>
      </w:pPr>
      <w:r w:rsidRPr="00AD0AAE">
        <w:rPr>
          <w:b/>
          <w:sz w:val="24"/>
          <w:szCs w:val="24"/>
        </w:rPr>
        <w:t xml:space="preserve">Generelt om </w:t>
      </w:r>
      <w:proofErr w:type="spellStart"/>
      <w:r w:rsidRPr="00AD0AAE">
        <w:rPr>
          <w:b/>
          <w:sz w:val="24"/>
          <w:szCs w:val="24"/>
        </w:rPr>
        <w:t>mesalazin</w:t>
      </w:r>
      <w:proofErr w:type="spellEnd"/>
    </w:p>
    <w:p w:rsidR="00AD0AAE" w:rsidRDefault="00AD0AAE" w:rsidP="00AD0AAE">
      <w:pPr>
        <w:ind w:left="851"/>
        <w:rPr>
          <w:iCs/>
          <w:sz w:val="24"/>
          <w:szCs w:val="24"/>
          <w:u w:val="single"/>
        </w:rPr>
      </w:pPr>
    </w:p>
    <w:p w:rsidR="00AD0AAE" w:rsidRPr="00C807DF" w:rsidRDefault="00AD0AAE" w:rsidP="00AD0AAE">
      <w:pPr>
        <w:ind w:left="851"/>
        <w:rPr>
          <w:iCs/>
          <w:sz w:val="24"/>
          <w:szCs w:val="24"/>
          <w:u w:val="single"/>
        </w:rPr>
      </w:pPr>
      <w:r w:rsidRPr="00C807DF">
        <w:rPr>
          <w:iCs/>
          <w:sz w:val="24"/>
          <w:szCs w:val="24"/>
          <w:u w:val="single"/>
        </w:rPr>
        <w:t>Absorption</w:t>
      </w:r>
    </w:p>
    <w:p w:rsidR="00AD0AAE" w:rsidRPr="00C807DF" w:rsidRDefault="00AD0AAE" w:rsidP="00AD0AAE">
      <w:pPr>
        <w:ind w:left="851"/>
        <w:rPr>
          <w:iCs/>
          <w:sz w:val="24"/>
          <w:szCs w:val="24"/>
        </w:rPr>
      </w:pPr>
      <w:r w:rsidRPr="00C807DF">
        <w:rPr>
          <w:sz w:val="24"/>
          <w:szCs w:val="24"/>
        </w:rPr>
        <w:t xml:space="preserve">Absorptionen af </w:t>
      </w:r>
      <w:proofErr w:type="spellStart"/>
      <w:r w:rsidRPr="00C807DF">
        <w:rPr>
          <w:sz w:val="24"/>
          <w:szCs w:val="24"/>
        </w:rPr>
        <w:t>mesalazin</w:t>
      </w:r>
      <w:proofErr w:type="spellEnd"/>
      <w:r w:rsidRPr="00C807DF">
        <w:rPr>
          <w:sz w:val="24"/>
          <w:szCs w:val="24"/>
        </w:rPr>
        <w:t xml:space="preserve"> er højest i de proksimale tarmregioner og lavest i de </w:t>
      </w:r>
      <w:proofErr w:type="spellStart"/>
      <w:r w:rsidRPr="00C807DF">
        <w:rPr>
          <w:sz w:val="24"/>
          <w:szCs w:val="24"/>
        </w:rPr>
        <w:t>distale</w:t>
      </w:r>
      <w:proofErr w:type="spellEnd"/>
      <w:r w:rsidRPr="00C807DF">
        <w:rPr>
          <w:sz w:val="24"/>
          <w:szCs w:val="24"/>
        </w:rPr>
        <w:t xml:space="preserve"> tarmregioner.</w:t>
      </w:r>
    </w:p>
    <w:p w:rsidR="00AD0AAE" w:rsidRPr="00C807DF" w:rsidRDefault="00AD0AAE" w:rsidP="00AD0AAE">
      <w:pPr>
        <w:ind w:left="851"/>
        <w:rPr>
          <w:iCs/>
          <w:sz w:val="24"/>
          <w:szCs w:val="24"/>
          <w:u w:val="single"/>
        </w:rPr>
      </w:pPr>
    </w:p>
    <w:p w:rsidR="00AD0AAE" w:rsidRPr="00C807DF" w:rsidRDefault="00AD0AAE" w:rsidP="00AD0AAE">
      <w:pPr>
        <w:ind w:left="851"/>
        <w:rPr>
          <w:iCs/>
          <w:sz w:val="24"/>
          <w:szCs w:val="24"/>
          <w:u w:val="single"/>
        </w:rPr>
      </w:pPr>
      <w:r w:rsidRPr="00C807DF">
        <w:rPr>
          <w:iCs/>
          <w:sz w:val="24"/>
          <w:szCs w:val="24"/>
          <w:u w:val="single"/>
        </w:rPr>
        <w:t>Biotransformation</w:t>
      </w:r>
    </w:p>
    <w:p w:rsidR="00AD0AAE" w:rsidRPr="00C807DF" w:rsidRDefault="00AD0AAE" w:rsidP="00AD0AAE">
      <w:pPr>
        <w:ind w:left="851"/>
        <w:rPr>
          <w:iCs/>
          <w:sz w:val="24"/>
          <w:szCs w:val="24"/>
        </w:rPr>
      </w:pPr>
      <w:proofErr w:type="spellStart"/>
      <w:r w:rsidRPr="00C807DF">
        <w:rPr>
          <w:sz w:val="24"/>
          <w:szCs w:val="24"/>
        </w:rPr>
        <w:t>Mesalazin</w:t>
      </w:r>
      <w:proofErr w:type="spellEnd"/>
      <w:r w:rsidRPr="00C807DF">
        <w:rPr>
          <w:sz w:val="24"/>
          <w:szCs w:val="24"/>
        </w:rPr>
        <w:t xml:space="preserve"> </w:t>
      </w:r>
      <w:proofErr w:type="spellStart"/>
      <w:r w:rsidRPr="00C807DF">
        <w:rPr>
          <w:sz w:val="24"/>
          <w:szCs w:val="24"/>
        </w:rPr>
        <w:t>metaboliseres</w:t>
      </w:r>
      <w:proofErr w:type="spellEnd"/>
      <w:r w:rsidRPr="00C807DF">
        <w:rPr>
          <w:sz w:val="24"/>
          <w:szCs w:val="24"/>
        </w:rPr>
        <w:t xml:space="preserve"> både præsystemisk via tarmslimhinden og i leveren til den farmakologiske inaktive N-acetyl-5-aminosalicylsyre (N-Ac-5-ASA). </w:t>
      </w:r>
      <w:proofErr w:type="spellStart"/>
      <w:r w:rsidRPr="00C807DF">
        <w:rPr>
          <w:sz w:val="24"/>
          <w:szCs w:val="24"/>
        </w:rPr>
        <w:t>Acetyleringen</w:t>
      </w:r>
      <w:proofErr w:type="spellEnd"/>
      <w:r w:rsidRPr="00C807DF">
        <w:rPr>
          <w:sz w:val="24"/>
          <w:szCs w:val="24"/>
        </w:rPr>
        <w:t xml:space="preserve"> synes at være uafhængig af patientens </w:t>
      </w:r>
      <w:proofErr w:type="spellStart"/>
      <w:r w:rsidRPr="00C807DF">
        <w:rPr>
          <w:sz w:val="24"/>
          <w:szCs w:val="24"/>
        </w:rPr>
        <w:t>acetyleringsfænotype</w:t>
      </w:r>
      <w:proofErr w:type="spellEnd"/>
      <w:r w:rsidRPr="00C807DF">
        <w:rPr>
          <w:sz w:val="24"/>
          <w:szCs w:val="24"/>
        </w:rPr>
        <w:t xml:space="preserve">. Der sker også en vis </w:t>
      </w:r>
      <w:proofErr w:type="spellStart"/>
      <w:r w:rsidRPr="00C807DF">
        <w:rPr>
          <w:sz w:val="24"/>
          <w:szCs w:val="24"/>
        </w:rPr>
        <w:t>acetylering</w:t>
      </w:r>
      <w:proofErr w:type="spellEnd"/>
      <w:r w:rsidRPr="00C807DF">
        <w:rPr>
          <w:sz w:val="24"/>
          <w:szCs w:val="24"/>
        </w:rPr>
        <w:t xml:space="preserve"> via bakteriel aktivitet i </w:t>
      </w:r>
      <w:proofErr w:type="spellStart"/>
      <w:r w:rsidRPr="00C807DF">
        <w:rPr>
          <w:sz w:val="24"/>
          <w:szCs w:val="24"/>
        </w:rPr>
        <w:t>colon</w:t>
      </w:r>
      <w:proofErr w:type="spellEnd"/>
      <w:r w:rsidRPr="00C807DF">
        <w:rPr>
          <w:sz w:val="24"/>
          <w:szCs w:val="24"/>
        </w:rPr>
        <w:t xml:space="preserve">. </w:t>
      </w:r>
      <w:proofErr w:type="spellStart"/>
      <w:r w:rsidRPr="00C807DF">
        <w:rPr>
          <w:sz w:val="24"/>
          <w:szCs w:val="24"/>
        </w:rPr>
        <w:t>Mesalazin</w:t>
      </w:r>
      <w:proofErr w:type="spellEnd"/>
      <w:r w:rsidRPr="00C807DF">
        <w:rPr>
          <w:sz w:val="24"/>
          <w:szCs w:val="24"/>
        </w:rPr>
        <w:t xml:space="preserve"> og N-Ac-5-ASA har en proteinbindingsgrad på henholdsvis 43 % og 78 %.</w:t>
      </w:r>
    </w:p>
    <w:p w:rsidR="00AD0AAE" w:rsidRPr="00C807DF" w:rsidRDefault="00AD0AAE" w:rsidP="00AD0AAE">
      <w:pPr>
        <w:ind w:left="851"/>
        <w:rPr>
          <w:iCs/>
          <w:sz w:val="24"/>
          <w:szCs w:val="24"/>
        </w:rPr>
      </w:pPr>
    </w:p>
    <w:p w:rsidR="00AD0AAE" w:rsidRPr="00C807DF" w:rsidRDefault="00AD0AAE" w:rsidP="00AD0AAE">
      <w:pPr>
        <w:ind w:left="851"/>
        <w:rPr>
          <w:iCs/>
          <w:sz w:val="24"/>
          <w:szCs w:val="24"/>
          <w:u w:val="single"/>
        </w:rPr>
      </w:pPr>
      <w:r w:rsidRPr="00C807DF">
        <w:rPr>
          <w:iCs/>
          <w:sz w:val="24"/>
          <w:szCs w:val="24"/>
          <w:u w:val="single"/>
        </w:rPr>
        <w:t>Elimination</w:t>
      </w:r>
    </w:p>
    <w:p w:rsidR="00AD0AAE" w:rsidRPr="00C807DF" w:rsidRDefault="00AD0AAE" w:rsidP="00AD0AAE">
      <w:pPr>
        <w:ind w:left="851"/>
        <w:rPr>
          <w:iCs/>
          <w:sz w:val="24"/>
          <w:szCs w:val="24"/>
        </w:rPr>
      </w:pPr>
      <w:proofErr w:type="spellStart"/>
      <w:r w:rsidRPr="00C807DF">
        <w:rPr>
          <w:sz w:val="24"/>
          <w:szCs w:val="24"/>
        </w:rPr>
        <w:t>Mesalazin</w:t>
      </w:r>
      <w:proofErr w:type="spellEnd"/>
      <w:r w:rsidRPr="00C807DF">
        <w:rPr>
          <w:sz w:val="24"/>
          <w:szCs w:val="24"/>
        </w:rPr>
        <w:t xml:space="preserve"> og dets metabolit N-Ac-5-ASA elimineres via fæces (størstedelen), </w:t>
      </w:r>
      <w:proofErr w:type="spellStart"/>
      <w:r w:rsidRPr="00C807DF">
        <w:rPr>
          <w:sz w:val="24"/>
          <w:szCs w:val="24"/>
        </w:rPr>
        <w:t>renalt</w:t>
      </w:r>
      <w:proofErr w:type="spellEnd"/>
      <w:r w:rsidRPr="00C807DF">
        <w:rPr>
          <w:sz w:val="24"/>
          <w:szCs w:val="24"/>
        </w:rPr>
        <w:t xml:space="preserve"> (mellem 20 og 50 %, afhængigt af administrationsmetode, lægemiddelform og frigivelsesvej) og via galden (mindre del). Den </w:t>
      </w:r>
      <w:proofErr w:type="spellStart"/>
      <w:r w:rsidRPr="00C807DF">
        <w:rPr>
          <w:sz w:val="24"/>
          <w:szCs w:val="24"/>
        </w:rPr>
        <w:t>renale</w:t>
      </w:r>
      <w:proofErr w:type="spellEnd"/>
      <w:r w:rsidRPr="00C807DF">
        <w:rPr>
          <w:sz w:val="24"/>
          <w:szCs w:val="24"/>
        </w:rPr>
        <w:t xml:space="preserve"> udskillelse sker overvejende i form af N-Ac-5-ASA. Cirka 1 % af den totale orale dosis </w:t>
      </w:r>
      <w:proofErr w:type="spellStart"/>
      <w:r w:rsidRPr="00C807DF">
        <w:rPr>
          <w:sz w:val="24"/>
          <w:szCs w:val="24"/>
        </w:rPr>
        <w:t>mesalazin</w:t>
      </w:r>
      <w:proofErr w:type="spellEnd"/>
      <w:r w:rsidRPr="00C807DF">
        <w:rPr>
          <w:sz w:val="24"/>
          <w:szCs w:val="24"/>
        </w:rPr>
        <w:t xml:space="preserve"> udskilles i modermælken, hovedsageligt som N-Ac-5-ASA.</w:t>
      </w:r>
    </w:p>
    <w:p w:rsidR="00AD0AAE" w:rsidRPr="00C807DF" w:rsidRDefault="00AD0AAE" w:rsidP="00AD0AAE">
      <w:pPr>
        <w:ind w:left="851"/>
        <w:rPr>
          <w:b/>
          <w:sz w:val="24"/>
          <w:szCs w:val="24"/>
        </w:rPr>
      </w:pPr>
    </w:p>
    <w:p w:rsidR="00AD0AAE" w:rsidRPr="00AD0AAE" w:rsidRDefault="00AD0AAE" w:rsidP="00AD0AAE">
      <w:pPr>
        <w:ind w:left="851"/>
        <w:rPr>
          <w:b/>
          <w:sz w:val="24"/>
          <w:szCs w:val="24"/>
        </w:rPr>
      </w:pPr>
      <w:r w:rsidRPr="00AD0AAE">
        <w:rPr>
          <w:b/>
          <w:sz w:val="24"/>
          <w:szCs w:val="24"/>
        </w:rPr>
        <w:t xml:space="preserve">Specifikt om </w:t>
      </w:r>
      <w:proofErr w:type="spellStart"/>
      <w:r w:rsidRPr="00AD0AAE">
        <w:rPr>
          <w:b/>
          <w:sz w:val="24"/>
          <w:szCs w:val="24"/>
        </w:rPr>
        <w:t>mesalazin</w:t>
      </w:r>
      <w:proofErr w:type="spellEnd"/>
      <w:r w:rsidRPr="00AD0AAE">
        <w:rPr>
          <w:b/>
          <w:sz w:val="24"/>
          <w:szCs w:val="24"/>
        </w:rPr>
        <w:t xml:space="preserve"> 1 g suppositorier</w:t>
      </w:r>
    </w:p>
    <w:p w:rsidR="00AD0AAE" w:rsidRDefault="00AD0AAE" w:rsidP="00AD0AAE">
      <w:pPr>
        <w:ind w:left="851"/>
        <w:rPr>
          <w:sz w:val="24"/>
          <w:szCs w:val="24"/>
          <w:u w:val="single"/>
        </w:rPr>
      </w:pPr>
    </w:p>
    <w:p w:rsidR="00AD0AAE" w:rsidRPr="00C807DF" w:rsidRDefault="00AD0AAE" w:rsidP="00AD0AAE">
      <w:pPr>
        <w:ind w:left="851"/>
        <w:rPr>
          <w:sz w:val="24"/>
          <w:szCs w:val="24"/>
          <w:u w:val="single"/>
        </w:rPr>
      </w:pPr>
      <w:r w:rsidRPr="00C807DF">
        <w:rPr>
          <w:sz w:val="24"/>
          <w:szCs w:val="24"/>
          <w:u w:val="single"/>
        </w:rPr>
        <w:t>Fordeling</w:t>
      </w:r>
    </w:p>
    <w:p w:rsidR="00AD0AAE" w:rsidRPr="00C807DF" w:rsidRDefault="00AD0AAE" w:rsidP="00AD0AAE">
      <w:pPr>
        <w:ind w:left="851"/>
        <w:rPr>
          <w:sz w:val="24"/>
          <w:szCs w:val="24"/>
        </w:rPr>
      </w:pPr>
      <w:proofErr w:type="spellStart"/>
      <w:r w:rsidRPr="00C807DF">
        <w:rPr>
          <w:sz w:val="24"/>
          <w:szCs w:val="24"/>
        </w:rPr>
        <w:t>Skintigrafiske</w:t>
      </w:r>
      <w:proofErr w:type="spellEnd"/>
      <w:r w:rsidRPr="00C807DF">
        <w:rPr>
          <w:sz w:val="24"/>
          <w:szCs w:val="24"/>
        </w:rPr>
        <w:t xml:space="preserve"> studier med et lignende lægemiddel, technetium-mærkede suppositorier med 500 mg </w:t>
      </w:r>
      <w:proofErr w:type="spellStart"/>
      <w:r w:rsidRPr="00C807DF">
        <w:rPr>
          <w:sz w:val="24"/>
          <w:szCs w:val="24"/>
        </w:rPr>
        <w:t>mesalazin</w:t>
      </w:r>
      <w:proofErr w:type="spellEnd"/>
      <w:r w:rsidRPr="00C807DF">
        <w:rPr>
          <w:sz w:val="24"/>
          <w:szCs w:val="24"/>
        </w:rPr>
        <w:t xml:space="preserve">, viste maksimal fordeling af suppositoriet, som var smeltet på grund af kropstemperaturen, efter 2-3 timer. Fordelingen var primært begrænset til </w:t>
      </w:r>
      <w:proofErr w:type="spellStart"/>
      <w:r w:rsidRPr="00C807DF">
        <w:rPr>
          <w:sz w:val="24"/>
          <w:szCs w:val="24"/>
        </w:rPr>
        <w:t>rektum</w:t>
      </w:r>
      <w:proofErr w:type="spellEnd"/>
      <w:r w:rsidRPr="00C807DF">
        <w:rPr>
          <w:sz w:val="24"/>
          <w:szCs w:val="24"/>
        </w:rPr>
        <w:t xml:space="preserve"> og den </w:t>
      </w:r>
      <w:proofErr w:type="spellStart"/>
      <w:r w:rsidRPr="00C807DF">
        <w:rPr>
          <w:sz w:val="24"/>
          <w:szCs w:val="24"/>
        </w:rPr>
        <w:lastRenderedPageBreak/>
        <w:t>rektosigmoidale</w:t>
      </w:r>
      <w:proofErr w:type="spellEnd"/>
      <w:r w:rsidRPr="00C807DF">
        <w:rPr>
          <w:sz w:val="24"/>
          <w:szCs w:val="24"/>
        </w:rPr>
        <w:t xml:space="preserve"> overgang. </w:t>
      </w:r>
      <w:proofErr w:type="spellStart"/>
      <w:r w:rsidRPr="00C807DF">
        <w:rPr>
          <w:sz w:val="24"/>
          <w:szCs w:val="24"/>
        </w:rPr>
        <w:t>Mesalazin</w:t>
      </w:r>
      <w:proofErr w:type="spellEnd"/>
      <w:r w:rsidRPr="00C807DF">
        <w:rPr>
          <w:sz w:val="24"/>
          <w:szCs w:val="24"/>
        </w:rPr>
        <w:t xml:space="preserve"> 1 g suppositorier formodes at virke på tilsvarende måde og er dermed specielt velegnede til behandling af </w:t>
      </w:r>
      <w:proofErr w:type="spellStart"/>
      <w:r w:rsidRPr="00C807DF">
        <w:rPr>
          <w:sz w:val="24"/>
          <w:szCs w:val="24"/>
        </w:rPr>
        <w:t>proctitis</w:t>
      </w:r>
      <w:proofErr w:type="spellEnd"/>
      <w:r w:rsidRPr="00C807DF">
        <w:rPr>
          <w:sz w:val="24"/>
          <w:szCs w:val="24"/>
        </w:rPr>
        <w:t xml:space="preserve"> (colitis </w:t>
      </w:r>
      <w:proofErr w:type="spellStart"/>
      <w:r w:rsidRPr="00C807DF">
        <w:rPr>
          <w:sz w:val="24"/>
          <w:szCs w:val="24"/>
        </w:rPr>
        <w:t>ulcerosa</w:t>
      </w:r>
      <w:proofErr w:type="spellEnd"/>
      <w:r w:rsidRPr="00C807DF">
        <w:rPr>
          <w:sz w:val="24"/>
          <w:szCs w:val="24"/>
        </w:rPr>
        <w:t xml:space="preserve"> i </w:t>
      </w:r>
      <w:proofErr w:type="spellStart"/>
      <w:r w:rsidRPr="00C807DF">
        <w:rPr>
          <w:sz w:val="24"/>
          <w:szCs w:val="24"/>
        </w:rPr>
        <w:t>rektum</w:t>
      </w:r>
      <w:proofErr w:type="spellEnd"/>
      <w:r w:rsidRPr="00C807DF">
        <w:rPr>
          <w:sz w:val="24"/>
          <w:szCs w:val="24"/>
        </w:rPr>
        <w:t>).</w:t>
      </w:r>
    </w:p>
    <w:p w:rsidR="00AD0AAE" w:rsidRPr="00C807DF" w:rsidRDefault="00AD0AAE" w:rsidP="00AD0AAE">
      <w:pPr>
        <w:ind w:left="851"/>
        <w:rPr>
          <w:sz w:val="24"/>
          <w:szCs w:val="24"/>
        </w:rPr>
      </w:pPr>
    </w:p>
    <w:p w:rsidR="00AD0AAE" w:rsidRPr="00C807DF" w:rsidRDefault="00AD0AAE" w:rsidP="00AD0AAE">
      <w:pPr>
        <w:ind w:left="851"/>
        <w:rPr>
          <w:sz w:val="24"/>
          <w:szCs w:val="24"/>
          <w:u w:val="single"/>
        </w:rPr>
      </w:pPr>
      <w:r w:rsidRPr="00C807DF">
        <w:rPr>
          <w:sz w:val="24"/>
          <w:szCs w:val="24"/>
          <w:u w:val="single"/>
        </w:rPr>
        <w:t>Absorption</w:t>
      </w:r>
    </w:p>
    <w:p w:rsidR="00AD0AAE" w:rsidRPr="00C807DF" w:rsidRDefault="00AD0AAE" w:rsidP="00AD0AAE">
      <w:pPr>
        <w:ind w:left="851"/>
        <w:rPr>
          <w:sz w:val="24"/>
          <w:szCs w:val="24"/>
        </w:rPr>
      </w:pPr>
      <w:r w:rsidRPr="00C807DF">
        <w:rPr>
          <w:sz w:val="24"/>
          <w:szCs w:val="24"/>
        </w:rPr>
        <w:t xml:space="preserve">Den gennemsnitlige, maksimale plasmakoncentration af 5-ASA hos raske og fastende forsøgspersoner efter en enkel </w:t>
      </w:r>
      <w:proofErr w:type="spellStart"/>
      <w:r w:rsidRPr="00C807DF">
        <w:rPr>
          <w:sz w:val="24"/>
          <w:szCs w:val="24"/>
        </w:rPr>
        <w:t>rektal</w:t>
      </w:r>
      <w:proofErr w:type="spellEnd"/>
      <w:r w:rsidRPr="00C807DF">
        <w:rPr>
          <w:sz w:val="24"/>
          <w:szCs w:val="24"/>
        </w:rPr>
        <w:t xml:space="preserve"> dosis af 1 g </w:t>
      </w:r>
      <w:proofErr w:type="spellStart"/>
      <w:r w:rsidRPr="00C807DF">
        <w:rPr>
          <w:sz w:val="24"/>
          <w:szCs w:val="24"/>
        </w:rPr>
        <w:t>mesalazin</w:t>
      </w:r>
      <w:proofErr w:type="spellEnd"/>
      <w:r w:rsidRPr="00C807DF">
        <w:rPr>
          <w:sz w:val="24"/>
          <w:szCs w:val="24"/>
        </w:rPr>
        <w:t xml:space="preserve"> suppositorie var 192 ± 125 </w:t>
      </w:r>
      <w:proofErr w:type="spellStart"/>
      <w:r w:rsidRPr="00C807DF">
        <w:rPr>
          <w:sz w:val="24"/>
          <w:szCs w:val="24"/>
        </w:rPr>
        <w:t>ng</w:t>
      </w:r>
      <w:proofErr w:type="spellEnd"/>
      <w:r w:rsidRPr="00C807DF">
        <w:rPr>
          <w:sz w:val="24"/>
          <w:szCs w:val="24"/>
        </w:rPr>
        <w:t xml:space="preserve">/ml (interval 19-557 </w:t>
      </w:r>
      <w:proofErr w:type="spellStart"/>
      <w:r w:rsidRPr="00C807DF">
        <w:rPr>
          <w:sz w:val="24"/>
          <w:szCs w:val="24"/>
        </w:rPr>
        <w:t>ng</w:t>
      </w:r>
      <w:proofErr w:type="spellEnd"/>
      <w:r w:rsidRPr="00C807DF">
        <w:rPr>
          <w:sz w:val="24"/>
          <w:szCs w:val="24"/>
        </w:rPr>
        <w:t xml:space="preserve">/ml), af den primære metabolit N-Ac-5-ASA var koncentrationen 402 ± 211 </w:t>
      </w:r>
      <w:proofErr w:type="spellStart"/>
      <w:r w:rsidRPr="00C807DF">
        <w:rPr>
          <w:sz w:val="24"/>
          <w:szCs w:val="24"/>
        </w:rPr>
        <w:t>ng</w:t>
      </w:r>
      <w:proofErr w:type="spellEnd"/>
      <w:r w:rsidRPr="00C807DF">
        <w:rPr>
          <w:sz w:val="24"/>
          <w:szCs w:val="24"/>
        </w:rPr>
        <w:t xml:space="preserve">/ml (interval 57-1070 </w:t>
      </w:r>
      <w:proofErr w:type="spellStart"/>
      <w:r w:rsidRPr="00C807DF">
        <w:rPr>
          <w:sz w:val="24"/>
          <w:szCs w:val="24"/>
        </w:rPr>
        <w:t>ng</w:t>
      </w:r>
      <w:proofErr w:type="spellEnd"/>
      <w:r w:rsidRPr="00C807DF">
        <w:rPr>
          <w:sz w:val="24"/>
          <w:szCs w:val="24"/>
        </w:rPr>
        <w:t xml:space="preserve">/ml). Tiden for at nå maksimal plasmakoncentration af 5-ASA var 7,1 ± 4,9 timer (interval 0,3-24 timer). </w:t>
      </w:r>
    </w:p>
    <w:p w:rsidR="00AD0AAE" w:rsidRPr="00C807DF" w:rsidRDefault="00AD0AAE" w:rsidP="00AD0AAE">
      <w:pPr>
        <w:ind w:left="851"/>
        <w:rPr>
          <w:sz w:val="24"/>
          <w:szCs w:val="24"/>
        </w:rPr>
      </w:pPr>
    </w:p>
    <w:p w:rsidR="00AD0AAE" w:rsidRPr="00C807DF" w:rsidRDefault="00AD0AAE" w:rsidP="00AD0AAE">
      <w:pPr>
        <w:ind w:left="851"/>
        <w:rPr>
          <w:sz w:val="24"/>
          <w:szCs w:val="24"/>
          <w:u w:val="single"/>
        </w:rPr>
      </w:pPr>
      <w:r w:rsidRPr="00C807DF">
        <w:rPr>
          <w:sz w:val="24"/>
          <w:szCs w:val="24"/>
          <w:u w:val="single"/>
        </w:rPr>
        <w:t>Elimination</w:t>
      </w:r>
    </w:p>
    <w:p w:rsidR="009260DE" w:rsidRPr="00C84483" w:rsidRDefault="00AD0AAE" w:rsidP="00AD0AAE">
      <w:pPr>
        <w:ind w:left="851"/>
        <w:rPr>
          <w:sz w:val="24"/>
          <w:szCs w:val="24"/>
        </w:rPr>
      </w:pPr>
      <w:r w:rsidRPr="00C807DF">
        <w:rPr>
          <w:sz w:val="24"/>
          <w:szCs w:val="24"/>
        </w:rPr>
        <w:t xml:space="preserve">Efter indgivelse af en enkelt </w:t>
      </w:r>
      <w:proofErr w:type="spellStart"/>
      <w:r w:rsidRPr="00C807DF">
        <w:rPr>
          <w:sz w:val="24"/>
          <w:szCs w:val="24"/>
        </w:rPr>
        <w:t>rektal</w:t>
      </w:r>
      <w:proofErr w:type="spellEnd"/>
      <w:r w:rsidRPr="00C807DF">
        <w:rPr>
          <w:sz w:val="24"/>
          <w:szCs w:val="24"/>
        </w:rPr>
        <w:t xml:space="preserve"> dosis på 1 g </w:t>
      </w:r>
      <w:proofErr w:type="spellStart"/>
      <w:r w:rsidRPr="00C807DF">
        <w:rPr>
          <w:sz w:val="24"/>
          <w:szCs w:val="24"/>
        </w:rPr>
        <w:t>mesalazin</w:t>
      </w:r>
      <w:proofErr w:type="spellEnd"/>
      <w:r w:rsidRPr="00C807DF">
        <w:rPr>
          <w:sz w:val="24"/>
          <w:szCs w:val="24"/>
        </w:rPr>
        <w:t xml:space="preserve"> suppositorie hos raske og fastende forsøgspersoner var ca. 14 % af den administrerede mængde 5-ASA at finde i urinen efter 48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E91E25">
        <w:rPr>
          <w:b/>
          <w:sz w:val="24"/>
          <w:szCs w:val="24"/>
        </w:rPr>
        <w:t>Non-</w:t>
      </w:r>
      <w:r w:rsidRPr="00C84483">
        <w:rPr>
          <w:b/>
          <w:sz w:val="24"/>
          <w:szCs w:val="24"/>
        </w:rPr>
        <w:t>kliniske sikkerhedsdata</w:t>
      </w:r>
    </w:p>
    <w:p w:rsidR="001E01CB" w:rsidRPr="00C807DF" w:rsidRDefault="001E01CB" w:rsidP="001E01CB">
      <w:pPr>
        <w:numPr>
          <w:ilvl w:val="12"/>
          <w:numId w:val="0"/>
        </w:numPr>
        <w:ind w:left="851" w:right="11"/>
        <w:rPr>
          <w:sz w:val="24"/>
          <w:szCs w:val="24"/>
        </w:rPr>
      </w:pPr>
      <w:r w:rsidRPr="00C807DF">
        <w:rPr>
          <w:sz w:val="24"/>
          <w:szCs w:val="24"/>
        </w:rPr>
        <w:t xml:space="preserve">Non-kliniske data om </w:t>
      </w:r>
      <w:proofErr w:type="spellStart"/>
      <w:r w:rsidRPr="00C807DF">
        <w:rPr>
          <w:sz w:val="24"/>
          <w:szCs w:val="24"/>
        </w:rPr>
        <w:t>mesalazin</w:t>
      </w:r>
      <w:proofErr w:type="spellEnd"/>
      <w:r w:rsidRPr="00C807DF">
        <w:rPr>
          <w:sz w:val="24"/>
          <w:szCs w:val="24"/>
        </w:rPr>
        <w:t xml:space="preserve"> viser ingen speciel risiko for mennesker vurderet ud fra konventionelle studier af sikkerhedsfarmakologi, toksicitet efter gentagne doser, genotoksicitet (rotter) og reproduktionstoksicitet.</w:t>
      </w:r>
    </w:p>
    <w:p w:rsidR="001E01CB" w:rsidRPr="00C807DF" w:rsidRDefault="001E01CB" w:rsidP="001E01CB">
      <w:pPr>
        <w:numPr>
          <w:ilvl w:val="12"/>
          <w:numId w:val="0"/>
        </w:numPr>
        <w:ind w:left="851" w:right="11"/>
        <w:rPr>
          <w:sz w:val="24"/>
          <w:szCs w:val="24"/>
        </w:rPr>
      </w:pPr>
    </w:p>
    <w:p w:rsidR="009260DE" w:rsidRPr="00C84483" w:rsidRDefault="001E01CB" w:rsidP="000A6832">
      <w:pPr>
        <w:numPr>
          <w:ilvl w:val="12"/>
          <w:numId w:val="0"/>
        </w:numPr>
        <w:ind w:left="851" w:right="11"/>
        <w:rPr>
          <w:sz w:val="24"/>
          <w:szCs w:val="24"/>
        </w:rPr>
      </w:pPr>
      <w:r w:rsidRPr="00C807DF">
        <w:rPr>
          <w:sz w:val="24"/>
          <w:szCs w:val="24"/>
        </w:rPr>
        <w:t>Nyretoksicitet (</w:t>
      </w:r>
      <w:proofErr w:type="spellStart"/>
      <w:r w:rsidRPr="00C807DF">
        <w:rPr>
          <w:sz w:val="24"/>
          <w:szCs w:val="24"/>
        </w:rPr>
        <w:t>renal</w:t>
      </w:r>
      <w:proofErr w:type="spellEnd"/>
      <w:r w:rsidRPr="00C807DF">
        <w:rPr>
          <w:sz w:val="24"/>
          <w:szCs w:val="24"/>
        </w:rPr>
        <w:t xml:space="preserve"> papillær nekrose og epitelskade i de proksimale </w:t>
      </w:r>
      <w:proofErr w:type="spellStart"/>
      <w:r w:rsidRPr="00C807DF">
        <w:rPr>
          <w:sz w:val="24"/>
          <w:szCs w:val="24"/>
        </w:rPr>
        <w:t>tubuli</w:t>
      </w:r>
      <w:proofErr w:type="spellEnd"/>
      <w:r w:rsidRPr="00C807DF">
        <w:rPr>
          <w:sz w:val="24"/>
          <w:szCs w:val="24"/>
        </w:rPr>
        <w:t xml:space="preserve"> eller hele nefronet) er set i toksicitetsstudier efter gentagne høje, orale doser af </w:t>
      </w:r>
      <w:proofErr w:type="spellStart"/>
      <w:r w:rsidRPr="00C807DF">
        <w:rPr>
          <w:sz w:val="24"/>
          <w:szCs w:val="24"/>
        </w:rPr>
        <w:t>mesalazin</w:t>
      </w:r>
      <w:proofErr w:type="spellEnd"/>
      <w:r w:rsidRPr="00C807DF">
        <w:rPr>
          <w:sz w:val="24"/>
          <w:szCs w:val="24"/>
        </w:rPr>
        <w:t>. Den kliniske relevans af denne observation er ikke kendt.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C29C9" w:rsidRDefault="00CC29C9" w:rsidP="00CC29C9">
      <w:pPr>
        <w:ind w:left="851"/>
        <w:rPr>
          <w:i/>
          <w:iCs/>
          <w:sz w:val="24"/>
          <w:szCs w:val="24"/>
        </w:rPr>
      </w:pPr>
      <w:r w:rsidRPr="00C807DF">
        <w:rPr>
          <w:sz w:val="24"/>
          <w:szCs w:val="24"/>
        </w:rPr>
        <w:t>Hårdfed</w:t>
      </w:r>
      <w:r>
        <w:rPr>
          <w:sz w:val="24"/>
          <w:szCs w:val="24"/>
        </w:rPr>
        <w:t>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CC29C9"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9909A4">
        <w:rPr>
          <w:sz w:val="24"/>
          <w:szCs w:val="24"/>
        </w:rPr>
        <w:t>3</w:t>
      </w:r>
      <w:r w:rsidR="00CC29C9">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C29C9" w:rsidRDefault="00CC29C9" w:rsidP="00CC29C9">
      <w:pPr>
        <w:ind w:left="851"/>
        <w:rPr>
          <w:noProof/>
          <w:sz w:val="24"/>
          <w:szCs w:val="24"/>
        </w:rPr>
      </w:pPr>
      <w:r w:rsidRPr="00C807DF">
        <w:rPr>
          <w:noProof/>
          <w:sz w:val="24"/>
          <w:szCs w:val="24"/>
        </w:rPr>
        <w:t xml:space="preserve">Opbevares i den originale beholder for at beskytte mod lys. </w:t>
      </w:r>
    </w:p>
    <w:p w:rsidR="00CC29C9" w:rsidRPr="00C807DF" w:rsidRDefault="00CC29C9" w:rsidP="00CC29C9">
      <w:pPr>
        <w:ind w:left="851"/>
        <w:rPr>
          <w:noProof/>
          <w:sz w:val="24"/>
          <w:szCs w:val="24"/>
        </w:rPr>
      </w:pPr>
    </w:p>
    <w:p w:rsidR="009260DE" w:rsidRPr="00C84483" w:rsidRDefault="00CC29C9" w:rsidP="00CC29C9">
      <w:pPr>
        <w:ind w:left="851"/>
        <w:rPr>
          <w:noProof/>
          <w:sz w:val="24"/>
          <w:szCs w:val="24"/>
        </w:rPr>
      </w:pPr>
      <w:r w:rsidRPr="00C807DF">
        <w:rPr>
          <w:noProof/>
          <w:sz w:val="24"/>
          <w:szCs w:val="24"/>
        </w:rPr>
        <w:t>Må ikke opbevares ved temperaturer over 30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C29C9" w:rsidRDefault="00CC29C9" w:rsidP="00CC29C9">
      <w:pPr>
        <w:suppressAutoHyphens/>
        <w:ind w:left="851"/>
        <w:rPr>
          <w:sz w:val="24"/>
          <w:szCs w:val="24"/>
        </w:rPr>
      </w:pPr>
      <w:r w:rsidRPr="00C807DF">
        <w:rPr>
          <w:sz w:val="24"/>
          <w:szCs w:val="24"/>
        </w:rPr>
        <w:t>Beholder (strip): PVC/</w:t>
      </w:r>
      <w:proofErr w:type="spellStart"/>
      <w:r w:rsidRPr="00C807DF">
        <w:rPr>
          <w:sz w:val="24"/>
          <w:szCs w:val="24"/>
        </w:rPr>
        <w:t>polyethylenfilm</w:t>
      </w:r>
      <w:proofErr w:type="spellEnd"/>
      <w:r w:rsidR="0019652C">
        <w:rPr>
          <w:sz w:val="24"/>
          <w:szCs w:val="24"/>
        </w:rPr>
        <w:t>.</w:t>
      </w:r>
    </w:p>
    <w:p w:rsidR="0019652C" w:rsidRPr="00C807DF" w:rsidRDefault="0019652C" w:rsidP="00CC29C9">
      <w:pPr>
        <w:suppressAutoHyphens/>
        <w:ind w:left="851"/>
        <w:rPr>
          <w:sz w:val="24"/>
          <w:szCs w:val="24"/>
        </w:rPr>
      </w:pPr>
    </w:p>
    <w:p w:rsidR="00CC29C9" w:rsidRPr="00C807DF" w:rsidRDefault="00CC29C9" w:rsidP="00CC29C9">
      <w:pPr>
        <w:suppressAutoHyphens/>
        <w:ind w:left="851"/>
        <w:rPr>
          <w:sz w:val="24"/>
          <w:szCs w:val="24"/>
        </w:rPr>
      </w:pPr>
      <w:r w:rsidRPr="00C807DF">
        <w:rPr>
          <w:sz w:val="24"/>
          <w:szCs w:val="24"/>
        </w:rPr>
        <w:t>Pakningsstørrelser: 10, 20, 30, 60</w:t>
      </w:r>
      <w:r w:rsidR="0019652C">
        <w:rPr>
          <w:sz w:val="24"/>
          <w:szCs w:val="24"/>
        </w:rPr>
        <w:t xml:space="preserve"> og</w:t>
      </w:r>
      <w:r w:rsidRPr="00C807DF">
        <w:rPr>
          <w:sz w:val="24"/>
          <w:szCs w:val="24"/>
        </w:rPr>
        <w:t xml:space="preserve"> 90</w:t>
      </w:r>
      <w:r w:rsidR="0019652C">
        <w:rPr>
          <w:sz w:val="24"/>
          <w:szCs w:val="24"/>
        </w:rPr>
        <w:t xml:space="preserve"> stk.</w:t>
      </w:r>
    </w:p>
    <w:p w:rsidR="009260DE" w:rsidRPr="00C84483" w:rsidRDefault="00CC29C9" w:rsidP="0019652C">
      <w:pPr>
        <w:suppressAutoHyphens/>
        <w:ind w:left="851"/>
        <w:rPr>
          <w:sz w:val="24"/>
          <w:szCs w:val="24"/>
        </w:rPr>
      </w:pPr>
      <w:r w:rsidRPr="00C807DF">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91E25">
        <w:rPr>
          <w:b/>
          <w:sz w:val="24"/>
          <w:szCs w:val="24"/>
        </w:rPr>
        <w:t>bortskaffelse</w:t>
      </w:r>
      <w:r w:rsidRPr="00C84483">
        <w:rPr>
          <w:b/>
          <w:sz w:val="24"/>
          <w:szCs w:val="24"/>
        </w:rPr>
        <w:t xml:space="preserve"> og anden håndtering</w:t>
      </w:r>
    </w:p>
    <w:p w:rsidR="009260DE" w:rsidRPr="00C84483" w:rsidRDefault="00A33B22" w:rsidP="00A33B22">
      <w:pPr>
        <w:ind w:left="851"/>
        <w:rPr>
          <w:sz w:val="24"/>
          <w:szCs w:val="24"/>
        </w:rPr>
      </w:pPr>
      <w:r w:rsidRPr="00C807DF">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A33B22" w:rsidRPr="00C807DF" w:rsidRDefault="00A33B22" w:rsidP="00A33B22">
      <w:pPr>
        <w:ind w:left="851"/>
        <w:rPr>
          <w:sz w:val="24"/>
          <w:szCs w:val="24"/>
        </w:rPr>
      </w:pPr>
      <w:proofErr w:type="spellStart"/>
      <w:r w:rsidRPr="00C807DF">
        <w:rPr>
          <w:sz w:val="24"/>
          <w:szCs w:val="24"/>
        </w:rPr>
        <w:t>Tillotts</w:t>
      </w:r>
      <w:proofErr w:type="spellEnd"/>
      <w:r w:rsidRPr="00C807DF">
        <w:rPr>
          <w:sz w:val="24"/>
          <w:szCs w:val="24"/>
        </w:rPr>
        <w:t xml:space="preserve"> Pharma AB</w:t>
      </w:r>
    </w:p>
    <w:p w:rsidR="00A33B22" w:rsidRPr="00C807DF" w:rsidRDefault="00A33B22" w:rsidP="00A33B22">
      <w:pPr>
        <w:ind w:left="851"/>
        <w:rPr>
          <w:sz w:val="24"/>
          <w:szCs w:val="24"/>
        </w:rPr>
      </w:pPr>
      <w:proofErr w:type="spellStart"/>
      <w:r w:rsidRPr="00C807DF">
        <w:rPr>
          <w:sz w:val="24"/>
          <w:szCs w:val="24"/>
        </w:rPr>
        <w:t>Gustavslundsvägen</w:t>
      </w:r>
      <w:proofErr w:type="spellEnd"/>
      <w:r w:rsidRPr="00C807DF">
        <w:rPr>
          <w:sz w:val="24"/>
          <w:szCs w:val="24"/>
        </w:rPr>
        <w:t xml:space="preserve"> 135</w:t>
      </w:r>
    </w:p>
    <w:p w:rsidR="00A33B22" w:rsidRPr="00C807DF" w:rsidRDefault="00A33B22" w:rsidP="00A33B22">
      <w:pPr>
        <w:ind w:left="851"/>
        <w:rPr>
          <w:sz w:val="24"/>
          <w:szCs w:val="24"/>
        </w:rPr>
      </w:pPr>
      <w:r w:rsidRPr="00C807DF">
        <w:rPr>
          <w:sz w:val="24"/>
          <w:szCs w:val="24"/>
        </w:rPr>
        <w:t xml:space="preserve">167 51 </w:t>
      </w:r>
      <w:proofErr w:type="spellStart"/>
      <w:r w:rsidRPr="00C807DF">
        <w:rPr>
          <w:sz w:val="24"/>
          <w:szCs w:val="24"/>
        </w:rPr>
        <w:t>Bromma</w:t>
      </w:r>
      <w:proofErr w:type="spellEnd"/>
    </w:p>
    <w:p w:rsidR="00A33B22" w:rsidRPr="00C807DF" w:rsidRDefault="00A33B22" w:rsidP="00A33B22">
      <w:pPr>
        <w:ind w:left="851"/>
        <w:rPr>
          <w:sz w:val="24"/>
          <w:szCs w:val="24"/>
        </w:rPr>
      </w:pPr>
      <w:r w:rsidRPr="00C807DF">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91E25">
        <w:rPr>
          <w:b/>
          <w:sz w:val="24"/>
          <w:szCs w:val="24"/>
        </w:rPr>
        <w:t>-</w:t>
      </w:r>
      <w:r w:rsidRPr="00C84483">
        <w:rPr>
          <w:b/>
          <w:sz w:val="24"/>
          <w:szCs w:val="24"/>
        </w:rPr>
        <w:t>NUMRE)</w:t>
      </w:r>
    </w:p>
    <w:p w:rsidR="009260DE" w:rsidRPr="00C84483" w:rsidRDefault="007A4B76" w:rsidP="009260DE">
      <w:pPr>
        <w:tabs>
          <w:tab w:val="left" w:pos="851"/>
        </w:tabs>
        <w:ind w:left="851"/>
        <w:rPr>
          <w:sz w:val="24"/>
          <w:szCs w:val="24"/>
        </w:rPr>
      </w:pPr>
      <w:r>
        <w:rPr>
          <w:sz w:val="24"/>
          <w:szCs w:val="24"/>
        </w:rPr>
        <w:t>63888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A4B76" w:rsidP="009260DE">
      <w:pPr>
        <w:tabs>
          <w:tab w:val="left" w:pos="851"/>
        </w:tabs>
        <w:ind w:left="851"/>
        <w:rPr>
          <w:sz w:val="24"/>
          <w:szCs w:val="24"/>
        </w:rPr>
      </w:pPr>
      <w:r>
        <w:rPr>
          <w:sz w:val="24"/>
          <w:szCs w:val="24"/>
        </w:rPr>
        <w:t>18. januar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9909A4" w:rsidP="009260DE">
      <w:pPr>
        <w:tabs>
          <w:tab w:val="left" w:pos="851"/>
        </w:tabs>
        <w:ind w:left="851"/>
        <w:rPr>
          <w:sz w:val="24"/>
          <w:szCs w:val="24"/>
        </w:rPr>
      </w:pPr>
      <w:r>
        <w:rPr>
          <w:sz w:val="24"/>
          <w:szCs w:val="24"/>
        </w:rPr>
        <w:t>29. november</w:t>
      </w:r>
      <w:bookmarkStart w:id="0" w:name="_GoBack"/>
      <w:bookmarkEnd w:id="0"/>
      <w:r w:rsidR="00E91E25">
        <w:rPr>
          <w:sz w:val="24"/>
          <w:szCs w:val="24"/>
        </w:rPr>
        <w:t xml:space="preserve">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8C1" w:rsidRDefault="007038C1">
      <w:r>
        <w:separator/>
      </w:r>
    </w:p>
  </w:endnote>
  <w:endnote w:type="continuationSeparator" w:id="0">
    <w:p w:rsidR="007038C1" w:rsidRDefault="0070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B1906">
      <w:rPr>
        <w:i/>
        <w:noProof/>
        <w:sz w:val="18"/>
        <w:szCs w:val="18"/>
      </w:rPr>
      <w:t>Asacol, suppositorier 1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8C1" w:rsidRDefault="007038C1">
      <w:r>
        <w:separator/>
      </w:r>
    </w:p>
  </w:footnote>
  <w:footnote w:type="continuationSeparator" w:id="0">
    <w:p w:rsidR="007038C1" w:rsidRDefault="0070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C1"/>
    <w:rsid w:val="000259B9"/>
    <w:rsid w:val="00041491"/>
    <w:rsid w:val="00050D16"/>
    <w:rsid w:val="000730CA"/>
    <w:rsid w:val="00074F2A"/>
    <w:rsid w:val="000A1CA8"/>
    <w:rsid w:val="000A466B"/>
    <w:rsid w:val="000A6832"/>
    <w:rsid w:val="000B058C"/>
    <w:rsid w:val="000E4EE6"/>
    <w:rsid w:val="001454E2"/>
    <w:rsid w:val="00191D7C"/>
    <w:rsid w:val="0019652C"/>
    <w:rsid w:val="001E01CB"/>
    <w:rsid w:val="00206CE8"/>
    <w:rsid w:val="0021526C"/>
    <w:rsid w:val="00217836"/>
    <w:rsid w:val="00283A2B"/>
    <w:rsid w:val="0028484A"/>
    <w:rsid w:val="002B30AD"/>
    <w:rsid w:val="002C2C01"/>
    <w:rsid w:val="00325E24"/>
    <w:rsid w:val="003840CC"/>
    <w:rsid w:val="003A29AE"/>
    <w:rsid w:val="003A32D7"/>
    <w:rsid w:val="003B4074"/>
    <w:rsid w:val="003C769A"/>
    <w:rsid w:val="003F1838"/>
    <w:rsid w:val="0045746C"/>
    <w:rsid w:val="0049104B"/>
    <w:rsid w:val="004B17EF"/>
    <w:rsid w:val="004B48C7"/>
    <w:rsid w:val="004C2F76"/>
    <w:rsid w:val="004E3B12"/>
    <w:rsid w:val="00521625"/>
    <w:rsid w:val="00532310"/>
    <w:rsid w:val="0054480E"/>
    <w:rsid w:val="00565F0F"/>
    <w:rsid w:val="00594A86"/>
    <w:rsid w:val="00596D86"/>
    <w:rsid w:val="00637F5A"/>
    <w:rsid w:val="0065459E"/>
    <w:rsid w:val="006560B1"/>
    <w:rsid w:val="006756DD"/>
    <w:rsid w:val="006C2FEC"/>
    <w:rsid w:val="007038C1"/>
    <w:rsid w:val="00727ADA"/>
    <w:rsid w:val="00737275"/>
    <w:rsid w:val="00740EEC"/>
    <w:rsid w:val="0078011A"/>
    <w:rsid w:val="00782AF4"/>
    <w:rsid w:val="00790EE7"/>
    <w:rsid w:val="007A4B76"/>
    <w:rsid w:val="007B6649"/>
    <w:rsid w:val="0082576E"/>
    <w:rsid w:val="008A489E"/>
    <w:rsid w:val="008D5730"/>
    <w:rsid w:val="00907F75"/>
    <w:rsid w:val="009260DE"/>
    <w:rsid w:val="0093258A"/>
    <w:rsid w:val="009909A4"/>
    <w:rsid w:val="009C7BA3"/>
    <w:rsid w:val="009D1F5A"/>
    <w:rsid w:val="00A10294"/>
    <w:rsid w:val="00A33B22"/>
    <w:rsid w:val="00A418CF"/>
    <w:rsid w:val="00A73A79"/>
    <w:rsid w:val="00A935CE"/>
    <w:rsid w:val="00AD0AAE"/>
    <w:rsid w:val="00B003BF"/>
    <w:rsid w:val="00B373D7"/>
    <w:rsid w:val="00BA69BC"/>
    <w:rsid w:val="00BB1906"/>
    <w:rsid w:val="00C36276"/>
    <w:rsid w:val="00C42586"/>
    <w:rsid w:val="00C60CCD"/>
    <w:rsid w:val="00C84483"/>
    <w:rsid w:val="00C95551"/>
    <w:rsid w:val="00CB20D7"/>
    <w:rsid w:val="00CC29C9"/>
    <w:rsid w:val="00D020B0"/>
    <w:rsid w:val="00D11748"/>
    <w:rsid w:val="00D366CF"/>
    <w:rsid w:val="00D8542B"/>
    <w:rsid w:val="00DB581F"/>
    <w:rsid w:val="00DE6430"/>
    <w:rsid w:val="00E108AA"/>
    <w:rsid w:val="00E3749A"/>
    <w:rsid w:val="00E7437F"/>
    <w:rsid w:val="00E865B8"/>
    <w:rsid w:val="00E91E25"/>
    <w:rsid w:val="00EC0B9B"/>
    <w:rsid w:val="00ED5E9F"/>
    <w:rsid w:val="00F66D4F"/>
    <w:rsid w:val="00F9088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0F703"/>
  <w15:chartTrackingRefBased/>
  <w15:docId w15:val="{97C9C111-7964-4687-8247-7B98DA8B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49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914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11530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2023100811_x000d_
SPC pkt. 6.3 fra 2år til 3 år</dc:description>
  <cp:lastModifiedBy>Kristine Skov Hansen</cp:lastModifiedBy>
  <cp:revision>2</cp:revision>
  <cp:lastPrinted>2012-08-22T08:53:00Z</cp:lastPrinted>
  <dcterms:created xsi:type="dcterms:W3CDTF">2023-11-29T09:12:00Z</dcterms:created>
  <dcterms:modified xsi:type="dcterms:W3CDTF">2023-11-29T09:12:00Z</dcterms:modified>
</cp:coreProperties>
</file>