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0DE" w:rsidRPr="00462D66" w:rsidRDefault="0021526C" w:rsidP="009260DE">
      <w:pPr>
        <w:rPr>
          <w:sz w:val="24"/>
          <w:szCs w:val="24"/>
        </w:rPr>
      </w:pPr>
      <w:r w:rsidRPr="00462D66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15B87791" wp14:editId="24D10A07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 w:rsidRPr="00462D66">
        <w:rPr>
          <w:sz w:val="24"/>
          <w:szCs w:val="24"/>
        </w:rPr>
        <w:br w:type="textWrapping" w:clear="all"/>
      </w:r>
    </w:p>
    <w:p w:rsidR="009260DE" w:rsidRPr="00462D66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</w:p>
    <w:p w:rsidR="009260DE" w:rsidRPr="00C95FEE" w:rsidRDefault="009260DE" w:rsidP="009260DE">
      <w:pPr>
        <w:pStyle w:val="Titel"/>
        <w:tabs>
          <w:tab w:val="right" w:pos="9356"/>
        </w:tabs>
        <w:jc w:val="left"/>
        <w:rPr>
          <w:szCs w:val="24"/>
          <w:lang w:eastAsia="en-US"/>
        </w:rPr>
      </w:pPr>
      <w:r w:rsidRPr="00462D66">
        <w:rPr>
          <w:b w:val="0"/>
          <w:szCs w:val="24"/>
          <w:lang w:eastAsia="en-US"/>
        </w:rPr>
        <w:tab/>
      </w:r>
      <w:r w:rsidR="00C95FEE" w:rsidRPr="00C95FEE">
        <w:rPr>
          <w:szCs w:val="24"/>
          <w:lang w:eastAsia="en-US"/>
        </w:rPr>
        <w:t>11. februar 2025</w:t>
      </w:r>
    </w:p>
    <w:p w:rsidR="009260DE" w:rsidRPr="00462D66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9260DE" w:rsidRPr="00462D66" w:rsidRDefault="009260DE" w:rsidP="009260DE">
      <w:pPr>
        <w:pStyle w:val="Titel"/>
        <w:jc w:val="left"/>
        <w:rPr>
          <w:b w:val="0"/>
          <w:szCs w:val="24"/>
        </w:rPr>
      </w:pPr>
    </w:p>
    <w:p w:rsidR="009260DE" w:rsidRPr="00462D66" w:rsidRDefault="009260DE" w:rsidP="009260DE">
      <w:pPr>
        <w:pStyle w:val="Titel"/>
        <w:jc w:val="left"/>
        <w:rPr>
          <w:b w:val="0"/>
          <w:szCs w:val="24"/>
        </w:rPr>
      </w:pPr>
    </w:p>
    <w:p w:rsidR="009260DE" w:rsidRPr="00462D66" w:rsidRDefault="009260DE" w:rsidP="009260DE">
      <w:pPr>
        <w:jc w:val="center"/>
        <w:rPr>
          <w:b/>
          <w:sz w:val="24"/>
          <w:szCs w:val="24"/>
        </w:rPr>
      </w:pPr>
      <w:r w:rsidRPr="00462D66">
        <w:rPr>
          <w:b/>
          <w:sz w:val="24"/>
          <w:szCs w:val="24"/>
        </w:rPr>
        <w:t>PRODUKTRESUMÉ</w:t>
      </w:r>
    </w:p>
    <w:p w:rsidR="009260DE" w:rsidRPr="00462D66" w:rsidRDefault="009260DE" w:rsidP="009260DE">
      <w:pPr>
        <w:jc w:val="center"/>
        <w:rPr>
          <w:b/>
          <w:sz w:val="24"/>
          <w:szCs w:val="24"/>
        </w:rPr>
      </w:pPr>
    </w:p>
    <w:p w:rsidR="009260DE" w:rsidRPr="00462D66" w:rsidRDefault="009260DE" w:rsidP="009260DE">
      <w:pPr>
        <w:jc w:val="center"/>
        <w:rPr>
          <w:b/>
          <w:sz w:val="24"/>
          <w:szCs w:val="24"/>
        </w:rPr>
      </w:pPr>
      <w:r w:rsidRPr="00462D66">
        <w:rPr>
          <w:b/>
          <w:sz w:val="24"/>
          <w:szCs w:val="24"/>
        </w:rPr>
        <w:t>for</w:t>
      </w:r>
    </w:p>
    <w:p w:rsidR="000B058C" w:rsidRPr="00462D66" w:rsidRDefault="000B058C" w:rsidP="009260DE">
      <w:pPr>
        <w:jc w:val="center"/>
        <w:rPr>
          <w:b/>
          <w:sz w:val="24"/>
          <w:szCs w:val="24"/>
        </w:rPr>
      </w:pPr>
    </w:p>
    <w:p w:rsidR="009260DE" w:rsidRPr="00462D66" w:rsidRDefault="004A55A4" w:rsidP="009260DE">
      <w:pPr>
        <w:jc w:val="center"/>
        <w:rPr>
          <w:b/>
          <w:sz w:val="24"/>
          <w:szCs w:val="24"/>
        </w:rPr>
      </w:pPr>
      <w:proofErr w:type="spellStart"/>
      <w:r w:rsidRPr="00462D66">
        <w:rPr>
          <w:b/>
          <w:sz w:val="24"/>
          <w:szCs w:val="24"/>
        </w:rPr>
        <w:t>Ascorbinsyre</w:t>
      </w:r>
      <w:proofErr w:type="spellEnd"/>
      <w:r w:rsidRPr="00462D66">
        <w:rPr>
          <w:b/>
          <w:sz w:val="24"/>
          <w:szCs w:val="24"/>
        </w:rPr>
        <w:t xml:space="preserve"> "</w:t>
      </w:r>
      <w:proofErr w:type="spellStart"/>
      <w:r w:rsidRPr="00462D66">
        <w:rPr>
          <w:b/>
          <w:sz w:val="24"/>
          <w:szCs w:val="24"/>
        </w:rPr>
        <w:t>Pascoe</w:t>
      </w:r>
      <w:proofErr w:type="spellEnd"/>
      <w:r w:rsidRPr="00462D66">
        <w:rPr>
          <w:b/>
          <w:sz w:val="24"/>
          <w:szCs w:val="24"/>
        </w:rPr>
        <w:t>", koncentrat til injektions-/infusionsvæske, opløsning</w:t>
      </w:r>
    </w:p>
    <w:p w:rsidR="009260DE" w:rsidRPr="00462D66" w:rsidRDefault="009260DE" w:rsidP="009260DE">
      <w:pPr>
        <w:jc w:val="both"/>
        <w:rPr>
          <w:sz w:val="24"/>
          <w:szCs w:val="24"/>
        </w:rPr>
      </w:pPr>
    </w:p>
    <w:p w:rsidR="009260DE" w:rsidRPr="00462D66" w:rsidRDefault="009260DE" w:rsidP="009260DE">
      <w:pPr>
        <w:jc w:val="both"/>
        <w:rPr>
          <w:sz w:val="24"/>
          <w:szCs w:val="24"/>
        </w:rPr>
      </w:pPr>
    </w:p>
    <w:p w:rsidR="009260DE" w:rsidRPr="00462D6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62D66">
        <w:rPr>
          <w:b/>
          <w:sz w:val="24"/>
          <w:szCs w:val="24"/>
        </w:rPr>
        <w:t>0.</w:t>
      </w:r>
      <w:r w:rsidRPr="00462D66">
        <w:rPr>
          <w:b/>
          <w:sz w:val="24"/>
          <w:szCs w:val="24"/>
        </w:rPr>
        <w:tab/>
        <w:t>D.SP.NR.</w:t>
      </w:r>
    </w:p>
    <w:p w:rsidR="009260DE" w:rsidRPr="00462D66" w:rsidRDefault="004C16D6" w:rsidP="009260DE">
      <w:pPr>
        <w:tabs>
          <w:tab w:val="left" w:pos="851"/>
        </w:tabs>
        <w:ind w:left="851"/>
        <w:rPr>
          <w:sz w:val="24"/>
          <w:szCs w:val="24"/>
        </w:rPr>
      </w:pPr>
      <w:r w:rsidRPr="00462D66">
        <w:rPr>
          <w:sz w:val="24"/>
          <w:szCs w:val="24"/>
        </w:rPr>
        <w:t>3</w:t>
      </w:r>
      <w:r w:rsidR="005B4393" w:rsidRPr="00462D66">
        <w:rPr>
          <w:sz w:val="24"/>
          <w:szCs w:val="24"/>
        </w:rPr>
        <w:t>0</w:t>
      </w:r>
      <w:r w:rsidRPr="00462D66">
        <w:rPr>
          <w:sz w:val="24"/>
          <w:szCs w:val="24"/>
        </w:rPr>
        <w:t>733</w:t>
      </w:r>
    </w:p>
    <w:p w:rsidR="009260DE" w:rsidRPr="00462D6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462D6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62D66">
        <w:rPr>
          <w:b/>
          <w:sz w:val="24"/>
          <w:szCs w:val="24"/>
        </w:rPr>
        <w:t>1.</w:t>
      </w:r>
      <w:r w:rsidRPr="00462D66">
        <w:rPr>
          <w:b/>
          <w:sz w:val="24"/>
          <w:szCs w:val="24"/>
        </w:rPr>
        <w:tab/>
        <w:t>LÆGEMIDLETS NAVN</w:t>
      </w:r>
    </w:p>
    <w:p w:rsidR="009260DE" w:rsidRPr="00462D66" w:rsidRDefault="005B4393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462D66">
        <w:rPr>
          <w:sz w:val="24"/>
          <w:szCs w:val="24"/>
        </w:rPr>
        <w:t>Ascorbinsyre</w:t>
      </w:r>
      <w:proofErr w:type="spellEnd"/>
      <w:r w:rsidRPr="00462D66">
        <w:rPr>
          <w:sz w:val="24"/>
          <w:szCs w:val="24"/>
        </w:rPr>
        <w:t xml:space="preserve"> "</w:t>
      </w:r>
      <w:proofErr w:type="spellStart"/>
      <w:r w:rsidRPr="00462D66">
        <w:rPr>
          <w:sz w:val="24"/>
          <w:szCs w:val="24"/>
        </w:rPr>
        <w:t>Pascoe</w:t>
      </w:r>
      <w:proofErr w:type="spellEnd"/>
      <w:r w:rsidRPr="00462D66">
        <w:rPr>
          <w:sz w:val="24"/>
          <w:szCs w:val="24"/>
        </w:rPr>
        <w:t>"</w:t>
      </w:r>
    </w:p>
    <w:p w:rsidR="009260DE" w:rsidRPr="00462D6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462D6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62D66">
        <w:rPr>
          <w:b/>
          <w:sz w:val="24"/>
          <w:szCs w:val="24"/>
        </w:rPr>
        <w:t>2.</w:t>
      </w:r>
      <w:r w:rsidRPr="00462D66">
        <w:rPr>
          <w:b/>
          <w:sz w:val="24"/>
          <w:szCs w:val="24"/>
        </w:rPr>
        <w:tab/>
        <w:t>KVALITATIV OG KVANTITATIV SAMMENSÆTNING</w:t>
      </w:r>
    </w:p>
    <w:p w:rsidR="005B4393" w:rsidRPr="00462D66" w:rsidRDefault="005B4393" w:rsidP="005B4393">
      <w:pPr>
        <w:tabs>
          <w:tab w:val="left" w:pos="851"/>
        </w:tabs>
        <w:ind w:left="851"/>
        <w:rPr>
          <w:sz w:val="24"/>
          <w:szCs w:val="24"/>
        </w:rPr>
      </w:pPr>
      <w:r w:rsidRPr="00462D66">
        <w:rPr>
          <w:sz w:val="24"/>
          <w:szCs w:val="24"/>
        </w:rPr>
        <w:t xml:space="preserve">1 hætteglas med 50 ml koncentrat til injektions-/infusionsvæske, opløsning indeholder 7,5 g </w:t>
      </w:r>
      <w:proofErr w:type="spellStart"/>
      <w:r w:rsidRPr="00462D66">
        <w:rPr>
          <w:sz w:val="24"/>
          <w:szCs w:val="24"/>
        </w:rPr>
        <w:t>ascorbinsyre</w:t>
      </w:r>
      <w:proofErr w:type="spellEnd"/>
      <w:r w:rsidR="00990DAD">
        <w:rPr>
          <w:sz w:val="24"/>
          <w:szCs w:val="24"/>
        </w:rPr>
        <w:t>.</w:t>
      </w:r>
    </w:p>
    <w:p w:rsidR="005B4393" w:rsidRPr="00462D66" w:rsidRDefault="005B4393" w:rsidP="005B4393">
      <w:pPr>
        <w:tabs>
          <w:tab w:val="left" w:pos="851"/>
        </w:tabs>
        <w:ind w:left="851"/>
        <w:rPr>
          <w:sz w:val="24"/>
          <w:szCs w:val="24"/>
        </w:rPr>
      </w:pPr>
    </w:p>
    <w:p w:rsidR="005B4393" w:rsidRPr="00990DAD" w:rsidRDefault="005B4393" w:rsidP="005B4393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990DAD">
        <w:rPr>
          <w:sz w:val="24"/>
          <w:szCs w:val="24"/>
          <w:u w:val="single"/>
        </w:rPr>
        <w:t>Hjælpestof, som behandleren skal være opmærksom på</w:t>
      </w:r>
    </w:p>
    <w:p w:rsidR="005B4393" w:rsidRPr="00462D66" w:rsidRDefault="005B4393" w:rsidP="005B4393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462D66">
        <w:rPr>
          <w:sz w:val="24"/>
          <w:szCs w:val="24"/>
        </w:rPr>
        <w:t>Natriumhydrogencarbonat</w:t>
      </w:r>
      <w:proofErr w:type="spellEnd"/>
      <w:r w:rsidRPr="00462D66">
        <w:rPr>
          <w:sz w:val="24"/>
          <w:szCs w:val="24"/>
        </w:rPr>
        <w:t xml:space="preserve"> (50 ml af </w:t>
      </w:r>
      <w:proofErr w:type="spellStart"/>
      <w:r w:rsidRPr="00462D66">
        <w:rPr>
          <w:sz w:val="24"/>
          <w:szCs w:val="24"/>
        </w:rPr>
        <w:t>koncentratetet</w:t>
      </w:r>
      <w:proofErr w:type="spellEnd"/>
      <w:r w:rsidRPr="00462D66">
        <w:rPr>
          <w:sz w:val="24"/>
          <w:szCs w:val="24"/>
        </w:rPr>
        <w:t xml:space="preserve"> indeholder 972 mg natrium).</w:t>
      </w:r>
    </w:p>
    <w:p w:rsidR="005B4393" w:rsidRPr="00462D66" w:rsidRDefault="005B4393" w:rsidP="005B4393">
      <w:pPr>
        <w:tabs>
          <w:tab w:val="left" w:pos="851"/>
        </w:tabs>
        <w:ind w:left="851"/>
        <w:rPr>
          <w:sz w:val="24"/>
          <w:szCs w:val="24"/>
        </w:rPr>
      </w:pPr>
    </w:p>
    <w:p w:rsidR="005B4393" w:rsidRPr="00462D66" w:rsidRDefault="005B4393" w:rsidP="005B4393">
      <w:pPr>
        <w:tabs>
          <w:tab w:val="left" w:pos="851"/>
        </w:tabs>
        <w:ind w:left="851"/>
        <w:rPr>
          <w:sz w:val="24"/>
          <w:szCs w:val="24"/>
        </w:rPr>
      </w:pPr>
      <w:r w:rsidRPr="00462D66">
        <w:rPr>
          <w:sz w:val="24"/>
          <w:szCs w:val="24"/>
        </w:rPr>
        <w:t>Alle hjælpestoffer er anført under pkt. 6.1.</w:t>
      </w:r>
    </w:p>
    <w:p w:rsidR="009260DE" w:rsidRPr="00462D6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462D6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62D66">
        <w:rPr>
          <w:b/>
          <w:sz w:val="24"/>
          <w:szCs w:val="24"/>
        </w:rPr>
        <w:t>3.</w:t>
      </w:r>
      <w:r w:rsidRPr="00462D66">
        <w:rPr>
          <w:b/>
          <w:sz w:val="24"/>
          <w:szCs w:val="24"/>
        </w:rPr>
        <w:tab/>
        <w:t>LÆGEMIDDELFORM</w:t>
      </w:r>
    </w:p>
    <w:p w:rsidR="005B4393" w:rsidRDefault="005B4393" w:rsidP="005B4393">
      <w:pPr>
        <w:tabs>
          <w:tab w:val="left" w:pos="851"/>
        </w:tabs>
        <w:ind w:left="851"/>
        <w:rPr>
          <w:sz w:val="24"/>
          <w:szCs w:val="24"/>
        </w:rPr>
      </w:pPr>
      <w:r w:rsidRPr="00462D66">
        <w:rPr>
          <w:sz w:val="24"/>
          <w:szCs w:val="24"/>
        </w:rPr>
        <w:t>Koncentrat til injektions-/infusionsvæske, opløsning</w:t>
      </w:r>
    </w:p>
    <w:p w:rsidR="00FF0D7D" w:rsidRPr="00462D66" w:rsidRDefault="00FF0D7D" w:rsidP="005B4393">
      <w:pPr>
        <w:tabs>
          <w:tab w:val="left" w:pos="851"/>
        </w:tabs>
        <w:ind w:left="851"/>
        <w:rPr>
          <w:sz w:val="24"/>
          <w:szCs w:val="24"/>
        </w:rPr>
      </w:pPr>
    </w:p>
    <w:p w:rsidR="005B4393" w:rsidRPr="00462D66" w:rsidRDefault="005B4393" w:rsidP="005B4393">
      <w:pPr>
        <w:tabs>
          <w:tab w:val="left" w:pos="851"/>
        </w:tabs>
        <w:ind w:left="851"/>
        <w:rPr>
          <w:sz w:val="24"/>
          <w:szCs w:val="24"/>
        </w:rPr>
      </w:pPr>
      <w:r w:rsidRPr="00462D66">
        <w:rPr>
          <w:sz w:val="24"/>
          <w:szCs w:val="24"/>
        </w:rPr>
        <w:t>Klar, lysegul opløsning.</w:t>
      </w:r>
    </w:p>
    <w:p w:rsidR="005B4393" w:rsidRPr="00462D66" w:rsidRDefault="005B4393" w:rsidP="005B4393">
      <w:pPr>
        <w:tabs>
          <w:tab w:val="left" w:pos="851"/>
        </w:tabs>
        <w:ind w:left="851"/>
        <w:rPr>
          <w:sz w:val="24"/>
          <w:szCs w:val="24"/>
        </w:rPr>
      </w:pPr>
      <w:r w:rsidRPr="00462D66">
        <w:rPr>
          <w:sz w:val="24"/>
          <w:szCs w:val="24"/>
        </w:rPr>
        <w:t>pH-værdi: 6,2-7,0.</w:t>
      </w:r>
    </w:p>
    <w:p w:rsidR="005B4393" w:rsidRPr="00462D66" w:rsidRDefault="005B4393" w:rsidP="005B4393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462D66">
        <w:rPr>
          <w:sz w:val="24"/>
          <w:szCs w:val="24"/>
        </w:rPr>
        <w:t>Osmolalitet</w:t>
      </w:r>
      <w:proofErr w:type="spellEnd"/>
      <w:r w:rsidRPr="00462D66">
        <w:rPr>
          <w:sz w:val="24"/>
          <w:szCs w:val="24"/>
        </w:rPr>
        <w:t>: 1.500</w:t>
      </w:r>
      <w:r w:rsidRPr="00462D66">
        <w:rPr>
          <w:sz w:val="24"/>
          <w:szCs w:val="24"/>
        </w:rPr>
        <w:noBreakHyphen/>
        <w:t xml:space="preserve">1.700 </w:t>
      </w:r>
      <w:proofErr w:type="spellStart"/>
      <w:r w:rsidRPr="00462D66">
        <w:rPr>
          <w:sz w:val="24"/>
          <w:szCs w:val="24"/>
        </w:rPr>
        <w:t>mOsmol</w:t>
      </w:r>
      <w:proofErr w:type="spellEnd"/>
      <w:r w:rsidRPr="00462D66">
        <w:rPr>
          <w:sz w:val="24"/>
          <w:szCs w:val="24"/>
        </w:rPr>
        <w:t>/kg.</w:t>
      </w:r>
    </w:p>
    <w:p w:rsidR="009260DE" w:rsidRPr="00462D6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462D6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462D6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62D66">
        <w:rPr>
          <w:b/>
          <w:sz w:val="24"/>
          <w:szCs w:val="24"/>
        </w:rPr>
        <w:t>4.</w:t>
      </w:r>
      <w:r w:rsidRPr="00462D66">
        <w:rPr>
          <w:b/>
          <w:sz w:val="24"/>
          <w:szCs w:val="24"/>
        </w:rPr>
        <w:tab/>
        <w:t>KLINISKE OPLYSNINGER</w:t>
      </w:r>
    </w:p>
    <w:p w:rsidR="009260DE" w:rsidRPr="00462D66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9260DE" w:rsidRPr="00462D6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462D66">
        <w:rPr>
          <w:b/>
          <w:sz w:val="24"/>
          <w:szCs w:val="24"/>
        </w:rPr>
        <w:t>4.1</w:t>
      </w:r>
      <w:r w:rsidRPr="00462D66">
        <w:rPr>
          <w:b/>
          <w:sz w:val="24"/>
          <w:szCs w:val="24"/>
        </w:rPr>
        <w:tab/>
        <w:t>Terapeutiske indikationer</w:t>
      </w:r>
    </w:p>
    <w:p w:rsidR="005B4393" w:rsidRPr="00462D66" w:rsidRDefault="005B4393" w:rsidP="005B4393">
      <w:pPr>
        <w:tabs>
          <w:tab w:val="left" w:pos="851"/>
        </w:tabs>
        <w:ind w:left="851"/>
        <w:rPr>
          <w:sz w:val="24"/>
          <w:szCs w:val="24"/>
        </w:rPr>
      </w:pPr>
      <w:r w:rsidRPr="00462D66">
        <w:rPr>
          <w:sz w:val="24"/>
          <w:szCs w:val="24"/>
        </w:rPr>
        <w:t>Behandling af klinisk C</w:t>
      </w:r>
      <w:r w:rsidRPr="00462D66">
        <w:rPr>
          <w:sz w:val="24"/>
          <w:szCs w:val="24"/>
        </w:rPr>
        <w:noBreakHyphen/>
        <w:t>vitaminmangel, som ikke kan behandles med en særlig diæt eller med oral substitutionsbehandling.</w:t>
      </w:r>
    </w:p>
    <w:p w:rsidR="005B4393" w:rsidRPr="00462D66" w:rsidRDefault="005B4393" w:rsidP="005B4393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462D66">
        <w:rPr>
          <w:sz w:val="24"/>
          <w:szCs w:val="24"/>
        </w:rPr>
        <w:t>Ascorbinsyre</w:t>
      </w:r>
      <w:proofErr w:type="spellEnd"/>
      <w:r w:rsidRPr="00462D66">
        <w:rPr>
          <w:sz w:val="24"/>
          <w:szCs w:val="24"/>
        </w:rPr>
        <w:t xml:space="preserve"> </w:t>
      </w:r>
      <w:r w:rsidR="00C25704">
        <w:rPr>
          <w:sz w:val="24"/>
          <w:szCs w:val="24"/>
        </w:rPr>
        <w:t>"</w:t>
      </w:r>
      <w:proofErr w:type="spellStart"/>
      <w:r w:rsidRPr="00462D66">
        <w:rPr>
          <w:sz w:val="24"/>
          <w:szCs w:val="24"/>
        </w:rPr>
        <w:t>Pascoe</w:t>
      </w:r>
      <w:proofErr w:type="spellEnd"/>
      <w:r w:rsidR="00C25704">
        <w:rPr>
          <w:sz w:val="24"/>
          <w:szCs w:val="24"/>
        </w:rPr>
        <w:t>"</w:t>
      </w:r>
      <w:r w:rsidRPr="00462D66">
        <w:rPr>
          <w:sz w:val="24"/>
          <w:szCs w:val="24"/>
        </w:rPr>
        <w:t xml:space="preserve"> er indiceret til voksne.</w:t>
      </w:r>
    </w:p>
    <w:p w:rsidR="00FF0D7D" w:rsidRDefault="00FF0D7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260DE" w:rsidRPr="00462D6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462D6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62D66">
        <w:rPr>
          <w:b/>
          <w:sz w:val="24"/>
          <w:szCs w:val="24"/>
        </w:rPr>
        <w:t>4.2</w:t>
      </w:r>
      <w:r w:rsidRPr="00462D66">
        <w:rPr>
          <w:b/>
          <w:sz w:val="24"/>
          <w:szCs w:val="24"/>
        </w:rPr>
        <w:tab/>
        <w:t>Dosering og indgivelsesmåde</w:t>
      </w:r>
    </w:p>
    <w:p w:rsidR="005B4393" w:rsidRPr="00462D66" w:rsidRDefault="005B4393" w:rsidP="005B4393">
      <w:pPr>
        <w:tabs>
          <w:tab w:val="left" w:pos="851"/>
        </w:tabs>
        <w:ind w:left="851"/>
        <w:rPr>
          <w:sz w:val="24"/>
          <w:szCs w:val="24"/>
        </w:rPr>
      </w:pPr>
    </w:p>
    <w:p w:rsidR="005B4393" w:rsidRPr="00462D66" w:rsidRDefault="005B4393" w:rsidP="005B4393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462D66">
        <w:rPr>
          <w:sz w:val="24"/>
          <w:szCs w:val="24"/>
          <w:u w:val="single"/>
        </w:rPr>
        <w:t>Dosering</w:t>
      </w:r>
    </w:p>
    <w:p w:rsidR="005B4393" w:rsidRPr="00462D66" w:rsidRDefault="005B4393" w:rsidP="005B4393">
      <w:pPr>
        <w:tabs>
          <w:tab w:val="left" w:pos="851"/>
        </w:tabs>
        <w:ind w:left="851"/>
        <w:rPr>
          <w:sz w:val="24"/>
          <w:szCs w:val="24"/>
        </w:rPr>
      </w:pPr>
    </w:p>
    <w:p w:rsidR="005B4393" w:rsidRPr="00462D66" w:rsidRDefault="005B4393" w:rsidP="005B4393">
      <w:pPr>
        <w:tabs>
          <w:tab w:val="left" w:pos="851"/>
        </w:tabs>
        <w:ind w:left="851"/>
        <w:rPr>
          <w:i/>
          <w:sz w:val="24"/>
          <w:szCs w:val="24"/>
        </w:rPr>
      </w:pPr>
      <w:r w:rsidRPr="00462D66">
        <w:rPr>
          <w:i/>
          <w:sz w:val="24"/>
          <w:szCs w:val="24"/>
        </w:rPr>
        <w:t>Voksne</w:t>
      </w:r>
    </w:p>
    <w:p w:rsidR="005B4393" w:rsidRPr="00462D66" w:rsidRDefault="005B4393" w:rsidP="005B4393">
      <w:pPr>
        <w:tabs>
          <w:tab w:val="left" w:pos="851"/>
        </w:tabs>
        <w:ind w:left="851"/>
        <w:rPr>
          <w:sz w:val="24"/>
          <w:szCs w:val="24"/>
        </w:rPr>
      </w:pPr>
      <w:r w:rsidRPr="00462D66">
        <w:rPr>
          <w:sz w:val="24"/>
          <w:szCs w:val="24"/>
        </w:rPr>
        <w:t xml:space="preserve">Den sædvanlige dosis er 0,5 til 1,0 g </w:t>
      </w:r>
      <w:proofErr w:type="spellStart"/>
      <w:r w:rsidRPr="00462D66">
        <w:rPr>
          <w:sz w:val="24"/>
          <w:szCs w:val="24"/>
        </w:rPr>
        <w:t>ascorbinsyre</w:t>
      </w:r>
      <w:proofErr w:type="spellEnd"/>
      <w:r w:rsidRPr="00462D66">
        <w:rPr>
          <w:sz w:val="24"/>
          <w:szCs w:val="24"/>
        </w:rPr>
        <w:t xml:space="preserve"> (svarende til 3,3</w:t>
      </w:r>
      <w:r w:rsidRPr="00462D66">
        <w:rPr>
          <w:sz w:val="24"/>
          <w:szCs w:val="24"/>
        </w:rPr>
        <w:noBreakHyphen/>
        <w:t xml:space="preserve">6,7 ml koncentrat). Alvorligt traume eller operation kan gøre det nødvendigt med daglige doser på mindst 3 g </w:t>
      </w:r>
      <w:proofErr w:type="spellStart"/>
      <w:r w:rsidRPr="00462D66">
        <w:rPr>
          <w:sz w:val="24"/>
          <w:szCs w:val="24"/>
        </w:rPr>
        <w:t>ascorbinsyre</w:t>
      </w:r>
      <w:proofErr w:type="spellEnd"/>
      <w:r w:rsidRPr="00462D66">
        <w:rPr>
          <w:sz w:val="24"/>
          <w:szCs w:val="24"/>
        </w:rPr>
        <w:t xml:space="preserve"> for at genoprette normale plasmaniveauer. Afhængigt af sygdomssituationen kan op til 7,5 g </w:t>
      </w:r>
      <w:proofErr w:type="spellStart"/>
      <w:r w:rsidRPr="00462D66">
        <w:rPr>
          <w:sz w:val="24"/>
          <w:szCs w:val="24"/>
        </w:rPr>
        <w:t>ascorbinsyre</w:t>
      </w:r>
      <w:proofErr w:type="spellEnd"/>
      <w:r w:rsidRPr="00462D66">
        <w:rPr>
          <w:sz w:val="24"/>
          <w:szCs w:val="24"/>
        </w:rPr>
        <w:t xml:space="preserve"> (50 ml koncentrat) pr. dag anvendes til infusion.</w:t>
      </w:r>
    </w:p>
    <w:p w:rsidR="005B4393" w:rsidRPr="00462D66" w:rsidRDefault="005B4393" w:rsidP="005B4393">
      <w:pPr>
        <w:tabs>
          <w:tab w:val="left" w:pos="851"/>
        </w:tabs>
        <w:ind w:left="851"/>
        <w:rPr>
          <w:sz w:val="24"/>
          <w:szCs w:val="24"/>
        </w:rPr>
      </w:pPr>
    </w:p>
    <w:p w:rsidR="005B4393" w:rsidRPr="00462D66" w:rsidRDefault="005B4393" w:rsidP="005B4393">
      <w:pPr>
        <w:tabs>
          <w:tab w:val="left" w:pos="851"/>
        </w:tabs>
        <w:ind w:left="851"/>
        <w:rPr>
          <w:i/>
          <w:sz w:val="24"/>
          <w:szCs w:val="24"/>
        </w:rPr>
      </w:pPr>
      <w:r w:rsidRPr="00462D66">
        <w:rPr>
          <w:i/>
          <w:sz w:val="24"/>
          <w:szCs w:val="24"/>
        </w:rPr>
        <w:t>Pædiatrisk population</w:t>
      </w:r>
    </w:p>
    <w:p w:rsidR="00481434" w:rsidRPr="00481434" w:rsidRDefault="00481434" w:rsidP="00481434">
      <w:pPr>
        <w:tabs>
          <w:tab w:val="left" w:pos="851"/>
        </w:tabs>
        <w:ind w:left="851"/>
        <w:rPr>
          <w:sz w:val="24"/>
          <w:szCs w:val="24"/>
        </w:rPr>
      </w:pPr>
      <w:r w:rsidRPr="00481434">
        <w:rPr>
          <w:sz w:val="24"/>
          <w:szCs w:val="24"/>
        </w:rPr>
        <w:t xml:space="preserve">Sikkerhed og virkning af </w:t>
      </w:r>
      <w:proofErr w:type="spellStart"/>
      <w:r w:rsidRPr="00481434">
        <w:rPr>
          <w:sz w:val="24"/>
          <w:szCs w:val="24"/>
        </w:rPr>
        <w:t>Ascorbinsyre</w:t>
      </w:r>
      <w:proofErr w:type="spellEnd"/>
      <w:r w:rsidRPr="00481434">
        <w:rPr>
          <w:sz w:val="24"/>
          <w:szCs w:val="24"/>
        </w:rPr>
        <w:t xml:space="preserve"> ”</w:t>
      </w:r>
      <w:proofErr w:type="spellStart"/>
      <w:r w:rsidRPr="00481434">
        <w:rPr>
          <w:sz w:val="24"/>
          <w:szCs w:val="24"/>
        </w:rPr>
        <w:t>Pascoe</w:t>
      </w:r>
      <w:proofErr w:type="spellEnd"/>
      <w:r w:rsidRPr="00481434">
        <w:rPr>
          <w:sz w:val="24"/>
          <w:szCs w:val="24"/>
        </w:rPr>
        <w:t>” er ikke fastlagt hos børn og unge. Der er ingen tilgængelige data.</w:t>
      </w:r>
    </w:p>
    <w:p w:rsidR="005B4393" w:rsidRPr="00462D66" w:rsidRDefault="005B4393" w:rsidP="005B4393">
      <w:pPr>
        <w:tabs>
          <w:tab w:val="left" w:pos="851"/>
        </w:tabs>
        <w:ind w:left="851"/>
        <w:rPr>
          <w:sz w:val="24"/>
          <w:szCs w:val="24"/>
        </w:rPr>
      </w:pPr>
    </w:p>
    <w:p w:rsidR="005B4393" w:rsidRPr="00462D66" w:rsidRDefault="005B4393" w:rsidP="005B4393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462D66">
        <w:rPr>
          <w:sz w:val="24"/>
          <w:szCs w:val="24"/>
          <w:u w:val="single"/>
        </w:rPr>
        <w:t>Administration</w:t>
      </w:r>
    </w:p>
    <w:p w:rsidR="005B4393" w:rsidRPr="00462D66" w:rsidRDefault="005B4393" w:rsidP="005B4393">
      <w:pPr>
        <w:tabs>
          <w:tab w:val="left" w:pos="851"/>
        </w:tabs>
        <w:ind w:left="851"/>
        <w:rPr>
          <w:sz w:val="24"/>
          <w:szCs w:val="24"/>
        </w:rPr>
      </w:pPr>
      <w:r w:rsidRPr="00462D66">
        <w:rPr>
          <w:sz w:val="24"/>
          <w:szCs w:val="24"/>
        </w:rPr>
        <w:t>Til langsom intravenøs injektion eller infusion efter fortynding.</w:t>
      </w:r>
    </w:p>
    <w:p w:rsidR="005B4393" w:rsidRPr="00462D66" w:rsidRDefault="005B4393" w:rsidP="005B4393">
      <w:pPr>
        <w:tabs>
          <w:tab w:val="left" w:pos="851"/>
        </w:tabs>
        <w:ind w:left="851"/>
        <w:rPr>
          <w:sz w:val="24"/>
          <w:szCs w:val="24"/>
        </w:rPr>
      </w:pPr>
      <w:r w:rsidRPr="00462D66">
        <w:rPr>
          <w:sz w:val="24"/>
          <w:szCs w:val="24"/>
        </w:rPr>
        <w:t>For instruktioner om fortynding af lægemidlet før administration, se pkt. 6.6.</w:t>
      </w:r>
    </w:p>
    <w:p w:rsidR="005B4393" w:rsidRPr="00462D66" w:rsidRDefault="005B4393" w:rsidP="005B4393">
      <w:pPr>
        <w:tabs>
          <w:tab w:val="left" w:pos="851"/>
        </w:tabs>
        <w:ind w:left="851"/>
        <w:rPr>
          <w:sz w:val="24"/>
          <w:szCs w:val="24"/>
        </w:rPr>
      </w:pPr>
      <w:r w:rsidRPr="00462D66">
        <w:rPr>
          <w:sz w:val="24"/>
          <w:szCs w:val="24"/>
        </w:rPr>
        <w:t>Injektions-/infusionsbehandlingen skal udføres af en læge.</w:t>
      </w:r>
    </w:p>
    <w:p w:rsidR="005B4393" w:rsidRPr="00462D66" w:rsidRDefault="005B4393" w:rsidP="005B4393">
      <w:pPr>
        <w:tabs>
          <w:tab w:val="left" w:pos="851"/>
        </w:tabs>
        <w:ind w:left="851"/>
        <w:rPr>
          <w:sz w:val="24"/>
          <w:szCs w:val="24"/>
        </w:rPr>
      </w:pPr>
    </w:p>
    <w:p w:rsidR="005B4393" w:rsidRPr="00462D66" w:rsidRDefault="005B4393" w:rsidP="005B4393">
      <w:pPr>
        <w:tabs>
          <w:tab w:val="left" w:pos="851"/>
        </w:tabs>
        <w:ind w:left="851"/>
        <w:rPr>
          <w:sz w:val="24"/>
          <w:szCs w:val="24"/>
        </w:rPr>
      </w:pPr>
      <w:r w:rsidRPr="00462D66">
        <w:rPr>
          <w:sz w:val="24"/>
          <w:szCs w:val="24"/>
        </w:rPr>
        <w:t xml:space="preserve">Varigheden af behandlingen afhænger </w:t>
      </w:r>
      <w:proofErr w:type="gramStart"/>
      <w:r w:rsidRPr="00462D66">
        <w:rPr>
          <w:sz w:val="24"/>
          <w:szCs w:val="24"/>
        </w:rPr>
        <w:t>af  sygdomsforløbet</w:t>
      </w:r>
      <w:proofErr w:type="gramEnd"/>
      <w:r w:rsidRPr="00462D66">
        <w:rPr>
          <w:sz w:val="24"/>
          <w:szCs w:val="24"/>
        </w:rPr>
        <w:t xml:space="preserve"> og resultaterne fra laboratorietest.</w:t>
      </w:r>
    </w:p>
    <w:p w:rsidR="005B4393" w:rsidRPr="00462D66" w:rsidRDefault="005B4393" w:rsidP="005B4393">
      <w:pPr>
        <w:tabs>
          <w:tab w:val="left" w:pos="851"/>
        </w:tabs>
        <w:ind w:left="851"/>
        <w:rPr>
          <w:sz w:val="24"/>
          <w:szCs w:val="24"/>
        </w:rPr>
      </w:pPr>
    </w:p>
    <w:p w:rsidR="005B4393" w:rsidRPr="00FF0D7D" w:rsidRDefault="005B4393" w:rsidP="005B4393">
      <w:pPr>
        <w:tabs>
          <w:tab w:val="left" w:pos="851"/>
        </w:tabs>
        <w:ind w:left="851"/>
        <w:rPr>
          <w:i/>
          <w:sz w:val="24"/>
          <w:szCs w:val="24"/>
        </w:rPr>
      </w:pPr>
      <w:r w:rsidRPr="00FF0D7D">
        <w:rPr>
          <w:i/>
          <w:sz w:val="24"/>
          <w:szCs w:val="24"/>
        </w:rPr>
        <w:t>Anvisning i håndtering</w:t>
      </w:r>
    </w:p>
    <w:p w:rsidR="005B4393" w:rsidRPr="00462D66" w:rsidRDefault="005B4393" w:rsidP="005B4393">
      <w:pPr>
        <w:tabs>
          <w:tab w:val="left" w:pos="851"/>
        </w:tabs>
        <w:ind w:left="851"/>
        <w:rPr>
          <w:sz w:val="24"/>
          <w:szCs w:val="24"/>
        </w:rPr>
      </w:pPr>
      <w:r w:rsidRPr="00462D66">
        <w:rPr>
          <w:sz w:val="24"/>
          <w:szCs w:val="24"/>
        </w:rPr>
        <w:t xml:space="preserve">Hætteglasset med </w:t>
      </w:r>
      <w:proofErr w:type="spellStart"/>
      <w:r w:rsidRPr="00462D66">
        <w:rPr>
          <w:sz w:val="24"/>
          <w:szCs w:val="24"/>
        </w:rPr>
        <w:t>ukonserveret</w:t>
      </w:r>
      <w:proofErr w:type="spellEnd"/>
      <w:r w:rsidRPr="00462D66">
        <w:rPr>
          <w:sz w:val="24"/>
          <w:szCs w:val="24"/>
        </w:rPr>
        <w:t xml:space="preserve"> koncentrat til injektions-/infusionsvæske, opløsning, er kun til </w:t>
      </w:r>
      <w:r w:rsidRPr="00462D66">
        <w:rPr>
          <w:b/>
          <w:sz w:val="24"/>
          <w:szCs w:val="24"/>
        </w:rPr>
        <w:t>engangsbrug</w:t>
      </w:r>
      <w:r w:rsidRPr="00462D66">
        <w:rPr>
          <w:sz w:val="24"/>
          <w:szCs w:val="24"/>
        </w:rPr>
        <w:t>. Det skal anvendes umiddelbart efter åbning. Eventuel ubrugt opløsning skal kasseres.</w:t>
      </w:r>
    </w:p>
    <w:p w:rsidR="009260DE" w:rsidRPr="00462D6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462D6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62D66">
        <w:rPr>
          <w:b/>
          <w:sz w:val="24"/>
          <w:szCs w:val="24"/>
        </w:rPr>
        <w:t>4.3</w:t>
      </w:r>
      <w:r w:rsidRPr="00462D66">
        <w:rPr>
          <w:b/>
          <w:sz w:val="24"/>
          <w:szCs w:val="24"/>
        </w:rPr>
        <w:tab/>
        <w:t>Kontraindikationer</w:t>
      </w:r>
    </w:p>
    <w:p w:rsidR="005B4393" w:rsidRPr="00462D66" w:rsidRDefault="005B4393" w:rsidP="00FF0D7D">
      <w:pPr>
        <w:numPr>
          <w:ilvl w:val="0"/>
          <w:numId w:val="6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462D66">
        <w:rPr>
          <w:sz w:val="24"/>
          <w:szCs w:val="24"/>
        </w:rPr>
        <w:t>Overfølsomhed over for det aktive stof eller over for et eller flere af hjælpestofferne anført i pkt. 6.1</w:t>
      </w:r>
      <w:r w:rsidR="005D5B00">
        <w:rPr>
          <w:sz w:val="24"/>
          <w:szCs w:val="24"/>
        </w:rPr>
        <w:t>.</w:t>
      </w:r>
    </w:p>
    <w:p w:rsidR="005B4393" w:rsidRPr="00462D66" w:rsidRDefault="005B4393" w:rsidP="00FF0D7D">
      <w:pPr>
        <w:numPr>
          <w:ilvl w:val="0"/>
          <w:numId w:val="6"/>
        </w:numPr>
        <w:tabs>
          <w:tab w:val="left" w:pos="851"/>
        </w:tabs>
        <w:ind w:left="1134" w:hanging="283"/>
        <w:rPr>
          <w:sz w:val="24"/>
          <w:szCs w:val="24"/>
        </w:rPr>
      </w:pPr>
      <w:proofErr w:type="spellStart"/>
      <w:r w:rsidRPr="00462D66">
        <w:rPr>
          <w:sz w:val="24"/>
          <w:szCs w:val="24"/>
        </w:rPr>
        <w:t>Oxalaturolithiasis</w:t>
      </w:r>
      <w:proofErr w:type="spellEnd"/>
      <w:r w:rsidRPr="00462D66">
        <w:rPr>
          <w:sz w:val="24"/>
          <w:szCs w:val="24"/>
        </w:rPr>
        <w:t xml:space="preserve">, </w:t>
      </w:r>
      <w:proofErr w:type="spellStart"/>
      <w:r w:rsidRPr="00462D66">
        <w:rPr>
          <w:sz w:val="24"/>
          <w:szCs w:val="24"/>
        </w:rPr>
        <w:t>hyperoxaluri</w:t>
      </w:r>
      <w:proofErr w:type="spellEnd"/>
      <w:r w:rsidR="005D5B00">
        <w:rPr>
          <w:sz w:val="24"/>
          <w:szCs w:val="24"/>
        </w:rPr>
        <w:t>.</w:t>
      </w:r>
    </w:p>
    <w:p w:rsidR="005B4393" w:rsidRPr="00462D66" w:rsidRDefault="005B4393" w:rsidP="00FF0D7D">
      <w:pPr>
        <w:numPr>
          <w:ilvl w:val="0"/>
          <w:numId w:val="6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462D66">
        <w:rPr>
          <w:sz w:val="24"/>
          <w:szCs w:val="24"/>
        </w:rPr>
        <w:t xml:space="preserve">Jernophobning (f.eks. </w:t>
      </w:r>
      <w:proofErr w:type="spellStart"/>
      <w:r w:rsidRPr="00462D66">
        <w:rPr>
          <w:sz w:val="24"/>
          <w:szCs w:val="24"/>
        </w:rPr>
        <w:t>talassæmi</w:t>
      </w:r>
      <w:proofErr w:type="spellEnd"/>
      <w:r w:rsidRPr="00462D66">
        <w:rPr>
          <w:sz w:val="24"/>
          <w:szCs w:val="24"/>
        </w:rPr>
        <w:t xml:space="preserve">, </w:t>
      </w:r>
      <w:proofErr w:type="spellStart"/>
      <w:r w:rsidRPr="00462D66">
        <w:rPr>
          <w:sz w:val="24"/>
          <w:szCs w:val="24"/>
        </w:rPr>
        <w:t>hæmokromatose</w:t>
      </w:r>
      <w:proofErr w:type="spellEnd"/>
      <w:r w:rsidRPr="00462D66">
        <w:rPr>
          <w:sz w:val="24"/>
          <w:szCs w:val="24"/>
        </w:rPr>
        <w:t xml:space="preserve">, </w:t>
      </w:r>
      <w:proofErr w:type="spellStart"/>
      <w:r w:rsidRPr="00462D66">
        <w:rPr>
          <w:sz w:val="24"/>
          <w:szCs w:val="24"/>
        </w:rPr>
        <w:t>sideroblastisk</w:t>
      </w:r>
      <w:proofErr w:type="spellEnd"/>
      <w:r w:rsidRPr="00462D66">
        <w:rPr>
          <w:sz w:val="24"/>
          <w:szCs w:val="24"/>
        </w:rPr>
        <w:t xml:space="preserve"> anæmi, transfusioner med erytrocytkoncentrat)</w:t>
      </w:r>
      <w:r w:rsidR="005D5B00">
        <w:rPr>
          <w:sz w:val="24"/>
          <w:szCs w:val="24"/>
        </w:rPr>
        <w:t>.</w:t>
      </w:r>
    </w:p>
    <w:p w:rsidR="005B4393" w:rsidRPr="00462D66" w:rsidRDefault="005B4393" w:rsidP="00FF0D7D">
      <w:pPr>
        <w:numPr>
          <w:ilvl w:val="0"/>
          <w:numId w:val="6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462D66">
        <w:rPr>
          <w:sz w:val="24"/>
          <w:szCs w:val="24"/>
        </w:rPr>
        <w:t xml:space="preserve">Nyreinsufficiens </w:t>
      </w:r>
      <w:r w:rsidRPr="00462D66">
        <w:rPr>
          <w:b/>
          <w:i/>
          <w:sz w:val="24"/>
          <w:szCs w:val="24"/>
        </w:rPr>
        <w:t>(KDIGO GFR-stadie G4 og 5 (&lt; 30ml/min/1,73m</w:t>
      </w:r>
      <w:r w:rsidRPr="00462D66">
        <w:rPr>
          <w:b/>
          <w:i/>
          <w:sz w:val="24"/>
          <w:szCs w:val="24"/>
          <w:vertAlign w:val="superscript"/>
        </w:rPr>
        <w:t>2</w:t>
      </w:r>
      <w:r w:rsidRPr="00462D66">
        <w:rPr>
          <w:b/>
          <w:i/>
          <w:sz w:val="24"/>
          <w:szCs w:val="24"/>
        </w:rPr>
        <w:t>)</w:t>
      </w:r>
      <w:r w:rsidR="005D5B00">
        <w:rPr>
          <w:b/>
          <w:i/>
          <w:sz w:val="24"/>
          <w:szCs w:val="24"/>
        </w:rPr>
        <w:t>.</w:t>
      </w:r>
    </w:p>
    <w:p w:rsidR="005B4393" w:rsidRPr="00462D66" w:rsidRDefault="005B4393" w:rsidP="00FF0D7D">
      <w:pPr>
        <w:numPr>
          <w:ilvl w:val="0"/>
          <w:numId w:val="6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462D66">
        <w:rPr>
          <w:sz w:val="24"/>
          <w:szCs w:val="24"/>
        </w:rPr>
        <w:t>Glucose</w:t>
      </w:r>
      <w:r w:rsidRPr="00462D66">
        <w:rPr>
          <w:sz w:val="24"/>
          <w:szCs w:val="24"/>
        </w:rPr>
        <w:noBreakHyphen/>
        <w:t>6</w:t>
      </w:r>
      <w:r w:rsidRPr="00462D66">
        <w:rPr>
          <w:sz w:val="24"/>
          <w:szCs w:val="24"/>
        </w:rPr>
        <w:noBreakHyphen/>
        <w:t>phosphat</w:t>
      </w:r>
      <w:r w:rsidRPr="00462D66">
        <w:rPr>
          <w:sz w:val="24"/>
          <w:szCs w:val="24"/>
        </w:rPr>
        <w:noBreakHyphen/>
        <w:t>dehydrogenase mangel/-defekt</w:t>
      </w:r>
      <w:r w:rsidR="005D5B00">
        <w:rPr>
          <w:sz w:val="24"/>
          <w:szCs w:val="24"/>
        </w:rPr>
        <w:t>.</w:t>
      </w:r>
    </w:p>
    <w:p w:rsidR="009260DE" w:rsidRPr="00462D6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462D6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62D66">
        <w:rPr>
          <w:b/>
          <w:sz w:val="24"/>
          <w:szCs w:val="24"/>
        </w:rPr>
        <w:t>4.4</w:t>
      </w:r>
      <w:r w:rsidRPr="00462D66">
        <w:rPr>
          <w:b/>
          <w:sz w:val="24"/>
          <w:szCs w:val="24"/>
        </w:rPr>
        <w:tab/>
        <w:t>Særlige advarsler og forsigtighedsregler vedrørende brugen</w:t>
      </w:r>
    </w:p>
    <w:p w:rsidR="005B4393" w:rsidRPr="00462D66" w:rsidRDefault="005B4393" w:rsidP="005B4393">
      <w:pPr>
        <w:tabs>
          <w:tab w:val="left" w:pos="851"/>
        </w:tabs>
        <w:ind w:left="851"/>
        <w:rPr>
          <w:sz w:val="24"/>
          <w:szCs w:val="24"/>
        </w:rPr>
      </w:pPr>
    </w:p>
    <w:p w:rsidR="005B4393" w:rsidRPr="005D5B00" w:rsidRDefault="005B4393" w:rsidP="005B4393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5D5B00">
        <w:rPr>
          <w:sz w:val="24"/>
          <w:szCs w:val="24"/>
          <w:u w:val="single"/>
        </w:rPr>
        <w:t>Nyreinsufficiens (KDIGO GFR-stadie G3 (30 til &lt; 60 ml/min/1,73 m</w:t>
      </w:r>
      <w:r w:rsidRPr="005D5B00">
        <w:rPr>
          <w:sz w:val="24"/>
          <w:szCs w:val="24"/>
          <w:u w:val="single"/>
          <w:vertAlign w:val="superscript"/>
        </w:rPr>
        <w:t>2</w:t>
      </w:r>
      <w:r w:rsidRPr="005D5B00">
        <w:rPr>
          <w:sz w:val="24"/>
          <w:szCs w:val="24"/>
          <w:u w:val="single"/>
        </w:rPr>
        <w:t>)</w:t>
      </w:r>
    </w:p>
    <w:p w:rsidR="005B4393" w:rsidRPr="00462D66" w:rsidRDefault="005B4393" w:rsidP="005B4393">
      <w:pPr>
        <w:tabs>
          <w:tab w:val="left" w:pos="851"/>
        </w:tabs>
        <w:ind w:left="851"/>
        <w:rPr>
          <w:sz w:val="24"/>
          <w:szCs w:val="24"/>
        </w:rPr>
      </w:pPr>
      <w:r w:rsidRPr="00462D66">
        <w:rPr>
          <w:sz w:val="24"/>
          <w:szCs w:val="24"/>
        </w:rPr>
        <w:t xml:space="preserve">Patienter med nedsat nyrefunktion har en højere risiko for </w:t>
      </w:r>
      <w:proofErr w:type="spellStart"/>
      <w:r w:rsidRPr="00462D66">
        <w:rPr>
          <w:sz w:val="24"/>
          <w:szCs w:val="24"/>
        </w:rPr>
        <w:t>oxalatudfældning</w:t>
      </w:r>
      <w:proofErr w:type="spellEnd"/>
      <w:r w:rsidRPr="00462D66">
        <w:rPr>
          <w:sz w:val="24"/>
          <w:szCs w:val="24"/>
        </w:rPr>
        <w:t xml:space="preserve"> i urinen på grund af tilskud af C</w:t>
      </w:r>
      <w:r w:rsidRPr="00462D66">
        <w:rPr>
          <w:sz w:val="24"/>
          <w:szCs w:val="24"/>
        </w:rPr>
        <w:noBreakHyphen/>
        <w:t>vitamin. Derfor bør der foretages en tæt monitorering af nyrefunktionen (f.eks. GFR, albumin).</w:t>
      </w:r>
    </w:p>
    <w:p w:rsidR="005B4393" w:rsidRPr="00462D66" w:rsidRDefault="005B4393" w:rsidP="005B4393">
      <w:pPr>
        <w:tabs>
          <w:tab w:val="left" w:pos="851"/>
        </w:tabs>
        <w:ind w:left="851"/>
        <w:rPr>
          <w:sz w:val="24"/>
          <w:szCs w:val="24"/>
        </w:rPr>
      </w:pPr>
    </w:p>
    <w:p w:rsidR="005B4393" w:rsidRPr="00462D66" w:rsidRDefault="005B4393" w:rsidP="005B4393">
      <w:pPr>
        <w:tabs>
          <w:tab w:val="left" w:pos="851"/>
        </w:tabs>
        <w:ind w:left="851"/>
        <w:rPr>
          <w:sz w:val="24"/>
          <w:szCs w:val="24"/>
        </w:rPr>
      </w:pPr>
      <w:r w:rsidRPr="00462D66">
        <w:rPr>
          <w:sz w:val="24"/>
          <w:szCs w:val="24"/>
        </w:rPr>
        <w:t xml:space="preserve">Patienter, der er disponeret for at danne nyresten, risikerer at udvikle </w:t>
      </w:r>
      <w:proofErr w:type="spellStart"/>
      <w:r w:rsidRPr="00462D66">
        <w:rPr>
          <w:sz w:val="24"/>
          <w:szCs w:val="24"/>
        </w:rPr>
        <w:t>calciumoxalatsten</w:t>
      </w:r>
      <w:proofErr w:type="spellEnd"/>
      <w:r w:rsidRPr="00462D66">
        <w:rPr>
          <w:sz w:val="24"/>
          <w:szCs w:val="24"/>
        </w:rPr>
        <w:t>, når de anvender høje doser C</w:t>
      </w:r>
      <w:r w:rsidRPr="00462D66">
        <w:rPr>
          <w:sz w:val="24"/>
          <w:szCs w:val="24"/>
        </w:rPr>
        <w:noBreakHyphen/>
        <w:t>vitamin. Det frarådes at overskride en daglig indtagelse af C</w:t>
      </w:r>
      <w:r w:rsidRPr="00462D66">
        <w:rPr>
          <w:sz w:val="24"/>
          <w:szCs w:val="24"/>
        </w:rPr>
        <w:noBreakHyphen/>
        <w:t>vitamin på 100</w:t>
      </w:r>
      <w:r w:rsidRPr="00462D66">
        <w:rPr>
          <w:sz w:val="24"/>
          <w:szCs w:val="24"/>
        </w:rPr>
        <w:noBreakHyphen/>
        <w:t>200 mg hos patienter, der tidligere har lidt af tilbagevendende nyresten.</w:t>
      </w:r>
    </w:p>
    <w:p w:rsidR="005B4393" w:rsidRPr="00462D66" w:rsidRDefault="005B4393" w:rsidP="005B4393">
      <w:pPr>
        <w:tabs>
          <w:tab w:val="left" w:pos="851"/>
        </w:tabs>
        <w:ind w:left="851"/>
        <w:rPr>
          <w:sz w:val="24"/>
          <w:szCs w:val="24"/>
        </w:rPr>
      </w:pPr>
    </w:p>
    <w:p w:rsidR="005B4393" w:rsidRPr="00462D66" w:rsidRDefault="005B4393" w:rsidP="005B4393">
      <w:pPr>
        <w:tabs>
          <w:tab w:val="left" w:pos="851"/>
        </w:tabs>
        <w:ind w:left="851"/>
        <w:rPr>
          <w:sz w:val="24"/>
          <w:szCs w:val="24"/>
        </w:rPr>
      </w:pPr>
      <w:r w:rsidRPr="00462D66">
        <w:rPr>
          <w:sz w:val="24"/>
          <w:szCs w:val="24"/>
        </w:rPr>
        <w:t xml:space="preserve">Hver injektionshætteglas med </w:t>
      </w:r>
      <w:proofErr w:type="spellStart"/>
      <w:r w:rsidRPr="00462D66">
        <w:rPr>
          <w:sz w:val="24"/>
          <w:szCs w:val="24"/>
        </w:rPr>
        <w:t>Ascorbinsyre</w:t>
      </w:r>
      <w:proofErr w:type="spellEnd"/>
      <w:r w:rsidRPr="00462D66">
        <w:rPr>
          <w:sz w:val="24"/>
          <w:szCs w:val="24"/>
        </w:rPr>
        <w:t xml:space="preserve"> </w:t>
      </w:r>
      <w:r w:rsidR="00C25704">
        <w:rPr>
          <w:sz w:val="24"/>
          <w:szCs w:val="24"/>
        </w:rPr>
        <w:t>"</w:t>
      </w:r>
      <w:proofErr w:type="spellStart"/>
      <w:r w:rsidRPr="00462D66">
        <w:rPr>
          <w:sz w:val="24"/>
          <w:szCs w:val="24"/>
        </w:rPr>
        <w:t>Pascoe</w:t>
      </w:r>
      <w:proofErr w:type="spellEnd"/>
      <w:r w:rsidR="00C25704">
        <w:rPr>
          <w:sz w:val="24"/>
          <w:szCs w:val="24"/>
        </w:rPr>
        <w:t>"</w:t>
      </w:r>
      <w:r w:rsidRPr="00462D66">
        <w:rPr>
          <w:sz w:val="24"/>
          <w:szCs w:val="24"/>
        </w:rPr>
        <w:t xml:space="preserve"> indeholder 42,3 mmol (972 mg) natrium. Der skal tages højde for dette hos patienter, som er på saltfattig diæt.</w:t>
      </w:r>
    </w:p>
    <w:p w:rsidR="005B4393" w:rsidRPr="00462D66" w:rsidRDefault="005B4393" w:rsidP="005B4393">
      <w:pPr>
        <w:tabs>
          <w:tab w:val="left" w:pos="851"/>
        </w:tabs>
        <w:ind w:left="851"/>
        <w:rPr>
          <w:sz w:val="24"/>
          <w:szCs w:val="24"/>
        </w:rPr>
      </w:pPr>
      <w:r w:rsidRPr="00462D66">
        <w:rPr>
          <w:sz w:val="24"/>
          <w:szCs w:val="24"/>
        </w:rPr>
        <w:t>Der skal sikres tilstrækkelig væskeindtagelse (cirka 1,5</w:t>
      </w:r>
      <w:r w:rsidRPr="00462D66">
        <w:rPr>
          <w:sz w:val="24"/>
          <w:szCs w:val="24"/>
        </w:rPr>
        <w:noBreakHyphen/>
        <w:t>2 l om dagen).</w:t>
      </w:r>
    </w:p>
    <w:p w:rsidR="005B4393" w:rsidRPr="00462D66" w:rsidRDefault="005B4393" w:rsidP="005B4393">
      <w:pPr>
        <w:tabs>
          <w:tab w:val="left" w:pos="851"/>
        </w:tabs>
        <w:ind w:left="851"/>
        <w:rPr>
          <w:sz w:val="24"/>
          <w:szCs w:val="24"/>
        </w:rPr>
      </w:pPr>
      <w:r w:rsidRPr="00462D66">
        <w:rPr>
          <w:sz w:val="24"/>
          <w:szCs w:val="24"/>
        </w:rPr>
        <w:lastRenderedPageBreak/>
        <w:t xml:space="preserve">Det anbefales også at undgå yderligere </w:t>
      </w:r>
      <w:proofErr w:type="spellStart"/>
      <w:r w:rsidRPr="00462D66">
        <w:rPr>
          <w:sz w:val="24"/>
          <w:szCs w:val="24"/>
        </w:rPr>
        <w:t>oxalatrige</w:t>
      </w:r>
      <w:proofErr w:type="spellEnd"/>
      <w:r w:rsidRPr="00462D66">
        <w:rPr>
          <w:sz w:val="24"/>
          <w:szCs w:val="24"/>
        </w:rPr>
        <w:t xml:space="preserve"> fødevarer under behandlingen med </w:t>
      </w:r>
      <w:proofErr w:type="spellStart"/>
      <w:r w:rsidRPr="00462D66">
        <w:rPr>
          <w:sz w:val="24"/>
          <w:szCs w:val="24"/>
        </w:rPr>
        <w:t>ascorbinsyre</w:t>
      </w:r>
      <w:proofErr w:type="spellEnd"/>
      <w:r w:rsidRPr="00462D66">
        <w:rPr>
          <w:sz w:val="24"/>
          <w:szCs w:val="24"/>
        </w:rPr>
        <w:t>.</w:t>
      </w:r>
    </w:p>
    <w:p w:rsidR="005B4393" w:rsidRPr="00462D66" w:rsidRDefault="005B4393" w:rsidP="005B4393">
      <w:pPr>
        <w:tabs>
          <w:tab w:val="left" w:pos="851"/>
        </w:tabs>
        <w:ind w:left="851"/>
        <w:rPr>
          <w:sz w:val="24"/>
          <w:szCs w:val="24"/>
        </w:rPr>
      </w:pPr>
      <w:r w:rsidRPr="00462D66">
        <w:rPr>
          <w:sz w:val="24"/>
          <w:szCs w:val="24"/>
        </w:rPr>
        <w:t xml:space="preserve">I enkeltstående tilfælde kan patienter, der tidligere har haft åndedrætsbesvær (f.eks. obstruktiv eller restriktiv bronkie- og lungesygdom), opleve akut dyspnø, når de behandles med høje doser (≥ 7,5 g) af </w:t>
      </w:r>
      <w:proofErr w:type="spellStart"/>
      <w:r w:rsidRPr="00462D66">
        <w:rPr>
          <w:sz w:val="24"/>
          <w:szCs w:val="24"/>
        </w:rPr>
        <w:t>Ascorbinsyre</w:t>
      </w:r>
      <w:proofErr w:type="spellEnd"/>
      <w:r w:rsidRPr="00462D66">
        <w:rPr>
          <w:sz w:val="24"/>
          <w:szCs w:val="24"/>
        </w:rPr>
        <w:t xml:space="preserve"> </w:t>
      </w:r>
      <w:r w:rsidR="00C25704">
        <w:rPr>
          <w:sz w:val="24"/>
          <w:szCs w:val="24"/>
        </w:rPr>
        <w:t>"</w:t>
      </w:r>
      <w:proofErr w:type="spellStart"/>
      <w:r w:rsidRPr="00462D66">
        <w:rPr>
          <w:sz w:val="24"/>
          <w:szCs w:val="24"/>
        </w:rPr>
        <w:t>Pascoe</w:t>
      </w:r>
      <w:proofErr w:type="spellEnd"/>
      <w:r w:rsidR="00C25704">
        <w:rPr>
          <w:sz w:val="24"/>
          <w:szCs w:val="24"/>
        </w:rPr>
        <w:t>"</w:t>
      </w:r>
      <w:r w:rsidRPr="00462D66">
        <w:rPr>
          <w:sz w:val="24"/>
          <w:szCs w:val="24"/>
        </w:rPr>
        <w:t>. Derfor anbefales lavere initialdoser til disse patienter.</w:t>
      </w:r>
    </w:p>
    <w:p w:rsidR="005B4393" w:rsidRPr="00462D66" w:rsidRDefault="005B4393" w:rsidP="005B4393">
      <w:pPr>
        <w:tabs>
          <w:tab w:val="left" w:pos="851"/>
        </w:tabs>
        <w:ind w:left="851"/>
        <w:rPr>
          <w:sz w:val="24"/>
          <w:szCs w:val="24"/>
        </w:rPr>
      </w:pPr>
    </w:p>
    <w:p w:rsidR="005B4393" w:rsidRPr="005D5B00" w:rsidRDefault="005B4393" w:rsidP="005B4393">
      <w:pPr>
        <w:tabs>
          <w:tab w:val="left" w:pos="851"/>
        </w:tabs>
        <w:ind w:left="851"/>
        <w:rPr>
          <w:i/>
          <w:sz w:val="24"/>
          <w:szCs w:val="24"/>
        </w:rPr>
      </w:pPr>
      <w:r w:rsidRPr="005D5B00">
        <w:rPr>
          <w:i/>
          <w:sz w:val="24"/>
          <w:szCs w:val="24"/>
        </w:rPr>
        <w:t>Bemærk</w:t>
      </w:r>
    </w:p>
    <w:p w:rsidR="005B4393" w:rsidRPr="00462D66" w:rsidRDefault="005B4393" w:rsidP="005B4393">
      <w:pPr>
        <w:tabs>
          <w:tab w:val="left" w:pos="851"/>
        </w:tabs>
        <w:ind w:left="851"/>
        <w:rPr>
          <w:sz w:val="24"/>
          <w:szCs w:val="24"/>
        </w:rPr>
      </w:pPr>
      <w:r w:rsidRPr="00462D66">
        <w:rPr>
          <w:sz w:val="24"/>
          <w:szCs w:val="24"/>
        </w:rPr>
        <w:t xml:space="preserve">Efter administrationen af gramdoser kan niveauet af </w:t>
      </w:r>
      <w:proofErr w:type="spellStart"/>
      <w:r w:rsidRPr="00462D66">
        <w:rPr>
          <w:sz w:val="24"/>
          <w:szCs w:val="24"/>
        </w:rPr>
        <w:t>ascorbinsyre</w:t>
      </w:r>
      <w:proofErr w:type="spellEnd"/>
      <w:r w:rsidRPr="00462D66">
        <w:rPr>
          <w:sz w:val="24"/>
          <w:szCs w:val="24"/>
        </w:rPr>
        <w:t xml:space="preserve"> i urinen stige så meget, at det kan påvirke udførelsen af test for visse klinisk</w:t>
      </w:r>
      <w:r w:rsidRPr="00462D66">
        <w:rPr>
          <w:sz w:val="24"/>
          <w:szCs w:val="24"/>
        </w:rPr>
        <w:noBreakHyphen/>
        <w:t>kemiske parametre (</w:t>
      </w:r>
      <w:proofErr w:type="spellStart"/>
      <w:r w:rsidRPr="00462D66">
        <w:rPr>
          <w:sz w:val="24"/>
          <w:szCs w:val="24"/>
        </w:rPr>
        <w:t>glucose</w:t>
      </w:r>
      <w:proofErr w:type="spellEnd"/>
      <w:r w:rsidRPr="00462D66">
        <w:rPr>
          <w:sz w:val="24"/>
          <w:szCs w:val="24"/>
        </w:rPr>
        <w:t xml:space="preserve">, urinsyre, </w:t>
      </w:r>
      <w:proofErr w:type="spellStart"/>
      <w:r w:rsidRPr="00462D66">
        <w:rPr>
          <w:sz w:val="24"/>
          <w:szCs w:val="24"/>
        </w:rPr>
        <w:t>kreatinin</w:t>
      </w:r>
      <w:proofErr w:type="spellEnd"/>
      <w:r w:rsidRPr="00462D66">
        <w:rPr>
          <w:sz w:val="24"/>
          <w:szCs w:val="24"/>
        </w:rPr>
        <w:t xml:space="preserve">, uorganisk </w:t>
      </w:r>
      <w:proofErr w:type="spellStart"/>
      <w:r w:rsidRPr="00462D66">
        <w:rPr>
          <w:sz w:val="24"/>
          <w:szCs w:val="24"/>
        </w:rPr>
        <w:t>phosphat</w:t>
      </w:r>
      <w:proofErr w:type="spellEnd"/>
      <w:r w:rsidRPr="00462D66">
        <w:rPr>
          <w:sz w:val="24"/>
          <w:szCs w:val="24"/>
        </w:rPr>
        <w:t>), og testene kan give falske resultater. Test for okkult blod i afføringen kan også give falsk</w:t>
      </w:r>
      <w:r w:rsidRPr="00462D66">
        <w:rPr>
          <w:sz w:val="24"/>
          <w:szCs w:val="24"/>
        </w:rPr>
        <w:noBreakHyphen/>
        <w:t>negative resultater.</w:t>
      </w:r>
    </w:p>
    <w:p w:rsidR="005B4393" w:rsidRPr="00462D66" w:rsidRDefault="005B4393" w:rsidP="005B4393">
      <w:pPr>
        <w:tabs>
          <w:tab w:val="left" w:pos="851"/>
        </w:tabs>
        <w:ind w:left="851"/>
        <w:rPr>
          <w:sz w:val="24"/>
          <w:szCs w:val="24"/>
        </w:rPr>
      </w:pPr>
    </w:p>
    <w:p w:rsidR="005B4393" w:rsidRPr="005D5B00" w:rsidRDefault="005B4393" w:rsidP="005B4393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5D5B00">
        <w:rPr>
          <w:sz w:val="24"/>
          <w:szCs w:val="24"/>
          <w:u w:val="single"/>
        </w:rPr>
        <w:t>Bemærkning vedrørende behandling af diabetespatienter</w:t>
      </w:r>
    </w:p>
    <w:p w:rsidR="005B4393" w:rsidRPr="00462D66" w:rsidRDefault="005B4393" w:rsidP="005B4393">
      <w:pPr>
        <w:tabs>
          <w:tab w:val="left" w:pos="851"/>
        </w:tabs>
        <w:ind w:left="851"/>
        <w:rPr>
          <w:sz w:val="24"/>
          <w:szCs w:val="24"/>
        </w:rPr>
      </w:pPr>
      <w:r w:rsidRPr="00462D66">
        <w:rPr>
          <w:sz w:val="24"/>
          <w:szCs w:val="24"/>
        </w:rPr>
        <w:t xml:space="preserve">Parenteralt administreret </w:t>
      </w:r>
      <w:proofErr w:type="spellStart"/>
      <w:r w:rsidRPr="00462D66">
        <w:rPr>
          <w:sz w:val="24"/>
          <w:szCs w:val="24"/>
        </w:rPr>
        <w:t>ascorbinsyre</w:t>
      </w:r>
      <w:proofErr w:type="spellEnd"/>
      <w:r w:rsidRPr="00462D66">
        <w:rPr>
          <w:sz w:val="24"/>
          <w:szCs w:val="24"/>
        </w:rPr>
        <w:t xml:space="preserve"> påvirker analysen til bestemmelse af </w:t>
      </w:r>
      <w:proofErr w:type="spellStart"/>
      <w:r w:rsidRPr="00462D66">
        <w:rPr>
          <w:sz w:val="24"/>
          <w:szCs w:val="24"/>
        </w:rPr>
        <w:t>blodglucose</w:t>
      </w:r>
      <w:proofErr w:type="spellEnd"/>
      <w:r w:rsidRPr="00462D66">
        <w:rPr>
          <w:sz w:val="24"/>
          <w:szCs w:val="24"/>
        </w:rPr>
        <w:t>.</w:t>
      </w:r>
    </w:p>
    <w:p w:rsidR="009260DE" w:rsidRPr="00462D6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462D6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62D66">
        <w:rPr>
          <w:b/>
          <w:sz w:val="24"/>
          <w:szCs w:val="24"/>
        </w:rPr>
        <w:t>4.5</w:t>
      </w:r>
      <w:r w:rsidRPr="00462D66">
        <w:rPr>
          <w:b/>
          <w:sz w:val="24"/>
          <w:szCs w:val="24"/>
        </w:rPr>
        <w:tab/>
        <w:t>Interaktion med andre lægemidler og andre former for interaktion</w:t>
      </w:r>
    </w:p>
    <w:p w:rsidR="005B4393" w:rsidRPr="00462D66" w:rsidRDefault="005B4393" w:rsidP="005B4393">
      <w:pPr>
        <w:tabs>
          <w:tab w:val="left" w:pos="851"/>
        </w:tabs>
        <w:ind w:left="851"/>
        <w:rPr>
          <w:sz w:val="24"/>
          <w:szCs w:val="24"/>
        </w:rPr>
      </w:pPr>
      <w:r w:rsidRPr="00462D66">
        <w:rPr>
          <w:sz w:val="24"/>
          <w:szCs w:val="24"/>
        </w:rPr>
        <w:t xml:space="preserve">Lægemidler, der inducerer </w:t>
      </w:r>
      <w:proofErr w:type="spellStart"/>
      <w:r w:rsidRPr="00462D66">
        <w:rPr>
          <w:sz w:val="24"/>
          <w:szCs w:val="24"/>
        </w:rPr>
        <w:t>vævsdesaturation</w:t>
      </w:r>
      <w:proofErr w:type="spellEnd"/>
      <w:r w:rsidRPr="00462D66">
        <w:rPr>
          <w:sz w:val="24"/>
          <w:szCs w:val="24"/>
        </w:rPr>
        <w:t xml:space="preserve"> af </w:t>
      </w:r>
      <w:proofErr w:type="spellStart"/>
      <w:r w:rsidRPr="00462D66">
        <w:rPr>
          <w:sz w:val="24"/>
          <w:szCs w:val="24"/>
        </w:rPr>
        <w:t>ascorbinsyre</w:t>
      </w:r>
      <w:proofErr w:type="spellEnd"/>
      <w:r w:rsidRPr="00462D66">
        <w:rPr>
          <w:sz w:val="24"/>
          <w:szCs w:val="24"/>
        </w:rPr>
        <w:t xml:space="preserve">, omfatter acetylsalicylsyre, </w:t>
      </w:r>
      <w:proofErr w:type="spellStart"/>
      <w:r w:rsidRPr="00462D66">
        <w:rPr>
          <w:sz w:val="24"/>
          <w:szCs w:val="24"/>
        </w:rPr>
        <w:t>nicotin</w:t>
      </w:r>
      <w:proofErr w:type="spellEnd"/>
      <w:r w:rsidRPr="00462D66">
        <w:rPr>
          <w:sz w:val="24"/>
          <w:szCs w:val="24"/>
        </w:rPr>
        <w:t xml:space="preserve"> fra cigaretter, alkohol, flere appetitnedsættende midler, jern, </w:t>
      </w:r>
      <w:proofErr w:type="spellStart"/>
      <w:r w:rsidRPr="00462D66">
        <w:rPr>
          <w:sz w:val="24"/>
          <w:szCs w:val="24"/>
        </w:rPr>
        <w:t>phenytoin</w:t>
      </w:r>
      <w:proofErr w:type="spellEnd"/>
      <w:r w:rsidRPr="00462D66">
        <w:rPr>
          <w:sz w:val="24"/>
          <w:szCs w:val="24"/>
        </w:rPr>
        <w:t xml:space="preserve">, visse </w:t>
      </w:r>
      <w:proofErr w:type="spellStart"/>
      <w:r w:rsidRPr="00462D66">
        <w:rPr>
          <w:sz w:val="24"/>
          <w:szCs w:val="24"/>
        </w:rPr>
        <w:t>antikonvulsiva</w:t>
      </w:r>
      <w:proofErr w:type="spellEnd"/>
      <w:r w:rsidRPr="00462D66">
        <w:rPr>
          <w:sz w:val="24"/>
          <w:szCs w:val="24"/>
        </w:rPr>
        <w:t xml:space="preserve">, østrogenkomponenten af orale præventionsmidler og </w:t>
      </w:r>
      <w:proofErr w:type="spellStart"/>
      <w:r w:rsidRPr="00462D66">
        <w:rPr>
          <w:sz w:val="24"/>
          <w:szCs w:val="24"/>
        </w:rPr>
        <w:t>tetracyclin</w:t>
      </w:r>
      <w:proofErr w:type="spellEnd"/>
      <w:r w:rsidRPr="00462D66">
        <w:rPr>
          <w:sz w:val="24"/>
          <w:szCs w:val="24"/>
        </w:rPr>
        <w:t>.</w:t>
      </w:r>
    </w:p>
    <w:p w:rsidR="005B4393" w:rsidRPr="00462D66" w:rsidRDefault="005B4393" w:rsidP="005B4393">
      <w:pPr>
        <w:tabs>
          <w:tab w:val="left" w:pos="851"/>
        </w:tabs>
        <w:ind w:left="851"/>
        <w:rPr>
          <w:sz w:val="24"/>
          <w:szCs w:val="24"/>
        </w:rPr>
      </w:pPr>
    </w:p>
    <w:p w:rsidR="005B4393" w:rsidRPr="00462D66" w:rsidRDefault="005B4393" w:rsidP="005B4393">
      <w:pPr>
        <w:tabs>
          <w:tab w:val="left" w:pos="851"/>
        </w:tabs>
        <w:ind w:left="851"/>
        <w:rPr>
          <w:sz w:val="24"/>
          <w:szCs w:val="24"/>
        </w:rPr>
      </w:pPr>
      <w:r w:rsidRPr="00462D66">
        <w:rPr>
          <w:sz w:val="24"/>
          <w:szCs w:val="24"/>
        </w:rPr>
        <w:t xml:space="preserve">Store doser </w:t>
      </w:r>
      <w:proofErr w:type="spellStart"/>
      <w:r w:rsidRPr="00462D66">
        <w:rPr>
          <w:sz w:val="24"/>
          <w:szCs w:val="24"/>
        </w:rPr>
        <w:t>ascorbinsyre</w:t>
      </w:r>
      <w:proofErr w:type="spellEnd"/>
      <w:r w:rsidRPr="00462D66">
        <w:rPr>
          <w:sz w:val="24"/>
          <w:szCs w:val="24"/>
        </w:rPr>
        <w:t xml:space="preserve"> kan gøre urinen sur, hvilket kan forårsage uventet </w:t>
      </w:r>
      <w:proofErr w:type="spellStart"/>
      <w:r w:rsidRPr="00462D66">
        <w:rPr>
          <w:sz w:val="24"/>
          <w:szCs w:val="24"/>
        </w:rPr>
        <w:t>renal</w:t>
      </w:r>
      <w:proofErr w:type="spellEnd"/>
      <w:r w:rsidRPr="00462D66">
        <w:rPr>
          <w:sz w:val="24"/>
          <w:szCs w:val="24"/>
        </w:rPr>
        <w:t xml:space="preserve"> </w:t>
      </w:r>
      <w:proofErr w:type="spellStart"/>
      <w:r w:rsidRPr="00462D66">
        <w:rPr>
          <w:sz w:val="24"/>
          <w:szCs w:val="24"/>
        </w:rPr>
        <w:t>tubulær</w:t>
      </w:r>
      <w:proofErr w:type="spellEnd"/>
      <w:r w:rsidRPr="00462D66">
        <w:rPr>
          <w:sz w:val="24"/>
          <w:szCs w:val="24"/>
        </w:rPr>
        <w:t xml:space="preserve"> </w:t>
      </w:r>
      <w:proofErr w:type="spellStart"/>
      <w:r w:rsidRPr="00462D66">
        <w:rPr>
          <w:sz w:val="24"/>
          <w:szCs w:val="24"/>
        </w:rPr>
        <w:t>reabsorption</w:t>
      </w:r>
      <w:proofErr w:type="spellEnd"/>
      <w:r w:rsidRPr="00462D66">
        <w:rPr>
          <w:sz w:val="24"/>
          <w:szCs w:val="24"/>
        </w:rPr>
        <w:t xml:space="preserve"> af sure lægemidler og dermed overdrevet respons. Omvendt kan basiske lægemidler udvise nedsat </w:t>
      </w:r>
      <w:proofErr w:type="spellStart"/>
      <w:r w:rsidRPr="00462D66">
        <w:rPr>
          <w:sz w:val="24"/>
          <w:szCs w:val="24"/>
        </w:rPr>
        <w:t>reabsorption</w:t>
      </w:r>
      <w:proofErr w:type="spellEnd"/>
      <w:r w:rsidRPr="00462D66">
        <w:rPr>
          <w:sz w:val="24"/>
          <w:szCs w:val="24"/>
        </w:rPr>
        <w:t xml:space="preserve">, hvilket medfører en nedsat terapeutisk virkning. Store doser kan nedsætte respons på orale </w:t>
      </w:r>
      <w:proofErr w:type="spellStart"/>
      <w:r w:rsidRPr="00462D66">
        <w:rPr>
          <w:sz w:val="24"/>
          <w:szCs w:val="24"/>
        </w:rPr>
        <w:t>antikoagulantia</w:t>
      </w:r>
      <w:proofErr w:type="spellEnd"/>
      <w:r w:rsidRPr="00462D66">
        <w:rPr>
          <w:sz w:val="24"/>
          <w:szCs w:val="24"/>
        </w:rPr>
        <w:t>.</w:t>
      </w:r>
    </w:p>
    <w:p w:rsidR="005B4393" w:rsidRPr="00462D66" w:rsidRDefault="005B4393" w:rsidP="005B4393">
      <w:pPr>
        <w:tabs>
          <w:tab w:val="left" w:pos="851"/>
        </w:tabs>
        <w:ind w:left="851"/>
        <w:rPr>
          <w:sz w:val="24"/>
          <w:szCs w:val="24"/>
        </w:rPr>
      </w:pPr>
    </w:p>
    <w:p w:rsidR="005B4393" w:rsidRPr="00462D66" w:rsidRDefault="005B4393" w:rsidP="005B4393">
      <w:pPr>
        <w:tabs>
          <w:tab w:val="left" w:pos="851"/>
        </w:tabs>
        <w:ind w:left="851"/>
        <w:rPr>
          <w:sz w:val="24"/>
          <w:szCs w:val="24"/>
        </w:rPr>
      </w:pPr>
      <w:r w:rsidRPr="00462D66">
        <w:rPr>
          <w:sz w:val="24"/>
          <w:szCs w:val="24"/>
        </w:rPr>
        <w:t xml:space="preserve">Det er rapporteret, at samtidig administration af </w:t>
      </w:r>
      <w:proofErr w:type="spellStart"/>
      <w:r w:rsidRPr="00462D66">
        <w:rPr>
          <w:sz w:val="24"/>
          <w:szCs w:val="24"/>
        </w:rPr>
        <w:t>ascorbinsyre</w:t>
      </w:r>
      <w:proofErr w:type="spellEnd"/>
      <w:r w:rsidRPr="00462D66">
        <w:rPr>
          <w:sz w:val="24"/>
          <w:szCs w:val="24"/>
        </w:rPr>
        <w:t xml:space="preserve"> og </w:t>
      </w:r>
      <w:proofErr w:type="spellStart"/>
      <w:r w:rsidRPr="00462D66">
        <w:rPr>
          <w:sz w:val="24"/>
          <w:szCs w:val="24"/>
        </w:rPr>
        <w:t>fluphenazin</w:t>
      </w:r>
      <w:proofErr w:type="spellEnd"/>
      <w:r w:rsidRPr="00462D66">
        <w:rPr>
          <w:sz w:val="24"/>
          <w:szCs w:val="24"/>
        </w:rPr>
        <w:t xml:space="preserve"> har medført nedsatte plasmakoncentrationer af </w:t>
      </w:r>
      <w:proofErr w:type="spellStart"/>
      <w:r w:rsidRPr="00462D66">
        <w:rPr>
          <w:sz w:val="24"/>
          <w:szCs w:val="24"/>
        </w:rPr>
        <w:t>fluphenazin</w:t>
      </w:r>
      <w:proofErr w:type="spellEnd"/>
      <w:r w:rsidRPr="00462D66">
        <w:rPr>
          <w:sz w:val="24"/>
          <w:szCs w:val="24"/>
        </w:rPr>
        <w:t>.</w:t>
      </w:r>
    </w:p>
    <w:p w:rsidR="005B4393" w:rsidRPr="00462D66" w:rsidRDefault="005B4393" w:rsidP="005B4393">
      <w:pPr>
        <w:tabs>
          <w:tab w:val="left" w:pos="851"/>
        </w:tabs>
        <w:ind w:left="851"/>
        <w:rPr>
          <w:sz w:val="24"/>
          <w:szCs w:val="24"/>
        </w:rPr>
      </w:pPr>
    </w:p>
    <w:p w:rsidR="005B4393" w:rsidRPr="00462D66" w:rsidRDefault="005B4393" w:rsidP="005B4393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462D66">
        <w:rPr>
          <w:sz w:val="24"/>
          <w:szCs w:val="24"/>
        </w:rPr>
        <w:t>Ascorbinsyre</w:t>
      </w:r>
      <w:proofErr w:type="spellEnd"/>
      <w:r w:rsidRPr="00462D66">
        <w:rPr>
          <w:sz w:val="24"/>
          <w:szCs w:val="24"/>
        </w:rPr>
        <w:t xml:space="preserve">, der gives sammen med </w:t>
      </w:r>
      <w:proofErr w:type="spellStart"/>
      <w:r w:rsidRPr="00462D66">
        <w:rPr>
          <w:sz w:val="24"/>
          <w:szCs w:val="24"/>
        </w:rPr>
        <w:t>desferrioxamin</w:t>
      </w:r>
      <w:proofErr w:type="spellEnd"/>
      <w:r w:rsidRPr="00462D66">
        <w:rPr>
          <w:sz w:val="24"/>
          <w:szCs w:val="24"/>
        </w:rPr>
        <w:t xml:space="preserve"> til patienter med jernophobning for at få bedre jernudskillelse, kan forværre jerntoksiciteten, især for hjertet, i begyndelsen af behandlingen, hvor der er ekstra vævsjern. Derfor anbefales det, at patienter med normal hjertefunktion ikke får </w:t>
      </w:r>
      <w:proofErr w:type="spellStart"/>
      <w:r w:rsidRPr="00462D66">
        <w:rPr>
          <w:sz w:val="24"/>
          <w:szCs w:val="24"/>
        </w:rPr>
        <w:t>ascorbinsyre</w:t>
      </w:r>
      <w:proofErr w:type="spellEnd"/>
      <w:r w:rsidRPr="00462D66">
        <w:rPr>
          <w:sz w:val="24"/>
          <w:szCs w:val="24"/>
        </w:rPr>
        <w:t xml:space="preserve"> den første måned, efter at de er startet på </w:t>
      </w:r>
      <w:proofErr w:type="spellStart"/>
      <w:r w:rsidRPr="00462D66">
        <w:rPr>
          <w:sz w:val="24"/>
          <w:szCs w:val="24"/>
        </w:rPr>
        <w:t>desferrioxamin</w:t>
      </w:r>
      <w:proofErr w:type="spellEnd"/>
      <w:r w:rsidRPr="00462D66">
        <w:rPr>
          <w:sz w:val="24"/>
          <w:szCs w:val="24"/>
        </w:rPr>
        <w:t xml:space="preserve">. </w:t>
      </w:r>
      <w:proofErr w:type="spellStart"/>
      <w:r w:rsidRPr="00462D66">
        <w:rPr>
          <w:sz w:val="24"/>
          <w:szCs w:val="24"/>
        </w:rPr>
        <w:t>Ascorbinsyre</w:t>
      </w:r>
      <w:proofErr w:type="spellEnd"/>
      <w:r w:rsidRPr="00462D66">
        <w:rPr>
          <w:sz w:val="24"/>
          <w:szCs w:val="24"/>
        </w:rPr>
        <w:t xml:space="preserve"> bør ikke gives sammen med </w:t>
      </w:r>
      <w:proofErr w:type="spellStart"/>
      <w:r w:rsidRPr="00462D66">
        <w:rPr>
          <w:sz w:val="24"/>
          <w:szCs w:val="24"/>
        </w:rPr>
        <w:t>desferrioxamin</w:t>
      </w:r>
      <w:proofErr w:type="spellEnd"/>
      <w:r w:rsidRPr="00462D66">
        <w:rPr>
          <w:sz w:val="24"/>
          <w:szCs w:val="24"/>
        </w:rPr>
        <w:t xml:space="preserve"> til patienter med hjertedysfunktion.</w:t>
      </w:r>
    </w:p>
    <w:p w:rsidR="005B4393" w:rsidRPr="00462D66" w:rsidRDefault="005B4393" w:rsidP="005B4393">
      <w:pPr>
        <w:tabs>
          <w:tab w:val="left" w:pos="851"/>
        </w:tabs>
        <w:ind w:left="851"/>
        <w:rPr>
          <w:sz w:val="24"/>
          <w:szCs w:val="24"/>
        </w:rPr>
      </w:pPr>
    </w:p>
    <w:p w:rsidR="005B4393" w:rsidRPr="00462D66" w:rsidRDefault="005B4393" w:rsidP="005B4393">
      <w:pPr>
        <w:tabs>
          <w:tab w:val="left" w:pos="851"/>
        </w:tabs>
        <w:ind w:left="851"/>
        <w:rPr>
          <w:sz w:val="24"/>
          <w:szCs w:val="24"/>
        </w:rPr>
      </w:pPr>
      <w:r w:rsidRPr="00462D66">
        <w:rPr>
          <w:sz w:val="24"/>
          <w:szCs w:val="24"/>
        </w:rPr>
        <w:t xml:space="preserve">Når acetylsalicylsyre tages i kombination med høje doser af </w:t>
      </w:r>
      <w:proofErr w:type="spellStart"/>
      <w:r w:rsidRPr="00462D66">
        <w:rPr>
          <w:sz w:val="24"/>
          <w:szCs w:val="24"/>
        </w:rPr>
        <w:t>ascorbinsyre</w:t>
      </w:r>
      <w:proofErr w:type="spellEnd"/>
      <w:r w:rsidRPr="00462D66">
        <w:rPr>
          <w:sz w:val="24"/>
          <w:szCs w:val="24"/>
        </w:rPr>
        <w:t xml:space="preserve">, kan det reducere absorptionen af </w:t>
      </w:r>
      <w:proofErr w:type="spellStart"/>
      <w:r w:rsidRPr="00462D66">
        <w:rPr>
          <w:sz w:val="24"/>
          <w:szCs w:val="24"/>
        </w:rPr>
        <w:t>ascorbinsyre</w:t>
      </w:r>
      <w:proofErr w:type="spellEnd"/>
      <w:r w:rsidRPr="00462D66">
        <w:rPr>
          <w:sz w:val="24"/>
          <w:szCs w:val="24"/>
        </w:rPr>
        <w:t xml:space="preserve"> og nedsætter udskillelsen i urinen. Den kliniske betydning af dette kendes ikke.</w:t>
      </w:r>
    </w:p>
    <w:p w:rsidR="005B4393" w:rsidRPr="00462D66" w:rsidRDefault="005B4393" w:rsidP="005B4393">
      <w:pPr>
        <w:tabs>
          <w:tab w:val="left" w:pos="851"/>
        </w:tabs>
        <w:ind w:left="851"/>
        <w:rPr>
          <w:sz w:val="24"/>
          <w:szCs w:val="24"/>
        </w:rPr>
      </w:pPr>
    </w:p>
    <w:p w:rsidR="005B4393" w:rsidRPr="00462D66" w:rsidRDefault="005B4393" w:rsidP="005B4393">
      <w:pPr>
        <w:tabs>
          <w:tab w:val="left" w:pos="851"/>
        </w:tabs>
        <w:ind w:left="851"/>
        <w:rPr>
          <w:sz w:val="24"/>
          <w:szCs w:val="24"/>
        </w:rPr>
      </w:pPr>
      <w:r w:rsidRPr="00462D66">
        <w:rPr>
          <w:sz w:val="24"/>
          <w:szCs w:val="24"/>
        </w:rPr>
        <w:t>Patienter med nyresvigt, der får syreneutraliserende midler med aluminium og oralt citrat, kan udvikle en potentielt dødelig encefalopati på grund af markant øgede niveauer af aluminium i blodet. Der er tegn på, at C</w:t>
      </w:r>
      <w:r w:rsidRPr="00462D66">
        <w:rPr>
          <w:sz w:val="24"/>
          <w:szCs w:val="24"/>
        </w:rPr>
        <w:noBreakHyphen/>
        <w:t>vitamin kan interagere på samme måde.</w:t>
      </w:r>
    </w:p>
    <w:p w:rsidR="005B4393" w:rsidRPr="00462D66" w:rsidRDefault="005B4393" w:rsidP="005B4393">
      <w:pPr>
        <w:tabs>
          <w:tab w:val="left" w:pos="851"/>
        </w:tabs>
        <w:ind w:left="851"/>
        <w:rPr>
          <w:sz w:val="24"/>
          <w:szCs w:val="24"/>
        </w:rPr>
      </w:pPr>
    </w:p>
    <w:p w:rsidR="005B4393" w:rsidRPr="00462D66" w:rsidRDefault="005B4393" w:rsidP="005B4393">
      <w:pPr>
        <w:tabs>
          <w:tab w:val="left" w:pos="851"/>
        </w:tabs>
        <w:ind w:left="851"/>
        <w:rPr>
          <w:sz w:val="24"/>
          <w:szCs w:val="24"/>
        </w:rPr>
      </w:pPr>
      <w:r w:rsidRPr="00462D66">
        <w:rPr>
          <w:sz w:val="24"/>
          <w:szCs w:val="24"/>
        </w:rPr>
        <w:t xml:space="preserve">Orale præventionsmidler nedsætter serumniveauerne af </w:t>
      </w:r>
      <w:proofErr w:type="spellStart"/>
      <w:r w:rsidRPr="00462D66">
        <w:rPr>
          <w:sz w:val="24"/>
          <w:szCs w:val="24"/>
        </w:rPr>
        <w:t>ascorbinsyre</w:t>
      </w:r>
      <w:proofErr w:type="spellEnd"/>
      <w:r w:rsidRPr="00462D66">
        <w:rPr>
          <w:sz w:val="24"/>
          <w:szCs w:val="24"/>
        </w:rPr>
        <w:t>.</w:t>
      </w:r>
    </w:p>
    <w:p w:rsidR="005B4393" w:rsidRPr="00462D66" w:rsidRDefault="005B4393" w:rsidP="005B4393">
      <w:pPr>
        <w:tabs>
          <w:tab w:val="left" w:pos="851"/>
        </w:tabs>
        <w:ind w:left="851"/>
        <w:rPr>
          <w:sz w:val="24"/>
          <w:szCs w:val="24"/>
        </w:rPr>
      </w:pPr>
    </w:p>
    <w:p w:rsidR="005B4393" w:rsidRPr="00462D66" w:rsidRDefault="005B4393" w:rsidP="005B4393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462D66">
        <w:rPr>
          <w:sz w:val="24"/>
          <w:szCs w:val="24"/>
        </w:rPr>
        <w:t>Ascorbinsyre</w:t>
      </w:r>
      <w:proofErr w:type="spellEnd"/>
      <w:r w:rsidRPr="00462D66">
        <w:rPr>
          <w:sz w:val="24"/>
          <w:szCs w:val="24"/>
        </w:rPr>
        <w:t xml:space="preserve"> er et stærkt reduktionsmiddel og påvirker adskillige laboratorietest baseret på oxidations</w:t>
      </w:r>
      <w:r w:rsidRPr="00462D66">
        <w:rPr>
          <w:sz w:val="24"/>
          <w:szCs w:val="24"/>
        </w:rPr>
        <w:noBreakHyphen/>
        <w:t>reduktionsreaktioner. Specialiserede referencer bør konsulteres for specifikke oplysninger om laboratorietest</w:t>
      </w:r>
      <w:r w:rsidRPr="00462D66">
        <w:rPr>
          <w:sz w:val="24"/>
          <w:szCs w:val="24"/>
        </w:rPr>
        <w:noBreakHyphen/>
        <w:t xml:space="preserve">interferens forårsaget af </w:t>
      </w:r>
      <w:proofErr w:type="spellStart"/>
      <w:r w:rsidRPr="00462D66">
        <w:rPr>
          <w:sz w:val="24"/>
          <w:szCs w:val="24"/>
        </w:rPr>
        <w:t>ascorbinsyre</w:t>
      </w:r>
      <w:proofErr w:type="spellEnd"/>
      <w:r w:rsidRPr="00462D66">
        <w:rPr>
          <w:sz w:val="24"/>
          <w:szCs w:val="24"/>
        </w:rPr>
        <w:t xml:space="preserve">. En tidsforskel på 1 dag fra administration af </w:t>
      </w:r>
      <w:proofErr w:type="spellStart"/>
      <w:r w:rsidRPr="00462D66">
        <w:rPr>
          <w:sz w:val="24"/>
          <w:szCs w:val="24"/>
        </w:rPr>
        <w:t>Ascorbinsyre</w:t>
      </w:r>
      <w:proofErr w:type="spellEnd"/>
      <w:r w:rsidRPr="00462D66">
        <w:rPr>
          <w:sz w:val="24"/>
          <w:szCs w:val="24"/>
        </w:rPr>
        <w:t xml:space="preserve"> </w:t>
      </w:r>
      <w:r w:rsidR="00C25704">
        <w:rPr>
          <w:sz w:val="24"/>
          <w:szCs w:val="24"/>
        </w:rPr>
        <w:t>"</w:t>
      </w:r>
      <w:proofErr w:type="spellStart"/>
      <w:r w:rsidRPr="00462D66">
        <w:rPr>
          <w:sz w:val="24"/>
          <w:szCs w:val="24"/>
        </w:rPr>
        <w:t>Pascoe</w:t>
      </w:r>
      <w:proofErr w:type="spellEnd"/>
      <w:r w:rsidR="00C25704">
        <w:rPr>
          <w:sz w:val="24"/>
          <w:szCs w:val="24"/>
        </w:rPr>
        <w:t>"</w:t>
      </w:r>
      <w:r w:rsidRPr="00462D66">
        <w:rPr>
          <w:sz w:val="24"/>
          <w:szCs w:val="24"/>
        </w:rPr>
        <w:t xml:space="preserve"> og laboratorietesten bør overvejes.</w:t>
      </w:r>
    </w:p>
    <w:p w:rsidR="005B4393" w:rsidRPr="00462D66" w:rsidRDefault="005B4393" w:rsidP="005B4393">
      <w:pPr>
        <w:tabs>
          <w:tab w:val="left" w:pos="851"/>
        </w:tabs>
        <w:ind w:left="851"/>
        <w:rPr>
          <w:sz w:val="24"/>
          <w:szCs w:val="24"/>
        </w:rPr>
      </w:pPr>
    </w:p>
    <w:p w:rsidR="005B4393" w:rsidRPr="00462D66" w:rsidRDefault="005B4393" w:rsidP="005B4393">
      <w:pPr>
        <w:tabs>
          <w:tab w:val="left" w:pos="851"/>
        </w:tabs>
        <w:ind w:left="851"/>
        <w:rPr>
          <w:sz w:val="24"/>
          <w:szCs w:val="24"/>
        </w:rPr>
      </w:pPr>
      <w:r w:rsidRPr="00462D66">
        <w:rPr>
          <w:sz w:val="24"/>
          <w:szCs w:val="24"/>
        </w:rPr>
        <w:lastRenderedPageBreak/>
        <w:t>Da der ikke foreligger omfattende kliniske data, bør høje doser af C</w:t>
      </w:r>
      <w:r w:rsidRPr="00462D66">
        <w:rPr>
          <w:sz w:val="24"/>
          <w:szCs w:val="24"/>
        </w:rPr>
        <w:noBreakHyphen/>
        <w:t>vitamin tages tidsforskudt i forhold til kemoterapi eller strålebehandling. Hvis C</w:t>
      </w:r>
      <w:r w:rsidRPr="00462D66">
        <w:rPr>
          <w:sz w:val="24"/>
          <w:szCs w:val="24"/>
        </w:rPr>
        <w:noBreakHyphen/>
        <w:t>vitamin indgives før kemoterapi/strålebehandling, anbefales en tidsmæssig forskel på 24 timer. Hvis C</w:t>
      </w:r>
      <w:r w:rsidRPr="00462D66">
        <w:rPr>
          <w:sz w:val="24"/>
          <w:szCs w:val="24"/>
        </w:rPr>
        <w:noBreakHyphen/>
        <w:t>vitamin indgives efter kemoterapi/strålebehandling, bør der være et interval på mindst 24 timer. For kemoterapeutika med en halveringstid &gt; 6 timer, bør der være et interval på 3</w:t>
      </w:r>
      <w:r w:rsidRPr="00462D66">
        <w:rPr>
          <w:sz w:val="24"/>
          <w:szCs w:val="24"/>
        </w:rPr>
        <w:noBreakHyphen/>
        <w:t>4 halveringstider.</w:t>
      </w:r>
    </w:p>
    <w:p w:rsidR="009260DE" w:rsidRPr="00462D6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462D6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62D66">
        <w:rPr>
          <w:b/>
          <w:sz w:val="24"/>
          <w:szCs w:val="24"/>
        </w:rPr>
        <w:t>4.6</w:t>
      </w:r>
      <w:r w:rsidRPr="00462D66">
        <w:rPr>
          <w:b/>
          <w:sz w:val="24"/>
          <w:szCs w:val="24"/>
        </w:rPr>
        <w:tab/>
      </w:r>
      <w:r w:rsidR="00C71A13">
        <w:rPr>
          <w:b/>
          <w:sz w:val="24"/>
          <w:szCs w:val="24"/>
        </w:rPr>
        <w:t>Fertilitet, g</w:t>
      </w:r>
      <w:r w:rsidRPr="00462D66">
        <w:rPr>
          <w:b/>
          <w:sz w:val="24"/>
          <w:szCs w:val="24"/>
        </w:rPr>
        <w:t>raviditet og amning</w:t>
      </w:r>
    </w:p>
    <w:p w:rsidR="00662F6D" w:rsidRDefault="00662F6D" w:rsidP="008517C1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:rsidR="008517C1" w:rsidRPr="00462D66" w:rsidRDefault="008517C1" w:rsidP="008517C1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462D66">
        <w:rPr>
          <w:sz w:val="24"/>
          <w:szCs w:val="24"/>
          <w:u w:val="single"/>
        </w:rPr>
        <w:t>Graviditet og amning</w:t>
      </w:r>
    </w:p>
    <w:p w:rsidR="008517C1" w:rsidRPr="00462D66" w:rsidRDefault="008517C1" w:rsidP="008517C1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462D66">
        <w:rPr>
          <w:sz w:val="24"/>
          <w:szCs w:val="24"/>
        </w:rPr>
        <w:t>Ascorbinsyre</w:t>
      </w:r>
      <w:proofErr w:type="spellEnd"/>
      <w:r w:rsidRPr="00462D66">
        <w:rPr>
          <w:sz w:val="24"/>
          <w:szCs w:val="24"/>
        </w:rPr>
        <w:t xml:space="preserve"> passerer placentabarrieren og udskilles i modermælken.</w:t>
      </w:r>
    </w:p>
    <w:p w:rsidR="008517C1" w:rsidRPr="00462D66" w:rsidRDefault="008517C1" w:rsidP="008517C1">
      <w:pPr>
        <w:tabs>
          <w:tab w:val="left" w:pos="851"/>
        </w:tabs>
        <w:ind w:left="851"/>
        <w:rPr>
          <w:sz w:val="24"/>
          <w:szCs w:val="24"/>
        </w:rPr>
      </w:pPr>
      <w:r w:rsidRPr="00462D66">
        <w:rPr>
          <w:sz w:val="24"/>
          <w:szCs w:val="24"/>
        </w:rPr>
        <w:t>Daglige doser på 100</w:t>
      </w:r>
      <w:r w:rsidRPr="00462D66">
        <w:rPr>
          <w:sz w:val="24"/>
          <w:szCs w:val="24"/>
        </w:rPr>
        <w:noBreakHyphen/>
        <w:t xml:space="preserve">500 mg </w:t>
      </w:r>
      <w:proofErr w:type="spellStart"/>
      <w:r w:rsidRPr="00462D66">
        <w:rPr>
          <w:sz w:val="24"/>
          <w:szCs w:val="24"/>
        </w:rPr>
        <w:t>ascorbinsyre</w:t>
      </w:r>
      <w:proofErr w:type="spellEnd"/>
      <w:r w:rsidRPr="00462D66">
        <w:rPr>
          <w:sz w:val="24"/>
          <w:szCs w:val="24"/>
        </w:rPr>
        <w:t xml:space="preserve"> bør ikke overskrides hos gravide og ammende kvinder. På grund af det høje indhold af C</w:t>
      </w:r>
      <w:r w:rsidRPr="00462D66">
        <w:rPr>
          <w:sz w:val="24"/>
          <w:szCs w:val="24"/>
        </w:rPr>
        <w:noBreakHyphen/>
        <w:t xml:space="preserve">vitamin er </w:t>
      </w:r>
      <w:proofErr w:type="spellStart"/>
      <w:r w:rsidRPr="00462D66">
        <w:rPr>
          <w:sz w:val="24"/>
          <w:szCs w:val="24"/>
        </w:rPr>
        <w:t>Ascorbinsyre</w:t>
      </w:r>
      <w:proofErr w:type="spellEnd"/>
      <w:r w:rsidRPr="00462D66">
        <w:rPr>
          <w:sz w:val="24"/>
          <w:szCs w:val="24"/>
        </w:rPr>
        <w:t xml:space="preserve"> </w:t>
      </w:r>
      <w:r w:rsidR="00C25704">
        <w:rPr>
          <w:sz w:val="24"/>
          <w:szCs w:val="24"/>
        </w:rPr>
        <w:t>"</w:t>
      </w:r>
      <w:proofErr w:type="spellStart"/>
      <w:r w:rsidRPr="00462D66">
        <w:rPr>
          <w:sz w:val="24"/>
          <w:szCs w:val="24"/>
        </w:rPr>
        <w:t>Pascoe</w:t>
      </w:r>
      <w:proofErr w:type="spellEnd"/>
      <w:r w:rsidR="00C25704">
        <w:rPr>
          <w:sz w:val="24"/>
          <w:szCs w:val="24"/>
        </w:rPr>
        <w:t>"</w:t>
      </w:r>
      <w:r w:rsidRPr="00462D66">
        <w:rPr>
          <w:sz w:val="24"/>
          <w:szCs w:val="24"/>
        </w:rPr>
        <w:t xml:space="preserve"> ikke egnet til brug ved graviditet og amning.</w:t>
      </w:r>
    </w:p>
    <w:p w:rsidR="008517C1" w:rsidRPr="00462D66" w:rsidRDefault="008517C1" w:rsidP="008517C1">
      <w:pPr>
        <w:tabs>
          <w:tab w:val="left" w:pos="851"/>
        </w:tabs>
        <w:ind w:left="851"/>
        <w:rPr>
          <w:sz w:val="24"/>
          <w:szCs w:val="24"/>
        </w:rPr>
      </w:pPr>
    </w:p>
    <w:p w:rsidR="008517C1" w:rsidRPr="00462D66" w:rsidRDefault="008517C1" w:rsidP="008517C1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462D66">
        <w:rPr>
          <w:sz w:val="24"/>
          <w:szCs w:val="24"/>
          <w:u w:val="single"/>
        </w:rPr>
        <w:t>Fertilitet</w:t>
      </w:r>
    </w:p>
    <w:p w:rsidR="008517C1" w:rsidRPr="00462D66" w:rsidRDefault="008517C1" w:rsidP="008517C1">
      <w:pPr>
        <w:tabs>
          <w:tab w:val="left" w:pos="851"/>
        </w:tabs>
        <w:ind w:left="851"/>
        <w:rPr>
          <w:sz w:val="24"/>
          <w:szCs w:val="24"/>
        </w:rPr>
      </w:pPr>
      <w:r w:rsidRPr="00462D66">
        <w:rPr>
          <w:sz w:val="24"/>
          <w:szCs w:val="24"/>
        </w:rPr>
        <w:t>Der er ikke udført studier af indvirkningen på fertiliteten.</w:t>
      </w:r>
    </w:p>
    <w:p w:rsidR="009260DE" w:rsidRPr="00462D6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462D6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62D66">
        <w:rPr>
          <w:b/>
          <w:sz w:val="24"/>
          <w:szCs w:val="24"/>
        </w:rPr>
        <w:t>4.7</w:t>
      </w:r>
      <w:r w:rsidRPr="00462D66">
        <w:rPr>
          <w:b/>
          <w:sz w:val="24"/>
          <w:szCs w:val="24"/>
        </w:rPr>
        <w:tab/>
        <w:t xml:space="preserve">Virkning på evnen til at føre motorkøretøj </w:t>
      </w:r>
      <w:r w:rsidR="00C71A13">
        <w:rPr>
          <w:b/>
          <w:sz w:val="24"/>
          <w:szCs w:val="24"/>
        </w:rPr>
        <w:t>og</w:t>
      </w:r>
      <w:r w:rsidRPr="00462D66">
        <w:rPr>
          <w:b/>
          <w:sz w:val="24"/>
          <w:szCs w:val="24"/>
        </w:rPr>
        <w:t xml:space="preserve"> betjene maskiner</w:t>
      </w:r>
    </w:p>
    <w:p w:rsidR="008517C1" w:rsidRPr="00462D66" w:rsidRDefault="008517C1" w:rsidP="008517C1">
      <w:pPr>
        <w:tabs>
          <w:tab w:val="left" w:pos="851"/>
        </w:tabs>
        <w:ind w:left="851"/>
        <w:rPr>
          <w:sz w:val="24"/>
          <w:szCs w:val="24"/>
        </w:rPr>
      </w:pPr>
      <w:r w:rsidRPr="00462D66">
        <w:rPr>
          <w:sz w:val="24"/>
          <w:szCs w:val="24"/>
        </w:rPr>
        <w:t>Ikke mærkning</w:t>
      </w:r>
      <w:r w:rsidR="00662F6D">
        <w:rPr>
          <w:sz w:val="24"/>
          <w:szCs w:val="24"/>
        </w:rPr>
        <w:t>.</w:t>
      </w:r>
    </w:p>
    <w:p w:rsidR="008517C1" w:rsidRPr="00462D66" w:rsidRDefault="008517C1" w:rsidP="008517C1">
      <w:pPr>
        <w:tabs>
          <w:tab w:val="left" w:pos="851"/>
        </w:tabs>
        <w:ind w:left="851"/>
        <w:rPr>
          <w:sz w:val="24"/>
          <w:szCs w:val="24"/>
        </w:rPr>
      </w:pPr>
      <w:r w:rsidRPr="00462D66">
        <w:rPr>
          <w:sz w:val="24"/>
          <w:szCs w:val="24"/>
        </w:rPr>
        <w:t>Der er ikke foretaget studier af virkningen på evnen til at føre motorkøretøj og betjene maskiner. Hvis der opstår bivirkninger som beskrevet i pkt. 4.8 (svimmelhed, sløret syn), kan evnen til at føre motorkøretøj og betjene maskiner imidlertid blive forringet.</w:t>
      </w:r>
    </w:p>
    <w:p w:rsidR="009260DE" w:rsidRPr="00462D6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462D6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62D66">
        <w:rPr>
          <w:b/>
          <w:sz w:val="24"/>
          <w:szCs w:val="24"/>
        </w:rPr>
        <w:t>4.8</w:t>
      </w:r>
      <w:r w:rsidRPr="00462D66">
        <w:rPr>
          <w:b/>
          <w:sz w:val="24"/>
          <w:szCs w:val="24"/>
        </w:rPr>
        <w:tab/>
        <w:t>Bivirkninger</w:t>
      </w:r>
    </w:p>
    <w:p w:rsidR="008517C1" w:rsidRPr="00462D66" w:rsidRDefault="008517C1" w:rsidP="00662F6D">
      <w:pPr>
        <w:pStyle w:val="Sidehoved"/>
        <w:ind w:left="851"/>
        <w:rPr>
          <w:szCs w:val="24"/>
        </w:rPr>
      </w:pPr>
      <w:r w:rsidRPr="00462D66">
        <w:rPr>
          <w:szCs w:val="24"/>
        </w:rPr>
        <w:t>Bivirkninger er kategoriseret efter hyppighed som følger:</w:t>
      </w:r>
    </w:p>
    <w:p w:rsidR="008517C1" w:rsidRPr="00462D66" w:rsidRDefault="008517C1" w:rsidP="00662F6D">
      <w:pPr>
        <w:pStyle w:val="Sidehoved"/>
        <w:ind w:left="851"/>
        <w:rPr>
          <w:szCs w:val="24"/>
        </w:rPr>
      </w:pPr>
    </w:p>
    <w:p w:rsidR="008517C1" w:rsidRPr="00462D66" w:rsidRDefault="008517C1" w:rsidP="00662F6D">
      <w:pPr>
        <w:pStyle w:val="Sidehoved"/>
        <w:ind w:left="851"/>
        <w:rPr>
          <w:szCs w:val="24"/>
        </w:rPr>
      </w:pPr>
      <w:r w:rsidRPr="00462D66">
        <w:rPr>
          <w:szCs w:val="24"/>
        </w:rPr>
        <w:t>Meget almindelig (≥ 1/10)</w:t>
      </w:r>
    </w:p>
    <w:p w:rsidR="008517C1" w:rsidRPr="00462D66" w:rsidRDefault="008517C1" w:rsidP="00662F6D">
      <w:pPr>
        <w:pStyle w:val="Sidehoved"/>
        <w:ind w:left="851"/>
        <w:rPr>
          <w:szCs w:val="24"/>
        </w:rPr>
      </w:pPr>
      <w:r w:rsidRPr="00462D66">
        <w:rPr>
          <w:szCs w:val="24"/>
        </w:rPr>
        <w:t>Almindelig (≥ 1/100 til &lt; 1/10)</w:t>
      </w:r>
    </w:p>
    <w:p w:rsidR="008517C1" w:rsidRPr="00462D66" w:rsidRDefault="008517C1" w:rsidP="00662F6D">
      <w:pPr>
        <w:pStyle w:val="Sidehoved"/>
        <w:ind w:left="851"/>
        <w:rPr>
          <w:szCs w:val="24"/>
        </w:rPr>
      </w:pPr>
      <w:r w:rsidRPr="00462D66">
        <w:rPr>
          <w:szCs w:val="24"/>
        </w:rPr>
        <w:t>Ikke almindelig (≥ 1/1.000 til &lt; 1/100)</w:t>
      </w:r>
    </w:p>
    <w:p w:rsidR="008517C1" w:rsidRPr="00462D66" w:rsidRDefault="008517C1" w:rsidP="00662F6D">
      <w:pPr>
        <w:pStyle w:val="Sidehoved"/>
        <w:ind w:left="851"/>
        <w:rPr>
          <w:szCs w:val="24"/>
        </w:rPr>
      </w:pPr>
      <w:r w:rsidRPr="00462D66">
        <w:rPr>
          <w:szCs w:val="24"/>
        </w:rPr>
        <w:t>Sjælden (≥ 1/10.000 til &lt; 1/1.000)</w:t>
      </w:r>
    </w:p>
    <w:p w:rsidR="008517C1" w:rsidRPr="00462D66" w:rsidRDefault="008517C1" w:rsidP="00662F6D">
      <w:pPr>
        <w:pStyle w:val="Sidehoved"/>
        <w:ind w:left="851"/>
        <w:rPr>
          <w:szCs w:val="24"/>
        </w:rPr>
      </w:pPr>
      <w:r w:rsidRPr="00462D66">
        <w:rPr>
          <w:szCs w:val="24"/>
        </w:rPr>
        <w:t>Meget sjælden (&lt; 1/10.000)</w:t>
      </w:r>
    </w:p>
    <w:p w:rsidR="008517C1" w:rsidRPr="00462D66" w:rsidRDefault="008517C1" w:rsidP="00662F6D">
      <w:pPr>
        <w:pStyle w:val="Sidehoved"/>
        <w:ind w:left="851"/>
        <w:rPr>
          <w:szCs w:val="24"/>
        </w:rPr>
      </w:pPr>
      <w:r w:rsidRPr="00462D66">
        <w:rPr>
          <w:szCs w:val="24"/>
        </w:rPr>
        <w:t>Ikke kendt (kan ikke estimeres ud fra forhåndenværende data)</w:t>
      </w:r>
    </w:p>
    <w:p w:rsidR="008517C1" w:rsidRPr="00462D66" w:rsidRDefault="008517C1" w:rsidP="00662F6D">
      <w:pPr>
        <w:pStyle w:val="Sidehoved"/>
        <w:ind w:left="851"/>
        <w:rPr>
          <w:szCs w:val="24"/>
        </w:rPr>
      </w:pPr>
    </w:p>
    <w:p w:rsidR="008517C1" w:rsidRPr="00462D66" w:rsidRDefault="008517C1" w:rsidP="00662F6D">
      <w:pPr>
        <w:pStyle w:val="Sidehoved"/>
        <w:ind w:left="851"/>
        <w:rPr>
          <w:i/>
          <w:szCs w:val="24"/>
        </w:rPr>
      </w:pPr>
      <w:r w:rsidRPr="00462D66">
        <w:rPr>
          <w:i/>
          <w:szCs w:val="24"/>
        </w:rPr>
        <w:t xml:space="preserve">Luftveje, thorax og </w:t>
      </w:r>
      <w:proofErr w:type="spellStart"/>
      <w:r w:rsidRPr="00462D66">
        <w:rPr>
          <w:i/>
          <w:szCs w:val="24"/>
        </w:rPr>
        <w:t>mediastinum</w:t>
      </w:r>
      <w:proofErr w:type="spellEnd"/>
      <w:r w:rsidR="00662F6D">
        <w:rPr>
          <w:i/>
          <w:szCs w:val="24"/>
        </w:rPr>
        <w:t xml:space="preserve"> </w:t>
      </w:r>
    </w:p>
    <w:p w:rsidR="008517C1" w:rsidRPr="00462D66" w:rsidRDefault="008517C1" w:rsidP="00662F6D">
      <w:pPr>
        <w:pStyle w:val="Sidehoved"/>
        <w:ind w:left="851"/>
        <w:rPr>
          <w:szCs w:val="24"/>
        </w:rPr>
      </w:pPr>
      <w:r w:rsidRPr="00462D66">
        <w:rPr>
          <w:szCs w:val="24"/>
        </w:rPr>
        <w:t>Meget sjælden</w:t>
      </w:r>
      <w:r w:rsidR="00662F6D">
        <w:rPr>
          <w:szCs w:val="24"/>
        </w:rPr>
        <w:t xml:space="preserve">: </w:t>
      </w:r>
      <w:r w:rsidRPr="00462D66">
        <w:rPr>
          <w:szCs w:val="24"/>
        </w:rPr>
        <w:tab/>
        <w:t>Respiratoriske overfølsomhedsreaktioner, f.eks. dyspnø/åndedrætsbesvær.</w:t>
      </w:r>
    </w:p>
    <w:p w:rsidR="008517C1" w:rsidRPr="00462D66" w:rsidRDefault="008517C1" w:rsidP="00662F6D">
      <w:pPr>
        <w:pStyle w:val="Sidehoved"/>
        <w:ind w:left="851"/>
        <w:rPr>
          <w:szCs w:val="24"/>
        </w:rPr>
      </w:pPr>
    </w:p>
    <w:p w:rsidR="008517C1" w:rsidRPr="00462D66" w:rsidRDefault="008517C1" w:rsidP="00662F6D">
      <w:pPr>
        <w:pStyle w:val="Sidehoved"/>
        <w:ind w:left="851"/>
        <w:rPr>
          <w:i/>
          <w:szCs w:val="24"/>
        </w:rPr>
      </w:pPr>
      <w:r w:rsidRPr="00462D66">
        <w:rPr>
          <w:i/>
          <w:szCs w:val="24"/>
        </w:rPr>
        <w:t>Hud og subkutane væv</w:t>
      </w:r>
    </w:p>
    <w:p w:rsidR="008517C1" w:rsidRPr="00462D66" w:rsidRDefault="008517C1" w:rsidP="00662F6D">
      <w:pPr>
        <w:pStyle w:val="Sidehoved"/>
        <w:ind w:left="851"/>
        <w:rPr>
          <w:szCs w:val="24"/>
        </w:rPr>
      </w:pPr>
      <w:r w:rsidRPr="00462D66">
        <w:rPr>
          <w:szCs w:val="24"/>
        </w:rPr>
        <w:t>Meget sjælden</w:t>
      </w:r>
      <w:r w:rsidR="00662F6D">
        <w:rPr>
          <w:szCs w:val="24"/>
        </w:rPr>
        <w:t xml:space="preserve">: </w:t>
      </w:r>
      <w:r w:rsidRPr="00462D66">
        <w:rPr>
          <w:szCs w:val="24"/>
        </w:rPr>
        <w:tab/>
      </w:r>
      <w:proofErr w:type="spellStart"/>
      <w:r w:rsidRPr="00462D66">
        <w:rPr>
          <w:szCs w:val="24"/>
        </w:rPr>
        <w:t>Kutane</w:t>
      </w:r>
      <w:proofErr w:type="spellEnd"/>
      <w:r w:rsidRPr="00462D66">
        <w:rPr>
          <w:szCs w:val="24"/>
        </w:rPr>
        <w:t xml:space="preserve"> overfølsomhedsreaktioner, f.eks. </w:t>
      </w:r>
      <w:proofErr w:type="spellStart"/>
      <w:r w:rsidRPr="00462D66">
        <w:rPr>
          <w:szCs w:val="24"/>
        </w:rPr>
        <w:t>exanthem</w:t>
      </w:r>
      <w:proofErr w:type="spellEnd"/>
      <w:r w:rsidRPr="00462D66">
        <w:rPr>
          <w:szCs w:val="24"/>
        </w:rPr>
        <w:t xml:space="preserve">, </w:t>
      </w:r>
      <w:proofErr w:type="spellStart"/>
      <w:r w:rsidRPr="00462D66">
        <w:rPr>
          <w:szCs w:val="24"/>
        </w:rPr>
        <w:t>urticaria</w:t>
      </w:r>
      <w:proofErr w:type="spellEnd"/>
      <w:r w:rsidRPr="00462D66">
        <w:rPr>
          <w:szCs w:val="24"/>
        </w:rPr>
        <w:t xml:space="preserve">, </w:t>
      </w:r>
      <w:proofErr w:type="spellStart"/>
      <w:r w:rsidRPr="00462D66">
        <w:rPr>
          <w:szCs w:val="24"/>
        </w:rPr>
        <w:t>pruritus</w:t>
      </w:r>
      <w:proofErr w:type="spellEnd"/>
      <w:r w:rsidRPr="00462D66">
        <w:rPr>
          <w:szCs w:val="24"/>
        </w:rPr>
        <w:t>.</w:t>
      </w:r>
    </w:p>
    <w:p w:rsidR="008517C1" w:rsidRPr="00462D66" w:rsidRDefault="008517C1" w:rsidP="00662F6D">
      <w:pPr>
        <w:pStyle w:val="Sidehoved"/>
        <w:ind w:left="851"/>
        <w:rPr>
          <w:szCs w:val="24"/>
        </w:rPr>
      </w:pPr>
    </w:p>
    <w:p w:rsidR="008517C1" w:rsidRPr="00462D66" w:rsidRDefault="008517C1" w:rsidP="00662F6D">
      <w:pPr>
        <w:pStyle w:val="Sidehoved"/>
        <w:ind w:left="851"/>
        <w:rPr>
          <w:i/>
          <w:szCs w:val="24"/>
        </w:rPr>
      </w:pPr>
      <w:proofErr w:type="spellStart"/>
      <w:r w:rsidRPr="00462D66">
        <w:rPr>
          <w:i/>
          <w:szCs w:val="24"/>
        </w:rPr>
        <w:t>Vaskulære</w:t>
      </w:r>
      <w:proofErr w:type="spellEnd"/>
      <w:r w:rsidRPr="00462D66">
        <w:rPr>
          <w:i/>
          <w:szCs w:val="24"/>
        </w:rPr>
        <w:t xml:space="preserve"> sygdomme</w:t>
      </w:r>
    </w:p>
    <w:p w:rsidR="008517C1" w:rsidRPr="00462D66" w:rsidRDefault="008517C1" w:rsidP="00662F6D">
      <w:pPr>
        <w:pStyle w:val="Sidehoved"/>
        <w:ind w:left="851"/>
        <w:rPr>
          <w:szCs w:val="24"/>
        </w:rPr>
      </w:pPr>
      <w:r w:rsidRPr="00462D66">
        <w:rPr>
          <w:szCs w:val="24"/>
        </w:rPr>
        <w:t>Meget sjælden</w:t>
      </w:r>
      <w:r w:rsidR="00662F6D">
        <w:rPr>
          <w:szCs w:val="24"/>
        </w:rPr>
        <w:t xml:space="preserve">: </w:t>
      </w:r>
      <w:r w:rsidRPr="00462D66">
        <w:rPr>
          <w:szCs w:val="24"/>
        </w:rPr>
        <w:tab/>
        <w:t xml:space="preserve">Forbigående kredsløbsproblemer, f.eks. svimmelhed, kvalme, </w:t>
      </w:r>
      <w:proofErr w:type="spellStart"/>
      <w:r w:rsidRPr="00462D66">
        <w:rPr>
          <w:szCs w:val="24"/>
        </w:rPr>
        <w:t>cephalgia</w:t>
      </w:r>
      <w:proofErr w:type="spellEnd"/>
      <w:r w:rsidRPr="00462D66">
        <w:rPr>
          <w:szCs w:val="24"/>
        </w:rPr>
        <w:t>, nedsat syn</w:t>
      </w:r>
    </w:p>
    <w:p w:rsidR="008517C1" w:rsidRPr="00462D66" w:rsidRDefault="008517C1" w:rsidP="00662F6D">
      <w:pPr>
        <w:pStyle w:val="Sidehoved"/>
        <w:ind w:left="851"/>
        <w:rPr>
          <w:szCs w:val="24"/>
        </w:rPr>
      </w:pPr>
    </w:p>
    <w:p w:rsidR="008517C1" w:rsidRPr="00462D66" w:rsidRDefault="008517C1" w:rsidP="00662F6D">
      <w:pPr>
        <w:pStyle w:val="Sidehoved"/>
        <w:ind w:left="851"/>
        <w:rPr>
          <w:i/>
          <w:szCs w:val="24"/>
        </w:rPr>
      </w:pPr>
      <w:r w:rsidRPr="00462D66">
        <w:rPr>
          <w:i/>
          <w:szCs w:val="24"/>
        </w:rPr>
        <w:t>Infektioner og parasitære sygdomme</w:t>
      </w:r>
    </w:p>
    <w:p w:rsidR="008517C1" w:rsidRPr="00462D66" w:rsidRDefault="008517C1" w:rsidP="00662F6D">
      <w:pPr>
        <w:pStyle w:val="Sidehoved"/>
        <w:ind w:left="851"/>
        <w:rPr>
          <w:szCs w:val="24"/>
        </w:rPr>
      </w:pPr>
      <w:r w:rsidRPr="00462D66">
        <w:rPr>
          <w:szCs w:val="24"/>
        </w:rPr>
        <w:t>Meget sjælden</w:t>
      </w:r>
      <w:r w:rsidR="00662F6D">
        <w:rPr>
          <w:szCs w:val="24"/>
        </w:rPr>
        <w:t xml:space="preserve">: </w:t>
      </w:r>
      <w:r w:rsidRPr="00462D66">
        <w:rPr>
          <w:szCs w:val="24"/>
        </w:rPr>
        <w:tab/>
        <w:t>Reaktioner såsom kulderystelser og forhøjet temperatur blev observeret hos patienter med akutte infektioner.</w:t>
      </w:r>
    </w:p>
    <w:p w:rsidR="008517C1" w:rsidRPr="00462D66" w:rsidRDefault="008517C1" w:rsidP="00662F6D">
      <w:pPr>
        <w:pStyle w:val="Sidehoved"/>
        <w:ind w:left="851"/>
        <w:rPr>
          <w:i/>
          <w:szCs w:val="24"/>
        </w:rPr>
      </w:pPr>
    </w:p>
    <w:p w:rsidR="008517C1" w:rsidRPr="00462D66" w:rsidRDefault="008517C1" w:rsidP="00662F6D">
      <w:pPr>
        <w:pStyle w:val="Sidehoved"/>
        <w:ind w:left="851"/>
        <w:rPr>
          <w:i/>
          <w:szCs w:val="24"/>
        </w:rPr>
      </w:pPr>
      <w:r w:rsidRPr="00462D66">
        <w:rPr>
          <w:i/>
          <w:szCs w:val="24"/>
        </w:rPr>
        <w:t>Mave-tarm-kanalen</w:t>
      </w:r>
    </w:p>
    <w:p w:rsidR="008517C1" w:rsidRPr="00462D66" w:rsidRDefault="008517C1" w:rsidP="00662F6D">
      <w:pPr>
        <w:pStyle w:val="Sidehoved"/>
        <w:ind w:left="851"/>
        <w:rPr>
          <w:szCs w:val="24"/>
        </w:rPr>
      </w:pPr>
      <w:r w:rsidRPr="00462D66">
        <w:rPr>
          <w:szCs w:val="24"/>
        </w:rPr>
        <w:t>Meget sjælden</w:t>
      </w:r>
      <w:r w:rsidR="00662F6D">
        <w:rPr>
          <w:szCs w:val="24"/>
        </w:rPr>
        <w:t xml:space="preserve">: </w:t>
      </w:r>
      <w:r w:rsidRPr="00462D66">
        <w:rPr>
          <w:szCs w:val="24"/>
        </w:rPr>
        <w:tab/>
        <w:t>Store doser kan medføre mave-tarm-lidelser, f.eks. kvalme, opkastning, diarré</w:t>
      </w:r>
    </w:p>
    <w:p w:rsidR="008517C1" w:rsidRPr="00462D66" w:rsidRDefault="008517C1" w:rsidP="00662F6D">
      <w:pPr>
        <w:pStyle w:val="Sidehoved"/>
        <w:ind w:left="851"/>
        <w:rPr>
          <w:szCs w:val="24"/>
        </w:rPr>
      </w:pPr>
    </w:p>
    <w:p w:rsidR="008517C1" w:rsidRPr="00462D66" w:rsidRDefault="008517C1" w:rsidP="00662F6D">
      <w:pPr>
        <w:pStyle w:val="Sidehoved"/>
        <w:ind w:left="851"/>
        <w:rPr>
          <w:i/>
          <w:szCs w:val="24"/>
        </w:rPr>
      </w:pPr>
      <w:r w:rsidRPr="00462D66">
        <w:rPr>
          <w:i/>
          <w:szCs w:val="24"/>
        </w:rPr>
        <w:t>Nyrer og urinveje</w:t>
      </w:r>
    </w:p>
    <w:p w:rsidR="008517C1" w:rsidRPr="00462D66" w:rsidRDefault="008517C1" w:rsidP="00662F6D">
      <w:pPr>
        <w:pStyle w:val="Sidehoved"/>
        <w:ind w:left="851"/>
        <w:rPr>
          <w:szCs w:val="24"/>
        </w:rPr>
      </w:pPr>
      <w:r w:rsidRPr="00462D66">
        <w:rPr>
          <w:szCs w:val="24"/>
        </w:rPr>
        <w:t>Meget sjælden</w:t>
      </w:r>
      <w:r w:rsidR="00662F6D">
        <w:rPr>
          <w:szCs w:val="24"/>
        </w:rPr>
        <w:t xml:space="preserve">: </w:t>
      </w:r>
      <w:r w:rsidRPr="00462D66">
        <w:rPr>
          <w:szCs w:val="24"/>
        </w:rPr>
        <w:tab/>
        <w:t xml:space="preserve">Store doser kan medføre </w:t>
      </w:r>
      <w:proofErr w:type="spellStart"/>
      <w:r w:rsidRPr="00462D66">
        <w:rPr>
          <w:szCs w:val="24"/>
        </w:rPr>
        <w:t>hyperoxaluri</w:t>
      </w:r>
      <w:proofErr w:type="spellEnd"/>
      <w:r w:rsidRPr="00462D66">
        <w:rPr>
          <w:szCs w:val="24"/>
        </w:rPr>
        <w:t xml:space="preserve">, og der kan dannes </w:t>
      </w:r>
      <w:proofErr w:type="spellStart"/>
      <w:r w:rsidRPr="00462D66">
        <w:rPr>
          <w:szCs w:val="24"/>
        </w:rPr>
        <w:t>oxalatnyresten</w:t>
      </w:r>
      <w:proofErr w:type="spellEnd"/>
      <w:r w:rsidRPr="00462D66">
        <w:rPr>
          <w:szCs w:val="24"/>
        </w:rPr>
        <w:t xml:space="preserve">, hvis urinen bliver sur. </w:t>
      </w:r>
    </w:p>
    <w:p w:rsidR="008517C1" w:rsidRPr="00462D66" w:rsidRDefault="008517C1" w:rsidP="00662F6D">
      <w:pPr>
        <w:pStyle w:val="Sidehoved"/>
        <w:ind w:left="851"/>
        <w:rPr>
          <w:szCs w:val="24"/>
        </w:rPr>
      </w:pPr>
      <w:r w:rsidRPr="00462D66">
        <w:rPr>
          <w:szCs w:val="24"/>
        </w:rPr>
        <w:t>Meget sjælden</w:t>
      </w:r>
      <w:r w:rsidR="00662F6D">
        <w:rPr>
          <w:szCs w:val="24"/>
        </w:rPr>
        <w:t xml:space="preserve">: </w:t>
      </w:r>
      <w:r w:rsidRPr="00462D66">
        <w:rPr>
          <w:szCs w:val="24"/>
        </w:rPr>
        <w:tab/>
        <w:t>Doser på 600 mg eller mere dagligt har en diuretisk virkning.</w:t>
      </w:r>
    </w:p>
    <w:p w:rsidR="008517C1" w:rsidRPr="00462D66" w:rsidRDefault="008517C1" w:rsidP="00662F6D">
      <w:pPr>
        <w:pStyle w:val="Sidehoved"/>
        <w:ind w:left="851"/>
        <w:rPr>
          <w:szCs w:val="24"/>
        </w:rPr>
      </w:pPr>
    </w:p>
    <w:p w:rsidR="008517C1" w:rsidRPr="00462D66" w:rsidRDefault="008517C1" w:rsidP="00662F6D">
      <w:pPr>
        <w:pStyle w:val="Sidehoved"/>
        <w:ind w:left="851"/>
        <w:rPr>
          <w:szCs w:val="24"/>
          <w:u w:val="single"/>
        </w:rPr>
      </w:pPr>
      <w:r w:rsidRPr="00462D66">
        <w:rPr>
          <w:szCs w:val="24"/>
          <w:u w:val="single"/>
        </w:rPr>
        <w:t>Indberetning af formodede bivirkninger</w:t>
      </w:r>
    </w:p>
    <w:p w:rsidR="008517C1" w:rsidRPr="00462D66" w:rsidRDefault="008517C1" w:rsidP="00662F6D">
      <w:pPr>
        <w:pStyle w:val="Sidehoved"/>
        <w:ind w:left="851"/>
        <w:rPr>
          <w:szCs w:val="24"/>
        </w:rPr>
      </w:pPr>
      <w:r w:rsidRPr="00462D66">
        <w:rPr>
          <w:szCs w:val="24"/>
        </w:rPr>
        <w:t>Når lægemidlet er godkendt, er indberetning af formodede bivirkninger vigtig. Det muliggør løbende overvågning af benefit/</w:t>
      </w:r>
      <w:proofErr w:type="spellStart"/>
      <w:r w:rsidRPr="00462D66">
        <w:rPr>
          <w:szCs w:val="24"/>
        </w:rPr>
        <w:t>risk</w:t>
      </w:r>
      <w:proofErr w:type="spellEnd"/>
      <w:r w:rsidRPr="00462D66">
        <w:rPr>
          <w:szCs w:val="24"/>
        </w:rPr>
        <w:noBreakHyphen/>
        <w:t>forholdet for lægemidlet. Sundhedspersoner anmodes om at indberette alle formodede bivirkninger via:</w:t>
      </w:r>
    </w:p>
    <w:p w:rsidR="008517C1" w:rsidRPr="00462D66" w:rsidRDefault="008517C1" w:rsidP="00662F6D">
      <w:pPr>
        <w:pStyle w:val="Sidehoved"/>
        <w:ind w:left="851"/>
        <w:rPr>
          <w:szCs w:val="24"/>
        </w:rPr>
      </w:pPr>
    </w:p>
    <w:p w:rsidR="008517C1" w:rsidRPr="00462D66" w:rsidRDefault="008517C1" w:rsidP="00662F6D">
      <w:pPr>
        <w:pStyle w:val="Sidehoved"/>
        <w:ind w:left="851"/>
        <w:rPr>
          <w:szCs w:val="24"/>
        </w:rPr>
      </w:pPr>
      <w:r w:rsidRPr="00462D66">
        <w:rPr>
          <w:szCs w:val="24"/>
        </w:rPr>
        <w:t>Lægemiddelstyrelsen</w:t>
      </w:r>
    </w:p>
    <w:p w:rsidR="008517C1" w:rsidRPr="00462D66" w:rsidRDefault="008517C1" w:rsidP="00662F6D">
      <w:pPr>
        <w:pStyle w:val="Sidehoved"/>
        <w:ind w:left="851"/>
        <w:rPr>
          <w:szCs w:val="24"/>
        </w:rPr>
      </w:pPr>
      <w:r w:rsidRPr="00462D66">
        <w:rPr>
          <w:szCs w:val="24"/>
        </w:rPr>
        <w:t>Axel Heides Gade 1</w:t>
      </w:r>
    </w:p>
    <w:p w:rsidR="008517C1" w:rsidRPr="00462D66" w:rsidRDefault="008517C1" w:rsidP="00662F6D">
      <w:pPr>
        <w:pStyle w:val="Sidehoved"/>
        <w:ind w:left="851"/>
        <w:rPr>
          <w:szCs w:val="24"/>
        </w:rPr>
      </w:pPr>
      <w:r w:rsidRPr="00462D66">
        <w:rPr>
          <w:szCs w:val="24"/>
        </w:rPr>
        <w:t>DK-2300 København S</w:t>
      </w:r>
    </w:p>
    <w:p w:rsidR="008517C1" w:rsidRPr="00462D66" w:rsidRDefault="008517C1" w:rsidP="00662F6D">
      <w:pPr>
        <w:pStyle w:val="Sidehoved"/>
        <w:ind w:left="851"/>
        <w:rPr>
          <w:szCs w:val="24"/>
        </w:rPr>
      </w:pPr>
      <w:r w:rsidRPr="00462D66">
        <w:rPr>
          <w:szCs w:val="24"/>
        </w:rPr>
        <w:t xml:space="preserve">Websted: </w:t>
      </w:r>
      <w:r w:rsidRPr="00662F6D">
        <w:rPr>
          <w:szCs w:val="24"/>
        </w:rPr>
        <w:t>www.meldenbivirkning.dk</w:t>
      </w:r>
    </w:p>
    <w:p w:rsidR="009260DE" w:rsidRPr="00462D66" w:rsidRDefault="009260DE" w:rsidP="00662F6D">
      <w:pPr>
        <w:pStyle w:val="Sidehoved"/>
        <w:tabs>
          <w:tab w:val="left" w:pos="851"/>
        </w:tabs>
        <w:ind w:left="851"/>
        <w:rPr>
          <w:szCs w:val="24"/>
        </w:rPr>
      </w:pPr>
    </w:p>
    <w:p w:rsidR="009260DE" w:rsidRPr="00462D6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62D66">
        <w:rPr>
          <w:b/>
          <w:sz w:val="24"/>
          <w:szCs w:val="24"/>
        </w:rPr>
        <w:t>4.9</w:t>
      </w:r>
      <w:r w:rsidRPr="00462D66">
        <w:rPr>
          <w:b/>
          <w:sz w:val="24"/>
          <w:szCs w:val="24"/>
        </w:rPr>
        <w:tab/>
        <w:t>Overdosering</w:t>
      </w:r>
    </w:p>
    <w:p w:rsidR="008517C1" w:rsidRPr="00462D66" w:rsidRDefault="008517C1" w:rsidP="008517C1">
      <w:pPr>
        <w:tabs>
          <w:tab w:val="left" w:pos="851"/>
        </w:tabs>
        <w:ind w:left="851"/>
        <w:rPr>
          <w:sz w:val="24"/>
          <w:szCs w:val="24"/>
        </w:rPr>
      </w:pPr>
      <w:r w:rsidRPr="00462D66">
        <w:rPr>
          <w:sz w:val="24"/>
          <w:szCs w:val="24"/>
        </w:rPr>
        <w:t xml:space="preserve">Se pkt. 4.4 </w:t>
      </w:r>
      <w:r w:rsidR="00B859F0">
        <w:rPr>
          <w:sz w:val="24"/>
          <w:szCs w:val="24"/>
        </w:rPr>
        <w:t>vedrørende</w:t>
      </w:r>
      <w:r w:rsidRPr="00462D66">
        <w:rPr>
          <w:sz w:val="24"/>
          <w:szCs w:val="24"/>
        </w:rPr>
        <w:t xml:space="preserve"> risikoen for dannelse af nyresten.</w:t>
      </w:r>
    </w:p>
    <w:p w:rsidR="009260DE" w:rsidRPr="00462D6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462D6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62D66">
        <w:rPr>
          <w:b/>
          <w:sz w:val="24"/>
          <w:szCs w:val="24"/>
        </w:rPr>
        <w:t>4.10</w:t>
      </w:r>
      <w:r w:rsidRPr="00462D66">
        <w:rPr>
          <w:b/>
          <w:sz w:val="24"/>
          <w:szCs w:val="24"/>
        </w:rPr>
        <w:tab/>
        <w:t>Udlevering</w:t>
      </w:r>
    </w:p>
    <w:p w:rsidR="008517C1" w:rsidRPr="00462D66" w:rsidRDefault="008517C1" w:rsidP="009260DE">
      <w:pPr>
        <w:tabs>
          <w:tab w:val="left" w:pos="851"/>
        </w:tabs>
        <w:ind w:left="851"/>
        <w:rPr>
          <w:sz w:val="24"/>
          <w:szCs w:val="24"/>
        </w:rPr>
      </w:pPr>
      <w:r w:rsidRPr="00462D66">
        <w:rPr>
          <w:sz w:val="24"/>
          <w:szCs w:val="24"/>
        </w:rPr>
        <w:t>BEGR (kun til sygehuse)</w:t>
      </w:r>
    </w:p>
    <w:p w:rsidR="009260DE" w:rsidRPr="00462D6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462D6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462D6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62D66">
        <w:rPr>
          <w:b/>
          <w:sz w:val="24"/>
          <w:szCs w:val="24"/>
        </w:rPr>
        <w:t>5.</w:t>
      </w:r>
      <w:r w:rsidRPr="00462D66">
        <w:rPr>
          <w:b/>
          <w:sz w:val="24"/>
          <w:szCs w:val="24"/>
        </w:rPr>
        <w:tab/>
        <w:t>FARMAKOLOGISKE EGENSKABER</w:t>
      </w:r>
    </w:p>
    <w:p w:rsidR="009260DE" w:rsidRPr="00462D6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462D66">
        <w:rPr>
          <w:b/>
          <w:sz w:val="24"/>
          <w:szCs w:val="24"/>
        </w:rPr>
        <w:t>5.1</w:t>
      </w:r>
      <w:r w:rsidRPr="00462D66">
        <w:rPr>
          <w:b/>
          <w:sz w:val="24"/>
          <w:szCs w:val="24"/>
        </w:rPr>
        <w:tab/>
      </w:r>
      <w:proofErr w:type="spellStart"/>
      <w:r w:rsidRPr="00462D66">
        <w:rPr>
          <w:b/>
          <w:sz w:val="24"/>
          <w:szCs w:val="24"/>
        </w:rPr>
        <w:t>Farmakodynamiske</w:t>
      </w:r>
      <w:proofErr w:type="spellEnd"/>
      <w:r w:rsidRPr="00462D66">
        <w:rPr>
          <w:b/>
          <w:sz w:val="24"/>
          <w:szCs w:val="24"/>
        </w:rPr>
        <w:t xml:space="preserve"> egenskaber</w:t>
      </w:r>
    </w:p>
    <w:p w:rsidR="00C71A13" w:rsidRDefault="00C71A13" w:rsidP="00C71A13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C922B2">
        <w:rPr>
          <w:sz w:val="24"/>
          <w:szCs w:val="24"/>
        </w:rPr>
        <w:t>Farmakoterapeutisk</w:t>
      </w:r>
      <w:proofErr w:type="spellEnd"/>
      <w:r w:rsidRPr="00C922B2">
        <w:rPr>
          <w:sz w:val="24"/>
          <w:szCs w:val="24"/>
        </w:rPr>
        <w:t xml:space="preserve"> klassifikation:</w:t>
      </w:r>
      <w:r>
        <w:rPr>
          <w:sz w:val="24"/>
          <w:szCs w:val="24"/>
        </w:rPr>
        <w:t xml:space="preserve"> </w:t>
      </w:r>
      <w:proofErr w:type="spellStart"/>
      <w:r w:rsidRPr="00462D66">
        <w:rPr>
          <w:sz w:val="24"/>
          <w:szCs w:val="24"/>
        </w:rPr>
        <w:t>Ascorbinsyre</w:t>
      </w:r>
      <w:proofErr w:type="spellEnd"/>
      <w:r w:rsidRPr="00462D66">
        <w:rPr>
          <w:sz w:val="24"/>
          <w:szCs w:val="24"/>
        </w:rPr>
        <w:t xml:space="preserve"> (vitamin </w:t>
      </w:r>
      <w:r>
        <w:rPr>
          <w:sz w:val="24"/>
          <w:szCs w:val="24"/>
        </w:rPr>
        <w:t>C</w:t>
      </w:r>
      <w:r w:rsidRPr="00462D66">
        <w:rPr>
          <w:sz w:val="24"/>
          <w:szCs w:val="24"/>
        </w:rPr>
        <w:t xml:space="preserve">), usammensatte </w:t>
      </w:r>
      <w:proofErr w:type="spellStart"/>
      <w:r w:rsidRPr="00462D66">
        <w:rPr>
          <w:sz w:val="24"/>
          <w:szCs w:val="24"/>
        </w:rPr>
        <w:t>præp</w:t>
      </w:r>
      <w:proofErr w:type="spellEnd"/>
      <w:r w:rsidRPr="00462D66">
        <w:rPr>
          <w:sz w:val="24"/>
          <w:szCs w:val="24"/>
        </w:rPr>
        <w:t>.</w:t>
      </w:r>
      <w:r>
        <w:rPr>
          <w:sz w:val="24"/>
          <w:szCs w:val="24"/>
        </w:rPr>
        <w:t xml:space="preserve">, </w:t>
      </w:r>
    </w:p>
    <w:p w:rsidR="00C71A13" w:rsidRPr="00462D66" w:rsidRDefault="00C71A13" w:rsidP="00C71A13">
      <w:pPr>
        <w:tabs>
          <w:tab w:val="left" w:pos="851"/>
        </w:tabs>
        <w:ind w:left="851"/>
        <w:rPr>
          <w:sz w:val="24"/>
          <w:szCs w:val="24"/>
        </w:rPr>
      </w:pPr>
      <w:r w:rsidRPr="00462D66">
        <w:rPr>
          <w:sz w:val="24"/>
          <w:szCs w:val="24"/>
        </w:rPr>
        <w:t>ATC-kode</w:t>
      </w:r>
      <w:r>
        <w:rPr>
          <w:sz w:val="24"/>
          <w:szCs w:val="24"/>
        </w:rPr>
        <w:t>:</w:t>
      </w:r>
      <w:r w:rsidRPr="00462D66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</w:t>
      </w:r>
      <w:r w:rsidRPr="00462D66">
        <w:rPr>
          <w:sz w:val="24"/>
          <w:szCs w:val="24"/>
        </w:rPr>
        <w:t>11</w:t>
      </w:r>
      <w:r>
        <w:rPr>
          <w:sz w:val="24"/>
          <w:szCs w:val="24"/>
        </w:rPr>
        <w:t xml:space="preserve"> </w:t>
      </w:r>
      <w:r w:rsidRPr="00462D66">
        <w:rPr>
          <w:sz w:val="24"/>
          <w:szCs w:val="24"/>
        </w:rPr>
        <w:t>GA</w:t>
      </w:r>
      <w:r>
        <w:rPr>
          <w:sz w:val="24"/>
          <w:szCs w:val="24"/>
        </w:rPr>
        <w:t xml:space="preserve"> </w:t>
      </w:r>
      <w:r w:rsidRPr="00462D66">
        <w:rPr>
          <w:sz w:val="24"/>
          <w:szCs w:val="24"/>
        </w:rPr>
        <w:t>01.</w:t>
      </w:r>
    </w:p>
    <w:p w:rsidR="00C71A13" w:rsidRPr="00462D66" w:rsidRDefault="00C71A13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</w:p>
    <w:p w:rsidR="00B17B18" w:rsidRPr="00462D66" w:rsidRDefault="00B17B18" w:rsidP="00B17B18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462D66">
        <w:rPr>
          <w:sz w:val="24"/>
          <w:szCs w:val="24"/>
        </w:rPr>
        <w:t>Ascorbinsyre</w:t>
      </w:r>
      <w:proofErr w:type="spellEnd"/>
      <w:r w:rsidRPr="00462D66">
        <w:rPr>
          <w:sz w:val="24"/>
          <w:szCs w:val="24"/>
        </w:rPr>
        <w:t xml:space="preserve"> </w:t>
      </w:r>
      <w:r w:rsidR="00C25704">
        <w:rPr>
          <w:sz w:val="24"/>
          <w:szCs w:val="24"/>
        </w:rPr>
        <w:t>"</w:t>
      </w:r>
      <w:proofErr w:type="spellStart"/>
      <w:r w:rsidRPr="00462D66">
        <w:rPr>
          <w:sz w:val="24"/>
          <w:szCs w:val="24"/>
        </w:rPr>
        <w:t>Pascoe</w:t>
      </w:r>
      <w:proofErr w:type="spellEnd"/>
      <w:r w:rsidR="00C25704">
        <w:rPr>
          <w:sz w:val="24"/>
          <w:szCs w:val="24"/>
        </w:rPr>
        <w:t>"</w:t>
      </w:r>
      <w:r w:rsidRPr="00462D66">
        <w:rPr>
          <w:sz w:val="24"/>
          <w:szCs w:val="24"/>
        </w:rPr>
        <w:t xml:space="preserve"> indeholder </w:t>
      </w:r>
      <w:proofErr w:type="spellStart"/>
      <w:r w:rsidRPr="00462D66">
        <w:rPr>
          <w:sz w:val="24"/>
          <w:szCs w:val="24"/>
        </w:rPr>
        <w:t>ascorbinsyre</w:t>
      </w:r>
      <w:proofErr w:type="spellEnd"/>
      <w:r w:rsidRPr="00462D66">
        <w:rPr>
          <w:sz w:val="24"/>
          <w:szCs w:val="24"/>
        </w:rPr>
        <w:t>, et aktivt stof, der er væsentligt for kroppen.</w:t>
      </w:r>
    </w:p>
    <w:p w:rsidR="00B17B18" w:rsidRPr="00462D66" w:rsidRDefault="00B17B18" w:rsidP="00B17B18">
      <w:pPr>
        <w:tabs>
          <w:tab w:val="left" w:pos="851"/>
        </w:tabs>
        <w:ind w:left="851"/>
        <w:rPr>
          <w:sz w:val="24"/>
          <w:szCs w:val="24"/>
        </w:rPr>
      </w:pPr>
    </w:p>
    <w:p w:rsidR="00B17B18" w:rsidRPr="00462D66" w:rsidRDefault="00B17B18" w:rsidP="00B17B18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462D66">
        <w:rPr>
          <w:sz w:val="24"/>
          <w:szCs w:val="24"/>
        </w:rPr>
        <w:t>Ascorbinsyre</w:t>
      </w:r>
      <w:proofErr w:type="spellEnd"/>
      <w:r w:rsidRPr="00462D66">
        <w:rPr>
          <w:sz w:val="24"/>
          <w:szCs w:val="24"/>
        </w:rPr>
        <w:t xml:space="preserve"> og </w:t>
      </w:r>
      <w:proofErr w:type="spellStart"/>
      <w:r w:rsidRPr="00462D66">
        <w:rPr>
          <w:sz w:val="24"/>
          <w:szCs w:val="24"/>
        </w:rPr>
        <w:t>dehydroascorbinsyre</w:t>
      </w:r>
      <w:proofErr w:type="spellEnd"/>
      <w:r w:rsidRPr="00462D66">
        <w:rPr>
          <w:sz w:val="24"/>
          <w:szCs w:val="24"/>
        </w:rPr>
        <w:t xml:space="preserve"> danner et vigtigt </w:t>
      </w:r>
      <w:proofErr w:type="spellStart"/>
      <w:r w:rsidRPr="00462D66">
        <w:rPr>
          <w:sz w:val="24"/>
          <w:szCs w:val="24"/>
        </w:rPr>
        <w:t>redoxsystem</w:t>
      </w:r>
      <w:proofErr w:type="spellEnd"/>
      <w:r w:rsidRPr="00462D66">
        <w:rPr>
          <w:sz w:val="24"/>
          <w:szCs w:val="24"/>
        </w:rPr>
        <w:t>.</w:t>
      </w:r>
    </w:p>
    <w:p w:rsidR="00B17B18" w:rsidRPr="00462D66" w:rsidRDefault="00B17B18" w:rsidP="00B17B18">
      <w:pPr>
        <w:tabs>
          <w:tab w:val="left" w:pos="851"/>
        </w:tabs>
        <w:ind w:left="851"/>
        <w:rPr>
          <w:sz w:val="24"/>
          <w:szCs w:val="24"/>
        </w:rPr>
      </w:pPr>
    </w:p>
    <w:p w:rsidR="00B17B18" w:rsidRPr="00462D66" w:rsidRDefault="00B17B18" w:rsidP="00B17B18">
      <w:pPr>
        <w:tabs>
          <w:tab w:val="left" w:pos="851"/>
        </w:tabs>
        <w:ind w:left="851"/>
        <w:rPr>
          <w:sz w:val="24"/>
          <w:szCs w:val="24"/>
        </w:rPr>
      </w:pPr>
      <w:r w:rsidRPr="00462D66">
        <w:rPr>
          <w:sz w:val="24"/>
          <w:szCs w:val="24"/>
        </w:rPr>
        <w:t>På grund af C</w:t>
      </w:r>
      <w:r w:rsidRPr="00462D66">
        <w:rPr>
          <w:sz w:val="24"/>
          <w:szCs w:val="24"/>
        </w:rPr>
        <w:noBreakHyphen/>
        <w:t xml:space="preserve">vitaminets reduktionspotentiale fungerer det som medvirkende faktor i adskillige enzymsystemer, f.eks. i dannelse af kollagen, </w:t>
      </w:r>
      <w:proofErr w:type="spellStart"/>
      <w:r w:rsidRPr="00462D66">
        <w:rPr>
          <w:sz w:val="24"/>
          <w:szCs w:val="24"/>
        </w:rPr>
        <w:t>katekolaminsyntese</w:t>
      </w:r>
      <w:proofErr w:type="spellEnd"/>
      <w:r w:rsidRPr="00462D66">
        <w:rPr>
          <w:sz w:val="24"/>
          <w:szCs w:val="24"/>
        </w:rPr>
        <w:t xml:space="preserve">, </w:t>
      </w:r>
      <w:proofErr w:type="spellStart"/>
      <w:r w:rsidRPr="00462D66">
        <w:rPr>
          <w:sz w:val="24"/>
          <w:szCs w:val="24"/>
        </w:rPr>
        <w:t>hydroxylering</w:t>
      </w:r>
      <w:proofErr w:type="spellEnd"/>
      <w:r w:rsidRPr="00462D66">
        <w:rPr>
          <w:sz w:val="24"/>
          <w:szCs w:val="24"/>
        </w:rPr>
        <w:t xml:space="preserve"> af steroider, </w:t>
      </w:r>
      <w:proofErr w:type="spellStart"/>
      <w:r w:rsidRPr="00462D66">
        <w:rPr>
          <w:sz w:val="24"/>
          <w:szCs w:val="24"/>
        </w:rPr>
        <w:t>tyrosin</w:t>
      </w:r>
      <w:proofErr w:type="spellEnd"/>
      <w:r w:rsidRPr="00462D66">
        <w:rPr>
          <w:sz w:val="24"/>
          <w:szCs w:val="24"/>
        </w:rPr>
        <w:t xml:space="preserve"> og eksogene stoffer, </w:t>
      </w:r>
      <w:proofErr w:type="spellStart"/>
      <w:r w:rsidRPr="00462D66">
        <w:rPr>
          <w:sz w:val="24"/>
          <w:szCs w:val="24"/>
        </w:rPr>
        <w:t>carnitinbiosyntese</w:t>
      </w:r>
      <w:proofErr w:type="spellEnd"/>
      <w:r w:rsidRPr="00462D66">
        <w:rPr>
          <w:sz w:val="24"/>
          <w:szCs w:val="24"/>
        </w:rPr>
        <w:t xml:space="preserve">, regenerering af </w:t>
      </w:r>
      <w:proofErr w:type="spellStart"/>
      <w:r w:rsidRPr="00462D66">
        <w:rPr>
          <w:sz w:val="24"/>
          <w:szCs w:val="24"/>
        </w:rPr>
        <w:t>tetrahydrofolsyre</w:t>
      </w:r>
      <w:proofErr w:type="spellEnd"/>
      <w:r w:rsidRPr="00462D66">
        <w:rPr>
          <w:sz w:val="24"/>
          <w:szCs w:val="24"/>
        </w:rPr>
        <w:t>, peptid alfa</w:t>
      </w:r>
      <w:r w:rsidRPr="00462D66">
        <w:rPr>
          <w:sz w:val="24"/>
          <w:szCs w:val="24"/>
        </w:rPr>
        <w:noBreakHyphen/>
      </w:r>
      <w:proofErr w:type="spellStart"/>
      <w:r w:rsidRPr="00462D66">
        <w:rPr>
          <w:sz w:val="24"/>
          <w:szCs w:val="24"/>
        </w:rPr>
        <w:t>amidering</w:t>
      </w:r>
      <w:proofErr w:type="spellEnd"/>
      <w:r w:rsidRPr="00462D66">
        <w:rPr>
          <w:sz w:val="24"/>
          <w:szCs w:val="24"/>
        </w:rPr>
        <w:t xml:space="preserve"> af peptidhormoner og </w:t>
      </w:r>
      <w:proofErr w:type="spellStart"/>
      <w:r w:rsidRPr="00462D66">
        <w:rPr>
          <w:sz w:val="24"/>
          <w:szCs w:val="24"/>
        </w:rPr>
        <w:t>neuropeptider</w:t>
      </w:r>
      <w:proofErr w:type="spellEnd"/>
      <w:r w:rsidRPr="00462D66">
        <w:rPr>
          <w:sz w:val="24"/>
          <w:szCs w:val="24"/>
        </w:rPr>
        <w:t xml:space="preserve"> (f.eks. ACTH og gastrin).</w:t>
      </w:r>
    </w:p>
    <w:p w:rsidR="00B17B18" w:rsidRPr="00462D66" w:rsidRDefault="00B17B18" w:rsidP="00B17B18">
      <w:pPr>
        <w:tabs>
          <w:tab w:val="left" w:pos="851"/>
        </w:tabs>
        <w:ind w:left="851"/>
        <w:rPr>
          <w:sz w:val="24"/>
          <w:szCs w:val="24"/>
        </w:rPr>
      </w:pPr>
    </w:p>
    <w:p w:rsidR="00B17B18" w:rsidRPr="00462D66" w:rsidRDefault="00B17B18" w:rsidP="00B17B18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462D66">
        <w:rPr>
          <w:sz w:val="24"/>
          <w:szCs w:val="24"/>
        </w:rPr>
        <w:t>Ascorbinsyre</w:t>
      </w:r>
      <w:proofErr w:type="spellEnd"/>
      <w:r w:rsidRPr="00462D66">
        <w:rPr>
          <w:sz w:val="24"/>
          <w:szCs w:val="24"/>
        </w:rPr>
        <w:t xml:space="preserve"> blokerer de kædereaktioner, der induceres af iltradikale i vandholdige kropsdele. </w:t>
      </w:r>
      <w:proofErr w:type="spellStart"/>
      <w:r w:rsidRPr="00462D66">
        <w:rPr>
          <w:sz w:val="24"/>
          <w:szCs w:val="24"/>
        </w:rPr>
        <w:t>Antioksidantaktiviteterne</w:t>
      </w:r>
      <w:proofErr w:type="spellEnd"/>
      <w:r w:rsidRPr="00462D66">
        <w:rPr>
          <w:sz w:val="24"/>
          <w:szCs w:val="24"/>
        </w:rPr>
        <w:t xml:space="preserve"> er i tætte biokemiske interaktioner med aktiviteterne af E</w:t>
      </w:r>
      <w:r w:rsidRPr="00462D66">
        <w:rPr>
          <w:sz w:val="24"/>
          <w:szCs w:val="24"/>
        </w:rPr>
        <w:noBreakHyphen/>
        <w:t>vitamin, A</w:t>
      </w:r>
      <w:r w:rsidRPr="00462D66">
        <w:rPr>
          <w:sz w:val="24"/>
          <w:szCs w:val="24"/>
        </w:rPr>
        <w:noBreakHyphen/>
        <w:t xml:space="preserve">vitamin og </w:t>
      </w:r>
      <w:proofErr w:type="spellStart"/>
      <w:r w:rsidRPr="00462D66">
        <w:rPr>
          <w:sz w:val="24"/>
          <w:szCs w:val="24"/>
        </w:rPr>
        <w:t>karotenoider</w:t>
      </w:r>
      <w:proofErr w:type="spellEnd"/>
      <w:r w:rsidRPr="00462D66">
        <w:rPr>
          <w:sz w:val="24"/>
          <w:szCs w:val="24"/>
        </w:rPr>
        <w:t>.</w:t>
      </w:r>
    </w:p>
    <w:p w:rsidR="009260DE" w:rsidRPr="00462D6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462D6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62D66">
        <w:rPr>
          <w:b/>
          <w:sz w:val="24"/>
          <w:szCs w:val="24"/>
        </w:rPr>
        <w:t>5.2</w:t>
      </w:r>
      <w:r w:rsidRPr="00462D66">
        <w:rPr>
          <w:b/>
          <w:sz w:val="24"/>
          <w:szCs w:val="24"/>
        </w:rPr>
        <w:tab/>
      </w:r>
      <w:proofErr w:type="spellStart"/>
      <w:r w:rsidRPr="00462D66">
        <w:rPr>
          <w:b/>
          <w:sz w:val="24"/>
          <w:szCs w:val="24"/>
        </w:rPr>
        <w:t>Farmakokinetiske</w:t>
      </w:r>
      <w:proofErr w:type="spellEnd"/>
      <w:r w:rsidRPr="00462D66">
        <w:rPr>
          <w:b/>
          <w:sz w:val="24"/>
          <w:szCs w:val="24"/>
        </w:rPr>
        <w:t xml:space="preserve"> egenskaber</w:t>
      </w:r>
    </w:p>
    <w:p w:rsidR="007E2200" w:rsidRPr="00462D66" w:rsidRDefault="007E2200" w:rsidP="007E2200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462D66">
        <w:rPr>
          <w:sz w:val="24"/>
          <w:szCs w:val="24"/>
        </w:rPr>
        <w:t>Ascorbinsyres</w:t>
      </w:r>
      <w:proofErr w:type="spellEnd"/>
      <w:r w:rsidRPr="00462D66">
        <w:rPr>
          <w:sz w:val="24"/>
          <w:szCs w:val="24"/>
        </w:rPr>
        <w:t xml:space="preserve"> </w:t>
      </w:r>
      <w:proofErr w:type="spellStart"/>
      <w:r w:rsidRPr="00462D66">
        <w:rPr>
          <w:sz w:val="24"/>
          <w:szCs w:val="24"/>
        </w:rPr>
        <w:t>farmakokinetiske</w:t>
      </w:r>
      <w:proofErr w:type="spellEnd"/>
      <w:r w:rsidRPr="00462D66">
        <w:rPr>
          <w:sz w:val="24"/>
          <w:szCs w:val="24"/>
        </w:rPr>
        <w:t xml:space="preserve"> profil afhænger af dosis og administrationsvej.</w:t>
      </w:r>
    </w:p>
    <w:p w:rsidR="007E2200" w:rsidRPr="00462D66" w:rsidRDefault="007E2200" w:rsidP="007E2200">
      <w:pPr>
        <w:tabs>
          <w:tab w:val="left" w:pos="851"/>
        </w:tabs>
        <w:ind w:left="851"/>
        <w:rPr>
          <w:sz w:val="24"/>
          <w:szCs w:val="24"/>
        </w:rPr>
      </w:pPr>
    </w:p>
    <w:p w:rsidR="007E2200" w:rsidRPr="00462D66" w:rsidRDefault="007E2200" w:rsidP="007E2200">
      <w:pPr>
        <w:tabs>
          <w:tab w:val="left" w:pos="851"/>
        </w:tabs>
        <w:ind w:left="851"/>
        <w:rPr>
          <w:sz w:val="24"/>
          <w:szCs w:val="24"/>
        </w:rPr>
      </w:pPr>
      <w:r w:rsidRPr="00462D66">
        <w:rPr>
          <w:sz w:val="24"/>
          <w:szCs w:val="24"/>
        </w:rPr>
        <w:t xml:space="preserve">Efter </w:t>
      </w:r>
      <w:r w:rsidRPr="00462D66">
        <w:rPr>
          <w:b/>
          <w:sz w:val="24"/>
          <w:szCs w:val="24"/>
        </w:rPr>
        <w:t>oral</w:t>
      </w:r>
      <w:r w:rsidRPr="00462D66">
        <w:rPr>
          <w:sz w:val="24"/>
          <w:szCs w:val="24"/>
        </w:rPr>
        <w:t xml:space="preserve"> administration forekommer dosisafhængig absorption af </w:t>
      </w:r>
      <w:proofErr w:type="spellStart"/>
      <w:r w:rsidRPr="00462D66">
        <w:rPr>
          <w:sz w:val="24"/>
          <w:szCs w:val="24"/>
        </w:rPr>
        <w:t>ascorbinsyre</w:t>
      </w:r>
      <w:proofErr w:type="spellEnd"/>
      <w:r w:rsidRPr="00462D66">
        <w:rPr>
          <w:sz w:val="24"/>
          <w:szCs w:val="24"/>
        </w:rPr>
        <w:t xml:space="preserve"> i tyndtarmen ved hjælp af specifikke Na+</w:t>
      </w:r>
      <w:r w:rsidRPr="00462D66">
        <w:rPr>
          <w:sz w:val="24"/>
          <w:szCs w:val="24"/>
        </w:rPr>
        <w:noBreakHyphen/>
        <w:t>afhængige transportører (SVCT1 and SVCT2) i en energikrævende reaktion.</w:t>
      </w:r>
    </w:p>
    <w:p w:rsidR="007E2200" w:rsidRPr="00462D66" w:rsidRDefault="007E2200" w:rsidP="007E2200">
      <w:pPr>
        <w:tabs>
          <w:tab w:val="left" w:pos="851"/>
        </w:tabs>
        <w:ind w:left="851"/>
        <w:rPr>
          <w:sz w:val="24"/>
          <w:szCs w:val="24"/>
        </w:rPr>
      </w:pPr>
    </w:p>
    <w:p w:rsidR="007E2200" w:rsidRPr="00462D66" w:rsidRDefault="007E2200" w:rsidP="007E2200">
      <w:pPr>
        <w:tabs>
          <w:tab w:val="left" w:pos="851"/>
        </w:tabs>
        <w:ind w:left="851"/>
        <w:rPr>
          <w:sz w:val="24"/>
          <w:szCs w:val="24"/>
        </w:rPr>
      </w:pPr>
      <w:r w:rsidRPr="00462D66">
        <w:rPr>
          <w:sz w:val="24"/>
          <w:szCs w:val="24"/>
        </w:rPr>
        <w:lastRenderedPageBreak/>
        <w:t xml:space="preserve">Indtagelsesmængderne på 200 mg er det optimale, da </w:t>
      </w:r>
      <w:proofErr w:type="spellStart"/>
      <w:r w:rsidRPr="00462D66">
        <w:rPr>
          <w:i/>
          <w:sz w:val="24"/>
          <w:szCs w:val="24"/>
        </w:rPr>
        <w:t>steady</w:t>
      </w:r>
      <w:proofErr w:type="spellEnd"/>
      <w:r w:rsidRPr="00462D66">
        <w:rPr>
          <w:i/>
          <w:sz w:val="24"/>
          <w:szCs w:val="24"/>
        </w:rPr>
        <w:noBreakHyphen/>
      </w:r>
      <w:proofErr w:type="spellStart"/>
      <w:r w:rsidRPr="00462D66">
        <w:rPr>
          <w:i/>
          <w:sz w:val="24"/>
          <w:szCs w:val="24"/>
        </w:rPr>
        <w:t>state</w:t>
      </w:r>
      <w:proofErr w:type="spellEnd"/>
      <w:r w:rsidRPr="00462D66">
        <w:rPr>
          <w:sz w:val="24"/>
          <w:szCs w:val="24"/>
        </w:rPr>
        <w:noBreakHyphen/>
        <w:t>biotilgængelighed er 100 %. Med doser på mere end ét gram er absorptionen mindre end 50 %. Dele af den ikke</w:t>
      </w:r>
      <w:r w:rsidRPr="00462D66">
        <w:rPr>
          <w:sz w:val="24"/>
          <w:szCs w:val="24"/>
        </w:rPr>
        <w:noBreakHyphen/>
        <w:t>absorberede mængde nedbrydes til uorganiske syrer og CO</w:t>
      </w:r>
      <w:r w:rsidRPr="00462D66">
        <w:rPr>
          <w:sz w:val="24"/>
          <w:szCs w:val="24"/>
          <w:vertAlign w:val="subscript"/>
        </w:rPr>
        <w:t>2</w:t>
      </w:r>
      <w:r w:rsidRPr="00462D66">
        <w:rPr>
          <w:sz w:val="24"/>
          <w:szCs w:val="24"/>
        </w:rPr>
        <w:t xml:space="preserve"> af mikrobiomet.</w:t>
      </w:r>
    </w:p>
    <w:p w:rsidR="007E2200" w:rsidRPr="00462D66" w:rsidRDefault="007E2200" w:rsidP="007E2200">
      <w:pPr>
        <w:tabs>
          <w:tab w:val="left" w:pos="851"/>
        </w:tabs>
        <w:ind w:left="851"/>
        <w:rPr>
          <w:sz w:val="24"/>
          <w:szCs w:val="24"/>
        </w:rPr>
      </w:pPr>
    </w:p>
    <w:p w:rsidR="007E2200" w:rsidRPr="00462D66" w:rsidRDefault="007E2200" w:rsidP="007E2200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462D66">
        <w:rPr>
          <w:sz w:val="24"/>
          <w:szCs w:val="24"/>
        </w:rPr>
        <w:t>Renal</w:t>
      </w:r>
      <w:proofErr w:type="spellEnd"/>
      <w:r w:rsidRPr="00462D66">
        <w:rPr>
          <w:sz w:val="24"/>
          <w:szCs w:val="24"/>
        </w:rPr>
        <w:t xml:space="preserve"> udskillelse omfatter </w:t>
      </w:r>
      <w:proofErr w:type="spellStart"/>
      <w:r w:rsidRPr="00462D66">
        <w:rPr>
          <w:sz w:val="24"/>
          <w:szCs w:val="24"/>
        </w:rPr>
        <w:t>glomerulær</w:t>
      </w:r>
      <w:proofErr w:type="spellEnd"/>
      <w:r w:rsidRPr="00462D66">
        <w:rPr>
          <w:sz w:val="24"/>
          <w:szCs w:val="24"/>
        </w:rPr>
        <w:t xml:space="preserve"> filtration efterfulgt af </w:t>
      </w:r>
      <w:proofErr w:type="spellStart"/>
      <w:r w:rsidRPr="00462D66">
        <w:rPr>
          <w:sz w:val="24"/>
          <w:szCs w:val="24"/>
        </w:rPr>
        <w:t>reabsorption</w:t>
      </w:r>
      <w:proofErr w:type="spellEnd"/>
      <w:r w:rsidRPr="00462D66">
        <w:rPr>
          <w:sz w:val="24"/>
          <w:szCs w:val="24"/>
        </w:rPr>
        <w:t xml:space="preserve"> i den proksimale </w:t>
      </w:r>
      <w:proofErr w:type="spellStart"/>
      <w:r w:rsidRPr="00462D66">
        <w:rPr>
          <w:sz w:val="24"/>
          <w:szCs w:val="24"/>
        </w:rPr>
        <w:t>tubulus</w:t>
      </w:r>
      <w:proofErr w:type="spellEnd"/>
      <w:r w:rsidRPr="00462D66">
        <w:rPr>
          <w:sz w:val="24"/>
          <w:szCs w:val="24"/>
        </w:rPr>
        <w:t xml:space="preserve">. Den </w:t>
      </w:r>
      <w:proofErr w:type="spellStart"/>
      <w:r w:rsidRPr="00462D66">
        <w:rPr>
          <w:sz w:val="24"/>
          <w:szCs w:val="24"/>
        </w:rPr>
        <w:t>renale</w:t>
      </w:r>
      <w:proofErr w:type="spellEnd"/>
      <w:r w:rsidRPr="00462D66">
        <w:rPr>
          <w:sz w:val="24"/>
          <w:szCs w:val="24"/>
        </w:rPr>
        <w:t xml:space="preserve"> tærskelværdi er ca. 57 µmol/l (svarende til 1 mg/dl). Under denne plasmakoncentration er genoptagelsen af </w:t>
      </w:r>
      <w:proofErr w:type="spellStart"/>
      <w:r w:rsidRPr="00462D66">
        <w:rPr>
          <w:sz w:val="24"/>
          <w:szCs w:val="24"/>
        </w:rPr>
        <w:t>ascorbat</w:t>
      </w:r>
      <w:proofErr w:type="spellEnd"/>
      <w:r w:rsidRPr="00462D66">
        <w:rPr>
          <w:sz w:val="24"/>
          <w:szCs w:val="24"/>
        </w:rPr>
        <w:t xml:space="preserve"> fra den primære urin komplet. Når plasmakoncentrationen overstiger den </w:t>
      </w:r>
      <w:proofErr w:type="spellStart"/>
      <w:r w:rsidRPr="00462D66">
        <w:rPr>
          <w:sz w:val="24"/>
          <w:szCs w:val="24"/>
        </w:rPr>
        <w:t>renale</w:t>
      </w:r>
      <w:proofErr w:type="spellEnd"/>
      <w:r w:rsidRPr="00462D66">
        <w:rPr>
          <w:sz w:val="24"/>
          <w:szCs w:val="24"/>
        </w:rPr>
        <w:t xml:space="preserve"> tærskelværdi, stiger den mængde </w:t>
      </w:r>
      <w:proofErr w:type="spellStart"/>
      <w:r w:rsidRPr="00462D66">
        <w:rPr>
          <w:sz w:val="24"/>
          <w:szCs w:val="24"/>
        </w:rPr>
        <w:t>ascorbat</w:t>
      </w:r>
      <w:proofErr w:type="spellEnd"/>
      <w:r w:rsidRPr="00462D66">
        <w:rPr>
          <w:sz w:val="24"/>
          <w:szCs w:val="24"/>
        </w:rPr>
        <w:t>, der går tabt i urinen.</w:t>
      </w:r>
    </w:p>
    <w:p w:rsidR="007E2200" w:rsidRPr="00462D66" w:rsidRDefault="007E2200" w:rsidP="007E2200">
      <w:pPr>
        <w:tabs>
          <w:tab w:val="left" w:pos="851"/>
        </w:tabs>
        <w:ind w:left="851"/>
        <w:rPr>
          <w:sz w:val="24"/>
          <w:szCs w:val="24"/>
        </w:rPr>
      </w:pPr>
    </w:p>
    <w:p w:rsidR="007E2200" w:rsidRPr="00462D66" w:rsidRDefault="007E2200" w:rsidP="007E2200">
      <w:pPr>
        <w:tabs>
          <w:tab w:val="left" w:pos="851"/>
        </w:tabs>
        <w:ind w:left="851"/>
        <w:rPr>
          <w:sz w:val="24"/>
          <w:szCs w:val="24"/>
        </w:rPr>
      </w:pPr>
      <w:r w:rsidRPr="00462D66">
        <w:rPr>
          <w:sz w:val="24"/>
          <w:szCs w:val="24"/>
        </w:rPr>
        <w:t xml:space="preserve">Oral anvendelse af 1 gram </w:t>
      </w:r>
      <w:proofErr w:type="spellStart"/>
      <w:r w:rsidRPr="00462D66">
        <w:rPr>
          <w:sz w:val="24"/>
          <w:szCs w:val="24"/>
        </w:rPr>
        <w:t>ascorbinsyre</w:t>
      </w:r>
      <w:proofErr w:type="spellEnd"/>
      <w:r w:rsidRPr="00462D66">
        <w:rPr>
          <w:sz w:val="24"/>
          <w:szCs w:val="24"/>
        </w:rPr>
        <w:t xml:space="preserve"> medfører peak</w:t>
      </w:r>
      <w:r w:rsidRPr="00462D66">
        <w:rPr>
          <w:sz w:val="24"/>
          <w:szCs w:val="24"/>
        </w:rPr>
        <w:noBreakHyphen/>
        <w:t>plasmakoncentrationer på ca. 90 µmol/l (svarende til 1,6 mg/dl). Ekstremt høje orale doser (3 g C</w:t>
      </w:r>
      <w:r w:rsidRPr="00462D66">
        <w:rPr>
          <w:sz w:val="24"/>
          <w:szCs w:val="24"/>
        </w:rPr>
        <w:noBreakHyphen/>
        <w:t>vitamin 6 gange om dagen) giver plasmaniveauer på 220 µmol/l (svarende til 3,9 mg/dl) inden for kort tid.</w:t>
      </w:r>
    </w:p>
    <w:p w:rsidR="007E2200" w:rsidRPr="00462D66" w:rsidRDefault="007E2200" w:rsidP="007E2200">
      <w:pPr>
        <w:tabs>
          <w:tab w:val="left" w:pos="851"/>
        </w:tabs>
        <w:ind w:left="851"/>
        <w:rPr>
          <w:sz w:val="24"/>
          <w:szCs w:val="24"/>
        </w:rPr>
      </w:pPr>
    </w:p>
    <w:p w:rsidR="007E2200" w:rsidRPr="00462D66" w:rsidRDefault="007E2200" w:rsidP="007E2200">
      <w:pPr>
        <w:tabs>
          <w:tab w:val="left" w:pos="851"/>
        </w:tabs>
        <w:ind w:left="851"/>
        <w:rPr>
          <w:sz w:val="24"/>
          <w:szCs w:val="24"/>
        </w:rPr>
      </w:pPr>
      <w:r w:rsidRPr="00462D66">
        <w:rPr>
          <w:b/>
          <w:sz w:val="24"/>
          <w:szCs w:val="24"/>
        </w:rPr>
        <w:t xml:space="preserve">Parenteral </w:t>
      </w:r>
      <w:r w:rsidRPr="00462D66">
        <w:rPr>
          <w:sz w:val="24"/>
          <w:szCs w:val="24"/>
        </w:rPr>
        <w:t xml:space="preserve">anvendelse af </w:t>
      </w:r>
      <w:proofErr w:type="spellStart"/>
      <w:r w:rsidRPr="00462D66">
        <w:rPr>
          <w:sz w:val="24"/>
          <w:szCs w:val="24"/>
        </w:rPr>
        <w:t>ascorbinsyre</w:t>
      </w:r>
      <w:proofErr w:type="spellEnd"/>
      <w:r w:rsidRPr="00462D66">
        <w:rPr>
          <w:sz w:val="24"/>
          <w:szCs w:val="24"/>
        </w:rPr>
        <w:t xml:space="preserve"> medfører betydeligt højere plasmaniveauer (&gt; 2,3 mmol/l svarende til 40 mg/dl efter infusion af 7.5 g </w:t>
      </w:r>
      <w:proofErr w:type="spellStart"/>
      <w:r w:rsidRPr="00462D66">
        <w:rPr>
          <w:sz w:val="24"/>
          <w:szCs w:val="24"/>
        </w:rPr>
        <w:t>ascorbinsyre</w:t>
      </w:r>
      <w:proofErr w:type="spellEnd"/>
      <w:r w:rsidRPr="00462D66">
        <w:rPr>
          <w:sz w:val="24"/>
          <w:szCs w:val="24"/>
        </w:rPr>
        <w:t>/50 ml). Plasmahalveringstiden efter højdosis</w:t>
      </w:r>
      <w:r w:rsidRPr="00462D66">
        <w:rPr>
          <w:sz w:val="24"/>
          <w:szCs w:val="24"/>
        </w:rPr>
        <w:noBreakHyphen/>
        <w:t xml:space="preserve">infusion er, på grund af den </w:t>
      </w:r>
      <w:proofErr w:type="spellStart"/>
      <w:r w:rsidRPr="00462D66">
        <w:rPr>
          <w:sz w:val="24"/>
          <w:szCs w:val="24"/>
        </w:rPr>
        <w:t>renale</w:t>
      </w:r>
      <w:proofErr w:type="spellEnd"/>
      <w:r w:rsidRPr="00462D66">
        <w:rPr>
          <w:sz w:val="24"/>
          <w:szCs w:val="24"/>
        </w:rPr>
        <w:t xml:space="preserve"> </w:t>
      </w:r>
      <w:proofErr w:type="spellStart"/>
      <w:r w:rsidRPr="00462D66">
        <w:rPr>
          <w:sz w:val="24"/>
          <w:szCs w:val="24"/>
        </w:rPr>
        <w:t>clearance</w:t>
      </w:r>
      <w:proofErr w:type="spellEnd"/>
      <w:r w:rsidRPr="00462D66">
        <w:rPr>
          <w:sz w:val="24"/>
          <w:szCs w:val="24"/>
        </w:rPr>
        <w:t>, mellem 1,5 og 2,5 timer hos raske frivillige.</w:t>
      </w:r>
    </w:p>
    <w:p w:rsidR="007E2200" w:rsidRPr="00462D66" w:rsidRDefault="007E2200" w:rsidP="007E2200">
      <w:pPr>
        <w:tabs>
          <w:tab w:val="left" w:pos="851"/>
        </w:tabs>
        <w:ind w:left="851"/>
        <w:rPr>
          <w:sz w:val="24"/>
          <w:szCs w:val="24"/>
        </w:rPr>
      </w:pPr>
    </w:p>
    <w:p w:rsidR="007E2200" w:rsidRPr="00462D66" w:rsidRDefault="007E2200" w:rsidP="007E2200">
      <w:pPr>
        <w:tabs>
          <w:tab w:val="left" w:pos="851"/>
        </w:tabs>
        <w:ind w:left="851"/>
        <w:rPr>
          <w:sz w:val="24"/>
          <w:szCs w:val="24"/>
        </w:rPr>
      </w:pPr>
      <w:r w:rsidRPr="00462D66">
        <w:rPr>
          <w:sz w:val="24"/>
          <w:szCs w:val="24"/>
        </w:rPr>
        <w:t xml:space="preserve">Cellulær optagelse af </w:t>
      </w:r>
      <w:proofErr w:type="spellStart"/>
      <w:r w:rsidRPr="00462D66">
        <w:rPr>
          <w:sz w:val="24"/>
          <w:szCs w:val="24"/>
        </w:rPr>
        <w:t>ascorbat</w:t>
      </w:r>
      <w:proofErr w:type="spellEnd"/>
      <w:r w:rsidRPr="00462D66">
        <w:rPr>
          <w:sz w:val="24"/>
          <w:szCs w:val="24"/>
        </w:rPr>
        <w:t xml:space="preserve"> opnås i kroppens væv og i tyktarmens lumen af samme natrium</w:t>
      </w:r>
      <w:r w:rsidRPr="00462D66">
        <w:rPr>
          <w:sz w:val="24"/>
          <w:szCs w:val="24"/>
        </w:rPr>
        <w:noBreakHyphen/>
        <w:t xml:space="preserve">afhængige </w:t>
      </w:r>
      <w:proofErr w:type="spellStart"/>
      <w:r w:rsidRPr="00462D66">
        <w:rPr>
          <w:sz w:val="24"/>
          <w:szCs w:val="24"/>
        </w:rPr>
        <w:t>ascorbattransportører</w:t>
      </w:r>
      <w:proofErr w:type="spellEnd"/>
      <w:r w:rsidRPr="00462D66">
        <w:rPr>
          <w:sz w:val="24"/>
          <w:szCs w:val="24"/>
        </w:rPr>
        <w:t xml:space="preserve"> SVCT1 eller SVCT2 i en energi</w:t>
      </w:r>
      <w:r w:rsidRPr="00462D66">
        <w:rPr>
          <w:sz w:val="24"/>
          <w:szCs w:val="24"/>
        </w:rPr>
        <w:noBreakHyphen/>
        <w:t xml:space="preserve">afhængig proces. Vævenes evne til at optage </w:t>
      </w:r>
      <w:proofErr w:type="spellStart"/>
      <w:r w:rsidRPr="00462D66">
        <w:rPr>
          <w:sz w:val="24"/>
          <w:szCs w:val="24"/>
        </w:rPr>
        <w:t>ascorbat</w:t>
      </w:r>
      <w:proofErr w:type="spellEnd"/>
      <w:r w:rsidRPr="00462D66">
        <w:rPr>
          <w:sz w:val="24"/>
          <w:szCs w:val="24"/>
        </w:rPr>
        <w:t xml:space="preserve"> afhænger af den intracellulære transportørkoncentration, der varierer i forskellige vævstyper. En yderligere transportmekanisme er optagelsen af oxideret </w:t>
      </w:r>
      <w:proofErr w:type="spellStart"/>
      <w:r w:rsidRPr="00462D66">
        <w:rPr>
          <w:sz w:val="24"/>
          <w:szCs w:val="24"/>
        </w:rPr>
        <w:t>ascorbat</w:t>
      </w:r>
      <w:proofErr w:type="spellEnd"/>
      <w:r w:rsidRPr="00462D66">
        <w:rPr>
          <w:sz w:val="24"/>
          <w:szCs w:val="24"/>
        </w:rPr>
        <w:t xml:space="preserve"> (</w:t>
      </w:r>
      <w:proofErr w:type="spellStart"/>
      <w:r w:rsidRPr="00462D66">
        <w:rPr>
          <w:sz w:val="24"/>
          <w:szCs w:val="24"/>
        </w:rPr>
        <w:t>dehydroascorbat</w:t>
      </w:r>
      <w:proofErr w:type="spellEnd"/>
      <w:r w:rsidRPr="00462D66">
        <w:rPr>
          <w:sz w:val="24"/>
          <w:szCs w:val="24"/>
        </w:rPr>
        <w:t xml:space="preserve">) via </w:t>
      </w:r>
      <w:proofErr w:type="spellStart"/>
      <w:r w:rsidRPr="00462D66">
        <w:rPr>
          <w:sz w:val="24"/>
          <w:szCs w:val="24"/>
        </w:rPr>
        <w:t>glucosetransportører</w:t>
      </w:r>
      <w:proofErr w:type="spellEnd"/>
      <w:r w:rsidRPr="00462D66">
        <w:rPr>
          <w:sz w:val="24"/>
          <w:szCs w:val="24"/>
        </w:rPr>
        <w:t xml:space="preserve"> (</w:t>
      </w:r>
      <w:proofErr w:type="spellStart"/>
      <w:r w:rsidRPr="00462D66">
        <w:rPr>
          <w:sz w:val="24"/>
          <w:szCs w:val="24"/>
        </w:rPr>
        <w:t>GLUT'er</w:t>
      </w:r>
      <w:proofErr w:type="spellEnd"/>
      <w:r w:rsidRPr="00462D66">
        <w:rPr>
          <w:sz w:val="24"/>
          <w:szCs w:val="24"/>
        </w:rPr>
        <w:t xml:space="preserve">). Denne proces går hurtigere end den aktive </w:t>
      </w:r>
      <w:proofErr w:type="spellStart"/>
      <w:r w:rsidRPr="00462D66">
        <w:rPr>
          <w:sz w:val="24"/>
          <w:szCs w:val="24"/>
        </w:rPr>
        <w:t>ascorbatoptagelse</w:t>
      </w:r>
      <w:proofErr w:type="spellEnd"/>
      <w:r w:rsidRPr="00462D66">
        <w:rPr>
          <w:sz w:val="24"/>
          <w:szCs w:val="24"/>
        </w:rPr>
        <w:t xml:space="preserve"> og øger den </w:t>
      </w:r>
      <w:proofErr w:type="spellStart"/>
      <w:r w:rsidRPr="00462D66">
        <w:rPr>
          <w:sz w:val="24"/>
          <w:szCs w:val="24"/>
        </w:rPr>
        <w:t>glutathion</w:t>
      </w:r>
      <w:proofErr w:type="spellEnd"/>
      <w:r w:rsidRPr="00462D66">
        <w:rPr>
          <w:sz w:val="24"/>
          <w:szCs w:val="24"/>
        </w:rPr>
        <w:noBreakHyphen/>
        <w:t>afhængige regeneration inden i cellen.</w:t>
      </w:r>
    </w:p>
    <w:p w:rsidR="009260DE" w:rsidRPr="00462D6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462D6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62D66">
        <w:rPr>
          <w:b/>
          <w:sz w:val="24"/>
          <w:szCs w:val="24"/>
        </w:rPr>
        <w:t>5.3</w:t>
      </w:r>
      <w:r w:rsidRPr="00462D66">
        <w:rPr>
          <w:b/>
          <w:sz w:val="24"/>
          <w:szCs w:val="24"/>
        </w:rPr>
        <w:tab/>
      </w:r>
      <w:r w:rsidR="00C71A13">
        <w:rPr>
          <w:b/>
          <w:sz w:val="24"/>
          <w:szCs w:val="24"/>
        </w:rPr>
        <w:t>Non-</w:t>
      </w:r>
      <w:r w:rsidRPr="00462D66">
        <w:rPr>
          <w:b/>
          <w:sz w:val="24"/>
          <w:szCs w:val="24"/>
        </w:rPr>
        <w:t>kliniske sikkerhedsdata</w:t>
      </w:r>
    </w:p>
    <w:p w:rsidR="007E2200" w:rsidRPr="00462D66" w:rsidRDefault="007E2200" w:rsidP="007E2200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462D66">
        <w:rPr>
          <w:sz w:val="24"/>
          <w:szCs w:val="24"/>
        </w:rPr>
        <w:t>Ascorbinsyre</w:t>
      </w:r>
      <w:proofErr w:type="spellEnd"/>
      <w:r w:rsidRPr="00462D66">
        <w:rPr>
          <w:sz w:val="24"/>
          <w:szCs w:val="24"/>
        </w:rPr>
        <w:t xml:space="preserve"> i doser på op til 1 g/kg kropsvægt har ikke </w:t>
      </w:r>
      <w:proofErr w:type="spellStart"/>
      <w:r w:rsidRPr="00462D66">
        <w:rPr>
          <w:sz w:val="24"/>
          <w:szCs w:val="24"/>
        </w:rPr>
        <w:t>teratogen</w:t>
      </w:r>
      <w:proofErr w:type="spellEnd"/>
      <w:r w:rsidRPr="00462D66">
        <w:rPr>
          <w:sz w:val="24"/>
          <w:szCs w:val="24"/>
        </w:rPr>
        <w:t xml:space="preserve"> eller </w:t>
      </w:r>
      <w:proofErr w:type="spellStart"/>
      <w:r w:rsidRPr="00462D66">
        <w:rPr>
          <w:sz w:val="24"/>
          <w:szCs w:val="24"/>
        </w:rPr>
        <w:t>føtotoksisk</w:t>
      </w:r>
      <w:proofErr w:type="spellEnd"/>
      <w:r w:rsidRPr="00462D66">
        <w:rPr>
          <w:sz w:val="24"/>
          <w:szCs w:val="24"/>
        </w:rPr>
        <w:t xml:space="preserve"> virkning hos rotter og mus. Den akutte og subkroniske LD</w:t>
      </w:r>
      <w:r w:rsidRPr="00462D66">
        <w:rPr>
          <w:sz w:val="24"/>
          <w:szCs w:val="24"/>
          <w:vertAlign w:val="subscript"/>
        </w:rPr>
        <w:t>50</w:t>
      </w:r>
      <w:r w:rsidRPr="00462D66">
        <w:rPr>
          <w:sz w:val="24"/>
          <w:szCs w:val="24"/>
        </w:rPr>
        <w:t xml:space="preserve"> efter intravenøs administration er mere end 200 mg/kg kropsvægt hos rotter, marsvin og hunde. </w:t>
      </w:r>
      <w:proofErr w:type="spellStart"/>
      <w:r w:rsidRPr="00462D66">
        <w:rPr>
          <w:sz w:val="24"/>
          <w:szCs w:val="24"/>
        </w:rPr>
        <w:t>Ascorbinsyre</w:t>
      </w:r>
      <w:proofErr w:type="spellEnd"/>
      <w:r w:rsidRPr="00462D66">
        <w:rPr>
          <w:sz w:val="24"/>
          <w:szCs w:val="24"/>
        </w:rPr>
        <w:t xml:space="preserve"> udskilles i modermælken og passerer placentabarrieren ved simpel diffusion.</w:t>
      </w:r>
    </w:p>
    <w:p w:rsidR="007E2200" w:rsidRPr="00462D66" w:rsidRDefault="007E2200" w:rsidP="007E2200">
      <w:pPr>
        <w:tabs>
          <w:tab w:val="left" w:pos="851"/>
        </w:tabs>
        <w:ind w:left="851"/>
        <w:rPr>
          <w:sz w:val="24"/>
          <w:szCs w:val="24"/>
        </w:rPr>
      </w:pPr>
      <w:r w:rsidRPr="00462D66">
        <w:rPr>
          <w:sz w:val="24"/>
          <w:szCs w:val="24"/>
        </w:rPr>
        <w:t xml:space="preserve">Anvendelse af højere doser </w:t>
      </w:r>
      <w:proofErr w:type="spellStart"/>
      <w:r w:rsidRPr="00462D66">
        <w:rPr>
          <w:sz w:val="24"/>
          <w:szCs w:val="24"/>
        </w:rPr>
        <w:t>ascorbinsyre</w:t>
      </w:r>
      <w:proofErr w:type="spellEnd"/>
      <w:r w:rsidRPr="00462D66">
        <w:rPr>
          <w:sz w:val="24"/>
          <w:szCs w:val="24"/>
        </w:rPr>
        <w:t xml:space="preserve"> under graviditeten kan medføre en højere disposition for udvikling af skørbug hos afkommet.</w:t>
      </w:r>
    </w:p>
    <w:p w:rsidR="009260DE" w:rsidRPr="00462D6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462D6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462D6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62D66">
        <w:rPr>
          <w:b/>
          <w:sz w:val="24"/>
          <w:szCs w:val="24"/>
        </w:rPr>
        <w:t>6.</w:t>
      </w:r>
      <w:r w:rsidRPr="00462D66">
        <w:rPr>
          <w:b/>
          <w:sz w:val="24"/>
          <w:szCs w:val="24"/>
        </w:rPr>
        <w:tab/>
        <w:t>FARMACEUTISKE OPLYSNINGER</w:t>
      </w:r>
    </w:p>
    <w:p w:rsidR="009260DE" w:rsidRPr="00462D6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462D6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62D66">
        <w:rPr>
          <w:b/>
          <w:sz w:val="24"/>
          <w:szCs w:val="24"/>
        </w:rPr>
        <w:t>6.1</w:t>
      </w:r>
      <w:r w:rsidRPr="00462D66">
        <w:rPr>
          <w:b/>
          <w:sz w:val="24"/>
          <w:szCs w:val="24"/>
        </w:rPr>
        <w:tab/>
        <w:t>Hjælpestoffer</w:t>
      </w:r>
    </w:p>
    <w:p w:rsidR="007E2200" w:rsidRPr="00462D66" w:rsidRDefault="007E2200" w:rsidP="007E2200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462D66">
        <w:rPr>
          <w:sz w:val="24"/>
          <w:szCs w:val="24"/>
        </w:rPr>
        <w:t>Natriumhydrogencarbonat</w:t>
      </w:r>
      <w:proofErr w:type="spellEnd"/>
    </w:p>
    <w:p w:rsidR="007E2200" w:rsidRPr="00462D66" w:rsidRDefault="007E2200" w:rsidP="007E2200">
      <w:pPr>
        <w:tabs>
          <w:tab w:val="left" w:pos="851"/>
        </w:tabs>
        <w:ind w:left="851"/>
        <w:rPr>
          <w:sz w:val="24"/>
          <w:szCs w:val="24"/>
        </w:rPr>
      </w:pPr>
      <w:r w:rsidRPr="00462D66">
        <w:rPr>
          <w:sz w:val="24"/>
          <w:szCs w:val="24"/>
        </w:rPr>
        <w:t>Vand til injektionsvæsker</w:t>
      </w:r>
    </w:p>
    <w:p w:rsidR="00066FD5" w:rsidRDefault="00066FD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260DE" w:rsidRPr="00462D6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462D6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62D66">
        <w:rPr>
          <w:b/>
          <w:sz w:val="24"/>
          <w:szCs w:val="24"/>
        </w:rPr>
        <w:t>6.2</w:t>
      </w:r>
      <w:r w:rsidRPr="00462D66">
        <w:rPr>
          <w:b/>
          <w:sz w:val="24"/>
          <w:szCs w:val="24"/>
        </w:rPr>
        <w:tab/>
        <w:t>Uforligeligheder</w:t>
      </w:r>
    </w:p>
    <w:p w:rsidR="007E2200" w:rsidRPr="00462D66" w:rsidRDefault="007E2200" w:rsidP="007E2200">
      <w:pPr>
        <w:tabs>
          <w:tab w:val="left" w:pos="851"/>
        </w:tabs>
        <w:ind w:left="851"/>
        <w:rPr>
          <w:sz w:val="24"/>
          <w:szCs w:val="24"/>
        </w:rPr>
      </w:pPr>
      <w:r w:rsidRPr="00462D66">
        <w:rPr>
          <w:sz w:val="24"/>
          <w:szCs w:val="24"/>
        </w:rPr>
        <w:t>Det bør undgås at blande dette lægemiddel med reduktionsfølsomme stoffer.</w:t>
      </w:r>
    </w:p>
    <w:p w:rsidR="00066FD5" w:rsidRDefault="00066FD5" w:rsidP="007E2200">
      <w:pPr>
        <w:tabs>
          <w:tab w:val="left" w:pos="851"/>
        </w:tabs>
        <w:ind w:left="851"/>
        <w:rPr>
          <w:sz w:val="24"/>
          <w:szCs w:val="24"/>
        </w:rPr>
      </w:pPr>
    </w:p>
    <w:p w:rsidR="007E2200" w:rsidRPr="00462D66" w:rsidRDefault="007E2200" w:rsidP="007E2200">
      <w:pPr>
        <w:tabs>
          <w:tab w:val="left" w:pos="851"/>
        </w:tabs>
        <w:ind w:left="851"/>
        <w:rPr>
          <w:sz w:val="24"/>
          <w:szCs w:val="24"/>
        </w:rPr>
      </w:pPr>
      <w:r w:rsidRPr="00462D66">
        <w:rPr>
          <w:sz w:val="24"/>
          <w:szCs w:val="24"/>
        </w:rPr>
        <w:t>Dette lægemiddel må ikke blandes med andre lægemidler end dem, der er anført under pkt. 6.6.</w:t>
      </w:r>
    </w:p>
    <w:p w:rsidR="009260DE" w:rsidRPr="00462D6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462D6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62D66">
        <w:rPr>
          <w:b/>
          <w:sz w:val="24"/>
          <w:szCs w:val="24"/>
        </w:rPr>
        <w:t>6.3</w:t>
      </w:r>
      <w:r w:rsidRPr="00462D66">
        <w:rPr>
          <w:b/>
          <w:sz w:val="24"/>
          <w:szCs w:val="24"/>
        </w:rPr>
        <w:tab/>
        <w:t>Opbevaringstid</w:t>
      </w:r>
    </w:p>
    <w:p w:rsidR="007E2200" w:rsidRDefault="007E2200" w:rsidP="007E2200">
      <w:pPr>
        <w:tabs>
          <w:tab w:val="left" w:pos="851"/>
        </w:tabs>
        <w:ind w:left="851"/>
        <w:rPr>
          <w:sz w:val="24"/>
          <w:szCs w:val="24"/>
        </w:rPr>
      </w:pPr>
      <w:r w:rsidRPr="00462D66">
        <w:rPr>
          <w:sz w:val="24"/>
          <w:szCs w:val="24"/>
        </w:rPr>
        <w:t>2 år.</w:t>
      </w:r>
    </w:p>
    <w:p w:rsidR="00066FD5" w:rsidRPr="00462D66" w:rsidRDefault="00066FD5" w:rsidP="007E2200">
      <w:pPr>
        <w:tabs>
          <w:tab w:val="left" w:pos="851"/>
        </w:tabs>
        <w:ind w:left="851"/>
        <w:rPr>
          <w:sz w:val="24"/>
          <w:szCs w:val="24"/>
          <w:lang w:eastAsia="da-DK"/>
        </w:rPr>
      </w:pPr>
    </w:p>
    <w:p w:rsidR="007E2200" w:rsidRPr="00462D66" w:rsidRDefault="007E2200" w:rsidP="007E2200">
      <w:pPr>
        <w:tabs>
          <w:tab w:val="left" w:pos="851"/>
        </w:tabs>
        <w:ind w:left="851"/>
        <w:rPr>
          <w:sz w:val="24"/>
          <w:szCs w:val="24"/>
        </w:rPr>
      </w:pPr>
      <w:r w:rsidRPr="00462D66">
        <w:rPr>
          <w:sz w:val="24"/>
          <w:szCs w:val="24"/>
        </w:rPr>
        <w:t xml:space="preserve">Det </w:t>
      </w:r>
      <w:proofErr w:type="spellStart"/>
      <w:r w:rsidRPr="00462D66">
        <w:rPr>
          <w:sz w:val="24"/>
          <w:szCs w:val="24"/>
        </w:rPr>
        <w:t>rekonstituerede</w:t>
      </w:r>
      <w:proofErr w:type="spellEnd"/>
      <w:r w:rsidRPr="00462D66">
        <w:rPr>
          <w:sz w:val="24"/>
          <w:szCs w:val="24"/>
        </w:rPr>
        <w:t xml:space="preserve">/fortyndede lægemiddel skal anvendes straks efter </w:t>
      </w:r>
      <w:proofErr w:type="spellStart"/>
      <w:r w:rsidRPr="00462D66">
        <w:rPr>
          <w:sz w:val="24"/>
          <w:szCs w:val="24"/>
        </w:rPr>
        <w:t>rekonstitution</w:t>
      </w:r>
      <w:proofErr w:type="spellEnd"/>
      <w:r w:rsidRPr="00462D66">
        <w:rPr>
          <w:sz w:val="24"/>
          <w:szCs w:val="24"/>
        </w:rPr>
        <w:t>/fortynding.</w:t>
      </w:r>
    </w:p>
    <w:p w:rsidR="009260DE" w:rsidRPr="00462D6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462D6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62D66">
        <w:rPr>
          <w:b/>
          <w:sz w:val="24"/>
          <w:szCs w:val="24"/>
        </w:rPr>
        <w:t>6.4</w:t>
      </w:r>
      <w:r w:rsidRPr="00462D66">
        <w:rPr>
          <w:b/>
          <w:sz w:val="24"/>
          <w:szCs w:val="24"/>
        </w:rPr>
        <w:tab/>
        <w:t>Særlige opbevaringsforhold</w:t>
      </w:r>
    </w:p>
    <w:p w:rsidR="007E2200" w:rsidRPr="00462D66" w:rsidRDefault="007E2200" w:rsidP="007E2200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462D66">
        <w:rPr>
          <w:sz w:val="24"/>
          <w:szCs w:val="24"/>
        </w:rPr>
        <w:t>Må ikke opbevares ved temperaturer over 25 </w:t>
      </w:r>
      <w:r w:rsidR="00066FD5">
        <w:rPr>
          <w:sz w:val="24"/>
          <w:szCs w:val="24"/>
        </w:rPr>
        <w:t>℃</w:t>
      </w:r>
      <w:r w:rsidRPr="00462D66">
        <w:rPr>
          <w:sz w:val="24"/>
          <w:szCs w:val="24"/>
        </w:rPr>
        <w:t>.</w:t>
      </w:r>
    </w:p>
    <w:p w:rsidR="007E2200" w:rsidRPr="00462D66" w:rsidRDefault="007E2200" w:rsidP="007E2200">
      <w:pPr>
        <w:tabs>
          <w:tab w:val="left" w:pos="851"/>
        </w:tabs>
        <w:ind w:left="851"/>
        <w:rPr>
          <w:sz w:val="24"/>
          <w:szCs w:val="24"/>
        </w:rPr>
      </w:pPr>
      <w:r w:rsidRPr="00462D66">
        <w:rPr>
          <w:sz w:val="24"/>
          <w:szCs w:val="24"/>
        </w:rPr>
        <w:t>Opbevar hætteglasset i den ydre karton for at beskytte mod lys.</w:t>
      </w:r>
    </w:p>
    <w:p w:rsidR="009260DE" w:rsidRPr="00462D6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462D6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62D66">
        <w:rPr>
          <w:b/>
          <w:sz w:val="24"/>
          <w:szCs w:val="24"/>
        </w:rPr>
        <w:t>6.5</w:t>
      </w:r>
      <w:r w:rsidRPr="00462D66">
        <w:rPr>
          <w:b/>
          <w:sz w:val="24"/>
          <w:szCs w:val="24"/>
        </w:rPr>
        <w:tab/>
        <w:t>Emballagetype og pakningsstørrelser</w:t>
      </w:r>
    </w:p>
    <w:p w:rsidR="003A1181" w:rsidRDefault="007E2200" w:rsidP="007E2200">
      <w:pPr>
        <w:tabs>
          <w:tab w:val="left" w:pos="851"/>
        </w:tabs>
        <w:ind w:left="851"/>
        <w:rPr>
          <w:sz w:val="24"/>
          <w:szCs w:val="24"/>
        </w:rPr>
      </w:pPr>
      <w:r w:rsidRPr="00462D66">
        <w:rPr>
          <w:sz w:val="24"/>
          <w:szCs w:val="24"/>
        </w:rPr>
        <w:t>50 ml ravfarvet injektionshætteglas (type II) med en prop (</w:t>
      </w:r>
      <w:proofErr w:type="spellStart"/>
      <w:r w:rsidR="00C71A13" w:rsidRPr="00C71A13">
        <w:rPr>
          <w:sz w:val="24"/>
          <w:szCs w:val="24"/>
        </w:rPr>
        <w:t>brombutylgummi</w:t>
      </w:r>
      <w:proofErr w:type="spellEnd"/>
      <w:r w:rsidRPr="00462D66">
        <w:rPr>
          <w:sz w:val="24"/>
          <w:szCs w:val="24"/>
        </w:rPr>
        <w:t>) og med en hætte (aluminium), der kan vippes op</w:t>
      </w:r>
      <w:r w:rsidR="003A1181">
        <w:rPr>
          <w:sz w:val="24"/>
          <w:szCs w:val="24"/>
        </w:rPr>
        <w:t>,</w:t>
      </w:r>
      <w:r w:rsidR="003A1181" w:rsidRPr="003A1181">
        <w:rPr>
          <w:sz w:val="24"/>
          <w:szCs w:val="24"/>
        </w:rPr>
        <w:t xml:space="preserve"> </w:t>
      </w:r>
      <w:r w:rsidR="003A1181" w:rsidRPr="00462D66">
        <w:rPr>
          <w:sz w:val="24"/>
          <w:szCs w:val="24"/>
        </w:rPr>
        <w:t>og det indeholder 7,5 g af det aktive stof</w:t>
      </w:r>
      <w:r w:rsidR="00D421D2">
        <w:rPr>
          <w:sz w:val="24"/>
          <w:szCs w:val="24"/>
        </w:rPr>
        <w:t xml:space="preserve"> </w:t>
      </w:r>
      <w:proofErr w:type="spellStart"/>
      <w:r w:rsidR="00D421D2" w:rsidRPr="00462D66">
        <w:rPr>
          <w:sz w:val="24"/>
          <w:szCs w:val="24"/>
        </w:rPr>
        <w:t>ascorbinsyre</w:t>
      </w:r>
      <w:proofErr w:type="spellEnd"/>
      <w:r w:rsidR="003A1181">
        <w:rPr>
          <w:sz w:val="24"/>
          <w:szCs w:val="24"/>
        </w:rPr>
        <w:t>.</w:t>
      </w:r>
    </w:p>
    <w:p w:rsidR="003A1181" w:rsidRDefault="003A1181" w:rsidP="007E2200">
      <w:pPr>
        <w:tabs>
          <w:tab w:val="left" w:pos="851"/>
        </w:tabs>
        <w:ind w:left="851"/>
        <w:rPr>
          <w:sz w:val="24"/>
          <w:szCs w:val="24"/>
        </w:rPr>
      </w:pPr>
    </w:p>
    <w:p w:rsidR="007E2200" w:rsidRDefault="003A1181" w:rsidP="007E2200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Pakningsstørrelser: 1 hætteglas</w:t>
      </w:r>
      <w:r w:rsidR="00264DAF">
        <w:rPr>
          <w:sz w:val="24"/>
          <w:szCs w:val="24"/>
        </w:rPr>
        <w:t>.</w:t>
      </w:r>
    </w:p>
    <w:p w:rsidR="00D421D2" w:rsidRPr="00462D66" w:rsidRDefault="00D421D2" w:rsidP="007E2200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Ikke alle pakningsstørrelser er nødvendigvis markedsført.</w:t>
      </w:r>
    </w:p>
    <w:p w:rsidR="009260DE" w:rsidRPr="00462D6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462D6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62D66">
        <w:rPr>
          <w:b/>
          <w:sz w:val="24"/>
          <w:szCs w:val="24"/>
        </w:rPr>
        <w:t>6.6</w:t>
      </w:r>
      <w:r w:rsidRPr="00462D66">
        <w:rPr>
          <w:b/>
          <w:sz w:val="24"/>
          <w:szCs w:val="24"/>
        </w:rPr>
        <w:tab/>
        <w:t xml:space="preserve">Regler for </w:t>
      </w:r>
      <w:r w:rsidR="00C71A13">
        <w:rPr>
          <w:b/>
          <w:sz w:val="24"/>
          <w:szCs w:val="24"/>
        </w:rPr>
        <w:t>bortskaffelse</w:t>
      </w:r>
      <w:r w:rsidRPr="00462D66">
        <w:rPr>
          <w:b/>
          <w:sz w:val="24"/>
          <w:szCs w:val="24"/>
        </w:rPr>
        <w:t xml:space="preserve"> og anden håndtering</w:t>
      </w:r>
    </w:p>
    <w:p w:rsidR="00462D66" w:rsidRDefault="00462D66" w:rsidP="00462D66">
      <w:pPr>
        <w:tabs>
          <w:tab w:val="left" w:pos="851"/>
        </w:tabs>
        <w:ind w:left="851"/>
        <w:rPr>
          <w:i/>
          <w:sz w:val="24"/>
          <w:szCs w:val="24"/>
          <w:u w:val="single"/>
        </w:rPr>
      </w:pPr>
    </w:p>
    <w:p w:rsidR="00462D66" w:rsidRPr="00462D66" w:rsidRDefault="00462D66" w:rsidP="00462D66">
      <w:pPr>
        <w:tabs>
          <w:tab w:val="left" w:pos="851"/>
        </w:tabs>
        <w:ind w:left="851"/>
        <w:rPr>
          <w:sz w:val="24"/>
          <w:szCs w:val="24"/>
          <w:u w:val="single"/>
          <w:lang w:eastAsia="da-DK"/>
        </w:rPr>
      </w:pPr>
      <w:r w:rsidRPr="00462D66">
        <w:rPr>
          <w:sz w:val="24"/>
          <w:szCs w:val="24"/>
          <w:u w:val="single"/>
        </w:rPr>
        <w:t>Anvisning i brug/håndtering</w:t>
      </w:r>
    </w:p>
    <w:p w:rsidR="00462D66" w:rsidRPr="00462D66" w:rsidRDefault="00462D66" w:rsidP="00462D66">
      <w:pPr>
        <w:tabs>
          <w:tab w:val="left" w:pos="851"/>
        </w:tabs>
        <w:ind w:left="851"/>
        <w:rPr>
          <w:sz w:val="24"/>
          <w:szCs w:val="24"/>
        </w:rPr>
      </w:pPr>
      <w:r w:rsidRPr="00462D66">
        <w:rPr>
          <w:sz w:val="24"/>
          <w:szCs w:val="24"/>
        </w:rPr>
        <w:t xml:space="preserve">Det </w:t>
      </w:r>
      <w:proofErr w:type="spellStart"/>
      <w:r w:rsidRPr="00462D66">
        <w:rPr>
          <w:sz w:val="24"/>
          <w:szCs w:val="24"/>
        </w:rPr>
        <w:t>ukonserverede</w:t>
      </w:r>
      <w:proofErr w:type="spellEnd"/>
      <w:r w:rsidRPr="00462D66">
        <w:rPr>
          <w:sz w:val="24"/>
          <w:szCs w:val="24"/>
        </w:rPr>
        <w:t xml:space="preserve"> koncentrat til injektions-/infusionsvæske, opløsning, er kun til </w:t>
      </w:r>
      <w:r w:rsidRPr="00462D66">
        <w:rPr>
          <w:b/>
          <w:sz w:val="24"/>
          <w:szCs w:val="24"/>
        </w:rPr>
        <w:t>engangsbrug</w:t>
      </w:r>
      <w:r w:rsidRPr="00462D66">
        <w:rPr>
          <w:sz w:val="24"/>
          <w:szCs w:val="24"/>
        </w:rPr>
        <w:t>. Det skal anvendes umiddelbart efter åbning. Eventuel ubrugt opløsning skal kasseres.</w:t>
      </w:r>
    </w:p>
    <w:p w:rsidR="00462D66" w:rsidRPr="00462D66" w:rsidRDefault="00462D66" w:rsidP="00462D66">
      <w:pPr>
        <w:tabs>
          <w:tab w:val="left" w:pos="851"/>
        </w:tabs>
        <w:ind w:left="851"/>
        <w:rPr>
          <w:sz w:val="24"/>
          <w:szCs w:val="24"/>
        </w:rPr>
      </w:pPr>
    </w:p>
    <w:p w:rsidR="00462D66" w:rsidRPr="00462D66" w:rsidRDefault="00462D66" w:rsidP="00462D66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462D66">
        <w:rPr>
          <w:sz w:val="24"/>
          <w:szCs w:val="24"/>
        </w:rPr>
        <w:t>Osmolaliteten</w:t>
      </w:r>
      <w:proofErr w:type="spellEnd"/>
      <w:r w:rsidRPr="00462D66">
        <w:rPr>
          <w:sz w:val="24"/>
          <w:szCs w:val="24"/>
        </w:rPr>
        <w:t xml:space="preserve"> af </w:t>
      </w:r>
      <w:proofErr w:type="spellStart"/>
      <w:r w:rsidRPr="00462D66">
        <w:rPr>
          <w:sz w:val="24"/>
          <w:szCs w:val="24"/>
        </w:rPr>
        <w:t>Ascorbinsyre</w:t>
      </w:r>
      <w:proofErr w:type="spellEnd"/>
      <w:r w:rsidRPr="00462D66">
        <w:rPr>
          <w:sz w:val="24"/>
          <w:szCs w:val="24"/>
        </w:rPr>
        <w:t xml:space="preserve"> </w:t>
      </w:r>
      <w:r w:rsidR="00C25704">
        <w:rPr>
          <w:sz w:val="24"/>
          <w:szCs w:val="24"/>
        </w:rPr>
        <w:t>"</w:t>
      </w:r>
      <w:proofErr w:type="spellStart"/>
      <w:r w:rsidRPr="00462D66">
        <w:rPr>
          <w:sz w:val="24"/>
          <w:szCs w:val="24"/>
        </w:rPr>
        <w:t>Pascoe</w:t>
      </w:r>
      <w:proofErr w:type="spellEnd"/>
      <w:r w:rsidR="00C25704">
        <w:rPr>
          <w:sz w:val="24"/>
          <w:szCs w:val="24"/>
        </w:rPr>
        <w:t>"</w:t>
      </w:r>
      <w:r w:rsidRPr="00462D66">
        <w:rPr>
          <w:sz w:val="24"/>
          <w:szCs w:val="24"/>
        </w:rPr>
        <w:t xml:space="preserve"> er mellem 1.500 og 1.700 </w:t>
      </w:r>
      <w:proofErr w:type="spellStart"/>
      <w:r w:rsidRPr="00462D66">
        <w:rPr>
          <w:sz w:val="24"/>
          <w:szCs w:val="24"/>
        </w:rPr>
        <w:t>mOsmol</w:t>
      </w:r>
      <w:proofErr w:type="spellEnd"/>
      <w:r w:rsidRPr="00462D66">
        <w:rPr>
          <w:sz w:val="24"/>
          <w:szCs w:val="24"/>
        </w:rPr>
        <w:t xml:space="preserve">/kg. Da </w:t>
      </w:r>
      <w:proofErr w:type="spellStart"/>
      <w:r w:rsidRPr="00462D66">
        <w:rPr>
          <w:sz w:val="24"/>
          <w:szCs w:val="24"/>
        </w:rPr>
        <w:t>osmolaliteten</w:t>
      </w:r>
      <w:proofErr w:type="spellEnd"/>
      <w:r w:rsidRPr="00462D66">
        <w:rPr>
          <w:sz w:val="24"/>
          <w:szCs w:val="24"/>
        </w:rPr>
        <w:t xml:space="preserve"> for perifer venøs infusion bør være under 800 </w:t>
      </w:r>
      <w:proofErr w:type="spellStart"/>
      <w:r w:rsidRPr="00462D66">
        <w:rPr>
          <w:sz w:val="24"/>
          <w:szCs w:val="24"/>
        </w:rPr>
        <w:t>mOsmol</w:t>
      </w:r>
      <w:proofErr w:type="spellEnd"/>
      <w:r w:rsidRPr="00462D66">
        <w:rPr>
          <w:sz w:val="24"/>
          <w:szCs w:val="24"/>
        </w:rPr>
        <w:t xml:space="preserve">/kg, skal </w:t>
      </w:r>
      <w:proofErr w:type="spellStart"/>
      <w:r w:rsidRPr="00462D66">
        <w:rPr>
          <w:sz w:val="24"/>
          <w:szCs w:val="24"/>
        </w:rPr>
        <w:t>Ascorbinsyre</w:t>
      </w:r>
      <w:proofErr w:type="spellEnd"/>
      <w:r w:rsidRPr="00462D66">
        <w:rPr>
          <w:sz w:val="24"/>
          <w:szCs w:val="24"/>
        </w:rPr>
        <w:t xml:space="preserve"> </w:t>
      </w:r>
      <w:r w:rsidR="00C25704">
        <w:rPr>
          <w:sz w:val="24"/>
          <w:szCs w:val="24"/>
        </w:rPr>
        <w:t>"</w:t>
      </w:r>
      <w:proofErr w:type="spellStart"/>
      <w:r w:rsidRPr="00462D66">
        <w:rPr>
          <w:sz w:val="24"/>
          <w:szCs w:val="24"/>
        </w:rPr>
        <w:t>Pascoe</w:t>
      </w:r>
      <w:proofErr w:type="spellEnd"/>
      <w:r w:rsidR="00C25704">
        <w:rPr>
          <w:sz w:val="24"/>
          <w:szCs w:val="24"/>
        </w:rPr>
        <w:t>"</w:t>
      </w:r>
      <w:r w:rsidRPr="00462D66">
        <w:rPr>
          <w:sz w:val="24"/>
          <w:szCs w:val="24"/>
        </w:rPr>
        <w:t xml:space="preserve"> fortyndes med isotonisk NaCl</w:t>
      </w:r>
      <w:r w:rsidRPr="00462D66">
        <w:rPr>
          <w:sz w:val="24"/>
          <w:szCs w:val="24"/>
        </w:rPr>
        <w:noBreakHyphen/>
        <w:t xml:space="preserve">opløsning i forholdet 1:2, f.eks. 50 ml </w:t>
      </w:r>
      <w:proofErr w:type="spellStart"/>
      <w:r w:rsidRPr="00462D66">
        <w:rPr>
          <w:sz w:val="24"/>
          <w:szCs w:val="24"/>
        </w:rPr>
        <w:t>Ascorbinsyre</w:t>
      </w:r>
      <w:proofErr w:type="spellEnd"/>
      <w:r w:rsidRPr="00462D66">
        <w:rPr>
          <w:sz w:val="24"/>
          <w:szCs w:val="24"/>
        </w:rPr>
        <w:t xml:space="preserve"> </w:t>
      </w:r>
      <w:r w:rsidR="00C25704">
        <w:rPr>
          <w:sz w:val="24"/>
          <w:szCs w:val="24"/>
        </w:rPr>
        <w:t>"</w:t>
      </w:r>
      <w:proofErr w:type="spellStart"/>
      <w:r w:rsidRPr="00462D66">
        <w:rPr>
          <w:sz w:val="24"/>
          <w:szCs w:val="24"/>
        </w:rPr>
        <w:t>Pascoe</w:t>
      </w:r>
      <w:proofErr w:type="spellEnd"/>
      <w:r w:rsidR="00C25704">
        <w:rPr>
          <w:sz w:val="24"/>
          <w:szCs w:val="24"/>
        </w:rPr>
        <w:t>"</w:t>
      </w:r>
      <w:r w:rsidRPr="00462D66">
        <w:rPr>
          <w:sz w:val="24"/>
          <w:szCs w:val="24"/>
        </w:rPr>
        <w:t xml:space="preserve"> fortyndet med 100 ml isotonisk NaCl-opløsning.</w:t>
      </w:r>
    </w:p>
    <w:p w:rsidR="00462D66" w:rsidRPr="00462D66" w:rsidRDefault="00462D66" w:rsidP="00462D66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462D6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62D66">
        <w:rPr>
          <w:b/>
          <w:sz w:val="24"/>
          <w:szCs w:val="24"/>
        </w:rPr>
        <w:t>7.</w:t>
      </w:r>
      <w:r w:rsidRPr="00462D66">
        <w:rPr>
          <w:b/>
          <w:sz w:val="24"/>
          <w:szCs w:val="24"/>
        </w:rPr>
        <w:tab/>
        <w:t>INDEHAVER AF MARKEDSFØRINGSTILLADELSEN</w:t>
      </w:r>
    </w:p>
    <w:p w:rsidR="00462D66" w:rsidRPr="00462D66" w:rsidRDefault="00462D66" w:rsidP="00462D66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proofErr w:type="spellStart"/>
      <w:r w:rsidRPr="00462D66">
        <w:rPr>
          <w:sz w:val="24"/>
          <w:szCs w:val="24"/>
        </w:rPr>
        <w:t>Pascoe</w:t>
      </w:r>
      <w:proofErr w:type="spellEnd"/>
      <w:r w:rsidRPr="00462D66">
        <w:rPr>
          <w:sz w:val="24"/>
          <w:szCs w:val="24"/>
        </w:rPr>
        <w:t xml:space="preserve"> </w:t>
      </w:r>
      <w:proofErr w:type="spellStart"/>
      <w:r w:rsidRPr="00462D66">
        <w:rPr>
          <w:sz w:val="24"/>
          <w:szCs w:val="24"/>
        </w:rPr>
        <w:t>pharmazeutische</w:t>
      </w:r>
      <w:proofErr w:type="spellEnd"/>
      <w:r w:rsidRPr="00462D66">
        <w:rPr>
          <w:sz w:val="24"/>
          <w:szCs w:val="24"/>
        </w:rPr>
        <w:t xml:space="preserve"> </w:t>
      </w:r>
      <w:proofErr w:type="spellStart"/>
      <w:r w:rsidRPr="00462D66">
        <w:rPr>
          <w:sz w:val="24"/>
          <w:szCs w:val="24"/>
        </w:rPr>
        <w:t>Präparate</w:t>
      </w:r>
      <w:proofErr w:type="spellEnd"/>
      <w:r w:rsidRPr="00462D66">
        <w:rPr>
          <w:sz w:val="24"/>
          <w:szCs w:val="24"/>
        </w:rPr>
        <w:t xml:space="preserve"> GmbH</w:t>
      </w:r>
    </w:p>
    <w:p w:rsidR="00462D66" w:rsidRPr="00264DAF" w:rsidRDefault="00462D66" w:rsidP="00462D66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264DAF">
        <w:rPr>
          <w:sz w:val="24"/>
          <w:szCs w:val="24"/>
        </w:rPr>
        <w:t>Schiffenberger</w:t>
      </w:r>
      <w:proofErr w:type="spellEnd"/>
      <w:r w:rsidRPr="00264DAF">
        <w:rPr>
          <w:sz w:val="24"/>
          <w:szCs w:val="24"/>
        </w:rPr>
        <w:t xml:space="preserve"> </w:t>
      </w:r>
      <w:proofErr w:type="spellStart"/>
      <w:r w:rsidRPr="00264DAF">
        <w:rPr>
          <w:sz w:val="24"/>
          <w:szCs w:val="24"/>
        </w:rPr>
        <w:t>Weg</w:t>
      </w:r>
      <w:proofErr w:type="spellEnd"/>
      <w:r w:rsidRPr="00264DAF">
        <w:rPr>
          <w:sz w:val="24"/>
          <w:szCs w:val="24"/>
        </w:rPr>
        <w:t xml:space="preserve"> 55</w:t>
      </w:r>
    </w:p>
    <w:p w:rsidR="00462D66" w:rsidRPr="00462D66" w:rsidRDefault="00462D66" w:rsidP="00462D66">
      <w:pPr>
        <w:tabs>
          <w:tab w:val="left" w:pos="851"/>
        </w:tabs>
        <w:ind w:left="851"/>
        <w:rPr>
          <w:sz w:val="24"/>
          <w:szCs w:val="24"/>
        </w:rPr>
      </w:pPr>
      <w:r w:rsidRPr="00462D66">
        <w:rPr>
          <w:sz w:val="24"/>
          <w:szCs w:val="24"/>
        </w:rPr>
        <w:t xml:space="preserve">35394 </w:t>
      </w:r>
      <w:proofErr w:type="spellStart"/>
      <w:r w:rsidRPr="00462D66">
        <w:rPr>
          <w:sz w:val="24"/>
          <w:szCs w:val="24"/>
        </w:rPr>
        <w:t>Giessen</w:t>
      </w:r>
      <w:proofErr w:type="spellEnd"/>
    </w:p>
    <w:p w:rsidR="00462D66" w:rsidRPr="00462D66" w:rsidRDefault="00462D66" w:rsidP="00462D66">
      <w:pPr>
        <w:tabs>
          <w:tab w:val="left" w:pos="851"/>
        </w:tabs>
        <w:ind w:left="851"/>
        <w:rPr>
          <w:sz w:val="24"/>
          <w:szCs w:val="24"/>
        </w:rPr>
      </w:pPr>
      <w:r w:rsidRPr="00462D66">
        <w:rPr>
          <w:sz w:val="24"/>
          <w:szCs w:val="24"/>
        </w:rPr>
        <w:t>Tyskland</w:t>
      </w:r>
    </w:p>
    <w:p w:rsidR="009260DE" w:rsidRPr="00462D6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462D6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62D66">
        <w:rPr>
          <w:b/>
          <w:sz w:val="24"/>
          <w:szCs w:val="24"/>
        </w:rPr>
        <w:t>8.</w:t>
      </w:r>
      <w:r w:rsidRPr="00462D66">
        <w:rPr>
          <w:b/>
          <w:sz w:val="24"/>
          <w:szCs w:val="24"/>
        </w:rPr>
        <w:tab/>
        <w:t>MARKEDSFØRINGSTILLADELSESNUMMER (</w:t>
      </w:r>
      <w:r w:rsidR="00C71A13">
        <w:rPr>
          <w:b/>
          <w:sz w:val="24"/>
          <w:szCs w:val="24"/>
        </w:rPr>
        <w:t>-</w:t>
      </w:r>
      <w:bookmarkStart w:id="0" w:name="_GoBack"/>
      <w:bookmarkEnd w:id="0"/>
      <w:r w:rsidRPr="00462D66">
        <w:rPr>
          <w:b/>
          <w:sz w:val="24"/>
          <w:szCs w:val="24"/>
        </w:rPr>
        <w:t>NUMRE)</w:t>
      </w:r>
    </w:p>
    <w:p w:rsidR="009260DE" w:rsidRPr="00462D66" w:rsidRDefault="00264DAF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59383</w:t>
      </w:r>
    </w:p>
    <w:p w:rsidR="009260DE" w:rsidRPr="00462D66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9260DE" w:rsidRPr="00462D6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62D66">
        <w:rPr>
          <w:b/>
          <w:sz w:val="24"/>
          <w:szCs w:val="24"/>
        </w:rPr>
        <w:t>9.</w:t>
      </w:r>
      <w:r w:rsidRPr="00462D66">
        <w:rPr>
          <w:b/>
          <w:sz w:val="24"/>
          <w:szCs w:val="24"/>
        </w:rPr>
        <w:tab/>
        <w:t>DATO FOR FØRSTE MARKEDSFØRINGSTILLADELSE</w:t>
      </w:r>
    </w:p>
    <w:p w:rsidR="009260DE" w:rsidRPr="00462D66" w:rsidRDefault="00264DAF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30. september 2020</w:t>
      </w:r>
    </w:p>
    <w:p w:rsidR="009260DE" w:rsidRPr="00462D6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462D6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62D66">
        <w:rPr>
          <w:b/>
          <w:sz w:val="24"/>
          <w:szCs w:val="24"/>
        </w:rPr>
        <w:t>10.</w:t>
      </w:r>
      <w:r w:rsidRPr="00462D66">
        <w:rPr>
          <w:b/>
          <w:sz w:val="24"/>
          <w:szCs w:val="24"/>
        </w:rPr>
        <w:tab/>
        <w:t>DATO FOR ÆNDRING AF TEKSTEN</w:t>
      </w:r>
    </w:p>
    <w:p w:rsidR="009260DE" w:rsidRPr="00462D66" w:rsidRDefault="00C95FEE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11. februar 2025</w:t>
      </w:r>
    </w:p>
    <w:sectPr w:rsidR="009260DE" w:rsidRPr="00462D66" w:rsidSect="000259B9">
      <w:footerReference w:type="default" r:id="rId8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5A4" w:rsidRDefault="004A55A4">
      <w:r>
        <w:separator/>
      </w:r>
    </w:p>
  </w:endnote>
  <w:endnote w:type="continuationSeparator" w:id="0">
    <w:p w:rsidR="004A55A4" w:rsidRDefault="004A5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1A55C0">
      <w:rPr>
        <w:i/>
        <w:noProof/>
        <w:sz w:val="18"/>
        <w:szCs w:val="18"/>
      </w:rPr>
      <w:t>Ascorbinsyre Pascoe, koncentrat til injektions--infusionsvæske, opløsning 150 mg-ml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5A4" w:rsidRDefault="004A55A4">
      <w:r>
        <w:separator/>
      </w:r>
    </w:p>
  </w:footnote>
  <w:footnote w:type="continuationSeparator" w:id="0">
    <w:p w:rsidR="004A55A4" w:rsidRDefault="004A5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1C367E31"/>
    <w:multiLevelType w:val="hybridMultilevel"/>
    <w:tmpl w:val="E702B612"/>
    <w:lvl w:ilvl="0" w:tplc="FFFFFFFF">
      <w:start w:val="1"/>
      <w:numFmt w:val="bullet"/>
      <w:lvlText w:val="-"/>
      <w:lvlJc w:val="left"/>
      <w:pPr>
        <w:ind w:left="3273" w:hanging="360"/>
      </w:pPr>
    </w:lvl>
    <w:lvl w:ilvl="1" w:tplc="04060003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7593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8313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9033" w:hanging="360"/>
      </w:pPr>
      <w:rPr>
        <w:rFonts w:ascii="Wingdings" w:hAnsi="Wingdings" w:hint="default"/>
      </w:rPr>
    </w:lvl>
  </w:abstractNum>
  <w:abstractNum w:abstractNumId="2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4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5A4"/>
    <w:rsid w:val="000259B9"/>
    <w:rsid w:val="00041491"/>
    <w:rsid w:val="00050D16"/>
    <w:rsid w:val="00066FD5"/>
    <w:rsid w:val="00074F2A"/>
    <w:rsid w:val="000A1CA8"/>
    <w:rsid w:val="000A466B"/>
    <w:rsid w:val="000B058C"/>
    <w:rsid w:val="000E4EE6"/>
    <w:rsid w:val="001454E2"/>
    <w:rsid w:val="001A55C0"/>
    <w:rsid w:val="00206CE8"/>
    <w:rsid w:val="0021526C"/>
    <w:rsid w:val="00264DAF"/>
    <w:rsid w:val="00283A2B"/>
    <w:rsid w:val="002B30AD"/>
    <w:rsid w:val="002B38A8"/>
    <w:rsid w:val="002C2C01"/>
    <w:rsid w:val="003A1181"/>
    <w:rsid w:val="003A29AE"/>
    <w:rsid w:val="003A32D7"/>
    <w:rsid w:val="003B4074"/>
    <w:rsid w:val="003C769A"/>
    <w:rsid w:val="003F1838"/>
    <w:rsid w:val="00407584"/>
    <w:rsid w:val="0045746C"/>
    <w:rsid w:val="00462D66"/>
    <w:rsid w:val="00481434"/>
    <w:rsid w:val="0049104B"/>
    <w:rsid w:val="004A55A4"/>
    <w:rsid w:val="004C16D6"/>
    <w:rsid w:val="004E3B12"/>
    <w:rsid w:val="00532310"/>
    <w:rsid w:val="00565F0F"/>
    <w:rsid w:val="00594A86"/>
    <w:rsid w:val="00596D86"/>
    <w:rsid w:val="005B4393"/>
    <w:rsid w:val="005D5B00"/>
    <w:rsid w:val="00637F5A"/>
    <w:rsid w:val="006560B1"/>
    <w:rsid w:val="00662F6D"/>
    <w:rsid w:val="006756DD"/>
    <w:rsid w:val="007264CB"/>
    <w:rsid w:val="00737275"/>
    <w:rsid w:val="00740EEC"/>
    <w:rsid w:val="0078011A"/>
    <w:rsid w:val="00782AF4"/>
    <w:rsid w:val="00790EE7"/>
    <w:rsid w:val="007B6649"/>
    <w:rsid w:val="007E2200"/>
    <w:rsid w:val="0082576E"/>
    <w:rsid w:val="008517C1"/>
    <w:rsid w:val="00907F75"/>
    <w:rsid w:val="009260DE"/>
    <w:rsid w:val="0093258A"/>
    <w:rsid w:val="00990DAD"/>
    <w:rsid w:val="009C7BA3"/>
    <w:rsid w:val="009D1F5A"/>
    <w:rsid w:val="00A10490"/>
    <w:rsid w:val="00B003BF"/>
    <w:rsid w:val="00B17B18"/>
    <w:rsid w:val="00B373D7"/>
    <w:rsid w:val="00B859F0"/>
    <w:rsid w:val="00C04398"/>
    <w:rsid w:val="00C25704"/>
    <w:rsid w:val="00C36276"/>
    <w:rsid w:val="00C42586"/>
    <w:rsid w:val="00C60CCD"/>
    <w:rsid w:val="00C71A13"/>
    <w:rsid w:val="00C84483"/>
    <w:rsid w:val="00C95551"/>
    <w:rsid w:val="00C95FEE"/>
    <w:rsid w:val="00CB20D7"/>
    <w:rsid w:val="00D020B0"/>
    <w:rsid w:val="00D11748"/>
    <w:rsid w:val="00D366CF"/>
    <w:rsid w:val="00D421D2"/>
    <w:rsid w:val="00E108AA"/>
    <w:rsid w:val="00E3749A"/>
    <w:rsid w:val="00E7437F"/>
    <w:rsid w:val="00E865B8"/>
    <w:rsid w:val="00EC0B9B"/>
    <w:rsid w:val="00ED5E9F"/>
    <w:rsid w:val="00F66D4F"/>
    <w:rsid w:val="00FB6D01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C28472"/>
  <w15:chartTrackingRefBased/>
  <w15:docId w15:val="{1D3C769F-6C79-4DA9-9FC3-FFB684A1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1A13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Hyperlink">
    <w:name w:val="Hyperlink"/>
    <w:basedOn w:val="Standardskrifttypeiafsnit"/>
    <w:uiPriority w:val="99"/>
    <w:unhideWhenUsed/>
    <w:rsid w:val="008517C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51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1818</Words>
  <Characters>12328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Ronnovius</dc:creator>
  <cp:keywords/>
  <dc:description>2024011526 pkt. 4.2, 4.3, 6.5, QRD</dc:description>
  <cp:lastModifiedBy>Gitte Ronnovius</cp:lastModifiedBy>
  <cp:revision>3</cp:revision>
  <cp:lastPrinted>2020-10-02T08:30:00Z</cp:lastPrinted>
  <dcterms:created xsi:type="dcterms:W3CDTF">2025-02-06T09:19:00Z</dcterms:created>
  <dcterms:modified xsi:type="dcterms:W3CDTF">2025-02-06T09:39:00Z</dcterms:modified>
</cp:coreProperties>
</file>