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314" w:rsidRPr="008F49E1" w:rsidRDefault="00A61314" w:rsidP="00A61314">
      <w:pPr>
        <w:rPr>
          <w:sz w:val="24"/>
          <w:szCs w:val="24"/>
        </w:rPr>
      </w:pPr>
      <w:r w:rsidRPr="009260DE">
        <w:rPr>
          <w:noProof/>
          <w:sz w:val="24"/>
          <w:szCs w:val="24"/>
          <w:lang w:eastAsia="da-DK"/>
        </w:rPr>
        <w:drawing>
          <wp:anchor distT="0" distB="0" distL="114300" distR="114300" simplePos="0" relativeHeight="251659264" behindDoc="0" locked="0" layoutInCell="1" allowOverlap="1" wp14:anchorId="0CE4E9A6" wp14:editId="44E4385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A61314" w:rsidRPr="00C84483" w:rsidRDefault="00A61314" w:rsidP="00A61314">
      <w:pPr>
        <w:pStyle w:val="Titel"/>
        <w:tabs>
          <w:tab w:val="right" w:pos="9356"/>
        </w:tabs>
        <w:jc w:val="left"/>
        <w:rPr>
          <w:b w:val="0"/>
          <w:szCs w:val="24"/>
          <w:lang w:eastAsia="en-US"/>
        </w:rPr>
      </w:pPr>
      <w:r w:rsidRPr="00C84483">
        <w:rPr>
          <w:b w:val="0"/>
          <w:szCs w:val="24"/>
          <w:lang w:eastAsia="en-US"/>
        </w:rPr>
        <w:tab/>
      </w:r>
      <w:r w:rsidR="00AE279C">
        <w:rPr>
          <w:szCs w:val="24"/>
        </w:rPr>
        <w:t>11</w:t>
      </w:r>
      <w:r w:rsidR="00C32206">
        <w:rPr>
          <w:szCs w:val="24"/>
        </w:rPr>
        <w:t xml:space="preserve">. </w:t>
      </w:r>
      <w:r w:rsidR="00AE279C">
        <w:rPr>
          <w:szCs w:val="24"/>
        </w:rPr>
        <w:t>juni</w:t>
      </w:r>
      <w:r w:rsidR="00C32206">
        <w:rPr>
          <w:szCs w:val="24"/>
        </w:rPr>
        <w:t xml:space="preserve"> 2024</w:t>
      </w:r>
    </w:p>
    <w:p w:rsidR="00A61314" w:rsidRDefault="00A61314" w:rsidP="00A61314">
      <w:pPr>
        <w:pStyle w:val="Titel"/>
        <w:jc w:val="left"/>
        <w:rPr>
          <w:b w:val="0"/>
          <w:szCs w:val="24"/>
        </w:rPr>
      </w:pPr>
    </w:p>
    <w:p w:rsidR="00AE279C" w:rsidRPr="00C84483" w:rsidRDefault="00AE279C" w:rsidP="00A61314">
      <w:pPr>
        <w:pStyle w:val="Titel"/>
        <w:jc w:val="left"/>
        <w:rPr>
          <w:b w:val="0"/>
          <w:szCs w:val="24"/>
        </w:rPr>
      </w:pPr>
    </w:p>
    <w:p w:rsidR="00A61314" w:rsidRPr="00C84483" w:rsidRDefault="00A61314" w:rsidP="00A61314">
      <w:pPr>
        <w:jc w:val="center"/>
        <w:rPr>
          <w:b/>
          <w:sz w:val="24"/>
          <w:szCs w:val="24"/>
        </w:rPr>
      </w:pPr>
      <w:r w:rsidRPr="00C84483">
        <w:rPr>
          <w:b/>
          <w:sz w:val="24"/>
          <w:szCs w:val="24"/>
        </w:rPr>
        <w:t>PRODUKTRESUMÉ</w:t>
      </w:r>
    </w:p>
    <w:p w:rsidR="00A61314" w:rsidRPr="00C84483" w:rsidRDefault="00A61314" w:rsidP="00A61314">
      <w:pPr>
        <w:jc w:val="center"/>
        <w:rPr>
          <w:b/>
          <w:sz w:val="24"/>
          <w:szCs w:val="24"/>
        </w:rPr>
      </w:pPr>
    </w:p>
    <w:p w:rsidR="00A61314" w:rsidRDefault="00A61314" w:rsidP="00A61314">
      <w:pPr>
        <w:jc w:val="center"/>
        <w:rPr>
          <w:b/>
          <w:sz w:val="24"/>
          <w:szCs w:val="24"/>
        </w:rPr>
      </w:pPr>
      <w:r w:rsidRPr="00C84483">
        <w:rPr>
          <w:b/>
          <w:sz w:val="24"/>
          <w:szCs w:val="24"/>
        </w:rPr>
        <w:t>for</w:t>
      </w:r>
    </w:p>
    <w:p w:rsidR="00A61314" w:rsidRPr="00C84483" w:rsidRDefault="00A61314" w:rsidP="00A61314">
      <w:pPr>
        <w:jc w:val="center"/>
        <w:rPr>
          <w:b/>
          <w:sz w:val="24"/>
          <w:szCs w:val="24"/>
        </w:rPr>
      </w:pPr>
    </w:p>
    <w:p w:rsidR="00A61314" w:rsidRPr="00C84483" w:rsidRDefault="00A61314" w:rsidP="00A61314">
      <w:pPr>
        <w:jc w:val="center"/>
        <w:rPr>
          <w:b/>
          <w:sz w:val="24"/>
          <w:szCs w:val="24"/>
        </w:rPr>
      </w:pPr>
      <w:r>
        <w:rPr>
          <w:b/>
          <w:sz w:val="24"/>
          <w:szCs w:val="24"/>
        </w:rPr>
        <w:t>Atazanavir "Stada", hårde kapsler</w:t>
      </w:r>
    </w:p>
    <w:p w:rsidR="00A61314" w:rsidRPr="00C84483" w:rsidRDefault="00A61314" w:rsidP="00A61314">
      <w:pPr>
        <w:jc w:val="both"/>
        <w:rPr>
          <w:sz w:val="24"/>
          <w:szCs w:val="24"/>
        </w:rPr>
      </w:pPr>
    </w:p>
    <w:p w:rsidR="00A61314" w:rsidRPr="00C84483" w:rsidRDefault="00A61314" w:rsidP="00A61314">
      <w:pPr>
        <w:jc w:val="both"/>
        <w:rPr>
          <w:sz w:val="24"/>
          <w:szCs w:val="24"/>
        </w:rPr>
      </w:pPr>
    </w:p>
    <w:p w:rsidR="00A61314" w:rsidRPr="00C84483" w:rsidRDefault="00A61314" w:rsidP="00A61314">
      <w:pPr>
        <w:tabs>
          <w:tab w:val="left" w:pos="851"/>
        </w:tabs>
        <w:ind w:left="851" w:hanging="851"/>
        <w:rPr>
          <w:b/>
          <w:sz w:val="24"/>
          <w:szCs w:val="24"/>
        </w:rPr>
      </w:pPr>
      <w:r w:rsidRPr="00C84483">
        <w:rPr>
          <w:b/>
          <w:sz w:val="24"/>
          <w:szCs w:val="24"/>
        </w:rPr>
        <w:t>0.</w:t>
      </w:r>
      <w:r w:rsidRPr="00C84483">
        <w:rPr>
          <w:b/>
          <w:sz w:val="24"/>
          <w:szCs w:val="24"/>
        </w:rPr>
        <w:tab/>
        <w:t>D.SP.NR.</w:t>
      </w:r>
    </w:p>
    <w:p w:rsidR="00A61314" w:rsidRPr="00C84483" w:rsidRDefault="00A61314" w:rsidP="00A61314">
      <w:pPr>
        <w:tabs>
          <w:tab w:val="left" w:pos="851"/>
        </w:tabs>
        <w:ind w:left="851"/>
        <w:rPr>
          <w:sz w:val="24"/>
          <w:szCs w:val="24"/>
        </w:rPr>
      </w:pPr>
      <w:r>
        <w:rPr>
          <w:sz w:val="24"/>
          <w:szCs w:val="24"/>
        </w:rPr>
        <w:t>30834</w:t>
      </w:r>
    </w:p>
    <w:p w:rsidR="00A61314" w:rsidRPr="00C84483" w:rsidRDefault="00A61314" w:rsidP="00A61314">
      <w:pPr>
        <w:tabs>
          <w:tab w:val="left" w:pos="851"/>
        </w:tabs>
        <w:ind w:left="851"/>
        <w:rPr>
          <w:sz w:val="24"/>
          <w:szCs w:val="24"/>
        </w:rPr>
      </w:pPr>
    </w:p>
    <w:p w:rsidR="00A61314" w:rsidRPr="00C84483" w:rsidRDefault="00A61314" w:rsidP="00A61314">
      <w:pPr>
        <w:tabs>
          <w:tab w:val="left" w:pos="851"/>
        </w:tabs>
        <w:ind w:left="851" w:hanging="851"/>
        <w:rPr>
          <w:b/>
          <w:sz w:val="24"/>
          <w:szCs w:val="24"/>
        </w:rPr>
      </w:pPr>
      <w:r w:rsidRPr="00C84483">
        <w:rPr>
          <w:b/>
          <w:sz w:val="24"/>
          <w:szCs w:val="24"/>
        </w:rPr>
        <w:t>1.</w:t>
      </w:r>
      <w:r w:rsidRPr="00C84483">
        <w:rPr>
          <w:b/>
          <w:sz w:val="24"/>
          <w:szCs w:val="24"/>
        </w:rPr>
        <w:tab/>
        <w:t>LÆGEMIDLETS NAVN</w:t>
      </w:r>
    </w:p>
    <w:p w:rsidR="00A61314" w:rsidRPr="00C84483" w:rsidRDefault="00A61314" w:rsidP="00A61314">
      <w:pPr>
        <w:tabs>
          <w:tab w:val="left" w:pos="851"/>
        </w:tabs>
        <w:ind w:left="851"/>
        <w:rPr>
          <w:sz w:val="24"/>
          <w:szCs w:val="24"/>
        </w:rPr>
      </w:pPr>
      <w:r>
        <w:rPr>
          <w:sz w:val="24"/>
          <w:szCs w:val="24"/>
        </w:rPr>
        <w:t>Atazanavir "Stada"</w:t>
      </w:r>
    </w:p>
    <w:p w:rsidR="00A61314" w:rsidRPr="00C84483" w:rsidRDefault="00A61314" w:rsidP="00A61314">
      <w:pPr>
        <w:tabs>
          <w:tab w:val="left" w:pos="851"/>
        </w:tabs>
        <w:ind w:left="851"/>
        <w:rPr>
          <w:sz w:val="24"/>
          <w:szCs w:val="24"/>
        </w:rPr>
      </w:pPr>
    </w:p>
    <w:p w:rsidR="00A61314" w:rsidRPr="001337F3" w:rsidRDefault="00A61314" w:rsidP="00A61314">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A61314" w:rsidRPr="0002000E" w:rsidRDefault="00A61314" w:rsidP="00A61314">
      <w:pPr>
        <w:ind w:left="851"/>
        <w:rPr>
          <w:i/>
          <w:sz w:val="24"/>
          <w:szCs w:val="24"/>
        </w:rPr>
      </w:pPr>
      <w:r w:rsidRPr="0002000E">
        <w:rPr>
          <w:i/>
          <w:sz w:val="24"/>
          <w:szCs w:val="24"/>
        </w:rPr>
        <w:t xml:space="preserve">Atazanavir </w:t>
      </w:r>
      <w:r>
        <w:rPr>
          <w:i/>
          <w:sz w:val="24"/>
          <w:szCs w:val="24"/>
        </w:rPr>
        <w:t>"</w:t>
      </w:r>
      <w:r w:rsidRPr="0002000E">
        <w:rPr>
          <w:i/>
          <w:sz w:val="24"/>
          <w:szCs w:val="24"/>
        </w:rPr>
        <w:t>Stada</w:t>
      </w:r>
      <w:r>
        <w:rPr>
          <w:i/>
          <w:sz w:val="24"/>
          <w:szCs w:val="24"/>
        </w:rPr>
        <w:t>"</w:t>
      </w:r>
      <w:r w:rsidRPr="0002000E">
        <w:rPr>
          <w:i/>
          <w:sz w:val="24"/>
          <w:szCs w:val="24"/>
        </w:rPr>
        <w:t xml:space="preserve"> 150 mg hårde kapsler:</w:t>
      </w:r>
    </w:p>
    <w:p w:rsidR="00A61314" w:rsidRPr="00850E20" w:rsidRDefault="00A61314" w:rsidP="00A61314">
      <w:pPr>
        <w:ind w:left="851"/>
        <w:rPr>
          <w:sz w:val="24"/>
          <w:szCs w:val="24"/>
        </w:rPr>
      </w:pPr>
      <w:r w:rsidRPr="00850E20">
        <w:rPr>
          <w:sz w:val="24"/>
          <w:szCs w:val="24"/>
        </w:rPr>
        <w:t>Hver kapsel indeholder 150 mg atazanavir (som sulfat).</w:t>
      </w:r>
    </w:p>
    <w:p w:rsidR="00A61314" w:rsidRPr="00850E20" w:rsidRDefault="00A61314" w:rsidP="00A61314">
      <w:pPr>
        <w:ind w:left="851"/>
        <w:rPr>
          <w:sz w:val="24"/>
          <w:szCs w:val="24"/>
        </w:rPr>
      </w:pPr>
      <w:r w:rsidRPr="00850E20">
        <w:rPr>
          <w:sz w:val="24"/>
          <w:szCs w:val="24"/>
        </w:rPr>
        <w:t>Hjælpestof</w:t>
      </w:r>
      <w:r>
        <w:rPr>
          <w:sz w:val="24"/>
          <w:szCs w:val="24"/>
        </w:rPr>
        <w:t>, som behandleren skal være opmærksom på:</w:t>
      </w:r>
    </w:p>
    <w:p w:rsidR="00A61314" w:rsidRPr="00850E20" w:rsidRDefault="00A61314" w:rsidP="00A61314">
      <w:pPr>
        <w:ind w:left="851"/>
        <w:rPr>
          <w:sz w:val="24"/>
          <w:szCs w:val="24"/>
        </w:rPr>
      </w:pPr>
      <w:r w:rsidRPr="00850E20">
        <w:rPr>
          <w:sz w:val="24"/>
          <w:szCs w:val="24"/>
        </w:rPr>
        <w:t>69,00 mg lactose</w:t>
      </w:r>
      <w:r>
        <w:rPr>
          <w:sz w:val="24"/>
          <w:szCs w:val="24"/>
        </w:rPr>
        <w:t>monohydrat</w:t>
      </w:r>
      <w:r w:rsidRPr="00850E20">
        <w:rPr>
          <w:sz w:val="24"/>
          <w:szCs w:val="24"/>
        </w:rPr>
        <w:t xml:space="preserve"> per kapsel.</w:t>
      </w:r>
    </w:p>
    <w:p w:rsidR="00A61314" w:rsidRDefault="00A61314" w:rsidP="00A61314">
      <w:pPr>
        <w:ind w:left="851"/>
        <w:rPr>
          <w:sz w:val="24"/>
          <w:szCs w:val="24"/>
        </w:rPr>
      </w:pPr>
    </w:p>
    <w:p w:rsidR="00A61314" w:rsidRPr="0002000E" w:rsidRDefault="00A61314" w:rsidP="00A61314">
      <w:pPr>
        <w:ind w:left="851"/>
        <w:rPr>
          <w:i/>
          <w:sz w:val="24"/>
          <w:szCs w:val="24"/>
        </w:rPr>
      </w:pPr>
      <w:r w:rsidRPr="0002000E">
        <w:rPr>
          <w:i/>
          <w:sz w:val="24"/>
          <w:szCs w:val="24"/>
        </w:rPr>
        <w:t xml:space="preserve">Atazanavir </w:t>
      </w:r>
      <w:r>
        <w:rPr>
          <w:i/>
          <w:sz w:val="24"/>
          <w:szCs w:val="24"/>
        </w:rPr>
        <w:t>"</w:t>
      </w:r>
      <w:r w:rsidRPr="0002000E">
        <w:rPr>
          <w:i/>
          <w:sz w:val="24"/>
          <w:szCs w:val="24"/>
        </w:rPr>
        <w:t>Stada</w:t>
      </w:r>
      <w:r>
        <w:rPr>
          <w:i/>
          <w:sz w:val="24"/>
          <w:szCs w:val="24"/>
        </w:rPr>
        <w:t>"</w:t>
      </w:r>
      <w:r w:rsidRPr="0002000E">
        <w:rPr>
          <w:i/>
          <w:sz w:val="24"/>
          <w:szCs w:val="24"/>
        </w:rPr>
        <w:t xml:space="preserve"> 200 mg hårde kapsler:</w:t>
      </w:r>
    </w:p>
    <w:p w:rsidR="00A61314" w:rsidRPr="00850E20" w:rsidRDefault="00A61314" w:rsidP="00A61314">
      <w:pPr>
        <w:ind w:left="851"/>
        <w:rPr>
          <w:sz w:val="24"/>
          <w:szCs w:val="24"/>
        </w:rPr>
      </w:pPr>
      <w:r w:rsidRPr="00850E20">
        <w:rPr>
          <w:sz w:val="24"/>
          <w:szCs w:val="24"/>
        </w:rPr>
        <w:t>Hver kapsel indeholder 200 mg atazanavir (som sulfat).</w:t>
      </w:r>
    </w:p>
    <w:p w:rsidR="00A61314" w:rsidRPr="00850E20" w:rsidRDefault="00A61314" w:rsidP="00A61314">
      <w:pPr>
        <w:ind w:left="851"/>
        <w:rPr>
          <w:sz w:val="24"/>
          <w:szCs w:val="24"/>
        </w:rPr>
      </w:pPr>
      <w:r w:rsidRPr="00850E20">
        <w:rPr>
          <w:sz w:val="24"/>
          <w:szCs w:val="24"/>
        </w:rPr>
        <w:t>Hjælpestof</w:t>
      </w:r>
      <w:r>
        <w:rPr>
          <w:sz w:val="24"/>
          <w:szCs w:val="24"/>
        </w:rPr>
        <w:t>, som behandleren skal være opmærksom på:</w:t>
      </w:r>
    </w:p>
    <w:p w:rsidR="00A61314" w:rsidRPr="00850E20" w:rsidRDefault="00A61314" w:rsidP="00A61314">
      <w:pPr>
        <w:ind w:left="851"/>
        <w:rPr>
          <w:sz w:val="24"/>
          <w:szCs w:val="24"/>
        </w:rPr>
      </w:pPr>
      <w:r w:rsidRPr="00850E20">
        <w:rPr>
          <w:sz w:val="24"/>
          <w:szCs w:val="24"/>
        </w:rPr>
        <w:t>92,00 mg lactose</w:t>
      </w:r>
      <w:r>
        <w:rPr>
          <w:sz w:val="24"/>
          <w:szCs w:val="24"/>
        </w:rPr>
        <w:t>monohydrat</w:t>
      </w:r>
      <w:r w:rsidRPr="00850E20">
        <w:rPr>
          <w:sz w:val="24"/>
          <w:szCs w:val="24"/>
        </w:rPr>
        <w:t xml:space="preserve"> per kapsel.</w:t>
      </w:r>
    </w:p>
    <w:p w:rsidR="00A61314" w:rsidRDefault="00A61314" w:rsidP="00A61314">
      <w:pPr>
        <w:ind w:left="851"/>
        <w:rPr>
          <w:sz w:val="24"/>
          <w:szCs w:val="24"/>
        </w:rPr>
      </w:pPr>
    </w:p>
    <w:p w:rsidR="00A61314" w:rsidRPr="0002000E" w:rsidRDefault="00A61314" w:rsidP="00A61314">
      <w:pPr>
        <w:ind w:left="851"/>
        <w:rPr>
          <w:i/>
          <w:sz w:val="24"/>
          <w:szCs w:val="24"/>
        </w:rPr>
      </w:pPr>
      <w:r w:rsidRPr="0002000E">
        <w:rPr>
          <w:i/>
          <w:sz w:val="24"/>
          <w:szCs w:val="24"/>
        </w:rPr>
        <w:t xml:space="preserve">Atazanavir </w:t>
      </w:r>
      <w:r>
        <w:rPr>
          <w:i/>
          <w:sz w:val="24"/>
          <w:szCs w:val="24"/>
        </w:rPr>
        <w:t>"</w:t>
      </w:r>
      <w:r w:rsidRPr="0002000E">
        <w:rPr>
          <w:i/>
          <w:sz w:val="24"/>
          <w:szCs w:val="24"/>
        </w:rPr>
        <w:t>Stada</w:t>
      </w:r>
      <w:r>
        <w:rPr>
          <w:i/>
          <w:sz w:val="24"/>
          <w:szCs w:val="24"/>
        </w:rPr>
        <w:t>"</w:t>
      </w:r>
      <w:r w:rsidRPr="0002000E">
        <w:rPr>
          <w:i/>
          <w:sz w:val="24"/>
          <w:szCs w:val="24"/>
        </w:rPr>
        <w:t xml:space="preserve"> 300 mg hårde kapsler:</w:t>
      </w:r>
    </w:p>
    <w:p w:rsidR="00A61314" w:rsidRPr="00850E20" w:rsidRDefault="00A61314" w:rsidP="00A61314">
      <w:pPr>
        <w:ind w:left="851"/>
        <w:rPr>
          <w:sz w:val="24"/>
          <w:szCs w:val="24"/>
        </w:rPr>
      </w:pPr>
      <w:r w:rsidRPr="00850E20">
        <w:rPr>
          <w:sz w:val="24"/>
          <w:szCs w:val="24"/>
        </w:rPr>
        <w:t>Hver kapsel indeholder 300 mg atazanavir (som sulfat).</w:t>
      </w:r>
    </w:p>
    <w:p w:rsidR="00A61314" w:rsidRPr="00850E20" w:rsidRDefault="00A61314" w:rsidP="00A61314">
      <w:pPr>
        <w:ind w:left="851"/>
        <w:rPr>
          <w:sz w:val="24"/>
          <w:szCs w:val="24"/>
        </w:rPr>
      </w:pPr>
      <w:r w:rsidRPr="00850E20">
        <w:rPr>
          <w:sz w:val="24"/>
          <w:szCs w:val="24"/>
        </w:rPr>
        <w:t>Hjælpestof</w:t>
      </w:r>
      <w:r>
        <w:rPr>
          <w:sz w:val="24"/>
          <w:szCs w:val="24"/>
        </w:rPr>
        <w:t>, som behandleren skal være opmærksom på:</w:t>
      </w:r>
    </w:p>
    <w:p w:rsidR="00A61314" w:rsidRPr="00850E20" w:rsidRDefault="00A61314" w:rsidP="00A61314">
      <w:pPr>
        <w:ind w:left="851"/>
        <w:rPr>
          <w:sz w:val="24"/>
          <w:szCs w:val="24"/>
        </w:rPr>
      </w:pPr>
      <w:r w:rsidRPr="00850E20">
        <w:rPr>
          <w:sz w:val="24"/>
          <w:szCs w:val="24"/>
        </w:rPr>
        <w:t>138,00 mg lactose</w:t>
      </w:r>
      <w:r>
        <w:rPr>
          <w:sz w:val="24"/>
          <w:szCs w:val="24"/>
        </w:rPr>
        <w:t>monohydrat</w:t>
      </w:r>
      <w:r w:rsidRPr="00850E20">
        <w:rPr>
          <w:sz w:val="24"/>
          <w:szCs w:val="24"/>
        </w:rPr>
        <w:t xml:space="preserve"> per kapsel.</w:t>
      </w:r>
    </w:p>
    <w:p w:rsidR="00A61314" w:rsidRPr="00850E20" w:rsidRDefault="00A61314" w:rsidP="00A61314">
      <w:pPr>
        <w:ind w:left="851"/>
        <w:rPr>
          <w:sz w:val="24"/>
          <w:szCs w:val="24"/>
        </w:rPr>
      </w:pPr>
    </w:p>
    <w:p w:rsidR="00A61314" w:rsidRPr="00850E20" w:rsidRDefault="00A61314" w:rsidP="00A61314">
      <w:pPr>
        <w:ind w:left="851"/>
        <w:rPr>
          <w:sz w:val="24"/>
          <w:szCs w:val="24"/>
        </w:rPr>
      </w:pPr>
      <w:r w:rsidRPr="00850E20">
        <w:rPr>
          <w:sz w:val="24"/>
          <w:szCs w:val="24"/>
        </w:rPr>
        <w:t>Alle hjælpestoffer er anført under pkt. 6.1.</w:t>
      </w:r>
    </w:p>
    <w:p w:rsidR="00A61314" w:rsidRPr="00C84483" w:rsidRDefault="00A61314" w:rsidP="00A61314">
      <w:pPr>
        <w:tabs>
          <w:tab w:val="left" w:pos="851"/>
        </w:tabs>
        <w:ind w:left="851"/>
        <w:rPr>
          <w:sz w:val="24"/>
          <w:szCs w:val="24"/>
        </w:rPr>
      </w:pPr>
    </w:p>
    <w:p w:rsidR="00A61314" w:rsidRPr="00C84483" w:rsidRDefault="00A61314" w:rsidP="00A61314">
      <w:pPr>
        <w:tabs>
          <w:tab w:val="left" w:pos="851"/>
        </w:tabs>
        <w:ind w:left="851" w:hanging="851"/>
        <w:rPr>
          <w:b/>
          <w:sz w:val="24"/>
          <w:szCs w:val="24"/>
        </w:rPr>
      </w:pPr>
      <w:r w:rsidRPr="00C84483">
        <w:rPr>
          <w:b/>
          <w:sz w:val="24"/>
          <w:szCs w:val="24"/>
        </w:rPr>
        <w:t>3.</w:t>
      </w:r>
      <w:r w:rsidRPr="00C84483">
        <w:rPr>
          <w:b/>
          <w:sz w:val="24"/>
          <w:szCs w:val="24"/>
        </w:rPr>
        <w:tab/>
        <w:t>LÆGEMIDDELFORM</w:t>
      </w:r>
    </w:p>
    <w:p w:rsidR="00A61314" w:rsidRPr="00850E20" w:rsidRDefault="00A61314" w:rsidP="00A61314">
      <w:pPr>
        <w:ind w:left="851"/>
        <w:rPr>
          <w:sz w:val="24"/>
          <w:szCs w:val="24"/>
        </w:rPr>
      </w:pPr>
      <w:r w:rsidRPr="00850E20">
        <w:rPr>
          <w:sz w:val="24"/>
          <w:szCs w:val="24"/>
        </w:rPr>
        <w:t>Hårde kapsler</w:t>
      </w:r>
    </w:p>
    <w:p w:rsidR="00A61314" w:rsidRPr="00850E20" w:rsidRDefault="00A61314" w:rsidP="00A61314">
      <w:pPr>
        <w:ind w:left="851"/>
        <w:rPr>
          <w:sz w:val="24"/>
          <w:szCs w:val="24"/>
        </w:rPr>
      </w:pPr>
    </w:p>
    <w:p w:rsidR="00A61314" w:rsidRPr="00850E20" w:rsidRDefault="00A61314" w:rsidP="00A61314">
      <w:pPr>
        <w:ind w:left="851"/>
        <w:rPr>
          <w:i/>
          <w:sz w:val="24"/>
          <w:szCs w:val="24"/>
        </w:rPr>
      </w:pPr>
      <w:r>
        <w:rPr>
          <w:i/>
          <w:sz w:val="24"/>
          <w:szCs w:val="24"/>
        </w:rPr>
        <w:t>Atazanavir "Stada"</w:t>
      </w:r>
      <w:r w:rsidRPr="00850E20">
        <w:rPr>
          <w:i/>
          <w:sz w:val="24"/>
          <w:szCs w:val="24"/>
        </w:rPr>
        <w:t xml:space="preserve"> 150 mg hårde kapsler:</w:t>
      </w:r>
    </w:p>
    <w:p w:rsidR="00A61314" w:rsidRPr="00850E20" w:rsidRDefault="00A61314" w:rsidP="00A61314">
      <w:pPr>
        <w:ind w:left="851"/>
        <w:rPr>
          <w:sz w:val="24"/>
          <w:szCs w:val="24"/>
        </w:rPr>
      </w:pPr>
      <w:r w:rsidRPr="00850E20">
        <w:rPr>
          <w:sz w:val="24"/>
          <w:szCs w:val="24"/>
        </w:rPr>
        <w:t>Ikke gennemsigtig blå og lyseblå kaps</w:t>
      </w:r>
      <w:r>
        <w:rPr>
          <w:sz w:val="24"/>
          <w:szCs w:val="24"/>
        </w:rPr>
        <w:t>el</w:t>
      </w:r>
      <w:r w:rsidRPr="00850E20">
        <w:rPr>
          <w:sz w:val="24"/>
          <w:szCs w:val="24"/>
        </w:rPr>
        <w:t xml:space="preserve"> af størrelse 1, med </w:t>
      </w:r>
      <w:r>
        <w:rPr>
          <w:sz w:val="24"/>
          <w:szCs w:val="24"/>
        </w:rPr>
        <w:t>"</w:t>
      </w:r>
      <w:r w:rsidRPr="00850E20">
        <w:rPr>
          <w:sz w:val="24"/>
          <w:szCs w:val="24"/>
        </w:rPr>
        <w:t>150 mg</w:t>
      </w:r>
      <w:r>
        <w:rPr>
          <w:sz w:val="24"/>
          <w:szCs w:val="24"/>
        </w:rPr>
        <w:t>"</w:t>
      </w:r>
      <w:r w:rsidRPr="00850E20">
        <w:rPr>
          <w:sz w:val="24"/>
          <w:szCs w:val="24"/>
        </w:rPr>
        <w:t xml:space="preserve"> printet på låget med hvidt blæk.</w:t>
      </w:r>
    </w:p>
    <w:p w:rsidR="00A61314" w:rsidRDefault="00A61314" w:rsidP="00A61314">
      <w:pPr>
        <w:ind w:left="851"/>
        <w:rPr>
          <w:i/>
          <w:sz w:val="24"/>
          <w:szCs w:val="24"/>
        </w:rPr>
      </w:pPr>
    </w:p>
    <w:p w:rsidR="00A61314" w:rsidRPr="00850E20" w:rsidRDefault="00A61314" w:rsidP="00A61314">
      <w:pPr>
        <w:ind w:left="851"/>
        <w:rPr>
          <w:i/>
          <w:sz w:val="24"/>
          <w:szCs w:val="24"/>
        </w:rPr>
      </w:pPr>
      <w:r>
        <w:rPr>
          <w:i/>
          <w:sz w:val="24"/>
          <w:szCs w:val="24"/>
        </w:rPr>
        <w:t>Atazanavir "Stada"</w:t>
      </w:r>
      <w:r w:rsidRPr="00850E20">
        <w:rPr>
          <w:i/>
          <w:sz w:val="24"/>
          <w:szCs w:val="24"/>
        </w:rPr>
        <w:t xml:space="preserve"> 200 mg hårde kapsler:</w:t>
      </w:r>
    </w:p>
    <w:p w:rsidR="00A61314" w:rsidRPr="00850E20" w:rsidRDefault="00A61314" w:rsidP="00A61314">
      <w:pPr>
        <w:ind w:left="851"/>
        <w:rPr>
          <w:sz w:val="24"/>
          <w:szCs w:val="24"/>
        </w:rPr>
      </w:pPr>
      <w:r w:rsidRPr="00850E20">
        <w:rPr>
          <w:sz w:val="24"/>
          <w:szCs w:val="24"/>
        </w:rPr>
        <w:t>Ikke gennemsigtig blå kaps</w:t>
      </w:r>
      <w:r>
        <w:rPr>
          <w:sz w:val="24"/>
          <w:szCs w:val="24"/>
        </w:rPr>
        <w:t>el</w:t>
      </w:r>
      <w:r w:rsidRPr="00850E20">
        <w:rPr>
          <w:sz w:val="24"/>
          <w:szCs w:val="24"/>
        </w:rPr>
        <w:t xml:space="preserve"> af størrelse 0, med </w:t>
      </w:r>
      <w:r>
        <w:rPr>
          <w:sz w:val="24"/>
          <w:szCs w:val="24"/>
        </w:rPr>
        <w:t>"</w:t>
      </w:r>
      <w:r w:rsidRPr="00850E20">
        <w:rPr>
          <w:sz w:val="24"/>
          <w:szCs w:val="24"/>
        </w:rPr>
        <w:t>200 mg</w:t>
      </w:r>
      <w:r>
        <w:rPr>
          <w:sz w:val="24"/>
          <w:szCs w:val="24"/>
        </w:rPr>
        <w:t>"</w:t>
      </w:r>
      <w:r w:rsidRPr="00850E20">
        <w:rPr>
          <w:sz w:val="24"/>
          <w:szCs w:val="24"/>
        </w:rPr>
        <w:t xml:space="preserve"> printet på låget med hvidt blæk.</w:t>
      </w:r>
    </w:p>
    <w:p w:rsidR="00A61314" w:rsidRDefault="00A61314" w:rsidP="00A61314">
      <w:pPr>
        <w:ind w:left="851"/>
        <w:rPr>
          <w:i/>
          <w:sz w:val="24"/>
          <w:szCs w:val="24"/>
        </w:rPr>
      </w:pPr>
    </w:p>
    <w:p w:rsidR="00A61314" w:rsidRPr="00850E20" w:rsidRDefault="00A61314" w:rsidP="00A61314">
      <w:pPr>
        <w:keepNext/>
        <w:ind w:left="851"/>
        <w:rPr>
          <w:i/>
          <w:sz w:val="24"/>
          <w:szCs w:val="24"/>
        </w:rPr>
      </w:pPr>
      <w:r>
        <w:rPr>
          <w:i/>
          <w:sz w:val="24"/>
          <w:szCs w:val="24"/>
        </w:rPr>
        <w:lastRenderedPageBreak/>
        <w:t>Atazanavir "Stada"</w:t>
      </w:r>
      <w:r w:rsidRPr="00850E20">
        <w:rPr>
          <w:i/>
          <w:sz w:val="24"/>
          <w:szCs w:val="24"/>
        </w:rPr>
        <w:t xml:space="preserve"> 300 mg hårde kapsler:</w:t>
      </w:r>
    </w:p>
    <w:p w:rsidR="00A61314" w:rsidRPr="00850E20" w:rsidRDefault="00A61314" w:rsidP="00A61314">
      <w:pPr>
        <w:ind w:left="851"/>
        <w:rPr>
          <w:sz w:val="24"/>
          <w:szCs w:val="24"/>
        </w:rPr>
      </w:pPr>
      <w:r w:rsidRPr="00850E20">
        <w:rPr>
          <w:sz w:val="24"/>
          <w:szCs w:val="24"/>
        </w:rPr>
        <w:t>Ikke gennemsigtig rød og blå kaps</w:t>
      </w:r>
      <w:r>
        <w:rPr>
          <w:sz w:val="24"/>
          <w:szCs w:val="24"/>
        </w:rPr>
        <w:t>el</w:t>
      </w:r>
      <w:r w:rsidRPr="00850E20">
        <w:rPr>
          <w:sz w:val="24"/>
          <w:szCs w:val="24"/>
        </w:rPr>
        <w:t xml:space="preserve"> af størrelse 00, med </w:t>
      </w:r>
      <w:r>
        <w:rPr>
          <w:sz w:val="24"/>
          <w:szCs w:val="24"/>
        </w:rPr>
        <w:t>"</w:t>
      </w:r>
      <w:r w:rsidRPr="00850E20">
        <w:rPr>
          <w:sz w:val="24"/>
          <w:szCs w:val="24"/>
        </w:rPr>
        <w:t>300 mg</w:t>
      </w:r>
      <w:r>
        <w:rPr>
          <w:sz w:val="24"/>
          <w:szCs w:val="24"/>
        </w:rPr>
        <w:t>"</w:t>
      </w:r>
      <w:r w:rsidRPr="00850E20">
        <w:rPr>
          <w:sz w:val="24"/>
          <w:szCs w:val="24"/>
        </w:rPr>
        <w:t xml:space="preserve"> printet på låget med hvidt blæk.</w:t>
      </w:r>
    </w:p>
    <w:p w:rsidR="00A61314" w:rsidRPr="00C84483" w:rsidRDefault="00A61314" w:rsidP="00A61314">
      <w:pPr>
        <w:tabs>
          <w:tab w:val="left" w:pos="851"/>
        </w:tabs>
        <w:ind w:left="851"/>
        <w:rPr>
          <w:sz w:val="24"/>
          <w:szCs w:val="24"/>
        </w:rPr>
      </w:pPr>
    </w:p>
    <w:p w:rsidR="00A61314" w:rsidRPr="00C84483" w:rsidRDefault="00A61314" w:rsidP="00A61314">
      <w:pPr>
        <w:tabs>
          <w:tab w:val="left" w:pos="851"/>
        </w:tabs>
        <w:ind w:left="851"/>
        <w:rPr>
          <w:sz w:val="24"/>
          <w:szCs w:val="24"/>
        </w:rPr>
      </w:pPr>
    </w:p>
    <w:p w:rsidR="00A61314" w:rsidRPr="00C84483" w:rsidRDefault="00A61314" w:rsidP="00A61314">
      <w:pPr>
        <w:tabs>
          <w:tab w:val="left" w:pos="851"/>
        </w:tabs>
        <w:ind w:left="851" w:hanging="851"/>
        <w:rPr>
          <w:b/>
          <w:sz w:val="24"/>
          <w:szCs w:val="24"/>
        </w:rPr>
      </w:pPr>
      <w:r w:rsidRPr="00C84483">
        <w:rPr>
          <w:b/>
          <w:sz w:val="24"/>
          <w:szCs w:val="24"/>
        </w:rPr>
        <w:t>4.</w:t>
      </w:r>
      <w:r w:rsidRPr="00C84483">
        <w:rPr>
          <w:b/>
          <w:sz w:val="24"/>
          <w:szCs w:val="24"/>
        </w:rPr>
        <w:tab/>
        <w:t>KLINISKE OPLYSNINGER</w:t>
      </w:r>
    </w:p>
    <w:p w:rsidR="00A61314" w:rsidRPr="00C84483" w:rsidRDefault="00A61314" w:rsidP="00A61314">
      <w:pPr>
        <w:tabs>
          <w:tab w:val="left" w:pos="851"/>
        </w:tabs>
        <w:ind w:left="851"/>
        <w:rPr>
          <w:b/>
          <w:sz w:val="24"/>
          <w:szCs w:val="24"/>
        </w:rPr>
      </w:pPr>
    </w:p>
    <w:p w:rsidR="00A61314" w:rsidRPr="00C84483" w:rsidRDefault="00A61314" w:rsidP="00A61314">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A61314" w:rsidRPr="00850E20" w:rsidRDefault="00A61314" w:rsidP="00A61314">
      <w:pPr>
        <w:ind w:left="851"/>
        <w:rPr>
          <w:sz w:val="24"/>
          <w:szCs w:val="24"/>
        </w:rPr>
      </w:pPr>
      <w:r>
        <w:rPr>
          <w:sz w:val="24"/>
          <w:szCs w:val="24"/>
        </w:rPr>
        <w:t>Atazanavir "Stada"</w:t>
      </w:r>
      <w:r w:rsidRPr="00850E20">
        <w:rPr>
          <w:sz w:val="24"/>
          <w:szCs w:val="24"/>
        </w:rPr>
        <w:t>-kapsler, administreret sammen med en lav dosis ritonavir, er indiceret til behandling af HIV-1-infektion hos voksne og børn fra 6 år og ældre i kombination med andre antiretrovirale</w:t>
      </w:r>
      <w:r>
        <w:rPr>
          <w:sz w:val="24"/>
          <w:szCs w:val="24"/>
        </w:rPr>
        <w:t xml:space="preserve"> </w:t>
      </w:r>
      <w:r w:rsidRPr="00850E20">
        <w:rPr>
          <w:sz w:val="24"/>
          <w:szCs w:val="24"/>
        </w:rPr>
        <w:t>lægemidler (se pkt. 4.2).</w:t>
      </w:r>
    </w:p>
    <w:p w:rsidR="00A61314" w:rsidRPr="00850E20" w:rsidRDefault="00A61314" w:rsidP="00A61314">
      <w:pPr>
        <w:ind w:left="851"/>
        <w:rPr>
          <w:sz w:val="24"/>
          <w:szCs w:val="24"/>
        </w:rPr>
      </w:pPr>
    </w:p>
    <w:p w:rsidR="00A61314" w:rsidRPr="00850E20" w:rsidRDefault="00A61314" w:rsidP="00A61314">
      <w:pPr>
        <w:ind w:left="851"/>
        <w:rPr>
          <w:sz w:val="24"/>
          <w:szCs w:val="24"/>
        </w:rPr>
      </w:pPr>
      <w:r w:rsidRPr="00850E20">
        <w:rPr>
          <w:sz w:val="24"/>
          <w:szCs w:val="24"/>
        </w:rPr>
        <w:t>På baggrund af eksisterende virologiske og kliniske data for voksne patienter forventes der ikke</w:t>
      </w:r>
      <w:r>
        <w:rPr>
          <w:sz w:val="24"/>
          <w:szCs w:val="24"/>
        </w:rPr>
        <w:t xml:space="preserve"> </w:t>
      </w:r>
      <w:r w:rsidRPr="00850E20">
        <w:rPr>
          <w:sz w:val="24"/>
          <w:szCs w:val="24"/>
        </w:rPr>
        <w:t>gavnlig effekt hos patienter med stammer, der er resistente over for flere proteasehæmmere (≥ 4 PI-mutationer).</w:t>
      </w:r>
    </w:p>
    <w:p w:rsidR="00A61314" w:rsidRPr="00850E20" w:rsidRDefault="00A61314" w:rsidP="00A61314">
      <w:pPr>
        <w:ind w:left="851"/>
        <w:rPr>
          <w:sz w:val="24"/>
          <w:szCs w:val="24"/>
        </w:rPr>
      </w:pPr>
    </w:p>
    <w:p w:rsidR="00A61314" w:rsidRPr="00850E20" w:rsidRDefault="00A61314" w:rsidP="00A61314">
      <w:pPr>
        <w:ind w:left="851"/>
        <w:rPr>
          <w:sz w:val="24"/>
          <w:szCs w:val="24"/>
        </w:rPr>
      </w:pPr>
      <w:r w:rsidRPr="00850E20">
        <w:rPr>
          <w:sz w:val="24"/>
          <w:szCs w:val="24"/>
        </w:rPr>
        <w:t xml:space="preserve">Valg af </w:t>
      </w:r>
      <w:r>
        <w:rPr>
          <w:sz w:val="24"/>
          <w:szCs w:val="24"/>
        </w:rPr>
        <w:t>Atazanavir "Stada"</w:t>
      </w:r>
      <w:r w:rsidRPr="00850E20">
        <w:rPr>
          <w:sz w:val="24"/>
          <w:szCs w:val="24"/>
        </w:rPr>
        <w:t xml:space="preserve"> til behandlingserfarne voksne og pædiatriske patienter bør baseres på en</w:t>
      </w:r>
      <w:r>
        <w:rPr>
          <w:sz w:val="24"/>
          <w:szCs w:val="24"/>
        </w:rPr>
        <w:t xml:space="preserve"> </w:t>
      </w:r>
      <w:r w:rsidRPr="00850E20">
        <w:rPr>
          <w:sz w:val="24"/>
          <w:szCs w:val="24"/>
        </w:rPr>
        <w:t>individuel, viral resistenstest og patientens behandlingsanamnese (se pkt. 4.4 og 5.1).</w:t>
      </w:r>
    </w:p>
    <w:p w:rsidR="00A61314" w:rsidRPr="00C84483" w:rsidRDefault="00A61314" w:rsidP="00A61314">
      <w:pPr>
        <w:tabs>
          <w:tab w:val="left" w:pos="851"/>
        </w:tabs>
        <w:ind w:left="851"/>
        <w:rPr>
          <w:sz w:val="24"/>
          <w:szCs w:val="24"/>
        </w:rPr>
      </w:pPr>
    </w:p>
    <w:p w:rsidR="00A61314" w:rsidRPr="00C84483" w:rsidRDefault="00A61314" w:rsidP="00A61314">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B1422A">
        <w:rPr>
          <w:b/>
          <w:sz w:val="24"/>
          <w:szCs w:val="24"/>
        </w:rPr>
        <w:t>administration</w:t>
      </w:r>
    </w:p>
    <w:p w:rsidR="00A61314" w:rsidRPr="00850E20" w:rsidRDefault="00A61314" w:rsidP="00A61314">
      <w:pPr>
        <w:ind w:left="851"/>
        <w:rPr>
          <w:sz w:val="24"/>
          <w:szCs w:val="24"/>
        </w:rPr>
      </w:pPr>
      <w:r w:rsidRPr="00850E20">
        <w:rPr>
          <w:sz w:val="24"/>
          <w:szCs w:val="24"/>
        </w:rPr>
        <w:t>Behandling bør indledes af en læge med erfaring med behandling af HIV-infektion.</w:t>
      </w:r>
    </w:p>
    <w:p w:rsidR="00A61314" w:rsidRPr="00850E20" w:rsidRDefault="00A61314" w:rsidP="00A61314">
      <w:pPr>
        <w:ind w:left="851"/>
        <w:rPr>
          <w:sz w:val="24"/>
          <w:szCs w:val="24"/>
        </w:rPr>
      </w:pPr>
    </w:p>
    <w:p w:rsidR="00A61314" w:rsidRPr="00850E20" w:rsidRDefault="00A61314" w:rsidP="00A61314">
      <w:pPr>
        <w:ind w:left="851"/>
        <w:rPr>
          <w:sz w:val="24"/>
          <w:szCs w:val="24"/>
          <w:u w:val="single"/>
        </w:rPr>
      </w:pPr>
      <w:r w:rsidRPr="00850E20">
        <w:rPr>
          <w:sz w:val="24"/>
          <w:szCs w:val="24"/>
          <w:u w:val="single"/>
        </w:rPr>
        <w:t>Dosering</w:t>
      </w:r>
    </w:p>
    <w:p w:rsidR="00A61314" w:rsidRPr="00850E20" w:rsidRDefault="00A61314" w:rsidP="00A61314">
      <w:pPr>
        <w:ind w:left="851"/>
        <w:rPr>
          <w:i/>
          <w:sz w:val="24"/>
          <w:szCs w:val="24"/>
        </w:rPr>
      </w:pPr>
      <w:r w:rsidRPr="00850E20">
        <w:rPr>
          <w:i/>
          <w:sz w:val="24"/>
          <w:szCs w:val="24"/>
        </w:rPr>
        <w:t>Voksne</w:t>
      </w:r>
    </w:p>
    <w:p w:rsidR="00A61314" w:rsidRPr="00850E20" w:rsidRDefault="00A61314" w:rsidP="00A61314">
      <w:pPr>
        <w:ind w:left="851"/>
        <w:rPr>
          <w:sz w:val="24"/>
          <w:szCs w:val="24"/>
        </w:rPr>
      </w:pPr>
      <w:r w:rsidRPr="00850E20">
        <w:rPr>
          <w:sz w:val="24"/>
          <w:szCs w:val="24"/>
        </w:rPr>
        <w:t xml:space="preserve">Anbefalet dosis </w:t>
      </w:r>
      <w:r>
        <w:rPr>
          <w:sz w:val="24"/>
          <w:szCs w:val="24"/>
        </w:rPr>
        <w:t>Atazanavir "Stada"</w:t>
      </w:r>
      <w:r w:rsidRPr="00850E20">
        <w:rPr>
          <w:sz w:val="24"/>
          <w:szCs w:val="24"/>
        </w:rPr>
        <w:t>-kapsler er 300 mg én gang dagligt sammen med 100 mg ritonavir én gang dagligt og i forbindelse med et måltid. Ritonavir anvendes som farmakokinetisk booster for atazanavir (se pkt. 4.5 og 5.1). (Se også pkt. 4.4 Seponering af ritonavir udelukkende under restriktive</w:t>
      </w:r>
      <w:r>
        <w:rPr>
          <w:sz w:val="24"/>
          <w:szCs w:val="24"/>
        </w:rPr>
        <w:t xml:space="preserve"> </w:t>
      </w:r>
      <w:r w:rsidRPr="00850E20">
        <w:rPr>
          <w:sz w:val="24"/>
          <w:szCs w:val="24"/>
        </w:rPr>
        <w:t>omstændigheder).</w:t>
      </w:r>
    </w:p>
    <w:p w:rsidR="00A61314" w:rsidRPr="00850E20" w:rsidRDefault="00A61314" w:rsidP="00A61314">
      <w:pPr>
        <w:ind w:left="851"/>
        <w:rPr>
          <w:sz w:val="24"/>
          <w:szCs w:val="24"/>
        </w:rPr>
      </w:pPr>
    </w:p>
    <w:p w:rsidR="002A0DA0" w:rsidRPr="00DC2E4F" w:rsidRDefault="002A0DA0" w:rsidP="002A0DA0">
      <w:pPr>
        <w:ind w:left="851"/>
        <w:rPr>
          <w:i/>
          <w:sz w:val="24"/>
          <w:szCs w:val="24"/>
        </w:rPr>
      </w:pPr>
      <w:r w:rsidRPr="00DC2E4F">
        <w:rPr>
          <w:i/>
          <w:sz w:val="24"/>
          <w:szCs w:val="24"/>
        </w:rPr>
        <w:t>Pædiatriske patienter (fra 6 år til under 18 år og med en legemsvægt på mindst 15 kg)</w:t>
      </w:r>
    </w:p>
    <w:p w:rsidR="002A0DA0" w:rsidRPr="00850E20" w:rsidRDefault="002A0DA0" w:rsidP="002A0DA0">
      <w:pPr>
        <w:ind w:left="851"/>
        <w:rPr>
          <w:sz w:val="24"/>
          <w:szCs w:val="24"/>
        </w:rPr>
      </w:pPr>
      <w:r w:rsidRPr="00850E20">
        <w:rPr>
          <w:sz w:val="24"/>
          <w:szCs w:val="24"/>
        </w:rPr>
        <w:t>Doseringen af atazanavir-kapsler til pædiatriske patienter bestemmes ud fra legemsvægten som vist i</w:t>
      </w:r>
      <w:r>
        <w:rPr>
          <w:sz w:val="24"/>
          <w:szCs w:val="24"/>
        </w:rPr>
        <w:t xml:space="preserve"> </w:t>
      </w:r>
      <w:r w:rsidRPr="00850E20">
        <w:rPr>
          <w:sz w:val="24"/>
          <w:szCs w:val="24"/>
        </w:rPr>
        <w:t xml:space="preserve">tabel 1 og bør ikke overskride den anbefalede dosis for voksne. </w:t>
      </w:r>
      <w:r>
        <w:rPr>
          <w:sz w:val="24"/>
          <w:szCs w:val="24"/>
        </w:rPr>
        <w:t>Atazanavir "Stada"</w:t>
      </w:r>
      <w:r w:rsidRPr="00850E20">
        <w:rPr>
          <w:sz w:val="24"/>
          <w:szCs w:val="24"/>
        </w:rPr>
        <w:t>-kapsler skal tages sammen med ritonavir og i forbindelse med et måltid.</w:t>
      </w:r>
    </w:p>
    <w:p w:rsidR="002A0DA0" w:rsidRDefault="002A0DA0" w:rsidP="002A0DA0"/>
    <w:p w:rsidR="002A0DA0" w:rsidRDefault="002A0DA0" w:rsidP="002A0DA0">
      <w:pPr>
        <w:autoSpaceDE w:val="0"/>
        <w:autoSpaceDN w:val="0"/>
        <w:adjustRightInd w:val="0"/>
        <w:rPr>
          <w:rFonts w:eastAsia="TimesNewRoman,Bold"/>
          <w:b/>
          <w:bCs/>
        </w:rPr>
      </w:pPr>
      <w:r>
        <w:rPr>
          <w:b/>
        </w:rPr>
        <w:t xml:space="preserve">Tabel 1: </w:t>
      </w:r>
      <w:r>
        <w:rPr>
          <w:rFonts w:eastAsia="TimesNewRoman,Bold"/>
          <w:b/>
          <w:bCs/>
        </w:rPr>
        <w:t>Dosis af Atazanavir "Stada"-kapsler med ritonavir til pædiatriske patienter (fra 6 år til under 18 år og med en legemsvægt på mindst 15 kg)</w:t>
      </w:r>
    </w:p>
    <w:p w:rsidR="002A0DA0" w:rsidRDefault="002A0DA0" w:rsidP="002A0DA0">
      <w:pPr>
        <w:autoSpaceDE w:val="0"/>
        <w:autoSpaceDN w:val="0"/>
        <w:adjustRightInd w:val="0"/>
        <w:rPr>
          <w:rFonts w:eastAsia="TimesNewRoman,Bold"/>
          <w:b/>
          <w:bCs/>
        </w:rPr>
      </w:pPr>
    </w:p>
    <w:tbl>
      <w:tblPr>
        <w:tblW w:w="5000" w:type="pct"/>
        <w:tblBorders>
          <w:top w:val="single" w:sz="4" w:space="0" w:color="auto"/>
          <w:bottom w:val="single" w:sz="4" w:space="0" w:color="auto"/>
        </w:tblBorders>
        <w:tblLook w:val="04A0" w:firstRow="1" w:lastRow="0" w:firstColumn="1" w:lastColumn="0" w:noHBand="0" w:noVBand="1"/>
      </w:tblPr>
      <w:tblGrid>
        <w:gridCol w:w="2807"/>
        <w:gridCol w:w="3697"/>
        <w:gridCol w:w="3134"/>
      </w:tblGrid>
      <w:tr w:rsidR="002A0DA0" w:rsidRPr="000257C6" w:rsidTr="002A0DA0">
        <w:tc>
          <w:tcPr>
            <w:tcW w:w="1456" w:type="pct"/>
            <w:tcBorders>
              <w:top w:val="single" w:sz="4" w:space="0" w:color="auto"/>
              <w:left w:val="nil"/>
              <w:bottom w:val="single" w:sz="4" w:space="0" w:color="auto"/>
              <w:right w:val="nil"/>
            </w:tcBorders>
            <w:hideMark/>
          </w:tcPr>
          <w:p w:rsidR="002A0DA0" w:rsidRPr="00DC2E4F" w:rsidRDefault="002A0DA0" w:rsidP="002A0DA0">
            <w:pPr>
              <w:autoSpaceDE w:val="0"/>
              <w:autoSpaceDN w:val="0"/>
              <w:adjustRightInd w:val="0"/>
              <w:ind w:left="34"/>
              <w:rPr>
                <w:b/>
                <w:sz w:val="22"/>
                <w:szCs w:val="22"/>
              </w:rPr>
            </w:pPr>
            <w:r w:rsidRPr="00DC2E4F">
              <w:rPr>
                <w:b/>
                <w:sz w:val="22"/>
                <w:szCs w:val="22"/>
              </w:rPr>
              <w:t>Legemsvægt (kg)</w:t>
            </w:r>
          </w:p>
          <w:p w:rsidR="002A0DA0" w:rsidRPr="00DC2E4F" w:rsidRDefault="002A0DA0" w:rsidP="002A0DA0">
            <w:pPr>
              <w:autoSpaceDE w:val="0"/>
              <w:autoSpaceDN w:val="0"/>
              <w:adjustRightInd w:val="0"/>
              <w:ind w:left="34"/>
              <w:rPr>
                <w:sz w:val="22"/>
                <w:szCs w:val="22"/>
              </w:rPr>
            </w:pPr>
            <w:r w:rsidRPr="00DC2E4F">
              <w:rPr>
                <w:sz w:val="22"/>
                <w:szCs w:val="22"/>
              </w:rPr>
              <w:t>15 til under 35</w:t>
            </w:r>
          </w:p>
          <w:p w:rsidR="002A0DA0" w:rsidRPr="00DC2E4F" w:rsidRDefault="002A0DA0" w:rsidP="002A0DA0">
            <w:pPr>
              <w:autoSpaceDE w:val="0"/>
              <w:autoSpaceDN w:val="0"/>
              <w:adjustRightInd w:val="0"/>
              <w:ind w:left="34"/>
              <w:rPr>
                <w:sz w:val="22"/>
                <w:szCs w:val="22"/>
              </w:rPr>
            </w:pPr>
            <w:r w:rsidRPr="00DC2E4F">
              <w:rPr>
                <w:sz w:val="22"/>
                <w:szCs w:val="22"/>
              </w:rPr>
              <w:t>Mindst 35</w:t>
            </w:r>
          </w:p>
        </w:tc>
        <w:tc>
          <w:tcPr>
            <w:tcW w:w="1918" w:type="pct"/>
            <w:tcBorders>
              <w:top w:val="single" w:sz="4" w:space="0" w:color="auto"/>
              <w:left w:val="nil"/>
              <w:bottom w:val="single" w:sz="4" w:space="0" w:color="auto"/>
              <w:right w:val="nil"/>
            </w:tcBorders>
            <w:hideMark/>
          </w:tcPr>
          <w:p w:rsidR="002A0DA0" w:rsidRPr="00DC2E4F" w:rsidRDefault="002A0DA0" w:rsidP="002A0DA0">
            <w:pPr>
              <w:autoSpaceDE w:val="0"/>
              <w:autoSpaceDN w:val="0"/>
              <w:adjustRightInd w:val="0"/>
              <w:ind w:left="34"/>
              <w:jc w:val="center"/>
              <w:rPr>
                <w:b/>
                <w:sz w:val="22"/>
                <w:szCs w:val="22"/>
              </w:rPr>
            </w:pPr>
            <w:r w:rsidRPr="00DC2E4F">
              <w:rPr>
                <w:b/>
                <w:sz w:val="22"/>
                <w:szCs w:val="22"/>
              </w:rPr>
              <w:t xml:space="preserve">Atazanavir </w:t>
            </w:r>
            <w:r>
              <w:rPr>
                <w:b/>
                <w:sz w:val="22"/>
                <w:szCs w:val="22"/>
              </w:rPr>
              <w:t>"</w:t>
            </w:r>
            <w:r w:rsidRPr="00DC2E4F">
              <w:rPr>
                <w:b/>
                <w:sz w:val="22"/>
                <w:szCs w:val="22"/>
              </w:rPr>
              <w:t>Stada</w:t>
            </w:r>
            <w:r>
              <w:rPr>
                <w:b/>
                <w:sz w:val="22"/>
                <w:szCs w:val="22"/>
              </w:rPr>
              <w:t>"</w:t>
            </w:r>
            <w:r w:rsidRPr="00DC2E4F">
              <w:rPr>
                <w:b/>
                <w:sz w:val="22"/>
                <w:szCs w:val="22"/>
              </w:rPr>
              <w:t xml:space="preserve"> en daglig dosis</w:t>
            </w:r>
          </w:p>
          <w:p w:rsidR="002A0DA0" w:rsidRPr="00DC2E4F" w:rsidRDefault="002A0DA0" w:rsidP="002A0DA0">
            <w:pPr>
              <w:autoSpaceDE w:val="0"/>
              <w:autoSpaceDN w:val="0"/>
              <w:adjustRightInd w:val="0"/>
              <w:ind w:left="34"/>
              <w:jc w:val="center"/>
              <w:rPr>
                <w:sz w:val="22"/>
                <w:szCs w:val="22"/>
              </w:rPr>
            </w:pPr>
            <w:r w:rsidRPr="00DC2E4F">
              <w:rPr>
                <w:sz w:val="22"/>
                <w:szCs w:val="22"/>
              </w:rPr>
              <w:t>200 mg</w:t>
            </w:r>
          </w:p>
          <w:p w:rsidR="002A0DA0" w:rsidRPr="00DC2E4F" w:rsidRDefault="002A0DA0" w:rsidP="002A0DA0">
            <w:pPr>
              <w:autoSpaceDE w:val="0"/>
              <w:autoSpaceDN w:val="0"/>
              <w:adjustRightInd w:val="0"/>
              <w:ind w:left="34"/>
              <w:jc w:val="center"/>
              <w:rPr>
                <w:sz w:val="22"/>
                <w:szCs w:val="22"/>
              </w:rPr>
            </w:pPr>
            <w:r w:rsidRPr="00DC2E4F">
              <w:rPr>
                <w:sz w:val="22"/>
                <w:szCs w:val="22"/>
              </w:rPr>
              <w:t>300 mg</w:t>
            </w:r>
          </w:p>
        </w:tc>
        <w:tc>
          <w:tcPr>
            <w:tcW w:w="1627" w:type="pct"/>
            <w:tcBorders>
              <w:top w:val="single" w:sz="4" w:space="0" w:color="auto"/>
              <w:left w:val="nil"/>
              <w:bottom w:val="single" w:sz="4" w:space="0" w:color="auto"/>
              <w:right w:val="nil"/>
            </w:tcBorders>
            <w:hideMark/>
          </w:tcPr>
          <w:p w:rsidR="002A0DA0" w:rsidRPr="00582B2E" w:rsidRDefault="002A0DA0" w:rsidP="002A0DA0">
            <w:pPr>
              <w:autoSpaceDE w:val="0"/>
              <w:autoSpaceDN w:val="0"/>
              <w:adjustRightInd w:val="0"/>
              <w:ind w:left="34"/>
              <w:jc w:val="center"/>
              <w:rPr>
                <w:b/>
                <w:sz w:val="22"/>
                <w:szCs w:val="22"/>
                <w:lang w:val="sv-SE"/>
              </w:rPr>
            </w:pPr>
            <w:r w:rsidRPr="00582B2E">
              <w:rPr>
                <w:b/>
                <w:sz w:val="22"/>
                <w:szCs w:val="22"/>
                <w:lang w:val="sv-SE"/>
              </w:rPr>
              <w:t>Ritonavir en daglig dosis</w:t>
            </w:r>
            <w:r w:rsidRPr="00582B2E">
              <w:rPr>
                <w:b/>
                <w:sz w:val="22"/>
                <w:szCs w:val="22"/>
                <w:vertAlign w:val="superscript"/>
                <w:lang w:val="sv-SE"/>
              </w:rPr>
              <w:t>a</w:t>
            </w:r>
          </w:p>
          <w:p w:rsidR="002A0DA0" w:rsidRPr="00582B2E" w:rsidRDefault="002A0DA0" w:rsidP="002A0DA0">
            <w:pPr>
              <w:autoSpaceDE w:val="0"/>
              <w:autoSpaceDN w:val="0"/>
              <w:adjustRightInd w:val="0"/>
              <w:ind w:left="34"/>
              <w:jc w:val="center"/>
              <w:rPr>
                <w:sz w:val="22"/>
                <w:szCs w:val="22"/>
                <w:lang w:val="sv-SE"/>
              </w:rPr>
            </w:pPr>
            <w:r w:rsidRPr="00582B2E">
              <w:rPr>
                <w:sz w:val="22"/>
                <w:szCs w:val="22"/>
                <w:lang w:val="sv-SE"/>
              </w:rPr>
              <w:t>100 mg</w:t>
            </w:r>
          </w:p>
          <w:p w:rsidR="002A0DA0" w:rsidRPr="00582B2E" w:rsidRDefault="002A0DA0" w:rsidP="002A0DA0">
            <w:pPr>
              <w:autoSpaceDE w:val="0"/>
              <w:autoSpaceDN w:val="0"/>
              <w:adjustRightInd w:val="0"/>
              <w:ind w:left="34"/>
              <w:jc w:val="center"/>
              <w:rPr>
                <w:sz w:val="22"/>
                <w:szCs w:val="22"/>
                <w:lang w:val="sv-SE"/>
              </w:rPr>
            </w:pPr>
            <w:r w:rsidRPr="00582B2E">
              <w:rPr>
                <w:sz w:val="22"/>
                <w:szCs w:val="22"/>
                <w:lang w:val="sv-SE"/>
              </w:rPr>
              <w:t>100 mg</w:t>
            </w:r>
          </w:p>
        </w:tc>
      </w:tr>
    </w:tbl>
    <w:p w:rsidR="002A0DA0" w:rsidRPr="00582B2E" w:rsidRDefault="002A0DA0" w:rsidP="002A0DA0">
      <w:pPr>
        <w:autoSpaceDE w:val="0"/>
        <w:autoSpaceDN w:val="0"/>
        <w:adjustRightInd w:val="0"/>
        <w:rPr>
          <w:sz w:val="22"/>
          <w:szCs w:val="22"/>
          <w:lang w:val="sv-SE"/>
        </w:rPr>
      </w:pPr>
      <w:r w:rsidRPr="00582B2E">
        <w:rPr>
          <w:vertAlign w:val="superscript"/>
          <w:lang w:val="sv-SE"/>
        </w:rPr>
        <w:t>a</w:t>
      </w:r>
      <w:r w:rsidRPr="00582B2E">
        <w:rPr>
          <w:lang w:val="sv-SE"/>
        </w:rPr>
        <w:t xml:space="preserve"> Ritonavirkapsler, tabletter eller oral opløsning.</w:t>
      </w:r>
    </w:p>
    <w:p w:rsidR="002A0DA0" w:rsidRPr="00582B2E" w:rsidRDefault="002A0DA0" w:rsidP="002A0DA0">
      <w:pPr>
        <w:autoSpaceDE w:val="0"/>
        <w:autoSpaceDN w:val="0"/>
        <w:adjustRightInd w:val="0"/>
        <w:rPr>
          <w:lang w:val="sv-SE"/>
        </w:rPr>
      </w:pPr>
    </w:p>
    <w:p w:rsidR="002A0DA0" w:rsidRPr="00582B2E" w:rsidRDefault="002A0DA0" w:rsidP="002A0DA0">
      <w:pPr>
        <w:autoSpaceDE w:val="0"/>
        <w:autoSpaceDN w:val="0"/>
        <w:adjustRightInd w:val="0"/>
        <w:ind w:left="851"/>
        <w:rPr>
          <w:sz w:val="24"/>
          <w:szCs w:val="24"/>
          <w:lang w:val="sv-SE"/>
        </w:rPr>
      </w:pPr>
      <w:r w:rsidRPr="00582B2E">
        <w:rPr>
          <w:i/>
          <w:sz w:val="24"/>
          <w:szCs w:val="24"/>
          <w:lang w:val="sv-SE"/>
        </w:rPr>
        <w:t>Pædiatriske patienter (mindst 3 måneder og med en legemsvægt på mindst 5 kg):</w:t>
      </w:r>
      <w:r w:rsidRPr="00582B2E">
        <w:rPr>
          <w:sz w:val="24"/>
          <w:szCs w:val="24"/>
          <w:lang w:val="sv-SE"/>
        </w:rPr>
        <w:t xml:space="preserve"> </w:t>
      </w:r>
    </w:p>
    <w:p w:rsidR="002A0DA0" w:rsidRPr="00582B2E" w:rsidRDefault="002A0DA0" w:rsidP="002A0DA0">
      <w:pPr>
        <w:autoSpaceDE w:val="0"/>
        <w:autoSpaceDN w:val="0"/>
        <w:adjustRightInd w:val="0"/>
        <w:ind w:left="851"/>
        <w:rPr>
          <w:sz w:val="24"/>
          <w:szCs w:val="24"/>
          <w:lang w:val="sv-SE"/>
        </w:rPr>
      </w:pPr>
      <w:r w:rsidRPr="00582B2E">
        <w:rPr>
          <w:sz w:val="24"/>
          <w:szCs w:val="24"/>
          <w:lang w:val="sv-SE"/>
        </w:rPr>
        <w:t>Andre formuleringer af atazanavir kan være tilgængelige for pædiatriske patienter, som er mindst 3 måneder og vejer mindst 5 kg (se relevant produktresume for alternative formulering). Det anbefales at skifte til kapsler fra alternative formuleringer, så snart patienten konsekvent er i stand til at sluge kapsler.</w:t>
      </w:r>
    </w:p>
    <w:p w:rsidR="002A0DA0" w:rsidRPr="00582B2E" w:rsidRDefault="002A0DA0" w:rsidP="002A0DA0">
      <w:pPr>
        <w:autoSpaceDE w:val="0"/>
        <w:autoSpaceDN w:val="0"/>
        <w:adjustRightInd w:val="0"/>
        <w:ind w:left="851"/>
        <w:rPr>
          <w:sz w:val="24"/>
          <w:szCs w:val="24"/>
          <w:lang w:val="sv-SE"/>
        </w:rPr>
      </w:pPr>
    </w:p>
    <w:p w:rsidR="002A0DA0" w:rsidRPr="00582B2E" w:rsidRDefault="002A0DA0" w:rsidP="002A0DA0">
      <w:pPr>
        <w:autoSpaceDE w:val="0"/>
        <w:autoSpaceDN w:val="0"/>
        <w:adjustRightInd w:val="0"/>
        <w:ind w:left="851"/>
        <w:rPr>
          <w:sz w:val="24"/>
          <w:szCs w:val="24"/>
          <w:lang w:val="sv-SE"/>
        </w:rPr>
      </w:pPr>
      <w:r w:rsidRPr="00582B2E">
        <w:rPr>
          <w:sz w:val="24"/>
          <w:szCs w:val="24"/>
          <w:lang w:val="sv-SE"/>
        </w:rPr>
        <w:t>Ved skift mellem to formuleringer kan det være nødvendigt at ændre dosis. Se doseringstabellen for den pågældende formulering (se relevant produktresumé).</w:t>
      </w:r>
    </w:p>
    <w:p w:rsidR="002A0DA0" w:rsidRPr="00582B2E" w:rsidRDefault="002A0DA0" w:rsidP="002A0DA0">
      <w:pPr>
        <w:autoSpaceDE w:val="0"/>
        <w:autoSpaceDN w:val="0"/>
        <w:adjustRightInd w:val="0"/>
        <w:ind w:left="851"/>
        <w:rPr>
          <w:sz w:val="24"/>
          <w:szCs w:val="24"/>
          <w:lang w:val="sv-SE"/>
        </w:rPr>
      </w:pPr>
    </w:p>
    <w:p w:rsidR="002A0DA0" w:rsidRPr="00850E20" w:rsidRDefault="002A0DA0" w:rsidP="002A0DA0">
      <w:pPr>
        <w:autoSpaceDE w:val="0"/>
        <w:autoSpaceDN w:val="0"/>
        <w:adjustRightInd w:val="0"/>
        <w:ind w:left="851"/>
        <w:rPr>
          <w:i/>
          <w:sz w:val="24"/>
          <w:szCs w:val="24"/>
        </w:rPr>
      </w:pPr>
      <w:r w:rsidRPr="00850E20">
        <w:rPr>
          <w:i/>
          <w:sz w:val="24"/>
          <w:szCs w:val="24"/>
        </w:rPr>
        <w:t>Specielle populationer</w:t>
      </w:r>
    </w:p>
    <w:p w:rsidR="002A0DA0" w:rsidRPr="00850E20" w:rsidRDefault="002A0DA0" w:rsidP="002A0DA0">
      <w:pPr>
        <w:autoSpaceDE w:val="0"/>
        <w:autoSpaceDN w:val="0"/>
        <w:adjustRightInd w:val="0"/>
        <w:ind w:left="851"/>
        <w:rPr>
          <w:i/>
          <w:sz w:val="24"/>
          <w:szCs w:val="24"/>
        </w:rPr>
      </w:pPr>
      <w:r w:rsidRPr="00850E20">
        <w:rPr>
          <w:i/>
          <w:sz w:val="24"/>
          <w:szCs w:val="24"/>
        </w:rPr>
        <w:t>Nedsat nyrefunktion</w:t>
      </w:r>
    </w:p>
    <w:p w:rsidR="002A0DA0" w:rsidRPr="00850E20" w:rsidRDefault="002A0DA0" w:rsidP="002A0DA0">
      <w:pPr>
        <w:autoSpaceDE w:val="0"/>
        <w:autoSpaceDN w:val="0"/>
        <w:adjustRightInd w:val="0"/>
        <w:ind w:left="851"/>
        <w:rPr>
          <w:sz w:val="24"/>
          <w:szCs w:val="24"/>
        </w:rPr>
      </w:pPr>
      <w:r w:rsidRPr="00850E20">
        <w:rPr>
          <w:sz w:val="24"/>
          <w:szCs w:val="24"/>
        </w:rPr>
        <w:t xml:space="preserve">Dosisjustering er ikke påkrævet. </w:t>
      </w:r>
      <w:r>
        <w:rPr>
          <w:sz w:val="24"/>
          <w:szCs w:val="24"/>
        </w:rPr>
        <w:t>Atazanavir "Stada"</w:t>
      </w:r>
      <w:r w:rsidRPr="00850E20">
        <w:rPr>
          <w:sz w:val="24"/>
          <w:szCs w:val="24"/>
        </w:rPr>
        <w:t xml:space="preserve"> med ritonavir anbefales ikke til patienter i</w:t>
      </w:r>
      <w:r>
        <w:rPr>
          <w:sz w:val="24"/>
          <w:szCs w:val="24"/>
        </w:rPr>
        <w:t xml:space="preserve"> </w:t>
      </w:r>
      <w:r w:rsidRPr="00850E20">
        <w:rPr>
          <w:sz w:val="24"/>
          <w:szCs w:val="24"/>
        </w:rPr>
        <w:t>hæmodialysebehandling (se pkt. 4.4 og 5.2).</w:t>
      </w:r>
    </w:p>
    <w:p w:rsidR="00A61314" w:rsidRPr="00850E20" w:rsidRDefault="00A61314" w:rsidP="00A61314">
      <w:pPr>
        <w:autoSpaceDE w:val="0"/>
        <w:autoSpaceDN w:val="0"/>
        <w:adjustRightInd w:val="0"/>
        <w:ind w:left="851"/>
        <w:rPr>
          <w:sz w:val="24"/>
          <w:szCs w:val="24"/>
        </w:rPr>
      </w:pPr>
    </w:p>
    <w:p w:rsidR="00A61314" w:rsidRPr="00850E20" w:rsidRDefault="00A61314" w:rsidP="00A61314">
      <w:pPr>
        <w:autoSpaceDE w:val="0"/>
        <w:autoSpaceDN w:val="0"/>
        <w:adjustRightInd w:val="0"/>
        <w:ind w:left="851"/>
        <w:rPr>
          <w:i/>
          <w:sz w:val="24"/>
          <w:szCs w:val="24"/>
        </w:rPr>
      </w:pPr>
      <w:r w:rsidRPr="00850E20">
        <w:rPr>
          <w:i/>
          <w:sz w:val="24"/>
          <w:szCs w:val="24"/>
        </w:rPr>
        <w:t>Nedsat leverfunktion</w:t>
      </w:r>
    </w:p>
    <w:p w:rsidR="00A61314" w:rsidRPr="00850E20" w:rsidRDefault="00A61314" w:rsidP="00A61314">
      <w:pPr>
        <w:autoSpaceDE w:val="0"/>
        <w:autoSpaceDN w:val="0"/>
        <w:adjustRightInd w:val="0"/>
        <w:ind w:left="851"/>
        <w:rPr>
          <w:sz w:val="24"/>
          <w:szCs w:val="24"/>
        </w:rPr>
      </w:pPr>
      <w:r>
        <w:rPr>
          <w:sz w:val="24"/>
          <w:szCs w:val="24"/>
        </w:rPr>
        <w:t>Atazanavir "Stada"</w:t>
      </w:r>
      <w:r w:rsidRPr="00850E20">
        <w:rPr>
          <w:sz w:val="24"/>
          <w:szCs w:val="24"/>
        </w:rPr>
        <w:t xml:space="preserve"> med ritonavir har ikke været undersøgt hos patienter med nedsat leverfunktion.</w:t>
      </w:r>
    </w:p>
    <w:p w:rsidR="00A61314" w:rsidRPr="00850E20" w:rsidRDefault="00A61314" w:rsidP="00A61314">
      <w:pPr>
        <w:autoSpaceDE w:val="0"/>
        <w:autoSpaceDN w:val="0"/>
        <w:adjustRightInd w:val="0"/>
        <w:ind w:left="851"/>
        <w:rPr>
          <w:sz w:val="24"/>
          <w:szCs w:val="24"/>
        </w:rPr>
      </w:pPr>
      <w:r>
        <w:rPr>
          <w:sz w:val="24"/>
          <w:szCs w:val="24"/>
        </w:rPr>
        <w:t>Atazanavir "Stada"</w:t>
      </w:r>
      <w:r w:rsidRPr="00850E20">
        <w:rPr>
          <w:sz w:val="24"/>
          <w:szCs w:val="24"/>
        </w:rPr>
        <w:t xml:space="preserve"> med ritonavir bør anvendes med forsigtighed til patienter med let nedsat leverfunktion.</w:t>
      </w:r>
    </w:p>
    <w:p w:rsidR="00A61314" w:rsidRPr="00850E20" w:rsidRDefault="00A61314" w:rsidP="00A61314">
      <w:pPr>
        <w:autoSpaceDE w:val="0"/>
        <w:autoSpaceDN w:val="0"/>
        <w:adjustRightInd w:val="0"/>
        <w:ind w:left="851"/>
        <w:rPr>
          <w:sz w:val="24"/>
          <w:szCs w:val="24"/>
        </w:rPr>
      </w:pPr>
      <w:r>
        <w:rPr>
          <w:sz w:val="24"/>
          <w:szCs w:val="24"/>
        </w:rPr>
        <w:t>Atazanavir "Stada"</w:t>
      </w:r>
      <w:r w:rsidRPr="00850E20">
        <w:rPr>
          <w:sz w:val="24"/>
          <w:szCs w:val="24"/>
        </w:rPr>
        <w:t xml:space="preserve"> med ritonavir må ikke anvendes til patienter med moderat til svært nedsat leverfunktion (se pkt. 4.3, 4.4 og 5.2).</w:t>
      </w:r>
    </w:p>
    <w:p w:rsidR="00A61314" w:rsidRPr="00053493" w:rsidRDefault="00A61314" w:rsidP="00A61314">
      <w:pPr>
        <w:ind w:left="851"/>
        <w:rPr>
          <w:sz w:val="24"/>
          <w:szCs w:val="24"/>
        </w:rPr>
      </w:pPr>
    </w:p>
    <w:p w:rsidR="00A61314" w:rsidRPr="00850E20" w:rsidRDefault="00A61314" w:rsidP="00A61314">
      <w:pPr>
        <w:ind w:left="851"/>
        <w:rPr>
          <w:sz w:val="24"/>
          <w:szCs w:val="24"/>
        </w:rPr>
      </w:pPr>
      <w:r w:rsidRPr="00850E20">
        <w:rPr>
          <w:sz w:val="24"/>
          <w:szCs w:val="24"/>
        </w:rPr>
        <w:t xml:space="preserve">Ved seponering af ritonavir fra det initiale, anbefalede ritonavir-boostede regime (se pkt. 4.4) kan ikke-boostet </w:t>
      </w:r>
      <w:r>
        <w:rPr>
          <w:sz w:val="24"/>
          <w:szCs w:val="24"/>
        </w:rPr>
        <w:t>Atazanavir "Stada"</w:t>
      </w:r>
      <w:r w:rsidRPr="00850E20">
        <w:rPr>
          <w:sz w:val="24"/>
          <w:szCs w:val="24"/>
        </w:rPr>
        <w:t xml:space="preserve"> fortsættes hos patienter med let nedsat leverfunktion med en dosis på 400 mg og hos patienter med moderat nedsat leverfunktion med en reduceret dosis på 300 mg en gang dagligt sammen med føde (se pkt. 5.2). Ikke-boostet </w:t>
      </w:r>
      <w:r>
        <w:rPr>
          <w:sz w:val="24"/>
          <w:szCs w:val="24"/>
        </w:rPr>
        <w:t>Atazanavir "Stada"</w:t>
      </w:r>
      <w:r w:rsidRPr="00850E20">
        <w:rPr>
          <w:sz w:val="24"/>
          <w:szCs w:val="24"/>
        </w:rPr>
        <w:t xml:space="preserve"> må ikke anvendes til patienter med svært nedsat leverfunktion.</w:t>
      </w:r>
    </w:p>
    <w:p w:rsidR="00A61314" w:rsidRPr="00850E20" w:rsidRDefault="00A61314" w:rsidP="00A61314">
      <w:pPr>
        <w:ind w:left="851"/>
        <w:rPr>
          <w:sz w:val="24"/>
          <w:szCs w:val="24"/>
        </w:rPr>
      </w:pPr>
    </w:p>
    <w:p w:rsidR="00A61314" w:rsidRPr="00850E20" w:rsidRDefault="00A61314" w:rsidP="00A61314">
      <w:pPr>
        <w:ind w:left="851"/>
        <w:rPr>
          <w:i/>
          <w:sz w:val="24"/>
          <w:szCs w:val="24"/>
        </w:rPr>
      </w:pPr>
      <w:r w:rsidRPr="00850E20">
        <w:rPr>
          <w:i/>
          <w:sz w:val="24"/>
          <w:szCs w:val="24"/>
        </w:rPr>
        <w:t>Graviditet og post partum</w:t>
      </w:r>
    </w:p>
    <w:p w:rsidR="00A61314" w:rsidRPr="00850E20" w:rsidRDefault="00A61314" w:rsidP="00A61314">
      <w:pPr>
        <w:ind w:left="851"/>
        <w:rPr>
          <w:sz w:val="24"/>
          <w:szCs w:val="24"/>
        </w:rPr>
      </w:pPr>
      <w:r w:rsidRPr="00850E20">
        <w:rPr>
          <w:sz w:val="24"/>
          <w:szCs w:val="24"/>
        </w:rPr>
        <w:t>Graviditetens andet og tredje trimester:</w:t>
      </w:r>
    </w:p>
    <w:p w:rsidR="00A61314" w:rsidRPr="00850E20" w:rsidRDefault="00A61314" w:rsidP="00A61314">
      <w:pPr>
        <w:ind w:left="851"/>
        <w:rPr>
          <w:sz w:val="24"/>
          <w:szCs w:val="24"/>
        </w:rPr>
      </w:pPr>
      <w:r>
        <w:rPr>
          <w:sz w:val="24"/>
          <w:szCs w:val="24"/>
        </w:rPr>
        <w:t>Atazanavir "Stada"</w:t>
      </w:r>
      <w:r w:rsidRPr="00850E20">
        <w:rPr>
          <w:sz w:val="24"/>
          <w:szCs w:val="24"/>
        </w:rPr>
        <w:t xml:space="preserve"> 300 mg med ritonavir 100 mg giver muligvis ikke tilstrækkelig eksponering for atazanavir, specielt i de tilfælde hvor aktiviteten af atazanavir eller af hele regimet er kompromitteret på grund af resistens. Da der findes begrænsede data samt på grund af variabiliteten patienterne imellem under graviditet, kan det overvejes at anvende terapeutisk lægemiddelovervågning (TDM Therapeutic Drug Monitoring) for at sikre tilstrækkelig eksponering.</w:t>
      </w:r>
    </w:p>
    <w:p w:rsidR="00A61314" w:rsidRPr="00850E20" w:rsidRDefault="00A61314" w:rsidP="00A61314">
      <w:pPr>
        <w:ind w:left="851"/>
        <w:rPr>
          <w:sz w:val="24"/>
          <w:szCs w:val="24"/>
        </w:rPr>
      </w:pPr>
    </w:p>
    <w:p w:rsidR="00A61314" w:rsidRPr="00850E20" w:rsidRDefault="00A61314" w:rsidP="00A61314">
      <w:pPr>
        <w:ind w:left="851"/>
        <w:rPr>
          <w:sz w:val="24"/>
          <w:szCs w:val="24"/>
        </w:rPr>
      </w:pPr>
      <w:r w:rsidRPr="00850E20">
        <w:rPr>
          <w:sz w:val="24"/>
          <w:szCs w:val="24"/>
        </w:rPr>
        <w:t>En risiko for yderligere fald i eksponering for atazanavir er forventelig, når atazanavir administreres sammen med lægemidler, der er kendt for at reducere dets eksponering (f.eks. tenofovirdisoproxil eller H2-receptorantagonister).</w:t>
      </w:r>
    </w:p>
    <w:p w:rsidR="00A61314" w:rsidRPr="00850E20" w:rsidRDefault="00A61314" w:rsidP="00A61314">
      <w:pPr>
        <w:pStyle w:val="Listeafsnit"/>
        <w:numPr>
          <w:ilvl w:val="0"/>
          <w:numId w:val="9"/>
        </w:numPr>
        <w:ind w:left="1276" w:hanging="426"/>
        <w:rPr>
          <w:sz w:val="24"/>
          <w:szCs w:val="24"/>
        </w:rPr>
      </w:pPr>
      <w:r w:rsidRPr="00850E20">
        <w:rPr>
          <w:sz w:val="24"/>
          <w:szCs w:val="24"/>
        </w:rPr>
        <w:t xml:space="preserve">Hvis det er nødvendigt at anvende tenofovirdisoproxil eller en H2-receptorantagonist, bør det overvejes at øge dosis af </w:t>
      </w:r>
      <w:r>
        <w:rPr>
          <w:sz w:val="24"/>
          <w:szCs w:val="24"/>
        </w:rPr>
        <w:t>Atazanavir "Stada"</w:t>
      </w:r>
      <w:r w:rsidRPr="00850E20">
        <w:rPr>
          <w:sz w:val="24"/>
          <w:szCs w:val="24"/>
        </w:rPr>
        <w:t xml:space="preserve"> til 400 mg med 100 mg ritonavir under TDM (se pkt. 4.6 og 5.2).</w:t>
      </w:r>
    </w:p>
    <w:p w:rsidR="00A61314" w:rsidRPr="00850E20" w:rsidRDefault="00A61314" w:rsidP="00A61314">
      <w:pPr>
        <w:pStyle w:val="Listeafsnit"/>
        <w:numPr>
          <w:ilvl w:val="0"/>
          <w:numId w:val="9"/>
        </w:numPr>
        <w:ind w:left="1276" w:hanging="426"/>
        <w:rPr>
          <w:sz w:val="24"/>
          <w:szCs w:val="24"/>
        </w:rPr>
      </w:pPr>
      <w:r>
        <w:rPr>
          <w:sz w:val="24"/>
          <w:szCs w:val="24"/>
        </w:rPr>
        <w:t>Atazanavir "Stada"</w:t>
      </w:r>
      <w:r w:rsidRPr="00850E20">
        <w:rPr>
          <w:sz w:val="24"/>
          <w:szCs w:val="24"/>
        </w:rPr>
        <w:t xml:space="preserve"> med ritonavir anbefales ikke til gravide, der både anvender tenofovirdisoproxil og en H2-receptorantagonist.</w:t>
      </w:r>
    </w:p>
    <w:p w:rsidR="00A61314" w:rsidRDefault="00A61314" w:rsidP="00A61314">
      <w:pPr>
        <w:rPr>
          <w:sz w:val="22"/>
          <w:szCs w:val="22"/>
        </w:rPr>
      </w:pPr>
    </w:p>
    <w:p w:rsidR="00A61314" w:rsidRPr="00850E20" w:rsidRDefault="00A61314" w:rsidP="00A61314">
      <w:pPr>
        <w:ind w:left="851"/>
        <w:rPr>
          <w:sz w:val="24"/>
          <w:szCs w:val="24"/>
        </w:rPr>
      </w:pPr>
      <w:r w:rsidRPr="00850E20">
        <w:rPr>
          <w:sz w:val="24"/>
          <w:szCs w:val="24"/>
        </w:rPr>
        <w:t>(Se pkt. 4.4 Seponering af ritonavir udelukkende under restriktive omstændigheder).</w:t>
      </w:r>
    </w:p>
    <w:p w:rsidR="00A61314" w:rsidRPr="00850E20" w:rsidRDefault="00A61314" w:rsidP="00A61314">
      <w:pPr>
        <w:ind w:left="851"/>
        <w:rPr>
          <w:sz w:val="24"/>
          <w:szCs w:val="24"/>
        </w:rPr>
      </w:pPr>
    </w:p>
    <w:p w:rsidR="00A61314" w:rsidRPr="00850E20" w:rsidRDefault="00A61314" w:rsidP="00A61314">
      <w:pPr>
        <w:ind w:left="851"/>
        <w:rPr>
          <w:sz w:val="24"/>
          <w:szCs w:val="24"/>
        </w:rPr>
      </w:pPr>
      <w:r>
        <w:rPr>
          <w:sz w:val="24"/>
          <w:szCs w:val="24"/>
        </w:rPr>
        <w:t>P</w:t>
      </w:r>
      <w:r w:rsidRPr="00850E20">
        <w:rPr>
          <w:sz w:val="24"/>
          <w:szCs w:val="24"/>
        </w:rPr>
        <w:t>ostpartum:</w:t>
      </w:r>
    </w:p>
    <w:p w:rsidR="00A61314" w:rsidRPr="00850E20" w:rsidRDefault="00A61314" w:rsidP="00A61314">
      <w:pPr>
        <w:ind w:left="851"/>
        <w:rPr>
          <w:sz w:val="24"/>
          <w:szCs w:val="24"/>
        </w:rPr>
      </w:pPr>
      <w:r w:rsidRPr="00850E20">
        <w:rPr>
          <w:sz w:val="24"/>
          <w:szCs w:val="24"/>
        </w:rPr>
        <w:t>Efter et muligt fald i eksponering for atazanavir i andet og tredje trimester kan eksponeringen for atazanavir muligvis øges i de første to måneder efter fødslen (se pkt. 5.2). Derfor skal postpartum-patienter monitoreres nøje for bivirkninger.</w:t>
      </w:r>
    </w:p>
    <w:p w:rsidR="00A61314" w:rsidRPr="00850E20" w:rsidRDefault="00A61314" w:rsidP="00A61314">
      <w:pPr>
        <w:pStyle w:val="Listeafsnit"/>
        <w:numPr>
          <w:ilvl w:val="0"/>
          <w:numId w:val="10"/>
        </w:numPr>
        <w:ind w:left="1276" w:hanging="425"/>
        <w:rPr>
          <w:sz w:val="24"/>
          <w:szCs w:val="24"/>
        </w:rPr>
      </w:pPr>
      <w:r w:rsidRPr="00850E20">
        <w:rPr>
          <w:sz w:val="24"/>
          <w:szCs w:val="24"/>
        </w:rPr>
        <w:t>I denne periode skal postpartum-patienter følge de samme dosisanbefalinger som ikke-gravide, inklusive anbefalingerne for samtidig administration af lægemidler, der er kendt for at påvirke atazanavireksponeringen (se pkt. 4.5).</w:t>
      </w:r>
    </w:p>
    <w:p w:rsidR="00A61314" w:rsidRPr="00850E20" w:rsidRDefault="00A61314" w:rsidP="00A61314">
      <w:pPr>
        <w:ind w:left="851"/>
        <w:rPr>
          <w:sz w:val="24"/>
          <w:szCs w:val="24"/>
        </w:rPr>
      </w:pPr>
    </w:p>
    <w:p w:rsidR="00A61314" w:rsidRPr="00850E20" w:rsidRDefault="00A61314" w:rsidP="00A61314">
      <w:pPr>
        <w:ind w:left="851"/>
        <w:rPr>
          <w:i/>
          <w:sz w:val="24"/>
          <w:szCs w:val="24"/>
        </w:rPr>
      </w:pPr>
      <w:r w:rsidRPr="00850E20">
        <w:rPr>
          <w:i/>
          <w:sz w:val="24"/>
          <w:szCs w:val="24"/>
        </w:rPr>
        <w:t>Pædiatriske patienter (under 3 måneder)</w:t>
      </w:r>
    </w:p>
    <w:p w:rsidR="00A61314" w:rsidRPr="00850E20" w:rsidRDefault="00A61314" w:rsidP="00A61314">
      <w:pPr>
        <w:ind w:left="851"/>
        <w:rPr>
          <w:sz w:val="24"/>
          <w:szCs w:val="24"/>
        </w:rPr>
      </w:pPr>
      <w:r>
        <w:rPr>
          <w:sz w:val="24"/>
          <w:szCs w:val="24"/>
        </w:rPr>
        <w:lastRenderedPageBreak/>
        <w:t>Atazanavir "Stada"</w:t>
      </w:r>
      <w:r w:rsidRPr="00850E20">
        <w:rPr>
          <w:sz w:val="24"/>
          <w:szCs w:val="24"/>
        </w:rPr>
        <w:t xml:space="preserve"> bør ikke anvendes til børn under 3 måneder på grund af problemstillinger vedrørende sikkerhed, især på grund af den potentielle risiko for kernicterus.</w:t>
      </w:r>
    </w:p>
    <w:p w:rsidR="00A61314" w:rsidRPr="00850E20" w:rsidRDefault="00A61314" w:rsidP="00A61314">
      <w:pPr>
        <w:ind w:left="851"/>
        <w:rPr>
          <w:sz w:val="24"/>
          <w:szCs w:val="24"/>
        </w:rPr>
      </w:pPr>
    </w:p>
    <w:p w:rsidR="00A61314" w:rsidRPr="00850E20" w:rsidRDefault="00A61314" w:rsidP="00A61314">
      <w:pPr>
        <w:ind w:left="851"/>
        <w:rPr>
          <w:sz w:val="24"/>
          <w:szCs w:val="24"/>
          <w:u w:val="single"/>
        </w:rPr>
      </w:pPr>
      <w:r w:rsidRPr="00850E20">
        <w:rPr>
          <w:sz w:val="24"/>
          <w:szCs w:val="24"/>
          <w:u w:val="single"/>
        </w:rPr>
        <w:t>Administration</w:t>
      </w:r>
    </w:p>
    <w:p w:rsidR="00A61314" w:rsidRPr="00850E20" w:rsidRDefault="00A61314" w:rsidP="00A61314">
      <w:pPr>
        <w:ind w:left="851"/>
        <w:rPr>
          <w:sz w:val="24"/>
          <w:szCs w:val="24"/>
        </w:rPr>
      </w:pPr>
      <w:r w:rsidRPr="00850E20">
        <w:rPr>
          <w:sz w:val="24"/>
          <w:szCs w:val="24"/>
        </w:rPr>
        <w:t>Til oral anvendelse. Kapslerne bør synkes hele.</w:t>
      </w:r>
    </w:p>
    <w:p w:rsidR="00A61314" w:rsidRPr="00C84483" w:rsidRDefault="00A61314" w:rsidP="00A61314">
      <w:pPr>
        <w:tabs>
          <w:tab w:val="left" w:pos="851"/>
        </w:tabs>
        <w:ind w:left="851"/>
        <w:rPr>
          <w:sz w:val="24"/>
          <w:szCs w:val="24"/>
        </w:rPr>
      </w:pPr>
    </w:p>
    <w:p w:rsidR="00A61314" w:rsidRPr="00C84483" w:rsidRDefault="00A61314" w:rsidP="00A61314">
      <w:pPr>
        <w:tabs>
          <w:tab w:val="left" w:pos="851"/>
        </w:tabs>
        <w:ind w:left="851" w:hanging="851"/>
        <w:rPr>
          <w:b/>
          <w:sz w:val="24"/>
          <w:szCs w:val="24"/>
        </w:rPr>
      </w:pPr>
      <w:r w:rsidRPr="00C84483">
        <w:rPr>
          <w:b/>
          <w:sz w:val="24"/>
          <w:szCs w:val="24"/>
        </w:rPr>
        <w:t>4.3</w:t>
      </w:r>
      <w:r w:rsidRPr="00C84483">
        <w:rPr>
          <w:b/>
          <w:sz w:val="24"/>
          <w:szCs w:val="24"/>
        </w:rPr>
        <w:tab/>
        <w:t>Kontraindikationer</w:t>
      </w:r>
    </w:p>
    <w:p w:rsidR="00A61314" w:rsidRPr="00850E20" w:rsidRDefault="00A61314" w:rsidP="00A61314">
      <w:pPr>
        <w:ind w:left="851"/>
        <w:rPr>
          <w:sz w:val="24"/>
          <w:szCs w:val="24"/>
        </w:rPr>
      </w:pPr>
      <w:r w:rsidRPr="00850E20">
        <w:rPr>
          <w:sz w:val="24"/>
          <w:szCs w:val="24"/>
        </w:rPr>
        <w:t>Overfølsomhed over for det aktive stof eller over for et eller flere af hjælpestofferne anført i pkt. 6.1.</w:t>
      </w:r>
    </w:p>
    <w:p w:rsidR="00A61314" w:rsidRPr="00850E20" w:rsidRDefault="00A61314" w:rsidP="00A61314">
      <w:pPr>
        <w:ind w:left="851"/>
        <w:rPr>
          <w:sz w:val="24"/>
          <w:szCs w:val="24"/>
        </w:rPr>
      </w:pPr>
    </w:p>
    <w:p w:rsidR="00A61314" w:rsidRPr="00850E20" w:rsidRDefault="00A61314" w:rsidP="00A61314">
      <w:pPr>
        <w:ind w:left="851"/>
        <w:rPr>
          <w:sz w:val="24"/>
          <w:szCs w:val="24"/>
        </w:rPr>
      </w:pPr>
      <w:r w:rsidRPr="00850E20">
        <w:rPr>
          <w:sz w:val="24"/>
          <w:szCs w:val="24"/>
        </w:rPr>
        <w:t>Atazanavir er kontraindiceret hos patienter med svær leverinsufficiens (se pkt. 4.2, 4.4 og 5.2). Atazanavir med ritonavir er kontraindiceret hos patienter med moderat nedsat leverfunktion (se pkt. 4.2, 4.4 og 5.2).</w:t>
      </w:r>
    </w:p>
    <w:p w:rsidR="00A61314" w:rsidRPr="00850E20" w:rsidRDefault="00A61314" w:rsidP="00A61314">
      <w:pPr>
        <w:ind w:left="851"/>
        <w:rPr>
          <w:sz w:val="24"/>
          <w:szCs w:val="24"/>
        </w:rPr>
      </w:pPr>
    </w:p>
    <w:p w:rsidR="00A61314" w:rsidRPr="00850E20" w:rsidRDefault="00A61314" w:rsidP="00A61314">
      <w:pPr>
        <w:ind w:left="851"/>
        <w:rPr>
          <w:sz w:val="24"/>
          <w:szCs w:val="24"/>
        </w:rPr>
      </w:pPr>
      <w:r w:rsidRPr="00850E20">
        <w:rPr>
          <w:sz w:val="24"/>
          <w:szCs w:val="24"/>
        </w:rPr>
        <w:t>Samtidig administration af simvastatin eller lovastatin (se pkt. 4.5).</w:t>
      </w:r>
    </w:p>
    <w:p w:rsidR="00A61314" w:rsidRPr="00850E20" w:rsidRDefault="00A61314" w:rsidP="00A61314">
      <w:pPr>
        <w:ind w:left="851"/>
        <w:rPr>
          <w:sz w:val="24"/>
          <w:szCs w:val="24"/>
        </w:rPr>
      </w:pPr>
    </w:p>
    <w:p w:rsidR="00A61314" w:rsidRPr="00850E20" w:rsidRDefault="00A61314" w:rsidP="00A61314">
      <w:pPr>
        <w:ind w:left="851"/>
        <w:rPr>
          <w:sz w:val="24"/>
          <w:szCs w:val="24"/>
        </w:rPr>
      </w:pPr>
      <w:r w:rsidRPr="00850E20">
        <w:rPr>
          <w:sz w:val="24"/>
          <w:szCs w:val="24"/>
        </w:rPr>
        <w:t>Kombination med rifampicin (se pkt. 4.5).</w:t>
      </w:r>
    </w:p>
    <w:p w:rsidR="00A61314" w:rsidRPr="00850E20" w:rsidRDefault="00A61314" w:rsidP="00A61314">
      <w:pPr>
        <w:ind w:left="851"/>
        <w:rPr>
          <w:sz w:val="24"/>
          <w:szCs w:val="24"/>
        </w:rPr>
      </w:pPr>
    </w:p>
    <w:p w:rsidR="00A61314" w:rsidRPr="00850E20" w:rsidRDefault="00A61314" w:rsidP="00A61314">
      <w:pPr>
        <w:ind w:left="851"/>
        <w:rPr>
          <w:sz w:val="24"/>
          <w:szCs w:val="24"/>
        </w:rPr>
      </w:pPr>
      <w:r w:rsidRPr="00850E20">
        <w:rPr>
          <w:sz w:val="24"/>
          <w:szCs w:val="24"/>
        </w:rPr>
        <w:t>Kombination med PDE5-hæmmeren sildenafil udelukkende ved behandling af pulmonal arteriel hypertension (PAH) (se pkt. 4.5). For samtidig behandling med sildenafil ved erektil dysfunktion, se pkt. 4.4 og 4.5.</w:t>
      </w:r>
    </w:p>
    <w:p w:rsidR="00A61314" w:rsidRPr="00850E20" w:rsidRDefault="00A61314" w:rsidP="00A61314">
      <w:pPr>
        <w:ind w:left="851"/>
        <w:rPr>
          <w:sz w:val="24"/>
          <w:szCs w:val="24"/>
        </w:rPr>
      </w:pPr>
    </w:p>
    <w:p w:rsidR="002A0DA0" w:rsidRPr="00850E20" w:rsidRDefault="002A0DA0" w:rsidP="002A0DA0">
      <w:pPr>
        <w:ind w:left="851"/>
        <w:rPr>
          <w:sz w:val="24"/>
          <w:szCs w:val="24"/>
        </w:rPr>
      </w:pPr>
      <w:r w:rsidRPr="00850E20">
        <w:rPr>
          <w:sz w:val="24"/>
          <w:szCs w:val="24"/>
        </w:rPr>
        <w:t>Samtidig administration af lægemidler, der er substrat for CYP3A4-isoformen af cytokrom P450 og har et snævert terapeutisk vindue (f.eks. quetiapin, lurasidon, alfuzosin, astemizol, terfenadin, cisaprid, pimozid, quinidin, bepridil, triazolam og midazolam administreret oralt (se pkt. 4.5 for advarsler for parenteral midazolam-administration)</w:t>
      </w:r>
      <w:r>
        <w:rPr>
          <w:sz w:val="24"/>
          <w:szCs w:val="24"/>
        </w:rPr>
        <w:t>, lomitapid</w:t>
      </w:r>
      <w:r w:rsidRPr="00850E20">
        <w:rPr>
          <w:sz w:val="24"/>
          <w:szCs w:val="24"/>
        </w:rPr>
        <w:t xml:space="preserve"> samt sekalealkaloider, især ergotamin, dihydroergotamin, ergonovin, methylergonovin) (se pkt. 4.5).</w:t>
      </w:r>
    </w:p>
    <w:p w:rsidR="002A0DA0" w:rsidRPr="00850E20" w:rsidRDefault="002A0DA0" w:rsidP="002A0DA0">
      <w:pPr>
        <w:ind w:left="851"/>
        <w:rPr>
          <w:sz w:val="24"/>
          <w:szCs w:val="24"/>
        </w:rPr>
      </w:pPr>
    </w:p>
    <w:p w:rsidR="002A0DA0" w:rsidRPr="00850E20" w:rsidRDefault="002A0DA0" w:rsidP="002A0DA0">
      <w:pPr>
        <w:ind w:left="851"/>
        <w:rPr>
          <w:sz w:val="24"/>
          <w:szCs w:val="24"/>
        </w:rPr>
      </w:pPr>
      <w:r w:rsidRPr="00850E20">
        <w:rPr>
          <w:sz w:val="24"/>
          <w:szCs w:val="24"/>
        </w:rPr>
        <w:t>Samtidig administration med produkter indeholdende grazoprevir, inklusive fastdosis-kombination af elbasvir/grazoprevir (se pkt. 4.5).</w:t>
      </w:r>
    </w:p>
    <w:p w:rsidR="002A0DA0" w:rsidRPr="00850E20" w:rsidRDefault="002A0DA0" w:rsidP="002A0DA0">
      <w:pPr>
        <w:ind w:left="851"/>
        <w:rPr>
          <w:sz w:val="24"/>
          <w:szCs w:val="24"/>
        </w:rPr>
      </w:pPr>
    </w:p>
    <w:p w:rsidR="002A0DA0" w:rsidRDefault="002A0DA0" w:rsidP="002A0DA0">
      <w:pPr>
        <w:ind w:left="851"/>
        <w:rPr>
          <w:sz w:val="24"/>
          <w:szCs w:val="24"/>
        </w:rPr>
      </w:pPr>
      <w:r>
        <w:rPr>
          <w:sz w:val="24"/>
          <w:szCs w:val="24"/>
        </w:rPr>
        <w:t>Samtidig administration med glecaprevir/pibrentasvir fastdosis-kombination (se pkt. 4.5)</w:t>
      </w:r>
    </w:p>
    <w:p w:rsidR="002A0DA0" w:rsidRDefault="002A0DA0" w:rsidP="002A0DA0">
      <w:pPr>
        <w:ind w:left="851"/>
        <w:rPr>
          <w:sz w:val="24"/>
          <w:szCs w:val="24"/>
        </w:rPr>
      </w:pPr>
    </w:p>
    <w:p w:rsidR="002A0DA0" w:rsidRDefault="002A0DA0" w:rsidP="002A0DA0">
      <w:pPr>
        <w:ind w:left="851"/>
        <w:rPr>
          <w:sz w:val="24"/>
          <w:szCs w:val="24"/>
        </w:rPr>
      </w:pPr>
      <w:r>
        <w:rPr>
          <w:sz w:val="24"/>
          <w:szCs w:val="24"/>
        </w:rPr>
        <w:t>Samtidig administration af præparater, der indeholder perikon (Hypericum perforatum) (se pkt. 4.5).</w:t>
      </w:r>
    </w:p>
    <w:p w:rsidR="002A0DA0" w:rsidRDefault="002A0DA0" w:rsidP="002A0DA0">
      <w:pPr>
        <w:ind w:left="851"/>
        <w:rPr>
          <w:sz w:val="24"/>
          <w:szCs w:val="24"/>
        </w:rPr>
      </w:pPr>
    </w:p>
    <w:p w:rsidR="002A0DA0" w:rsidRDefault="002A0DA0" w:rsidP="002A0DA0">
      <w:pPr>
        <w:ind w:left="851"/>
        <w:rPr>
          <w:sz w:val="24"/>
          <w:szCs w:val="24"/>
        </w:rPr>
      </w:pPr>
      <w:r w:rsidRPr="00AB6684">
        <w:rPr>
          <w:sz w:val="24"/>
          <w:szCs w:val="24"/>
        </w:rPr>
        <w:t>Samtidig administration med apalutamid (se pkt. 4.5).</w:t>
      </w:r>
    </w:p>
    <w:p w:rsidR="00A61314" w:rsidRPr="00C84483" w:rsidRDefault="00A61314" w:rsidP="00A61314">
      <w:pPr>
        <w:tabs>
          <w:tab w:val="left" w:pos="851"/>
        </w:tabs>
        <w:ind w:left="851"/>
        <w:rPr>
          <w:sz w:val="24"/>
          <w:szCs w:val="24"/>
        </w:rPr>
      </w:pPr>
    </w:p>
    <w:p w:rsidR="00A61314" w:rsidRPr="002A0DA0" w:rsidRDefault="00A61314" w:rsidP="002A0DA0">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A61314" w:rsidRPr="00850E20" w:rsidRDefault="00A61314" w:rsidP="00A61314">
      <w:pPr>
        <w:ind w:left="851"/>
        <w:rPr>
          <w:sz w:val="24"/>
          <w:szCs w:val="24"/>
        </w:rPr>
      </w:pPr>
      <w:r w:rsidRPr="00850E20">
        <w:rPr>
          <w:sz w:val="24"/>
          <w:szCs w:val="24"/>
        </w:rPr>
        <w:t>Samtidig administration af atazanavir og ritonavir i doser over 100 mg én gang dagligt er ikke evalueret klinisk. Brug af højere doser ritonavir kan ændre sikkerhedsprofilen for atazanavir (kardielle virkninger, hyperbilirubinæmi) og kan derfor ikke anbefales. Kun når atazanavir med ritonavir bliver administreret samtidig med efavirenz, kan en dosisøgning af ritonavir til 200 mg én gang dagligt overvejes. I dette tilfælde er tæt klinisk monitorering påkrævet (se Interaktion med andre lægemidler).</w:t>
      </w:r>
    </w:p>
    <w:p w:rsidR="00A61314" w:rsidRPr="00850E20" w:rsidRDefault="00A61314" w:rsidP="00A61314">
      <w:pPr>
        <w:ind w:left="851"/>
        <w:rPr>
          <w:sz w:val="24"/>
          <w:szCs w:val="24"/>
        </w:rPr>
      </w:pPr>
    </w:p>
    <w:p w:rsidR="00A61314" w:rsidRPr="00850E20" w:rsidRDefault="00A61314" w:rsidP="00A61314">
      <w:pPr>
        <w:keepNext/>
        <w:ind w:left="851"/>
        <w:rPr>
          <w:sz w:val="24"/>
          <w:szCs w:val="24"/>
          <w:u w:val="single"/>
        </w:rPr>
      </w:pPr>
      <w:r w:rsidRPr="00850E20">
        <w:rPr>
          <w:sz w:val="24"/>
          <w:szCs w:val="24"/>
          <w:u w:val="single"/>
        </w:rPr>
        <w:lastRenderedPageBreak/>
        <w:t>Patienter med samtidigt forekommende tilstande</w:t>
      </w:r>
    </w:p>
    <w:p w:rsidR="00A61314" w:rsidRPr="00850E20" w:rsidRDefault="00A61314" w:rsidP="00A61314">
      <w:pPr>
        <w:keepNext/>
        <w:ind w:left="851"/>
        <w:rPr>
          <w:sz w:val="24"/>
          <w:szCs w:val="24"/>
        </w:rPr>
      </w:pPr>
    </w:p>
    <w:p w:rsidR="00A61314" w:rsidRPr="00850E20" w:rsidRDefault="00A61314" w:rsidP="00A61314">
      <w:pPr>
        <w:ind w:left="851"/>
        <w:rPr>
          <w:sz w:val="24"/>
          <w:szCs w:val="24"/>
        </w:rPr>
      </w:pPr>
      <w:r w:rsidRPr="00850E20">
        <w:rPr>
          <w:sz w:val="24"/>
          <w:szCs w:val="24"/>
        </w:rPr>
        <w:t>Nedsat leverfunktion: Atazanavir metaboliseres primært via leveren, og der er observeret forhøjet plasmakoncentration hos patienter med nedsat leverfunktion (se pkt. 4.2 og 4.3). Sikkerhed og effekt af atazanavir er ikke bestemt hos patienter med signifikante underliggende leverforstyrrelser. Patienter med kronisk hepatitis B eller C, som er behandlet med antiretroviral kombinationsbehandling, har øget risiko for svære og potentielt dødelige leverbivirkninger. I tilfælde af samtidig antiviral behandling ved hepatitis B eller C, henvises der også til de relevante produktresuméer for disse lægemidler (se pkt. 4.8).</w:t>
      </w:r>
    </w:p>
    <w:p w:rsidR="00A61314" w:rsidRPr="00850E20" w:rsidRDefault="00A61314" w:rsidP="00A61314">
      <w:pPr>
        <w:ind w:left="851"/>
        <w:rPr>
          <w:sz w:val="24"/>
          <w:szCs w:val="24"/>
        </w:rPr>
      </w:pPr>
    </w:p>
    <w:p w:rsidR="00A61314" w:rsidRPr="00850E20" w:rsidRDefault="00A61314" w:rsidP="00A61314">
      <w:pPr>
        <w:ind w:left="851"/>
        <w:rPr>
          <w:sz w:val="24"/>
          <w:szCs w:val="24"/>
        </w:rPr>
      </w:pPr>
      <w:r w:rsidRPr="00850E20">
        <w:rPr>
          <w:sz w:val="24"/>
          <w:szCs w:val="24"/>
        </w:rPr>
        <w:t>Patienter med allerede eksisterende leverdysfunktion, inklusive kronisk, aktiv hepatitis, har en øget forekomst af abnorm leverfunktion under antiretroviral kombinationsbehandling og bør monitoreres i overensstemmelse med standardpraksis. Ved tegn på forværret leverlidelse hos sådanne patienter skal man overveje at afbryde eller seponere behandlingen.</w:t>
      </w:r>
    </w:p>
    <w:p w:rsidR="00A61314" w:rsidRPr="00850E20" w:rsidRDefault="00A61314" w:rsidP="00A61314">
      <w:pPr>
        <w:ind w:left="851"/>
        <w:rPr>
          <w:sz w:val="24"/>
          <w:szCs w:val="24"/>
        </w:rPr>
      </w:pPr>
    </w:p>
    <w:p w:rsidR="00A61314" w:rsidRPr="00850E20" w:rsidRDefault="00A61314" w:rsidP="00A61314">
      <w:pPr>
        <w:ind w:left="851"/>
        <w:rPr>
          <w:sz w:val="24"/>
          <w:szCs w:val="24"/>
        </w:rPr>
      </w:pPr>
      <w:r w:rsidRPr="00850E20">
        <w:rPr>
          <w:sz w:val="24"/>
          <w:szCs w:val="24"/>
        </w:rPr>
        <w:t xml:space="preserve">Nedsat nyrefunktion: Dosisjustering er ikke påkrævet hos patienter med nedsat nyrefunktion. Dog anbefales </w:t>
      </w:r>
      <w:r>
        <w:rPr>
          <w:sz w:val="24"/>
          <w:szCs w:val="24"/>
        </w:rPr>
        <w:t>Atazanavir "Stada"</w:t>
      </w:r>
      <w:r w:rsidRPr="00850E20">
        <w:rPr>
          <w:sz w:val="24"/>
          <w:szCs w:val="24"/>
        </w:rPr>
        <w:t xml:space="preserve"> ikke til patienter i hæmodialyse</w:t>
      </w:r>
      <w:r>
        <w:rPr>
          <w:sz w:val="24"/>
          <w:szCs w:val="24"/>
        </w:rPr>
        <w:softHyphen/>
      </w:r>
      <w:r w:rsidRPr="00850E20">
        <w:rPr>
          <w:sz w:val="24"/>
          <w:szCs w:val="24"/>
        </w:rPr>
        <w:t>behandling (se pkt. 4.2 og 5.2).</w:t>
      </w:r>
    </w:p>
    <w:p w:rsidR="00A61314" w:rsidRPr="00850E20" w:rsidRDefault="00A61314" w:rsidP="00A61314">
      <w:pPr>
        <w:ind w:left="851"/>
        <w:rPr>
          <w:sz w:val="24"/>
          <w:szCs w:val="24"/>
        </w:rPr>
      </w:pPr>
    </w:p>
    <w:p w:rsidR="00A61314" w:rsidRPr="00850E20" w:rsidRDefault="00A61314" w:rsidP="00A61314">
      <w:pPr>
        <w:ind w:left="851"/>
        <w:rPr>
          <w:sz w:val="24"/>
          <w:szCs w:val="24"/>
        </w:rPr>
      </w:pPr>
      <w:r w:rsidRPr="00850E20">
        <w:rPr>
          <w:sz w:val="24"/>
          <w:szCs w:val="24"/>
        </w:rPr>
        <w:t xml:space="preserve">QT-forlængelse: Der er i kliniske studier observeret dosisrelaterede, asymptomatiske forlængelser i PR-intervallet med atazanavir. Der bør udvises forsigtighed ved lægemidler, der vides at inducere PR-forlængelser. </w:t>
      </w:r>
      <w:r>
        <w:rPr>
          <w:sz w:val="24"/>
          <w:szCs w:val="24"/>
        </w:rPr>
        <w:t>Atazanavir "Stada"</w:t>
      </w:r>
      <w:r w:rsidRPr="00850E20">
        <w:rPr>
          <w:sz w:val="24"/>
          <w:szCs w:val="24"/>
        </w:rPr>
        <w:t xml:space="preserve"> bør anvendes med forsigtighed til patienter med allerede eksisterende overledningsproblemer (andengrads- eller højere atrioventrikulær eller kompleks knude-grenblok), og kun såfremt fordelene opvejer risikoen (se pkt. 5.1). Man bør udvise særlig forsigtighed, når </w:t>
      </w:r>
      <w:r>
        <w:rPr>
          <w:sz w:val="24"/>
          <w:szCs w:val="24"/>
        </w:rPr>
        <w:t>Atazanavir "Stada"</w:t>
      </w:r>
      <w:r w:rsidRPr="00850E20">
        <w:rPr>
          <w:sz w:val="24"/>
          <w:szCs w:val="24"/>
        </w:rPr>
        <w:t xml:space="preserve"> ordineres samtidig med lægemidler, som kan forøge QT-intervallet og/eller til patienter med allerede eksisterende risikofaktorer (bradykardi, medfødt langt QT,</w:t>
      </w:r>
      <w:r>
        <w:rPr>
          <w:sz w:val="24"/>
          <w:szCs w:val="24"/>
        </w:rPr>
        <w:t xml:space="preserve"> </w:t>
      </w:r>
      <w:r w:rsidRPr="00850E20">
        <w:rPr>
          <w:sz w:val="24"/>
          <w:szCs w:val="24"/>
        </w:rPr>
        <w:t>elektrolytforstyrrelser</w:t>
      </w:r>
      <w:r>
        <w:rPr>
          <w:sz w:val="24"/>
          <w:szCs w:val="24"/>
        </w:rPr>
        <w:t xml:space="preserve"> </w:t>
      </w:r>
      <w:r w:rsidRPr="00850E20">
        <w:rPr>
          <w:sz w:val="24"/>
          <w:szCs w:val="24"/>
        </w:rPr>
        <w:t>(se pkt. 4.8 og 5.3).</w:t>
      </w:r>
    </w:p>
    <w:p w:rsidR="00A61314" w:rsidRPr="00850E20" w:rsidRDefault="00A61314" w:rsidP="00A61314">
      <w:pPr>
        <w:ind w:left="851"/>
        <w:rPr>
          <w:sz w:val="24"/>
          <w:szCs w:val="24"/>
        </w:rPr>
      </w:pPr>
    </w:p>
    <w:p w:rsidR="00A61314" w:rsidRPr="00850E20" w:rsidRDefault="00A61314" w:rsidP="00A61314">
      <w:pPr>
        <w:ind w:left="851"/>
        <w:rPr>
          <w:sz w:val="24"/>
          <w:szCs w:val="24"/>
        </w:rPr>
      </w:pPr>
      <w:r w:rsidRPr="00850E20">
        <w:rPr>
          <w:sz w:val="24"/>
          <w:szCs w:val="24"/>
        </w:rPr>
        <w:t>Hæmofilipatienter: Der har været rapporter om øget blødning, inklusive spontane hudhæmatomer og</w:t>
      </w:r>
      <w:r>
        <w:rPr>
          <w:sz w:val="24"/>
          <w:szCs w:val="24"/>
        </w:rPr>
        <w:t xml:space="preserve"> </w:t>
      </w:r>
      <w:r w:rsidRPr="00850E20">
        <w:rPr>
          <w:sz w:val="24"/>
          <w:szCs w:val="24"/>
        </w:rPr>
        <w:t>hæmarthrose, hos type A og B hæmofile patienter, der havde fået behandling med proteasehæmmere.</w:t>
      </w:r>
    </w:p>
    <w:p w:rsidR="00A61314" w:rsidRPr="00850E20" w:rsidRDefault="00A61314" w:rsidP="00A61314">
      <w:pPr>
        <w:ind w:left="851"/>
        <w:rPr>
          <w:sz w:val="24"/>
          <w:szCs w:val="24"/>
        </w:rPr>
      </w:pPr>
      <w:r w:rsidRPr="00850E20">
        <w:rPr>
          <w:sz w:val="24"/>
          <w:szCs w:val="24"/>
        </w:rPr>
        <w:t>Hos nogle patienter blev der givet yderligere faktor VIII. I mere end halvdelen af de rapporterede</w:t>
      </w:r>
      <w:r>
        <w:rPr>
          <w:sz w:val="24"/>
          <w:szCs w:val="24"/>
        </w:rPr>
        <w:t xml:space="preserve"> </w:t>
      </w:r>
      <w:r w:rsidRPr="00850E20">
        <w:rPr>
          <w:sz w:val="24"/>
          <w:szCs w:val="24"/>
        </w:rPr>
        <w:t>tilfælde fortsattes behandlingen med proteasehæmmere, eller behandlingen blev genoptaget hvis</w:t>
      </w:r>
      <w:r>
        <w:rPr>
          <w:sz w:val="24"/>
          <w:szCs w:val="24"/>
        </w:rPr>
        <w:t xml:space="preserve"> </w:t>
      </w:r>
      <w:r w:rsidRPr="00850E20">
        <w:rPr>
          <w:sz w:val="24"/>
          <w:szCs w:val="24"/>
        </w:rPr>
        <w:t>afbrudt. En årsagssammenhæng er antydet, selvom virknings</w:t>
      </w:r>
      <w:r>
        <w:rPr>
          <w:sz w:val="24"/>
          <w:szCs w:val="24"/>
        </w:rPr>
        <w:softHyphen/>
      </w:r>
      <w:r w:rsidRPr="00850E20">
        <w:rPr>
          <w:sz w:val="24"/>
          <w:szCs w:val="24"/>
        </w:rPr>
        <w:t>mekanismen ikke er klarlagt.</w:t>
      </w:r>
    </w:p>
    <w:p w:rsidR="00A61314" w:rsidRPr="00850E20" w:rsidRDefault="00A61314" w:rsidP="00A61314">
      <w:pPr>
        <w:ind w:left="851"/>
        <w:rPr>
          <w:sz w:val="24"/>
          <w:szCs w:val="24"/>
        </w:rPr>
      </w:pPr>
      <w:r w:rsidRPr="00850E20">
        <w:rPr>
          <w:sz w:val="24"/>
          <w:szCs w:val="24"/>
        </w:rPr>
        <w:t>Hæmofilipatienter bør derfor være opmærksomme på risikoen for øget blødning.</w:t>
      </w:r>
    </w:p>
    <w:p w:rsidR="00A61314" w:rsidRPr="00850E20" w:rsidRDefault="00A61314" w:rsidP="00A61314">
      <w:pPr>
        <w:ind w:left="851"/>
        <w:rPr>
          <w:sz w:val="24"/>
          <w:szCs w:val="24"/>
        </w:rPr>
      </w:pPr>
    </w:p>
    <w:p w:rsidR="00A61314" w:rsidRPr="00850E20" w:rsidRDefault="00A61314" w:rsidP="00A61314">
      <w:pPr>
        <w:ind w:left="851"/>
        <w:rPr>
          <w:sz w:val="24"/>
          <w:szCs w:val="24"/>
          <w:u w:val="single"/>
        </w:rPr>
      </w:pPr>
      <w:r w:rsidRPr="00850E20">
        <w:rPr>
          <w:sz w:val="24"/>
          <w:szCs w:val="24"/>
          <w:u w:val="single"/>
        </w:rPr>
        <w:t>Vægt og metaboliske parametre</w:t>
      </w:r>
    </w:p>
    <w:p w:rsidR="00A61314" w:rsidRPr="00850E20" w:rsidRDefault="00A61314" w:rsidP="00A61314">
      <w:pPr>
        <w:ind w:left="851"/>
        <w:rPr>
          <w:sz w:val="24"/>
          <w:szCs w:val="24"/>
        </w:rPr>
      </w:pPr>
      <w:r w:rsidRPr="00850E20">
        <w:rPr>
          <w:sz w:val="24"/>
          <w:szCs w:val="24"/>
        </w:rPr>
        <w:t>Vægtstigning og forhøjede lipider og glucose i blodet kan forekomme under antiretroviral behandling. Sådanne forandringer kan til dels være forbundet med sygdomskontrol og livsstil. For lipider er der i visse tilfælde fundet evidens for en behandlingseffekt, mens der ikke er tydelig evidens for relation mellem vægtøgning og en specifik behandling. Med hensyn til monitorering af lipider og glucose i blodet refereres til eksisterende behandlingsguidelines for HIV. Tilstande med forhøjet lipid skal behandles som klinisk indiceret.</w:t>
      </w:r>
    </w:p>
    <w:p w:rsidR="00A61314" w:rsidRPr="00850E20" w:rsidRDefault="00A61314" w:rsidP="00A61314">
      <w:pPr>
        <w:ind w:left="851"/>
        <w:rPr>
          <w:sz w:val="24"/>
          <w:szCs w:val="24"/>
        </w:rPr>
      </w:pPr>
    </w:p>
    <w:p w:rsidR="00A61314" w:rsidRPr="00850E20" w:rsidRDefault="00A61314" w:rsidP="00A61314">
      <w:pPr>
        <w:ind w:left="851"/>
        <w:rPr>
          <w:sz w:val="24"/>
          <w:szCs w:val="24"/>
        </w:rPr>
      </w:pPr>
      <w:r w:rsidRPr="00850E20">
        <w:rPr>
          <w:sz w:val="24"/>
          <w:szCs w:val="24"/>
        </w:rPr>
        <w:t>Atazanavir har i kliniske studier (med eller uden ritonavir) vist sig at inducere dyslipidæmi i mindre</w:t>
      </w:r>
      <w:r>
        <w:rPr>
          <w:sz w:val="24"/>
          <w:szCs w:val="24"/>
        </w:rPr>
        <w:t xml:space="preserve"> </w:t>
      </w:r>
      <w:r w:rsidRPr="00850E20">
        <w:rPr>
          <w:sz w:val="24"/>
          <w:szCs w:val="24"/>
        </w:rPr>
        <w:t>udstrækning end andre sammenlignelige produkter, der indgik i studierne.</w:t>
      </w:r>
    </w:p>
    <w:p w:rsidR="00A61314" w:rsidRPr="00850E20" w:rsidRDefault="00A61314" w:rsidP="00A61314">
      <w:pPr>
        <w:ind w:left="851"/>
        <w:rPr>
          <w:sz w:val="24"/>
          <w:szCs w:val="24"/>
        </w:rPr>
      </w:pPr>
    </w:p>
    <w:p w:rsidR="00A61314" w:rsidRPr="00850E20" w:rsidRDefault="00A61314" w:rsidP="00A61314">
      <w:pPr>
        <w:ind w:left="851"/>
        <w:rPr>
          <w:sz w:val="24"/>
          <w:szCs w:val="24"/>
          <w:u w:val="single"/>
        </w:rPr>
      </w:pPr>
      <w:r w:rsidRPr="00850E20">
        <w:rPr>
          <w:sz w:val="24"/>
          <w:szCs w:val="24"/>
          <w:u w:val="single"/>
        </w:rPr>
        <w:t>Hyperbilirubinæmi</w:t>
      </w:r>
    </w:p>
    <w:p w:rsidR="00A61314" w:rsidRPr="00850E20" w:rsidRDefault="00A61314" w:rsidP="00A61314">
      <w:pPr>
        <w:ind w:left="851"/>
        <w:rPr>
          <w:sz w:val="24"/>
          <w:szCs w:val="24"/>
        </w:rPr>
      </w:pPr>
      <w:r w:rsidRPr="00850E20">
        <w:rPr>
          <w:sz w:val="24"/>
          <w:szCs w:val="24"/>
        </w:rPr>
        <w:t xml:space="preserve">Der er set reversible forhøjelser i indirekte (ukonjugeret) bilirubin relateret til hæmning af UDP-glucuronosyltransferase (UGT) hos patienter i behandling med atazanavir (se pkt. 4.8). Patienter i behandling med </w:t>
      </w:r>
      <w:r>
        <w:rPr>
          <w:sz w:val="24"/>
          <w:szCs w:val="24"/>
        </w:rPr>
        <w:t>Atazanavir "Stada"</w:t>
      </w:r>
      <w:r w:rsidRPr="00850E20">
        <w:rPr>
          <w:sz w:val="24"/>
          <w:szCs w:val="24"/>
        </w:rPr>
        <w:t xml:space="preserve">, som har forhøjede levertransaminaser og forhøjet bilirubin samtidig, bør evalueres for alternative ætiologier. Anden antiretroviral behandling end </w:t>
      </w:r>
      <w:r>
        <w:rPr>
          <w:sz w:val="24"/>
          <w:szCs w:val="24"/>
        </w:rPr>
        <w:t>Atazanavir "Stada"</w:t>
      </w:r>
      <w:r w:rsidRPr="00850E20">
        <w:rPr>
          <w:sz w:val="24"/>
          <w:szCs w:val="24"/>
        </w:rPr>
        <w:t xml:space="preserve"> kan overvejes såfremt gulsot eller scleral icterus ikke er acceptabelt for patienten. Det kan ikke anbefales at reducere dosis af </w:t>
      </w:r>
      <w:r>
        <w:rPr>
          <w:sz w:val="24"/>
          <w:szCs w:val="24"/>
        </w:rPr>
        <w:t>Atazanavir "Stada"</w:t>
      </w:r>
      <w:r w:rsidRPr="00850E20">
        <w:rPr>
          <w:sz w:val="24"/>
          <w:szCs w:val="24"/>
        </w:rPr>
        <w:t>, da det kan medføre tab af terapeutisk virkning og udvikling af resistens.</w:t>
      </w:r>
    </w:p>
    <w:p w:rsidR="00A61314" w:rsidRPr="00850E20" w:rsidRDefault="00A61314" w:rsidP="00A61314">
      <w:pPr>
        <w:ind w:left="851"/>
        <w:rPr>
          <w:sz w:val="24"/>
          <w:szCs w:val="24"/>
        </w:rPr>
      </w:pPr>
    </w:p>
    <w:p w:rsidR="00A61314" w:rsidRPr="00850E20" w:rsidRDefault="00A61314" w:rsidP="00A61314">
      <w:pPr>
        <w:ind w:left="851"/>
        <w:rPr>
          <w:sz w:val="24"/>
          <w:szCs w:val="24"/>
        </w:rPr>
      </w:pPr>
      <w:r w:rsidRPr="00850E20">
        <w:rPr>
          <w:sz w:val="24"/>
          <w:szCs w:val="24"/>
        </w:rPr>
        <w:t>Indinavir er ligeledes forbundet med indirekte (ukonjugeret) hyperbilirubinæmi relateret til hæmning af UGT. Kombinationer af atazanavir og indinavir er ikke undersøgt, og samtidig administration af disse lægemidler kan ikke anbefales (se pkt. 4.5).</w:t>
      </w:r>
    </w:p>
    <w:p w:rsidR="00A61314" w:rsidRPr="00850E20" w:rsidRDefault="00A61314" w:rsidP="00A61314">
      <w:pPr>
        <w:ind w:left="851"/>
        <w:rPr>
          <w:sz w:val="24"/>
          <w:szCs w:val="24"/>
        </w:rPr>
      </w:pPr>
    </w:p>
    <w:p w:rsidR="00A61314" w:rsidRPr="00850E20" w:rsidRDefault="00A61314" w:rsidP="00A61314">
      <w:pPr>
        <w:ind w:left="851"/>
        <w:rPr>
          <w:sz w:val="24"/>
          <w:szCs w:val="24"/>
          <w:u w:val="single"/>
        </w:rPr>
      </w:pPr>
      <w:r w:rsidRPr="00850E20">
        <w:rPr>
          <w:sz w:val="24"/>
          <w:szCs w:val="24"/>
          <w:u w:val="single"/>
        </w:rPr>
        <w:t>Seponering af ritonavir udelukkende under restriktive omstændigheder</w:t>
      </w:r>
    </w:p>
    <w:p w:rsidR="00A61314" w:rsidRPr="00850E20" w:rsidRDefault="00A61314" w:rsidP="00A61314">
      <w:pPr>
        <w:ind w:left="851"/>
        <w:rPr>
          <w:sz w:val="24"/>
          <w:szCs w:val="24"/>
        </w:rPr>
      </w:pPr>
      <w:r w:rsidRPr="00850E20">
        <w:rPr>
          <w:sz w:val="24"/>
          <w:szCs w:val="24"/>
        </w:rPr>
        <w:t xml:space="preserve">Den anbefalede standardbehandling er </w:t>
      </w:r>
      <w:r>
        <w:rPr>
          <w:sz w:val="24"/>
          <w:szCs w:val="24"/>
        </w:rPr>
        <w:t>Atazanavir "Stada"</w:t>
      </w:r>
      <w:r w:rsidRPr="00850E20">
        <w:rPr>
          <w:sz w:val="24"/>
          <w:szCs w:val="24"/>
        </w:rPr>
        <w:t xml:space="preserve"> boostet med ritonavir, hvilket sikrer optimale farmakokinetiske parametre og et optimalt niveau af virologisk suppression.</w:t>
      </w:r>
    </w:p>
    <w:p w:rsidR="00A61314" w:rsidRPr="00850E20" w:rsidRDefault="00A61314" w:rsidP="00A61314">
      <w:pPr>
        <w:ind w:left="851"/>
        <w:rPr>
          <w:sz w:val="24"/>
          <w:szCs w:val="24"/>
        </w:rPr>
      </w:pPr>
      <w:r w:rsidRPr="00850E20">
        <w:rPr>
          <w:sz w:val="24"/>
          <w:szCs w:val="24"/>
        </w:rPr>
        <w:t xml:space="preserve">Seponering af ritonavir fra det boostede </w:t>
      </w:r>
      <w:r>
        <w:rPr>
          <w:sz w:val="24"/>
          <w:szCs w:val="24"/>
        </w:rPr>
        <w:t>Atazanavir "Stada"</w:t>
      </w:r>
      <w:r w:rsidRPr="00850E20">
        <w:rPr>
          <w:sz w:val="24"/>
          <w:szCs w:val="24"/>
        </w:rPr>
        <w:t>-regime frarådes, men en dosis på 400 mg én gang dagligt sammen med føde kan overvejes hos voksne patienter under følgende kombinerede restriktive forhold:</w:t>
      </w:r>
    </w:p>
    <w:p w:rsidR="00A61314" w:rsidRPr="00850E20" w:rsidRDefault="00A61314" w:rsidP="00A61314">
      <w:pPr>
        <w:pStyle w:val="Listeafsnit"/>
        <w:numPr>
          <w:ilvl w:val="0"/>
          <w:numId w:val="11"/>
        </w:numPr>
        <w:ind w:left="1276" w:hanging="426"/>
        <w:rPr>
          <w:sz w:val="24"/>
          <w:szCs w:val="24"/>
        </w:rPr>
      </w:pPr>
      <w:r w:rsidRPr="00850E20">
        <w:rPr>
          <w:sz w:val="24"/>
          <w:szCs w:val="24"/>
        </w:rPr>
        <w:t>intet tidligere virologisk svigt</w:t>
      </w:r>
    </w:p>
    <w:p w:rsidR="00A61314" w:rsidRPr="00850E20" w:rsidRDefault="00A61314" w:rsidP="00A61314">
      <w:pPr>
        <w:pStyle w:val="Listeafsnit"/>
        <w:numPr>
          <w:ilvl w:val="0"/>
          <w:numId w:val="11"/>
        </w:numPr>
        <w:ind w:left="1276" w:hanging="426"/>
        <w:rPr>
          <w:sz w:val="24"/>
          <w:szCs w:val="24"/>
        </w:rPr>
      </w:pPr>
      <w:r w:rsidRPr="00850E20">
        <w:rPr>
          <w:sz w:val="24"/>
          <w:szCs w:val="24"/>
        </w:rPr>
        <w:t>udetekterbar virusbelastning i de seneste 6 måneder med det nuværende regime</w:t>
      </w:r>
    </w:p>
    <w:p w:rsidR="00A61314" w:rsidRPr="00850E20" w:rsidRDefault="00A61314" w:rsidP="00A61314">
      <w:pPr>
        <w:pStyle w:val="Listeafsnit"/>
        <w:numPr>
          <w:ilvl w:val="0"/>
          <w:numId w:val="11"/>
        </w:numPr>
        <w:ind w:left="1276" w:hanging="426"/>
        <w:rPr>
          <w:sz w:val="24"/>
          <w:szCs w:val="24"/>
        </w:rPr>
      </w:pPr>
      <w:r w:rsidRPr="00850E20">
        <w:rPr>
          <w:sz w:val="24"/>
          <w:szCs w:val="24"/>
        </w:rPr>
        <w:t>virusstammer, som ikke har HIV-resistensassocierede mutationer (RAM) på det nuværende regime.</w:t>
      </w:r>
    </w:p>
    <w:p w:rsidR="00A61314" w:rsidRPr="00850E20" w:rsidRDefault="00A61314" w:rsidP="00A61314">
      <w:pPr>
        <w:ind w:left="851"/>
        <w:rPr>
          <w:sz w:val="24"/>
          <w:szCs w:val="24"/>
        </w:rPr>
      </w:pPr>
    </w:p>
    <w:p w:rsidR="00A61314" w:rsidRPr="00850E20" w:rsidRDefault="00A61314" w:rsidP="00A61314">
      <w:pPr>
        <w:ind w:left="851"/>
        <w:rPr>
          <w:sz w:val="24"/>
          <w:szCs w:val="24"/>
        </w:rPr>
      </w:pPr>
      <w:r>
        <w:rPr>
          <w:sz w:val="24"/>
          <w:szCs w:val="24"/>
        </w:rPr>
        <w:t>Atazanavir "Stada"</w:t>
      </w:r>
      <w:r w:rsidRPr="00850E20">
        <w:rPr>
          <w:sz w:val="24"/>
          <w:szCs w:val="24"/>
        </w:rPr>
        <w:t xml:space="preserve"> uden ritonavir bør ikke overvejes hos patienter, der bliver behandlet i et baggrundsprogram med tenofovirdisoproxil og med andre samtidige lægemidler, der reducerer atazanavirs biotilgængelighed (se pkt. 4.5 I tilfælde af seponering af ritonavir fra anbefalet </w:t>
      </w:r>
      <w:r>
        <w:rPr>
          <w:sz w:val="24"/>
          <w:szCs w:val="24"/>
        </w:rPr>
        <w:t>a</w:t>
      </w:r>
      <w:r w:rsidRPr="00850E20">
        <w:rPr>
          <w:sz w:val="24"/>
          <w:szCs w:val="24"/>
        </w:rPr>
        <w:t>tazanavirboostet regime) eller i tilfælde af forventede problemer med compliance.</w:t>
      </w:r>
    </w:p>
    <w:p w:rsidR="00A61314" w:rsidRPr="00850E20" w:rsidRDefault="00A61314" w:rsidP="00A61314">
      <w:pPr>
        <w:ind w:left="851"/>
        <w:rPr>
          <w:sz w:val="24"/>
          <w:szCs w:val="24"/>
        </w:rPr>
      </w:pPr>
    </w:p>
    <w:p w:rsidR="00A61314" w:rsidRPr="00850E20" w:rsidRDefault="00A61314" w:rsidP="00A61314">
      <w:pPr>
        <w:ind w:left="851"/>
        <w:rPr>
          <w:sz w:val="24"/>
          <w:szCs w:val="24"/>
        </w:rPr>
      </w:pPr>
      <w:r>
        <w:rPr>
          <w:sz w:val="24"/>
          <w:szCs w:val="24"/>
        </w:rPr>
        <w:t>Atazanavir "Stada"</w:t>
      </w:r>
      <w:r w:rsidRPr="00850E20">
        <w:rPr>
          <w:sz w:val="24"/>
          <w:szCs w:val="24"/>
        </w:rPr>
        <w:t xml:space="preserve"> uden ritonavir bør ikke anvendes til gravide patienter, da det kan medføre suboptimal eksponering, hvilket giver anledning til særlig bekymring for moderens infektion og vertikal transmission.</w:t>
      </w:r>
    </w:p>
    <w:p w:rsidR="00A61314" w:rsidRPr="00850E20" w:rsidRDefault="00A61314" w:rsidP="00A61314">
      <w:pPr>
        <w:ind w:left="851"/>
        <w:rPr>
          <w:sz w:val="24"/>
          <w:szCs w:val="24"/>
        </w:rPr>
      </w:pPr>
    </w:p>
    <w:p w:rsidR="00A61314" w:rsidRPr="00850E20" w:rsidRDefault="00A61314" w:rsidP="00A61314">
      <w:pPr>
        <w:ind w:left="851"/>
        <w:rPr>
          <w:sz w:val="24"/>
          <w:szCs w:val="24"/>
          <w:u w:val="single"/>
        </w:rPr>
      </w:pPr>
      <w:r w:rsidRPr="00850E20">
        <w:rPr>
          <w:sz w:val="24"/>
          <w:szCs w:val="24"/>
          <w:u w:val="single"/>
        </w:rPr>
        <w:t>Cholelithiasis</w:t>
      </w:r>
    </w:p>
    <w:p w:rsidR="00A61314" w:rsidRPr="00850E20" w:rsidRDefault="00A61314" w:rsidP="00A61314">
      <w:pPr>
        <w:ind w:left="851"/>
        <w:rPr>
          <w:sz w:val="24"/>
          <w:szCs w:val="24"/>
        </w:rPr>
      </w:pPr>
      <w:r w:rsidRPr="00850E20">
        <w:rPr>
          <w:sz w:val="24"/>
          <w:szCs w:val="24"/>
        </w:rPr>
        <w:t>Der er rapporteret om cholelithiasis hos patienter behandlet med atazanavir (se pkt. 4.8). Hos nogle patienter krævede dette hospitalsindlæggelse med yderligere behandling, og nogle patienter havde komplikationer. Hvis der opstår tegn eller symptomer på cholelithiasis, kan midlertidig afbrydelse eller seponering af behandlingen overvejes.</w:t>
      </w:r>
    </w:p>
    <w:p w:rsidR="00A61314" w:rsidRPr="00850E20" w:rsidRDefault="00A61314" w:rsidP="00A61314">
      <w:pPr>
        <w:ind w:left="851"/>
        <w:rPr>
          <w:sz w:val="24"/>
          <w:szCs w:val="24"/>
        </w:rPr>
      </w:pPr>
    </w:p>
    <w:p w:rsidR="00A61314" w:rsidRPr="00850E20" w:rsidRDefault="00A61314" w:rsidP="00A61314">
      <w:pPr>
        <w:ind w:left="851"/>
        <w:rPr>
          <w:sz w:val="24"/>
          <w:szCs w:val="24"/>
          <w:u w:val="single"/>
        </w:rPr>
      </w:pPr>
      <w:r w:rsidRPr="00850E20">
        <w:rPr>
          <w:sz w:val="24"/>
          <w:szCs w:val="24"/>
          <w:u w:val="single"/>
        </w:rPr>
        <w:t>Kronisk nyresygdom</w:t>
      </w:r>
    </w:p>
    <w:p w:rsidR="00A61314" w:rsidRPr="00850E20" w:rsidRDefault="00A61314" w:rsidP="00A61314">
      <w:pPr>
        <w:ind w:left="851"/>
        <w:rPr>
          <w:sz w:val="24"/>
          <w:szCs w:val="24"/>
        </w:rPr>
      </w:pPr>
      <w:r w:rsidRPr="00850E20">
        <w:rPr>
          <w:sz w:val="24"/>
          <w:szCs w:val="24"/>
        </w:rPr>
        <w:t>Kronisk nyresygdom hos HIV-inficerede patienter behandlet med atazanavir, med eller uden ritonavir, er blevet rapporteret under post-marketing-overvågning. Et stort prospektivt observationsstudie har vist en sammenhæng mellem øget forekomst af kronisk nyresygdom og kumulativ eksponering for atazanavir/ritonavir-indeholdende behandlingsregimer hos HIV-patienter med initial normal eGFR. Denne sammenhæng blev observeret uafhængig af eksponering for tenofovirdisoproxil. Regelmæssig overvågning af patienternes nyrefunktion bør opretholdes igennem hele behandlingsforløbet (se pkt. 4.8).</w:t>
      </w:r>
    </w:p>
    <w:p w:rsidR="00A61314" w:rsidRPr="00850E20" w:rsidRDefault="00A61314" w:rsidP="00A61314">
      <w:pPr>
        <w:ind w:left="851"/>
        <w:rPr>
          <w:sz w:val="24"/>
          <w:szCs w:val="24"/>
        </w:rPr>
      </w:pPr>
    </w:p>
    <w:p w:rsidR="00A61314" w:rsidRPr="00850E20" w:rsidRDefault="00A61314" w:rsidP="00A61314">
      <w:pPr>
        <w:ind w:left="851"/>
        <w:rPr>
          <w:sz w:val="24"/>
          <w:szCs w:val="24"/>
          <w:u w:val="single"/>
        </w:rPr>
      </w:pPr>
      <w:r w:rsidRPr="00850E20">
        <w:rPr>
          <w:sz w:val="24"/>
          <w:szCs w:val="24"/>
          <w:u w:val="single"/>
        </w:rPr>
        <w:lastRenderedPageBreak/>
        <w:t>Nefrolitiasis</w:t>
      </w:r>
    </w:p>
    <w:p w:rsidR="00A61314" w:rsidRPr="00850E20" w:rsidRDefault="00A61314" w:rsidP="00A61314">
      <w:pPr>
        <w:ind w:left="851"/>
        <w:rPr>
          <w:sz w:val="24"/>
          <w:szCs w:val="24"/>
        </w:rPr>
      </w:pPr>
      <w:r w:rsidRPr="00850E20">
        <w:rPr>
          <w:sz w:val="24"/>
          <w:szCs w:val="24"/>
        </w:rPr>
        <w:t>Der er rapporteret nefrolitiasis hos patienter behandlet med atazanavir (se pkt. 4.8). Hos nogle patienter krævede dette hospitalsindlæggelse med yderligere behandling, og nogle patienter havde komplikationer. I nogle tilfælde er nefrolitiasis blevet forbundet med akut nyresvigt eller nyreinsufficiens. Hvis der opstår tegn eller symptomer på nefrolitiasis, kan midlertidig afbrydelse eller seponering af behandlingen overvejes.</w:t>
      </w:r>
    </w:p>
    <w:p w:rsidR="00A61314" w:rsidRPr="00850E20" w:rsidRDefault="00A61314" w:rsidP="00A61314">
      <w:pPr>
        <w:ind w:left="851"/>
        <w:rPr>
          <w:sz w:val="24"/>
          <w:szCs w:val="24"/>
        </w:rPr>
      </w:pPr>
    </w:p>
    <w:p w:rsidR="002A0DA0" w:rsidRPr="00850E20" w:rsidRDefault="002A0DA0" w:rsidP="002A0DA0">
      <w:pPr>
        <w:ind w:left="851"/>
        <w:rPr>
          <w:sz w:val="24"/>
          <w:szCs w:val="24"/>
          <w:u w:val="single"/>
        </w:rPr>
      </w:pPr>
      <w:r w:rsidRPr="00850E20">
        <w:rPr>
          <w:sz w:val="24"/>
          <w:szCs w:val="24"/>
          <w:u w:val="single"/>
        </w:rPr>
        <w:t>Immunreaktiveringssyndrom</w:t>
      </w:r>
    </w:p>
    <w:p w:rsidR="002A0DA0" w:rsidRPr="00850E20" w:rsidRDefault="002A0DA0" w:rsidP="002A0DA0">
      <w:pPr>
        <w:ind w:left="851"/>
        <w:rPr>
          <w:sz w:val="24"/>
          <w:szCs w:val="24"/>
        </w:rPr>
      </w:pPr>
      <w:r w:rsidRPr="00850E20">
        <w:rPr>
          <w:sz w:val="24"/>
          <w:szCs w:val="24"/>
        </w:rPr>
        <w:t xml:space="preserve">Hos HIV-inficerede patienter med svær immuninsufficiens kan der ved påbegyndelse af CART opstå inflammatorisk reaktion på asymptomatiske eller residuale opportunistiske patogener, som kan forårsage alvorlige kliniske tilstande eller forværring af symptomer. Typisk observeres sådanne reaktioner inden for de første få uger eller måneder efter påbegyndelsen af CART. Relevante eksempler er cytomegalovirus retinitis, generaliserede og/eller fokale mycobakterielle infektioner og </w:t>
      </w:r>
      <w:r w:rsidRPr="00850E20">
        <w:rPr>
          <w:i/>
          <w:sz w:val="24"/>
          <w:szCs w:val="24"/>
        </w:rPr>
        <w:t>pneumocystis jirovecii</w:t>
      </w:r>
      <w:r w:rsidRPr="00850E20">
        <w:rPr>
          <w:sz w:val="24"/>
          <w:szCs w:val="24"/>
        </w:rPr>
        <w:t xml:space="preserve"> pneumoni. Alle inflammatoriske symptomer bør vurderes, og behandling påbegyndes efter behov. Autoimmune lidelser (såsom Graves sygdom</w:t>
      </w:r>
      <w:r>
        <w:rPr>
          <w:sz w:val="24"/>
          <w:szCs w:val="24"/>
        </w:rPr>
        <w:t xml:space="preserve"> og autoimmun hepatitis</w:t>
      </w:r>
      <w:r w:rsidRPr="00850E20">
        <w:rPr>
          <w:sz w:val="24"/>
          <w:szCs w:val="24"/>
        </w:rPr>
        <w:t>) er også rapporteret i forbindelse med immunreaktivering. Tiden til udbrud er imidlertid mere variabel, og udbrud kan optræde mange måneder efter behandlingsstart.</w:t>
      </w:r>
    </w:p>
    <w:p w:rsidR="00A61314" w:rsidRPr="00850E20" w:rsidRDefault="00A61314" w:rsidP="00A61314">
      <w:pPr>
        <w:ind w:left="851"/>
        <w:rPr>
          <w:sz w:val="24"/>
          <w:szCs w:val="24"/>
        </w:rPr>
      </w:pPr>
    </w:p>
    <w:p w:rsidR="00A61314" w:rsidRPr="00850E20" w:rsidRDefault="00A61314" w:rsidP="00A61314">
      <w:pPr>
        <w:ind w:left="851"/>
        <w:rPr>
          <w:sz w:val="24"/>
          <w:szCs w:val="24"/>
          <w:u w:val="single"/>
        </w:rPr>
      </w:pPr>
      <w:r w:rsidRPr="00850E20">
        <w:rPr>
          <w:sz w:val="24"/>
          <w:szCs w:val="24"/>
          <w:u w:val="single"/>
        </w:rPr>
        <w:t>Osteonekrose</w:t>
      </w:r>
    </w:p>
    <w:p w:rsidR="00A61314" w:rsidRPr="00850E20" w:rsidRDefault="00A61314" w:rsidP="00A61314">
      <w:pPr>
        <w:ind w:left="851"/>
        <w:rPr>
          <w:sz w:val="24"/>
          <w:szCs w:val="24"/>
        </w:rPr>
      </w:pPr>
      <w:r w:rsidRPr="00850E20">
        <w:rPr>
          <w:sz w:val="24"/>
          <w:szCs w:val="24"/>
        </w:rPr>
        <w:t>Der er rapporteret tilfælde af osteonekrose hos patienter med fremskreden HIV-sygdom og/eller patienter i langvarig kombinationsbehandling med antiretrovirale lægemidler (CART). Ætiologien anses dog for at være multifaktoriel (omfattende anvendelse af kortikosteroider, alkoholforbrug, svær immunsuppression, højt BMI (Body Mass Index)). Patienterne skal informeres om at søge læge, hvis de oplever ømme og smertende led, ledstivhed eller bevægelsesbesvær.</w:t>
      </w:r>
    </w:p>
    <w:p w:rsidR="00A61314" w:rsidRPr="00850E20" w:rsidRDefault="00A61314" w:rsidP="00A61314">
      <w:pPr>
        <w:ind w:left="851"/>
        <w:rPr>
          <w:sz w:val="24"/>
          <w:szCs w:val="24"/>
        </w:rPr>
      </w:pPr>
    </w:p>
    <w:p w:rsidR="00A61314" w:rsidRPr="00850E20" w:rsidRDefault="00A61314" w:rsidP="00A61314">
      <w:pPr>
        <w:ind w:left="851"/>
        <w:rPr>
          <w:sz w:val="24"/>
          <w:szCs w:val="24"/>
          <w:u w:val="single"/>
        </w:rPr>
      </w:pPr>
      <w:r w:rsidRPr="00850E20">
        <w:rPr>
          <w:sz w:val="24"/>
          <w:szCs w:val="24"/>
          <w:u w:val="single"/>
        </w:rPr>
        <w:t>Udslæt og relaterede syndromer</w:t>
      </w:r>
    </w:p>
    <w:p w:rsidR="00A61314" w:rsidRPr="00850E20" w:rsidRDefault="00A61314" w:rsidP="00A61314">
      <w:pPr>
        <w:ind w:left="851"/>
        <w:rPr>
          <w:sz w:val="24"/>
          <w:szCs w:val="24"/>
        </w:rPr>
      </w:pPr>
      <w:r w:rsidRPr="00850E20">
        <w:rPr>
          <w:sz w:val="24"/>
          <w:szCs w:val="24"/>
        </w:rPr>
        <w:t>Udslæt er ofte lette til moderate makulopapuløse huderuptioner, der optræder inden for de første 3</w:t>
      </w:r>
      <w:r>
        <w:rPr>
          <w:sz w:val="24"/>
          <w:szCs w:val="24"/>
        </w:rPr>
        <w:t xml:space="preserve"> </w:t>
      </w:r>
      <w:r w:rsidRPr="00850E20">
        <w:rPr>
          <w:sz w:val="24"/>
          <w:szCs w:val="24"/>
        </w:rPr>
        <w:t>uger efter påbegyndelse af atazanavir-behandling.</w:t>
      </w:r>
    </w:p>
    <w:p w:rsidR="00A61314" w:rsidRPr="00850E20" w:rsidRDefault="00A61314" w:rsidP="00A61314">
      <w:pPr>
        <w:ind w:left="851"/>
        <w:rPr>
          <w:sz w:val="24"/>
          <w:szCs w:val="24"/>
        </w:rPr>
      </w:pPr>
    </w:p>
    <w:p w:rsidR="00A61314" w:rsidRPr="00850E20" w:rsidRDefault="00A61314" w:rsidP="00A61314">
      <w:pPr>
        <w:ind w:left="851"/>
        <w:rPr>
          <w:sz w:val="24"/>
          <w:szCs w:val="24"/>
        </w:rPr>
      </w:pPr>
      <w:r w:rsidRPr="00850E20">
        <w:rPr>
          <w:sz w:val="24"/>
          <w:szCs w:val="24"/>
        </w:rPr>
        <w:t xml:space="preserve">Stevens-Johnsons syndrom (SJS), erythema multiforme, toksiske huderuptioner og lægemiddelfremkaldt udslæt med eosinofili og systemiske symptomer (DRESS-syndrom) har været rapporteret hos patienter i behandling med </w:t>
      </w:r>
      <w:r>
        <w:rPr>
          <w:sz w:val="24"/>
          <w:szCs w:val="24"/>
        </w:rPr>
        <w:t>atazanavir</w:t>
      </w:r>
      <w:r w:rsidRPr="00850E20">
        <w:rPr>
          <w:sz w:val="24"/>
          <w:szCs w:val="24"/>
        </w:rPr>
        <w:t xml:space="preserve">. Patienterne bør informeres om tegn og symptomer samt monitoreres nøje for hudreaktioner. </w:t>
      </w:r>
      <w:r>
        <w:rPr>
          <w:sz w:val="24"/>
          <w:szCs w:val="24"/>
        </w:rPr>
        <w:t>Atazanavir "Stada"</w:t>
      </w:r>
      <w:r w:rsidRPr="00850E20">
        <w:rPr>
          <w:sz w:val="24"/>
          <w:szCs w:val="24"/>
        </w:rPr>
        <w:t xml:space="preserve"> bør seponeres, hvis der udvikles alvorligt udslæt.</w:t>
      </w:r>
    </w:p>
    <w:p w:rsidR="00A61314" w:rsidRPr="00850E20" w:rsidRDefault="00A61314" w:rsidP="00A61314">
      <w:pPr>
        <w:ind w:left="851"/>
        <w:rPr>
          <w:sz w:val="24"/>
          <w:szCs w:val="24"/>
        </w:rPr>
      </w:pPr>
    </w:p>
    <w:p w:rsidR="00A61314" w:rsidRPr="00850E20" w:rsidRDefault="00A61314" w:rsidP="00A61314">
      <w:pPr>
        <w:ind w:left="851"/>
        <w:rPr>
          <w:sz w:val="24"/>
          <w:szCs w:val="24"/>
        </w:rPr>
      </w:pPr>
      <w:r w:rsidRPr="00850E20">
        <w:rPr>
          <w:sz w:val="24"/>
          <w:szCs w:val="24"/>
        </w:rPr>
        <w:t>De bedste resultater i håndteringen af disse bivirkninger opnås ved tidlig diagnosticering og</w:t>
      </w:r>
      <w:r>
        <w:rPr>
          <w:sz w:val="24"/>
          <w:szCs w:val="24"/>
        </w:rPr>
        <w:t xml:space="preserve"> </w:t>
      </w:r>
      <w:r w:rsidRPr="00850E20">
        <w:rPr>
          <w:sz w:val="24"/>
          <w:szCs w:val="24"/>
        </w:rPr>
        <w:t>øjeblikkelig seponering af alle mistænkte lægemidler. Hvis patienten har udviklet SJS eller DRESS</w:t>
      </w:r>
      <w:r>
        <w:rPr>
          <w:sz w:val="24"/>
          <w:szCs w:val="24"/>
        </w:rPr>
        <w:t xml:space="preserve"> </w:t>
      </w:r>
      <w:r w:rsidRPr="00850E20">
        <w:rPr>
          <w:sz w:val="24"/>
          <w:szCs w:val="24"/>
        </w:rPr>
        <w:t xml:space="preserve">under behandling med atazanavir, bør </w:t>
      </w:r>
      <w:r>
        <w:rPr>
          <w:sz w:val="24"/>
          <w:szCs w:val="24"/>
        </w:rPr>
        <w:t>Atazanavir "Stada"</w:t>
      </w:r>
      <w:r w:rsidRPr="00850E20">
        <w:rPr>
          <w:sz w:val="24"/>
          <w:szCs w:val="24"/>
        </w:rPr>
        <w:t>-behandling ikke genoptages.</w:t>
      </w:r>
    </w:p>
    <w:p w:rsidR="00A61314" w:rsidRPr="00850E20" w:rsidRDefault="00A61314" w:rsidP="00A61314">
      <w:pPr>
        <w:ind w:left="851"/>
        <w:rPr>
          <w:sz w:val="24"/>
          <w:szCs w:val="24"/>
        </w:rPr>
      </w:pPr>
    </w:p>
    <w:p w:rsidR="00A61314" w:rsidRPr="00850E20" w:rsidRDefault="00A61314" w:rsidP="00A61314">
      <w:pPr>
        <w:ind w:left="851"/>
        <w:rPr>
          <w:sz w:val="24"/>
          <w:szCs w:val="24"/>
          <w:u w:val="single"/>
        </w:rPr>
      </w:pPr>
      <w:r w:rsidRPr="00850E20">
        <w:rPr>
          <w:sz w:val="24"/>
          <w:szCs w:val="24"/>
          <w:u w:val="single"/>
        </w:rPr>
        <w:t>Interaktioner med andre lægemidler</w:t>
      </w:r>
    </w:p>
    <w:p w:rsidR="00A61314" w:rsidRPr="00850E20" w:rsidRDefault="00A61314" w:rsidP="00A61314">
      <w:pPr>
        <w:ind w:left="851"/>
        <w:rPr>
          <w:sz w:val="24"/>
          <w:szCs w:val="24"/>
        </w:rPr>
      </w:pPr>
      <w:r w:rsidRPr="00850E20">
        <w:rPr>
          <w:sz w:val="24"/>
          <w:szCs w:val="24"/>
        </w:rPr>
        <w:t>Kombination af atazanavir og atorvastatin frarådes (se pkt. 4.5).</w:t>
      </w:r>
    </w:p>
    <w:p w:rsidR="00A61314" w:rsidRPr="00850E20" w:rsidRDefault="00A61314" w:rsidP="00A61314">
      <w:pPr>
        <w:ind w:left="851"/>
        <w:rPr>
          <w:sz w:val="24"/>
          <w:szCs w:val="24"/>
        </w:rPr>
      </w:pPr>
      <w:r w:rsidRPr="00850E20">
        <w:rPr>
          <w:sz w:val="24"/>
          <w:szCs w:val="24"/>
        </w:rPr>
        <w:t xml:space="preserve">Samtidig administration af atazanavir og nevirapin eller efavirenz frarådes (se pkt. 4.5). Ved behov for samtidig administration af atazanavir og en NNRTI, kan det overvejes at øge dosis af </w:t>
      </w:r>
      <w:r>
        <w:rPr>
          <w:sz w:val="24"/>
          <w:szCs w:val="24"/>
        </w:rPr>
        <w:t>Atazanavir "Stada"</w:t>
      </w:r>
      <w:r w:rsidRPr="00850E20">
        <w:rPr>
          <w:sz w:val="24"/>
          <w:szCs w:val="24"/>
        </w:rPr>
        <w:t xml:space="preserve"> og ritonavir til henholdsvis 400 mg og 200 mg, i kombination med efavirenz, og under omhyggelig klinisk monitorering.</w:t>
      </w:r>
    </w:p>
    <w:p w:rsidR="00A61314" w:rsidRPr="00850E20" w:rsidRDefault="00A61314" w:rsidP="00A61314">
      <w:pPr>
        <w:ind w:left="851"/>
        <w:rPr>
          <w:sz w:val="24"/>
          <w:szCs w:val="24"/>
        </w:rPr>
      </w:pPr>
    </w:p>
    <w:p w:rsidR="00A61314" w:rsidRPr="00850E20" w:rsidRDefault="00A61314" w:rsidP="00A61314">
      <w:pPr>
        <w:ind w:left="851"/>
        <w:rPr>
          <w:sz w:val="24"/>
          <w:szCs w:val="24"/>
        </w:rPr>
      </w:pPr>
      <w:r w:rsidRPr="00850E20">
        <w:rPr>
          <w:sz w:val="24"/>
          <w:szCs w:val="24"/>
        </w:rPr>
        <w:t xml:space="preserve">Atazanavir metaboliseres hovedsageligt af CYP3A4. Samtidig administration af </w:t>
      </w:r>
      <w:r>
        <w:rPr>
          <w:sz w:val="24"/>
          <w:szCs w:val="24"/>
        </w:rPr>
        <w:t>Atazanavir "Stada"</w:t>
      </w:r>
      <w:r w:rsidRPr="00850E20">
        <w:rPr>
          <w:sz w:val="24"/>
          <w:szCs w:val="24"/>
        </w:rPr>
        <w:t xml:space="preserve"> og lægemidler, der inducerer CYP3A4 frarådes (se pkt. 4.3 og 4.5).</w:t>
      </w:r>
    </w:p>
    <w:p w:rsidR="00A61314" w:rsidRPr="00850E20" w:rsidRDefault="00A61314" w:rsidP="00A61314">
      <w:pPr>
        <w:ind w:left="851"/>
        <w:rPr>
          <w:sz w:val="24"/>
          <w:szCs w:val="24"/>
        </w:rPr>
      </w:pPr>
    </w:p>
    <w:p w:rsidR="00A61314" w:rsidRPr="00850E20" w:rsidRDefault="00A61314" w:rsidP="00A61314">
      <w:pPr>
        <w:ind w:left="851"/>
        <w:rPr>
          <w:sz w:val="24"/>
          <w:szCs w:val="24"/>
        </w:rPr>
      </w:pPr>
      <w:r w:rsidRPr="00850E20">
        <w:rPr>
          <w:sz w:val="24"/>
          <w:szCs w:val="24"/>
        </w:rPr>
        <w:t>PDE5-hæmmere ved behandling af erektil dysfunktion: Der bør udvises særlig forsigtighed ved</w:t>
      </w:r>
      <w:r>
        <w:rPr>
          <w:sz w:val="24"/>
          <w:szCs w:val="24"/>
        </w:rPr>
        <w:t xml:space="preserve"> </w:t>
      </w:r>
      <w:r w:rsidRPr="00850E20">
        <w:rPr>
          <w:sz w:val="24"/>
          <w:szCs w:val="24"/>
        </w:rPr>
        <w:t>ordinering af PDE5-hæmmere (sildenafil, tadalafil eller vardenafil) til behandling af erektil</w:t>
      </w:r>
      <w:r>
        <w:rPr>
          <w:sz w:val="24"/>
          <w:szCs w:val="24"/>
        </w:rPr>
        <w:t xml:space="preserve"> </w:t>
      </w:r>
      <w:r w:rsidRPr="00850E20">
        <w:rPr>
          <w:sz w:val="24"/>
          <w:szCs w:val="24"/>
        </w:rPr>
        <w:t xml:space="preserve">dysfunktion hos patienter, der får atazanavir. Samtidig administration af </w:t>
      </w:r>
      <w:r>
        <w:rPr>
          <w:sz w:val="24"/>
          <w:szCs w:val="24"/>
        </w:rPr>
        <w:t>Atazanavir "Stada"</w:t>
      </w:r>
      <w:r w:rsidRPr="00850E20">
        <w:rPr>
          <w:sz w:val="24"/>
          <w:szCs w:val="24"/>
        </w:rPr>
        <w:t xml:space="preserve"> med disse lægemidler forventes at øge deres koncentration væsentligt og kan resultere i PDE5-relaterede bivirkninger såsom hypotension, synsforstyrrelser og priapisme (se pkt. 4.5).</w:t>
      </w:r>
    </w:p>
    <w:p w:rsidR="00A61314" w:rsidRPr="00850E20" w:rsidRDefault="00A61314" w:rsidP="00A61314">
      <w:pPr>
        <w:ind w:left="851"/>
        <w:rPr>
          <w:sz w:val="24"/>
          <w:szCs w:val="24"/>
        </w:rPr>
      </w:pPr>
    </w:p>
    <w:p w:rsidR="00A61314" w:rsidRPr="00850E20" w:rsidRDefault="00A61314" w:rsidP="00A61314">
      <w:pPr>
        <w:ind w:left="851"/>
        <w:rPr>
          <w:sz w:val="24"/>
          <w:szCs w:val="24"/>
        </w:rPr>
      </w:pPr>
      <w:r w:rsidRPr="00850E20">
        <w:rPr>
          <w:sz w:val="24"/>
          <w:szCs w:val="24"/>
        </w:rPr>
        <w:t>Samtidig administration af voriconazol og atazanavir med ritonavir frarådes, medmindre det vurderes, at fordel/risiko-forholdet berettiger brugen af voriconazol.</w:t>
      </w:r>
    </w:p>
    <w:p w:rsidR="00A61314" w:rsidRPr="00850E20" w:rsidRDefault="00A61314" w:rsidP="00A61314">
      <w:pPr>
        <w:ind w:left="851"/>
        <w:rPr>
          <w:sz w:val="24"/>
          <w:szCs w:val="24"/>
        </w:rPr>
      </w:pPr>
    </w:p>
    <w:p w:rsidR="00A61314" w:rsidRPr="00850E20" w:rsidRDefault="00A61314" w:rsidP="00A61314">
      <w:pPr>
        <w:ind w:left="851"/>
        <w:rPr>
          <w:sz w:val="24"/>
          <w:szCs w:val="24"/>
        </w:rPr>
      </w:pPr>
      <w:r w:rsidRPr="00850E20">
        <w:rPr>
          <w:sz w:val="24"/>
          <w:szCs w:val="24"/>
        </w:rPr>
        <w:t>Hos størstedelen af patienterne forventes en nedsat eksponering for både voriconazol og atazanavir. Hos et lille antal patienter uden en funktionel CYP2C19-allel forventes signifikant øget voriconazoleksponering (se pkt. 4.5).</w:t>
      </w:r>
    </w:p>
    <w:p w:rsidR="00A61314" w:rsidRPr="00850E20" w:rsidRDefault="00A61314" w:rsidP="00A61314">
      <w:pPr>
        <w:ind w:left="851"/>
        <w:rPr>
          <w:sz w:val="24"/>
          <w:szCs w:val="24"/>
        </w:rPr>
      </w:pPr>
    </w:p>
    <w:p w:rsidR="00A61314" w:rsidRPr="00850E20" w:rsidRDefault="00A61314" w:rsidP="00A61314">
      <w:pPr>
        <w:ind w:left="851"/>
        <w:rPr>
          <w:sz w:val="24"/>
          <w:szCs w:val="24"/>
        </w:rPr>
      </w:pPr>
      <w:r w:rsidRPr="00850E20">
        <w:rPr>
          <w:sz w:val="24"/>
          <w:szCs w:val="24"/>
        </w:rPr>
        <w:t>Samtidig brug af atazanavir/ritonavir og fluticason, eller andre glukokortikoider, som metaboliseres af</w:t>
      </w:r>
      <w:r>
        <w:rPr>
          <w:sz w:val="24"/>
          <w:szCs w:val="24"/>
        </w:rPr>
        <w:t xml:space="preserve"> </w:t>
      </w:r>
      <w:r w:rsidRPr="00850E20">
        <w:rPr>
          <w:sz w:val="24"/>
          <w:szCs w:val="24"/>
        </w:rPr>
        <w:t>CYP3A4, frarådes, medmindre de potentielle fordele ved behandlingen opvejer risikoen for systemiske bivirkninger forårsaget af kortikosteroider, herunder Cushings syndrom og binyrebarksuppression (se pkt. 4.5).</w:t>
      </w:r>
    </w:p>
    <w:p w:rsidR="00A61314" w:rsidRPr="00850E20" w:rsidRDefault="00A61314" w:rsidP="00A61314">
      <w:pPr>
        <w:ind w:left="851"/>
        <w:rPr>
          <w:sz w:val="24"/>
          <w:szCs w:val="24"/>
        </w:rPr>
      </w:pPr>
    </w:p>
    <w:p w:rsidR="00A61314" w:rsidRPr="00850E20" w:rsidRDefault="00A61314" w:rsidP="00A61314">
      <w:pPr>
        <w:ind w:left="851"/>
        <w:rPr>
          <w:sz w:val="24"/>
          <w:szCs w:val="24"/>
        </w:rPr>
      </w:pPr>
      <w:r w:rsidRPr="00850E20">
        <w:rPr>
          <w:sz w:val="24"/>
          <w:szCs w:val="24"/>
        </w:rPr>
        <w:t xml:space="preserve">Samtidig brug af salmeterol og atazanavir kan resultere i en øget risiko for salmeterol-relaterede kardiovaskulære bivirkninger. Samtidig administration af salmeterol og </w:t>
      </w:r>
      <w:r>
        <w:rPr>
          <w:sz w:val="24"/>
          <w:szCs w:val="24"/>
        </w:rPr>
        <w:t>Atazanavir "Stada"</w:t>
      </w:r>
      <w:r w:rsidRPr="00850E20">
        <w:rPr>
          <w:sz w:val="24"/>
          <w:szCs w:val="24"/>
        </w:rPr>
        <w:t xml:space="preserve"> anbefales ikke (se pkt. 4.5).</w:t>
      </w:r>
    </w:p>
    <w:p w:rsidR="00A61314" w:rsidRPr="00850E20" w:rsidRDefault="00A61314" w:rsidP="00A61314">
      <w:pPr>
        <w:ind w:left="851"/>
        <w:rPr>
          <w:sz w:val="24"/>
          <w:szCs w:val="24"/>
        </w:rPr>
      </w:pPr>
    </w:p>
    <w:p w:rsidR="00A61314" w:rsidRPr="00850E20" w:rsidRDefault="00A61314" w:rsidP="00A61314">
      <w:pPr>
        <w:ind w:left="851"/>
        <w:rPr>
          <w:sz w:val="24"/>
          <w:szCs w:val="24"/>
        </w:rPr>
      </w:pPr>
      <w:r w:rsidRPr="00850E20">
        <w:rPr>
          <w:sz w:val="24"/>
          <w:szCs w:val="24"/>
        </w:rPr>
        <w:t>Absorptionen af atazanavir kan reduceres ved øget pH-værdi i maven, uanset årsagen til dette.</w:t>
      </w:r>
    </w:p>
    <w:p w:rsidR="00A61314" w:rsidRPr="00850E20" w:rsidRDefault="00A61314" w:rsidP="00A61314">
      <w:pPr>
        <w:ind w:left="851"/>
        <w:rPr>
          <w:sz w:val="24"/>
          <w:szCs w:val="24"/>
        </w:rPr>
      </w:pPr>
    </w:p>
    <w:p w:rsidR="00A61314" w:rsidRPr="00850E20" w:rsidRDefault="00A61314" w:rsidP="00A61314">
      <w:pPr>
        <w:ind w:left="851"/>
        <w:rPr>
          <w:sz w:val="24"/>
          <w:szCs w:val="24"/>
        </w:rPr>
      </w:pPr>
      <w:r w:rsidRPr="00850E20">
        <w:rPr>
          <w:sz w:val="24"/>
          <w:szCs w:val="24"/>
        </w:rPr>
        <w:t>Samtidig administration af atazanavir og protonpumpehæmmere frarådes (se pkt. 4.5). Hvis kombinationen af atazanavir og en protonpumpehæmmer ikke kan undgås, anbefales tæt klinisk monitorering af patienten, samtidig med at dosis af atazanavir øges til 400 mg med 100 mg ritonavir. Dosis af protonpumpehæmmere bør ikke overstige dosis svarende til omeprazol 20 mg.</w:t>
      </w:r>
    </w:p>
    <w:p w:rsidR="00A61314" w:rsidRPr="00850E20" w:rsidRDefault="00A61314" w:rsidP="00A61314">
      <w:pPr>
        <w:ind w:left="851"/>
        <w:rPr>
          <w:sz w:val="24"/>
          <w:szCs w:val="24"/>
        </w:rPr>
      </w:pPr>
    </w:p>
    <w:p w:rsidR="00A61314" w:rsidRPr="00850E20" w:rsidRDefault="00A61314" w:rsidP="00A61314">
      <w:pPr>
        <w:ind w:left="851"/>
        <w:rPr>
          <w:sz w:val="24"/>
          <w:szCs w:val="24"/>
        </w:rPr>
      </w:pPr>
      <w:r w:rsidRPr="00850E20">
        <w:rPr>
          <w:sz w:val="24"/>
          <w:szCs w:val="24"/>
        </w:rPr>
        <w:t>Samtidig administration af atazanavir og andre hormonelle kontraceptionsmidler eller orale kontraceptionsmidler indeholdende andre gestagener end norgestimat eller norethindron er ikke blevet undersøgt og bør derfor undgås (se pkt. 4.5).</w:t>
      </w:r>
    </w:p>
    <w:p w:rsidR="00A61314" w:rsidRPr="00850E20" w:rsidRDefault="00A61314" w:rsidP="00A61314">
      <w:pPr>
        <w:ind w:left="851"/>
        <w:rPr>
          <w:sz w:val="24"/>
          <w:szCs w:val="24"/>
        </w:rPr>
      </w:pPr>
    </w:p>
    <w:p w:rsidR="00A61314" w:rsidRPr="00850E20" w:rsidRDefault="00A61314" w:rsidP="00A61314">
      <w:pPr>
        <w:ind w:left="851"/>
        <w:rPr>
          <w:sz w:val="24"/>
          <w:szCs w:val="24"/>
          <w:u w:val="single"/>
        </w:rPr>
      </w:pPr>
      <w:r w:rsidRPr="00850E20">
        <w:rPr>
          <w:sz w:val="24"/>
          <w:szCs w:val="24"/>
          <w:u w:val="single"/>
        </w:rPr>
        <w:t>Pædiatrisk population</w:t>
      </w:r>
    </w:p>
    <w:p w:rsidR="00A61314" w:rsidRPr="00850E20" w:rsidRDefault="00A61314" w:rsidP="00A61314">
      <w:pPr>
        <w:ind w:left="851"/>
        <w:rPr>
          <w:i/>
          <w:sz w:val="24"/>
          <w:szCs w:val="24"/>
        </w:rPr>
      </w:pPr>
      <w:r w:rsidRPr="00850E20">
        <w:rPr>
          <w:i/>
          <w:sz w:val="24"/>
          <w:szCs w:val="24"/>
        </w:rPr>
        <w:t>Sikkerhed</w:t>
      </w:r>
    </w:p>
    <w:p w:rsidR="00A61314" w:rsidRPr="00850E20" w:rsidRDefault="00A61314" w:rsidP="00A61314">
      <w:pPr>
        <w:ind w:left="851"/>
        <w:rPr>
          <w:sz w:val="24"/>
          <w:szCs w:val="24"/>
        </w:rPr>
      </w:pPr>
      <w:r w:rsidRPr="00850E20">
        <w:rPr>
          <w:sz w:val="24"/>
          <w:szCs w:val="24"/>
        </w:rPr>
        <w:t xml:space="preserve">Asymptomatisk forlængelse af PR-intervallet forekom hyppigere hos pædiatriske patienter end hos voksne. Asymptomatisk 1. og 2. grads AV-blok blev rapporteret hos pædiatriske patienter (se pkt. 4.8). Der bør udvises forsigtighed ved lægemidler, der vides at inducere PR-forlængelser. </w:t>
      </w:r>
      <w:r>
        <w:rPr>
          <w:sz w:val="24"/>
          <w:szCs w:val="24"/>
        </w:rPr>
        <w:t>Atazanavir "Stada"</w:t>
      </w:r>
      <w:r w:rsidRPr="00850E20">
        <w:rPr>
          <w:sz w:val="24"/>
          <w:szCs w:val="24"/>
        </w:rPr>
        <w:t xml:space="preserve"> bør anvendes med forsigtighed til pædiatriske patienter med allerede eksisterende overledningsproblemer (andengrads- eller højere atrioventrikulær eller kompleks knude-grenblok), og kun såfremt fordelene opvejer risikoen. Ved kliniske fund (f.eks. bradykardi) anbefales kardial monitorering.</w:t>
      </w:r>
    </w:p>
    <w:p w:rsidR="00A61314" w:rsidRPr="00850E20" w:rsidRDefault="00A61314" w:rsidP="00A61314">
      <w:pPr>
        <w:ind w:left="851"/>
        <w:rPr>
          <w:sz w:val="24"/>
          <w:szCs w:val="24"/>
        </w:rPr>
      </w:pPr>
    </w:p>
    <w:p w:rsidR="00A61314" w:rsidRPr="00850E20" w:rsidRDefault="00A61314" w:rsidP="00A61314">
      <w:pPr>
        <w:keepNext/>
        <w:ind w:left="851"/>
        <w:rPr>
          <w:i/>
          <w:sz w:val="24"/>
          <w:szCs w:val="24"/>
        </w:rPr>
      </w:pPr>
      <w:r w:rsidRPr="00850E20">
        <w:rPr>
          <w:i/>
          <w:sz w:val="24"/>
          <w:szCs w:val="24"/>
        </w:rPr>
        <w:t>Virkning</w:t>
      </w:r>
    </w:p>
    <w:p w:rsidR="00A61314" w:rsidRPr="00850E20" w:rsidRDefault="00A61314" w:rsidP="00A61314">
      <w:pPr>
        <w:ind w:left="851"/>
        <w:rPr>
          <w:sz w:val="24"/>
          <w:szCs w:val="24"/>
        </w:rPr>
      </w:pPr>
      <w:r w:rsidRPr="00850E20">
        <w:rPr>
          <w:sz w:val="24"/>
          <w:szCs w:val="24"/>
        </w:rPr>
        <w:t>Atazanavir/ritonavir er ikke effektivt over for virale stammer med multiresistens</w:t>
      </w:r>
      <w:r>
        <w:rPr>
          <w:sz w:val="24"/>
          <w:szCs w:val="24"/>
        </w:rPr>
        <w:softHyphen/>
      </w:r>
      <w:r w:rsidRPr="00850E20">
        <w:rPr>
          <w:sz w:val="24"/>
          <w:szCs w:val="24"/>
        </w:rPr>
        <w:t>mutationer.</w:t>
      </w:r>
    </w:p>
    <w:p w:rsidR="00A61314" w:rsidRPr="00850E20" w:rsidRDefault="00A61314" w:rsidP="00A61314">
      <w:pPr>
        <w:rPr>
          <w:sz w:val="24"/>
          <w:szCs w:val="24"/>
        </w:rPr>
      </w:pPr>
    </w:p>
    <w:p w:rsidR="00A61314" w:rsidRPr="00850E20" w:rsidRDefault="00A61314" w:rsidP="00A61314">
      <w:pPr>
        <w:ind w:left="851"/>
        <w:rPr>
          <w:sz w:val="24"/>
          <w:szCs w:val="24"/>
          <w:u w:val="single"/>
        </w:rPr>
      </w:pPr>
      <w:r w:rsidRPr="00850E20">
        <w:rPr>
          <w:sz w:val="24"/>
          <w:szCs w:val="24"/>
          <w:u w:val="single"/>
        </w:rPr>
        <w:lastRenderedPageBreak/>
        <w:t>Hjælpestoffer</w:t>
      </w:r>
    </w:p>
    <w:p w:rsidR="00A61314" w:rsidRPr="00850E20" w:rsidRDefault="00A61314" w:rsidP="00A61314">
      <w:pPr>
        <w:ind w:left="851"/>
        <w:rPr>
          <w:i/>
          <w:sz w:val="24"/>
          <w:szCs w:val="24"/>
        </w:rPr>
      </w:pPr>
      <w:r w:rsidRPr="00850E20">
        <w:rPr>
          <w:i/>
          <w:sz w:val="24"/>
          <w:szCs w:val="24"/>
        </w:rPr>
        <w:t>Lactose</w:t>
      </w:r>
    </w:p>
    <w:p w:rsidR="00A61314" w:rsidRPr="00C84483" w:rsidRDefault="00A61314" w:rsidP="00A61314">
      <w:pPr>
        <w:ind w:left="851"/>
        <w:rPr>
          <w:sz w:val="24"/>
          <w:szCs w:val="24"/>
        </w:rPr>
      </w:pPr>
      <w:r>
        <w:rPr>
          <w:sz w:val="24"/>
          <w:szCs w:val="24"/>
        </w:rPr>
        <w:t>Bør ikke anvendes til p</w:t>
      </w:r>
      <w:r w:rsidRPr="00850E20">
        <w:rPr>
          <w:sz w:val="24"/>
          <w:szCs w:val="24"/>
        </w:rPr>
        <w:t xml:space="preserve">atienter med </w:t>
      </w:r>
      <w:r>
        <w:rPr>
          <w:sz w:val="24"/>
          <w:szCs w:val="24"/>
        </w:rPr>
        <w:t>hereditær</w:t>
      </w:r>
      <w:r w:rsidRPr="00850E20">
        <w:rPr>
          <w:sz w:val="24"/>
          <w:szCs w:val="24"/>
        </w:rPr>
        <w:t xml:space="preserve"> galactoseintolerans, </w:t>
      </w:r>
      <w:r>
        <w:rPr>
          <w:sz w:val="24"/>
          <w:szCs w:val="24"/>
        </w:rPr>
        <w:t>total</w:t>
      </w:r>
      <w:r w:rsidRPr="00850E20">
        <w:rPr>
          <w:sz w:val="24"/>
          <w:szCs w:val="24"/>
        </w:rPr>
        <w:t xml:space="preserve"> lactasemangel eller glucose/galactosemalabsorption.</w:t>
      </w:r>
    </w:p>
    <w:p w:rsidR="00A61314" w:rsidRPr="00C84483" w:rsidRDefault="00A61314" w:rsidP="00A61314">
      <w:pPr>
        <w:tabs>
          <w:tab w:val="left" w:pos="851"/>
        </w:tabs>
        <w:ind w:left="851"/>
        <w:rPr>
          <w:sz w:val="24"/>
          <w:szCs w:val="24"/>
        </w:rPr>
      </w:pPr>
    </w:p>
    <w:p w:rsidR="00A61314" w:rsidRPr="00C84483" w:rsidRDefault="00A61314" w:rsidP="00A61314">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A61314" w:rsidRPr="00F455F3" w:rsidRDefault="00A61314" w:rsidP="00A61314">
      <w:pPr>
        <w:ind w:left="851"/>
        <w:rPr>
          <w:sz w:val="24"/>
          <w:szCs w:val="24"/>
        </w:rPr>
      </w:pPr>
      <w:r w:rsidRPr="00F455F3">
        <w:rPr>
          <w:sz w:val="24"/>
          <w:szCs w:val="24"/>
        </w:rPr>
        <w:t>Ved samtidig administration af atazanavir og ritonavir kan ritonavirs metaboliske lægemiddelinteraktionsprofil dominere, idet ritonavir er en mere potent CYP3A4-hæmmer end</w:t>
      </w:r>
      <w:r>
        <w:rPr>
          <w:sz w:val="24"/>
          <w:szCs w:val="24"/>
        </w:rPr>
        <w:t xml:space="preserve"> </w:t>
      </w:r>
      <w:r w:rsidRPr="00F455F3">
        <w:rPr>
          <w:sz w:val="24"/>
          <w:szCs w:val="24"/>
        </w:rPr>
        <w:t xml:space="preserve">atazanavir. Produktresumé for ritonavir bør kontrolleres, inden behandling med </w:t>
      </w:r>
      <w:r>
        <w:rPr>
          <w:sz w:val="24"/>
          <w:szCs w:val="24"/>
        </w:rPr>
        <w:t>Atazanavir "Stada"</w:t>
      </w:r>
      <w:r w:rsidRPr="00F455F3">
        <w:rPr>
          <w:sz w:val="24"/>
          <w:szCs w:val="24"/>
        </w:rPr>
        <w:t xml:space="preserve"> og ritonavir initieres.</w:t>
      </w:r>
    </w:p>
    <w:p w:rsidR="00A61314" w:rsidRPr="00F455F3" w:rsidRDefault="00A61314" w:rsidP="00A61314">
      <w:pPr>
        <w:ind w:left="851"/>
        <w:rPr>
          <w:sz w:val="24"/>
          <w:szCs w:val="24"/>
        </w:rPr>
      </w:pPr>
    </w:p>
    <w:p w:rsidR="002A0DA0" w:rsidRDefault="002A0DA0" w:rsidP="002A0DA0">
      <w:pPr>
        <w:ind w:left="851"/>
        <w:rPr>
          <w:sz w:val="24"/>
          <w:szCs w:val="24"/>
        </w:rPr>
      </w:pPr>
      <w:r>
        <w:rPr>
          <w:sz w:val="24"/>
          <w:szCs w:val="24"/>
        </w:rPr>
        <w:t>Atazanavir metaboliseres i leveren gennem CYP3A4. Det hæmmer CYP3A4. Atazanavir "Stada" er derfor kontraindiceret med lægemidler, der er substrater af CYP3A4 og har et snævert terapeutisk indeks: quetiapin, lurasidon, alfuzosin, astemizol, terfenadin, cisaprid, pimozid, quinidin, bepridil, triazolam, oralt administreret midazolam, lomitapid og sekalealkaloider, især ergotamin og dihydroergotamin (se pkt. 4.3).</w:t>
      </w:r>
    </w:p>
    <w:p w:rsidR="002A0DA0" w:rsidRDefault="002A0DA0" w:rsidP="002A0DA0">
      <w:pPr>
        <w:ind w:left="851"/>
        <w:rPr>
          <w:sz w:val="24"/>
          <w:szCs w:val="24"/>
        </w:rPr>
      </w:pPr>
      <w:r>
        <w:rPr>
          <w:sz w:val="24"/>
          <w:szCs w:val="24"/>
        </w:rPr>
        <w:t xml:space="preserve">Samtidig administration af atazanavir med produkter indeholdende grazoprevir inklusive elbasvir/grazoprevir i fastdosis-kombination er kontraindiceret på grund af stigning i plasmakoncentrationerne af grazoprevir og elbasvir og den potentielle stigning i risiko for ALAT-stigning som er associeret med stigning i koncentrationer af grazoprevir (se pkt. 4.3). Samtidig administrering af Atazanavir STADA med glecaprevir/pibrentasvir fastdosis-kombinationer er kontraindiceret grundet den potentielle øgede risiko for forhøjet ALT på grund af signifikant stigning i plasmakoncentrationerne af glemcaprevir og pobrentasvir (se pkt. 4.3). </w:t>
      </w:r>
    </w:p>
    <w:p w:rsidR="00A61314" w:rsidRPr="00F455F3" w:rsidRDefault="00A61314" w:rsidP="00A61314">
      <w:pPr>
        <w:ind w:left="851"/>
        <w:rPr>
          <w:sz w:val="24"/>
          <w:szCs w:val="24"/>
        </w:rPr>
      </w:pPr>
    </w:p>
    <w:p w:rsidR="00A61314" w:rsidRPr="00F455F3" w:rsidRDefault="00A61314" w:rsidP="00A61314">
      <w:pPr>
        <w:ind w:left="851"/>
        <w:rPr>
          <w:i/>
          <w:sz w:val="24"/>
          <w:szCs w:val="24"/>
        </w:rPr>
      </w:pPr>
      <w:r w:rsidRPr="00F455F3">
        <w:rPr>
          <w:i/>
          <w:sz w:val="24"/>
          <w:szCs w:val="24"/>
        </w:rPr>
        <w:t>Andre interaktioner</w:t>
      </w:r>
    </w:p>
    <w:p w:rsidR="00A61314" w:rsidRPr="00F455F3" w:rsidRDefault="00A61314" w:rsidP="00A61314">
      <w:pPr>
        <w:ind w:left="851"/>
        <w:rPr>
          <w:sz w:val="24"/>
          <w:szCs w:val="24"/>
        </w:rPr>
      </w:pPr>
      <w:r w:rsidRPr="00F455F3">
        <w:rPr>
          <w:sz w:val="24"/>
          <w:szCs w:val="24"/>
        </w:rPr>
        <w:t xml:space="preserve">Interaktioner mellem atazanavir og andre lægemidler angives i tabellen nedenfor (stigninger er angivet med </w:t>
      </w:r>
      <w:r>
        <w:rPr>
          <w:sz w:val="24"/>
          <w:szCs w:val="24"/>
        </w:rPr>
        <w:t>"</w:t>
      </w:r>
      <w:r w:rsidRPr="00F455F3">
        <w:rPr>
          <w:sz w:val="24"/>
          <w:szCs w:val="24"/>
        </w:rPr>
        <w:t>↑</w:t>
      </w:r>
      <w:r>
        <w:rPr>
          <w:sz w:val="24"/>
          <w:szCs w:val="24"/>
        </w:rPr>
        <w:t>"</w:t>
      </w:r>
      <w:r w:rsidRPr="00F455F3">
        <w:rPr>
          <w:sz w:val="24"/>
          <w:szCs w:val="24"/>
        </w:rPr>
        <w:t xml:space="preserve">, fald med </w:t>
      </w:r>
      <w:r>
        <w:rPr>
          <w:sz w:val="24"/>
          <w:szCs w:val="24"/>
        </w:rPr>
        <w:t>"</w:t>
      </w:r>
      <w:r w:rsidRPr="00F455F3">
        <w:rPr>
          <w:sz w:val="24"/>
          <w:szCs w:val="24"/>
        </w:rPr>
        <w:t>↓</w:t>
      </w:r>
      <w:r>
        <w:rPr>
          <w:sz w:val="24"/>
          <w:szCs w:val="24"/>
        </w:rPr>
        <w:t>"</w:t>
      </w:r>
      <w:r w:rsidRPr="00F455F3">
        <w:rPr>
          <w:sz w:val="24"/>
          <w:szCs w:val="24"/>
        </w:rPr>
        <w:t xml:space="preserve">, ingen ændring med </w:t>
      </w:r>
      <w:r>
        <w:rPr>
          <w:sz w:val="24"/>
          <w:szCs w:val="24"/>
        </w:rPr>
        <w:t>"</w:t>
      </w:r>
      <w:r w:rsidRPr="00F455F3">
        <w:rPr>
          <w:sz w:val="24"/>
          <w:szCs w:val="24"/>
        </w:rPr>
        <w:t>↔</w:t>
      </w:r>
      <w:r>
        <w:rPr>
          <w:sz w:val="24"/>
          <w:szCs w:val="24"/>
        </w:rPr>
        <w:t>"</w:t>
      </w:r>
      <w:r w:rsidRPr="00F455F3">
        <w:rPr>
          <w:sz w:val="24"/>
          <w:szCs w:val="24"/>
        </w:rPr>
        <w:t>). Hvis tilgængelige angives 90% konfidensintervaller (KI) i parentes. Studierne, der refereres til i Tabel 2, er udført med raske frivillige medmindre andet er angivet. Det er vigtigt at nævne, at mange studier er udført med ikke-boostet atazanavir, hvilket ikke er det anbefalede atazanavir-regime (se pkt. 4.4).</w:t>
      </w:r>
    </w:p>
    <w:p w:rsidR="002A0DA0" w:rsidRPr="00F455F3" w:rsidRDefault="002A0DA0" w:rsidP="002A0DA0">
      <w:pPr>
        <w:ind w:left="851"/>
        <w:rPr>
          <w:sz w:val="24"/>
          <w:szCs w:val="24"/>
        </w:rPr>
      </w:pPr>
      <w:r w:rsidRPr="00F455F3">
        <w:rPr>
          <w:sz w:val="24"/>
          <w:szCs w:val="24"/>
        </w:rPr>
        <w:t>Hvis seponering af ritonavir under restriktive forhold (se pkt. 4.4) er en medicinsk nødvendighed, skal man være særligt opmærksom på interaktioner med atazanavir, som kan være anderledes uden ritonavir (se oplysninger i nedenstående tabel 2).</w:t>
      </w:r>
    </w:p>
    <w:p w:rsidR="002A0DA0" w:rsidRPr="00F455F3" w:rsidRDefault="002A0DA0" w:rsidP="002A0DA0">
      <w:pPr>
        <w:ind w:left="851"/>
        <w:rPr>
          <w:sz w:val="24"/>
          <w:szCs w:val="24"/>
        </w:rPr>
      </w:pPr>
    </w:p>
    <w:p w:rsidR="002A0DA0" w:rsidRDefault="002A0DA0" w:rsidP="002A0DA0">
      <w:pPr>
        <w:rPr>
          <w:b/>
        </w:rPr>
      </w:pPr>
      <w:r>
        <w:rPr>
          <w:b/>
        </w:rPr>
        <w:t>Tabel 2: Interaktioner mellem atazanavir og andre lægemidler</w:t>
      </w:r>
    </w:p>
    <w:tbl>
      <w:tblPr>
        <w:tblW w:w="5000" w:type="pct"/>
        <w:tblLook w:val="04A0" w:firstRow="1" w:lastRow="0" w:firstColumn="1" w:lastColumn="0" w:noHBand="0" w:noVBand="1"/>
      </w:tblPr>
      <w:tblGrid>
        <w:gridCol w:w="3016"/>
        <w:gridCol w:w="3337"/>
        <w:gridCol w:w="3275"/>
      </w:tblGrid>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Lægemiddel efter terapeutisk område</w:t>
            </w: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Interaktion</w:t>
            </w:r>
          </w:p>
        </w:tc>
        <w:tc>
          <w:tcPr>
            <w:tcW w:w="1701"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Anbefalinger ved samtidig administration</w:t>
            </w: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ANTI-HCV MIDLER</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b/>
                <w:sz w:val="22"/>
                <w:szCs w:val="22"/>
              </w:rPr>
              <w:t>Grazoprevir 200 mg 1 gang dagligt</w:t>
            </w:r>
          </w:p>
          <w:p w:rsidR="002A0DA0" w:rsidRPr="00F455F3" w:rsidRDefault="002A0DA0" w:rsidP="002A0DA0">
            <w:pPr>
              <w:ind w:left="29"/>
              <w:rPr>
                <w:sz w:val="22"/>
                <w:szCs w:val="22"/>
              </w:rPr>
            </w:pPr>
            <w:r w:rsidRPr="00F455F3">
              <w:rPr>
                <w:sz w:val="22"/>
                <w:szCs w:val="22"/>
              </w:rPr>
              <w:t>(atazanavir 300 mg/ritonavir 100 mg 1 gang dagligt)</w:t>
            </w:r>
          </w:p>
        </w:tc>
        <w:tc>
          <w:tcPr>
            <w:tcW w:w="1733"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sz w:val="22"/>
                <w:szCs w:val="22"/>
              </w:rPr>
            </w:pPr>
            <w:r w:rsidRPr="00F455F3">
              <w:rPr>
                <w:sz w:val="22"/>
                <w:szCs w:val="22"/>
              </w:rPr>
              <w:t>Atazanavir AUC ↑43% (↑30% ↑57%)</w:t>
            </w:r>
          </w:p>
          <w:p w:rsidR="002A0DA0" w:rsidRPr="00F455F3" w:rsidRDefault="002A0DA0" w:rsidP="002A0DA0">
            <w:pPr>
              <w:ind w:left="29"/>
              <w:rPr>
                <w:sz w:val="22"/>
                <w:szCs w:val="22"/>
              </w:rPr>
            </w:pPr>
            <w:r w:rsidRPr="00F455F3">
              <w:rPr>
                <w:sz w:val="22"/>
                <w:szCs w:val="22"/>
              </w:rPr>
              <w:t>Atazanavir C</w:t>
            </w:r>
            <w:r w:rsidRPr="00F455F3">
              <w:rPr>
                <w:sz w:val="22"/>
                <w:szCs w:val="22"/>
                <w:vertAlign w:val="subscript"/>
              </w:rPr>
              <w:t>max</w:t>
            </w:r>
            <w:r w:rsidRPr="00F455F3">
              <w:rPr>
                <w:sz w:val="22"/>
                <w:szCs w:val="22"/>
              </w:rPr>
              <w:t xml:space="preserve"> ↑12% (↑1% ↑24%)</w:t>
            </w:r>
          </w:p>
          <w:p w:rsidR="002A0DA0" w:rsidRPr="00F455F3" w:rsidRDefault="002A0DA0" w:rsidP="002A0DA0">
            <w:pPr>
              <w:ind w:left="29"/>
              <w:rPr>
                <w:sz w:val="22"/>
                <w:szCs w:val="22"/>
              </w:rPr>
            </w:pPr>
            <w:r w:rsidRPr="00F455F3">
              <w:rPr>
                <w:sz w:val="22"/>
                <w:szCs w:val="22"/>
              </w:rPr>
              <w:t>Atazanavir C</w:t>
            </w:r>
            <w:r w:rsidRPr="00F455F3">
              <w:rPr>
                <w:sz w:val="22"/>
                <w:szCs w:val="22"/>
                <w:vertAlign w:val="subscript"/>
              </w:rPr>
              <w:t>min</w:t>
            </w:r>
            <w:r w:rsidRPr="00F455F3">
              <w:rPr>
                <w:sz w:val="22"/>
                <w:szCs w:val="22"/>
              </w:rPr>
              <w:t xml:space="preserve"> ↑23% (↑13% ↑134%)</w:t>
            </w:r>
          </w:p>
          <w:p w:rsidR="002A0DA0" w:rsidRPr="00F455F3" w:rsidRDefault="002A0DA0" w:rsidP="002A0DA0">
            <w:pPr>
              <w:ind w:left="29"/>
              <w:rPr>
                <w:sz w:val="22"/>
                <w:szCs w:val="22"/>
              </w:rPr>
            </w:pPr>
            <w:r w:rsidRPr="00F455F3">
              <w:rPr>
                <w:sz w:val="22"/>
                <w:szCs w:val="22"/>
              </w:rPr>
              <w:t>Grazoprevir AUC: ↑958% (↑678% ↑1339%)</w:t>
            </w:r>
          </w:p>
          <w:p w:rsidR="002A0DA0" w:rsidRPr="00F455F3" w:rsidRDefault="002A0DA0" w:rsidP="002A0DA0">
            <w:pPr>
              <w:ind w:left="29"/>
              <w:rPr>
                <w:sz w:val="22"/>
                <w:szCs w:val="22"/>
              </w:rPr>
            </w:pPr>
            <w:r w:rsidRPr="00F455F3">
              <w:rPr>
                <w:sz w:val="22"/>
                <w:szCs w:val="22"/>
              </w:rPr>
              <w:t>Grazoprevir C</w:t>
            </w:r>
            <w:r w:rsidRPr="00F455F3">
              <w:rPr>
                <w:sz w:val="22"/>
                <w:szCs w:val="22"/>
                <w:vertAlign w:val="subscript"/>
              </w:rPr>
              <w:t>max</w:t>
            </w:r>
            <w:r w:rsidRPr="00F455F3">
              <w:rPr>
                <w:sz w:val="22"/>
                <w:szCs w:val="22"/>
              </w:rPr>
              <w:t>: ↑524% (↑342% ↑781%)</w:t>
            </w:r>
          </w:p>
          <w:p w:rsidR="002A0DA0" w:rsidRPr="00F455F3" w:rsidRDefault="002A0DA0" w:rsidP="002A0DA0">
            <w:pPr>
              <w:ind w:left="29"/>
              <w:rPr>
                <w:sz w:val="22"/>
                <w:szCs w:val="22"/>
              </w:rPr>
            </w:pPr>
            <w:r w:rsidRPr="00F455F3">
              <w:rPr>
                <w:sz w:val="22"/>
                <w:szCs w:val="22"/>
              </w:rPr>
              <w:t>Grazoprevir C</w:t>
            </w:r>
            <w:r w:rsidRPr="00F455F3">
              <w:rPr>
                <w:sz w:val="22"/>
                <w:szCs w:val="22"/>
                <w:vertAlign w:val="subscript"/>
              </w:rPr>
              <w:t>min</w:t>
            </w:r>
            <w:r w:rsidRPr="00F455F3">
              <w:rPr>
                <w:sz w:val="22"/>
                <w:szCs w:val="22"/>
              </w:rPr>
              <w:t>: ↑1064% (↑696% ↑1602%)</w:t>
            </w:r>
          </w:p>
          <w:p w:rsidR="002A0DA0" w:rsidRPr="00F455F3" w:rsidRDefault="002A0DA0" w:rsidP="002A0DA0">
            <w:pPr>
              <w:ind w:left="29"/>
              <w:rPr>
                <w:sz w:val="22"/>
                <w:szCs w:val="22"/>
              </w:rPr>
            </w:pPr>
          </w:p>
          <w:p w:rsidR="002A0DA0" w:rsidRPr="00F455F3" w:rsidRDefault="002A0DA0" w:rsidP="002A0DA0">
            <w:pPr>
              <w:ind w:left="29"/>
              <w:rPr>
                <w:sz w:val="22"/>
                <w:szCs w:val="22"/>
              </w:rPr>
            </w:pPr>
            <w:r w:rsidRPr="00F455F3">
              <w:rPr>
                <w:sz w:val="22"/>
                <w:szCs w:val="22"/>
              </w:rPr>
              <w:t>Koncentrationerne af grazoprevir steg</w:t>
            </w:r>
            <w:r>
              <w:rPr>
                <w:sz w:val="22"/>
                <w:szCs w:val="22"/>
              </w:rPr>
              <w:t xml:space="preserve"> </w:t>
            </w:r>
            <w:r w:rsidRPr="00F455F3">
              <w:rPr>
                <w:sz w:val="22"/>
                <w:szCs w:val="22"/>
              </w:rPr>
              <w:t>betydeligt ved samtidig administration</w:t>
            </w:r>
            <w:r>
              <w:rPr>
                <w:sz w:val="22"/>
                <w:szCs w:val="22"/>
              </w:rPr>
              <w:t xml:space="preserve"> </w:t>
            </w:r>
            <w:r w:rsidRPr="00F455F3">
              <w:rPr>
                <w:sz w:val="22"/>
                <w:szCs w:val="22"/>
              </w:rPr>
              <w:t>med atazanavir/ritonavir.</w:t>
            </w:r>
          </w:p>
        </w:tc>
        <w:tc>
          <w:tcPr>
            <w:tcW w:w="1701" w:type="pct"/>
            <w:vMerge w:val="restar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lastRenderedPageBreak/>
              <w:t>Samtidig administration af</w:t>
            </w:r>
            <w:r>
              <w:rPr>
                <w:sz w:val="22"/>
                <w:szCs w:val="22"/>
              </w:rPr>
              <w:t xml:space="preserve"> </w:t>
            </w:r>
            <w:r w:rsidRPr="00F455F3">
              <w:rPr>
                <w:sz w:val="22"/>
                <w:szCs w:val="22"/>
              </w:rPr>
              <w:t>atazanavir og</w:t>
            </w:r>
            <w:r>
              <w:rPr>
                <w:sz w:val="22"/>
                <w:szCs w:val="22"/>
              </w:rPr>
              <w:t xml:space="preserve"> </w:t>
            </w:r>
            <w:r w:rsidRPr="00F455F3">
              <w:rPr>
                <w:sz w:val="22"/>
                <w:szCs w:val="22"/>
              </w:rPr>
              <w:t xml:space="preserve">elbasvir/grazoprevir er kontraindiceret på grund af en </w:t>
            </w:r>
            <w:r>
              <w:rPr>
                <w:sz w:val="22"/>
                <w:szCs w:val="22"/>
              </w:rPr>
              <w:t>signifikant</w:t>
            </w:r>
            <w:r w:rsidRPr="00F455F3">
              <w:rPr>
                <w:sz w:val="22"/>
                <w:szCs w:val="22"/>
              </w:rPr>
              <w:t xml:space="preserve"> stigning i plasmakoncentrationer af grazoprevir og en associeret potentiel stigning i risiko for ALAT-stigning (se pkt. 4.3).</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Elbasvir 50 mg 1 gang dagligt</w:t>
            </w:r>
          </w:p>
          <w:p w:rsidR="002A0DA0" w:rsidRPr="00F455F3" w:rsidRDefault="002A0DA0" w:rsidP="002A0DA0">
            <w:pPr>
              <w:ind w:left="29"/>
              <w:rPr>
                <w:sz w:val="22"/>
                <w:szCs w:val="22"/>
              </w:rPr>
            </w:pPr>
            <w:r w:rsidRPr="00F455F3">
              <w:rPr>
                <w:sz w:val="22"/>
                <w:szCs w:val="22"/>
              </w:rPr>
              <w:t>(atazanavir 300 mg/ritonavir</w:t>
            </w:r>
          </w:p>
          <w:p w:rsidR="002A0DA0" w:rsidRPr="00F455F3" w:rsidRDefault="002A0DA0" w:rsidP="002A0DA0">
            <w:pPr>
              <w:ind w:left="29"/>
              <w:rPr>
                <w:sz w:val="22"/>
                <w:szCs w:val="22"/>
              </w:rPr>
            </w:pPr>
            <w:r w:rsidRPr="00F455F3">
              <w:rPr>
                <w:sz w:val="22"/>
                <w:szCs w:val="22"/>
              </w:rPr>
              <w:t>100 mg 1 gang dagligt)</w:t>
            </w:r>
          </w:p>
        </w:tc>
        <w:tc>
          <w:tcPr>
            <w:tcW w:w="1733"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sz w:val="22"/>
                <w:szCs w:val="22"/>
              </w:rPr>
            </w:pPr>
            <w:r w:rsidRPr="00F455F3">
              <w:rPr>
                <w:sz w:val="22"/>
                <w:szCs w:val="22"/>
              </w:rPr>
              <w:t>Atazanavir AUC ↑7% (↓2% ↑17%)</w:t>
            </w:r>
          </w:p>
          <w:p w:rsidR="002A0DA0" w:rsidRPr="00F455F3" w:rsidRDefault="002A0DA0" w:rsidP="002A0DA0">
            <w:pPr>
              <w:ind w:left="29"/>
              <w:rPr>
                <w:sz w:val="22"/>
                <w:szCs w:val="22"/>
              </w:rPr>
            </w:pPr>
            <w:r w:rsidRPr="00F455F3">
              <w:rPr>
                <w:sz w:val="22"/>
                <w:szCs w:val="22"/>
              </w:rPr>
              <w:t>Atazanavir C</w:t>
            </w:r>
            <w:r w:rsidRPr="00F455F3">
              <w:rPr>
                <w:sz w:val="22"/>
                <w:szCs w:val="22"/>
                <w:vertAlign w:val="subscript"/>
              </w:rPr>
              <w:t>max</w:t>
            </w:r>
            <w:r w:rsidRPr="00F455F3">
              <w:rPr>
                <w:sz w:val="22"/>
                <w:szCs w:val="22"/>
              </w:rPr>
              <w:t xml:space="preserve"> ↑2% (↓4% ↑8%)</w:t>
            </w:r>
          </w:p>
          <w:p w:rsidR="002A0DA0" w:rsidRPr="00F455F3" w:rsidRDefault="002A0DA0" w:rsidP="002A0DA0">
            <w:pPr>
              <w:ind w:left="29"/>
              <w:rPr>
                <w:sz w:val="22"/>
                <w:szCs w:val="22"/>
              </w:rPr>
            </w:pPr>
            <w:r w:rsidRPr="00F455F3">
              <w:rPr>
                <w:sz w:val="22"/>
                <w:szCs w:val="22"/>
              </w:rPr>
              <w:t>Atazanavir C</w:t>
            </w:r>
            <w:r w:rsidRPr="00F455F3">
              <w:rPr>
                <w:sz w:val="22"/>
                <w:szCs w:val="22"/>
                <w:vertAlign w:val="subscript"/>
              </w:rPr>
              <w:t>min</w:t>
            </w:r>
            <w:r w:rsidRPr="00F455F3">
              <w:rPr>
                <w:sz w:val="22"/>
                <w:szCs w:val="22"/>
              </w:rPr>
              <w:t xml:space="preserve"> ↑15% (↑2% ↑29%)</w:t>
            </w:r>
          </w:p>
          <w:p w:rsidR="002A0DA0" w:rsidRPr="00F455F3" w:rsidRDefault="002A0DA0" w:rsidP="002A0DA0">
            <w:pPr>
              <w:ind w:left="29"/>
              <w:rPr>
                <w:sz w:val="22"/>
                <w:szCs w:val="22"/>
              </w:rPr>
            </w:pPr>
            <w:r w:rsidRPr="00F455F3">
              <w:rPr>
                <w:sz w:val="22"/>
                <w:szCs w:val="22"/>
              </w:rPr>
              <w:t>Elbasvir AUC: ↑376% (↑307%</w:t>
            </w:r>
          </w:p>
          <w:p w:rsidR="002A0DA0" w:rsidRPr="00F455F3" w:rsidRDefault="002A0DA0" w:rsidP="002A0DA0">
            <w:pPr>
              <w:ind w:left="29"/>
              <w:rPr>
                <w:sz w:val="22"/>
                <w:szCs w:val="22"/>
              </w:rPr>
            </w:pPr>
            <w:r w:rsidRPr="00F455F3">
              <w:rPr>
                <w:sz w:val="22"/>
                <w:szCs w:val="22"/>
              </w:rPr>
              <w:t>↑456%)</w:t>
            </w:r>
          </w:p>
          <w:p w:rsidR="002A0DA0" w:rsidRPr="00F455F3" w:rsidRDefault="002A0DA0" w:rsidP="002A0DA0">
            <w:pPr>
              <w:ind w:left="29"/>
              <w:rPr>
                <w:sz w:val="22"/>
                <w:szCs w:val="22"/>
              </w:rPr>
            </w:pPr>
            <w:r w:rsidRPr="00F455F3">
              <w:rPr>
                <w:sz w:val="22"/>
                <w:szCs w:val="22"/>
              </w:rPr>
              <w:t>Elbasvir C</w:t>
            </w:r>
            <w:r w:rsidRPr="00F455F3">
              <w:rPr>
                <w:sz w:val="22"/>
                <w:szCs w:val="22"/>
                <w:vertAlign w:val="subscript"/>
              </w:rPr>
              <w:t>max</w:t>
            </w:r>
            <w:r w:rsidRPr="00F455F3">
              <w:rPr>
                <w:sz w:val="22"/>
                <w:szCs w:val="22"/>
              </w:rPr>
              <w:t>: ↑315% (↑246% ↑397%)</w:t>
            </w:r>
          </w:p>
          <w:p w:rsidR="002A0DA0" w:rsidRPr="00F455F3" w:rsidRDefault="002A0DA0" w:rsidP="002A0DA0">
            <w:pPr>
              <w:ind w:left="29"/>
              <w:rPr>
                <w:sz w:val="22"/>
                <w:szCs w:val="22"/>
              </w:rPr>
            </w:pPr>
            <w:r w:rsidRPr="00F455F3">
              <w:rPr>
                <w:sz w:val="22"/>
                <w:szCs w:val="22"/>
              </w:rPr>
              <w:t>Elbasvir C</w:t>
            </w:r>
            <w:r w:rsidRPr="00F455F3">
              <w:rPr>
                <w:sz w:val="22"/>
                <w:szCs w:val="22"/>
                <w:vertAlign w:val="subscript"/>
              </w:rPr>
              <w:t>min</w:t>
            </w:r>
            <w:r w:rsidRPr="00F455F3">
              <w:rPr>
                <w:sz w:val="22"/>
                <w:szCs w:val="22"/>
              </w:rPr>
              <w:t>: ↑545% (↑451% ↑654%)</w:t>
            </w:r>
          </w:p>
          <w:p w:rsidR="002A0DA0" w:rsidRPr="00F455F3" w:rsidRDefault="002A0DA0" w:rsidP="002A0DA0">
            <w:pPr>
              <w:ind w:left="29"/>
              <w:rPr>
                <w:sz w:val="22"/>
                <w:szCs w:val="22"/>
              </w:rPr>
            </w:pPr>
          </w:p>
          <w:p w:rsidR="002A0DA0" w:rsidRPr="00F455F3" w:rsidRDefault="002A0DA0" w:rsidP="002A0DA0">
            <w:pPr>
              <w:ind w:left="29"/>
              <w:rPr>
                <w:sz w:val="22"/>
                <w:szCs w:val="22"/>
              </w:rPr>
            </w:pPr>
            <w:r w:rsidRPr="00F455F3">
              <w:rPr>
                <w:sz w:val="22"/>
                <w:szCs w:val="22"/>
              </w:rPr>
              <w:t>Koncentrationerne for elbasvir steg</w:t>
            </w:r>
            <w:r>
              <w:rPr>
                <w:sz w:val="22"/>
                <w:szCs w:val="22"/>
              </w:rPr>
              <w:t xml:space="preserve"> </w:t>
            </w:r>
            <w:r w:rsidRPr="00F455F3">
              <w:rPr>
                <w:sz w:val="22"/>
                <w:szCs w:val="22"/>
              </w:rPr>
              <w:t>betydeligt ved samtidig administration</w:t>
            </w:r>
            <w:r>
              <w:rPr>
                <w:sz w:val="22"/>
                <w:szCs w:val="22"/>
              </w:rPr>
              <w:t xml:space="preserve"> </w:t>
            </w:r>
            <w:r w:rsidRPr="00F455F3">
              <w:rPr>
                <w:sz w:val="22"/>
                <w:szCs w:val="22"/>
              </w:rPr>
              <w:t>med atazanavir/ritonavir.</w:t>
            </w:r>
          </w:p>
        </w:tc>
        <w:tc>
          <w:tcPr>
            <w:tcW w:w="1701" w:type="pct"/>
            <w:vMerge/>
            <w:tcBorders>
              <w:top w:val="single" w:sz="4" w:space="0" w:color="auto"/>
              <w:left w:val="single" w:sz="4" w:space="0" w:color="auto"/>
              <w:bottom w:val="single" w:sz="4" w:space="0" w:color="auto"/>
              <w:right w:val="single" w:sz="4" w:space="0" w:color="auto"/>
            </w:tcBorders>
            <w:vAlign w:val="center"/>
            <w:hideMark/>
          </w:tcPr>
          <w:p w:rsidR="002A0DA0" w:rsidRPr="00F455F3" w:rsidRDefault="002A0DA0" w:rsidP="002A0DA0">
            <w:pPr>
              <w:ind w:left="29"/>
              <w:rPr>
                <w:sz w:val="22"/>
                <w:szCs w:val="22"/>
              </w:rPr>
            </w:pPr>
          </w:p>
        </w:tc>
      </w:tr>
      <w:tr w:rsidR="002A0DA0" w:rsidTr="002A0DA0">
        <w:tc>
          <w:tcPr>
            <w:tcW w:w="1566" w:type="pct"/>
            <w:tcBorders>
              <w:top w:val="single" w:sz="4" w:space="0" w:color="auto"/>
              <w:left w:val="single" w:sz="4" w:space="0" w:color="auto"/>
              <w:bottom w:val="single" w:sz="4" w:space="0" w:color="auto"/>
              <w:right w:val="single" w:sz="4" w:space="0" w:color="auto"/>
            </w:tcBorders>
          </w:tcPr>
          <w:p w:rsidR="002A0DA0" w:rsidRDefault="002A0DA0" w:rsidP="002A0DA0">
            <w:pPr>
              <w:ind w:left="29"/>
              <w:rPr>
                <w:b/>
                <w:sz w:val="22"/>
                <w:szCs w:val="22"/>
              </w:rPr>
            </w:pPr>
            <w:r>
              <w:rPr>
                <w:b/>
                <w:sz w:val="22"/>
                <w:szCs w:val="22"/>
              </w:rPr>
              <w:t>Sofosbuvir 400 mg / velpatasvir 100 mg / voxilaprevir 100 mg enkeltdosis*</w:t>
            </w:r>
          </w:p>
          <w:p w:rsidR="002A0DA0" w:rsidRPr="00F455F3" w:rsidRDefault="002A0DA0" w:rsidP="002A0DA0">
            <w:pPr>
              <w:ind w:left="29"/>
              <w:rPr>
                <w:b/>
                <w:sz w:val="22"/>
                <w:szCs w:val="22"/>
              </w:rPr>
            </w:pPr>
            <w:r>
              <w:rPr>
                <w:sz w:val="22"/>
                <w:szCs w:val="22"/>
              </w:rPr>
              <w:t>(atazanavir 300 mg / ritonavir 100 mg en gang dagligt)</w:t>
            </w:r>
          </w:p>
        </w:tc>
        <w:tc>
          <w:tcPr>
            <w:tcW w:w="1733" w:type="pct"/>
            <w:tcBorders>
              <w:top w:val="single" w:sz="4" w:space="0" w:color="auto"/>
              <w:left w:val="single" w:sz="4" w:space="0" w:color="auto"/>
              <w:bottom w:val="single" w:sz="4" w:space="0" w:color="auto"/>
              <w:right w:val="single" w:sz="4" w:space="0" w:color="auto"/>
            </w:tcBorders>
          </w:tcPr>
          <w:p w:rsidR="002A0DA0" w:rsidRDefault="002A0DA0" w:rsidP="002A0DA0">
            <w:pPr>
              <w:ind w:left="29"/>
              <w:rPr>
                <w:sz w:val="22"/>
                <w:szCs w:val="22"/>
              </w:rPr>
            </w:pPr>
            <w:r>
              <w:rPr>
                <w:sz w:val="22"/>
                <w:szCs w:val="22"/>
              </w:rPr>
              <w:t xml:space="preserve">Sofosbuvir AUC: </w:t>
            </w:r>
            <m:oMath>
              <m:r>
                <w:rPr>
                  <w:rFonts w:ascii="Cambria Math" w:hAnsi="Cambria Math"/>
                  <w:sz w:val="22"/>
                  <w:szCs w:val="22"/>
                </w:rPr>
                <m:t>↑</m:t>
              </m:r>
            </m:oMath>
            <w:r>
              <w:rPr>
                <w:sz w:val="22"/>
                <w:szCs w:val="22"/>
              </w:rPr>
              <w:t>40 % (</w:t>
            </w:r>
            <m:oMath>
              <m:r>
                <w:rPr>
                  <w:rFonts w:ascii="Cambria Math" w:hAnsi="Cambria Math"/>
                  <w:sz w:val="22"/>
                  <w:szCs w:val="22"/>
                </w:rPr>
                <m:t>↑</m:t>
              </m:r>
            </m:oMath>
            <w:r>
              <w:rPr>
                <w:sz w:val="22"/>
                <w:szCs w:val="22"/>
              </w:rPr>
              <w:t xml:space="preserve">25 % </w:t>
            </w:r>
            <m:oMath>
              <m:r>
                <w:rPr>
                  <w:rFonts w:ascii="Cambria Math" w:hAnsi="Cambria Math"/>
                  <w:sz w:val="22"/>
                  <w:szCs w:val="22"/>
                </w:rPr>
                <m:t>↑</m:t>
              </m:r>
            </m:oMath>
            <w:r>
              <w:rPr>
                <w:sz w:val="22"/>
                <w:szCs w:val="22"/>
              </w:rPr>
              <w:t>57 %)</w:t>
            </w:r>
          </w:p>
          <w:p w:rsidR="002A0DA0" w:rsidRDefault="002A0DA0" w:rsidP="002A0DA0">
            <w:pPr>
              <w:ind w:left="29"/>
              <w:rPr>
                <w:sz w:val="22"/>
                <w:szCs w:val="22"/>
              </w:rPr>
            </w:pPr>
            <w:r>
              <w:rPr>
                <w:sz w:val="22"/>
                <w:szCs w:val="22"/>
              </w:rPr>
              <w:t>Sofosbuvir C</w:t>
            </w:r>
            <w:r>
              <w:rPr>
                <w:sz w:val="22"/>
                <w:szCs w:val="22"/>
                <w:vertAlign w:val="subscript"/>
              </w:rPr>
              <w:t>max</w:t>
            </w:r>
            <w:r>
              <w:rPr>
                <w:sz w:val="22"/>
                <w:szCs w:val="22"/>
              </w:rPr>
              <w:t xml:space="preserve">: </w:t>
            </w:r>
            <m:oMath>
              <m:r>
                <w:rPr>
                  <w:rFonts w:ascii="Cambria Math" w:hAnsi="Cambria Math"/>
                  <w:sz w:val="22"/>
                  <w:szCs w:val="22"/>
                </w:rPr>
                <m:t>↑</m:t>
              </m:r>
            </m:oMath>
            <w:r>
              <w:rPr>
                <w:sz w:val="22"/>
                <w:szCs w:val="22"/>
              </w:rPr>
              <w:t>29 % (</w:t>
            </w:r>
            <m:oMath>
              <m:r>
                <w:rPr>
                  <w:rFonts w:ascii="Cambria Math" w:hAnsi="Cambria Math"/>
                  <w:sz w:val="22"/>
                  <w:szCs w:val="22"/>
                </w:rPr>
                <m:t>↑</m:t>
              </m:r>
            </m:oMath>
            <w:r>
              <w:rPr>
                <w:sz w:val="22"/>
                <w:szCs w:val="22"/>
              </w:rPr>
              <w:t xml:space="preserve">9 % </w:t>
            </w:r>
            <m:oMath>
              <m:r>
                <w:rPr>
                  <w:rFonts w:ascii="Cambria Math" w:hAnsi="Cambria Math"/>
                  <w:sz w:val="22"/>
                  <w:szCs w:val="22"/>
                </w:rPr>
                <m:t>↑</m:t>
              </m:r>
            </m:oMath>
            <w:r>
              <w:rPr>
                <w:sz w:val="22"/>
                <w:szCs w:val="22"/>
              </w:rPr>
              <w:t>52 %)</w:t>
            </w:r>
          </w:p>
          <w:p w:rsidR="002A0DA0" w:rsidRDefault="002A0DA0" w:rsidP="002A0DA0">
            <w:pPr>
              <w:ind w:left="29"/>
              <w:rPr>
                <w:sz w:val="22"/>
                <w:szCs w:val="22"/>
              </w:rPr>
            </w:pPr>
          </w:p>
          <w:p w:rsidR="002A0DA0" w:rsidRDefault="002A0DA0" w:rsidP="002A0DA0">
            <w:pPr>
              <w:ind w:left="29"/>
              <w:rPr>
                <w:sz w:val="22"/>
                <w:szCs w:val="22"/>
              </w:rPr>
            </w:pPr>
            <w:r>
              <w:rPr>
                <w:sz w:val="22"/>
                <w:szCs w:val="22"/>
              </w:rPr>
              <w:t xml:space="preserve">Velpatasvir AUC: </w:t>
            </w:r>
            <m:oMath>
              <m:r>
                <w:rPr>
                  <w:rFonts w:ascii="Cambria Math" w:hAnsi="Cambria Math"/>
                  <w:sz w:val="22"/>
                  <w:szCs w:val="22"/>
                </w:rPr>
                <m:t>↑</m:t>
              </m:r>
            </m:oMath>
            <w:r>
              <w:rPr>
                <w:sz w:val="22"/>
                <w:szCs w:val="22"/>
              </w:rPr>
              <w:t>93 % (</w:t>
            </w:r>
            <m:oMath>
              <m:r>
                <w:rPr>
                  <w:rFonts w:ascii="Cambria Math" w:hAnsi="Cambria Math"/>
                  <w:sz w:val="22"/>
                  <w:szCs w:val="22"/>
                </w:rPr>
                <m:t>↑</m:t>
              </m:r>
            </m:oMath>
            <w:r>
              <w:rPr>
                <w:sz w:val="22"/>
                <w:szCs w:val="22"/>
              </w:rPr>
              <w:t xml:space="preserve">58 % </w:t>
            </w:r>
            <m:oMath>
              <m:r>
                <w:rPr>
                  <w:rFonts w:ascii="Cambria Math" w:hAnsi="Cambria Math"/>
                  <w:sz w:val="22"/>
                  <w:szCs w:val="22"/>
                </w:rPr>
                <m:t>↑</m:t>
              </m:r>
            </m:oMath>
            <w:r>
              <w:rPr>
                <w:sz w:val="22"/>
                <w:szCs w:val="22"/>
              </w:rPr>
              <w:t>136 %)</w:t>
            </w:r>
          </w:p>
          <w:p w:rsidR="002A0DA0" w:rsidRDefault="002A0DA0" w:rsidP="002A0DA0">
            <w:pPr>
              <w:ind w:left="29"/>
              <w:rPr>
                <w:sz w:val="22"/>
                <w:szCs w:val="22"/>
              </w:rPr>
            </w:pPr>
            <w:r>
              <w:rPr>
                <w:sz w:val="22"/>
                <w:szCs w:val="22"/>
              </w:rPr>
              <w:t>Velpatasvir C</w:t>
            </w:r>
            <w:r>
              <w:rPr>
                <w:sz w:val="22"/>
                <w:szCs w:val="22"/>
                <w:vertAlign w:val="subscript"/>
              </w:rPr>
              <w:t>max</w:t>
            </w:r>
            <w:r>
              <w:rPr>
                <w:sz w:val="22"/>
                <w:szCs w:val="22"/>
              </w:rPr>
              <w:t xml:space="preserve">: </w:t>
            </w:r>
            <m:oMath>
              <m:r>
                <w:rPr>
                  <w:rFonts w:ascii="Cambria Math" w:hAnsi="Cambria Math"/>
                  <w:sz w:val="22"/>
                  <w:szCs w:val="22"/>
                </w:rPr>
                <m:t>↑</m:t>
              </m:r>
            </m:oMath>
            <w:r>
              <w:rPr>
                <w:sz w:val="22"/>
                <w:szCs w:val="22"/>
              </w:rPr>
              <w:t>29 % (</w:t>
            </w:r>
            <m:oMath>
              <m:r>
                <w:rPr>
                  <w:rFonts w:ascii="Cambria Math" w:hAnsi="Cambria Math"/>
                  <w:sz w:val="22"/>
                  <w:szCs w:val="22"/>
                </w:rPr>
                <m:t>↑</m:t>
              </m:r>
            </m:oMath>
            <w:r>
              <w:rPr>
                <w:sz w:val="22"/>
                <w:szCs w:val="22"/>
              </w:rPr>
              <w:t xml:space="preserve">7 % </w:t>
            </w:r>
            <m:oMath>
              <m:r>
                <w:rPr>
                  <w:rFonts w:ascii="Cambria Math" w:hAnsi="Cambria Math"/>
                  <w:sz w:val="22"/>
                  <w:szCs w:val="22"/>
                </w:rPr>
                <m:t>↑</m:t>
              </m:r>
            </m:oMath>
            <w:r>
              <w:rPr>
                <w:sz w:val="22"/>
                <w:szCs w:val="22"/>
              </w:rPr>
              <w:t>56 %)</w:t>
            </w:r>
          </w:p>
          <w:p w:rsidR="002A0DA0" w:rsidRDefault="002A0DA0" w:rsidP="002A0DA0">
            <w:pPr>
              <w:ind w:left="29"/>
              <w:rPr>
                <w:sz w:val="22"/>
                <w:szCs w:val="22"/>
              </w:rPr>
            </w:pPr>
          </w:p>
          <w:p w:rsidR="002A0DA0" w:rsidRDefault="002A0DA0" w:rsidP="002A0DA0">
            <w:pPr>
              <w:ind w:left="29"/>
              <w:rPr>
                <w:sz w:val="22"/>
                <w:szCs w:val="22"/>
              </w:rPr>
            </w:pPr>
            <w:r>
              <w:rPr>
                <w:sz w:val="22"/>
                <w:szCs w:val="22"/>
              </w:rPr>
              <w:t xml:space="preserve">Voxilaprevir AUC: </w:t>
            </w:r>
            <m:oMath>
              <m:r>
                <w:rPr>
                  <w:rFonts w:ascii="Cambria Math" w:hAnsi="Cambria Math"/>
                  <w:sz w:val="22"/>
                  <w:szCs w:val="22"/>
                </w:rPr>
                <m:t>↑</m:t>
              </m:r>
            </m:oMath>
            <w:r>
              <w:rPr>
                <w:sz w:val="22"/>
                <w:szCs w:val="22"/>
              </w:rPr>
              <w:t>331 % (</w:t>
            </w:r>
            <m:oMath>
              <m:r>
                <w:rPr>
                  <w:rFonts w:ascii="Cambria Math" w:hAnsi="Cambria Math"/>
                  <w:sz w:val="22"/>
                  <w:szCs w:val="22"/>
                </w:rPr>
                <m:t>↑</m:t>
              </m:r>
            </m:oMath>
            <w:r>
              <w:rPr>
                <w:sz w:val="22"/>
                <w:szCs w:val="22"/>
              </w:rPr>
              <w:t xml:space="preserve">276 % </w:t>
            </w:r>
            <m:oMath>
              <m:r>
                <w:rPr>
                  <w:rFonts w:ascii="Cambria Math" w:hAnsi="Cambria Math"/>
                  <w:sz w:val="22"/>
                  <w:szCs w:val="22"/>
                </w:rPr>
                <m:t>↑</m:t>
              </m:r>
            </m:oMath>
            <w:r>
              <w:rPr>
                <w:sz w:val="22"/>
                <w:szCs w:val="22"/>
              </w:rPr>
              <w:t>393 %)</w:t>
            </w:r>
          </w:p>
          <w:p w:rsidR="002A0DA0" w:rsidRDefault="002A0DA0" w:rsidP="002A0DA0">
            <w:pPr>
              <w:ind w:left="29"/>
              <w:rPr>
                <w:sz w:val="22"/>
                <w:szCs w:val="22"/>
              </w:rPr>
            </w:pPr>
            <w:r>
              <w:rPr>
                <w:sz w:val="22"/>
                <w:szCs w:val="22"/>
              </w:rPr>
              <w:t>Voxilaprevir C</w:t>
            </w:r>
            <w:r>
              <w:rPr>
                <w:sz w:val="22"/>
                <w:szCs w:val="22"/>
                <w:vertAlign w:val="subscript"/>
              </w:rPr>
              <w:t>max</w:t>
            </w:r>
            <w:r>
              <w:rPr>
                <w:sz w:val="22"/>
                <w:szCs w:val="22"/>
              </w:rPr>
              <w:t xml:space="preserve">: </w:t>
            </w:r>
            <m:oMath>
              <m:r>
                <w:rPr>
                  <w:rFonts w:ascii="Cambria Math" w:hAnsi="Cambria Math"/>
                  <w:sz w:val="22"/>
                  <w:szCs w:val="22"/>
                </w:rPr>
                <m:t>↑</m:t>
              </m:r>
            </m:oMath>
            <w:r>
              <w:rPr>
                <w:sz w:val="22"/>
                <w:szCs w:val="22"/>
              </w:rPr>
              <w:t>342 % (</w:t>
            </w:r>
            <m:oMath>
              <m:r>
                <w:rPr>
                  <w:rFonts w:ascii="Cambria Math" w:hAnsi="Cambria Math"/>
                  <w:sz w:val="22"/>
                  <w:szCs w:val="22"/>
                </w:rPr>
                <m:t>↑</m:t>
              </m:r>
            </m:oMath>
            <w:r>
              <w:rPr>
                <w:sz w:val="22"/>
                <w:szCs w:val="22"/>
              </w:rPr>
              <w:t xml:space="preserve">265 % </w:t>
            </w:r>
            <m:oMath>
              <m:r>
                <w:rPr>
                  <w:rFonts w:ascii="Cambria Math" w:hAnsi="Cambria Math"/>
                  <w:sz w:val="22"/>
                  <w:szCs w:val="22"/>
                </w:rPr>
                <m:t>↑</m:t>
              </m:r>
            </m:oMath>
            <w:r>
              <w:rPr>
                <w:sz w:val="22"/>
                <w:szCs w:val="22"/>
              </w:rPr>
              <w:t>435 %)</w:t>
            </w:r>
          </w:p>
          <w:p w:rsidR="002A0DA0" w:rsidRDefault="002A0DA0" w:rsidP="002A0DA0">
            <w:pPr>
              <w:rPr>
                <w:sz w:val="22"/>
                <w:szCs w:val="22"/>
              </w:rPr>
            </w:pPr>
          </w:p>
          <w:p w:rsidR="002A0DA0" w:rsidRDefault="002A0DA0" w:rsidP="002A0DA0">
            <w:pPr>
              <w:rPr>
                <w:sz w:val="22"/>
                <w:szCs w:val="22"/>
              </w:rPr>
            </w:pPr>
            <w:r>
              <w:rPr>
                <w:sz w:val="22"/>
                <w:szCs w:val="22"/>
              </w:rPr>
              <w:t>*Mangel på farmakokinetiske interagerende grænser 70-143 %</w:t>
            </w:r>
          </w:p>
          <w:p w:rsidR="002A0DA0" w:rsidRDefault="002A0DA0" w:rsidP="002A0DA0">
            <w:pPr>
              <w:rPr>
                <w:sz w:val="22"/>
                <w:szCs w:val="22"/>
              </w:rPr>
            </w:pPr>
          </w:p>
          <w:p w:rsidR="002A0DA0" w:rsidRDefault="002A0DA0" w:rsidP="002A0DA0">
            <w:pPr>
              <w:rPr>
                <w:sz w:val="22"/>
                <w:szCs w:val="22"/>
              </w:rPr>
            </w:pPr>
            <w:r>
              <w:rPr>
                <w:sz w:val="22"/>
                <w:szCs w:val="22"/>
              </w:rPr>
              <w:t>Effekt på eksponeringen af ritonavir er ikke blevet undersøgt.</w:t>
            </w:r>
          </w:p>
          <w:p w:rsidR="002A0DA0" w:rsidRDefault="002A0DA0" w:rsidP="002A0DA0">
            <w:pPr>
              <w:rPr>
                <w:sz w:val="22"/>
                <w:szCs w:val="22"/>
              </w:rPr>
            </w:pPr>
            <w:r>
              <w:rPr>
                <w:sz w:val="22"/>
                <w:szCs w:val="22"/>
              </w:rPr>
              <w:t>Forventet:</w:t>
            </w:r>
          </w:p>
          <w:p w:rsidR="002A0DA0" w:rsidRDefault="002A0DA0" w:rsidP="002A0DA0">
            <w:pPr>
              <w:pStyle w:val="Listeafsnit"/>
              <w:numPr>
                <w:ilvl w:val="0"/>
                <w:numId w:val="13"/>
              </w:numPr>
              <w:rPr>
                <w:sz w:val="22"/>
                <w:szCs w:val="22"/>
              </w:rPr>
            </w:pPr>
            <w:r>
              <w:rPr>
                <w:sz w:val="22"/>
                <w:szCs w:val="22"/>
              </w:rPr>
              <w:t>Atazanavir</w:t>
            </w:r>
          </w:p>
          <w:p w:rsidR="002A0DA0" w:rsidRDefault="002A0DA0" w:rsidP="002A0DA0">
            <w:pPr>
              <w:pStyle w:val="Listeafsnit"/>
              <w:numPr>
                <w:ilvl w:val="0"/>
                <w:numId w:val="13"/>
              </w:numPr>
              <w:rPr>
                <w:sz w:val="22"/>
                <w:szCs w:val="22"/>
              </w:rPr>
            </w:pPr>
            <w:r>
              <w:rPr>
                <w:sz w:val="22"/>
                <w:szCs w:val="22"/>
              </w:rPr>
              <w:t>Ritonavir</w:t>
            </w:r>
          </w:p>
          <w:p w:rsidR="002A0DA0" w:rsidRDefault="002A0DA0" w:rsidP="002A0DA0">
            <w:pPr>
              <w:rPr>
                <w:sz w:val="22"/>
                <w:szCs w:val="22"/>
              </w:rPr>
            </w:pPr>
          </w:p>
          <w:p w:rsidR="002A0DA0" w:rsidRPr="00F455F3" w:rsidRDefault="002A0DA0" w:rsidP="002A0DA0">
            <w:pPr>
              <w:ind w:left="29"/>
              <w:rPr>
                <w:sz w:val="22"/>
                <w:szCs w:val="22"/>
              </w:rPr>
            </w:pPr>
            <w:r>
              <w:rPr>
                <w:sz w:val="22"/>
                <w:szCs w:val="22"/>
              </w:rPr>
              <w:t>Interaktionsmekanismen mellem atazanavir/ritonavir og sofosbuvir/velpatasvir/voxilaprevir er hæmning af OATP1B, Pgp og CYP3A4</w:t>
            </w:r>
          </w:p>
        </w:tc>
        <w:tc>
          <w:tcPr>
            <w:tcW w:w="1701" w:type="pct"/>
            <w:tcBorders>
              <w:top w:val="single" w:sz="4" w:space="0" w:color="auto"/>
              <w:left w:val="single" w:sz="4" w:space="0" w:color="auto"/>
              <w:bottom w:val="single" w:sz="4" w:space="0" w:color="auto"/>
              <w:right w:val="single" w:sz="4" w:space="0" w:color="auto"/>
            </w:tcBorders>
            <w:vAlign w:val="center"/>
          </w:tcPr>
          <w:p w:rsidR="002A0DA0" w:rsidRDefault="002A0DA0" w:rsidP="002A0DA0">
            <w:pPr>
              <w:ind w:left="29"/>
              <w:rPr>
                <w:sz w:val="22"/>
                <w:szCs w:val="22"/>
              </w:rPr>
            </w:pPr>
            <w:r>
              <w:rPr>
                <w:sz w:val="22"/>
                <w:szCs w:val="22"/>
              </w:rPr>
              <w:t>Samtidig administrering af atazanavir med produkter indeholdende voxilaprevir, forventes at øge koncentrationen af voxilaprevir</w:t>
            </w:r>
          </w:p>
          <w:p w:rsidR="002A0DA0" w:rsidRDefault="002A0DA0" w:rsidP="002A0DA0">
            <w:pPr>
              <w:ind w:left="29"/>
              <w:rPr>
                <w:sz w:val="22"/>
                <w:szCs w:val="22"/>
              </w:rPr>
            </w:pPr>
          </w:p>
          <w:p w:rsidR="002A0DA0" w:rsidRPr="00F455F3" w:rsidRDefault="002A0DA0" w:rsidP="002A0DA0">
            <w:pPr>
              <w:ind w:left="29"/>
              <w:rPr>
                <w:sz w:val="22"/>
                <w:szCs w:val="22"/>
              </w:rPr>
            </w:pPr>
            <w:r>
              <w:rPr>
                <w:sz w:val="22"/>
                <w:szCs w:val="22"/>
              </w:rPr>
              <w:t>Samtidig administrering af produkter indeholdende atazanavir med voxilaprevir regimer anbefales ikke.</w:t>
            </w:r>
          </w:p>
        </w:tc>
      </w:tr>
      <w:tr w:rsidR="002A0DA0" w:rsidTr="002A0DA0">
        <w:tc>
          <w:tcPr>
            <w:tcW w:w="1566" w:type="pct"/>
            <w:tcBorders>
              <w:top w:val="single" w:sz="4" w:space="0" w:color="auto"/>
              <w:left w:val="single" w:sz="4" w:space="0" w:color="auto"/>
              <w:bottom w:val="single" w:sz="4" w:space="0" w:color="auto"/>
              <w:right w:val="single" w:sz="4" w:space="0" w:color="auto"/>
            </w:tcBorders>
          </w:tcPr>
          <w:p w:rsidR="002A0DA0" w:rsidRDefault="002A0DA0" w:rsidP="002A0DA0">
            <w:pPr>
              <w:ind w:left="29"/>
              <w:rPr>
                <w:b/>
                <w:sz w:val="22"/>
                <w:szCs w:val="22"/>
              </w:rPr>
            </w:pPr>
            <w:r>
              <w:rPr>
                <w:b/>
                <w:sz w:val="22"/>
                <w:szCs w:val="22"/>
              </w:rPr>
              <w:t>Glecaprevir 300 mg / pibrentasvir 120 mg en gang dagligt</w:t>
            </w:r>
          </w:p>
          <w:p w:rsidR="002A0DA0" w:rsidRPr="00F455F3" w:rsidRDefault="002A0DA0" w:rsidP="002A0DA0">
            <w:pPr>
              <w:ind w:left="29"/>
              <w:rPr>
                <w:b/>
                <w:sz w:val="22"/>
                <w:szCs w:val="22"/>
              </w:rPr>
            </w:pPr>
            <w:r>
              <w:rPr>
                <w:sz w:val="22"/>
                <w:szCs w:val="22"/>
              </w:rPr>
              <w:t>(atazanavir 300 mg / ritonavir 100 mg en gang dagligt*</w:t>
            </w:r>
          </w:p>
        </w:tc>
        <w:tc>
          <w:tcPr>
            <w:tcW w:w="1733" w:type="pct"/>
            <w:tcBorders>
              <w:top w:val="single" w:sz="4" w:space="0" w:color="auto"/>
              <w:left w:val="single" w:sz="4" w:space="0" w:color="auto"/>
              <w:bottom w:val="single" w:sz="4" w:space="0" w:color="auto"/>
              <w:right w:val="single" w:sz="4" w:space="0" w:color="auto"/>
            </w:tcBorders>
          </w:tcPr>
          <w:p w:rsidR="002A0DA0" w:rsidRPr="002A0DA0" w:rsidRDefault="002A0DA0" w:rsidP="002A0DA0">
            <w:pPr>
              <w:ind w:left="29"/>
              <w:rPr>
                <w:sz w:val="22"/>
                <w:szCs w:val="22"/>
                <w:lang w:val="en-US"/>
              </w:rPr>
            </w:pPr>
            <w:r w:rsidRPr="002A0DA0">
              <w:rPr>
                <w:sz w:val="22"/>
                <w:szCs w:val="22"/>
                <w:lang w:val="en-US"/>
              </w:rPr>
              <w:t xml:space="preserve">Glecaprevir AUC: </w:t>
            </w:r>
            <m:oMath>
              <m:r>
                <w:rPr>
                  <w:rFonts w:ascii="Cambria Math" w:hAnsi="Cambria Math"/>
                  <w:sz w:val="22"/>
                  <w:szCs w:val="22"/>
                  <w:lang w:val="en-US"/>
                </w:rPr>
                <m:t>↑</m:t>
              </m:r>
            </m:oMath>
            <w:r w:rsidRPr="002A0DA0">
              <w:rPr>
                <w:sz w:val="22"/>
                <w:szCs w:val="22"/>
                <w:lang w:val="en-US"/>
              </w:rPr>
              <w:t>553 % (</w:t>
            </w:r>
            <m:oMath>
              <m:r>
                <w:rPr>
                  <w:rFonts w:ascii="Cambria Math" w:hAnsi="Cambria Math"/>
                  <w:sz w:val="22"/>
                  <w:szCs w:val="22"/>
                  <w:lang w:val="en-US"/>
                </w:rPr>
                <m:t>↑</m:t>
              </m:r>
            </m:oMath>
            <w:r w:rsidRPr="002A0DA0">
              <w:rPr>
                <w:sz w:val="22"/>
                <w:szCs w:val="22"/>
                <w:lang w:val="en-US"/>
              </w:rPr>
              <w:t xml:space="preserve">424 % </w:t>
            </w:r>
            <m:oMath>
              <m:r>
                <w:rPr>
                  <w:rFonts w:ascii="Cambria Math" w:hAnsi="Cambria Math"/>
                  <w:sz w:val="22"/>
                  <w:szCs w:val="22"/>
                  <w:lang w:val="en-US"/>
                </w:rPr>
                <m:t>↑</m:t>
              </m:r>
            </m:oMath>
            <w:r w:rsidRPr="002A0DA0">
              <w:rPr>
                <w:sz w:val="22"/>
                <w:szCs w:val="22"/>
                <w:lang w:val="en-US"/>
              </w:rPr>
              <w:t>714 %)</w:t>
            </w:r>
          </w:p>
          <w:p w:rsidR="002A0DA0" w:rsidRPr="002A0DA0" w:rsidRDefault="002A0DA0" w:rsidP="002A0DA0">
            <w:pPr>
              <w:ind w:left="29"/>
              <w:rPr>
                <w:sz w:val="22"/>
                <w:szCs w:val="22"/>
                <w:lang w:val="en-US"/>
              </w:rPr>
            </w:pPr>
            <w:r w:rsidRPr="002A0DA0">
              <w:rPr>
                <w:sz w:val="22"/>
                <w:szCs w:val="22"/>
                <w:lang w:val="en-US"/>
              </w:rPr>
              <w:t>Glecaprevir C</w:t>
            </w:r>
            <w:r w:rsidRPr="002A0DA0">
              <w:rPr>
                <w:sz w:val="22"/>
                <w:szCs w:val="22"/>
                <w:vertAlign w:val="subscript"/>
                <w:lang w:val="en-US"/>
              </w:rPr>
              <w:t>max</w:t>
            </w:r>
            <w:r w:rsidRPr="002A0DA0">
              <w:rPr>
                <w:sz w:val="22"/>
                <w:szCs w:val="22"/>
                <w:lang w:val="en-US"/>
              </w:rPr>
              <w:t xml:space="preserve">: </w:t>
            </w:r>
            <m:oMath>
              <m:r>
                <w:rPr>
                  <w:rFonts w:ascii="Cambria Math" w:hAnsi="Cambria Math"/>
                  <w:sz w:val="22"/>
                  <w:szCs w:val="22"/>
                  <w:lang w:val="en-US"/>
                </w:rPr>
                <m:t>↑</m:t>
              </m:r>
            </m:oMath>
            <w:r w:rsidRPr="002A0DA0">
              <w:rPr>
                <w:sz w:val="22"/>
                <w:szCs w:val="22"/>
                <w:lang w:val="en-US"/>
              </w:rPr>
              <w:t>306 % (</w:t>
            </w:r>
            <m:oMath>
              <m:r>
                <w:rPr>
                  <w:rFonts w:ascii="Cambria Math" w:hAnsi="Cambria Math"/>
                  <w:sz w:val="22"/>
                  <w:szCs w:val="22"/>
                  <w:lang w:val="en-US"/>
                </w:rPr>
                <m:t>↑</m:t>
              </m:r>
            </m:oMath>
            <w:r w:rsidRPr="002A0DA0">
              <w:rPr>
                <w:sz w:val="22"/>
                <w:szCs w:val="22"/>
                <w:lang w:val="en-US"/>
              </w:rPr>
              <w:t xml:space="preserve">215 % </w:t>
            </w:r>
            <m:oMath>
              <m:r>
                <w:rPr>
                  <w:rFonts w:ascii="Cambria Math" w:hAnsi="Cambria Math"/>
                  <w:sz w:val="22"/>
                  <w:szCs w:val="22"/>
                  <w:lang w:val="en-US"/>
                </w:rPr>
                <m:t>↑</m:t>
              </m:r>
            </m:oMath>
            <w:r w:rsidRPr="002A0DA0">
              <w:rPr>
                <w:sz w:val="22"/>
                <w:szCs w:val="22"/>
                <w:lang w:val="en-US"/>
              </w:rPr>
              <w:t>423 %)</w:t>
            </w:r>
          </w:p>
          <w:p w:rsidR="002A0DA0" w:rsidRPr="002A0DA0" w:rsidRDefault="002A0DA0" w:rsidP="002A0DA0">
            <w:pPr>
              <w:ind w:left="29"/>
              <w:rPr>
                <w:sz w:val="22"/>
                <w:szCs w:val="22"/>
                <w:lang w:val="en-US"/>
              </w:rPr>
            </w:pPr>
            <w:r w:rsidRPr="002A0DA0">
              <w:rPr>
                <w:sz w:val="22"/>
                <w:szCs w:val="22"/>
                <w:lang w:val="en-US"/>
              </w:rPr>
              <w:lastRenderedPageBreak/>
              <w:t>Glecaprevir C</w:t>
            </w:r>
            <w:r w:rsidRPr="002A0DA0">
              <w:rPr>
                <w:sz w:val="22"/>
                <w:szCs w:val="22"/>
                <w:vertAlign w:val="subscript"/>
                <w:lang w:val="en-US"/>
              </w:rPr>
              <w:t>min</w:t>
            </w:r>
            <w:r w:rsidRPr="002A0DA0">
              <w:rPr>
                <w:sz w:val="22"/>
                <w:szCs w:val="22"/>
                <w:lang w:val="en-US"/>
              </w:rPr>
              <w:t xml:space="preserve">: </w:t>
            </w:r>
            <m:oMath>
              <m:r>
                <w:rPr>
                  <w:rFonts w:ascii="Cambria Math" w:hAnsi="Cambria Math"/>
                  <w:sz w:val="22"/>
                  <w:szCs w:val="22"/>
                  <w:lang w:val="en-US"/>
                </w:rPr>
                <m:t>↑</m:t>
              </m:r>
            </m:oMath>
            <w:r w:rsidRPr="002A0DA0">
              <w:rPr>
                <w:sz w:val="22"/>
                <w:szCs w:val="22"/>
                <w:lang w:val="en-US"/>
              </w:rPr>
              <w:t>1330 % (</w:t>
            </w:r>
            <m:oMath>
              <m:r>
                <w:rPr>
                  <w:rFonts w:ascii="Cambria Math" w:hAnsi="Cambria Math"/>
                  <w:sz w:val="22"/>
                  <w:szCs w:val="22"/>
                  <w:lang w:val="en-US"/>
                </w:rPr>
                <m:t>↑885 % ↑1970 %</m:t>
              </m:r>
            </m:oMath>
          </w:p>
          <w:p w:rsidR="002A0DA0" w:rsidRPr="002A0DA0" w:rsidRDefault="002A0DA0" w:rsidP="002A0DA0">
            <w:pPr>
              <w:ind w:left="29"/>
              <w:rPr>
                <w:sz w:val="22"/>
                <w:szCs w:val="22"/>
                <w:lang w:val="en-US"/>
              </w:rPr>
            </w:pPr>
          </w:p>
          <w:p w:rsidR="002A0DA0" w:rsidRPr="002A0DA0" w:rsidRDefault="002A0DA0" w:rsidP="002A0DA0">
            <w:pPr>
              <w:ind w:left="29"/>
              <w:rPr>
                <w:sz w:val="22"/>
                <w:szCs w:val="22"/>
                <w:lang w:val="en-US"/>
              </w:rPr>
            </w:pPr>
            <w:r w:rsidRPr="002A0DA0">
              <w:rPr>
                <w:sz w:val="22"/>
                <w:szCs w:val="22"/>
                <w:lang w:val="en-US"/>
              </w:rPr>
              <w:t xml:space="preserve">Pibrentasvir AUC: </w:t>
            </w:r>
            <m:oMath>
              <m:r>
                <w:rPr>
                  <w:rFonts w:ascii="Cambria Math" w:hAnsi="Cambria Math"/>
                  <w:sz w:val="22"/>
                  <w:szCs w:val="22"/>
                  <w:lang w:val="en-US"/>
                </w:rPr>
                <m:t>↑</m:t>
              </m:r>
            </m:oMath>
            <w:r w:rsidRPr="002A0DA0">
              <w:rPr>
                <w:sz w:val="22"/>
                <w:szCs w:val="22"/>
                <w:lang w:val="en-US"/>
              </w:rPr>
              <w:t>64 % (</w:t>
            </w:r>
            <m:oMath>
              <m:r>
                <w:rPr>
                  <w:rFonts w:ascii="Cambria Math" w:hAnsi="Cambria Math"/>
                  <w:sz w:val="22"/>
                  <w:szCs w:val="22"/>
                  <w:lang w:val="en-US"/>
                </w:rPr>
                <m:t>↑</m:t>
              </m:r>
            </m:oMath>
            <w:r w:rsidRPr="002A0DA0">
              <w:rPr>
                <w:sz w:val="22"/>
                <w:szCs w:val="22"/>
                <w:lang w:val="en-US"/>
              </w:rPr>
              <w:t xml:space="preserve">48 % </w:t>
            </w:r>
            <m:oMath>
              <m:r>
                <w:rPr>
                  <w:rFonts w:ascii="Cambria Math" w:hAnsi="Cambria Math"/>
                  <w:sz w:val="22"/>
                  <w:szCs w:val="22"/>
                  <w:lang w:val="en-US"/>
                </w:rPr>
                <m:t>↑</m:t>
              </m:r>
            </m:oMath>
            <w:r w:rsidRPr="002A0DA0">
              <w:rPr>
                <w:sz w:val="22"/>
                <w:szCs w:val="22"/>
                <w:lang w:val="en-US"/>
              </w:rPr>
              <w:t>82 %)</w:t>
            </w:r>
          </w:p>
          <w:p w:rsidR="002A0DA0" w:rsidRPr="002A0DA0" w:rsidRDefault="002A0DA0" w:rsidP="002A0DA0">
            <w:pPr>
              <w:ind w:left="29"/>
              <w:rPr>
                <w:sz w:val="22"/>
                <w:szCs w:val="22"/>
                <w:lang w:val="en-US"/>
              </w:rPr>
            </w:pPr>
            <w:r w:rsidRPr="002A0DA0">
              <w:rPr>
                <w:sz w:val="22"/>
                <w:szCs w:val="22"/>
                <w:lang w:val="en-US"/>
              </w:rPr>
              <w:t>Pibrentasvir C</w:t>
            </w:r>
            <w:r w:rsidRPr="002A0DA0">
              <w:rPr>
                <w:sz w:val="22"/>
                <w:szCs w:val="22"/>
                <w:vertAlign w:val="subscript"/>
                <w:lang w:val="en-US"/>
              </w:rPr>
              <w:t>max</w:t>
            </w:r>
            <w:r w:rsidRPr="002A0DA0">
              <w:rPr>
                <w:sz w:val="22"/>
                <w:szCs w:val="22"/>
                <w:lang w:val="en-US"/>
              </w:rPr>
              <w:t xml:space="preserve">: </w:t>
            </w:r>
            <m:oMath>
              <m:r>
                <w:rPr>
                  <w:rFonts w:ascii="Cambria Math" w:hAnsi="Cambria Math"/>
                  <w:sz w:val="22"/>
                  <w:szCs w:val="22"/>
                  <w:lang w:val="en-US"/>
                </w:rPr>
                <m:t>↑</m:t>
              </m:r>
            </m:oMath>
            <w:r w:rsidRPr="002A0DA0">
              <w:rPr>
                <w:sz w:val="22"/>
                <w:szCs w:val="22"/>
                <w:lang w:val="en-US"/>
              </w:rPr>
              <w:t>29 % (</w:t>
            </w:r>
            <m:oMath>
              <m:r>
                <w:rPr>
                  <w:rFonts w:ascii="Cambria Math" w:hAnsi="Cambria Math"/>
                  <w:sz w:val="22"/>
                  <w:szCs w:val="22"/>
                  <w:lang w:val="en-US"/>
                </w:rPr>
                <m:t>↑</m:t>
              </m:r>
            </m:oMath>
            <w:r w:rsidRPr="002A0DA0">
              <w:rPr>
                <w:sz w:val="22"/>
                <w:szCs w:val="22"/>
                <w:lang w:val="en-US"/>
              </w:rPr>
              <w:t xml:space="preserve">15 % </w:t>
            </w:r>
            <m:oMath>
              <m:r>
                <w:rPr>
                  <w:rFonts w:ascii="Cambria Math" w:hAnsi="Cambria Math"/>
                  <w:sz w:val="22"/>
                  <w:szCs w:val="22"/>
                  <w:lang w:val="en-US"/>
                </w:rPr>
                <m:t>↑</m:t>
              </m:r>
            </m:oMath>
            <w:r w:rsidRPr="002A0DA0">
              <w:rPr>
                <w:sz w:val="22"/>
                <w:szCs w:val="22"/>
                <w:lang w:val="en-US"/>
              </w:rPr>
              <w:t>45 %)</w:t>
            </w:r>
          </w:p>
          <w:p w:rsidR="002A0DA0" w:rsidRPr="002A0DA0" w:rsidRDefault="002A0DA0" w:rsidP="002A0DA0">
            <w:pPr>
              <w:ind w:left="29"/>
              <w:rPr>
                <w:sz w:val="22"/>
                <w:szCs w:val="22"/>
                <w:lang w:val="en-US"/>
              </w:rPr>
            </w:pPr>
            <w:r w:rsidRPr="002A0DA0">
              <w:rPr>
                <w:sz w:val="22"/>
                <w:szCs w:val="22"/>
                <w:lang w:val="en-US"/>
              </w:rPr>
              <w:t>Pibrentasvir C</w:t>
            </w:r>
            <w:r w:rsidRPr="002A0DA0">
              <w:rPr>
                <w:sz w:val="22"/>
                <w:szCs w:val="22"/>
                <w:vertAlign w:val="subscript"/>
                <w:lang w:val="en-US"/>
              </w:rPr>
              <w:t>min</w:t>
            </w:r>
            <w:r w:rsidRPr="002A0DA0">
              <w:rPr>
                <w:sz w:val="22"/>
                <w:szCs w:val="22"/>
                <w:lang w:val="en-US"/>
              </w:rPr>
              <w:t xml:space="preserve">: </w:t>
            </w:r>
            <m:oMath>
              <m:r>
                <w:rPr>
                  <w:rFonts w:ascii="Cambria Math" w:hAnsi="Cambria Math"/>
                  <w:sz w:val="22"/>
                  <w:szCs w:val="22"/>
                  <w:lang w:val="en-US"/>
                </w:rPr>
                <m:t>↑</m:t>
              </m:r>
            </m:oMath>
            <w:r w:rsidRPr="002A0DA0">
              <w:rPr>
                <w:sz w:val="22"/>
                <w:szCs w:val="22"/>
                <w:lang w:val="en-US"/>
              </w:rPr>
              <w:t>129 % (</w:t>
            </w:r>
            <m:oMath>
              <m:r>
                <w:rPr>
                  <w:rFonts w:ascii="Cambria Math" w:hAnsi="Cambria Math"/>
                  <w:sz w:val="22"/>
                  <w:szCs w:val="22"/>
                  <w:lang w:val="en-US"/>
                </w:rPr>
                <m:t>↑</m:t>
              </m:r>
            </m:oMath>
            <w:r w:rsidRPr="002A0DA0">
              <w:rPr>
                <w:sz w:val="22"/>
                <w:szCs w:val="22"/>
                <w:lang w:val="en-US"/>
              </w:rPr>
              <w:t xml:space="preserve">95 % </w:t>
            </w:r>
            <m:oMath>
              <m:r>
                <w:rPr>
                  <w:rFonts w:ascii="Cambria Math" w:hAnsi="Cambria Math"/>
                  <w:sz w:val="22"/>
                  <w:szCs w:val="22"/>
                  <w:lang w:val="en-US"/>
                </w:rPr>
                <m:t>↑</m:t>
              </m:r>
            </m:oMath>
            <w:r w:rsidRPr="002A0DA0">
              <w:rPr>
                <w:sz w:val="22"/>
                <w:szCs w:val="22"/>
                <w:lang w:val="en-US"/>
              </w:rPr>
              <w:t>168 %)</w:t>
            </w:r>
          </w:p>
          <w:p w:rsidR="002A0DA0" w:rsidRPr="002A0DA0" w:rsidRDefault="002A0DA0" w:rsidP="002A0DA0">
            <w:pPr>
              <w:ind w:left="29"/>
              <w:rPr>
                <w:sz w:val="22"/>
                <w:szCs w:val="22"/>
                <w:lang w:val="en-US"/>
              </w:rPr>
            </w:pPr>
          </w:p>
          <w:p w:rsidR="002A0DA0" w:rsidRPr="00F455F3" w:rsidRDefault="002A0DA0" w:rsidP="002A0DA0">
            <w:pPr>
              <w:ind w:left="29"/>
              <w:rPr>
                <w:sz w:val="22"/>
                <w:szCs w:val="22"/>
              </w:rPr>
            </w:pPr>
            <w:r>
              <w:rPr>
                <w:sz w:val="22"/>
                <w:szCs w:val="22"/>
              </w:rPr>
              <w:t xml:space="preserve">*Effekten af atazanavir og ritonavir ved den første dosis af glecaprevir og pibrentasvir er rapporteret. </w:t>
            </w:r>
          </w:p>
        </w:tc>
        <w:tc>
          <w:tcPr>
            <w:tcW w:w="1701" w:type="pct"/>
            <w:tcBorders>
              <w:top w:val="single" w:sz="4" w:space="0" w:color="auto"/>
              <w:left w:val="single" w:sz="4" w:space="0" w:color="auto"/>
              <w:bottom w:val="single" w:sz="4" w:space="0" w:color="auto"/>
              <w:right w:val="single" w:sz="4" w:space="0" w:color="auto"/>
            </w:tcBorders>
            <w:vAlign w:val="center"/>
          </w:tcPr>
          <w:p w:rsidR="002A0DA0" w:rsidRPr="00F455F3" w:rsidRDefault="002A0DA0" w:rsidP="002A0DA0">
            <w:pPr>
              <w:ind w:left="29"/>
              <w:rPr>
                <w:sz w:val="22"/>
                <w:szCs w:val="22"/>
              </w:rPr>
            </w:pPr>
            <w:r>
              <w:rPr>
                <w:sz w:val="22"/>
                <w:szCs w:val="22"/>
              </w:rPr>
              <w:lastRenderedPageBreak/>
              <w:t xml:space="preserve">Samtidig administration af atazanavir med glecaprevir/pibrentasvir er kontraindiceret grundet den potentielle øgede risiko for </w:t>
            </w:r>
            <w:r>
              <w:rPr>
                <w:sz w:val="22"/>
                <w:szCs w:val="22"/>
              </w:rPr>
              <w:lastRenderedPageBreak/>
              <w:t>forhøjet ALT på grund af signifikant stigning i plasmakoncentrationerne af glecaprevir og pibrentasvir (se pkt. 4.3).</w:t>
            </w: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tcPr>
          <w:p w:rsidR="002A0DA0" w:rsidRPr="00582B2E" w:rsidRDefault="002A0DA0" w:rsidP="002A0DA0">
            <w:pPr>
              <w:ind w:left="29"/>
              <w:rPr>
                <w:b/>
                <w:bCs/>
                <w:sz w:val="22"/>
                <w:szCs w:val="22"/>
              </w:rPr>
            </w:pPr>
            <w:r w:rsidRPr="00582B2E">
              <w:rPr>
                <w:b/>
                <w:bCs/>
                <w:sz w:val="22"/>
                <w:szCs w:val="22"/>
              </w:rPr>
              <w:lastRenderedPageBreak/>
              <w:t>ANTITROMBOTIKA</w:t>
            </w:r>
          </w:p>
        </w:tc>
      </w:tr>
      <w:tr w:rsidR="002A0DA0" w:rsidTr="002A0DA0">
        <w:tc>
          <w:tcPr>
            <w:tcW w:w="1566" w:type="pct"/>
            <w:tcBorders>
              <w:top w:val="single" w:sz="4" w:space="0" w:color="auto"/>
              <w:left w:val="single" w:sz="4" w:space="0" w:color="auto"/>
              <w:bottom w:val="single" w:sz="4" w:space="0" w:color="auto"/>
              <w:right w:val="single" w:sz="4" w:space="0" w:color="auto"/>
            </w:tcBorders>
          </w:tcPr>
          <w:p w:rsidR="002A0DA0" w:rsidRPr="00582B2E" w:rsidRDefault="002A0DA0" w:rsidP="002A0DA0">
            <w:pPr>
              <w:ind w:left="29"/>
              <w:rPr>
                <w:bCs/>
                <w:sz w:val="22"/>
                <w:szCs w:val="22"/>
              </w:rPr>
            </w:pPr>
            <w:r w:rsidRPr="00582B2E">
              <w:rPr>
                <w:bCs/>
                <w:sz w:val="22"/>
                <w:szCs w:val="22"/>
              </w:rPr>
              <w:t>Ticagrelor</w:t>
            </w:r>
          </w:p>
        </w:tc>
        <w:tc>
          <w:tcPr>
            <w:tcW w:w="1733" w:type="pct"/>
            <w:tcBorders>
              <w:top w:val="single" w:sz="4" w:space="0" w:color="auto"/>
              <w:left w:val="single" w:sz="4" w:space="0" w:color="auto"/>
              <w:bottom w:val="single" w:sz="4" w:space="0" w:color="auto"/>
              <w:right w:val="single" w:sz="4" w:space="0" w:color="auto"/>
            </w:tcBorders>
          </w:tcPr>
          <w:p w:rsidR="002A0DA0" w:rsidRPr="00A00190" w:rsidRDefault="002A0DA0" w:rsidP="002A0DA0">
            <w:pPr>
              <w:ind w:left="29"/>
              <w:rPr>
                <w:sz w:val="22"/>
                <w:szCs w:val="22"/>
              </w:rPr>
            </w:pPr>
            <w:r w:rsidRPr="007B6F67">
              <w:rPr>
                <w:sz w:val="22"/>
                <w:szCs w:val="22"/>
              </w:rPr>
              <w:t>Interaktionsmekanismen er atazanavir- og/eller ritonavir-hæmning af CYP3A4.</w:t>
            </w:r>
          </w:p>
        </w:tc>
        <w:tc>
          <w:tcPr>
            <w:tcW w:w="1701" w:type="pct"/>
            <w:tcBorders>
              <w:top w:val="single" w:sz="4" w:space="0" w:color="auto"/>
              <w:left w:val="single" w:sz="4" w:space="0" w:color="auto"/>
              <w:bottom w:val="single" w:sz="4" w:space="0" w:color="auto"/>
              <w:right w:val="single" w:sz="4" w:space="0" w:color="auto"/>
            </w:tcBorders>
            <w:vAlign w:val="center"/>
          </w:tcPr>
          <w:p w:rsidR="002A0DA0" w:rsidRDefault="002A0DA0" w:rsidP="002A0DA0">
            <w:pPr>
              <w:ind w:left="29"/>
              <w:rPr>
                <w:sz w:val="22"/>
                <w:szCs w:val="22"/>
              </w:rPr>
            </w:pPr>
            <w:r w:rsidRPr="00E56DEA">
              <w:rPr>
                <w:sz w:val="22"/>
                <w:szCs w:val="22"/>
              </w:rPr>
              <w:t xml:space="preserve">Samtidig administration af </w:t>
            </w:r>
            <w:r>
              <w:rPr>
                <w:sz w:val="22"/>
                <w:szCs w:val="22"/>
              </w:rPr>
              <w:t>atazanavir</w:t>
            </w:r>
            <w:r w:rsidRPr="00E56DEA">
              <w:rPr>
                <w:sz w:val="22"/>
                <w:szCs w:val="22"/>
              </w:rPr>
              <w:t xml:space="preserve"> og ticagrelor frarådes på grund af den potentielle stigning i ticagrelors antitrombotiske aktivitet.</w:t>
            </w:r>
          </w:p>
        </w:tc>
      </w:tr>
      <w:tr w:rsidR="002A0DA0" w:rsidTr="002A0DA0">
        <w:tc>
          <w:tcPr>
            <w:tcW w:w="1566" w:type="pct"/>
            <w:tcBorders>
              <w:top w:val="single" w:sz="4" w:space="0" w:color="auto"/>
              <w:left w:val="single" w:sz="4" w:space="0" w:color="auto"/>
              <w:bottom w:val="single" w:sz="4" w:space="0" w:color="auto"/>
              <w:right w:val="single" w:sz="4" w:space="0" w:color="auto"/>
            </w:tcBorders>
          </w:tcPr>
          <w:p w:rsidR="002A0DA0" w:rsidRPr="00582B2E" w:rsidRDefault="002A0DA0" w:rsidP="002A0DA0">
            <w:pPr>
              <w:ind w:left="29"/>
              <w:rPr>
                <w:bCs/>
                <w:sz w:val="22"/>
                <w:szCs w:val="22"/>
              </w:rPr>
            </w:pPr>
            <w:r w:rsidRPr="00582B2E">
              <w:rPr>
                <w:bCs/>
                <w:sz w:val="22"/>
                <w:szCs w:val="22"/>
              </w:rPr>
              <w:t>Clopidogrel</w:t>
            </w:r>
          </w:p>
        </w:tc>
        <w:tc>
          <w:tcPr>
            <w:tcW w:w="1733" w:type="pct"/>
            <w:tcBorders>
              <w:top w:val="single" w:sz="4" w:space="0" w:color="auto"/>
              <w:left w:val="single" w:sz="4" w:space="0" w:color="auto"/>
              <w:bottom w:val="single" w:sz="4" w:space="0" w:color="auto"/>
              <w:right w:val="single" w:sz="4" w:space="0" w:color="auto"/>
            </w:tcBorders>
          </w:tcPr>
          <w:p w:rsidR="002A0DA0" w:rsidRPr="00A00190" w:rsidRDefault="002A0DA0" w:rsidP="002A0DA0">
            <w:pPr>
              <w:ind w:left="29"/>
              <w:rPr>
                <w:sz w:val="22"/>
                <w:szCs w:val="22"/>
              </w:rPr>
            </w:pPr>
            <w:r w:rsidRPr="007B6F67">
              <w:rPr>
                <w:sz w:val="22"/>
                <w:szCs w:val="22"/>
              </w:rPr>
              <w:t>Interaktionsmekanismen er atazanavir- og/eller ritonavir-hæmning af CYP3A4.</w:t>
            </w:r>
          </w:p>
        </w:tc>
        <w:tc>
          <w:tcPr>
            <w:tcW w:w="1701" w:type="pct"/>
            <w:tcBorders>
              <w:top w:val="single" w:sz="4" w:space="0" w:color="auto"/>
              <w:left w:val="single" w:sz="4" w:space="0" w:color="auto"/>
              <w:bottom w:val="single" w:sz="4" w:space="0" w:color="auto"/>
              <w:right w:val="single" w:sz="4" w:space="0" w:color="auto"/>
            </w:tcBorders>
            <w:vAlign w:val="center"/>
          </w:tcPr>
          <w:p w:rsidR="002A0DA0" w:rsidRDefault="002A0DA0" w:rsidP="002A0DA0">
            <w:pPr>
              <w:ind w:left="29"/>
              <w:rPr>
                <w:sz w:val="22"/>
                <w:szCs w:val="22"/>
              </w:rPr>
            </w:pPr>
            <w:r w:rsidRPr="00707D71">
              <w:rPr>
                <w:sz w:val="22"/>
                <w:szCs w:val="22"/>
              </w:rPr>
              <w:t>Samtidig administration med clopidogrel frarådes på grund af den potentielle reduktion i clopidogrels antitrombotiske aktivitet.</w:t>
            </w:r>
          </w:p>
        </w:tc>
      </w:tr>
      <w:tr w:rsidR="002A0DA0" w:rsidTr="002A0DA0">
        <w:tc>
          <w:tcPr>
            <w:tcW w:w="1566" w:type="pct"/>
            <w:tcBorders>
              <w:top w:val="single" w:sz="4" w:space="0" w:color="auto"/>
              <w:left w:val="single" w:sz="4" w:space="0" w:color="auto"/>
              <w:bottom w:val="single" w:sz="4" w:space="0" w:color="auto"/>
              <w:right w:val="single" w:sz="4" w:space="0" w:color="auto"/>
            </w:tcBorders>
          </w:tcPr>
          <w:p w:rsidR="002A0DA0" w:rsidRPr="00582B2E" w:rsidRDefault="002A0DA0" w:rsidP="002A0DA0">
            <w:pPr>
              <w:ind w:left="29"/>
              <w:rPr>
                <w:bCs/>
                <w:sz w:val="22"/>
                <w:szCs w:val="22"/>
              </w:rPr>
            </w:pPr>
            <w:r w:rsidRPr="00582B2E">
              <w:rPr>
                <w:bCs/>
                <w:sz w:val="22"/>
                <w:szCs w:val="22"/>
              </w:rPr>
              <w:t>Prasugrel</w:t>
            </w:r>
          </w:p>
        </w:tc>
        <w:tc>
          <w:tcPr>
            <w:tcW w:w="1733" w:type="pct"/>
            <w:tcBorders>
              <w:top w:val="single" w:sz="4" w:space="0" w:color="auto"/>
              <w:left w:val="single" w:sz="4" w:space="0" w:color="auto"/>
              <w:bottom w:val="single" w:sz="4" w:space="0" w:color="auto"/>
              <w:right w:val="single" w:sz="4" w:space="0" w:color="auto"/>
            </w:tcBorders>
          </w:tcPr>
          <w:p w:rsidR="002A0DA0" w:rsidRPr="00A00190" w:rsidRDefault="002A0DA0" w:rsidP="002A0DA0">
            <w:pPr>
              <w:ind w:left="29"/>
              <w:rPr>
                <w:sz w:val="22"/>
                <w:szCs w:val="22"/>
              </w:rPr>
            </w:pPr>
            <w:r w:rsidRPr="007B6F67">
              <w:rPr>
                <w:sz w:val="22"/>
                <w:szCs w:val="22"/>
              </w:rPr>
              <w:t>Interaktionsmekanismen er atazanavir- og/eller ritonavir-hæmning af CYP3A4.</w:t>
            </w:r>
          </w:p>
        </w:tc>
        <w:tc>
          <w:tcPr>
            <w:tcW w:w="1701" w:type="pct"/>
            <w:tcBorders>
              <w:top w:val="single" w:sz="4" w:space="0" w:color="auto"/>
              <w:left w:val="single" w:sz="4" w:space="0" w:color="auto"/>
              <w:bottom w:val="single" w:sz="4" w:space="0" w:color="auto"/>
              <w:right w:val="single" w:sz="4" w:space="0" w:color="auto"/>
            </w:tcBorders>
            <w:vAlign w:val="center"/>
          </w:tcPr>
          <w:p w:rsidR="002A0DA0" w:rsidRDefault="002A0DA0" w:rsidP="002A0DA0">
            <w:pPr>
              <w:ind w:left="29"/>
              <w:rPr>
                <w:sz w:val="22"/>
                <w:szCs w:val="22"/>
              </w:rPr>
            </w:pPr>
            <w:r w:rsidRPr="00C7400B">
              <w:rPr>
                <w:sz w:val="22"/>
                <w:szCs w:val="22"/>
              </w:rPr>
              <w:t xml:space="preserve">Dosisjustering er ikke nødvendig ved samtidig administration af prasugrel og </w:t>
            </w:r>
            <w:r>
              <w:rPr>
                <w:sz w:val="22"/>
                <w:szCs w:val="22"/>
              </w:rPr>
              <w:t>atazanavir</w:t>
            </w:r>
            <w:r w:rsidRPr="00C7400B">
              <w:rPr>
                <w:sz w:val="22"/>
                <w:szCs w:val="22"/>
              </w:rPr>
              <w:t xml:space="preserve"> (med eller uden ritonavir).</w:t>
            </w: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ANTIRETROVIRALE LÆGEMIDLER</w:t>
            </w: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i/>
                <w:sz w:val="22"/>
                <w:szCs w:val="22"/>
              </w:rPr>
              <w:t>Proteasehæmmere:</w:t>
            </w:r>
            <w:r w:rsidRPr="00F455F3">
              <w:rPr>
                <w:sz w:val="22"/>
                <w:szCs w:val="22"/>
              </w:rPr>
              <w:t xml:space="preserve"> Samtidig administration af atazanavir/ritonavir og andre proteasehæmmere er ikke undersøgt, men forventes at øge eksponeringen for andre proteasehæmmere. Samtidig administration frarådes derfor.</w:t>
            </w:r>
          </w:p>
        </w:tc>
      </w:tr>
      <w:tr w:rsidR="002A0DA0" w:rsidTr="002A0DA0">
        <w:tc>
          <w:tcPr>
            <w:tcW w:w="1566"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b/>
                <w:sz w:val="22"/>
                <w:szCs w:val="22"/>
              </w:rPr>
            </w:pPr>
            <w:r w:rsidRPr="00F455F3">
              <w:rPr>
                <w:b/>
                <w:sz w:val="22"/>
                <w:szCs w:val="22"/>
              </w:rPr>
              <w:t>Ritonavir 100 mg 1 gang</w:t>
            </w:r>
            <w:r>
              <w:rPr>
                <w:b/>
                <w:sz w:val="22"/>
                <w:szCs w:val="22"/>
              </w:rPr>
              <w:t xml:space="preserve"> </w:t>
            </w:r>
            <w:r w:rsidRPr="00F455F3">
              <w:rPr>
                <w:b/>
                <w:sz w:val="22"/>
                <w:szCs w:val="22"/>
              </w:rPr>
              <w:t>dagligt</w:t>
            </w:r>
          </w:p>
          <w:p w:rsidR="002A0DA0" w:rsidRPr="00F455F3" w:rsidRDefault="002A0DA0" w:rsidP="002A0DA0">
            <w:pPr>
              <w:ind w:left="29"/>
              <w:rPr>
                <w:sz w:val="22"/>
                <w:szCs w:val="22"/>
              </w:rPr>
            </w:pPr>
            <w:r w:rsidRPr="00F455F3">
              <w:rPr>
                <w:sz w:val="22"/>
                <w:szCs w:val="22"/>
              </w:rPr>
              <w:t>(atazanavir 300 mg 1 gang</w:t>
            </w:r>
            <w:r>
              <w:rPr>
                <w:sz w:val="22"/>
                <w:szCs w:val="22"/>
              </w:rPr>
              <w:t xml:space="preserve"> </w:t>
            </w:r>
            <w:r w:rsidRPr="00F455F3">
              <w:rPr>
                <w:sz w:val="22"/>
                <w:szCs w:val="22"/>
              </w:rPr>
              <w:t>dagligt)</w:t>
            </w:r>
          </w:p>
          <w:p w:rsidR="002A0DA0" w:rsidRPr="00F455F3" w:rsidRDefault="002A0DA0" w:rsidP="002A0DA0">
            <w:pPr>
              <w:ind w:left="29" w:right="-113"/>
              <w:rPr>
                <w:sz w:val="22"/>
                <w:szCs w:val="22"/>
              </w:rPr>
            </w:pPr>
          </w:p>
          <w:p w:rsidR="002A0DA0" w:rsidRPr="00F455F3" w:rsidRDefault="002A0DA0" w:rsidP="002A0DA0">
            <w:pPr>
              <w:ind w:left="29"/>
              <w:rPr>
                <w:sz w:val="22"/>
                <w:szCs w:val="22"/>
              </w:rPr>
            </w:pPr>
            <w:r w:rsidRPr="00F455F3">
              <w:rPr>
                <w:sz w:val="22"/>
                <w:szCs w:val="22"/>
              </w:rPr>
              <w:t>Studier udført med HIV-inficerede</w:t>
            </w:r>
            <w:r>
              <w:rPr>
                <w:sz w:val="22"/>
                <w:szCs w:val="22"/>
              </w:rPr>
              <w:t xml:space="preserve"> </w:t>
            </w:r>
            <w:r w:rsidRPr="00F455F3">
              <w:rPr>
                <w:sz w:val="22"/>
                <w:szCs w:val="22"/>
              </w:rPr>
              <w:t>patienter.</w:t>
            </w:r>
          </w:p>
        </w:tc>
        <w:tc>
          <w:tcPr>
            <w:tcW w:w="1733"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autoSpaceDE w:val="0"/>
              <w:autoSpaceDN w:val="0"/>
              <w:adjustRightInd w:val="0"/>
              <w:ind w:left="29"/>
              <w:rPr>
                <w:rFonts w:eastAsia="TimesNewRoman"/>
                <w:sz w:val="22"/>
                <w:szCs w:val="22"/>
              </w:rPr>
            </w:pPr>
            <w:r w:rsidRPr="00F455F3">
              <w:rPr>
                <w:rFonts w:eastAsia="TimesNewRoman"/>
                <w:sz w:val="22"/>
                <w:szCs w:val="22"/>
              </w:rPr>
              <w:t>Atazanavir AUC: ↑250% (↑144% ↑403</w:t>
            </w:r>
            <w:proofErr w:type="gramStart"/>
            <w:r w:rsidRPr="00F455F3">
              <w:rPr>
                <w:rFonts w:eastAsia="TimesNewRoman"/>
                <w:sz w:val="22"/>
                <w:szCs w:val="22"/>
              </w:rPr>
              <w:t>%)*</w:t>
            </w:r>
            <w:proofErr w:type="gramEnd"/>
          </w:p>
          <w:p w:rsidR="002A0DA0" w:rsidRPr="00F455F3" w:rsidRDefault="002A0DA0" w:rsidP="002A0DA0">
            <w:pPr>
              <w:autoSpaceDE w:val="0"/>
              <w:autoSpaceDN w:val="0"/>
              <w:adjustRightInd w:val="0"/>
              <w:ind w:left="29"/>
              <w:rPr>
                <w:rFonts w:eastAsia="TimesNewRoman"/>
                <w:sz w:val="22"/>
                <w:szCs w:val="22"/>
              </w:rPr>
            </w:pPr>
            <w:r w:rsidRPr="00F455F3">
              <w:rPr>
                <w:rFonts w:eastAsia="TimesNewRoman"/>
                <w:sz w:val="22"/>
                <w:szCs w:val="22"/>
              </w:rPr>
              <w:t>Atazanavir C</w:t>
            </w:r>
            <w:r w:rsidRPr="00F455F3">
              <w:rPr>
                <w:rFonts w:eastAsia="TimesNewRoman"/>
                <w:sz w:val="22"/>
                <w:szCs w:val="22"/>
                <w:vertAlign w:val="subscript"/>
              </w:rPr>
              <w:t>max</w:t>
            </w:r>
            <w:r w:rsidRPr="00F455F3">
              <w:rPr>
                <w:rFonts w:eastAsia="TimesNewRoman"/>
                <w:sz w:val="22"/>
                <w:szCs w:val="22"/>
              </w:rPr>
              <w:t>: ↑120% (↑56% ↑211</w:t>
            </w:r>
            <w:proofErr w:type="gramStart"/>
            <w:r w:rsidRPr="00F455F3">
              <w:rPr>
                <w:rFonts w:eastAsia="TimesNewRoman"/>
                <w:sz w:val="22"/>
                <w:szCs w:val="22"/>
              </w:rPr>
              <w:t>%)*</w:t>
            </w:r>
            <w:proofErr w:type="gramEnd"/>
          </w:p>
          <w:p w:rsidR="002A0DA0" w:rsidRPr="00F455F3" w:rsidRDefault="002A0DA0" w:rsidP="002A0DA0">
            <w:pPr>
              <w:autoSpaceDE w:val="0"/>
              <w:autoSpaceDN w:val="0"/>
              <w:adjustRightInd w:val="0"/>
              <w:ind w:left="29"/>
              <w:rPr>
                <w:rFonts w:eastAsia="TimesNewRoman"/>
                <w:sz w:val="22"/>
                <w:szCs w:val="22"/>
              </w:rPr>
            </w:pPr>
            <w:r w:rsidRPr="00F455F3">
              <w:rPr>
                <w:rFonts w:eastAsia="TimesNewRoman"/>
                <w:sz w:val="22"/>
                <w:szCs w:val="22"/>
              </w:rPr>
              <w:t>Atazanavir C</w:t>
            </w:r>
            <w:r w:rsidRPr="00F455F3">
              <w:rPr>
                <w:rFonts w:eastAsia="TimesNewRoman"/>
                <w:sz w:val="22"/>
                <w:szCs w:val="22"/>
                <w:vertAlign w:val="subscript"/>
              </w:rPr>
              <w:t>min</w:t>
            </w:r>
            <w:r w:rsidRPr="00F455F3">
              <w:rPr>
                <w:rFonts w:eastAsia="TimesNewRoman"/>
                <w:sz w:val="22"/>
                <w:szCs w:val="22"/>
              </w:rPr>
              <w:t>: ↑713% (↑359% ↑1339</w:t>
            </w:r>
            <w:proofErr w:type="gramStart"/>
            <w:r w:rsidRPr="00F455F3">
              <w:rPr>
                <w:rFonts w:eastAsia="TimesNewRoman"/>
                <w:sz w:val="22"/>
                <w:szCs w:val="22"/>
              </w:rPr>
              <w:t>%)*</w:t>
            </w:r>
            <w:proofErr w:type="gramEnd"/>
          </w:p>
          <w:p w:rsidR="002A0DA0" w:rsidRPr="00F455F3" w:rsidRDefault="002A0DA0" w:rsidP="002A0DA0">
            <w:pPr>
              <w:autoSpaceDE w:val="0"/>
              <w:autoSpaceDN w:val="0"/>
              <w:adjustRightInd w:val="0"/>
              <w:ind w:left="29"/>
              <w:rPr>
                <w:rFonts w:eastAsia="TimesNewRoman"/>
                <w:sz w:val="22"/>
                <w:szCs w:val="22"/>
              </w:rPr>
            </w:pPr>
          </w:p>
          <w:p w:rsidR="002A0DA0" w:rsidRPr="00F455F3" w:rsidRDefault="002A0DA0" w:rsidP="002A0DA0">
            <w:pPr>
              <w:autoSpaceDE w:val="0"/>
              <w:autoSpaceDN w:val="0"/>
              <w:adjustRightInd w:val="0"/>
              <w:ind w:left="29"/>
              <w:rPr>
                <w:rFonts w:eastAsia="TimesNewRoman"/>
                <w:sz w:val="22"/>
                <w:szCs w:val="22"/>
              </w:rPr>
            </w:pPr>
            <w:r w:rsidRPr="00F455F3">
              <w:rPr>
                <w:rFonts w:eastAsia="TimesNewRoman"/>
                <w:sz w:val="22"/>
                <w:szCs w:val="22"/>
              </w:rPr>
              <w:t>* Atazanavir 300 mg og ritonavir 100 mg (n=33) er i en kombineret analyse sammenlignet med atazanavir 400 mg uden ritonavir (n=28).</w:t>
            </w:r>
          </w:p>
          <w:p w:rsidR="002A0DA0" w:rsidRPr="00F455F3" w:rsidRDefault="002A0DA0" w:rsidP="002A0DA0">
            <w:pPr>
              <w:autoSpaceDE w:val="0"/>
              <w:autoSpaceDN w:val="0"/>
              <w:adjustRightInd w:val="0"/>
              <w:ind w:left="29"/>
              <w:rPr>
                <w:rFonts w:eastAsia="TimesNewRoman"/>
                <w:sz w:val="22"/>
                <w:szCs w:val="22"/>
              </w:rPr>
            </w:pPr>
            <w:r w:rsidRPr="00F455F3">
              <w:rPr>
                <w:rFonts w:eastAsia="TimesNewRoman"/>
                <w:sz w:val="22"/>
                <w:szCs w:val="22"/>
              </w:rPr>
              <w:t>Interaktionsmekanismen mellem atazanavir og ritonavir er CYP3A4-hæmning.</w:t>
            </w:r>
          </w:p>
          <w:p w:rsidR="002A0DA0" w:rsidRPr="00F455F3" w:rsidRDefault="002A0DA0" w:rsidP="002A0DA0">
            <w:pPr>
              <w:autoSpaceDE w:val="0"/>
              <w:autoSpaceDN w:val="0"/>
              <w:adjustRightInd w:val="0"/>
              <w:ind w:left="29"/>
              <w:rPr>
                <w:sz w:val="22"/>
                <w:szCs w:val="22"/>
              </w:rPr>
            </w:pPr>
          </w:p>
        </w:tc>
        <w:tc>
          <w:tcPr>
            <w:tcW w:w="1701"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Ritonavir 100 mg 1 gang dagligt anvendes som booster for atazanavirs farmakokinetik.</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Indinavir</w:t>
            </w: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Indinavir resulterer i indirekte</w:t>
            </w:r>
            <w:r>
              <w:rPr>
                <w:sz w:val="22"/>
                <w:szCs w:val="22"/>
              </w:rPr>
              <w:t xml:space="preserve"> </w:t>
            </w:r>
            <w:r w:rsidRPr="00F455F3">
              <w:rPr>
                <w:sz w:val="22"/>
                <w:szCs w:val="22"/>
              </w:rPr>
              <w:t>ukonjugeret hyperbilirubinæmi pga. UGT-hæmning.</w:t>
            </w:r>
          </w:p>
        </w:tc>
        <w:tc>
          <w:tcPr>
            <w:tcW w:w="1701"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Samtidig administration af</w:t>
            </w:r>
            <w:r>
              <w:rPr>
                <w:sz w:val="22"/>
                <w:szCs w:val="22"/>
              </w:rPr>
              <w:t xml:space="preserve"> </w:t>
            </w:r>
            <w:r w:rsidRPr="00F455F3">
              <w:rPr>
                <w:sz w:val="22"/>
                <w:szCs w:val="22"/>
              </w:rPr>
              <w:t>atazanavir og indinavir</w:t>
            </w:r>
            <w:r>
              <w:rPr>
                <w:sz w:val="22"/>
                <w:szCs w:val="22"/>
              </w:rPr>
              <w:t xml:space="preserve"> </w:t>
            </w:r>
            <w:r w:rsidRPr="00F455F3">
              <w:rPr>
                <w:sz w:val="22"/>
                <w:szCs w:val="22"/>
              </w:rPr>
              <w:t>frarådes (se pkt. 4.4).</w:t>
            </w: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i/>
                <w:sz w:val="22"/>
                <w:szCs w:val="22"/>
              </w:rPr>
            </w:pPr>
            <w:r w:rsidRPr="00F455F3">
              <w:rPr>
                <w:i/>
                <w:sz w:val="22"/>
                <w:szCs w:val="22"/>
              </w:rPr>
              <w:t>Nukleosid/nukleotid reverse transkriptasehæmmere (NRTI’er)</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lastRenderedPageBreak/>
              <w:t>Lamivudin 150 mg 2 gange</w:t>
            </w:r>
            <w:r>
              <w:rPr>
                <w:b/>
                <w:sz w:val="22"/>
                <w:szCs w:val="22"/>
              </w:rPr>
              <w:t xml:space="preserve"> </w:t>
            </w:r>
            <w:r w:rsidRPr="00F455F3">
              <w:rPr>
                <w:b/>
                <w:sz w:val="22"/>
                <w:szCs w:val="22"/>
              </w:rPr>
              <w:t>dagligt + zidovudin 300 mg 2</w:t>
            </w:r>
          </w:p>
          <w:p w:rsidR="002A0DA0" w:rsidRPr="00F455F3" w:rsidRDefault="002A0DA0" w:rsidP="002A0DA0">
            <w:pPr>
              <w:ind w:left="29"/>
              <w:rPr>
                <w:b/>
                <w:sz w:val="22"/>
                <w:szCs w:val="22"/>
              </w:rPr>
            </w:pPr>
            <w:r w:rsidRPr="00F455F3">
              <w:rPr>
                <w:b/>
                <w:sz w:val="22"/>
                <w:szCs w:val="22"/>
              </w:rPr>
              <w:t>gange dagligt</w:t>
            </w:r>
          </w:p>
          <w:p w:rsidR="002A0DA0" w:rsidRPr="00F455F3" w:rsidRDefault="002A0DA0" w:rsidP="002A0DA0">
            <w:pPr>
              <w:ind w:left="29"/>
              <w:rPr>
                <w:b/>
                <w:sz w:val="22"/>
                <w:szCs w:val="22"/>
              </w:rPr>
            </w:pPr>
            <w:r w:rsidRPr="00F455F3">
              <w:rPr>
                <w:sz w:val="22"/>
                <w:szCs w:val="22"/>
              </w:rPr>
              <w:t>(atazanavir 400 mg 1 gang</w:t>
            </w:r>
            <w:r>
              <w:rPr>
                <w:sz w:val="22"/>
                <w:szCs w:val="22"/>
              </w:rPr>
              <w:t xml:space="preserve"> </w:t>
            </w:r>
            <w:r w:rsidRPr="00F455F3">
              <w:rPr>
                <w:sz w:val="22"/>
                <w:szCs w:val="22"/>
              </w:rPr>
              <w:t>dagligt)</w:t>
            </w: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Der er ikke set signifikant effekt på koncentrationen af lamivudin eller zidovudin.</w:t>
            </w:r>
          </w:p>
        </w:tc>
        <w:tc>
          <w:tcPr>
            <w:tcW w:w="1701"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Baseret på disse data, og fordi</w:t>
            </w:r>
            <w:r>
              <w:rPr>
                <w:sz w:val="22"/>
                <w:szCs w:val="22"/>
              </w:rPr>
              <w:t xml:space="preserve"> </w:t>
            </w:r>
            <w:r w:rsidRPr="00F455F3">
              <w:rPr>
                <w:sz w:val="22"/>
                <w:szCs w:val="22"/>
              </w:rPr>
              <w:t>ritonavir ikke forventes at have</w:t>
            </w:r>
            <w:r>
              <w:rPr>
                <w:sz w:val="22"/>
                <w:szCs w:val="22"/>
              </w:rPr>
              <w:t xml:space="preserve"> </w:t>
            </w:r>
            <w:r w:rsidRPr="00F455F3">
              <w:rPr>
                <w:sz w:val="22"/>
                <w:szCs w:val="22"/>
              </w:rPr>
              <w:t>signifikant effekt på NRTI’ernes farmakokinetik, forventes samtidig administration af disse lægemidler og atazanavir ikke at påvirke lægemidlernes eksponering signifikant.</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Abacavir</w:t>
            </w: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Samtidig administration af abacavir og atazanavir forventes ikke at påvirke abacavirs eksponering signifikant.</w:t>
            </w:r>
          </w:p>
        </w:tc>
        <w:tc>
          <w:tcPr>
            <w:tcW w:w="1701"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sz w:val="22"/>
                <w:szCs w:val="22"/>
              </w:rPr>
            </w:pP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A00190" w:rsidRDefault="002A0DA0" w:rsidP="002A0DA0">
            <w:pPr>
              <w:ind w:left="29"/>
              <w:rPr>
                <w:b/>
                <w:sz w:val="22"/>
                <w:szCs w:val="22"/>
                <w:lang w:val="nb-NO"/>
              </w:rPr>
            </w:pPr>
            <w:r w:rsidRPr="00A00190">
              <w:rPr>
                <w:b/>
                <w:sz w:val="22"/>
                <w:szCs w:val="22"/>
                <w:lang w:val="nb-NO"/>
              </w:rPr>
              <w:t>Didanosin (tabletter med buffer) 200 mg/stavudin</w:t>
            </w:r>
          </w:p>
          <w:p w:rsidR="002A0DA0" w:rsidRPr="00A00190" w:rsidRDefault="002A0DA0" w:rsidP="002A0DA0">
            <w:pPr>
              <w:ind w:left="29"/>
              <w:rPr>
                <w:b/>
                <w:sz w:val="22"/>
                <w:szCs w:val="22"/>
                <w:lang w:val="nb-NO"/>
              </w:rPr>
            </w:pPr>
            <w:r w:rsidRPr="00A00190">
              <w:rPr>
                <w:b/>
                <w:sz w:val="22"/>
                <w:szCs w:val="22"/>
                <w:lang w:val="nb-NO"/>
              </w:rPr>
              <w:t>40 mg, begge som enkeltdoser</w:t>
            </w:r>
          </w:p>
          <w:p w:rsidR="002A0DA0" w:rsidRPr="00A00190" w:rsidRDefault="002A0DA0" w:rsidP="002A0DA0">
            <w:pPr>
              <w:ind w:left="29"/>
              <w:rPr>
                <w:sz w:val="22"/>
                <w:szCs w:val="22"/>
                <w:lang w:val="nb-NO"/>
              </w:rPr>
            </w:pPr>
            <w:r w:rsidRPr="00A00190">
              <w:rPr>
                <w:sz w:val="22"/>
                <w:szCs w:val="22"/>
                <w:lang w:val="nb-NO"/>
              </w:rPr>
              <w:t>(atazanavir 400 mg som</w:t>
            </w:r>
          </w:p>
          <w:p w:rsidR="002A0DA0" w:rsidRPr="00A00190" w:rsidRDefault="002A0DA0" w:rsidP="002A0DA0">
            <w:pPr>
              <w:ind w:left="29"/>
              <w:rPr>
                <w:b/>
                <w:sz w:val="22"/>
                <w:szCs w:val="22"/>
                <w:lang w:val="nb-NO"/>
              </w:rPr>
            </w:pPr>
            <w:r w:rsidRPr="00A00190">
              <w:rPr>
                <w:sz w:val="22"/>
                <w:szCs w:val="22"/>
                <w:lang w:val="nb-NO"/>
              </w:rPr>
              <w:t>enkeltdosis)</w:t>
            </w:r>
          </w:p>
        </w:tc>
        <w:tc>
          <w:tcPr>
            <w:tcW w:w="1733"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sz w:val="22"/>
                <w:szCs w:val="22"/>
              </w:rPr>
            </w:pPr>
            <w:r w:rsidRPr="00F455F3">
              <w:rPr>
                <w:sz w:val="22"/>
                <w:szCs w:val="22"/>
              </w:rPr>
              <w:t>Atazanavir, samtidig administration af ddI+d4T (fastende)</w:t>
            </w:r>
          </w:p>
          <w:p w:rsidR="002A0DA0" w:rsidRPr="00F455F3" w:rsidRDefault="002A0DA0" w:rsidP="002A0DA0">
            <w:pPr>
              <w:ind w:left="29"/>
              <w:rPr>
                <w:sz w:val="22"/>
                <w:szCs w:val="22"/>
              </w:rPr>
            </w:pPr>
            <w:r w:rsidRPr="00F455F3">
              <w:rPr>
                <w:sz w:val="22"/>
                <w:szCs w:val="22"/>
              </w:rPr>
              <w:t>Atazanavir AUC ↓87% (↓92% ↓79%)</w:t>
            </w:r>
          </w:p>
          <w:p w:rsidR="002A0DA0" w:rsidRPr="00F455F3" w:rsidRDefault="002A0DA0" w:rsidP="002A0DA0">
            <w:pPr>
              <w:ind w:left="29"/>
              <w:rPr>
                <w:sz w:val="22"/>
                <w:szCs w:val="22"/>
              </w:rPr>
            </w:pPr>
            <w:r w:rsidRPr="00F455F3">
              <w:rPr>
                <w:sz w:val="22"/>
                <w:szCs w:val="22"/>
              </w:rPr>
              <w:t>Atazanavir C</w:t>
            </w:r>
            <w:r w:rsidRPr="00F455F3">
              <w:rPr>
                <w:sz w:val="22"/>
                <w:szCs w:val="22"/>
                <w:vertAlign w:val="subscript"/>
              </w:rPr>
              <w:t>max</w:t>
            </w:r>
            <w:r w:rsidRPr="00F455F3">
              <w:rPr>
                <w:sz w:val="22"/>
                <w:szCs w:val="22"/>
              </w:rPr>
              <w:t xml:space="preserve"> ↓89% (↓94% ↓82%)</w:t>
            </w:r>
          </w:p>
          <w:p w:rsidR="002A0DA0" w:rsidRPr="00F455F3" w:rsidRDefault="002A0DA0" w:rsidP="002A0DA0">
            <w:pPr>
              <w:ind w:left="29"/>
              <w:rPr>
                <w:sz w:val="22"/>
                <w:szCs w:val="22"/>
              </w:rPr>
            </w:pPr>
            <w:r w:rsidRPr="00F455F3">
              <w:rPr>
                <w:sz w:val="22"/>
                <w:szCs w:val="22"/>
              </w:rPr>
              <w:t>Atazanavir C</w:t>
            </w:r>
            <w:r w:rsidRPr="00F455F3">
              <w:rPr>
                <w:sz w:val="22"/>
                <w:szCs w:val="22"/>
                <w:vertAlign w:val="subscript"/>
              </w:rPr>
              <w:t>min</w:t>
            </w:r>
            <w:r w:rsidRPr="00F455F3">
              <w:rPr>
                <w:sz w:val="22"/>
                <w:szCs w:val="22"/>
              </w:rPr>
              <w:t xml:space="preserve"> ↓84% (↓90% ↓73%)</w:t>
            </w:r>
          </w:p>
          <w:p w:rsidR="002A0DA0" w:rsidRPr="00F455F3" w:rsidRDefault="002A0DA0" w:rsidP="002A0DA0">
            <w:pPr>
              <w:ind w:left="29"/>
              <w:rPr>
                <w:sz w:val="22"/>
                <w:szCs w:val="22"/>
              </w:rPr>
            </w:pPr>
          </w:p>
          <w:p w:rsidR="002A0DA0" w:rsidRPr="00F455F3" w:rsidRDefault="002A0DA0" w:rsidP="002A0DA0">
            <w:pPr>
              <w:ind w:left="29"/>
              <w:rPr>
                <w:sz w:val="22"/>
                <w:szCs w:val="22"/>
              </w:rPr>
            </w:pPr>
            <w:r w:rsidRPr="00F455F3">
              <w:rPr>
                <w:sz w:val="22"/>
                <w:szCs w:val="22"/>
              </w:rPr>
              <w:t>Atazanavir, doseret 1 time efter ddI+d4T (fastende)</w:t>
            </w:r>
          </w:p>
          <w:p w:rsidR="002A0DA0" w:rsidRPr="00F455F3" w:rsidRDefault="002A0DA0" w:rsidP="002A0DA0">
            <w:pPr>
              <w:ind w:left="29"/>
              <w:rPr>
                <w:sz w:val="22"/>
                <w:szCs w:val="22"/>
              </w:rPr>
            </w:pPr>
            <w:r w:rsidRPr="00F455F3">
              <w:rPr>
                <w:sz w:val="22"/>
                <w:szCs w:val="22"/>
              </w:rPr>
              <w:t>Atazanavir AUC ↔3% (↓36% ↑67%)</w:t>
            </w:r>
          </w:p>
          <w:p w:rsidR="002A0DA0" w:rsidRPr="00F455F3" w:rsidRDefault="002A0DA0" w:rsidP="002A0DA0">
            <w:pPr>
              <w:ind w:left="29"/>
              <w:rPr>
                <w:sz w:val="22"/>
                <w:szCs w:val="22"/>
              </w:rPr>
            </w:pPr>
            <w:r w:rsidRPr="00F455F3">
              <w:rPr>
                <w:sz w:val="22"/>
                <w:szCs w:val="22"/>
              </w:rPr>
              <w:t>Atazanavir C</w:t>
            </w:r>
            <w:r w:rsidRPr="00F455F3">
              <w:rPr>
                <w:sz w:val="22"/>
                <w:szCs w:val="22"/>
                <w:vertAlign w:val="subscript"/>
              </w:rPr>
              <w:t>max</w:t>
            </w:r>
            <w:r w:rsidRPr="00F455F3">
              <w:rPr>
                <w:sz w:val="22"/>
                <w:szCs w:val="22"/>
              </w:rPr>
              <w:t xml:space="preserve"> ↑12% (↓33% ↑18%)</w:t>
            </w:r>
          </w:p>
          <w:p w:rsidR="002A0DA0" w:rsidRPr="00F455F3" w:rsidRDefault="002A0DA0" w:rsidP="002A0DA0">
            <w:pPr>
              <w:ind w:left="29"/>
              <w:rPr>
                <w:sz w:val="22"/>
                <w:szCs w:val="22"/>
              </w:rPr>
            </w:pPr>
            <w:r w:rsidRPr="00F455F3">
              <w:rPr>
                <w:sz w:val="22"/>
                <w:szCs w:val="22"/>
              </w:rPr>
              <w:t>Atazanavir C</w:t>
            </w:r>
            <w:r w:rsidRPr="00F455F3">
              <w:rPr>
                <w:sz w:val="22"/>
                <w:szCs w:val="22"/>
                <w:vertAlign w:val="subscript"/>
              </w:rPr>
              <w:t>min</w:t>
            </w:r>
            <w:r w:rsidRPr="00F455F3">
              <w:rPr>
                <w:sz w:val="22"/>
                <w:szCs w:val="22"/>
              </w:rPr>
              <w:t xml:space="preserve"> ↔3% (↓39% ↑73%)</w:t>
            </w:r>
          </w:p>
          <w:p w:rsidR="002A0DA0" w:rsidRPr="00F455F3" w:rsidRDefault="002A0DA0" w:rsidP="002A0DA0">
            <w:pPr>
              <w:ind w:left="29"/>
              <w:rPr>
                <w:sz w:val="22"/>
                <w:szCs w:val="22"/>
              </w:rPr>
            </w:pPr>
          </w:p>
          <w:p w:rsidR="002A0DA0" w:rsidRPr="00F455F3" w:rsidRDefault="002A0DA0" w:rsidP="002A0DA0">
            <w:pPr>
              <w:ind w:left="29"/>
              <w:rPr>
                <w:sz w:val="22"/>
                <w:szCs w:val="22"/>
              </w:rPr>
            </w:pPr>
            <w:r w:rsidRPr="00F455F3">
              <w:rPr>
                <w:sz w:val="22"/>
                <w:szCs w:val="22"/>
              </w:rPr>
              <w:t>Atazanavir-koncentrationen faldt betydeligt ved samtidig administration af didanosin (tabletter med buffer) og</w:t>
            </w:r>
            <w:r>
              <w:rPr>
                <w:sz w:val="22"/>
                <w:szCs w:val="22"/>
              </w:rPr>
              <w:t xml:space="preserve"> </w:t>
            </w:r>
            <w:r w:rsidRPr="00F455F3">
              <w:rPr>
                <w:sz w:val="22"/>
                <w:szCs w:val="22"/>
              </w:rPr>
              <w:t>stavudin. Interaktionsmekanismen er</w:t>
            </w:r>
            <w:r>
              <w:rPr>
                <w:sz w:val="22"/>
                <w:szCs w:val="22"/>
              </w:rPr>
              <w:t xml:space="preserve"> </w:t>
            </w:r>
            <w:r w:rsidRPr="00F455F3">
              <w:rPr>
                <w:sz w:val="22"/>
                <w:szCs w:val="22"/>
              </w:rPr>
              <w:t>nedsat opløselighed af atazanavir pga. en stigning i pH, der skyldes det syrehæmmende middel i didanosintabletterne med buffer.</w:t>
            </w:r>
          </w:p>
          <w:p w:rsidR="002A0DA0" w:rsidRPr="00F455F3" w:rsidRDefault="002A0DA0" w:rsidP="002A0DA0">
            <w:pPr>
              <w:ind w:left="29"/>
              <w:rPr>
                <w:sz w:val="22"/>
                <w:szCs w:val="22"/>
              </w:rPr>
            </w:pPr>
            <w:r w:rsidRPr="00F455F3">
              <w:rPr>
                <w:sz w:val="22"/>
                <w:szCs w:val="22"/>
              </w:rPr>
              <w:t>Der er ikke set signifikant påvirkning af didanosin- og</w:t>
            </w:r>
            <w:r>
              <w:rPr>
                <w:sz w:val="22"/>
                <w:szCs w:val="22"/>
              </w:rPr>
              <w:t xml:space="preserve"> </w:t>
            </w:r>
            <w:r w:rsidRPr="00F455F3">
              <w:rPr>
                <w:sz w:val="22"/>
                <w:szCs w:val="22"/>
              </w:rPr>
              <w:t>stavudinkoncentrationerne.</w:t>
            </w:r>
          </w:p>
        </w:tc>
        <w:tc>
          <w:tcPr>
            <w:tcW w:w="1701"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Didanosin skal tages fastende, 2</w:t>
            </w:r>
            <w:r>
              <w:rPr>
                <w:sz w:val="22"/>
                <w:szCs w:val="22"/>
              </w:rPr>
              <w:t xml:space="preserve"> </w:t>
            </w:r>
            <w:r w:rsidRPr="00F455F3">
              <w:rPr>
                <w:sz w:val="22"/>
                <w:szCs w:val="22"/>
              </w:rPr>
              <w:t>timer efter indtagelse af</w:t>
            </w:r>
            <w:r>
              <w:rPr>
                <w:sz w:val="22"/>
                <w:szCs w:val="22"/>
              </w:rPr>
              <w:t xml:space="preserve"> Atazanavir "Stada"</w:t>
            </w:r>
            <w:r w:rsidRPr="00F455F3">
              <w:rPr>
                <w:sz w:val="22"/>
                <w:szCs w:val="22"/>
              </w:rPr>
              <w:t>, taget til et måltid.</w:t>
            </w:r>
          </w:p>
          <w:p w:rsidR="002A0DA0" w:rsidRPr="00F455F3" w:rsidRDefault="002A0DA0" w:rsidP="002A0DA0">
            <w:pPr>
              <w:ind w:left="29"/>
              <w:rPr>
                <w:sz w:val="22"/>
                <w:szCs w:val="22"/>
              </w:rPr>
            </w:pPr>
            <w:r w:rsidRPr="00F455F3">
              <w:rPr>
                <w:sz w:val="22"/>
                <w:szCs w:val="22"/>
              </w:rPr>
              <w:t>Samtidig administration af</w:t>
            </w:r>
            <w:r>
              <w:rPr>
                <w:sz w:val="22"/>
                <w:szCs w:val="22"/>
              </w:rPr>
              <w:t xml:space="preserve"> </w:t>
            </w:r>
            <w:r w:rsidRPr="00F455F3">
              <w:rPr>
                <w:sz w:val="22"/>
                <w:szCs w:val="22"/>
              </w:rPr>
              <w:t xml:space="preserve">stavudin og </w:t>
            </w:r>
            <w:r>
              <w:rPr>
                <w:sz w:val="22"/>
                <w:szCs w:val="22"/>
              </w:rPr>
              <w:t xml:space="preserve">atazanavir </w:t>
            </w:r>
            <w:r w:rsidRPr="00F455F3">
              <w:rPr>
                <w:sz w:val="22"/>
                <w:szCs w:val="22"/>
              </w:rPr>
              <w:t>forventes ikke at påvirke</w:t>
            </w:r>
            <w:r>
              <w:rPr>
                <w:sz w:val="22"/>
                <w:szCs w:val="22"/>
              </w:rPr>
              <w:t xml:space="preserve"> </w:t>
            </w:r>
            <w:r w:rsidRPr="00F455F3">
              <w:rPr>
                <w:sz w:val="22"/>
                <w:szCs w:val="22"/>
              </w:rPr>
              <w:t>stavudineksponeringen</w:t>
            </w:r>
            <w:r>
              <w:rPr>
                <w:sz w:val="22"/>
                <w:szCs w:val="22"/>
              </w:rPr>
              <w:t xml:space="preserve"> </w:t>
            </w:r>
            <w:r w:rsidRPr="00F455F3">
              <w:rPr>
                <w:sz w:val="22"/>
                <w:szCs w:val="22"/>
              </w:rPr>
              <w:t>signifikant.</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Didanosin (enterokapsler)</w:t>
            </w:r>
          </w:p>
          <w:p w:rsidR="002A0DA0" w:rsidRPr="00F455F3" w:rsidRDefault="002A0DA0" w:rsidP="002A0DA0">
            <w:pPr>
              <w:ind w:left="29"/>
              <w:rPr>
                <w:b/>
                <w:sz w:val="22"/>
                <w:szCs w:val="22"/>
              </w:rPr>
            </w:pPr>
            <w:r w:rsidRPr="00F455F3">
              <w:rPr>
                <w:b/>
                <w:sz w:val="22"/>
                <w:szCs w:val="22"/>
              </w:rPr>
              <w:t>400 mg enkeltdosis</w:t>
            </w:r>
          </w:p>
          <w:p w:rsidR="002A0DA0" w:rsidRPr="00F455F3" w:rsidRDefault="002A0DA0" w:rsidP="002A0DA0">
            <w:pPr>
              <w:ind w:left="29"/>
              <w:rPr>
                <w:b/>
                <w:sz w:val="22"/>
                <w:szCs w:val="22"/>
              </w:rPr>
            </w:pPr>
            <w:r w:rsidRPr="00F455F3">
              <w:rPr>
                <w:sz w:val="22"/>
                <w:szCs w:val="22"/>
              </w:rPr>
              <w:t>(atazanavir 300 mg 1 gang dagligt med ritonavir 100 mg 1</w:t>
            </w:r>
            <w:r>
              <w:rPr>
                <w:sz w:val="22"/>
                <w:szCs w:val="22"/>
              </w:rPr>
              <w:t xml:space="preserve"> </w:t>
            </w:r>
            <w:r w:rsidRPr="00F455F3">
              <w:rPr>
                <w:sz w:val="22"/>
                <w:szCs w:val="22"/>
              </w:rPr>
              <w:t>gang dagligt</w:t>
            </w:r>
            <w:r w:rsidRPr="00F455F3">
              <w:rPr>
                <w:b/>
                <w:sz w:val="22"/>
                <w:szCs w:val="22"/>
              </w:rPr>
              <w:t>)</w:t>
            </w:r>
          </w:p>
        </w:tc>
        <w:tc>
          <w:tcPr>
            <w:tcW w:w="1733" w:type="pct"/>
            <w:tcBorders>
              <w:top w:val="single" w:sz="4" w:space="0" w:color="auto"/>
              <w:left w:val="single" w:sz="4" w:space="0" w:color="auto"/>
              <w:bottom w:val="single" w:sz="4" w:space="0" w:color="auto"/>
              <w:right w:val="single" w:sz="4" w:space="0" w:color="auto"/>
            </w:tcBorders>
          </w:tcPr>
          <w:p w:rsidR="002A0DA0" w:rsidRPr="002A0DA0" w:rsidRDefault="002A0DA0" w:rsidP="002A0DA0">
            <w:pPr>
              <w:ind w:left="29"/>
              <w:rPr>
                <w:sz w:val="22"/>
                <w:szCs w:val="22"/>
                <w:lang w:val="en-US"/>
              </w:rPr>
            </w:pPr>
            <w:r w:rsidRPr="002A0DA0">
              <w:rPr>
                <w:sz w:val="22"/>
                <w:szCs w:val="22"/>
                <w:lang w:val="en-US"/>
              </w:rPr>
              <w:t>Didanosin (med mad)</w:t>
            </w:r>
          </w:p>
          <w:p w:rsidR="002A0DA0" w:rsidRPr="002A0DA0" w:rsidRDefault="002A0DA0" w:rsidP="002A0DA0">
            <w:pPr>
              <w:ind w:left="29"/>
              <w:rPr>
                <w:sz w:val="22"/>
                <w:szCs w:val="22"/>
                <w:lang w:val="en-US"/>
              </w:rPr>
            </w:pPr>
            <w:r w:rsidRPr="002A0DA0">
              <w:rPr>
                <w:sz w:val="22"/>
                <w:szCs w:val="22"/>
                <w:lang w:val="en-US"/>
              </w:rPr>
              <w:t>Didanosin AUC ↓34% (↓41% ↓27%)</w:t>
            </w:r>
          </w:p>
          <w:p w:rsidR="002A0DA0" w:rsidRPr="002A0DA0" w:rsidRDefault="002A0DA0" w:rsidP="002A0DA0">
            <w:pPr>
              <w:ind w:left="29"/>
              <w:rPr>
                <w:sz w:val="22"/>
                <w:szCs w:val="22"/>
                <w:lang w:val="en-US"/>
              </w:rPr>
            </w:pPr>
            <w:r w:rsidRPr="002A0DA0">
              <w:rPr>
                <w:sz w:val="22"/>
                <w:szCs w:val="22"/>
                <w:lang w:val="en-US"/>
              </w:rPr>
              <w:t>Didanosin C</w:t>
            </w:r>
            <w:r w:rsidRPr="002A0DA0">
              <w:rPr>
                <w:sz w:val="22"/>
                <w:szCs w:val="22"/>
                <w:vertAlign w:val="subscript"/>
                <w:lang w:val="en-US"/>
              </w:rPr>
              <w:t>max</w:t>
            </w:r>
            <w:r w:rsidRPr="002A0DA0">
              <w:rPr>
                <w:sz w:val="22"/>
                <w:szCs w:val="22"/>
                <w:lang w:val="en-US"/>
              </w:rPr>
              <w:t xml:space="preserve"> ↓38% (↓48% ↓26%)</w:t>
            </w:r>
          </w:p>
          <w:p w:rsidR="002A0DA0" w:rsidRPr="00F455F3" w:rsidRDefault="002A0DA0" w:rsidP="002A0DA0">
            <w:pPr>
              <w:ind w:left="29"/>
              <w:rPr>
                <w:sz w:val="22"/>
                <w:szCs w:val="22"/>
              </w:rPr>
            </w:pPr>
            <w:r w:rsidRPr="00F455F3">
              <w:rPr>
                <w:sz w:val="22"/>
                <w:szCs w:val="22"/>
              </w:rPr>
              <w:t>Didanosin C</w:t>
            </w:r>
            <w:r w:rsidRPr="00F455F3">
              <w:rPr>
                <w:sz w:val="22"/>
                <w:szCs w:val="22"/>
                <w:vertAlign w:val="subscript"/>
              </w:rPr>
              <w:t>min</w:t>
            </w:r>
            <w:r w:rsidRPr="00F455F3">
              <w:rPr>
                <w:sz w:val="22"/>
                <w:szCs w:val="22"/>
              </w:rPr>
              <w:t xml:space="preserve"> ↑25% (↓8% ↑69%)</w:t>
            </w:r>
          </w:p>
          <w:p w:rsidR="002A0DA0" w:rsidRPr="00F455F3" w:rsidRDefault="002A0DA0" w:rsidP="002A0DA0">
            <w:pPr>
              <w:ind w:left="29"/>
              <w:rPr>
                <w:sz w:val="22"/>
                <w:szCs w:val="22"/>
              </w:rPr>
            </w:pPr>
          </w:p>
          <w:p w:rsidR="002A0DA0" w:rsidRPr="00F455F3" w:rsidRDefault="002A0DA0" w:rsidP="002A0DA0">
            <w:pPr>
              <w:ind w:left="29"/>
              <w:rPr>
                <w:sz w:val="22"/>
                <w:szCs w:val="22"/>
              </w:rPr>
            </w:pPr>
            <w:r w:rsidRPr="00F455F3">
              <w:rPr>
                <w:sz w:val="22"/>
                <w:szCs w:val="22"/>
              </w:rPr>
              <w:t xml:space="preserve">Der er ikke set signifikant effekt på atazanavir-koncentrationen ved samtidig administration af enteroovertrukken didanosin, men administration sammen med mad </w:t>
            </w:r>
            <w:r w:rsidRPr="00F455F3">
              <w:rPr>
                <w:sz w:val="22"/>
                <w:szCs w:val="22"/>
              </w:rPr>
              <w:lastRenderedPageBreak/>
              <w:t>reducerer didanosin-koncentrationen.</w:t>
            </w:r>
          </w:p>
        </w:tc>
        <w:tc>
          <w:tcPr>
            <w:tcW w:w="1701"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sz w:val="22"/>
                <w:szCs w:val="22"/>
              </w:rPr>
            </w:pPr>
          </w:p>
        </w:tc>
      </w:tr>
      <w:tr w:rsidR="002A0DA0" w:rsidTr="002A0DA0">
        <w:tc>
          <w:tcPr>
            <w:tcW w:w="1566"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b/>
                <w:sz w:val="22"/>
                <w:szCs w:val="22"/>
              </w:rPr>
            </w:pPr>
            <w:r w:rsidRPr="00F455F3">
              <w:rPr>
                <w:b/>
                <w:sz w:val="22"/>
                <w:szCs w:val="22"/>
              </w:rPr>
              <w:t>Tenofovirdisoproxil</w:t>
            </w:r>
            <w:r>
              <w:rPr>
                <w:b/>
                <w:sz w:val="22"/>
                <w:szCs w:val="22"/>
              </w:rPr>
              <w:t xml:space="preserve">fumarate </w:t>
            </w:r>
            <w:r w:rsidR="00AE279C">
              <w:rPr>
                <w:b/>
                <w:sz w:val="22"/>
                <w:szCs w:val="22"/>
              </w:rPr>
              <w:t xml:space="preserve">300 </w:t>
            </w:r>
            <w:r w:rsidR="00AE279C" w:rsidRPr="00F455F3">
              <w:rPr>
                <w:b/>
                <w:sz w:val="22"/>
                <w:szCs w:val="22"/>
              </w:rPr>
              <w:t>mg</w:t>
            </w:r>
            <w:r w:rsidRPr="00F455F3">
              <w:rPr>
                <w:b/>
                <w:sz w:val="22"/>
                <w:szCs w:val="22"/>
              </w:rPr>
              <w:t xml:space="preserve"> 1 gang dagligt</w:t>
            </w:r>
          </w:p>
          <w:p w:rsidR="002A0DA0" w:rsidRDefault="002A0DA0" w:rsidP="002A0DA0">
            <w:pPr>
              <w:ind w:left="29"/>
              <w:rPr>
                <w:sz w:val="22"/>
                <w:szCs w:val="22"/>
              </w:rPr>
            </w:pPr>
            <w:r w:rsidRPr="00F455F3">
              <w:rPr>
                <w:sz w:val="22"/>
                <w:szCs w:val="22"/>
              </w:rPr>
              <w:t>(atazanavir 300 mg 1 gang</w:t>
            </w:r>
            <w:r>
              <w:rPr>
                <w:sz w:val="22"/>
                <w:szCs w:val="22"/>
              </w:rPr>
              <w:t xml:space="preserve"> </w:t>
            </w:r>
            <w:r w:rsidRPr="00F455F3">
              <w:rPr>
                <w:sz w:val="22"/>
                <w:szCs w:val="22"/>
              </w:rPr>
              <w:t>dagligt med ritonavir 100 mg 1</w:t>
            </w:r>
            <w:r>
              <w:rPr>
                <w:sz w:val="22"/>
                <w:szCs w:val="22"/>
              </w:rPr>
              <w:t xml:space="preserve"> </w:t>
            </w:r>
            <w:r w:rsidRPr="00F455F3">
              <w:rPr>
                <w:sz w:val="22"/>
                <w:szCs w:val="22"/>
              </w:rPr>
              <w:t>gang dagligt)</w:t>
            </w:r>
          </w:p>
          <w:p w:rsidR="002A0DA0" w:rsidRDefault="002A0DA0" w:rsidP="002A0DA0">
            <w:pPr>
              <w:ind w:left="29"/>
              <w:rPr>
                <w:sz w:val="22"/>
                <w:szCs w:val="22"/>
              </w:rPr>
            </w:pPr>
          </w:p>
          <w:p w:rsidR="002A0DA0" w:rsidRPr="00F455F3" w:rsidRDefault="002A0DA0" w:rsidP="002A0DA0">
            <w:pPr>
              <w:ind w:left="29"/>
              <w:rPr>
                <w:sz w:val="22"/>
                <w:szCs w:val="22"/>
              </w:rPr>
            </w:pPr>
            <w:r w:rsidRPr="00B4410D">
              <w:rPr>
                <w:sz w:val="22"/>
                <w:szCs w:val="22"/>
              </w:rPr>
              <w:t>300 mg tenofovirdisoproxilfumarat er ækvivalent med 245 mg tenofovirdisoproxil.</w:t>
            </w:r>
          </w:p>
          <w:p w:rsidR="002A0DA0" w:rsidRPr="00F455F3" w:rsidRDefault="002A0DA0" w:rsidP="002A0DA0">
            <w:pPr>
              <w:ind w:left="29"/>
              <w:rPr>
                <w:sz w:val="22"/>
                <w:szCs w:val="22"/>
              </w:rPr>
            </w:pPr>
          </w:p>
          <w:p w:rsidR="002A0DA0" w:rsidRPr="00F455F3" w:rsidRDefault="002A0DA0" w:rsidP="002A0DA0">
            <w:pPr>
              <w:ind w:left="29"/>
              <w:rPr>
                <w:b/>
                <w:sz w:val="22"/>
                <w:szCs w:val="22"/>
              </w:rPr>
            </w:pPr>
            <w:r w:rsidRPr="00F455F3">
              <w:rPr>
                <w:sz w:val="22"/>
                <w:szCs w:val="22"/>
              </w:rPr>
              <w:t>Studier udført med HIV-inficerede patienter.</w:t>
            </w:r>
          </w:p>
        </w:tc>
        <w:tc>
          <w:tcPr>
            <w:tcW w:w="1733"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sz w:val="22"/>
                <w:szCs w:val="22"/>
              </w:rPr>
            </w:pPr>
            <w:r w:rsidRPr="00F455F3">
              <w:rPr>
                <w:sz w:val="22"/>
                <w:szCs w:val="22"/>
              </w:rPr>
              <w:t>Atazanavir AUC ↓22% (↓35% ↓6%) *</w:t>
            </w:r>
          </w:p>
          <w:p w:rsidR="002A0DA0" w:rsidRPr="00F455F3" w:rsidRDefault="002A0DA0" w:rsidP="002A0DA0">
            <w:pPr>
              <w:ind w:left="29"/>
              <w:rPr>
                <w:sz w:val="22"/>
                <w:szCs w:val="22"/>
              </w:rPr>
            </w:pPr>
            <w:r w:rsidRPr="00F455F3">
              <w:rPr>
                <w:sz w:val="22"/>
                <w:szCs w:val="22"/>
              </w:rPr>
              <w:t>Atazanavir C</w:t>
            </w:r>
            <w:r w:rsidRPr="00F455F3">
              <w:rPr>
                <w:sz w:val="22"/>
                <w:szCs w:val="22"/>
                <w:vertAlign w:val="subscript"/>
              </w:rPr>
              <w:t>max</w:t>
            </w:r>
            <w:r w:rsidRPr="00F455F3">
              <w:rPr>
                <w:sz w:val="22"/>
                <w:szCs w:val="22"/>
              </w:rPr>
              <w:t xml:space="preserve"> ↓16% (↓30% ↔0%) *</w:t>
            </w:r>
          </w:p>
          <w:p w:rsidR="002A0DA0" w:rsidRPr="00F455F3" w:rsidRDefault="002A0DA0" w:rsidP="002A0DA0">
            <w:pPr>
              <w:ind w:left="29"/>
              <w:rPr>
                <w:sz w:val="22"/>
                <w:szCs w:val="22"/>
              </w:rPr>
            </w:pPr>
            <w:r w:rsidRPr="00F455F3">
              <w:rPr>
                <w:sz w:val="22"/>
                <w:szCs w:val="22"/>
              </w:rPr>
              <w:t>Atazanavir C</w:t>
            </w:r>
            <w:r w:rsidRPr="00F455F3">
              <w:rPr>
                <w:sz w:val="22"/>
                <w:szCs w:val="22"/>
                <w:vertAlign w:val="subscript"/>
              </w:rPr>
              <w:t>min</w:t>
            </w:r>
            <w:r w:rsidRPr="00F455F3">
              <w:rPr>
                <w:sz w:val="22"/>
                <w:szCs w:val="22"/>
              </w:rPr>
              <w:t xml:space="preserve"> ↓23% (↓43% ↑2%) *</w:t>
            </w:r>
          </w:p>
          <w:p w:rsidR="002A0DA0" w:rsidRPr="00F455F3" w:rsidRDefault="002A0DA0" w:rsidP="002A0DA0">
            <w:pPr>
              <w:ind w:left="29"/>
              <w:rPr>
                <w:sz w:val="22"/>
                <w:szCs w:val="22"/>
              </w:rPr>
            </w:pPr>
          </w:p>
          <w:p w:rsidR="002A0DA0" w:rsidRPr="00F455F3" w:rsidRDefault="002A0DA0" w:rsidP="002A0DA0">
            <w:pPr>
              <w:ind w:left="29"/>
              <w:rPr>
                <w:sz w:val="22"/>
                <w:szCs w:val="22"/>
              </w:rPr>
            </w:pPr>
            <w:r w:rsidRPr="00F455F3">
              <w:rPr>
                <w:sz w:val="22"/>
                <w:szCs w:val="22"/>
              </w:rPr>
              <w:t>* I en kombineret analyse af flere kliniske studier, hvor samtidig administration af atazanavir/ritonavir 300/100 mg og tenofovirdisoproxil</w:t>
            </w:r>
            <w:r>
              <w:rPr>
                <w:sz w:val="22"/>
                <w:szCs w:val="22"/>
              </w:rPr>
              <w:t>fumarate</w:t>
            </w:r>
            <w:r w:rsidRPr="00F455F3">
              <w:rPr>
                <w:sz w:val="22"/>
                <w:szCs w:val="22"/>
              </w:rPr>
              <w:t xml:space="preserve"> </w:t>
            </w:r>
            <w:r>
              <w:rPr>
                <w:sz w:val="22"/>
                <w:szCs w:val="22"/>
              </w:rPr>
              <w:t>300</w:t>
            </w:r>
            <w:r w:rsidRPr="00F455F3">
              <w:rPr>
                <w:sz w:val="22"/>
                <w:szCs w:val="22"/>
              </w:rPr>
              <w:t xml:space="preserve"> mg (n=39) blev sammenlignet med atazanavir/ritonavir 300/100 mg (n=33).</w:t>
            </w:r>
          </w:p>
          <w:p w:rsidR="002A0DA0" w:rsidRPr="00F455F3" w:rsidRDefault="002A0DA0" w:rsidP="002A0DA0">
            <w:pPr>
              <w:ind w:left="29"/>
              <w:rPr>
                <w:sz w:val="22"/>
                <w:szCs w:val="22"/>
              </w:rPr>
            </w:pPr>
          </w:p>
          <w:p w:rsidR="002A0DA0" w:rsidRPr="00F455F3" w:rsidRDefault="002A0DA0" w:rsidP="002A0DA0">
            <w:pPr>
              <w:ind w:left="29"/>
              <w:rPr>
                <w:sz w:val="22"/>
                <w:szCs w:val="22"/>
              </w:rPr>
            </w:pPr>
            <w:r w:rsidRPr="00F455F3">
              <w:rPr>
                <w:sz w:val="22"/>
                <w:szCs w:val="22"/>
              </w:rPr>
              <w:t>Der er vist effekt af atazanavir/ritonavir i kombination med tenofovirdisoproxil</w:t>
            </w:r>
            <w:r>
              <w:rPr>
                <w:sz w:val="22"/>
                <w:szCs w:val="22"/>
              </w:rPr>
              <w:t>fumarat</w:t>
            </w:r>
            <w:r w:rsidRPr="00F455F3">
              <w:rPr>
                <w:sz w:val="22"/>
                <w:szCs w:val="22"/>
              </w:rPr>
              <w:t xml:space="preserve"> hos behandlingserfarne patienter i det kliniske studie 045 og hos behandlingsnaive patienter i det kliniske studie 138 (se pkt. 4.8 og 5.1).</w:t>
            </w:r>
          </w:p>
          <w:p w:rsidR="002A0DA0" w:rsidRPr="00F455F3" w:rsidRDefault="002A0DA0" w:rsidP="002A0DA0">
            <w:pPr>
              <w:ind w:left="29"/>
              <w:rPr>
                <w:sz w:val="22"/>
                <w:szCs w:val="22"/>
              </w:rPr>
            </w:pPr>
            <w:r w:rsidRPr="00F455F3">
              <w:rPr>
                <w:sz w:val="22"/>
                <w:szCs w:val="22"/>
              </w:rPr>
              <w:t>Interaktionsmekanismen mellem atazanavir og tenofovirdisoproxil</w:t>
            </w:r>
            <w:r>
              <w:rPr>
                <w:sz w:val="22"/>
                <w:szCs w:val="22"/>
              </w:rPr>
              <w:t xml:space="preserve"> fumarat</w:t>
            </w:r>
            <w:r w:rsidRPr="00F455F3">
              <w:rPr>
                <w:sz w:val="22"/>
                <w:szCs w:val="22"/>
              </w:rPr>
              <w:t xml:space="preserve"> er ukendt.</w:t>
            </w:r>
          </w:p>
        </w:tc>
        <w:tc>
          <w:tcPr>
            <w:tcW w:w="1701"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Ved administration sammen</w:t>
            </w:r>
            <w:r>
              <w:rPr>
                <w:sz w:val="22"/>
                <w:szCs w:val="22"/>
              </w:rPr>
              <w:t xml:space="preserve"> </w:t>
            </w:r>
            <w:r w:rsidRPr="00F455F3">
              <w:rPr>
                <w:sz w:val="22"/>
                <w:szCs w:val="22"/>
              </w:rPr>
              <w:t>med tenofovirdisoproxil</w:t>
            </w:r>
            <w:r>
              <w:rPr>
                <w:sz w:val="22"/>
                <w:szCs w:val="22"/>
              </w:rPr>
              <w:t xml:space="preserve">fumarat </w:t>
            </w:r>
            <w:r w:rsidRPr="00F455F3">
              <w:rPr>
                <w:sz w:val="22"/>
                <w:szCs w:val="22"/>
              </w:rPr>
              <w:t xml:space="preserve">anbefales det at give </w:t>
            </w:r>
            <w:r>
              <w:rPr>
                <w:sz w:val="22"/>
                <w:szCs w:val="22"/>
              </w:rPr>
              <w:t xml:space="preserve">atazanavir </w:t>
            </w:r>
            <w:r w:rsidRPr="00F455F3">
              <w:rPr>
                <w:sz w:val="22"/>
                <w:szCs w:val="22"/>
              </w:rPr>
              <w:t>300 mg med ritonavir 100 mg</w:t>
            </w:r>
            <w:r>
              <w:rPr>
                <w:sz w:val="22"/>
                <w:szCs w:val="22"/>
              </w:rPr>
              <w:t xml:space="preserve"> </w:t>
            </w:r>
            <w:r w:rsidRPr="00F455F3">
              <w:rPr>
                <w:sz w:val="22"/>
                <w:szCs w:val="22"/>
              </w:rPr>
              <w:t>og tenofovirdisoproxil 245 mg (alle som en enkeltdosis sammen med mad).</w:t>
            </w:r>
          </w:p>
        </w:tc>
      </w:tr>
      <w:tr w:rsidR="002A0DA0" w:rsidTr="002A0DA0">
        <w:tc>
          <w:tcPr>
            <w:tcW w:w="1566"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b/>
                <w:sz w:val="22"/>
                <w:szCs w:val="22"/>
              </w:rPr>
            </w:pPr>
            <w:r w:rsidRPr="00F455F3">
              <w:rPr>
                <w:b/>
                <w:sz w:val="22"/>
                <w:szCs w:val="22"/>
              </w:rPr>
              <w:t>Tenofovirdisoproxil</w:t>
            </w:r>
            <w:r>
              <w:rPr>
                <w:b/>
                <w:sz w:val="22"/>
                <w:szCs w:val="22"/>
              </w:rPr>
              <w:t>fumarat 300</w:t>
            </w:r>
            <w:r w:rsidRPr="00F455F3">
              <w:rPr>
                <w:b/>
                <w:sz w:val="22"/>
                <w:szCs w:val="22"/>
              </w:rPr>
              <w:t xml:space="preserve"> mg 1 gang dagligt</w:t>
            </w:r>
          </w:p>
          <w:p w:rsidR="002A0DA0" w:rsidRDefault="002A0DA0" w:rsidP="002A0DA0">
            <w:pPr>
              <w:ind w:left="29"/>
              <w:rPr>
                <w:sz w:val="22"/>
                <w:szCs w:val="22"/>
              </w:rPr>
            </w:pPr>
            <w:r w:rsidRPr="00F455F3">
              <w:rPr>
                <w:sz w:val="22"/>
                <w:szCs w:val="22"/>
              </w:rPr>
              <w:t>(atazanavir 300 mg 1 gang dagligt med ritonavir 100 mg 1 gang dagligt)</w:t>
            </w:r>
          </w:p>
          <w:p w:rsidR="002A0DA0" w:rsidRDefault="002A0DA0" w:rsidP="002A0DA0">
            <w:pPr>
              <w:ind w:left="29"/>
              <w:rPr>
                <w:sz w:val="22"/>
                <w:szCs w:val="22"/>
              </w:rPr>
            </w:pPr>
          </w:p>
          <w:p w:rsidR="002A0DA0" w:rsidRPr="00F455F3" w:rsidRDefault="002A0DA0" w:rsidP="002A0DA0">
            <w:pPr>
              <w:ind w:left="29"/>
              <w:rPr>
                <w:sz w:val="22"/>
                <w:szCs w:val="22"/>
              </w:rPr>
            </w:pPr>
            <w:r w:rsidRPr="00B4410D">
              <w:rPr>
                <w:sz w:val="22"/>
                <w:szCs w:val="22"/>
              </w:rPr>
              <w:t>300 mg tenofovirdisoproxilfumarat er ækvivalent med 245 mg tenofovirdisoproxil.</w:t>
            </w:r>
          </w:p>
          <w:p w:rsidR="002A0DA0" w:rsidRPr="00F455F3" w:rsidRDefault="002A0DA0" w:rsidP="002A0DA0">
            <w:pPr>
              <w:rPr>
                <w:sz w:val="22"/>
                <w:szCs w:val="22"/>
              </w:rPr>
            </w:pPr>
          </w:p>
          <w:p w:rsidR="002A0DA0" w:rsidRPr="00F455F3" w:rsidRDefault="002A0DA0" w:rsidP="002A0DA0">
            <w:pPr>
              <w:ind w:left="29"/>
              <w:rPr>
                <w:b/>
                <w:sz w:val="22"/>
                <w:szCs w:val="22"/>
              </w:rPr>
            </w:pP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Tenofovirdisoproxil</w:t>
            </w:r>
            <w:r>
              <w:rPr>
                <w:sz w:val="22"/>
                <w:szCs w:val="22"/>
              </w:rPr>
              <w:t>fumarat</w:t>
            </w:r>
            <w:r w:rsidRPr="00F455F3">
              <w:rPr>
                <w:sz w:val="22"/>
                <w:szCs w:val="22"/>
              </w:rPr>
              <w:t xml:space="preserve"> AUC</w:t>
            </w:r>
          </w:p>
          <w:p w:rsidR="002A0DA0" w:rsidRPr="00F455F3" w:rsidRDefault="002A0DA0" w:rsidP="002A0DA0">
            <w:pPr>
              <w:ind w:left="29"/>
              <w:rPr>
                <w:sz w:val="22"/>
                <w:szCs w:val="22"/>
              </w:rPr>
            </w:pPr>
            <w:r w:rsidRPr="00F455F3">
              <w:rPr>
                <w:sz w:val="22"/>
                <w:szCs w:val="22"/>
              </w:rPr>
              <w:t>↑37% (↑30% ↑45%)</w:t>
            </w:r>
          </w:p>
          <w:p w:rsidR="002A0DA0" w:rsidRPr="00F455F3" w:rsidRDefault="002A0DA0" w:rsidP="002A0DA0">
            <w:pPr>
              <w:ind w:left="29"/>
              <w:rPr>
                <w:sz w:val="22"/>
                <w:szCs w:val="22"/>
              </w:rPr>
            </w:pPr>
            <w:r w:rsidRPr="00F455F3">
              <w:rPr>
                <w:sz w:val="22"/>
                <w:szCs w:val="22"/>
              </w:rPr>
              <w:t>Tenofovirdisoproxil</w:t>
            </w:r>
            <w:r>
              <w:rPr>
                <w:sz w:val="22"/>
                <w:szCs w:val="22"/>
              </w:rPr>
              <w:t xml:space="preserve">fumarat </w:t>
            </w:r>
            <w:r w:rsidRPr="00F455F3">
              <w:rPr>
                <w:sz w:val="22"/>
                <w:szCs w:val="22"/>
              </w:rPr>
              <w:t>C</w:t>
            </w:r>
            <w:r w:rsidRPr="00F455F3">
              <w:rPr>
                <w:sz w:val="22"/>
                <w:szCs w:val="22"/>
                <w:vertAlign w:val="subscript"/>
              </w:rPr>
              <w:t xml:space="preserve">max </w:t>
            </w:r>
            <w:r w:rsidRPr="00F455F3">
              <w:rPr>
                <w:sz w:val="22"/>
                <w:szCs w:val="22"/>
              </w:rPr>
              <w:t>↑34% (↑20% ↑51%)</w:t>
            </w:r>
          </w:p>
          <w:p w:rsidR="002A0DA0" w:rsidRPr="00F455F3" w:rsidRDefault="002A0DA0" w:rsidP="002A0DA0">
            <w:pPr>
              <w:ind w:left="29"/>
              <w:rPr>
                <w:sz w:val="22"/>
                <w:szCs w:val="22"/>
              </w:rPr>
            </w:pPr>
            <w:r w:rsidRPr="00F455F3">
              <w:rPr>
                <w:sz w:val="22"/>
                <w:szCs w:val="22"/>
              </w:rPr>
              <w:t>Tenofovirdisoproxil</w:t>
            </w:r>
            <w:r>
              <w:rPr>
                <w:sz w:val="22"/>
                <w:szCs w:val="22"/>
              </w:rPr>
              <w:t xml:space="preserve">fumarat </w:t>
            </w:r>
            <w:r w:rsidRPr="00F455F3">
              <w:rPr>
                <w:sz w:val="22"/>
                <w:szCs w:val="22"/>
              </w:rPr>
              <w:t>C</w:t>
            </w:r>
            <w:r w:rsidRPr="00F455F3">
              <w:rPr>
                <w:sz w:val="22"/>
                <w:szCs w:val="22"/>
                <w:vertAlign w:val="subscript"/>
              </w:rPr>
              <w:t>min</w:t>
            </w:r>
            <w:r w:rsidRPr="00F455F3">
              <w:rPr>
                <w:sz w:val="22"/>
                <w:szCs w:val="22"/>
              </w:rPr>
              <w:t xml:space="preserve"> ↑29% (↑21% ↑36%)</w:t>
            </w:r>
          </w:p>
        </w:tc>
        <w:tc>
          <w:tcPr>
            <w:tcW w:w="1701"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Patienterne skal monitoreres tæt for tenofovirdisoproxil</w:t>
            </w:r>
            <w:r>
              <w:rPr>
                <w:sz w:val="22"/>
                <w:szCs w:val="22"/>
              </w:rPr>
              <w:t>fumarat</w:t>
            </w:r>
            <w:r w:rsidRPr="00F455F3">
              <w:rPr>
                <w:sz w:val="22"/>
                <w:szCs w:val="22"/>
              </w:rPr>
              <w:t>-relaterede bivirkninger, inklusive</w:t>
            </w:r>
            <w:r>
              <w:rPr>
                <w:sz w:val="22"/>
                <w:szCs w:val="22"/>
              </w:rPr>
              <w:t xml:space="preserve"> </w:t>
            </w:r>
            <w:r w:rsidRPr="00F455F3">
              <w:rPr>
                <w:sz w:val="22"/>
                <w:szCs w:val="22"/>
              </w:rPr>
              <w:t>nyrefunktions</w:t>
            </w:r>
            <w:r>
              <w:rPr>
                <w:sz w:val="22"/>
                <w:szCs w:val="22"/>
              </w:rPr>
              <w:softHyphen/>
            </w:r>
            <w:r w:rsidRPr="00F455F3">
              <w:rPr>
                <w:sz w:val="22"/>
                <w:szCs w:val="22"/>
              </w:rPr>
              <w:t>påvirkning.</w:t>
            </w: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i/>
                <w:sz w:val="22"/>
                <w:szCs w:val="22"/>
              </w:rPr>
            </w:pPr>
            <w:r w:rsidRPr="00F455F3">
              <w:rPr>
                <w:i/>
                <w:sz w:val="22"/>
                <w:szCs w:val="22"/>
              </w:rPr>
              <w:t>Non-nukleosid reverse transkriptasehæmmere (NNRTI’er)</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Efavirenz 600 mg 1 gang</w:t>
            </w:r>
            <w:r>
              <w:rPr>
                <w:b/>
                <w:sz w:val="22"/>
                <w:szCs w:val="22"/>
              </w:rPr>
              <w:t xml:space="preserve"> </w:t>
            </w:r>
            <w:r w:rsidRPr="00F455F3">
              <w:rPr>
                <w:b/>
                <w:sz w:val="22"/>
                <w:szCs w:val="22"/>
              </w:rPr>
              <w:t>dagligt</w:t>
            </w:r>
          </w:p>
          <w:p w:rsidR="002A0DA0" w:rsidRPr="00F455F3" w:rsidRDefault="002A0DA0" w:rsidP="002A0DA0">
            <w:pPr>
              <w:ind w:left="29"/>
              <w:rPr>
                <w:b/>
                <w:sz w:val="22"/>
                <w:szCs w:val="22"/>
              </w:rPr>
            </w:pPr>
            <w:r w:rsidRPr="00F455F3">
              <w:rPr>
                <w:sz w:val="22"/>
                <w:szCs w:val="22"/>
              </w:rPr>
              <w:t>(atazanavir 400 mg 1 gang</w:t>
            </w:r>
            <w:r>
              <w:rPr>
                <w:sz w:val="22"/>
                <w:szCs w:val="22"/>
              </w:rPr>
              <w:t xml:space="preserve"> </w:t>
            </w:r>
            <w:r w:rsidRPr="00F455F3">
              <w:rPr>
                <w:sz w:val="22"/>
                <w:szCs w:val="22"/>
              </w:rPr>
              <w:t>dagligt med ritonavir 100 mg 1</w:t>
            </w:r>
            <w:r>
              <w:rPr>
                <w:sz w:val="22"/>
                <w:szCs w:val="22"/>
              </w:rPr>
              <w:t xml:space="preserve"> </w:t>
            </w:r>
            <w:r w:rsidRPr="00F455F3">
              <w:rPr>
                <w:sz w:val="22"/>
                <w:szCs w:val="22"/>
              </w:rPr>
              <w:t>gang dagligt)</w:t>
            </w: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Atazanavir (aften): alle administreret med mad</w:t>
            </w:r>
          </w:p>
          <w:p w:rsidR="002A0DA0" w:rsidRPr="00F455F3" w:rsidRDefault="002A0DA0" w:rsidP="002A0DA0">
            <w:pPr>
              <w:ind w:left="29"/>
              <w:rPr>
                <w:sz w:val="22"/>
                <w:szCs w:val="22"/>
              </w:rPr>
            </w:pPr>
            <w:r w:rsidRPr="00F455F3">
              <w:rPr>
                <w:sz w:val="22"/>
                <w:szCs w:val="22"/>
              </w:rPr>
              <w:t>Atazanavir AUC ↔0% (↓9% ↑10</w:t>
            </w:r>
            <w:proofErr w:type="gramStart"/>
            <w:r w:rsidRPr="00F455F3">
              <w:rPr>
                <w:sz w:val="22"/>
                <w:szCs w:val="22"/>
              </w:rPr>
              <w:t>%)*</w:t>
            </w:r>
            <w:proofErr w:type="gramEnd"/>
          </w:p>
          <w:p w:rsidR="002A0DA0" w:rsidRPr="00F455F3" w:rsidRDefault="002A0DA0" w:rsidP="002A0DA0">
            <w:pPr>
              <w:ind w:left="29"/>
              <w:rPr>
                <w:sz w:val="22"/>
                <w:szCs w:val="22"/>
              </w:rPr>
            </w:pPr>
            <w:r w:rsidRPr="00F455F3">
              <w:rPr>
                <w:sz w:val="22"/>
                <w:szCs w:val="22"/>
              </w:rPr>
              <w:t>Atazanavir C</w:t>
            </w:r>
            <w:r w:rsidRPr="00F455F3">
              <w:rPr>
                <w:sz w:val="22"/>
                <w:szCs w:val="22"/>
                <w:vertAlign w:val="subscript"/>
              </w:rPr>
              <w:t>max</w:t>
            </w:r>
            <w:r w:rsidRPr="00F455F3">
              <w:rPr>
                <w:sz w:val="22"/>
                <w:szCs w:val="22"/>
              </w:rPr>
              <w:t xml:space="preserve"> ↑17% (↑8% ↑27</w:t>
            </w:r>
            <w:proofErr w:type="gramStart"/>
            <w:r w:rsidRPr="00F455F3">
              <w:rPr>
                <w:sz w:val="22"/>
                <w:szCs w:val="22"/>
              </w:rPr>
              <w:t>%)*</w:t>
            </w:r>
            <w:proofErr w:type="gramEnd"/>
          </w:p>
          <w:p w:rsidR="002A0DA0" w:rsidRPr="00F455F3" w:rsidRDefault="002A0DA0" w:rsidP="002A0DA0">
            <w:pPr>
              <w:ind w:left="29"/>
              <w:rPr>
                <w:sz w:val="22"/>
                <w:szCs w:val="22"/>
              </w:rPr>
            </w:pPr>
            <w:r w:rsidRPr="00F455F3">
              <w:rPr>
                <w:sz w:val="22"/>
                <w:szCs w:val="22"/>
              </w:rPr>
              <w:t>Atazanavir C</w:t>
            </w:r>
            <w:r w:rsidRPr="00F455F3">
              <w:rPr>
                <w:sz w:val="22"/>
                <w:szCs w:val="22"/>
                <w:vertAlign w:val="subscript"/>
              </w:rPr>
              <w:t>min</w:t>
            </w:r>
            <w:r w:rsidRPr="00F455F3">
              <w:rPr>
                <w:sz w:val="22"/>
                <w:szCs w:val="22"/>
              </w:rPr>
              <w:t xml:space="preserve"> ↓42% (↓51% ↓31</w:t>
            </w:r>
            <w:proofErr w:type="gramStart"/>
            <w:r w:rsidRPr="00F455F3">
              <w:rPr>
                <w:sz w:val="22"/>
                <w:szCs w:val="22"/>
              </w:rPr>
              <w:t>%)*</w:t>
            </w:r>
            <w:proofErr w:type="gramEnd"/>
          </w:p>
        </w:tc>
        <w:tc>
          <w:tcPr>
            <w:tcW w:w="1701" w:type="pct"/>
            <w:vMerge w:val="restar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Samtidig administration af</w:t>
            </w:r>
            <w:r>
              <w:rPr>
                <w:sz w:val="22"/>
                <w:szCs w:val="22"/>
              </w:rPr>
              <w:t xml:space="preserve"> </w:t>
            </w:r>
            <w:r w:rsidRPr="00F455F3">
              <w:rPr>
                <w:sz w:val="22"/>
                <w:szCs w:val="22"/>
              </w:rPr>
              <w:t>efavirenz og atazanavir frarådes (se pkt. 4.4)</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Efavirenz 600 mg 1 gang</w:t>
            </w:r>
            <w:r>
              <w:rPr>
                <w:b/>
                <w:sz w:val="22"/>
                <w:szCs w:val="22"/>
              </w:rPr>
              <w:t xml:space="preserve"> </w:t>
            </w:r>
            <w:r w:rsidRPr="00F455F3">
              <w:rPr>
                <w:b/>
                <w:sz w:val="22"/>
                <w:szCs w:val="22"/>
              </w:rPr>
              <w:t>dagligt</w:t>
            </w:r>
          </w:p>
          <w:p w:rsidR="002A0DA0" w:rsidRPr="00F455F3" w:rsidRDefault="002A0DA0" w:rsidP="002A0DA0">
            <w:pPr>
              <w:ind w:left="29"/>
              <w:rPr>
                <w:b/>
                <w:sz w:val="22"/>
                <w:szCs w:val="22"/>
              </w:rPr>
            </w:pPr>
            <w:r w:rsidRPr="00F455F3">
              <w:rPr>
                <w:sz w:val="22"/>
                <w:szCs w:val="22"/>
              </w:rPr>
              <w:t>(atazanavir 400 mg 1 gang</w:t>
            </w:r>
            <w:r>
              <w:rPr>
                <w:sz w:val="22"/>
                <w:szCs w:val="22"/>
              </w:rPr>
              <w:t xml:space="preserve"> </w:t>
            </w:r>
            <w:r w:rsidRPr="00F455F3">
              <w:rPr>
                <w:sz w:val="22"/>
                <w:szCs w:val="22"/>
              </w:rPr>
              <w:t>dagligt med ritonavir 200 mg 1</w:t>
            </w:r>
            <w:r>
              <w:rPr>
                <w:sz w:val="22"/>
                <w:szCs w:val="22"/>
              </w:rPr>
              <w:t xml:space="preserve"> </w:t>
            </w:r>
            <w:r w:rsidRPr="00F455F3">
              <w:rPr>
                <w:sz w:val="22"/>
                <w:szCs w:val="22"/>
              </w:rPr>
              <w:t>gang dagligt)</w:t>
            </w: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Atazanavir (aften): alle administreret med mad</w:t>
            </w:r>
          </w:p>
          <w:p w:rsidR="002A0DA0" w:rsidRPr="00F455F3" w:rsidRDefault="002A0DA0" w:rsidP="002A0DA0">
            <w:pPr>
              <w:ind w:left="29"/>
              <w:rPr>
                <w:sz w:val="22"/>
                <w:szCs w:val="22"/>
              </w:rPr>
            </w:pPr>
            <w:r w:rsidRPr="00F455F3">
              <w:rPr>
                <w:sz w:val="22"/>
                <w:szCs w:val="22"/>
              </w:rPr>
              <w:t>Atazanavir AUC ↔6% (↓10% ↑26%) */**</w:t>
            </w:r>
          </w:p>
          <w:p w:rsidR="002A0DA0" w:rsidRPr="00F455F3" w:rsidRDefault="002A0DA0" w:rsidP="002A0DA0">
            <w:pPr>
              <w:ind w:left="29"/>
              <w:rPr>
                <w:sz w:val="22"/>
                <w:szCs w:val="22"/>
              </w:rPr>
            </w:pPr>
            <w:r w:rsidRPr="00F455F3">
              <w:rPr>
                <w:sz w:val="22"/>
                <w:szCs w:val="22"/>
              </w:rPr>
              <w:lastRenderedPageBreak/>
              <w:t>Atazanavir C</w:t>
            </w:r>
            <w:r w:rsidRPr="00F455F3">
              <w:rPr>
                <w:sz w:val="22"/>
                <w:szCs w:val="22"/>
                <w:vertAlign w:val="subscript"/>
              </w:rPr>
              <w:t>max</w:t>
            </w:r>
            <w:r w:rsidRPr="00F455F3">
              <w:rPr>
                <w:sz w:val="22"/>
                <w:szCs w:val="22"/>
              </w:rPr>
              <w:t xml:space="preserve"> ↔9% (↓5% ↑26%) */**</w:t>
            </w:r>
          </w:p>
          <w:p w:rsidR="002A0DA0" w:rsidRPr="00F455F3" w:rsidRDefault="002A0DA0" w:rsidP="002A0DA0">
            <w:pPr>
              <w:ind w:left="29"/>
              <w:rPr>
                <w:sz w:val="22"/>
                <w:szCs w:val="22"/>
              </w:rPr>
            </w:pPr>
            <w:r w:rsidRPr="00F455F3">
              <w:rPr>
                <w:sz w:val="22"/>
                <w:szCs w:val="22"/>
              </w:rPr>
              <w:t>Atazanavir C</w:t>
            </w:r>
            <w:r w:rsidRPr="00F455F3">
              <w:rPr>
                <w:sz w:val="22"/>
                <w:szCs w:val="22"/>
                <w:vertAlign w:val="subscript"/>
              </w:rPr>
              <w:t>min</w:t>
            </w:r>
            <w:r w:rsidRPr="00F455F3">
              <w:rPr>
                <w:sz w:val="22"/>
                <w:szCs w:val="22"/>
              </w:rPr>
              <w:t xml:space="preserve"> ↔12% (↓16% ↑49%) */**</w:t>
            </w:r>
          </w:p>
          <w:p w:rsidR="002A0DA0" w:rsidRPr="00F455F3" w:rsidRDefault="002A0DA0" w:rsidP="002A0DA0">
            <w:pPr>
              <w:ind w:left="29"/>
              <w:rPr>
                <w:sz w:val="22"/>
                <w:szCs w:val="22"/>
              </w:rPr>
            </w:pPr>
            <w:r w:rsidRPr="00F455F3">
              <w:rPr>
                <w:sz w:val="22"/>
                <w:szCs w:val="22"/>
              </w:rPr>
              <w:t xml:space="preserve">* Sammenlignet med atazanavir </w:t>
            </w:r>
          </w:p>
          <w:p w:rsidR="002A0DA0" w:rsidRPr="00F455F3" w:rsidRDefault="002A0DA0" w:rsidP="002A0DA0">
            <w:pPr>
              <w:ind w:left="29"/>
              <w:rPr>
                <w:sz w:val="22"/>
                <w:szCs w:val="22"/>
              </w:rPr>
            </w:pPr>
            <w:r w:rsidRPr="00F455F3">
              <w:rPr>
                <w:sz w:val="22"/>
                <w:szCs w:val="22"/>
              </w:rPr>
              <w:t>300 mg/ritonavir 100 mg én gang dagligt om aftenen uden efavirenz. Dette fald i atazanavir C</w:t>
            </w:r>
            <w:r w:rsidRPr="00F455F3">
              <w:rPr>
                <w:sz w:val="22"/>
                <w:szCs w:val="22"/>
                <w:vertAlign w:val="subscript"/>
              </w:rPr>
              <w:t>min</w:t>
            </w:r>
            <w:r w:rsidRPr="00F455F3">
              <w:rPr>
                <w:sz w:val="22"/>
                <w:szCs w:val="22"/>
              </w:rPr>
              <w:t xml:space="preserve"> kan påvirke effekten af atazanavir negativt. Interaktionsmekanismen for efavirenz/atazanavir er CYP3A4-induktion.</w:t>
            </w:r>
          </w:p>
          <w:p w:rsidR="002A0DA0" w:rsidRPr="00F455F3" w:rsidRDefault="002A0DA0" w:rsidP="002A0DA0">
            <w:pPr>
              <w:ind w:left="29"/>
              <w:rPr>
                <w:sz w:val="22"/>
                <w:szCs w:val="22"/>
              </w:rPr>
            </w:pPr>
            <w:r w:rsidRPr="00F455F3">
              <w:rPr>
                <w:sz w:val="22"/>
                <w:szCs w:val="22"/>
              </w:rPr>
              <w:t>** Baseret på historisk</w:t>
            </w:r>
            <w:r>
              <w:rPr>
                <w:sz w:val="22"/>
                <w:szCs w:val="22"/>
              </w:rPr>
              <w:t xml:space="preserve"> </w:t>
            </w:r>
            <w:r w:rsidRPr="00F455F3">
              <w:rPr>
                <w:sz w:val="22"/>
                <w:szCs w:val="22"/>
              </w:rPr>
              <w:t>sammenligning.</w:t>
            </w:r>
          </w:p>
        </w:tc>
        <w:tc>
          <w:tcPr>
            <w:tcW w:w="1701" w:type="pct"/>
            <w:vMerge/>
            <w:tcBorders>
              <w:top w:val="single" w:sz="4" w:space="0" w:color="auto"/>
              <w:left w:val="single" w:sz="4" w:space="0" w:color="auto"/>
              <w:bottom w:val="single" w:sz="4" w:space="0" w:color="auto"/>
              <w:right w:val="single" w:sz="4" w:space="0" w:color="auto"/>
            </w:tcBorders>
            <w:vAlign w:val="center"/>
            <w:hideMark/>
          </w:tcPr>
          <w:p w:rsidR="002A0DA0" w:rsidRPr="00F455F3" w:rsidRDefault="002A0DA0" w:rsidP="002A0DA0">
            <w:pPr>
              <w:ind w:left="29"/>
              <w:rPr>
                <w:sz w:val="22"/>
                <w:szCs w:val="22"/>
              </w:rPr>
            </w:pPr>
          </w:p>
        </w:tc>
      </w:tr>
      <w:tr w:rsidR="002A0DA0" w:rsidTr="002A0DA0">
        <w:tc>
          <w:tcPr>
            <w:tcW w:w="1566"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b/>
                <w:sz w:val="22"/>
                <w:szCs w:val="22"/>
              </w:rPr>
            </w:pPr>
            <w:r w:rsidRPr="00F455F3">
              <w:rPr>
                <w:b/>
                <w:sz w:val="22"/>
                <w:szCs w:val="22"/>
              </w:rPr>
              <w:t>Nevirapin 200 mg 2 gange</w:t>
            </w:r>
            <w:r>
              <w:rPr>
                <w:b/>
                <w:sz w:val="22"/>
                <w:szCs w:val="22"/>
              </w:rPr>
              <w:t xml:space="preserve"> </w:t>
            </w:r>
            <w:r w:rsidRPr="00F455F3">
              <w:rPr>
                <w:b/>
                <w:sz w:val="22"/>
                <w:szCs w:val="22"/>
              </w:rPr>
              <w:t>dagligt</w:t>
            </w:r>
          </w:p>
          <w:p w:rsidR="002A0DA0" w:rsidRPr="00F455F3" w:rsidRDefault="002A0DA0" w:rsidP="002A0DA0">
            <w:pPr>
              <w:ind w:left="29"/>
              <w:rPr>
                <w:sz w:val="22"/>
                <w:szCs w:val="22"/>
              </w:rPr>
            </w:pPr>
            <w:r w:rsidRPr="00F455F3">
              <w:rPr>
                <w:sz w:val="22"/>
                <w:szCs w:val="22"/>
              </w:rPr>
              <w:t>(atazanavir 400 mg 1 gang</w:t>
            </w:r>
            <w:r>
              <w:rPr>
                <w:sz w:val="22"/>
                <w:szCs w:val="22"/>
              </w:rPr>
              <w:t xml:space="preserve"> </w:t>
            </w:r>
            <w:r w:rsidRPr="00F455F3">
              <w:rPr>
                <w:sz w:val="22"/>
                <w:szCs w:val="22"/>
              </w:rPr>
              <w:t>dagligt med ritonavir 100 mg 1</w:t>
            </w:r>
            <w:r>
              <w:rPr>
                <w:sz w:val="22"/>
                <w:szCs w:val="22"/>
              </w:rPr>
              <w:t xml:space="preserve"> </w:t>
            </w:r>
            <w:r w:rsidRPr="00F455F3">
              <w:rPr>
                <w:sz w:val="22"/>
                <w:szCs w:val="22"/>
              </w:rPr>
              <w:t>gang dagligt)</w:t>
            </w:r>
          </w:p>
          <w:p w:rsidR="002A0DA0" w:rsidRPr="00F455F3" w:rsidRDefault="002A0DA0" w:rsidP="002A0DA0">
            <w:pPr>
              <w:ind w:left="29"/>
              <w:rPr>
                <w:sz w:val="22"/>
                <w:szCs w:val="22"/>
              </w:rPr>
            </w:pPr>
          </w:p>
          <w:p w:rsidR="002A0DA0" w:rsidRPr="00F455F3" w:rsidRDefault="002A0DA0" w:rsidP="002A0DA0">
            <w:pPr>
              <w:ind w:left="29"/>
              <w:rPr>
                <w:b/>
                <w:sz w:val="22"/>
                <w:szCs w:val="22"/>
              </w:rPr>
            </w:pPr>
            <w:r w:rsidRPr="00F455F3">
              <w:rPr>
                <w:sz w:val="22"/>
                <w:szCs w:val="22"/>
              </w:rPr>
              <w:t>Studier udført med HIVinficerede</w:t>
            </w:r>
            <w:r>
              <w:rPr>
                <w:sz w:val="22"/>
                <w:szCs w:val="22"/>
              </w:rPr>
              <w:t xml:space="preserve"> </w:t>
            </w:r>
            <w:r w:rsidRPr="00F455F3">
              <w:rPr>
                <w:sz w:val="22"/>
                <w:szCs w:val="22"/>
              </w:rPr>
              <w:t>patienter.</w:t>
            </w:r>
          </w:p>
        </w:tc>
        <w:tc>
          <w:tcPr>
            <w:tcW w:w="1733"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sz w:val="22"/>
                <w:szCs w:val="22"/>
              </w:rPr>
            </w:pPr>
            <w:r w:rsidRPr="00F455F3">
              <w:rPr>
                <w:sz w:val="22"/>
                <w:szCs w:val="22"/>
              </w:rPr>
              <w:t>Nevirapin AUC ↑26% (↑17% ↑36%)</w:t>
            </w:r>
          </w:p>
          <w:p w:rsidR="002A0DA0" w:rsidRPr="00F455F3" w:rsidRDefault="002A0DA0" w:rsidP="002A0DA0">
            <w:pPr>
              <w:ind w:left="29"/>
              <w:rPr>
                <w:sz w:val="22"/>
                <w:szCs w:val="22"/>
              </w:rPr>
            </w:pPr>
            <w:r w:rsidRPr="00F455F3">
              <w:rPr>
                <w:sz w:val="22"/>
                <w:szCs w:val="22"/>
              </w:rPr>
              <w:t>Nevirapin C</w:t>
            </w:r>
            <w:r w:rsidRPr="00F455F3">
              <w:rPr>
                <w:sz w:val="22"/>
                <w:szCs w:val="22"/>
                <w:vertAlign w:val="subscript"/>
              </w:rPr>
              <w:t>max</w:t>
            </w:r>
            <w:r w:rsidRPr="00F455F3">
              <w:rPr>
                <w:sz w:val="22"/>
                <w:szCs w:val="22"/>
              </w:rPr>
              <w:t xml:space="preserve"> ↑21% (↑11% ↑32%)</w:t>
            </w:r>
          </w:p>
          <w:p w:rsidR="002A0DA0" w:rsidRPr="00F455F3" w:rsidRDefault="002A0DA0" w:rsidP="002A0DA0">
            <w:pPr>
              <w:ind w:left="29"/>
              <w:rPr>
                <w:sz w:val="22"/>
                <w:szCs w:val="22"/>
              </w:rPr>
            </w:pPr>
            <w:r w:rsidRPr="00F455F3">
              <w:rPr>
                <w:sz w:val="22"/>
                <w:szCs w:val="22"/>
              </w:rPr>
              <w:t>Nevirapin C</w:t>
            </w:r>
            <w:r w:rsidRPr="00F455F3">
              <w:rPr>
                <w:sz w:val="22"/>
                <w:szCs w:val="22"/>
                <w:vertAlign w:val="subscript"/>
              </w:rPr>
              <w:t>min</w:t>
            </w:r>
            <w:r w:rsidRPr="00F455F3">
              <w:rPr>
                <w:sz w:val="22"/>
                <w:szCs w:val="22"/>
              </w:rPr>
              <w:t xml:space="preserve"> ↑35% (↑25% ↑47%)</w:t>
            </w:r>
          </w:p>
          <w:p w:rsidR="002A0DA0" w:rsidRPr="00F455F3" w:rsidRDefault="002A0DA0" w:rsidP="002A0DA0">
            <w:pPr>
              <w:ind w:left="29"/>
              <w:rPr>
                <w:sz w:val="22"/>
                <w:szCs w:val="22"/>
              </w:rPr>
            </w:pPr>
          </w:p>
          <w:p w:rsidR="002A0DA0" w:rsidRPr="00F455F3" w:rsidRDefault="002A0DA0" w:rsidP="002A0DA0">
            <w:pPr>
              <w:ind w:left="29"/>
              <w:rPr>
                <w:sz w:val="22"/>
                <w:szCs w:val="22"/>
              </w:rPr>
            </w:pPr>
            <w:r w:rsidRPr="00F455F3">
              <w:rPr>
                <w:sz w:val="22"/>
                <w:szCs w:val="22"/>
              </w:rPr>
              <w:t>Atazanavir AUC ↓19% (↓35% ↑2%) *</w:t>
            </w:r>
          </w:p>
          <w:p w:rsidR="002A0DA0" w:rsidRPr="00F455F3" w:rsidRDefault="002A0DA0" w:rsidP="002A0DA0">
            <w:pPr>
              <w:ind w:left="29"/>
              <w:rPr>
                <w:sz w:val="22"/>
                <w:szCs w:val="22"/>
              </w:rPr>
            </w:pPr>
            <w:r w:rsidRPr="00F455F3">
              <w:rPr>
                <w:sz w:val="22"/>
                <w:szCs w:val="22"/>
              </w:rPr>
              <w:t>Atazanavir C</w:t>
            </w:r>
            <w:r w:rsidRPr="00F455F3">
              <w:rPr>
                <w:sz w:val="22"/>
                <w:szCs w:val="22"/>
                <w:vertAlign w:val="subscript"/>
              </w:rPr>
              <w:t>max</w:t>
            </w:r>
            <w:r w:rsidRPr="00F455F3">
              <w:rPr>
                <w:sz w:val="22"/>
                <w:szCs w:val="22"/>
              </w:rPr>
              <w:t xml:space="preserve"> ↔2% (↓15% ↑24%) *</w:t>
            </w:r>
          </w:p>
          <w:p w:rsidR="002A0DA0" w:rsidRPr="00F455F3" w:rsidRDefault="002A0DA0" w:rsidP="002A0DA0">
            <w:pPr>
              <w:ind w:left="29"/>
              <w:rPr>
                <w:sz w:val="22"/>
                <w:szCs w:val="22"/>
              </w:rPr>
            </w:pPr>
            <w:r w:rsidRPr="00F455F3">
              <w:rPr>
                <w:sz w:val="22"/>
                <w:szCs w:val="22"/>
              </w:rPr>
              <w:t>Atazanavir C</w:t>
            </w:r>
            <w:r w:rsidRPr="00F455F3">
              <w:rPr>
                <w:sz w:val="22"/>
                <w:szCs w:val="22"/>
                <w:vertAlign w:val="subscript"/>
              </w:rPr>
              <w:t>min</w:t>
            </w:r>
            <w:r w:rsidRPr="00F455F3">
              <w:rPr>
                <w:sz w:val="22"/>
                <w:szCs w:val="22"/>
              </w:rPr>
              <w:t xml:space="preserve"> ↓59% (↓73% ↓40%) *</w:t>
            </w:r>
          </w:p>
          <w:p w:rsidR="002A0DA0" w:rsidRPr="00F455F3" w:rsidRDefault="002A0DA0" w:rsidP="002A0DA0">
            <w:pPr>
              <w:ind w:left="29"/>
              <w:rPr>
                <w:sz w:val="22"/>
                <w:szCs w:val="22"/>
              </w:rPr>
            </w:pPr>
          </w:p>
          <w:p w:rsidR="002A0DA0" w:rsidRPr="00F455F3" w:rsidRDefault="002A0DA0" w:rsidP="002A0DA0">
            <w:pPr>
              <w:ind w:left="29"/>
              <w:rPr>
                <w:sz w:val="22"/>
                <w:szCs w:val="22"/>
              </w:rPr>
            </w:pPr>
            <w:r w:rsidRPr="00F455F3">
              <w:rPr>
                <w:sz w:val="22"/>
                <w:szCs w:val="22"/>
              </w:rPr>
              <w:t>* Sammenlignet med atazanavir 300 mg/ritonavir 100 mg uden</w:t>
            </w:r>
            <w:r>
              <w:rPr>
                <w:sz w:val="22"/>
                <w:szCs w:val="22"/>
              </w:rPr>
              <w:t xml:space="preserve"> </w:t>
            </w:r>
            <w:r w:rsidRPr="00F455F3">
              <w:rPr>
                <w:sz w:val="22"/>
                <w:szCs w:val="22"/>
              </w:rPr>
              <w:t>nevirapin. Dette fald i atazanavir C</w:t>
            </w:r>
            <w:r w:rsidRPr="00F455F3">
              <w:rPr>
                <w:sz w:val="22"/>
                <w:szCs w:val="22"/>
                <w:vertAlign w:val="subscript"/>
              </w:rPr>
              <w:t xml:space="preserve">min </w:t>
            </w:r>
            <w:r w:rsidRPr="00F455F3">
              <w:rPr>
                <w:sz w:val="22"/>
                <w:szCs w:val="22"/>
              </w:rPr>
              <w:t>kan påvirke effekten af atazanavir negativt. Interaktionsmekanismen for nevirapin/atazanavir er CYP3A4-induktion.</w:t>
            </w:r>
          </w:p>
        </w:tc>
        <w:tc>
          <w:tcPr>
            <w:tcW w:w="1701"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Samtidig administration afnevirapin og atazanavir frarådes (se pkt. 4.4)</w:t>
            </w: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i/>
                <w:sz w:val="22"/>
                <w:szCs w:val="22"/>
              </w:rPr>
            </w:pPr>
            <w:r w:rsidRPr="00F455F3">
              <w:rPr>
                <w:i/>
                <w:sz w:val="22"/>
                <w:szCs w:val="22"/>
              </w:rPr>
              <w:t>Integrasehæmmere</w:t>
            </w:r>
          </w:p>
        </w:tc>
      </w:tr>
      <w:tr w:rsidR="002A0DA0" w:rsidRPr="000257C6"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Raltegravir 400 mg 2 gange</w:t>
            </w:r>
            <w:r>
              <w:rPr>
                <w:b/>
                <w:sz w:val="22"/>
                <w:szCs w:val="22"/>
              </w:rPr>
              <w:t xml:space="preserve"> </w:t>
            </w:r>
            <w:r w:rsidRPr="00F455F3">
              <w:rPr>
                <w:b/>
                <w:sz w:val="22"/>
                <w:szCs w:val="22"/>
              </w:rPr>
              <w:t>dagligt</w:t>
            </w:r>
          </w:p>
          <w:p w:rsidR="002A0DA0" w:rsidRPr="00F455F3" w:rsidRDefault="002A0DA0" w:rsidP="002A0DA0">
            <w:pPr>
              <w:ind w:left="29"/>
              <w:rPr>
                <w:sz w:val="22"/>
                <w:szCs w:val="22"/>
              </w:rPr>
            </w:pPr>
            <w:r w:rsidRPr="00F455F3">
              <w:rPr>
                <w:sz w:val="22"/>
                <w:szCs w:val="22"/>
              </w:rPr>
              <w:t>(atazanavir/ritonavir)</w:t>
            </w:r>
          </w:p>
        </w:tc>
        <w:tc>
          <w:tcPr>
            <w:tcW w:w="1733"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sz w:val="22"/>
                <w:szCs w:val="22"/>
              </w:rPr>
            </w:pPr>
            <w:r w:rsidRPr="00F455F3">
              <w:rPr>
                <w:sz w:val="22"/>
                <w:szCs w:val="22"/>
              </w:rPr>
              <w:t>Raltegravir AUC ↑41%</w:t>
            </w:r>
          </w:p>
          <w:p w:rsidR="002A0DA0" w:rsidRPr="00F455F3" w:rsidRDefault="002A0DA0" w:rsidP="002A0DA0">
            <w:pPr>
              <w:ind w:left="29"/>
              <w:rPr>
                <w:sz w:val="22"/>
                <w:szCs w:val="22"/>
              </w:rPr>
            </w:pPr>
            <w:r w:rsidRPr="00F455F3">
              <w:rPr>
                <w:sz w:val="22"/>
                <w:szCs w:val="22"/>
              </w:rPr>
              <w:t>Raltegravir C</w:t>
            </w:r>
            <w:r w:rsidRPr="00F455F3">
              <w:rPr>
                <w:sz w:val="22"/>
                <w:szCs w:val="22"/>
                <w:vertAlign w:val="subscript"/>
              </w:rPr>
              <w:t>max</w:t>
            </w:r>
            <w:r w:rsidRPr="00F455F3">
              <w:rPr>
                <w:sz w:val="22"/>
                <w:szCs w:val="22"/>
              </w:rPr>
              <w:t xml:space="preserve"> ↑24%</w:t>
            </w:r>
          </w:p>
          <w:p w:rsidR="002A0DA0" w:rsidRPr="00F455F3" w:rsidRDefault="002A0DA0" w:rsidP="002A0DA0">
            <w:pPr>
              <w:ind w:left="29"/>
              <w:rPr>
                <w:sz w:val="22"/>
                <w:szCs w:val="22"/>
              </w:rPr>
            </w:pPr>
            <w:r w:rsidRPr="00F455F3">
              <w:rPr>
                <w:sz w:val="22"/>
                <w:szCs w:val="22"/>
              </w:rPr>
              <w:t>Raltegravir C</w:t>
            </w:r>
            <w:r w:rsidRPr="00F455F3">
              <w:rPr>
                <w:sz w:val="22"/>
                <w:szCs w:val="22"/>
                <w:vertAlign w:val="subscript"/>
              </w:rPr>
              <w:t>12t</w:t>
            </w:r>
            <w:r w:rsidRPr="00F455F3">
              <w:rPr>
                <w:sz w:val="22"/>
                <w:szCs w:val="22"/>
              </w:rPr>
              <w:t xml:space="preserve"> ↑77%</w:t>
            </w:r>
          </w:p>
          <w:p w:rsidR="002A0DA0" w:rsidRPr="00F455F3" w:rsidRDefault="002A0DA0" w:rsidP="002A0DA0">
            <w:pPr>
              <w:ind w:left="29"/>
              <w:rPr>
                <w:sz w:val="22"/>
                <w:szCs w:val="22"/>
              </w:rPr>
            </w:pPr>
          </w:p>
          <w:p w:rsidR="002A0DA0" w:rsidRPr="00F455F3" w:rsidRDefault="002A0DA0" w:rsidP="002A0DA0">
            <w:pPr>
              <w:ind w:left="29"/>
              <w:rPr>
                <w:sz w:val="22"/>
                <w:szCs w:val="22"/>
              </w:rPr>
            </w:pPr>
            <w:r w:rsidRPr="00F455F3">
              <w:rPr>
                <w:sz w:val="22"/>
                <w:szCs w:val="22"/>
              </w:rPr>
              <w:t>Mekanismen er hæmning af UGT1A1.</w:t>
            </w:r>
          </w:p>
        </w:tc>
        <w:tc>
          <w:tcPr>
            <w:tcW w:w="1701" w:type="pct"/>
            <w:tcBorders>
              <w:top w:val="single" w:sz="4" w:space="0" w:color="auto"/>
              <w:left w:val="single" w:sz="4" w:space="0" w:color="auto"/>
              <w:bottom w:val="single" w:sz="4" w:space="0" w:color="auto"/>
              <w:right w:val="single" w:sz="4" w:space="0" w:color="auto"/>
            </w:tcBorders>
            <w:hideMark/>
          </w:tcPr>
          <w:p w:rsidR="002A0DA0" w:rsidRPr="00582B2E" w:rsidRDefault="002A0DA0" w:rsidP="002A0DA0">
            <w:pPr>
              <w:ind w:left="29"/>
              <w:rPr>
                <w:sz w:val="22"/>
                <w:szCs w:val="22"/>
                <w:lang w:val="nb-NO"/>
              </w:rPr>
            </w:pPr>
            <w:r w:rsidRPr="00582B2E">
              <w:rPr>
                <w:sz w:val="22"/>
                <w:szCs w:val="22"/>
                <w:lang w:val="nb-NO"/>
              </w:rPr>
              <w:t>Dosisjustering er ikke nødvendig for raltegravir.</w:t>
            </w: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b/>
                <w:sz w:val="22"/>
                <w:szCs w:val="22"/>
              </w:rPr>
              <w:t>ANTIBIOTIKA</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Clarithromycin 500 mg 2</w:t>
            </w:r>
            <w:r>
              <w:rPr>
                <w:b/>
                <w:sz w:val="22"/>
                <w:szCs w:val="22"/>
              </w:rPr>
              <w:t xml:space="preserve"> </w:t>
            </w:r>
            <w:r w:rsidRPr="00F455F3">
              <w:rPr>
                <w:b/>
                <w:sz w:val="22"/>
                <w:szCs w:val="22"/>
              </w:rPr>
              <w:t>gange dagligt</w:t>
            </w:r>
          </w:p>
          <w:p w:rsidR="002A0DA0" w:rsidRPr="00F455F3" w:rsidRDefault="002A0DA0" w:rsidP="002A0DA0">
            <w:pPr>
              <w:ind w:left="29"/>
              <w:rPr>
                <w:b/>
                <w:sz w:val="22"/>
                <w:szCs w:val="22"/>
              </w:rPr>
            </w:pPr>
            <w:r w:rsidRPr="00F455F3">
              <w:rPr>
                <w:sz w:val="22"/>
                <w:szCs w:val="22"/>
              </w:rPr>
              <w:t>(atazanavir 400 mg 1 gang</w:t>
            </w:r>
            <w:r>
              <w:rPr>
                <w:sz w:val="22"/>
                <w:szCs w:val="22"/>
              </w:rPr>
              <w:t xml:space="preserve"> </w:t>
            </w:r>
            <w:r w:rsidRPr="00F455F3">
              <w:rPr>
                <w:sz w:val="22"/>
                <w:szCs w:val="22"/>
              </w:rPr>
              <w:t>dagligt)</w:t>
            </w:r>
          </w:p>
        </w:tc>
        <w:tc>
          <w:tcPr>
            <w:tcW w:w="1733"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sz w:val="22"/>
                <w:szCs w:val="22"/>
              </w:rPr>
            </w:pPr>
            <w:r w:rsidRPr="00F455F3">
              <w:rPr>
                <w:sz w:val="22"/>
                <w:szCs w:val="22"/>
              </w:rPr>
              <w:t>Clarithromycin AUC ↑94% (↑75% ↑116%)</w:t>
            </w:r>
          </w:p>
          <w:p w:rsidR="002A0DA0" w:rsidRPr="00F455F3" w:rsidRDefault="002A0DA0" w:rsidP="002A0DA0">
            <w:pPr>
              <w:ind w:left="29"/>
              <w:rPr>
                <w:sz w:val="22"/>
                <w:szCs w:val="22"/>
              </w:rPr>
            </w:pPr>
            <w:r w:rsidRPr="00F455F3">
              <w:rPr>
                <w:sz w:val="22"/>
                <w:szCs w:val="22"/>
              </w:rPr>
              <w:t>Clarithromycin C</w:t>
            </w:r>
            <w:r w:rsidRPr="00F455F3">
              <w:rPr>
                <w:sz w:val="22"/>
                <w:szCs w:val="22"/>
                <w:vertAlign w:val="subscript"/>
              </w:rPr>
              <w:t>max</w:t>
            </w:r>
            <w:r w:rsidRPr="00F455F3">
              <w:rPr>
                <w:sz w:val="22"/>
                <w:szCs w:val="22"/>
              </w:rPr>
              <w:t xml:space="preserve"> ↑50% (↑32% ↑71%)</w:t>
            </w:r>
          </w:p>
          <w:p w:rsidR="002A0DA0" w:rsidRPr="00F455F3" w:rsidRDefault="002A0DA0" w:rsidP="002A0DA0">
            <w:pPr>
              <w:ind w:left="29"/>
              <w:rPr>
                <w:sz w:val="22"/>
                <w:szCs w:val="22"/>
              </w:rPr>
            </w:pPr>
            <w:r w:rsidRPr="00F455F3">
              <w:rPr>
                <w:sz w:val="22"/>
                <w:szCs w:val="22"/>
              </w:rPr>
              <w:t>Clarithromycin C</w:t>
            </w:r>
            <w:r w:rsidRPr="00F455F3">
              <w:rPr>
                <w:sz w:val="22"/>
                <w:szCs w:val="22"/>
                <w:vertAlign w:val="subscript"/>
              </w:rPr>
              <w:t>min</w:t>
            </w:r>
            <w:r w:rsidRPr="00F455F3">
              <w:rPr>
                <w:sz w:val="22"/>
                <w:szCs w:val="22"/>
              </w:rPr>
              <w:t xml:space="preserve"> ↑160% (↑135% ↑188%)</w:t>
            </w:r>
          </w:p>
          <w:p w:rsidR="002A0DA0" w:rsidRPr="00F455F3" w:rsidRDefault="002A0DA0" w:rsidP="002A0DA0">
            <w:pPr>
              <w:ind w:left="29"/>
              <w:rPr>
                <w:sz w:val="22"/>
                <w:szCs w:val="22"/>
              </w:rPr>
            </w:pPr>
          </w:p>
          <w:p w:rsidR="002A0DA0" w:rsidRPr="002A0DA0" w:rsidRDefault="002A0DA0" w:rsidP="002A0DA0">
            <w:pPr>
              <w:ind w:left="29"/>
              <w:rPr>
                <w:sz w:val="22"/>
                <w:szCs w:val="22"/>
                <w:lang w:val="en-US"/>
              </w:rPr>
            </w:pPr>
            <w:r w:rsidRPr="002A0DA0">
              <w:rPr>
                <w:sz w:val="22"/>
                <w:szCs w:val="22"/>
                <w:lang w:val="en-US"/>
              </w:rPr>
              <w:t>14-OH-clarithromycin</w:t>
            </w:r>
          </w:p>
          <w:p w:rsidR="002A0DA0" w:rsidRPr="002A0DA0" w:rsidRDefault="002A0DA0" w:rsidP="002A0DA0">
            <w:pPr>
              <w:ind w:left="29"/>
              <w:rPr>
                <w:sz w:val="22"/>
                <w:szCs w:val="22"/>
                <w:lang w:val="en-US"/>
              </w:rPr>
            </w:pPr>
            <w:r w:rsidRPr="002A0DA0">
              <w:rPr>
                <w:sz w:val="22"/>
                <w:szCs w:val="22"/>
                <w:lang w:val="en-US"/>
              </w:rPr>
              <w:t>14-OH-clarithromycin AUC ↓70% (↓74% ↓66%)</w:t>
            </w:r>
          </w:p>
          <w:p w:rsidR="002A0DA0" w:rsidRPr="002A0DA0" w:rsidRDefault="002A0DA0" w:rsidP="002A0DA0">
            <w:pPr>
              <w:ind w:left="29"/>
              <w:rPr>
                <w:sz w:val="22"/>
                <w:szCs w:val="22"/>
                <w:lang w:val="en-US"/>
              </w:rPr>
            </w:pPr>
            <w:r w:rsidRPr="002A0DA0">
              <w:rPr>
                <w:sz w:val="22"/>
                <w:szCs w:val="22"/>
                <w:lang w:val="en-US"/>
              </w:rPr>
              <w:lastRenderedPageBreak/>
              <w:t>14-OH-clarithromycin C</w:t>
            </w:r>
            <w:r w:rsidRPr="002A0DA0">
              <w:rPr>
                <w:sz w:val="22"/>
                <w:szCs w:val="22"/>
                <w:vertAlign w:val="subscript"/>
                <w:lang w:val="en-US"/>
              </w:rPr>
              <w:t>max</w:t>
            </w:r>
            <w:r w:rsidRPr="002A0DA0">
              <w:rPr>
                <w:sz w:val="22"/>
                <w:szCs w:val="22"/>
                <w:lang w:val="en-US"/>
              </w:rPr>
              <w:t xml:space="preserve"> ↓72% (↓76% ↓67%)</w:t>
            </w:r>
          </w:p>
          <w:p w:rsidR="002A0DA0" w:rsidRPr="002A0DA0" w:rsidRDefault="002A0DA0" w:rsidP="002A0DA0">
            <w:pPr>
              <w:ind w:left="29"/>
              <w:rPr>
                <w:sz w:val="22"/>
                <w:szCs w:val="22"/>
                <w:lang w:val="en-US"/>
              </w:rPr>
            </w:pPr>
            <w:r w:rsidRPr="002A0DA0">
              <w:rPr>
                <w:sz w:val="22"/>
                <w:szCs w:val="22"/>
                <w:lang w:val="en-US"/>
              </w:rPr>
              <w:t>14-OH-clarithromycin C</w:t>
            </w:r>
            <w:r w:rsidRPr="002A0DA0">
              <w:rPr>
                <w:sz w:val="22"/>
                <w:szCs w:val="22"/>
                <w:vertAlign w:val="subscript"/>
                <w:lang w:val="en-US"/>
              </w:rPr>
              <w:t>min</w:t>
            </w:r>
            <w:r w:rsidRPr="002A0DA0">
              <w:rPr>
                <w:sz w:val="22"/>
                <w:szCs w:val="22"/>
                <w:lang w:val="en-US"/>
              </w:rPr>
              <w:t xml:space="preserve"> ↓62% (↓66% ↓58%)</w:t>
            </w:r>
          </w:p>
          <w:p w:rsidR="002A0DA0" w:rsidRPr="002A0DA0" w:rsidRDefault="002A0DA0" w:rsidP="002A0DA0">
            <w:pPr>
              <w:ind w:left="29"/>
              <w:rPr>
                <w:sz w:val="22"/>
                <w:szCs w:val="22"/>
                <w:lang w:val="en-US"/>
              </w:rPr>
            </w:pPr>
            <w:r w:rsidRPr="002A0DA0">
              <w:rPr>
                <w:sz w:val="22"/>
                <w:szCs w:val="22"/>
                <w:lang w:val="en-US"/>
              </w:rPr>
              <w:t xml:space="preserve">Atazanavir AUC ↑28% (↑16% ↑43%) </w:t>
            </w:r>
          </w:p>
          <w:p w:rsidR="002A0DA0" w:rsidRPr="002A0DA0" w:rsidRDefault="002A0DA0" w:rsidP="002A0DA0">
            <w:pPr>
              <w:ind w:left="29"/>
              <w:rPr>
                <w:sz w:val="22"/>
                <w:szCs w:val="22"/>
                <w:lang w:val="en-US"/>
              </w:rPr>
            </w:pPr>
            <w:r w:rsidRPr="002A0DA0">
              <w:rPr>
                <w:sz w:val="22"/>
                <w:szCs w:val="22"/>
                <w:lang w:val="en-US"/>
              </w:rPr>
              <w:t>Atazanavir C</w:t>
            </w:r>
            <w:r w:rsidRPr="002A0DA0">
              <w:rPr>
                <w:sz w:val="22"/>
                <w:szCs w:val="22"/>
                <w:vertAlign w:val="subscript"/>
                <w:lang w:val="en-US"/>
              </w:rPr>
              <w:t>max</w:t>
            </w:r>
            <w:r w:rsidRPr="002A0DA0">
              <w:rPr>
                <w:sz w:val="22"/>
                <w:szCs w:val="22"/>
                <w:lang w:val="en-US"/>
              </w:rPr>
              <w:t xml:space="preserve"> ↔6% (↓7% ↑20%)</w:t>
            </w:r>
          </w:p>
          <w:p w:rsidR="002A0DA0" w:rsidRPr="002A0DA0" w:rsidRDefault="002A0DA0" w:rsidP="002A0DA0">
            <w:pPr>
              <w:ind w:left="29"/>
              <w:rPr>
                <w:sz w:val="22"/>
                <w:szCs w:val="22"/>
                <w:lang w:val="en-US"/>
              </w:rPr>
            </w:pPr>
            <w:r w:rsidRPr="002A0DA0">
              <w:rPr>
                <w:sz w:val="22"/>
                <w:szCs w:val="22"/>
                <w:lang w:val="en-US"/>
              </w:rPr>
              <w:t>Atazanavir C</w:t>
            </w:r>
            <w:r w:rsidRPr="002A0DA0">
              <w:rPr>
                <w:sz w:val="22"/>
                <w:szCs w:val="22"/>
                <w:vertAlign w:val="subscript"/>
                <w:lang w:val="en-US"/>
              </w:rPr>
              <w:t>min</w:t>
            </w:r>
            <w:r w:rsidRPr="002A0DA0">
              <w:rPr>
                <w:sz w:val="22"/>
                <w:szCs w:val="22"/>
                <w:lang w:val="en-US"/>
              </w:rPr>
              <w:t xml:space="preserve"> ↑91% (↑66% ↑121%)</w:t>
            </w:r>
          </w:p>
          <w:p w:rsidR="002A0DA0" w:rsidRPr="002A0DA0" w:rsidRDefault="002A0DA0" w:rsidP="002A0DA0">
            <w:pPr>
              <w:ind w:left="29"/>
              <w:rPr>
                <w:sz w:val="22"/>
                <w:szCs w:val="22"/>
                <w:lang w:val="en-US"/>
              </w:rPr>
            </w:pPr>
          </w:p>
          <w:p w:rsidR="002A0DA0" w:rsidRPr="00F455F3" w:rsidRDefault="002A0DA0" w:rsidP="002A0DA0">
            <w:pPr>
              <w:ind w:left="29"/>
              <w:rPr>
                <w:sz w:val="22"/>
                <w:szCs w:val="22"/>
              </w:rPr>
            </w:pPr>
            <w:r w:rsidRPr="00F455F3">
              <w:rPr>
                <w:sz w:val="22"/>
                <w:szCs w:val="22"/>
              </w:rPr>
              <w:t>Reduktion af clarithromycin</w:t>
            </w:r>
            <w:r>
              <w:rPr>
                <w:sz w:val="22"/>
                <w:szCs w:val="22"/>
              </w:rPr>
              <w:softHyphen/>
            </w:r>
            <w:r w:rsidRPr="00F455F3">
              <w:rPr>
                <w:sz w:val="22"/>
                <w:szCs w:val="22"/>
              </w:rPr>
              <w:t>dosis kan medføre subterapeutiske koncentrationer af 14-OH</w:t>
            </w:r>
            <w:r>
              <w:rPr>
                <w:sz w:val="22"/>
                <w:szCs w:val="22"/>
              </w:rPr>
              <w:t>-</w:t>
            </w:r>
            <w:r w:rsidRPr="00F455F3">
              <w:rPr>
                <w:sz w:val="22"/>
                <w:szCs w:val="22"/>
              </w:rPr>
              <w:t>clarithromycin. Interaktionsmekanismen for clarithromycin/atazanavir er CYP3A4-hæmning.</w:t>
            </w:r>
          </w:p>
        </w:tc>
        <w:tc>
          <w:tcPr>
            <w:tcW w:w="1701"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lastRenderedPageBreak/>
              <w:t>Der kan ikke gives anbefalinger</w:t>
            </w:r>
            <w:r>
              <w:rPr>
                <w:sz w:val="22"/>
                <w:szCs w:val="22"/>
              </w:rPr>
              <w:t xml:space="preserve"> </w:t>
            </w:r>
            <w:r w:rsidRPr="00F455F3">
              <w:rPr>
                <w:sz w:val="22"/>
                <w:szCs w:val="22"/>
              </w:rPr>
              <w:t>vedrørende dosisreduktion; der</w:t>
            </w:r>
            <w:r>
              <w:rPr>
                <w:sz w:val="22"/>
                <w:szCs w:val="22"/>
              </w:rPr>
              <w:t xml:space="preserve"> </w:t>
            </w:r>
            <w:r w:rsidRPr="00F455F3">
              <w:rPr>
                <w:sz w:val="22"/>
                <w:szCs w:val="22"/>
              </w:rPr>
              <w:t>bør derfor udvises forsigtighed,</w:t>
            </w:r>
            <w:r>
              <w:rPr>
                <w:sz w:val="22"/>
                <w:szCs w:val="22"/>
              </w:rPr>
              <w:t xml:space="preserve"> </w:t>
            </w:r>
            <w:r w:rsidRPr="00F455F3">
              <w:rPr>
                <w:sz w:val="22"/>
                <w:szCs w:val="22"/>
              </w:rPr>
              <w:t xml:space="preserve">hvis </w:t>
            </w:r>
            <w:r>
              <w:rPr>
                <w:sz w:val="22"/>
                <w:szCs w:val="22"/>
              </w:rPr>
              <w:t xml:space="preserve">atazanavir </w:t>
            </w:r>
            <w:r w:rsidRPr="00F455F3">
              <w:rPr>
                <w:sz w:val="22"/>
                <w:szCs w:val="22"/>
              </w:rPr>
              <w:t>administreres</w:t>
            </w:r>
            <w:r>
              <w:rPr>
                <w:sz w:val="22"/>
                <w:szCs w:val="22"/>
              </w:rPr>
              <w:t xml:space="preserve"> </w:t>
            </w:r>
            <w:r w:rsidRPr="00F455F3">
              <w:rPr>
                <w:sz w:val="22"/>
                <w:szCs w:val="22"/>
              </w:rPr>
              <w:t>samtidig med clarithromycin.</w:t>
            </w: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b/>
                <w:sz w:val="22"/>
                <w:szCs w:val="22"/>
              </w:rPr>
              <w:t>ANTIMYKOTIKA</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Ketoconazol 200 mg 1 gang</w:t>
            </w:r>
            <w:r>
              <w:rPr>
                <w:b/>
                <w:sz w:val="22"/>
                <w:szCs w:val="22"/>
              </w:rPr>
              <w:t xml:space="preserve"> </w:t>
            </w:r>
            <w:r w:rsidRPr="00F455F3">
              <w:rPr>
                <w:b/>
                <w:sz w:val="22"/>
                <w:szCs w:val="22"/>
              </w:rPr>
              <w:t>dagligt</w:t>
            </w:r>
          </w:p>
          <w:p w:rsidR="002A0DA0" w:rsidRPr="00F455F3" w:rsidRDefault="002A0DA0" w:rsidP="002A0DA0">
            <w:pPr>
              <w:ind w:left="29"/>
              <w:rPr>
                <w:b/>
                <w:sz w:val="22"/>
                <w:szCs w:val="22"/>
              </w:rPr>
            </w:pPr>
            <w:r w:rsidRPr="00F455F3">
              <w:rPr>
                <w:sz w:val="22"/>
                <w:szCs w:val="22"/>
              </w:rPr>
              <w:t>(atazanavir 400 mg 1 gang</w:t>
            </w:r>
            <w:r>
              <w:rPr>
                <w:sz w:val="22"/>
                <w:szCs w:val="22"/>
              </w:rPr>
              <w:t xml:space="preserve"> </w:t>
            </w:r>
            <w:r w:rsidRPr="00F455F3">
              <w:rPr>
                <w:sz w:val="22"/>
                <w:szCs w:val="22"/>
              </w:rPr>
              <w:t>dagligt)</w:t>
            </w: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Der er ikke set signifikant påvirkning af atazanavirkoncentrationen.</w:t>
            </w:r>
          </w:p>
        </w:tc>
        <w:tc>
          <w:tcPr>
            <w:tcW w:w="1701" w:type="pct"/>
            <w:vMerge w:val="restar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Ketoconazol og itraconazol bør</w:t>
            </w:r>
            <w:r>
              <w:rPr>
                <w:sz w:val="22"/>
                <w:szCs w:val="22"/>
              </w:rPr>
              <w:t xml:space="preserve"> </w:t>
            </w:r>
            <w:r w:rsidRPr="00F455F3">
              <w:rPr>
                <w:sz w:val="22"/>
                <w:szCs w:val="22"/>
              </w:rPr>
              <w:t>anvendes med forsigtighed sammen med atazanavir/ritonavir. Høje doser ketoconazol og itraconazol (&gt;200 mg/dag) frarådes.</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Itraconazol</w:t>
            </w: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Itraconazol er, som ketoconazol, en potent CYP3A4-hæmmer såvel som et CYP3A4-substrat.</w:t>
            </w:r>
          </w:p>
        </w:tc>
        <w:tc>
          <w:tcPr>
            <w:tcW w:w="1701" w:type="pct"/>
            <w:vMerge/>
            <w:tcBorders>
              <w:top w:val="single" w:sz="4" w:space="0" w:color="auto"/>
              <w:left w:val="single" w:sz="4" w:space="0" w:color="auto"/>
              <w:bottom w:val="single" w:sz="4" w:space="0" w:color="auto"/>
              <w:right w:val="single" w:sz="4" w:space="0" w:color="auto"/>
            </w:tcBorders>
            <w:vAlign w:val="center"/>
            <w:hideMark/>
          </w:tcPr>
          <w:p w:rsidR="002A0DA0" w:rsidRPr="00F455F3" w:rsidRDefault="002A0DA0" w:rsidP="002A0DA0">
            <w:pPr>
              <w:ind w:left="29"/>
              <w:rPr>
                <w:sz w:val="22"/>
                <w:szCs w:val="22"/>
              </w:rPr>
            </w:pPr>
          </w:p>
        </w:tc>
      </w:tr>
      <w:tr w:rsidR="002A0DA0" w:rsidTr="002A0DA0">
        <w:tc>
          <w:tcPr>
            <w:tcW w:w="1566"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b/>
                <w:sz w:val="22"/>
                <w:szCs w:val="22"/>
              </w:rPr>
            </w:pP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 xml:space="preserve">Baseret på data fra andre boostede PI’er og ketoconazol, hvor ketoconazol-AUC viste en </w:t>
            </w:r>
            <w:proofErr w:type="gramStart"/>
            <w:r w:rsidRPr="00F455F3">
              <w:rPr>
                <w:sz w:val="22"/>
                <w:szCs w:val="22"/>
              </w:rPr>
              <w:t>3-fold stigning</w:t>
            </w:r>
            <w:proofErr w:type="gramEnd"/>
            <w:r w:rsidRPr="00F455F3">
              <w:rPr>
                <w:sz w:val="22"/>
                <w:szCs w:val="22"/>
              </w:rPr>
              <w:t>, forventes atazanavir/ritonavir at øge ketoconazol- og itraconazolkoncentrationerne.</w:t>
            </w:r>
          </w:p>
        </w:tc>
        <w:tc>
          <w:tcPr>
            <w:tcW w:w="1701" w:type="pct"/>
            <w:vMerge/>
            <w:tcBorders>
              <w:top w:val="single" w:sz="4" w:space="0" w:color="auto"/>
              <w:left w:val="single" w:sz="4" w:space="0" w:color="auto"/>
              <w:bottom w:val="single" w:sz="4" w:space="0" w:color="auto"/>
              <w:right w:val="single" w:sz="4" w:space="0" w:color="auto"/>
            </w:tcBorders>
            <w:vAlign w:val="center"/>
            <w:hideMark/>
          </w:tcPr>
          <w:p w:rsidR="002A0DA0" w:rsidRPr="00F455F3" w:rsidRDefault="002A0DA0" w:rsidP="002A0DA0">
            <w:pPr>
              <w:ind w:left="29"/>
              <w:rPr>
                <w:sz w:val="22"/>
                <w:szCs w:val="22"/>
              </w:rPr>
            </w:pPr>
          </w:p>
        </w:tc>
      </w:tr>
      <w:tr w:rsidR="002A0DA0" w:rsidTr="002A0DA0">
        <w:tc>
          <w:tcPr>
            <w:tcW w:w="1566"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sz w:val="22"/>
                <w:szCs w:val="22"/>
              </w:rPr>
            </w:pPr>
            <w:r w:rsidRPr="00F455F3">
              <w:rPr>
                <w:b/>
                <w:sz w:val="22"/>
                <w:szCs w:val="22"/>
              </w:rPr>
              <w:t>Voriconazol 200 mg 2 gange</w:t>
            </w:r>
            <w:r>
              <w:rPr>
                <w:b/>
                <w:sz w:val="22"/>
                <w:szCs w:val="22"/>
              </w:rPr>
              <w:t xml:space="preserve"> </w:t>
            </w:r>
            <w:r w:rsidRPr="00F455F3">
              <w:rPr>
                <w:b/>
                <w:sz w:val="22"/>
                <w:szCs w:val="22"/>
              </w:rPr>
              <w:t xml:space="preserve">dagligt </w:t>
            </w:r>
            <w:r w:rsidRPr="00F455F3">
              <w:rPr>
                <w:sz w:val="22"/>
                <w:szCs w:val="22"/>
              </w:rPr>
              <w:t>(atazanavir</w:t>
            </w:r>
            <w:r>
              <w:rPr>
                <w:sz w:val="22"/>
                <w:szCs w:val="22"/>
              </w:rPr>
              <w:t xml:space="preserve"> </w:t>
            </w:r>
            <w:r w:rsidRPr="00F455F3">
              <w:rPr>
                <w:sz w:val="22"/>
                <w:szCs w:val="22"/>
              </w:rPr>
              <w:t>300 mg/ritonavir 100 mg 1 gang</w:t>
            </w:r>
            <w:r>
              <w:rPr>
                <w:sz w:val="22"/>
                <w:szCs w:val="22"/>
              </w:rPr>
              <w:t xml:space="preserve"> </w:t>
            </w:r>
            <w:r w:rsidRPr="00F455F3">
              <w:rPr>
                <w:sz w:val="22"/>
                <w:szCs w:val="22"/>
              </w:rPr>
              <w:t>dagligt)</w:t>
            </w:r>
          </w:p>
          <w:p w:rsidR="002A0DA0" w:rsidRPr="00F455F3" w:rsidRDefault="002A0DA0" w:rsidP="002A0DA0">
            <w:pPr>
              <w:ind w:left="29"/>
              <w:rPr>
                <w:sz w:val="22"/>
                <w:szCs w:val="22"/>
              </w:rPr>
            </w:pPr>
          </w:p>
          <w:p w:rsidR="002A0DA0" w:rsidRPr="00F455F3" w:rsidRDefault="002A0DA0" w:rsidP="002A0DA0">
            <w:pPr>
              <w:ind w:left="29"/>
              <w:rPr>
                <w:b/>
                <w:sz w:val="22"/>
                <w:szCs w:val="22"/>
              </w:rPr>
            </w:pPr>
            <w:r w:rsidRPr="00F455F3">
              <w:rPr>
                <w:sz w:val="22"/>
                <w:szCs w:val="22"/>
              </w:rPr>
              <w:t>Personer med mindst én</w:t>
            </w:r>
            <w:r>
              <w:rPr>
                <w:sz w:val="22"/>
                <w:szCs w:val="22"/>
              </w:rPr>
              <w:t xml:space="preserve"> </w:t>
            </w:r>
            <w:r w:rsidRPr="00F455F3">
              <w:rPr>
                <w:sz w:val="22"/>
                <w:szCs w:val="22"/>
              </w:rPr>
              <w:t>funktionel CYP2C19-allel.</w:t>
            </w:r>
          </w:p>
        </w:tc>
        <w:tc>
          <w:tcPr>
            <w:tcW w:w="1733"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sz w:val="22"/>
                <w:szCs w:val="22"/>
              </w:rPr>
            </w:pPr>
            <w:r w:rsidRPr="00F455F3">
              <w:rPr>
                <w:sz w:val="22"/>
                <w:szCs w:val="22"/>
              </w:rPr>
              <w:t>Voriconazol AUC ↓33% (↓42% ↓22%)</w:t>
            </w:r>
          </w:p>
          <w:p w:rsidR="002A0DA0" w:rsidRPr="00F455F3" w:rsidRDefault="002A0DA0" w:rsidP="002A0DA0">
            <w:pPr>
              <w:ind w:left="29"/>
              <w:rPr>
                <w:sz w:val="22"/>
                <w:szCs w:val="22"/>
              </w:rPr>
            </w:pPr>
            <w:r w:rsidRPr="00F455F3">
              <w:rPr>
                <w:sz w:val="22"/>
                <w:szCs w:val="22"/>
              </w:rPr>
              <w:t>Voriconazol C</w:t>
            </w:r>
            <w:r w:rsidRPr="00F455F3">
              <w:rPr>
                <w:sz w:val="22"/>
                <w:szCs w:val="22"/>
                <w:vertAlign w:val="subscript"/>
              </w:rPr>
              <w:t>max</w:t>
            </w:r>
            <w:r w:rsidRPr="00F455F3">
              <w:rPr>
                <w:sz w:val="22"/>
                <w:szCs w:val="22"/>
              </w:rPr>
              <w:t xml:space="preserve"> ↓10% (↓22% ↓4%)</w:t>
            </w:r>
          </w:p>
          <w:p w:rsidR="002A0DA0" w:rsidRPr="00F455F3" w:rsidRDefault="002A0DA0" w:rsidP="002A0DA0">
            <w:pPr>
              <w:ind w:left="29"/>
              <w:rPr>
                <w:sz w:val="22"/>
                <w:szCs w:val="22"/>
              </w:rPr>
            </w:pPr>
            <w:r w:rsidRPr="00F455F3">
              <w:rPr>
                <w:sz w:val="22"/>
                <w:szCs w:val="22"/>
              </w:rPr>
              <w:t>Voriconazol C</w:t>
            </w:r>
            <w:r w:rsidRPr="00F455F3">
              <w:rPr>
                <w:sz w:val="22"/>
                <w:szCs w:val="22"/>
                <w:vertAlign w:val="subscript"/>
              </w:rPr>
              <w:t>min</w:t>
            </w:r>
            <w:r w:rsidRPr="00F455F3">
              <w:rPr>
                <w:sz w:val="22"/>
                <w:szCs w:val="22"/>
              </w:rPr>
              <w:t xml:space="preserve"> ↓39% (↓49% ↓28%)</w:t>
            </w:r>
          </w:p>
          <w:p w:rsidR="002A0DA0" w:rsidRPr="00F455F3" w:rsidRDefault="002A0DA0" w:rsidP="002A0DA0">
            <w:pPr>
              <w:ind w:left="29"/>
              <w:rPr>
                <w:sz w:val="22"/>
                <w:szCs w:val="22"/>
              </w:rPr>
            </w:pPr>
          </w:p>
          <w:p w:rsidR="002A0DA0" w:rsidRPr="00F455F3" w:rsidRDefault="002A0DA0" w:rsidP="002A0DA0">
            <w:pPr>
              <w:ind w:left="29"/>
              <w:rPr>
                <w:sz w:val="22"/>
                <w:szCs w:val="22"/>
              </w:rPr>
            </w:pPr>
            <w:r w:rsidRPr="00F455F3">
              <w:rPr>
                <w:sz w:val="22"/>
                <w:szCs w:val="22"/>
              </w:rPr>
              <w:t>Atazanavir AUC ↓12% (↓18% ↓5%)</w:t>
            </w:r>
          </w:p>
          <w:p w:rsidR="002A0DA0" w:rsidRPr="00F455F3" w:rsidRDefault="002A0DA0" w:rsidP="002A0DA0">
            <w:pPr>
              <w:ind w:left="29"/>
              <w:rPr>
                <w:sz w:val="22"/>
                <w:szCs w:val="22"/>
              </w:rPr>
            </w:pPr>
            <w:r w:rsidRPr="00F455F3">
              <w:rPr>
                <w:sz w:val="22"/>
                <w:szCs w:val="22"/>
              </w:rPr>
              <w:t>Atazanavir C</w:t>
            </w:r>
            <w:r w:rsidRPr="00F455F3">
              <w:rPr>
                <w:sz w:val="22"/>
                <w:szCs w:val="22"/>
                <w:vertAlign w:val="subscript"/>
              </w:rPr>
              <w:t>max</w:t>
            </w:r>
            <w:r w:rsidRPr="00F455F3">
              <w:rPr>
                <w:sz w:val="22"/>
                <w:szCs w:val="22"/>
              </w:rPr>
              <w:t xml:space="preserve"> ↓13% (↓20% ↓4%)</w:t>
            </w:r>
          </w:p>
          <w:p w:rsidR="002A0DA0" w:rsidRPr="00F455F3" w:rsidRDefault="002A0DA0" w:rsidP="002A0DA0">
            <w:pPr>
              <w:ind w:left="29"/>
              <w:rPr>
                <w:sz w:val="22"/>
                <w:szCs w:val="22"/>
              </w:rPr>
            </w:pPr>
            <w:r w:rsidRPr="00F455F3">
              <w:rPr>
                <w:sz w:val="22"/>
                <w:szCs w:val="22"/>
              </w:rPr>
              <w:t>Atazanavir C</w:t>
            </w:r>
            <w:r w:rsidRPr="00F455F3">
              <w:rPr>
                <w:sz w:val="22"/>
                <w:szCs w:val="22"/>
                <w:vertAlign w:val="subscript"/>
              </w:rPr>
              <w:t>min</w:t>
            </w:r>
            <w:r w:rsidRPr="00F455F3">
              <w:rPr>
                <w:sz w:val="22"/>
                <w:szCs w:val="22"/>
              </w:rPr>
              <w:t xml:space="preserve"> ↓20% (↓28% ↓10%)</w:t>
            </w:r>
          </w:p>
          <w:p w:rsidR="002A0DA0" w:rsidRPr="00F455F3" w:rsidRDefault="002A0DA0" w:rsidP="002A0DA0">
            <w:pPr>
              <w:ind w:left="29"/>
              <w:rPr>
                <w:sz w:val="22"/>
                <w:szCs w:val="22"/>
              </w:rPr>
            </w:pPr>
          </w:p>
          <w:p w:rsidR="002A0DA0" w:rsidRPr="00F455F3" w:rsidRDefault="002A0DA0" w:rsidP="002A0DA0">
            <w:pPr>
              <w:ind w:left="29"/>
              <w:rPr>
                <w:sz w:val="22"/>
                <w:szCs w:val="22"/>
              </w:rPr>
            </w:pPr>
            <w:r w:rsidRPr="00F455F3">
              <w:rPr>
                <w:sz w:val="22"/>
                <w:szCs w:val="22"/>
              </w:rPr>
              <w:t>Ritonavir AUC ↓12% (↓17% ↓7%)</w:t>
            </w:r>
          </w:p>
          <w:p w:rsidR="002A0DA0" w:rsidRPr="00F455F3" w:rsidRDefault="002A0DA0" w:rsidP="002A0DA0">
            <w:pPr>
              <w:ind w:left="29"/>
              <w:rPr>
                <w:sz w:val="22"/>
                <w:szCs w:val="22"/>
              </w:rPr>
            </w:pPr>
            <w:r w:rsidRPr="00F455F3">
              <w:rPr>
                <w:sz w:val="22"/>
                <w:szCs w:val="22"/>
              </w:rPr>
              <w:t>Ritonavir C</w:t>
            </w:r>
            <w:r w:rsidRPr="00F455F3">
              <w:rPr>
                <w:sz w:val="22"/>
                <w:szCs w:val="22"/>
                <w:vertAlign w:val="subscript"/>
              </w:rPr>
              <w:t>max</w:t>
            </w:r>
            <w:r w:rsidRPr="00F455F3">
              <w:rPr>
                <w:sz w:val="22"/>
                <w:szCs w:val="22"/>
              </w:rPr>
              <w:t xml:space="preserve"> ↓9% (↓17% ↔0%)</w:t>
            </w:r>
          </w:p>
          <w:p w:rsidR="002A0DA0" w:rsidRPr="00F455F3" w:rsidRDefault="002A0DA0" w:rsidP="002A0DA0">
            <w:pPr>
              <w:ind w:left="29"/>
              <w:rPr>
                <w:sz w:val="22"/>
                <w:szCs w:val="22"/>
              </w:rPr>
            </w:pPr>
            <w:r w:rsidRPr="00F455F3">
              <w:rPr>
                <w:sz w:val="22"/>
                <w:szCs w:val="22"/>
              </w:rPr>
              <w:t>Ritonavir C</w:t>
            </w:r>
            <w:r w:rsidRPr="00F455F3">
              <w:rPr>
                <w:sz w:val="22"/>
                <w:szCs w:val="22"/>
                <w:vertAlign w:val="subscript"/>
              </w:rPr>
              <w:t>min</w:t>
            </w:r>
            <w:r w:rsidRPr="00F455F3">
              <w:rPr>
                <w:sz w:val="22"/>
                <w:szCs w:val="22"/>
              </w:rPr>
              <w:t xml:space="preserve"> ↓25% (↓35% ↓14%)</w:t>
            </w:r>
          </w:p>
          <w:p w:rsidR="002A0DA0" w:rsidRPr="00F455F3" w:rsidRDefault="002A0DA0" w:rsidP="002A0DA0">
            <w:pPr>
              <w:ind w:left="29"/>
              <w:rPr>
                <w:sz w:val="22"/>
                <w:szCs w:val="22"/>
              </w:rPr>
            </w:pPr>
          </w:p>
          <w:p w:rsidR="002A0DA0" w:rsidRPr="00F455F3" w:rsidRDefault="002A0DA0" w:rsidP="002A0DA0">
            <w:pPr>
              <w:ind w:left="29"/>
              <w:rPr>
                <w:sz w:val="22"/>
                <w:szCs w:val="22"/>
              </w:rPr>
            </w:pPr>
            <w:r w:rsidRPr="00F455F3">
              <w:rPr>
                <w:sz w:val="22"/>
                <w:szCs w:val="22"/>
              </w:rPr>
              <w:t xml:space="preserve">Hos størstedelen af patienterne med mindst én funktionel CYP2C19-allel forventes en </w:t>
            </w:r>
            <w:r w:rsidRPr="00F455F3">
              <w:rPr>
                <w:sz w:val="22"/>
                <w:szCs w:val="22"/>
              </w:rPr>
              <w:lastRenderedPageBreak/>
              <w:t>reduktion i eksponering for både voriconazol og atazanavir.</w:t>
            </w:r>
          </w:p>
        </w:tc>
        <w:tc>
          <w:tcPr>
            <w:tcW w:w="1701" w:type="pct"/>
            <w:vMerge w:val="restar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sz w:val="22"/>
                <w:szCs w:val="22"/>
              </w:rPr>
            </w:pPr>
            <w:r w:rsidRPr="00F455F3">
              <w:rPr>
                <w:sz w:val="22"/>
                <w:szCs w:val="22"/>
              </w:rPr>
              <w:lastRenderedPageBreak/>
              <w:t>Samtidig administration af</w:t>
            </w:r>
            <w:r>
              <w:rPr>
                <w:sz w:val="22"/>
                <w:szCs w:val="22"/>
              </w:rPr>
              <w:t xml:space="preserve"> </w:t>
            </w:r>
            <w:r w:rsidRPr="00F455F3">
              <w:rPr>
                <w:sz w:val="22"/>
                <w:szCs w:val="22"/>
              </w:rPr>
              <w:t>voriconazol og atazanavir med</w:t>
            </w:r>
            <w:r>
              <w:rPr>
                <w:sz w:val="22"/>
                <w:szCs w:val="22"/>
              </w:rPr>
              <w:t xml:space="preserve"> </w:t>
            </w:r>
            <w:r w:rsidRPr="00F455F3">
              <w:rPr>
                <w:sz w:val="22"/>
                <w:szCs w:val="22"/>
              </w:rPr>
              <w:t>ritonavir frarådes medmindre det vurderes, at fordel/risikoforholdet for patienten berettiger brug af voriconazol (se pkt. 4.4).</w:t>
            </w:r>
          </w:p>
          <w:p w:rsidR="002A0DA0" w:rsidRPr="00F455F3" w:rsidRDefault="002A0DA0" w:rsidP="002A0DA0">
            <w:pPr>
              <w:ind w:left="29"/>
              <w:rPr>
                <w:sz w:val="22"/>
                <w:szCs w:val="22"/>
              </w:rPr>
            </w:pPr>
          </w:p>
          <w:p w:rsidR="002A0DA0" w:rsidRPr="00F455F3" w:rsidRDefault="002A0DA0" w:rsidP="002A0DA0">
            <w:pPr>
              <w:ind w:left="29"/>
              <w:rPr>
                <w:sz w:val="22"/>
                <w:szCs w:val="22"/>
              </w:rPr>
            </w:pPr>
            <w:r w:rsidRPr="00F455F3">
              <w:rPr>
                <w:sz w:val="22"/>
                <w:szCs w:val="22"/>
              </w:rPr>
              <w:t>Når behandling med voriconazol er påkrævet, bør patientens CYP2C19-genotype bestemmes, hvis muligt.</w:t>
            </w:r>
          </w:p>
          <w:p w:rsidR="002A0DA0" w:rsidRPr="00F455F3" w:rsidRDefault="002A0DA0" w:rsidP="002A0DA0">
            <w:pPr>
              <w:ind w:left="29"/>
              <w:rPr>
                <w:sz w:val="22"/>
                <w:szCs w:val="22"/>
              </w:rPr>
            </w:pPr>
          </w:p>
          <w:p w:rsidR="002A0DA0" w:rsidRPr="00F455F3" w:rsidRDefault="002A0DA0" w:rsidP="002A0DA0">
            <w:pPr>
              <w:ind w:left="29"/>
              <w:rPr>
                <w:sz w:val="22"/>
                <w:szCs w:val="22"/>
              </w:rPr>
            </w:pPr>
            <w:r w:rsidRPr="00F455F3">
              <w:rPr>
                <w:sz w:val="22"/>
                <w:szCs w:val="22"/>
              </w:rPr>
              <w:t>Hvis kombinationen ikke kan</w:t>
            </w:r>
            <w:r>
              <w:rPr>
                <w:sz w:val="22"/>
                <w:szCs w:val="22"/>
              </w:rPr>
              <w:t xml:space="preserve"> </w:t>
            </w:r>
            <w:r w:rsidRPr="00F455F3">
              <w:rPr>
                <w:sz w:val="22"/>
                <w:szCs w:val="22"/>
              </w:rPr>
              <w:t>undgås, anbefales derfor følgende, afhængigt af CYP2C19-status:</w:t>
            </w:r>
          </w:p>
          <w:p w:rsidR="002A0DA0" w:rsidRPr="00F455F3" w:rsidRDefault="002A0DA0" w:rsidP="002A0DA0">
            <w:pPr>
              <w:ind w:left="29"/>
              <w:rPr>
                <w:sz w:val="22"/>
                <w:szCs w:val="22"/>
              </w:rPr>
            </w:pPr>
          </w:p>
          <w:p w:rsidR="002A0DA0" w:rsidRPr="00F455F3" w:rsidRDefault="002A0DA0" w:rsidP="002A0DA0">
            <w:pPr>
              <w:ind w:left="29"/>
              <w:rPr>
                <w:sz w:val="22"/>
                <w:szCs w:val="22"/>
              </w:rPr>
            </w:pPr>
            <w:r w:rsidRPr="00F455F3">
              <w:rPr>
                <w:sz w:val="22"/>
                <w:szCs w:val="22"/>
              </w:rPr>
              <w:t>- hos patienter med mindst én</w:t>
            </w:r>
            <w:r>
              <w:rPr>
                <w:sz w:val="22"/>
                <w:szCs w:val="22"/>
              </w:rPr>
              <w:t xml:space="preserve"> </w:t>
            </w:r>
            <w:r w:rsidRPr="00F455F3">
              <w:rPr>
                <w:sz w:val="22"/>
                <w:szCs w:val="22"/>
              </w:rPr>
              <w:t>funktionel CYP2C19-allel</w:t>
            </w:r>
            <w:r>
              <w:rPr>
                <w:sz w:val="22"/>
                <w:szCs w:val="22"/>
              </w:rPr>
              <w:t xml:space="preserve"> </w:t>
            </w:r>
            <w:r w:rsidRPr="00F455F3">
              <w:rPr>
                <w:sz w:val="22"/>
                <w:szCs w:val="22"/>
              </w:rPr>
              <w:t>anbefales tæt klinisk</w:t>
            </w:r>
            <w:r>
              <w:rPr>
                <w:sz w:val="22"/>
                <w:szCs w:val="22"/>
              </w:rPr>
              <w:t xml:space="preserve"> </w:t>
            </w:r>
            <w:r w:rsidRPr="00F455F3">
              <w:rPr>
                <w:sz w:val="22"/>
                <w:szCs w:val="22"/>
              </w:rPr>
              <w:t>monitorering for manglende</w:t>
            </w:r>
            <w:r>
              <w:rPr>
                <w:sz w:val="22"/>
                <w:szCs w:val="22"/>
              </w:rPr>
              <w:t xml:space="preserve"> </w:t>
            </w:r>
            <w:r w:rsidRPr="00F455F3">
              <w:rPr>
                <w:sz w:val="22"/>
                <w:szCs w:val="22"/>
              </w:rPr>
              <w:t xml:space="preserve">virkning af både </w:t>
            </w:r>
            <w:r w:rsidRPr="00F455F3">
              <w:rPr>
                <w:sz w:val="22"/>
                <w:szCs w:val="22"/>
              </w:rPr>
              <w:lastRenderedPageBreak/>
              <w:t>voriconazol</w:t>
            </w:r>
            <w:r>
              <w:rPr>
                <w:sz w:val="22"/>
                <w:szCs w:val="22"/>
              </w:rPr>
              <w:t xml:space="preserve"> </w:t>
            </w:r>
            <w:r w:rsidRPr="00F455F3">
              <w:rPr>
                <w:sz w:val="22"/>
                <w:szCs w:val="22"/>
              </w:rPr>
              <w:t>(kliniske tegn) og atazanavir</w:t>
            </w:r>
            <w:r>
              <w:rPr>
                <w:sz w:val="22"/>
                <w:szCs w:val="22"/>
              </w:rPr>
              <w:t xml:space="preserve"> </w:t>
            </w:r>
            <w:r w:rsidRPr="00F455F3">
              <w:rPr>
                <w:sz w:val="22"/>
                <w:szCs w:val="22"/>
              </w:rPr>
              <w:t>(virologisk respons).</w:t>
            </w:r>
          </w:p>
          <w:p w:rsidR="002A0DA0" w:rsidRPr="00F455F3" w:rsidRDefault="002A0DA0" w:rsidP="002A0DA0">
            <w:pPr>
              <w:ind w:left="29"/>
              <w:rPr>
                <w:sz w:val="22"/>
                <w:szCs w:val="22"/>
              </w:rPr>
            </w:pPr>
          </w:p>
          <w:p w:rsidR="002A0DA0" w:rsidRPr="00F455F3" w:rsidRDefault="002A0DA0" w:rsidP="002A0DA0">
            <w:pPr>
              <w:ind w:left="29"/>
              <w:rPr>
                <w:sz w:val="22"/>
                <w:szCs w:val="22"/>
              </w:rPr>
            </w:pPr>
            <w:r w:rsidRPr="00F455F3">
              <w:rPr>
                <w:sz w:val="22"/>
                <w:szCs w:val="22"/>
              </w:rPr>
              <w:t>- hos patienter uden en</w:t>
            </w:r>
            <w:r>
              <w:rPr>
                <w:sz w:val="22"/>
                <w:szCs w:val="22"/>
              </w:rPr>
              <w:t xml:space="preserve"> </w:t>
            </w:r>
            <w:r w:rsidRPr="00F455F3">
              <w:rPr>
                <w:sz w:val="22"/>
                <w:szCs w:val="22"/>
              </w:rPr>
              <w:t>funktionel CYP2C19-allel</w:t>
            </w:r>
            <w:r>
              <w:rPr>
                <w:sz w:val="22"/>
                <w:szCs w:val="22"/>
              </w:rPr>
              <w:t xml:space="preserve"> </w:t>
            </w:r>
            <w:r w:rsidRPr="00F455F3">
              <w:rPr>
                <w:sz w:val="22"/>
                <w:szCs w:val="22"/>
              </w:rPr>
              <w:t>anbefales tæt klinisk og</w:t>
            </w:r>
            <w:r>
              <w:rPr>
                <w:sz w:val="22"/>
                <w:szCs w:val="22"/>
              </w:rPr>
              <w:t xml:space="preserve"> </w:t>
            </w:r>
            <w:r w:rsidRPr="00F455F3">
              <w:rPr>
                <w:sz w:val="22"/>
                <w:szCs w:val="22"/>
              </w:rPr>
              <w:t>laboratoriemæssig monitorering</w:t>
            </w:r>
            <w:r>
              <w:rPr>
                <w:sz w:val="22"/>
                <w:szCs w:val="22"/>
              </w:rPr>
              <w:t xml:space="preserve"> </w:t>
            </w:r>
            <w:r w:rsidRPr="00F455F3">
              <w:rPr>
                <w:sz w:val="22"/>
                <w:szCs w:val="22"/>
              </w:rPr>
              <w:t>for voriconazol-relaterede</w:t>
            </w:r>
            <w:r>
              <w:rPr>
                <w:sz w:val="22"/>
                <w:szCs w:val="22"/>
              </w:rPr>
              <w:t xml:space="preserve"> </w:t>
            </w:r>
            <w:r w:rsidRPr="00F455F3">
              <w:rPr>
                <w:sz w:val="22"/>
                <w:szCs w:val="22"/>
              </w:rPr>
              <w:t>bivirkninger</w:t>
            </w:r>
          </w:p>
          <w:p w:rsidR="002A0DA0" w:rsidRPr="00F455F3" w:rsidRDefault="002A0DA0" w:rsidP="002A0DA0">
            <w:pPr>
              <w:ind w:left="29"/>
              <w:rPr>
                <w:sz w:val="22"/>
                <w:szCs w:val="22"/>
              </w:rPr>
            </w:pPr>
          </w:p>
          <w:p w:rsidR="002A0DA0" w:rsidRPr="00F455F3" w:rsidRDefault="002A0DA0" w:rsidP="002A0DA0">
            <w:pPr>
              <w:ind w:left="29"/>
              <w:rPr>
                <w:sz w:val="22"/>
                <w:szCs w:val="22"/>
              </w:rPr>
            </w:pPr>
            <w:r w:rsidRPr="00F455F3">
              <w:rPr>
                <w:sz w:val="22"/>
                <w:szCs w:val="22"/>
              </w:rPr>
              <w:t>Hvis genotypebestemmelse ikke</w:t>
            </w:r>
            <w:r>
              <w:rPr>
                <w:sz w:val="22"/>
                <w:szCs w:val="22"/>
              </w:rPr>
              <w:t xml:space="preserve"> </w:t>
            </w:r>
            <w:r w:rsidRPr="00F455F3">
              <w:rPr>
                <w:sz w:val="22"/>
                <w:szCs w:val="22"/>
              </w:rPr>
              <w:t>er mulig, skal der udføres</w:t>
            </w:r>
            <w:r>
              <w:rPr>
                <w:sz w:val="22"/>
                <w:szCs w:val="22"/>
              </w:rPr>
              <w:t xml:space="preserve"> </w:t>
            </w:r>
            <w:r w:rsidRPr="00F455F3">
              <w:rPr>
                <w:sz w:val="22"/>
                <w:szCs w:val="22"/>
              </w:rPr>
              <w:t>komplet monitorering af</w:t>
            </w:r>
            <w:r>
              <w:rPr>
                <w:sz w:val="22"/>
                <w:szCs w:val="22"/>
              </w:rPr>
              <w:t xml:space="preserve"> </w:t>
            </w:r>
            <w:r w:rsidRPr="00F455F3">
              <w:rPr>
                <w:sz w:val="22"/>
                <w:szCs w:val="22"/>
              </w:rPr>
              <w:t>virkning og bivirkninger.</w:t>
            </w:r>
          </w:p>
        </w:tc>
      </w:tr>
      <w:tr w:rsidR="002A0DA0" w:rsidTr="002A0DA0">
        <w:tc>
          <w:tcPr>
            <w:tcW w:w="1566"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sz w:val="22"/>
                <w:szCs w:val="22"/>
              </w:rPr>
            </w:pPr>
            <w:r w:rsidRPr="00F455F3">
              <w:rPr>
                <w:b/>
                <w:sz w:val="22"/>
                <w:szCs w:val="22"/>
              </w:rPr>
              <w:lastRenderedPageBreak/>
              <w:t xml:space="preserve">Voriconazol 50 mg 2 gange dagligt </w:t>
            </w:r>
            <w:r w:rsidRPr="00F455F3">
              <w:rPr>
                <w:sz w:val="22"/>
                <w:szCs w:val="22"/>
              </w:rPr>
              <w:t>(atazanavir 300 mg/ritonavir 100 mg 1 gang dagligt)</w:t>
            </w:r>
          </w:p>
          <w:p w:rsidR="002A0DA0" w:rsidRPr="00F455F3" w:rsidRDefault="002A0DA0" w:rsidP="002A0DA0">
            <w:pPr>
              <w:ind w:left="29"/>
              <w:rPr>
                <w:sz w:val="22"/>
                <w:szCs w:val="22"/>
              </w:rPr>
            </w:pPr>
          </w:p>
          <w:p w:rsidR="002A0DA0" w:rsidRPr="00F455F3" w:rsidRDefault="002A0DA0" w:rsidP="002A0DA0">
            <w:pPr>
              <w:ind w:left="29"/>
              <w:rPr>
                <w:sz w:val="22"/>
                <w:szCs w:val="22"/>
              </w:rPr>
            </w:pPr>
            <w:r w:rsidRPr="00F455F3">
              <w:rPr>
                <w:sz w:val="22"/>
                <w:szCs w:val="22"/>
              </w:rPr>
              <w:t>Personer uden en funktionel</w:t>
            </w:r>
          </w:p>
          <w:p w:rsidR="002A0DA0" w:rsidRPr="00F455F3" w:rsidRDefault="002A0DA0" w:rsidP="002A0DA0">
            <w:pPr>
              <w:ind w:left="29"/>
              <w:rPr>
                <w:b/>
                <w:sz w:val="22"/>
                <w:szCs w:val="22"/>
              </w:rPr>
            </w:pPr>
            <w:r w:rsidRPr="00F455F3">
              <w:rPr>
                <w:sz w:val="22"/>
                <w:szCs w:val="22"/>
              </w:rPr>
              <w:t>CYP2C19-allel.</w:t>
            </w:r>
          </w:p>
        </w:tc>
        <w:tc>
          <w:tcPr>
            <w:tcW w:w="1733"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keepNext/>
              <w:ind w:left="28"/>
              <w:rPr>
                <w:sz w:val="22"/>
                <w:szCs w:val="22"/>
              </w:rPr>
            </w:pPr>
            <w:r w:rsidRPr="00F455F3">
              <w:rPr>
                <w:sz w:val="22"/>
                <w:szCs w:val="22"/>
              </w:rPr>
              <w:t>Voriconazol AUC ↑561% (↑451% ↑699%)</w:t>
            </w:r>
          </w:p>
          <w:p w:rsidR="002A0DA0" w:rsidRPr="00F455F3" w:rsidRDefault="002A0DA0" w:rsidP="002A0DA0">
            <w:pPr>
              <w:ind w:left="29"/>
              <w:rPr>
                <w:sz w:val="22"/>
                <w:szCs w:val="22"/>
              </w:rPr>
            </w:pPr>
            <w:r w:rsidRPr="00F455F3">
              <w:rPr>
                <w:sz w:val="22"/>
                <w:szCs w:val="22"/>
              </w:rPr>
              <w:t>Voriconazol C</w:t>
            </w:r>
            <w:r w:rsidRPr="00F455F3">
              <w:rPr>
                <w:sz w:val="22"/>
                <w:szCs w:val="22"/>
                <w:vertAlign w:val="subscript"/>
              </w:rPr>
              <w:t>max</w:t>
            </w:r>
            <w:r w:rsidRPr="00F455F3">
              <w:rPr>
                <w:sz w:val="22"/>
                <w:szCs w:val="22"/>
              </w:rPr>
              <w:t xml:space="preserve"> ↑438% (↑355% ↑539%)</w:t>
            </w:r>
          </w:p>
          <w:p w:rsidR="002A0DA0" w:rsidRPr="00F455F3" w:rsidRDefault="002A0DA0" w:rsidP="002A0DA0">
            <w:pPr>
              <w:ind w:left="29"/>
              <w:rPr>
                <w:sz w:val="22"/>
                <w:szCs w:val="22"/>
              </w:rPr>
            </w:pPr>
            <w:r w:rsidRPr="00F455F3">
              <w:rPr>
                <w:sz w:val="22"/>
                <w:szCs w:val="22"/>
              </w:rPr>
              <w:t>Voriconazol C</w:t>
            </w:r>
            <w:r w:rsidRPr="00F455F3">
              <w:rPr>
                <w:sz w:val="22"/>
                <w:szCs w:val="22"/>
                <w:vertAlign w:val="subscript"/>
              </w:rPr>
              <w:t>min</w:t>
            </w:r>
            <w:r w:rsidRPr="00F455F3">
              <w:rPr>
                <w:sz w:val="22"/>
                <w:szCs w:val="22"/>
              </w:rPr>
              <w:t xml:space="preserve"> ↑765% (↑571% ↑1.020%)</w:t>
            </w:r>
          </w:p>
          <w:p w:rsidR="002A0DA0" w:rsidRPr="00F455F3" w:rsidRDefault="002A0DA0" w:rsidP="002A0DA0">
            <w:pPr>
              <w:ind w:left="29"/>
              <w:rPr>
                <w:sz w:val="22"/>
                <w:szCs w:val="22"/>
              </w:rPr>
            </w:pPr>
          </w:p>
          <w:p w:rsidR="002A0DA0" w:rsidRPr="00F455F3" w:rsidRDefault="002A0DA0" w:rsidP="002A0DA0">
            <w:pPr>
              <w:ind w:left="29"/>
              <w:rPr>
                <w:sz w:val="22"/>
                <w:szCs w:val="22"/>
              </w:rPr>
            </w:pPr>
            <w:r w:rsidRPr="00F455F3">
              <w:rPr>
                <w:sz w:val="22"/>
                <w:szCs w:val="22"/>
              </w:rPr>
              <w:t>Atazanavir AUC ↓20% (↓35% ↓3%)</w:t>
            </w:r>
          </w:p>
          <w:p w:rsidR="002A0DA0" w:rsidRPr="00F455F3" w:rsidRDefault="002A0DA0" w:rsidP="002A0DA0">
            <w:pPr>
              <w:ind w:left="29"/>
              <w:rPr>
                <w:sz w:val="22"/>
                <w:szCs w:val="22"/>
              </w:rPr>
            </w:pPr>
            <w:r w:rsidRPr="00F455F3">
              <w:rPr>
                <w:sz w:val="22"/>
                <w:szCs w:val="22"/>
              </w:rPr>
              <w:t>Atazanavir C</w:t>
            </w:r>
            <w:r w:rsidRPr="00F455F3">
              <w:rPr>
                <w:sz w:val="22"/>
                <w:szCs w:val="22"/>
                <w:vertAlign w:val="subscript"/>
              </w:rPr>
              <w:t>max</w:t>
            </w:r>
            <w:r w:rsidRPr="00F455F3">
              <w:rPr>
                <w:sz w:val="22"/>
                <w:szCs w:val="22"/>
              </w:rPr>
              <w:t xml:space="preserve"> ↓19% (↓34% ↔0,2%)</w:t>
            </w:r>
          </w:p>
          <w:p w:rsidR="002A0DA0" w:rsidRPr="00F455F3" w:rsidRDefault="002A0DA0" w:rsidP="002A0DA0">
            <w:pPr>
              <w:ind w:left="29"/>
              <w:rPr>
                <w:sz w:val="22"/>
                <w:szCs w:val="22"/>
              </w:rPr>
            </w:pPr>
            <w:r w:rsidRPr="00F455F3">
              <w:rPr>
                <w:sz w:val="22"/>
                <w:szCs w:val="22"/>
              </w:rPr>
              <w:t>Atazanavir C</w:t>
            </w:r>
            <w:r w:rsidRPr="00F455F3">
              <w:rPr>
                <w:sz w:val="22"/>
                <w:szCs w:val="22"/>
                <w:vertAlign w:val="subscript"/>
              </w:rPr>
              <w:t>min</w:t>
            </w:r>
            <w:r w:rsidRPr="00F455F3">
              <w:rPr>
                <w:sz w:val="22"/>
                <w:szCs w:val="22"/>
              </w:rPr>
              <w:t xml:space="preserve"> ↓31 % (↓46 % ↓13%)</w:t>
            </w:r>
          </w:p>
          <w:p w:rsidR="002A0DA0" w:rsidRPr="00F455F3" w:rsidRDefault="002A0DA0" w:rsidP="002A0DA0">
            <w:pPr>
              <w:ind w:left="29"/>
              <w:rPr>
                <w:sz w:val="22"/>
                <w:szCs w:val="22"/>
              </w:rPr>
            </w:pPr>
          </w:p>
          <w:p w:rsidR="002A0DA0" w:rsidRPr="00F455F3" w:rsidRDefault="002A0DA0" w:rsidP="002A0DA0">
            <w:pPr>
              <w:ind w:left="29"/>
              <w:rPr>
                <w:sz w:val="22"/>
                <w:szCs w:val="22"/>
              </w:rPr>
            </w:pPr>
            <w:r w:rsidRPr="00F455F3">
              <w:rPr>
                <w:sz w:val="22"/>
                <w:szCs w:val="22"/>
              </w:rPr>
              <w:t>Ritonavir AUC ↓11% (↓20% ↓1%)</w:t>
            </w:r>
          </w:p>
          <w:p w:rsidR="002A0DA0" w:rsidRPr="00F455F3" w:rsidRDefault="002A0DA0" w:rsidP="002A0DA0">
            <w:pPr>
              <w:ind w:left="29"/>
              <w:rPr>
                <w:sz w:val="22"/>
                <w:szCs w:val="22"/>
              </w:rPr>
            </w:pPr>
            <w:r w:rsidRPr="00F455F3">
              <w:rPr>
                <w:sz w:val="22"/>
                <w:szCs w:val="22"/>
              </w:rPr>
              <w:t>Ritonavir C</w:t>
            </w:r>
            <w:r w:rsidRPr="00F455F3">
              <w:rPr>
                <w:sz w:val="22"/>
                <w:szCs w:val="22"/>
                <w:vertAlign w:val="subscript"/>
              </w:rPr>
              <w:t>max</w:t>
            </w:r>
            <w:r w:rsidRPr="00F455F3">
              <w:rPr>
                <w:sz w:val="22"/>
                <w:szCs w:val="22"/>
              </w:rPr>
              <w:t xml:space="preserve"> ↓11% (↓24% ↑4%)</w:t>
            </w:r>
          </w:p>
          <w:p w:rsidR="002A0DA0" w:rsidRPr="00F455F3" w:rsidRDefault="002A0DA0" w:rsidP="002A0DA0">
            <w:pPr>
              <w:ind w:left="29"/>
              <w:rPr>
                <w:sz w:val="22"/>
                <w:szCs w:val="22"/>
              </w:rPr>
            </w:pPr>
            <w:r w:rsidRPr="00F455F3">
              <w:rPr>
                <w:sz w:val="22"/>
                <w:szCs w:val="22"/>
              </w:rPr>
              <w:t>Ritonavir C</w:t>
            </w:r>
            <w:r w:rsidRPr="00F455F3">
              <w:rPr>
                <w:sz w:val="22"/>
                <w:szCs w:val="22"/>
                <w:vertAlign w:val="subscript"/>
              </w:rPr>
              <w:t>min</w:t>
            </w:r>
            <w:r w:rsidRPr="00F455F3">
              <w:rPr>
                <w:sz w:val="22"/>
                <w:szCs w:val="22"/>
              </w:rPr>
              <w:t xml:space="preserve"> ↓19% (↓35% ↑1%)</w:t>
            </w:r>
          </w:p>
          <w:p w:rsidR="002A0DA0" w:rsidRPr="00F455F3" w:rsidRDefault="002A0DA0" w:rsidP="002A0DA0">
            <w:pPr>
              <w:ind w:left="29"/>
              <w:rPr>
                <w:sz w:val="22"/>
                <w:szCs w:val="22"/>
              </w:rPr>
            </w:pPr>
          </w:p>
          <w:p w:rsidR="002A0DA0" w:rsidRPr="00F455F3" w:rsidRDefault="002A0DA0" w:rsidP="002A0DA0">
            <w:pPr>
              <w:ind w:left="29"/>
              <w:rPr>
                <w:sz w:val="22"/>
                <w:szCs w:val="22"/>
              </w:rPr>
            </w:pPr>
            <w:r w:rsidRPr="00F455F3">
              <w:rPr>
                <w:sz w:val="22"/>
                <w:szCs w:val="22"/>
              </w:rPr>
              <w:t>Hos et lille antal patienter uden en funktionel CYP2C19-allel forventes signifikant øget eksponering for voriconazol.</w:t>
            </w:r>
          </w:p>
        </w:tc>
        <w:tc>
          <w:tcPr>
            <w:tcW w:w="1701" w:type="pct"/>
            <w:vMerge/>
            <w:tcBorders>
              <w:top w:val="single" w:sz="4" w:space="0" w:color="auto"/>
              <w:left w:val="single" w:sz="4" w:space="0" w:color="auto"/>
              <w:bottom w:val="single" w:sz="4" w:space="0" w:color="auto"/>
              <w:right w:val="single" w:sz="4" w:space="0" w:color="auto"/>
            </w:tcBorders>
            <w:vAlign w:val="center"/>
            <w:hideMark/>
          </w:tcPr>
          <w:p w:rsidR="002A0DA0" w:rsidRPr="00F455F3" w:rsidRDefault="002A0DA0" w:rsidP="002A0DA0">
            <w:pPr>
              <w:ind w:left="29"/>
              <w:rPr>
                <w:sz w:val="22"/>
                <w:szCs w:val="22"/>
              </w:rPr>
            </w:pP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Fluconazol 200 mg 1 gang</w:t>
            </w:r>
            <w:r>
              <w:rPr>
                <w:b/>
                <w:sz w:val="22"/>
                <w:szCs w:val="22"/>
              </w:rPr>
              <w:t xml:space="preserve"> </w:t>
            </w:r>
            <w:r w:rsidRPr="00F455F3">
              <w:rPr>
                <w:b/>
                <w:sz w:val="22"/>
                <w:szCs w:val="22"/>
              </w:rPr>
              <w:t>dagligt</w:t>
            </w:r>
          </w:p>
          <w:p w:rsidR="002A0DA0" w:rsidRPr="00F455F3" w:rsidRDefault="002A0DA0" w:rsidP="002A0DA0">
            <w:pPr>
              <w:ind w:left="29"/>
              <w:rPr>
                <w:sz w:val="22"/>
                <w:szCs w:val="22"/>
              </w:rPr>
            </w:pPr>
            <w:r w:rsidRPr="00F455F3">
              <w:rPr>
                <w:sz w:val="22"/>
                <w:szCs w:val="22"/>
              </w:rPr>
              <w:t>(atazanavir 300 mg og ritonavir</w:t>
            </w:r>
          </w:p>
          <w:p w:rsidR="002A0DA0" w:rsidRPr="00F455F3" w:rsidRDefault="002A0DA0" w:rsidP="002A0DA0">
            <w:pPr>
              <w:ind w:left="29"/>
              <w:rPr>
                <w:b/>
                <w:sz w:val="22"/>
                <w:szCs w:val="22"/>
              </w:rPr>
            </w:pPr>
            <w:r w:rsidRPr="00F455F3">
              <w:rPr>
                <w:sz w:val="22"/>
                <w:szCs w:val="22"/>
              </w:rPr>
              <w:t>100 mg 1 gang dagligt)</w:t>
            </w: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Atazanavir- og fluconazol-koncentrationerne ændredes ikke signifikant ved samtidig administration af atazanavir/ritonavir og fluconazol.</w:t>
            </w:r>
          </w:p>
        </w:tc>
        <w:tc>
          <w:tcPr>
            <w:tcW w:w="1701"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Dosisjustering er ikke nødvendig for fluconazol og atazanavir.</w:t>
            </w: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ANTIMYKOBAKTERIELLE MIDLER</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Rifabutin 150 mg 2 gange</w:t>
            </w:r>
            <w:r>
              <w:rPr>
                <w:b/>
                <w:sz w:val="22"/>
                <w:szCs w:val="22"/>
              </w:rPr>
              <w:t xml:space="preserve"> </w:t>
            </w:r>
            <w:r w:rsidRPr="00F455F3">
              <w:rPr>
                <w:b/>
                <w:sz w:val="22"/>
                <w:szCs w:val="22"/>
              </w:rPr>
              <w:t>ugentligt</w:t>
            </w:r>
          </w:p>
          <w:p w:rsidR="002A0DA0" w:rsidRPr="00F455F3" w:rsidRDefault="002A0DA0" w:rsidP="002A0DA0">
            <w:pPr>
              <w:ind w:left="29"/>
              <w:rPr>
                <w:sz w:val="22"/>
                <w:szCs w:val="22"/>
              </w:rPr>
            </w:pPr>
            <w:r w:rsidRPr="00F455F3">
              <w:rPr>
                <w:sz w:val="22"/>
                <w:szCs w:val="22"/>
              </w:rPr>
              <w:t>(atazanavir 300 mg og ritonavir</w:t>
            </w:r>
          </w:p>
          <w:p w:rsidR="002A0DA0" w:rsidRPr="00F455F3" w:rsidRDefault="002A0DA0" w:rsidP="002A0DA0">
            <w:pPr>
              <w:ind w:left="29"/>
              <w:rPr>
                <w:b/>
                <w:sz w:val="22"/>
                <w:szCs w:val="22"/>
              </w:rPr>
            </w:pPr>
            <w:r w:rsidRPr="00F455F3">
              <w:rPr>
                <w:sz w:val="22"/>
                <w:szCs w:val="22"/>
              </w:rPr>
              <w:t>100 mg 1 gang dagligt)</w:t>
            </w:r>
          </w:p>
        </w:tc>
        <w:tc>
          <w:tcPr>
            <w:tcW w:w="1733"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sz w:val="22"/>
                <w:szCs w:val="22"/>
              </w:rPr>
            </w:pPr>
            <w:r w:rsidRPr="00F455F3">
              <w:rPr>
                <w:sz w:val="22"/>
                <w:szCs w:val="22"/>
              </w:rPr>
              <w:t>Rifabutin AUC ↑48% (↑19% ↑84%) **</w:t>
            </w:r>
          </w:p>
          <w:p w:rsidR="002A0DA0" w:rsidRPr="00F455F3" w:rsidRDefault="002A0DA0" w:rsidP="002A0DA0">
            <w:pPr>
              <w:ind w:left="29"/>
              <w:rPr>
                <w:sz w:val="22"/>
                <w:szCs w:val="22"/>
              </w:rPr>
            </w:pPr>
            <w:r w:rsidRPr="00F455F3">
              <w:rPr>
                <w:sz w:val="22"/>
                <w:szCs w:val="22"/>
              </w:rPr>
              <w:t>Rifabutin C</w:t>
            </w:r>
            <w:r w:rsidRPr="00F455F3">
              <w:rPr>
                <w:sz w:val="22"/>
                <w:szCs w:val="22"/>
                <w:vertAlign w:val="subscript"/>
              </w:rPr>
              <w:t>max</w:t>
            </w:r>
            <w:r w:rsidRPr="00F455F3">
              <w:rPr>
                <w:sz w:val="22"/>
                <w:szCs w:val="22"/>
              </w:rPr>
              <w:t xml:space="preserve"> ↑149% (↑103% ↑206%) **</w:t>
            </w:r>
          </w:p>
          <w:p w:rsidR="002A0DA0" w:rsidRPr="00F455F3" w:rsidRDefault="002A0DA0" w:rsidP="002A0DA0">
            <w:pPr>
              <w:ind w:left="29"/>
              <w:rPr>
                <w:sz w:val="22"/>
                <w:szCs w:val="22"/>
              </w:rPr>
            </w:pPr>
            <w:r w:rsidRPr="00F455F3">
              <w:rPr>
                <w:sz w:val="22"/>
                <w:szCs w:val="22"/>
              </w:rPr>
              <w:t>Rifabutin C</w:t>
            </w:r>
            <w:r w:rsidRPr="00F455F3">
              <w:rPr>
                <w:sz w:val="22"/>
                <w:szCs w:val="22"/>
                <w:vertAlign w:val="subscript"/>
              </w:rPr>
              <w:t>min</w:t>
            </w:r>
            <w:r w:rsidRPr="00F455F3">
              <w:rPr>
                <w:sz w:val="22"/>
                <w:szCs w:val="22"/>
              </w:rPr>
              <w:t xml:space="preserve"> ↑40% (↑5% ↑87%) **</w:t>
            </w:r>
          </w:p>
          <w:p w:rsidR="002A0DA0" w:rsidRPr="00F455F3" w:rsidRDefault="002A0DA0" w:rsidP="002A0DA0">
            <w:pPr>
              <w:ind w:left="29"/>
              <w:rPr>
                <w:sz w:val="22"/>
                <w:szCs w:val="22"/>
              </w:rPr>
            </w:pPr>
          </w:p>
          <w:p w:rsidR="002A0DA0" w:rsidRPr="00F455F3" w:rsidRDefault="002A0DA0" w:rsidP="002A0DA0">
            <w:pPr>
              <w:ind w:left="29"/>
              <w:rPr>
                <w:sz w:val="22"/>
                <w:szCs w:val="22"/>
              </w:rPr>
            </w:pPr>
            <w:r w:rsidRPr="00F455F3">
              <w:rPr>
                <w:sz w:val="22"/>
                <w:szCs w:val="22"/>
              </w:rPr>
              <w:t>25-O-desacetyl-rifabutin AUC ↑990% (↑714% ↑1361%) **</w:t>
            </w:r>
          </w:p>
          <w:p w:rsidR="002A0DA0" w:rsidRPr="00F455F3" w:rsidRDefault="002A0DA0" w:rsidP="002A0DA0">
            <w:pPr>
              <w:ind w:left="29"/>
              <w:rPr>
                <w:sz w:val="22"/>
                <w:szCs w:val="22"/>
              </w:rPr>
            </w:pPr>
            <w:r w:rsidRPr="00F455F3">
              <w:rPr>
                <w:sz w:val="22"/>
                <w:szCs w:val="22"/>
              </w:rPr>
              <w:t>25-O-desacetyl-rifabutin C</w:t>
            </w:r>
            <w:r w:rsidRPr="00F455F3">
              <w:rPr>
                <w:sz w:val="22"/>
                <w:szCs w:val="22"/>
                <w:vertAlign w:val="subscript"/>
              </w:rPr>
              <w:t>max</w:t>
            </w:r>
            <w:r w:rsidRPr="00F455F3">
              <w:rPr>
                <w:sz w:val="22"/>
                <w:szCs w:val="22"/>
              </w:rPr>
              <w:t xml:space="preserve"> ↑677% (↑513% ↑883%) **</w:t>
            </w:r>
          </w:p>
          <w:p w:rsidR="002A0DA0" w:rsidRPr="00F455F3" w:rsidRDefault="002A0DA0" w:rsidP="002A0DA0">
            <w:pPr>
              <w:ind w:left="29"/>
              <w:rPr>
                <w:sz w:val="22"/>
                <w:szCs w:val="22"/>
              </w:rPr>
            </w:pPr>
            <w:r w:rsidRPr="00F455F3">
              <w:rPr>
                <w:sz w:val="22"/>
                <w:szCs w:val="22"/>
              </w:rPr>
              <w:t>25-O-desacetyl-rifabutin C</w:t>
            </w:r>
            <w:r w:rsidRPr="00F455F3">
              <w:rPr>
                <w:sz w:val="22"/>
                <w:szCs w:val="22"/>
                <w:vertAlign w:val="subscript"/>
              </w:rPr>
              <w:t>min</w:t>
            </w:r>
            <w:r w:rsidRPr="00F455F3">
              <w:rPr>
                <w:sz w:val="22"/>
                <w:szCs w:val="22"/>
              </w:rPr>
              <w:t xml:space="preserve"> ↑1045% (↑715% ↑1510%) **</w:t>
            </w:r>
          </w:p>
          <w:p w:rsidR="002A0DA0" w:rsidRPr="00F455F3" w:rsidRDefault="002A0DA0" w:rsidP="002A0DA0">
            <w:pPr>
              <w:ind w:left="29"/>
              <w:rPr>
                <w:sz w:val="22"/>
                <w:szCs w:val="22"/>
              </w:rPr>
            </w:pPr>
          </w:p>
          <w:p w:rsidR="002A0DA0" w:rsidRPr="00F455F3" w:rsidRDefault="002A0DA0" w:rsidP="002A0DA0">
            <w:pPr>
              <w:ind w:left="29"/>
              <w:rPr>
                <w:sz w:val="22"/>
                <w:szCs w:val="22"/>
              </w:rPr>
            </w:pPr>
            <w:r w:rsidRPr="00F455F3">
              <w:rPr>
                <w:sz w:val="22"/>
                <w:szCs w:val="22"/>
              </w:rPr>
              <w:t>** Sammenlignet med rifabutin</w:t>
            </w:r>
          </w:p>
          <w:p w:rsidR="002A0DA0" w:rsidRPr="00F455F3" w:rsidRDefault="002A0DA0" w:rsidP="002A0DA0">
            <w:pPr>
              <w:ind w:left="29"/>
              <w:rPr>
                <w:sz w:val="22"/>
                <w:szCs w:val="22"/>
              </w:rPr>
            </w:pPr>
            <w:r w:rsidRPr="00F455F3">
              <w:rPr>
                <w:sz w:val="22"/>
                <w:szCs w:val="22"/>
              </w:rPr>
              <w:t>150 mg 1 gang dagligt. Total rifabutin og 25-O-desacetyl-rifabutin AUC ↑119% (↑78% ↑169%).</w:t>
            </w:r>
          </w:p>
          <w:p w:rsidR="002A0DA0" w:rsidRPr="00F455F3" w:rsidRDefault="002A0DA0" w:rsidP="002A0DA0">
            <w:pPr>
              <w:ind w:left="29"/>
              <w:rPr>
                <w:sz w:val="22"/>
                <w:szCs w:val="22"/>
              </w:rPr>
            </w:pPr>
          </w:p>
          <w:p w:rsidR="002A0DA0" w:rsidRPr="00F455F3" w:rsidRDefault="002A0DA0" w:rsidP="002A0DA0">
            <w:pPr>
              <w:ind w:left="29"/>
              <w:rPr>
                <w:sz w:val="22"/>
                <w:szCs w:val="22"/>
              </w:rPr>
            </w:pPr>
            <w:r w:rsidRPr="00F455F3">
              <w:rPr>
                <w:sz w:val="22"/>
                <w:szCs w:val="22"/>
              </w:rPr>
              <w:t>I tidligere studier blev atazanavirs farmakokinetik ikke ændret af rifabutin.</w:t>
            </w:r>
          </w:p>
        </w:tc>
        <w:tc>
          <w:tcPr>
            <w:tcW w:w="1701"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Når rifabutin gives sammen med atazanavir, er den anbefalede rifabutindosis 150 mg 3 gange ugentligt på fastsatte dage (for eksempel mandag-onsdag</w:t>
            </w:r>
            <w:r>
              <w:rPr>
                <w:sz w:val="22"/>
                <w:szCs w:val="22"/>
              </w:rPr>
              <w:t>-</w:t>
            </w:r>
            <w:r w:rsidRPr="00F455F3">
              <w:rPr>
                <w:sz w:val="22"/>
                <w:szCs w:val="22"/>
              </w:rPr>
              <w:t>fredag).</w:t>
            </w:r>
          </w:p>
          <w:p w:rsidR="002A0DA0" w:rsidRPr="00F455F3" w:rsidRDefault="002A0DA0" w:rsidP="002A0DA0">
            <w:pPr>
              <w:ind w:left="29"/>
              <w:rPr>
                <w:sz w:val="22"/>
                <w:szCs w:val="22"/>
              </w:rPr>
            </w:pPr>
            <w:r w:rsidRPr="00F455F3">
              <w:rPr>
                <w:sz w:val="22"/>
                <w:szCs w:val="22"/>
              </w:rPr>
              <w:t>Øget overvågning for rifabutin-associerede bivirkninger inklusive neutropeni og uveitis er påkrævet pga. en forventet øget rifabutineksponering. Yderligere reduktion af rifabutindosis til 150 mg 2 gange ugentligt på fastsatte dage anbefales til patienter, der ikke tolererer 150 mg 3 gange ugentligt. Det bør erindres, at 2 ugentlige doser på 150 mg muligvis ikke giver en optimal eksponering for rifabutin med deraf følgende risiko for rifamycinresistens og behandlingssvigt. Dosisjustering er ikke nødvendig for Atazanavir.</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Rifampicin</w:t>
            </w: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keepNext/>
              <w:ind w:left="28"/>
              <w:rPr>
                <w:sz w:val="22"/>
                <w:szCs w:val="22"/>
              </w:rPr>
            </w:pPr>
            <w:r w:rsidRPr="00F455F3">
              <w:rPr>
                <w:sz w:val="22"/>
                <w:szCs w:val="22"/>
              </w:rPr>
              <w:t xml:space="preserve">Rifampicin er en kraftig CYP3A4-induktor og er vist at reducere </w:t>
            </w:r>
            <w:r w:rsidRPr="00F455F3">
              <w:rPr>
                <w:sz w:val="22"/>
                <w:szCs w:val="22"/>
              </w:rPr>
              <w:lastRenderedPageBreak/>
              <w:t>atazanavirs AUC med 72%, hvilket kan medføre virologisk svigt og resistensudvikling. Under forsøg på at kompensere for den nedsatte eksponering ved at øge dosis af atazanavir, eller andre proteasehæmmere med ritonavir, er der set en høj frekvens af leverreaktioner.</w:t>
            </w:r>
          </w:p>
        </w:tc>
        <w:tc>
          <w:tcPr>
            <w:tcW w:w="1701"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keepNext/>
              <w:ind w:left="28"/>
              <w:rPr>
                <w:sz w:val="22"/>
                <w:szCs w:val="22"/>
              </w:rPr>
            </w:pPr>
            <w:r w:rsidRPr="00F455F3">
              <w:rPr>
                <w:sz w:val="22"/>
                <w:szCs w:val="22"/>
              </w:rPr>
              <w:lastRenderedPageBreak/>
              <w:t>Samtidig administration af</w:t>
            </w:r>
            <w:r>
              <w:rPr>
                <w:sz w:val="22"/>
                <w:szCs w:val="22"/>
              </w:rPr>
              <w:t xml:space="preserve"> </w:t>
            </w:r>
            <w:r w:rsidRPr="00F455F3">
              <w:rPr>
                <w:sz w:val="22"/>
                <w:szCs w:val="22"/>
              </w:rPr>
              <w:t xml:space="preserve">kombination af rifampicin og </w:t>
            </w:r>
            <w:r w:rsidRPr="00F455F3">
              <w:rPr>
                <w:sz w:val="22"/>
                <w:szCs w:val="22"/>
              </w:rPr>
              <w:lastRenderedPageBreak/>
              <w:t>atazanavir er kontraindiceret</w:t>
            </w:r>
            <w:r>
              <w:rPr>
                <w:sz w:val="22"/>
                <w:szCs w:val="22"/>
              </w:rPr>
              <w:t xml:space="preserve"> </w:t>
            </w:r>
            <w:r w:rsidRPr="00F455F3">
              <w:rPr>
                <w:sz w:val="22"/>
                <w:szCs w:val="22"/>
              </w:rPr>
              <w:t>(se pkt. 4.3).</w:t>
            </w: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b/>
                <w:sz w:val="22"/>
                <w:szCs w:val="22"/>
              </w:rPr>
              <w:lastRenderedPageBreak/>
              <w:t>ANTIPSYKOTIKA</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Quetiapin</w:t>
            </w: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Da atazanavir hæmmer CYP3A4, forventes koncentrationen af quetiapin</w:t>
            </w:r>
            <w:r>
              <w:rPr>
                <w:sz w:val="22"/>
                <w:szCs w:val="22"/>
              </w:rPr>
              <w:t xml:space="preserve"> </w:t>
            </w:r>
            <w:r w:rsidRPr="00F455F3">
              <w:rPr>
                <w:sz w:val="22"/>
                <w:szCs w:val="22"/>
              </w:rPr>
              <w:t>at stige.</w:t>
            </w:r>
          </w:p>
        </w:tc>
        <w:tc>
          <w:tcPr>
            <w:tcW w:w="1701"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Samtidig administration af</w:t>
            </w:r>
            <w:r>
              <w:rPr>
                <w:sz w:val="22"/>
                <w:szCs w:val="22"/>
              </w:rPr>
              <w:t xml:space="preserve"> </w:t>
            </w:r>
            <w:r w:rsidRPr="00F455F3">
              <w:rPr>
                <w:sz w:val="22"/>
                <w:szCs w:val="22"/>
              </w:rPr>
              <w:t>quetiapin og atazanavir er</w:t>
            </w:r>
            <w:r>
              <w:rPr>
                <w:sz w:val="22"/>
                <w:szCs w:val="22"/>
              </w:rPr>
              <w:t xml:space="preserve"> </w:t>
            </w:r>
            <w:r w:rsidRPr="00F455F3">
              <w:rPr>
                <w:sz w:val="22"/>
                <w:szCs w:val="22"/>
              </w:rPr>
              <w:t>kontraindiceret, da atazanavir</w:t>
            </w:r>
            <w:r>
              <w:rPr>
                <w:sz w:val="22"/>
                <w:szCs w:val="22"/>
              </w:rPr>
              <w:t xml:space="preserve"> </w:t>
            </w:r>
            <w:r w:rsidRPr="00F455F3">
              <w:rPr>
                <w:sz w:val="22"/>
                <w:szCs w:val="22"/>
              </w:rPr>
              <w:t>kan øge quetiapin-relateret</w:t>
            </w:r>
            <w:r>
              <w:rPr>
                <w:sz w:val="22"/>
                <w:szCs w:val="22"/>
              </w:rPr>
              <w:t xml:space="preserve"> </w:t>
            </w:r>
            <w:r w:rsidRPr="00F455F3">
              <w:rPr>
                <w:sz w:val="22"/>
                <w:szCs w:val="22"/>
              </w:rPr>
              <w:t>toksicitet. Forhøjet plasmakoncentration af quetiapin kan medføre koma (se pkt. 4.3).</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Lurasidon</w:t>
            </w: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Atazanavir forventes at øge</w:t>
            </w:r>
            <w:r>
              <w:rPr>
                <w:sz w:val="22"/>
                <w:szCs w:val="22"/>
              </w:rPr>
              <w:t xml:space="preserve"> </w:t>
            </w:r>
            <w:r w:rsidRPr="00F455F3">
              <w:rPr>
                <w:sz w:val="22"/>
                <w:szCs w:val="22"/>
              </w:rPr>
              <w:t>plasmakoncentrationen af lurasidon på grund af CYP3A4-hæmning.</w:t>
            </w:r>
          </w:p>
        </w:tc>
        <w:tc>
          <w:tcPr>
            <w:tcW w:w="1701"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Samtidig administration af</w:t>
            </w:r>
            <w:r>
              <w:rPr>
                <w:sz w:val="22"/>
                <w:szCs w:val="22"/>
              </w:rPr>
              <w:t xml:space="preserve"> </w:t>
            </w:r>
            <w:r w:rsidRPr="00F455F3">
              <w:rPr>
                <w:sz w:val="22"/>
                <w:szCs w:val="22"/>
              </w:rPr>
              <w:t>lurasidon og atazanavir er</w:t>
            </w:r>
            <w:r>
              <w:rPr>
                <w:sz w:val="22"/>
                <w:szCs w:val="22"/>
              </w:rPr>
              <w:t xml:space="preserve"> </w:t>
            </w:r>
            <w:r w:rsidRPr="00F455F3">
              <w:rPr>
                <w:sz w:val="22"/>
                <w:szCs w:val="22"/>
              </w:rPr>
              <w:t>kontraindiceret, da dette kan øge lurasidon-relateret toksicitet (se pkt. 4.3).</w:t>
            </w: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b/>
                <w:sz w:val="22"/>
                <w:szCs w:val="22"/>
              </w:rPr>
              <w:t>SYREHÆMMENDE MIDLER</w:t>
            </w: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i/>
                <w:sz w:val="22"/>
                <w:szCs w:val="22"/>
              </w:rPr>
            </w:pPr>
            <w:r w:rsidRPr="00F455F3">
              <w:rPr>
                <w:i/>
                <w:sz w:val="22"/>
                <w:szCs w:val="22"/>
              </w:rPr>
              <w:t>H</w:t>
            </w:r>
            <w:r w:rsidRPr="00F455F3">
              <w:rPr>
                <w:i/>
                <w:sz w:val="22"/>
                <w:szCs w:val="22"/>
                <w:vertAlign w:val="subscript"/>
              </w:rPr>
              <w:t>2</w:t>
            </w:r>
            <w:r w:rsidRPr="00F455F3">
              <w:rPr>
                <w:i/>
                <w:sz w:val="22"/>
                <w:szCs w:val="22"/>
              </w:rPr>
              <w:t>-receptorantagonister</w:t>
            </w: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b/>
                <w:sz w:val="22"/>
                <w:szCs w:val="22"/>
              </w:rPr>
              <w:t>Uden tenofovir</w:t>
            </w:r>
          </w:p>
        </w:tc>
      </w:tr>
      <w:tr w:rsidR="002A0DA0" w:rsidTr="002A0DA0">
        <w:tc>
          <w:tcPr>
            <w:tcW w:w="3299" w:type="pct"/>
            <w:gridSpan w:val="2"/>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HIV-smittede patienter, der tager den anbefalede dosis atazanavir/ritonavir på 300/100 mg 1 gang dagligt</w:t>
            </w:r>
          </w:p>
        </w:tc>
        <w:tc>
          <w:tcPr>
            <w:tcW w:w="1701" w:type="pct"/>
            <w:vMerge w:val="restar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b/>
                <w:sz w:val="22"/>
                <w:szCs w:val="22"/>
              </w:rPr>
              <w:t>Patienter, der ikke tager</w:t>
            </w:r>
            <w:r>
              <w:rPr>
                <w:b/>
                <w:sz w:val="22"/>
                <w:szCs w:val="22"/>
              </w:rPr>
              <w:t xml:space="preserve"> </w:t>
            </w:r>
            <w:r w:rsidRPr="00F455F3">
              <w:rPr>
                <w:b/>
                <w:sz w:val="22"/>
                <w:szCs w:val="22"/>
              </w:rPr>
              <w:t>tenofovir,</w:t>
            </w:r>
            <w:r w:rsidRPr="00F455F3">
              <w:rPr>
                <w:sz w:val="22"/>
                <w:szCs w:val="22"/>
              </w:rPr>
              <w:t xml:space="preserve"> hvis atazanavir</w:t>
            </w:r>
          </w:p>
          <w:p w:rsidR="002A0DA0" w:rsidRPr="00F455F3" w:rsidRDefault="002A0DA0" w:rsidP="002A0DA0">
            <w:pPr>
              <w:ind w:left="29"/>
              <w:rPr>
                <w:sz w:val="22"/>
                <w:szCs w:val="22"/>
              </w:rPr>
            </w:pPr>
            <w:r w:rsidRPr="00F455F3">
              <w:rPr>
                <w:sz w:val="22"/>
                <w:szCs w:val="22"/>
              </w:rPr>
              <w:t>300 mg/ritonavir 100 mg og H</w:t>
            </w:r>
            <w:r w:rsidRPr="00F455F3">
              <w:rPr>
                <w:sz w:val="22"/>
                <w:szCs w:val="22"/>
                <w:vertAlign w:val="subscript"/>
              </w:rPr>
              <w:t>2</w:t>
            </w:r>
            <w:r w:rsidRPr="00F455F3">
              <w:rPr>
                <w:sz w:val="22"/>
                <w:szCs w:val="22"/>
              </w:rPr>
              <w:t>-receptorantagonister administreres samtidigt, bør en dosis svarende til famotidin 20 mg 2 gange dagligt ikke overskrides. Hvis en højere dosis H2-receptorantagonist er nødvendig (f.eks. famotidin 40 mg 2 gange dagligt eller tilsvarende), kan dosisøgning af atazanavir/ritonavir fra</w:t>
            </w:r>
          </w:p>
          <w:p w:rsidR="002A0DA0" w:rsidRPr="00F455F3" w:rsidRDefault="002A0DA0" w:rsidP="002A0DA0">
            <w:pPr>
              <w:ind w:left="29"/>
              <w:rPr>
                <w:sz w:val="22"/>
                <w:szCs w:val="22"/>
              </w:rPr>
            </w:pPr>
            <w:r w:rsidRPr="00F455F3">
              <w:rPr>
                <w:sz w:val="22"/>
                <w:szCs w:val="22"/>
              </w:rPr>
              <w:t>300/100 mg til 400/100 mg</w:t>
            </w:r>
            <w:r>
              <w:rPr>
                <w:sz w:val="22"/>
                <w:szCs w:val="22"/>
              </w:rPr>
              <w:t xml:space="preserve"> </w:t>
            </w:r>
            <w:r w:rsidRPr="00F455F3">
              <w:rPr>
                <w:sz w:val="22"/>
                <w:szCs w:val="22"/>
              </w:rPr>
              <w:t>overvejes.</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Famotidin 20 mg 2 gange dagligt</w:t>
            </w: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Atazanavir AUC ↓18% (↓25% ↑1%)</w:t>
            </w:r>
          </w:p>
          <w:p w:rsidR="002A0DA0" w:rsidRPr="00F455F3" w:rsidRDefault="002A0DA0" w:rsidP="002A0DA0">
            <w:pPr>
              <w:ind w:left="29"/>
              <w:rPr>
                <w:sz w:val="22"/>
                <w:szCs w:val="22"/>
              </w:rPr>
            </w:pPr>
            <w:r w:rsidRPr="00F455F3">
              <w:rPr>
                <w:sz w:val="22"/>
                <w:szCs w:val="22"/>
              </w:rPr>
              <w:t>Atazanavir C</w:t>
            </w:r>
            <w:r w:rsidRPr="00F455F3">
              <w:rPr>
                <w:sz w:val="22"/>
                <w:szCs w:val="22"/>
                <w:vertAlign w:val="subscript"/>
              </w:rPr>
              <w:t>max</w:t>
            </w:r>
            <w:r w:rsidRPr="00F455F3">
              <w:rPr>
                <w:sz w:val="22"/>
                <w:szCs w:val="22"/>
              </w:rPr>
              <w:t xml:space="preserve"> ↓20% (↓32% ↓7%)</w:t>
            </w:r>
          </w:p>
          <w:p w:rsidR="002A0DA0" w:rsidRPr="00F455F3" w:rsidRDefault="002A0DA0" w:rsidP="002A0DA0">
            <w:pPr>
              <w:ind w:left="29"/>
              <w:rPr>
                <w:sz w:val="22"/>
                <w:szCs w:val="22"/>
              </w:rPr>
            </w:pPr>
            <w:r w:rsidRPr="00F455F3">
              <w:rPr>
                <w:sz w:val="22"/>
                <w:szCs w:val="22"/>
              </w:rPr>
              <w:t>Atazanavir C</w:t>
            </w:r>
            <w:r w:rsidRPr="00F455F3">
              <w:rPr>
                <w:sz w:val="22"/>
                <w:szCs w:val="22"/>
                <w:vertAlign w:val="subscript"/>
              </w:rPr>
              <w:t>min</w:t>
            </w:r>
            <w:r w:rsidRPr="00F455F3">
              <w:rPr>
                <w:sz w:val="22"/>
                <w:szCs w:val="22"/>
              </w:rPr>
              <w:t xml:space="preserve"> ↔1% (↓16% ↑18%)</w:t>
            </w:r>
          </w:p>
        </w:tc>
        <w:tc>
          <w:tcPr>
            <w:tcW w:w="1701" w:type="pct"/>
            <w:vMerge/>
            <w:tcBorders>
              <w:top w:val="single" w:sz="4" w:space="0" w:color="auto"/>
              <w:left w:val="single" w:sz="4" w:space="0" w:color="auto"/>
              <w:bottom w:val="single" w:sz="4" w:space="0" w:color="auto"/>
              <w:right w:val="single" w:sz="4" w:space="0" w:color="auto"/>
            </w:tcBorders>
            <w:vAlign w:val="center"/>
            <w:hideMark/>
          </w:tcPr>
          <w:p w:rsidR="002A0DA0" w:rsidRPr="00F455F3" w:rsidRDefault="002A0DA0" w:rsidP="002A0DA0">
            <w:pPr>
              <w:ind w:left="29"/>
              <w:rPr>
                <w:sz w:val="22"/>
                <w:szCs w:val="22"/>
              </w:rPr>
            </w:pP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Famotidin 40 mg 2 gange dagligt</w:t>
            </w: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Atazanavir AUC ↓23% (↓32% ↓14%)</w:t>
            </w:r>
          </w:p>
          <w:p w:rsidR="002A0DA0" w:rsidRPr="00F455F3" w:rsidRDefault="002A0DA0" w:rsidP="002A0DA0">
            <w:pPr>
              <w:ind w:left="29"/>
              <w:rPr>
                <w:sz w:val="22"/>
                <w:szCs w:val="22"/>
              </w:rPr>
            </w:pPr>
            <w:r w:rsidRPr="00F455F3">
              <w:rPr>
                <w:sz w:val="22"/>
                <w:szCs w:val="22"/>
              </w:rPr>
              <w:t>Atazanavir C</w:t>
            </w:r>
            <w:r w:rsidRPr="00F455F3">
              <w:rPr>
                <w:sz w:val="22"/>
                <w:szCs w:val="22"/>
                <w:vertAlign w:val="subscript"/>
              </w:rPr>
              <w:t>max</w:t>
            </w:r>
            <w:r w:rsidRPr="00F455F3">
              <w:rPr>
                <w:sz w:val="22"/>
                <w:szCs w:val="22"/>
              </w:rPr>
              <w:t xml:space="preserve"> ↓23% (↓33% ↓12%)</w:t>
            </w:r>
          </w:p>
          <w:p w:rsidR="002A0DA0" w:rsidRPr="00F455F3" w:rsidRDefault="002A0DA0" w:rsidP="002A0DA0">
            <w:pPr>
              <w:ind w:left="29"/>
              <w:rPr>
                <w:sz w:val="22"/>
                <w:szCs w:val="22"/>
              </w:rPr>
            </w:pPr>
            <w:r w:rsidRPr="00F455F3">
              <w:rPr>
                <w:sz w:val="22"/>
                <w:szCs w:val="22"/>
              </w:rPr>
              <w:t>Atazanavir C</w:t>
            </w:r>
            <w:r w:rsidRPr="00F455F3">
              <w:rPr>
                <w:sz w:val="22"/>
                <w:szCs w:val="22"/>
                <w:vertAlign w:val="subscript"/>
              </w:rPr>
              <w:t>min</w:t>
            </w:r>
            <w:r w:rsidRPr="00F455F3">
              <w:rPr>
                <w:sz w:val="22"/>
                <w:szCs w:val="22"/>
              </w:rPr>
              <w:t xml:space="preserve"> ↓20% (↓31% ↓8%)</w:t>
            </w:r>
          </w:p>
        </w:tc>
        <w:tc>
          <w:tcPr>
            <w:tcW w:w="1701" w:type="pct"/>
            <w:vMerge/>
            <w:tcBorders>
              <w:top w:val="single" w:sz="4" w:space="0" w:color="auto"/>
              <w:left w:val="single" w:sz="4" w:space="0" w:color="auto"/>
              <w:bottom w:val="single" w:sz="4" w:space="0" w:color="auto"/>
              <w:right w:val="single" w:sz="4" w:space="0" w:color="auto"/>
            </w:tcBorders>
            <w:vAlign w:val="center"/>
            <w:hideMark/>
          </w:tcPr>
          <w:p w:rsidR="002A0DA0" w:rsidRPr="00F455F3" w:rsidRDefault="002A0DA0" w:rsidP="002A0DA0">
            <w:pPr>
              <w:ind w:left="29"/>
              <w:rPr>
                <w:sz w:val="22"/>
                <w:szCs w:val="22"/>
              </w:rPr>
            </w:pPr>
          </w:p>
        </w:tc>
      </w:tr>
      <w:tr w:rsidR="002A0DA0" w:rsidTr="002A0DA0">
        <w:tc>
          <w:tcPr>
            <w:tcW w:w="3299" w:type="pct"/>
            <w:gridSpan w:val="2"/>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Raske frivillige, der får en øget dosis atazanavir/ritonavir på 400/100 mg 1 gang dagligt</w:t>
            </w:r>
          </w:p>
        </w:tc>
        <w:tc>
          <w:tcPr>
            <w:tcW w:w="1701" w:type="pct"/>
            <w:vMerge/>
            <w:tcBorders>
              <w:top w:val="single" w:sz="4" w:space="0" w:color="auto"/>
              <w:left w:val="single" w:sz="4" w:space="0" w:color="auto"/>
              <w:bottom w:val="single" w:sz="4" w:space="0" w:color="auto"/>
              <w:right w:val="single" w:sz="4" w:space="0" w:color="auto"/>
            </w:tcBorders>
            <w:vAlign w:val="center"/>
            <w:hideMark/>
          </w:tcPr>
          <w:p w:rsidR="002A0DA0" w:rsidRPr="00F455F3" w:rsidRDefault="002A0DA0" w:rsidP="002A0DA0">
            <w:pPr>
              <w:ind w:left="29"/>
              <w:rPr>
                <w:sz w:val="22"/>
                <w:szCs w:val="22"/>
              </w:rPr>
            </w:pP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Famotidin 40 mg 2 gange dagligt</w:t>
            </w: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Atazanavir AUC ↔3% (↓14% ↑22%)</w:t>
            </w:r>
          </w:p>
          <w:p w:rsidR="002A0DA0" w:rsidRPr="00F455F3" w:rsidRDefault="002A0DA0" w:rsidP="002A0DA0">
            <w:pPr>
              <w:ind w:left="29"/>
              <w:rPr>
                <w:sz w:val="22"/>
                <w:szCs w:val="22"/>
              </w:rPr>
            </w:pPr>
            <w:r w:rsidRPr="00F455F3">
              <w:rPr>
                <w:sz w:val="22"/>
                <w:szCs w:val="22"/>
              </w:rPr>
              <w:t>Atazanavir C</w:t>
            </w:r>
            <w:r w:rsidRPr="00F455F3">
              <w:rPr>
                <w:sz w:val="22"/>
                <w:szCs w:val="22"/>
                <w:vertAlign w:val="subscript"/>
              </w:rPr>
              <w:t>max</w:t>
            </w:r>
            <w:r w:rsidRPr="00F455F3">
              <w:rPr>
                <w:sz w:val="22"/>
                <w:szCs w:val="22"/>
              </w:rPr>
              <w:t xml:space="preserve"> ↔2% (↓13% ↑8%)</w:t>
            </w:r>
          </w:p>
          <w:p w:rsidR="002A0DA0" w:rsidRPr="00F455F3" w:rsidRDefault="002A0DA0" w:rsidP="002A0DA0">
            <w:pPr>
              <w:ind w:left="29"/>
              <w:rPr>
                <w:sz w:val="22"/>
                <w:szCs w:val="22"/>
              </w:rPr>
            </w:pPr>
            <w:r w:rsidRPr="00F455F3">
              <w:rPr>
                <w:sz w:val="22"/>
                <w:szCs w:val="22"/>
              </w:rPr>
              <w:t>Atazanavir C</w:t>
            </w:r>
            <w:r w:rsidRPr="00F455F3">
              <w:rPr>
                <w:sz w:val="22"/>
                <w:szCs w:val="22"/>
                <w:vertAlign w:val="subscript"/>
              </w:rPr>
              <w:t>min</w:t>
            </w:r>
            <w:r w:rsidRPr="00F455F3">
              <w:rPr>
                <w:sz w:val="22"/>
                <w:szCs w:val="22"/>
              </w:rPr>
              <w:t xml:space="preserve"> ↓14% (↓32% ↑8%)</w:t>
            </w:r>
          </w:p>
        </w:tc>
        <w:tc>
          <w:tcPr>
            <w:tcW w:w="1701" w:type="pct"/>
            <w:vMerge/>
            <w:tcBorders>
              <w:top w:val="single" w:sz="4" w:space="0" w:color="auto"/>
              <w:left w:val="single" w:sz="4" w:space="0" w:color="auto"/>
              <w:bottom w:val="single" w:sz="4" w:space="0" w:color="auto"/>
              <w:right w:val="single" w:sz="4" w:space="0" w:color="auto"/>
            </w:tcBorders>
            <w:vAlign w:val="center"/>
            <w:hideMark/>
          </w:tcPr>
          <w:p w:rsidR="002A0DA0" w:rsidRPr="00F455F3" w:rsidRDefault="002A0DA0" w:rsidP="002A0DA0">
            <w:pPr>
              <w:ind w:left="29"/>
              <w:rPr>
                <w:sz w:val="22"/>
                <w:szCs w:val="22"/>
              </w:rPr>
            </w:pP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b/>
                <w:sz w:val="22"/>
                <w:szCs w:val="22"/>
              </w:rPr>
              <w:t xml:space="preserve">Med </w:t>
            </w:r>
            <w:r w:rsidRPr="00B051A3">
              <w:rPr>
                <w:b/>
                <w:sz w:val="22"/>
                <w:szCs w:val="22"/>
              </w:rPr>
              <w:t>tenofovirdisoproxilfumarat 300 mg 1 gang dagligt (ækvivalent med 245 mg</w:t>
            </w:r>
            <w:r>
              <w:rPr>
                <w:b/>
                <w:sz w:val="22"/>
                <w:szCs w:val="22"/>
              </w:rPr>
              <w:t xml:space="preserve"> </w:t>
            </w:r>
            <w:r w:rsidRPr="00F455F3">
              <w:rPr>
                <w:b/>
                <w:sz w:val="22"/>
                <w:szCs w:val="22"/>
              </w:rPr>
              <w:t>tenofovirdisoproxil</w:t>
            </w:r>
            <w:r>
              <w:rPr>
                <w:b/>
                <w:sz w:val="22"/>
                <w:szCs w:val="22"/>
              </w:rPr>
              <w:t>)</w:t>
            </w:r>
            <w:r w:rsidRPr="00F455F3">
              <w:rPr>
                <w:b/>
                <w:sz w:val="22"/>
                <w:szCs w:val="22"/>
              </w:rPr>
              <w:t xml:space="preserve"> </w:t>
            </w:r>
          </w:p>
        </w:tc>
      </w:tr>
      <w:tr w:rsidR="002A0DA0" w:rsidTr="002A0DA0">
        <w:tc>
          <w:tcPr>
            <w:tcW w:w="3299" w:type="pct"/>
            <w:gridSpan w:val="2"/>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HIV-smittede patienter, der tager den anbefalede dosis atazanavir/ritonavir på 300/100 mg 1 gang dagligt</w:t>
            </w:r>
          </w:p>
        </w:tc>
        <w:tc>
          <w:tcPr>
            <w:tcW w:w="1701" w:type="pct"/>
            <w:vMerge w:val="restar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b/>
                <w:sz w:val="22"/>
                <w:szCs w:val="22"/>
              </w:rPr>
              <w:t>Patienter, der tager</w:t>
            </w:r>
            <w:r>
              <w:rPr>
                <w:b/>
                <w:sz w:val="22"/>
                <w:szCs w:val="22"/>
              </w:rPr>
              <w:t xml:space="preserve"> </w:t>
            </w:r>
            <w:r w:rsidRPr="00F455F3">
              <w:rPr>
                <w:b/>
                <w:sz w:val="22"/>
                <w:szCs w:val="22"/>
              </w:rPr>
              <w:t>tenofovirdisoproxil</w:t>
            </w:r>
            <w:r>
              <w:rPr>
                <w:b/>
                <w:sz w:val="22"/>
                <w:szCs w:val="22"/>
              </w:rPr>
              <w:t>fumarat</w:t>
            </w:r>
            <w:r w:rsidRPr="00F455F3">
              <w:rPr>
                <w:b/>
                <w:sz w:val="22"/>
                <w:szCs w:val="22"/>
              </w:rPr>
              <w:t>.</w:t>
            </w:r>
          </w:p>
          <w:p w:rsidR="002A0DA0" w:rsidRPr="00F455F3" w:rsidRDefault="002A0DA0" w:rsidP="002A0DA0">
            <w:pPr>
              <w:ind w:left="29"/>
              <w:rPr>
                <w:sz w:val="22"/>
                <w:szCs w:val="22"/>
              </w:rPr>
            </w:pPr>
            <w:r w:rsidRPr="00F455F3">
              <w:rPr>
                <w:sz w:val="22"/>
                <w:szCs w:val="22"/>
              </w:rPr>
              <w:t>Hvis atazanavir/ritonavir</w:t>
            </w:r>
            <w:r>
              <w:rPr>
                <w:sz w:val="22"/>
                <w:szCs w:val="22"/>
              </w:rPr>
              <w:t xml:space="preserve"> </w:t>
            </w:r>
            <w:r w:rsidRPr="00F455F3">
              <w:rPr>
                <w:sz w:val="22"/>
                <w:szCs w:val="22"/>
              </w:rPr>
              <w:t>administreres samtidigt med</w:t>
            </w:r>
            <w:r>
              <w:rPr>
                <w:sz w:val="22"/>
                <w:szCs w:val="22"/>
              </w:rPr>
              <w:t xml:space="preserve"> </w:t>
            </w:r>
            <w:r w:rsidRPr="00F455F3">
              <w:rPr>
                <w:sz w:val="22"/>
                <w:szCs w:val="22"/>
              </w:rPr>
              <w:t>både tenofovirdisoproxil</w:t>
            </w:r>
            <w:r>
              <w:rPr>
                <w:sz w:val="22"/>
                <w:szCs w:val="22"/>
              </w:rPr>
              <w:t xml:space="preserve"> </w:t>
            </w:r>
            <w:r w:rsidRPr="00F455F3">
              <w:rPr>
                <w:sz w:val="22"/>
                <w:szCs w:val="22"/>
              </w:rPr>
              <w:t>og en H</w:t>
            </w:r>
            <w:r w:rsidRPr="00F455F3">
              <w:rPr>
                <w:sz w:val="22"/>
                <w:szCs w:val="22"/>
                <w:vertAlign w:val="subscript"/>
              </w:rPr>
              <w:t>2</w:t>
            </w:r>
            <w:r w:rsidRPr="00F455F3">
              <w:rPr>
                <w:sz w:val="22"/>
                <w:szCs w:val="22"/>
              </w:rPr>
              <w:t>-receptorantagonist,</w:t>
            </w:r>
            <w:r>
              <w:rPr>
                <w:sz w:val="22"/>
                <w:szCs w:val="22"/>
              </w:rPr>
              <w:t xml:space="preserve"> </w:t>
            </w:r>
            <w:r w:rsidRPr="00F455F3">
              <w:rPr>
                <w:sz w:val="22"/>
                <w:szCs w:val="22"/>
              </w:rPr>
              <w:t xml:space="preserve">anbefales </w:t>
            </w:r>
            <w:r w:rsidRPr="00F455F3">
              <w:rPr>
                <w:sz w:val="22"/>
                <w:szCs w:val="22"/>
              </w:rPr>
              <w:lastRenderedPageBreak/>
              <w:t>dosisøgning af</w:t>
            </w:r>
            <w:r>
              <w:rPr>
                <w:sz w:val="22"/>
                <w:szCs w:val="22"/>
              </w:rPr>
              <w:t xml:space="preserve"> </w:t>
            </w:r>
            <w:r w:rsidRPr="00F455F3">
              <w:rPr>
                <w:sz w:val="22"/>
                <w:szCs w:val="22"/>
              </w:rPr>
              <w:t>atazanavir til 400 mg med</w:t>
            </w:r>
            <w:r>
              <w:rPr>
                <w:sz w:val="22"/>
                <w:szCs w:val="22"/>
              </w:rPr>
              <w:t xml:space="preserve"> </w:t>
            </w:r>
            <w:r w:rsidRPr="00F455F3">
              <w:rPr>
                <w:sz w:val="22"/>
                <w:szCs w:val="22"/>
              </w:rPr>
              <w:t>100 mg ritonavir. En dosis, der</w:t>
            </w:r>
            <w:r>
              <w:rPr>
                <w:sz w:val="22"/>
                <w:szCs w:val="22"/>
              </w:rPr>
              <w:t xml:space="preserve"> </w:t>
            </w:r>
            <w:r w:rsidRPr="00F455F3">
              <w:rPr>
                <w:sz w:val="22"/>
                <w:szCs w:val="22"/>
              </w:rPr>
              <w:t>svarer til 40 mg famotidin 2</w:t>
            </w:r>
            <w:r>
              <w:rPr>
                <w:sz w:val="22"/>
                <w:szCs w:val="22"/>
              </w:rPr>
              <w:t xml:space="preserve"> </w:t>
            </w:r>
            <w:r w:rsidRPr="00F455F3">
              <w:rPr>
                <w:sz w:val="22"/>
                <w:szCs w:val="22"/>
              </w:rPr>
              <w:t>gange dagligt bør ikke</w:t>
            </w:r>
            <w:r>
              <w:rPr>
                <w:sz w:val="22"/>
                <w:szCs w:val="22"/>
              </w:rPr>
              <w:t xml:space="preserve"> </w:t>
            </w:r>
            <w:r w:rsidRPr="00F455F3">
              <w:rPr>
                <w:sz w:val="22"/>
                <w:szCs w:val="22"/>
              </w:rPr>
              <w:t>overskrides.</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Famotidin 20 mg 2 gange dagligt</w:t>
            </w: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Atazanavir AUC ↓21% (↓34% ↓4%) *</w:t>
            </w:r>
          </w:p>
          <w:p w:rsidR="002A0DA0" w:rsidRPr="00F455F3" w:rsidRDefault="002A0DA0" w:rsidP="002A0DA0">
            <w:pPr>
              <w:ind w:left="29"/>
              <w:rPr>
                <w:sz w:val="22"/>
                <w:szCs w:val="22"/>
              </w:rPr>
            </w:pPr>
            <w:r w:rsidRPr="00F455F3">
              <w:rPr>
                <w:sz w:val="22"/>
                <w:szCs w:val="22"/>
              </w:rPr>
              <w:t>Atazanavir C</w:t>
            </w:r>
            <w:r w:rsidRPr="00F455F3">
              <w:rPr>
                <w:sz w:val="22"/>
                <w:szCs w:val="22"/>
                <w:vertAlign w:val="subscript"/>
              </w:rPr>
              <w:t>max</w:t>
            </w:r>
            <w:r w:rsidRPr="00F455F3">
              <w:rPr>
                <w:sz w:val="22"/>
                <w:szCs w:val="22"/>
              </w:rPr>
              <w:t xml:space="preserve"> ↓21% (↓36% ↓4%) *</w:t>
            </w:r>
          </w:p>
          <w:p w:rsidR="002A0DA0" w:rsidRPr="00F455F3" w:rsidRDefault="002A0DA0" w:rsidP="002A0DA0">
            <w:pPr>
              <w:ind w:left="29"/>
              <w:rPr>
                <w:sz w:val="22"/>
                <w:szCs w:val="22"/>
              </w:rPr>
            </w:pPr>
            <w:r w:rsidRPr="00F455F3">
              <w:rPr>
                <w:sz w:val="22"/>
                <w:szCs w:val="22"/>
              </w:rPr>
              <w:lastRenderedPageBreak/>
              <w:t>Atazanavir C</w:t>
            </w:r>
            <w:r w:rsidRPr="00F455F3">
              <w:rPr>
                <w:sz w:val="22"/>
                <w:szCs w:val="22"/>
                <w:vertAlign w:val="subscript"/>
              </w:rPr>
              <w:t>min</w:t>
            </w:r>
            <w:r w:rsidRPr="00F455F3">
              <w:rPr>
                <w:sz w:val="22"/>
                <w:szCs w:val="22"/>
              </w:rPr>
              <w:t xml:space="preserve"> ↓19% (↓37% ↑5%) *</w:t>
            </w:r>
          </w:p>
        </w:tc>
        <w:tc>
          <w:tcPr>
            <w:tcW w:w="1701" w:type="pct"/>
            <w:vMerge/>
            <w:tcBorders>
              <w:top w:val="single" w:sz="4" w:space="0" w:color="auto"/>
              <w:left w:val="single" w:sz="4" w:space="0" w:color="auto"/>
              <w:bottom w:val="single" w:sz="4" w:space="0" w:color="auto"/>
              <w:right w:val="single" w:sz="4" w:space="0" w:color="auto"/>
            </w:tcBorders>
            <w:vAlign w:val="center"/>
            <w:hideMark/>
          </w:tcPr>
          <w:p w:rsidR="002A0DA0" w:rsidRPr="00F455F3" w:rsidRDefault="002A0DA0" w:rsidP="002A0DA0">
            <w:pPr>
              <w:ind w:left="29"/>
              <w:rPr>
                <w:sz w:val="22"/>
                <w:szCs w:val="22"/>
              </w:rPr>
            </w:pP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Famotidin 40 mg 2 gange dagligt</w:t>
            </w: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Atazanavir AUC ↓24% (↓36% ↓11%)</w:t>
            </w:r>
          </w:p>
          <w:p w:rsidR="002A0DA0" w:rsidRPr="00F455F3" w:rsidRDefault="002A0DA0" w:rsidP="002A0DA0">
            <w:pPr>
              <w:ind w:left="29"/>
              <w:rPr>
                <w:sz w:val="22"/>
                <w:szCs w:val="22"/>
              </w:rPr>
            </w:pPr>
            <w:r w:rsidRPr="00F455F3">
              <w:rPr>
                <w:sz w:val="22"/>
                <w:szCs w:val="22"/>
              </w:rPr>
              <w:t>*</w:t>
            </w:r>
          </w:p>
          <w:p w:rsidR="002A0DA0" w:rsidRPr="00F455F3" w:rsidRDefault="002A0DA0" w:rsidP="002A0DA0">
            <w:pPr>
              <w:ind w:left="29"/>
              <w:rPr>
                <w:sz w:val="22"/>
                <w:szCs w:val="22"/>
              </w:rPr>
            </w:pPr>
            <w:r w:rsidRPr="00F455F3">
              <w:rPr>
                <w:sz w:val="22"/>
                <w:szCs w:val="22"/>
              </w:rPr>
              <w:t>Atazanavir C</w:t>
            </w:r>
            <w:r w:rsidRPr="00F455F3">
              <w:rPr>
                <w:sz w:val="22"/>
                <w:szCs w:val="22"/>
                <w:vertAlign w:val="subscript"/>
              </w:rPr>
              <w:t>max</w:t>
            </w:r>
            <w:r w:rsidRPr="00F455F3">
              <w:rPr>
                <w:sz w:val="22"/>
                <w:szCs w:val="22"/>
              </w:rPr>
              <w:t xml:space="preserve"> ↓23% (↓36% ↓8%) *</w:t>
            </w:r>
          </w:p>
          <w:p w:rsidR="002A0DA0" w:rsidRPr="00F455F3" w:rsidRDefault="002A0DA0" w:rsidP="002A0DA0">
            <w:pPr>
              <w:ind w:left="29"/>
              <w:rPr>
                <w:sz w:val="22"/>
                <w:szCs w:val="22"/>
              </w:rPr>
            </w:pPr>
            <w:r w:rsidRPr="00F455F3">
              <w:rPr>
                <w:sz w:val="22"/>
                <w:szCs w:val="22"/>
              </w:rPr>
              <w:t>Atazanavir C</w:t>
            </w:r>
            <w:r w:rsidRPr="00F455F3">
              <w:rPr>
                <w:sz w:val="22"/>
                <w:szCs w:val="22"/>
                <w:vertAlign w:val="subscript"/>
              </w:rPr>
              <w:t>min</w:t>
            </w:r>
            <w:r w:rsidRPr="00F455F3">
              <w:rPr>
                <w:sz w:val="22"/>
                <w:szCs w:val="22"/>
              </w:rPr>
              <w:t xml:space="preserve"> ↓25% (↓47% ↑7%) *</w:t>
            </w:r>
          </w:p>
        </w:tc>
        <w:tc>
          <w:tcPr>
            <w:tcW w:w="1701" w:type="pct"/>
            <w:vMerge/>
            <w:tcBorders>
              <w:top w:val="single" w:sz="4" w:space="0" w:color="auto"/>
              <w:left w:val="single" w:sz="4" w:space="0" w:color="auto"/>
              <w:bottom w:val="single" w:sz="4" w:space="0" w:color="auto"/>
              <w:right w:val="single" w:sz="4" w:space="0" w:color="auto"/>
            </w:tcBorders>
            <w:vAlign w:val="center"/>
            <w:hideMark/>
          </w:tcPr>
          <w:p w:rsidR="002A0DA0" w:rsidRPr="00F455F3" w:rsidRDefault="002A0DA0" w:rsidP="002A0DA0">
            <w:pPr>
              <w:ind w:left="29"/>
              <w:rPr>
                <w:sz w:val="22"/>
                <w:szCs w:val="22"/>
              </w:rPr>
            </w:pPr>
          </w:p>
        </w:tc>
      </w:tr>
      <w:tr w:rsidR="002A0DA0" w:rsidTr="002A0DA0">
        <w:tc>
          <w:tcPr>
            <w:tcW w:w="3299" w:type="pct"/>
            <w:gridSpan w:val="2"/>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HIV-smittede patienter, der tager en øget dosis atazanavir/ritonavir på 400/100 mg 1 gang dagligt</w:t>
            </w:r>
          </w:p>
        </w:tc>
        <w:tc>
          <w:tcPr>
            <w:tcW w:w="1701" w:type="pct"/>
            <w:vMerge/>
            <w:tcBorders>
              <w:top w:val="single" w:sz="4" w:space="0" w:color="auto"/>
              <w:left w:val="single" w:sz="4" w:space="0" w:color="auto"/>
              <w:bottom w:val="single" w:sz="4" w:space="0" w:color="auto"/>
              <w:right w:val="single" w:sz="4" w:space="0" w:color="auto"/>
            </w:tcBorders>
            <w:vAlign w:val="center"/>
            <w:hideMark/>
          </w:tcPr>
          <w:p w:rsidR="002A0DA0" w:rsidRPr="00F455F3" w:rsidRDefault="002A0DA0" w:rsidP="002A0DA0">
            <w:pPr>
              <w:ind w:left="29"/>
              <w:rPr>
                <w:sz w:val="22"/>
                <w:szCs w:val="22"/>
              </w:rPr>
            </w:pP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Famotidin 20 mg 2 gange dagligt</w:t>
            </w: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Atazanavir AUC ↑18% (↑6,5%</w:t>
            </w:r>
          </w:p>
          <w:p w:rsidR="002A0DA0" w:rsidRPr="00F455F3" w:rsidRDefault="002A0DA0" w:rsidP="002A0DA0">
            <w:pPr>
              <w:ind w:left="29"/>
              <w:rPr>
                <w:sz w:val="22"/>
                <w:szCs w:val="22"/>
              </w:rPr>
            </w:pPr>
            <w:r w:rsidRPr="00F455F3">
              <w:rPr>
                <w:sz w:val="22"/>
                <w:szCs w:val="22"/>
              </w:rPr>
              <w:t>↑30</w:t>
            </w:r>
            <w:proofErr w:type="gramStart"/>
            <w:r w:rsidRPr="00F455F3">
              <w:rPr>
                <w:sz w:val="22"/>
                <w:szCs w:val="22"/>
              </w:rPr>
              <w:t>%)*</w:t>
            </w:r>
            <w:proofErr w:type="gramEnd"/>
          </w:p>
          <w:p w:rsidR="002A0DA0" w:rsidRPr="00F455F3" w:rsidRDefault="002A0DA0" w:rsidP="002A0DA0">
            <w:pPr>
              <w:ind w:left="29"/>
              <w:rPr>
                <w:sz w:val="22"/>
                <w:szCs w:val="22"/>
              </w:rPr>
            </w:pPr>
            <w:r w:rsidRPr="00F455F3">
              <w:rPr>
                <w:sz w:val="22"/>
                <w:szCs w:val="22"/>
              </w:rPr>
              <w:t>Atazanavir C</w:t>
            </w:r>
            <w:r w:rsidRPr="00F455F3">
              <w:rPr>
                <w:sz w:val="22"/>
                <w:szCs w:val="22"/>
                <w:vertAlign w:val="subscript"/>
              </w:rPr>
              <w:t>max</w:t>
            </w:r>
            <w:r w:rsidRPr="00F455F3">
              <w:rPr>
                <w:sz w:val="22"/>
                <w:szCs w:val="22"/>
              </w:rPr>
              <w:t xml:space="preserve"> ↑18% (↑6,7% ↑31</w:t>
            </w:r>
            <w:proofErr w:type="gramStart"/>
            <w:r w:rsidRPr="00F455F3">
              <w:rPr>
                <w:sz w:val="22"/>
                <w:szCs w:val="22"/>
              </w:rPr>
              <w:t>%)*</w:t>
            </w:r>
            <w:proofErr w:type="gramEnd"/>
          </w:p>
          <w:p w:rsidR="002A0DA0" w:rsidRPr="00F455F3" w:rsidRDefault="002A0DA0" w:rsidP="002A0DA0">
            <w:pPr>
              <w:ind w:left="29"/>
              <w:rPr>
                <w:sz w:val="22"/>
                <w:szCs w:val="22"/>
              </w:rPr>
            </w:pPr>
            <w:r w:rsidRPr="00F455F3">
              <w:rPr>
                <w:sz w:val="22"/>
                <w:szCs w:val="22"/>
              </w:rPr>
              <w:t>Atazanavir C</w:t>
            </w:r>
            <w:r w:rsidRPr="00F455F3">
              <w:rPr>
                <w:sz w:val="22"/>
                <w:szCs w:val="22"/>
                <w:vertAlign w:val="subscript"/>
              </w:rPr>
              <w:t>min</w:t>
            </w:r>
            <w:r w:rsidRPr="00F455F3">
              <w:rPr>
                <w:sz w:val="22"/>
                <w:szCs w:val="22"/>
              </w:rPr>
              <w:t xml:space="preserve"> ↑24 % (↑10% ↑39</w:t>
            </w:r>
            <w:proofErr w:type="gramStart"/>
            <w:r w:rsidRPr="00F455F3">
              <w:rPr>
                <w:sz w:val="22"/>
                <w:szCs w:val="22"/>
              </w:rPr>
              <w:t>%)*</w:t>
            </w:r>
            <w:proofErr w:type="gramEnd"/>
          </w:p>
        </w:tc>
        <w:tc>
          <w:tcPr>
            <w:tcW w:w="1701" w:type="pct"/>
            <w:vMerge/>
            <w:tcBorders>
              <w:top w:val="single" w:sz="4" w:space="0" w:color="auto"/>
              <w:left w:val="single" w:sz="4" w:space="0" w:color="auto"/>
              <w:bottom w:val="single" w:sz="4" w:space="0" w:color="auto"/>
              <w:right w:val="single" w:sz="4" w:space="0" w:color="auto"/>
            </w:tcBorders>
            <w:vAlign w:val="center"/>
            <w:hideMark/>
          </w:tcPr>
          <w:p w:rsidR="002A0DA0" w:rsidRPr="00F455F3" w:rsidRDefault="002A0DA0" w:rsidP="002A0DA0">
            <w:pPr>
              <w:ind w:left="29"/>
              <w:rPr>
                <w:sz w:val="22"/>
                <w:szCs w:val="22"/>
              </w:rPr>
            </w:pP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Famotidin 40 mg 2 gange dagligt</w:t>
            </w: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Atazanavir AUC ↔2,3% (↓13% ↑10</w:t>
            </w:r>
            <w:proofErr w:type="gramStart"/>
            <w:r w:rsidRPr="00F455F3">
              <w:rPr>
                <w:sz w:val="22"/>
                <w:szCs w:val="22"/>
              </w:rPr>
              <w:t>%)*</w:t>
            </w:r>
            <w:proofErr w:type="gramEnd"/>
          </w:p>
          <w:p w:rsidR="002A0DA0" w:rsidRPr="00F455F3" w:rsidRDefault="002A0DA0" w:rsidP="002A0DA0">
            <w:pPr>
              <w:ind w:left="29"/>
              <w:rPr>
                <w:sz w:val="22"/>
                <w:szCs w:val="22"/>
              </w:rPr>
            </w:pPr>
            <w:r w:rsidRPr="00F455F3">
              <w:rPr>
                <w:sz w:val="22"/>
                <w:szCs w:val="22"/>
              </w:rPr>
              <w:t>Atazanavir C</w:t>
            </w:r>
            <w:r w:rsidRPr="00F455F3">
              <w:rPr>
                <w:sz w:val="22"/>
                <w:szCs w:val="22"/>
                <w:vertAlign w:val="subscript"/>
              </w:rPr>
              <w:t>max</w:t>
            </w:r>
            <w:r w:rsidRPr="00F455F3">
              <w:rPr>
                <w:sz w:val="22"/>
                <w:szCs w:val="22"/>
              </w:rPr>
              <w:t xml:space="preserve"> ↔5% (↓17% ↑8,4</w:t>
            </w:r>
            <w:proofErr w:type="gramStart"/>
            <w:r w:rsidRPr="00F455F3">
              <w:rPr>
                <w:sz w:val="22"/>
                <w:szCs w:val="22"/>
              </w:rPr>
              <w:t>%)*</w:t>
            </w:r>
            <w:proofErr w:type="gramEnd"/>
          </w:p>
          <w:p w:rsidR="002A0DA0" w:rsidRPr="00F455F3" w:rsidRDefault="002A0DA0" w:rsidP="002A0DA0">
            <w:pPr>
              <w:ind w:left="29"/>
              <w:rPr>
                <w:sz w:val="22"/>
                <w:szCs w:val="22"/>
              </w:rPr>
            </w:pPr>
            <w:r w:rsidRPr="00F455F3">
              <w:rPr>
                <w:sz w:val="22"/>
                <w:szCs w:val="22"/>
              </w:rPr>
              <w:t>Atazanavir C</w:t>
            </w:r>
            <w:r w:rsidRPr="00F455F3">
              <w:rPr>
                <w:sz w:val="22"/>
                <w:szCs w:val="22"/>
                <w:vertAlign w:val="subscript"/>
              </w:rPr>
              <w:t>min</w:t>
            </w:r>
            <w:r w:rsidRPr="00F455F3">
              <w:rPr>
                <w:sz w:val="22"/>
                <w:szCs w:val="22"/>
              </w:rPr>
              <w:t xml:space="preserve"> ↔1,3% (↓10% ↑15</w:t>
            </w:r>
            <w:proofErr w:type="gramStart"/>
            <w:r w:rsidRPr="00F455F3">
              <w:rPr>
                <w:sz w:val="22"/>
                <w:szCs w:val="22"/>
              </w:rPr>
              <w:t>%)*</w:t>
            </w:r>
            <w:proofErr w:type="gramEnd"/>
          </w:p>
        </w:tc>
        <w:tc>
          <w:tcPr>
            <w:tcW w:w="1701" w:type="pct"/>
            <w:vMerge/>
            <w:tcBorders>
              <w:top w:val="single" w:sz="4" w:space="0" w:color="auto"/>
              <w:left w:val="single" w:sz="4" w:space="0" w:color="auto"/>
              <w:bottom w:val="single" w:sz="4" w:space="0" w:color="auto"/>
              <w:right w:val="single" w:sz="4" w:space="0" w:color="auto"/>
            </w:tcBorders>
            <w:vAlign w:val="center"/>
            <w:hideMark/>
          </w:tcPr>
          <w:p w:rsidR="002A0DA0" w:rsidRPr="00F455F3" w:rsidRDefault="002A0DA0" w:rsidP="002A0DA0">
            <w:pPr>
              <w:ind w:left="29"/>
              <w:rPr>
                <w:sz w:val="22"/>
                <w:szCs w:val="22"/>
              </w:rPr>
            </w:pPr>
          </w:p>
        </w:tc>
      </w:tr>
      <w:tr w:rsidR="002A0DA0" w:rsidTr="002A0DA0">
        <w:tc>
          <w:tcPr>
            <w:tcW w:w="1566"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b/>
                <w:sz w:val="22"/>
                <w:szCs w:val="22"/>
              </w:rPr>
            </w:pPr>
          </w:p>
        </w:tc>
        <w:tc>
          <w:tcPr>
            <w:tcW w:w="1733"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sz w:val="22"/>
                <w:szCs w:val="22"/>
              </w:rPr>
            </w:pPr>
            <w:r w:rsidRPr="00F455F3">
              <w:rPr>
                <w:sz w:val="22"/>
                <w:szCs w:val="22"/>
              </w:rPr>
              <w:t>* Sammenlignet med atazanavir 300 mg 1 gang dagligt med ritonavir 100 mg 1 gang dagligt og tenofovirdisoproxil</w:t>
            </w:r>
            <w:r>
              <w:rPr>
                <w:sz w:val="22"/>
                <w:szCs w:val="22"/>
              </w:rPr>
              <w:t>fumarat</w:t>
            </w:r>
            <w:r w:rsidRPr="00F455F3">
              <w:rPr>
                <w:sz w:val="22"/>
                <w:szCs w:val="22"/>
              </w:rPr>
              <w:t xml:space="preserve"> </w:t>
            </w:r>
            <w:r>
              <w:rPr>
                <w:sz w:val="22"/>
                <w:szCs w:val="22"/>
              </w:rPr>
              <w:t>300</w:t>
            </w:r>
            <w:r w:rsidRPr="00F455F3">
              <w:rPr>
                <w:sz w:val="22"/>
                <w:szCs w:val="22"/>
              </w:rPr>
              <w:t xml:space="preserve"> mg,</w:t>
            </w:r>
            <w:r>
              <w:rPr>
                <w:sz w:val="22"/>
                <w:szCs w:val="22"/>
              </w:rPr>
              <w:t xml:space="preserve"> </w:t>
            </w:r>
            <w:r w:rsidRPr="00F455F3">
              <w:rPr>
                <w:sz w:val="22"/>
                <w:szCs w:val="22"/>
              </w:rPr>
              <w:t>alle som enkeltdosis med mad.</w:t>
            </w:r>
          </w:p>
          <w:p w:rsidR="002A0DA0" w:rsidRPr="00F455F3" w:rsidRDefault="002A0DA0" w:rsidP="002A0DA0">
            <w:pPr>
              <w:ind w:left="29"/>
              <w:rPr>
                <w:sz w:val="22"/>
                <w:szCs w:val="22"/>
              </w:rPr>
            </w:pPr>
            <w:r w:rsidRPr="00F455F3">
              <w:rPr>
                <w:sz w:val="22"/>
                <w:szCs w:val="22"/>
              </w:rPr>
              <w:t>Sammenlignet med atazanavir 300 mg med ritonavir 100 mg uden tenofovirdisoproxil</w:t>
            </w:r>
            <w:r>
              <w:rPr>
                <w:sz w:val="22"/>
                <w:szCs w:val="22"/>
              </w:rPr>
              <w:t>fumarat</w:t>
            </w:r>
            <w:r w:rsidRPr="00F455F3">
              <w:rPr>
                <w:sz w:val="22"/>
                <w:szCs w:val="22"/>
              </w:rPr>
              <w:t xml:space="preserve"> forventes koncentrationen af atazanavir at falde yderligere med ca. 20%.</w:t>
            </w:r>
          </w:p>
          <w:p w:rsidR="002A0DA0" w:rsidRPr="00F455F3" w:rsidRDefault="002A0DA0" w:rsidP="002A0DA0">
            <w:pPr>
              <w:ind w:left="29"/>
              <w:rPr>
                <w:sz w:val="22"/>
                <w:szCs w:val="22"/>
              </w:rPr>
            </w:pPr>
          </w:p>
          <w:p w:rsidR="002A0DA0" w:rsidRPr="00F455F3" w:rsidRDefault="002A0DA0" w:rsidP="002A0DA0">
            <w:pPr>
              <w:ind w:left="29"/>
              <w:rPr>
                <w:sz w:val="22"/>
                <w:szCs w:val="22"/>
              </w:rPr>
            </w:pPr>
            <w:r w:rsidRPr="00F455F3">
              <w:rPr>
                <w:sz w:val="22"/>
                <w:szCs w:val="22"/>
              </w:rPr>
              <w:t>Interaktionsmekanismen er nedsat opløselighed af atazanavir pga. intragastrisk pH-stigning med H</w:t>
            </w:r>
            <w:r w:rsidRPr="00F455F3">
              <w:rPr>
                <w:sz w:val="22"/>
                <w:szCs w:val="22"/>
                <w:vertAlign w:val="subscript"/>
              </w:rPr>
              <w:t>2</w:t>
            </w:r>
            <w:r w:rsidRPr="00F455F3">
              <w:rPr>
                <w:sz w:val="22"/>
                <w:szCs w:val="22"/>
              </w:rPr>
              <w:t>-blokkere.</w:t>
            </w:r>
          </w:p>
        </w:tc>
        <w:tc>
          <w:tcPr>
            <w:tcW w:w="1701" w:type="pct"/>
            <w:vMerge/>
            <w:tcBorders>
              <w:top w:val="single" w:sz="4" w:space="0" w:color="auto"/>
              <w:left w:val="single" w:sz="4" w:space="0" w:color="auto"/>
              <w:bottom w:val="single" w:sz="4" w:space="0" w:color="auto"/>
              <w:right w:val="single" w:sz="4" w:space="0" w:color="auto"/>
            </w:tcBorders>
            <w:vAlign w:val="center"/>
            <w:hideMark/>
          </w:tcPr>
          <w:p w:rsidR="002A0DA0" w:rsidRPr="00F455F3" w:rsidRDefault="002A0DA0" w:rsidP="002A0DA0">
            <w:pPr>
              <w:ind w:left="29"/>
              <w:rPr>
                <w:sz w:val="22"/>
                <w:szCs w:val="22"/>
              </w:rPr>
            </w:pP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i/>
                <w:sz w:val="22"/>
                <w:szCs w:val="22"/>
              </w:rPr>
            </w:pPr>
            <w:r w:rsidRPr="00F455F3">
              <w:rPr>
                <w:i/>
                <w:sz w:val="22"/>
                <w:szCs w:val="22"/>
              </w:rPr>
              <w:t>Protonpumpehæmmere</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Omeprazol 40 mg 1 gang dagligt</w:t>
            </w:r>
          </w:p>
          <w:p w:rsidR="002A0DA0" w:rsidRPr="00F455F3" w:rsidRDefault="002A0DA0" w:rsidP="002A0DA0">
            <w:pPr>
              <w:ind w:left="29"/>
              <w:rPr>
                <w:b/>
                <w:sz w:val="22"/>
                <w:szCs w:val="22"/>
              </w:rPr>
            </w:pPr>
            <w:r w:rsidRPr="00F455F3">
              <w:rPr>
                <w:sz w:val="22"/>
                <w:szCs w:val="22"/>
              </w:rPr>
              <w:t>(atazanavir 400 mg 1 gang</w:t>
            </w:r>
            <w:r>
              <w:rPr>
                <w:sz w:val="22"/>
                <w:szCs w:val="22"/>
              </w:rPr>
              <w:t xml:space="preserve"> </w:t>
            </w:r>
            <w:r w:rsidRPr="00F455F3">
              <w:rPr>
                <w:sz w:val="22"/>
                <w:szCs w:val="22"/>
              </w:rPr>
              <w:t>dagligt med ritonavir 100 mg 1</w:t>
            </w:r>
            <w:r>
              <w:rPr>
                <w:sz w:val="22"/>
                <w:szCs w:val="22"/>
              </w:rPr>
              <w:t xml:space="preserve"> </w:t>
            </w:r>
            <w:r w:rsidRPr="00F455F3">
              <w:rPr>
                <w:sz w:val="22"/>
                <w:szCs w:val="22"/>
              </w:rPr>
              <w:t>gang dagligt)</w:t>
            </w: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Atazanavir (morgen): 2 timer efter omeprazol</w:t>
            </w:r>
          </w:p>
          <w:p w:rsidR="002A0DA0" w:rsidRPr="00F455F3" w:rsidRDefault="002A0DA0" w:rsidP="002A0DA0">
            <w:pPr>
              <w:ind w:left="29"/>
              <w:rPr>
                <w:sz w:val="22"/>
                <w:szCs w:val="22"/>
              </w:rPr>
            </w:pPr>
            <w:r w:rsidRPr="00F455F3">
              <w:rPr>
                <w:sz w:val="22"/>
                <w:szCs w:val="22"/>
              </w:rPr>
              <w:t>Atazanavir AUC ↓61% (↓65% ↓55%)</w:t>
            </w:r>
          </w:p>
          <w:p w:rsidR="002A0DA0" w:rsidRPr="00F455F3" w:rsidRDefault="002A0DA0" w:rsidP="002A0DA0">
            <w:pPr>
              <w:ind w:left="29"/>
              <w:rPr>
                <w:sz w:val="22"/>
                <w:szCs w:val="22"/>
              </w:rPr>
            </w:pPr>
            <w:r w:rsidRPr="00F455F3">
              <w:rPr>
                <w:sz w:val="22"/>
                <w:szCs w:val="22"/>
              </w:rPr>
              <w:t>Atazanavir C</w:t>
            </w:r>
            <w:r w:rsidRPr="00F455F3">
              <w:rPr>
                <w:sz w:val="22"/>
                <w:szCs w:val="22"/>
                <w:vertAlign w:val="subscript"/>
              </w:rPr>
              <w:t>max</w:t>
            </w:r>
            <w:r w:rsidRPr="00F455F3">
              <w:rPr>
                <w:sz w:val="22"/>
                <w:szCs w:val="22"/>
              </w:rPr>
              <w:t xml:space="preserve"> ↓66% (↓62% ↓49%)</w:t>
            </w:r>
          </w:p>
          <w:p w:rsidR="002A0DA0" w:rsidRPr="00F455F3" w:rsidRDefault="002A0DA0" w:rsidP="002A0DA0">
            <w:pPr>
              <w:ind w:left="29"/>
              <w:rPr>
                <w:sz w:val="22"/>
                <w:szCs w:val="22"/>
              </w:rPr>
            </w:pPr>
            <w:r w:rsidRPr="00F455F3">
              <w:rPr>
                <w:sz w:val="22"/>
                <w:szCs w:val="22"/>
              </w:rPr>
              <w:t>Atazanavir C</w:t>
            </w:r>
            <w:r w:rsidRPr="00F455F3">
              <w:rPr>
                <w:sz w:val="22"/>
                <w:szCs w:val="22"/>
                <w:vertAlign w:val="subscript"/>
              </w:rPr>
              <w:t>min</w:t>
            </w:r>
            <w:r w:rsidRPr="00F455F3">
              <w:rPr>
                <w:sz w:val="22"/>
                <w:szCs w:val="22"/>
              </w:rPr>
              <w:t xml:space="preserve"> ↓65% (↓71% ↓59%)</w:t>
            </w:r>
          </w:p>
        </w:tc>
        <w:tc>
          <w:tcPr>
            <w:tcW w:w="1701" w:type="pct"/>
            <w:vMerge w:val="restar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Samtidig administration af</w:t>
            </w:r>
            <w:r>
              <w:rPr>
                <w:sz w:val="22"/>
                <w:szCs w:val="22"/>
              </w:rPr>
              <w:t xml:space="preserve"> </w:t>
            </w:r>
            <w:r w:rsidRPr="00F455F3">
              <w:rPr>
                <w:sz w:val="22"/>
                <w:szCs w:val="22"/>
              </w:rPr>
              <w:t>atazanavir med ritonavir og en</w:t>
            </w:r>
            <w:r>
              <w:rPr>
                <w:sz w:val="22"/>
                <w:szCs w:val="22"/>
              </w:rPr>
              <w:t xml:space="preserve"> </w:t>
            </w:r>
            <w:r w:rsidRPr="00F455F3">
              <w:rPr>
                <w:sz w:val="22"/>
                <w:szCs w:val="22"/>
              </w:rPr>
              <w:t>protonpumpehæmmer frarådes.</w:t>
            </w:r>
          </w:p>
          <w:p w:rsidR="002A0DA0" w:rsidRPr="00F455F3" w:rsidRDefault="002A0DA0" w:rsidP="002A0DA0">
            <w:pPr>
              <w:ind w:left="29"/>
              <w:rPr>
                <w:sz w:val="22"/>
                <w:szCs w:val="22"/>
              </w:rPr>
            </w:pPr>
            <w:r w:rsidRPr="00F455F3">
              <w:rPr>
                <w:sz w:val="22"/>
                <w:szCs w:val="22"/>
              </w:rPr>
              <w:t>Hvis kombination vurderes at</w:t>
            </w:r>
            <w:r>
              <w:rPr>
                <w:sz w:val="22"/>
                <w:szCs w:val="22"/>
              </w:rPr>
              <w:t xml:space="preserve"> </w:t>
            </w:r>
            <w:r w:rsidRPr="00F455F3">
              <w:rPr>
                <w:sz w:val="22"/>
                <w:szCs w:val="22"/>
              </w:rPr>
              <w:t>være nødvendig, anbefales</w:t>
            </w:r>
            <w:r>
              <w:rPr>
                <w:sz w:val="22"/>
                <w:szCs w:val="22"/>
              </w:rPr>
              <w:t xml:space="preserve"> </w:t>
            </w:r>
            <w:r w:rsidRPr="00F455F3">
              <w:rPr>
                <w:sz w:val="22"/>
                <w:szCs w:val="22"/>
              </w:rPr>
              <w:t>omhyggelig monitorering og</w:t>
            </w:r>
            <w:r>
              <w:rPr>
                <w:sz w:val="22"/>
                <w:szCs w:val="22"/>
              </w:rPr>
              <w:t xml:space="preserve"> </w:t>
            </w:r>
            <w:r w:rsidRPr="00F455F3">
              <w:rPr>
                <w:sz w:val="22"/>
                <w:szCs w:val="22"/>
              </w:rPr>
              <w:t>dosisøgning af atazanavir til</w:t>
            </w:r>
            <w:r>
              <w:rPr>
                <w:sz w:val="22"/>
                <w:szCs w:val="22"/>
              </w:rPr>
              <w:t xml:space="preserve"> </w:t>
            </w:r>
            <w:r w:rsidRPr="00F455F3">
              <w:rPr>
                <w:sz w:val="22"/>
                <w:szCs w:val="22"/>
              </w:rPr>
              <w:t>400 mg med 100 mg ritonavir.</w:t>
            </w:r>
          </w:p>
          <w:p w:rsidR="002A0DA0" w:rsidRPr="00F455F3" w:rsidRDefault="002A0DA0" w:rsidP="002A0DA0">
            <w:pPr>
              <w:ind w:left="29"/>
              <w:rPr>
                <w:sz w:val="22"/>
                <w:szCs w:val="22"/>
              </w:rPr>
            </w:pPr>
            <w:r w:rsidRPr="00F455F3">
              <w:rPr>
                <w:sz w:val="22"/>
                <w:szCs w:val="22"/>
              </w:rPr>
              <w:t>Dosis af protonpumpe-hæmmere svarende til omeprazol 20 mg bør ikke overskrides (se pkt. 4.4).</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Omeprazol 20 mg 1 gang dagligt</w:t>
            </w:r>
          </w:p>
          <w:p w:rsidR="002A0DA0" w:rsidRPr="00F455F3" w:rsidRDefault="002A0DA0" w:rsidP="002A0DA0">
            <w:pPr>
              <w:ind w:left="29"/>
              <w:rPr>
                <w:b/>
                <w:sz w:val="22"/>
                <w:szCs w:val="22"/>
              </w:rPr>
            </w:pPr>
            <w:r w:rsidRPr="00F455F3">
              <w:rPr>
                <w:sz w:val="22"/>
                <w:szCs w:val="22"/>
              </w:rPr>
              <w:t>(atazanavir 400 mg 1 gang</w:t>
            </w:r>
            <w:r>
              <w:rPr>
                <w:sz w:val="22"/>
                <w:szCs w:val="22"/>
              </w:rPr>
              <w:t xml:space="preserve"> </w:t>
            </w:r>
            <w:r w:rsidRPr="00F455F3">
              <w:rPr>
                <w:sz w:val="22"/>
                <w:szCs w:val="22"/>
              </w:rPr>
              <w:t>dagligt med ritonavir 100 mg 1</w:t>
            </w:r>
            <w:r>
              <w:rPr>
                <w:sz w:val="22"/>
                <w:szCs w:val="22"/>
              </w:rPr>
              <w:t xml:space="preserve"> </w:t>
            </w:r>
            <w:r w:rsidRPr="00F455F3">
              <w:rPr>
                <w:sz w:val="22"/>
                <w:szCs w:val="22"/>
              </w:rPr>
              <w:t>gang dagligt)</w:t>
            </w:r>
          </w:p>
        </w:tc>
        <w:tc>
          <w:tcPr>
            <w:tcW w:w="1733"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sz w:val="22"/>
                <w:szCs w:val="22"/>
              </w:rPr>
            </w:pPr>
            <w:r w:rsidRPr="00F455F3">
              <w:rPr>
                <w:sz w:val="22"/>
                <w:szCs w:val="22"/>
              </w:rPr>
              <w:t>Atazanavir (morgen): 1 time efter omeprazol</w:t>
            </w:r>
          </w:p>
          <w:p w:rsidR="002A0DA0" w:rsidRPr="00F455F3" w:rsidRDefault="002A0DA0" w:rsidP="002A0DA0">
            <w:pPr>
              <w:ind w:left="29"/>
              <w:rPr>
                <w:sz w:val="22"/>
                <w:szCs w:val="22"/>
              </w:rPr>
            </w:pPr>
            <w:r w:rsidRPr="00F455F3">
              <w:rPr>
                <w:sz w:val="22"/>
                <w:szCs w:val="22"/>
              </w:rPr>
              <w:t>Atazanavir AUC ↓30% (↓43% ↓14%) *</w:t>
            </w:r>
          </w:p>
          <w:p w:rsidR="002A0DA0" w:rsidRPr="00F455F3" w:rsidRDefault="002A0DA0" w:rsidP="002A0DA0">
            <w:pPr>
              <w:ind w:left="29"/>
              <w:rPr>
                <w:sz w:val="22"/>
                <w:szCs w:val="22"/>
              </w:rPr>
            </w:pPr>
            <w:r w:rsidRPr="00F455F3">
              <w:rPr>
                <w:sz w:val="22"/>
                <w:szCs w:val="22"/>
              </w:rPr>
              <w:t>Atazanavir C</w:t>
            </w:r>
            <w:r w:rsidRPr="00F455F3">
              <w:rPr>
                <w:sz w:val="22"/>
                <w:szCs w:val="22"/>
                <w:vertAlign w:val="subscript"/>
              </w:rPr>
              <w:t>max</w:t>
            </w:r>
            <w:r w:rsidRPr="00F455F3">
              <w:rPr>
                <w:sz w:val="22"/>
                <w:szCs w:val="22"/>
              </w:rPr>
              <w:t xml:space="preserve"> ↓31% (↓42% ↓17%) *</w:t>
            </w:r>
          </w:p>
          <w:p w:rsidR="002A0DA0" w:rsidRPr="00F455F3" w:rsidRDefault="002A0DA0" w:rsidP="002A0DA0">
            <w:pPr>
              <w:ind w:left="29"/>
              <w:rPr>
                <w:sz w:val="22"/>
                <w:szCs w:val="22"/>
              </w:rPr>
            </w:pPr>
            <w:r w:rsidRPr="00F455F3">
              <w:rPr>
                <w:sz w:val="22"/>
                <w:szCs w:val="22"/>
              </w:rPr>
              <w:lastRenderedPageBreak/>
              <w:t>Atazanavir C</w:t>
            </w:r>
            <w:r w:rsidRPr="00F455F3">
              <w:rPr>
                <w:sz w:val="22"/>
                <w:szCs w:val="22"/>
                <w:vertAlign w:val="subscript"/>
              </w:rPr>
              <w:t>min</w:t>
            </w:r>
            <w:r w:rsidRPr="00F455F3">
              <w:rPr>
                <w:sz w:val="22"/>
                <w:szCs w:val="22"/>
              </w:rPr>
              <w:t xml:space="preserve"> ↓31% (↓46% ↓12%) *</w:t>
            </w:r>
          </w:p>
          <w:p w:rsidR="002A0DA0" w:rsidRPr="00F455F3" w:rsidRDefault="002A0DA0" w:rsidP="002A0DA0">
            <w:pPr>
              <w:ind w:left="29"/>
              <w:rPr>
                <w:sz w:val="22"/>
                <w:szCs w:val="22"/>
              </w:rPr>
            </w:pPr>
          </w:p>
          <w:p w:rsidR="002A0DA0" w:rsidRPr="00F455F3" w:rsidRDefault="002A0DA0" w:rsidP="002A0DA0">
            <w:pPr>
              <w:ind w:left="29"/>
              <w:rPr>
                <w:sz w:val="22"/>
                <w:szCs w:val="22"/>
              </w:rPr>
            </w:pPr>
            <w:r w:rsidRPr="00F455F3">
              <w:rPr>
                <w:sz w:val="22"/>
                <w:szCs w:val="22"/>
              </w:rPr>
              <w:t>* Sammenlignet med atazanavir 300 mg 1 gang dagligt med ritonavir 100 mg 1 gang dagligt.</w:t>
            </w:r>
          </w:p>
          <w:p w:rsidR="002A0DA0" w:rsidRPr="00F455F3" w:rsidRDefault="002A0DA0" w:rsidP="002A0DA0">
            <w:pPr>
              <w:ind w:left="29"/>
              <w:rPr>
                <w:sz w:val="22"/>
                <w:szCs w:val="22"/>
              </w:rPr>
            </w:pPr>
            <w:r w:rsidRPr="00F455F3">
              <w:rPr>
                <w:sz w:val="22"/>
                <w:szCs w:val="22"/>
              </w:rPr>
              <w:t>Faldet i AUC, C</w:t>
            </w:r>
            <w:r w:rsidRPr="00F455F3">
              <w:rPr>
                <w:sz w:val="22"/>
                <w:szCs w:val="22"/>
                <w:vertAlign w:val="subscript"/>
              </w:rPr>
              <w:t>max</w:t>
            </w:r>
            <w:r w:rsidRPr="00F455F3">
              <w:rPr>
                <w:sz w:val="22"/>
                <w:szCs w:val="22"/>
              </w:rPr>
              <w:t>, and C</w:t>
            </w:r>
            <w:r w:rsidRPr="00F455F3">
              <w:rPr>
                <w:sz w:val="22"/>
                <w:szCs w:val="22"/>
                <w:vertAlign w:val="subscript"/>
              </w:rPr>
              <w:t>min</w:t>
            </w:r>
            <w:r w:rsidRPr="00F455F3">
              <w:rPr>
                <w:sz w:val="22"/>
                <w:szCs w:val="22"/>
              </w:rPr>
              <w:t xml:space="preserve"> var ikke mindre, når en øget dosis af atazanavir/ritonavir (400/100 mg én gang dagligt) blev forskudt fra omeprazol med 12 timer. Selvom det</w:t>
            </w:r>
            <w:r>
              <w:rPr>
                <w:sz w:val="22"/>
                <w:szCs w:val="22"/>
              </w:rPr>
              <w:t xml:space="preserve"> </w:t>
            </w:r>
            <w:r w:rsidRPr="00F455F3">
              <w:rPr>
                <w:sz w:val="22"/>
                <w:szCs w:val="22"/>
              </w:rPr>
              <w:t>ikke er undersøgt, forventes lignende resultater med andre</w:t>
            </w:r>
            <w:r>
              <w:rPr>
                <w:sz w:val="22"/>
                <w:szCs w:val="22"/>
              </w:rPr>
              <w:t xml:space="preserve"> </w:t>
            </w:r>
            <w:r w:rsidRPr="00F455F3">
              <w:rPr>
                <w:sz w:val="22"/>
                <w:szCs w:val="22"/>
              </w:rPr>
              <w:t>protonpumpehæmmere. Dette fald i atazanavireksponeringen kan påvirke effekten af atazanavir negativt.</w:t>
            </w:r>
          </w:p>
          <w:p w:rsidR="002A0DA0" w:rsidRPr="00F455F3" w:rsidRDefault="002A0DA0" w:rsidP="002A0DA0">
            <w:pPr>
              <w:ind w:left="29"/>
              <w:rPr>
                <w:sz w:val="22"/>
                <w:szCs w:val="22"/>
              </w:rPr>
            </w:pPr>
            <w:r w:rsidRPr="00F455F3">
              <w:rPr>
                <w:sz w:val="22"/>
                <w:szCs w:val="22"/>
              </w:rPr>
              <w:t>Interaktionsmekanismen er nedsat opløselighed af atazanavir pga. intragastrisk pH-stigning med protonpumpehæmmere.</w:t>
            </w:r>
          </w:p>
        </w:tc>
        <w:tc>
          <w:tcPr>
            <w:tcW w:w="1701" w:type="pct"/>
            <w:vMerge/>
            <w:tcBorders>
              <w:top w:val="single" w:sz="4" w:space="0" w:color="auto"/>
              <w:left w:val="single" w:sz="4" w:space="0" w:color="auto"/>
              <w:bottom w:val="single" w:sz="4" w:space="0" w:color="auto"/>
              <w:right w:val="single" w:sz="4" w:space="0" w:color="auto"/>
            </w:tcBorders>
            <w:vAlign w:val="center"/>
            <w:hideMark/>
          </w:tcPr>
          <w:p w:rsidR="002A0DA0" w:rsidRPr="00F455F3" w:rsidRDefault="002A0DA0" w:rsidP="002A0DA0">
            <w:pPr>
              <w:ind w:left="29"/>
              <w:rPr>
                <w:sz w:val="22"/>
                <w:szCs w:val="22"/>
              </w:rPr>
            </w:pP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i/>
                <w:sz w:val="22"/>
                <w:szCs w:val="22"/>
              </w:rPr>
            </w:pPr>
            <w:r w:rsidRPr="00F455F3">
              <w:rPr>
                <w:i/>
                <w:sz w:val="22"/>
                <w:szCs w:val="22"/>
              </w:rPr>
              <w:t>Antacida</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Antacida og lægemidler</w:t>
            </w:r>
            <w:r>
              <w:rPr>
                <w:b/>
                <w:sz w:val="22"/>
                <w:szCs w:val="22"/>
              </w:rPr>
              <w:t xml:space="preserve"> </w:t>
            </w:r>
            <w:r w:rsidRPr="00F455F3">
              <w:rPr>
                <w:b/>
                <w:sz w:val="22"/>
                <w:szCs w:val="22"/>
              </w:rPr>
              <w:t>indeholdende buffer</w:t>
            </w: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Plasmakoncentrationen af atazanavir kan falde, hvis gastrisk pH øges ved samtidig administration af antacida, inklusive lægemidler med buffer, og atazanavir.</w:t>
            </w:r>
          </w:p>
        </w:tc>
        <w:tc>
          <w:tcPr>
            <w:tcW w:w="1701"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Atazanavir bør administreres</w:t>
            </w:r>
            <w:r>
              <w:rPr>
                <w:sz w:val="22"/>
                <w:szCs w:val="22"/>
              </w:rPr>
              <w:t xml:space="preserve"> </w:t>
            </w:r>
            <w:r w:rsidRPr="00F455F3">
              <w:rPr>
                <w:sz w:val="22"/>
                <w:szCs w:val="22"/>
              </w:rPr>
              <w:t>2 timer før eller 1 time efter</w:t>
            </w:r>
            <w:r>
              <w:rPr>
                <w:sz w:val="22"/>
                <w:szCs w:val="22"/>
              </w:rPr>
              <w:t xml:space="preserve"> </w:t>
            </w:r>
            <w:r w:rsidRPr="00F455F3">
              <w:rPr>
                <w:sz w:val="22"/>
                <w:szCs w:val="22"/>
              </w:rPr>
              <w:t>antacida eller lægemidler med</w:t>
            </w:r>
            <w:r>
              <w:rPr>
                <w:sz w:val="22"/>
                <w:szCs w:val="22"/>
              </w:rPr>
              <w:t xml:space="preserve"> </w:t>
            </w:r>
            <w:r w:rsidRPr="00F455F3">
              <w:rPr>
                <w:sz w:val="22"/>
                <w:szCs w:val="22"/>
              </w:rPr>
              <w:t>buffer.</w:t>
            </w: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b/>
                <w:sz w:val="22"/>
                <w:szCs w:val="22"/>
              </w:rPr>
              <w:t>ALFA 1-ADRENERGE RECEPTORANTAGONISTER</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Alfuzosin</w:t>
            </w: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Risiko for øget alfuzosinkoncentration, som kan medføre hypotension. Interaktionsmekanismen er</w:t>
            </w:r>
            <w:r>
              <w:rPr>
                <w:sz w:val="22"/>
                <w:szCs w:val="22"/>
              </w:rPr>
              <w:t xml:space="preserve"> </w:t>
            </w:r>
            <w:r w:rsidRPr="00F455F3">
              <w:rPr>
                <w:sz w:val="22"/>
                <w:szCs w:val="22"/>
              </w:rPr>
              <w:t>atazanavir- og/eller ritonavirhæmning af CYP3A4.</w:t>
            </w:r>
          </w:p>
        </w:tc>
        <w:tc>
          <w:tcPr>
            <w:tcW w:w="1701"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Samtidig administration af</w:t>
            </w:r>
            <w:r>
              <w:rPr>
                <w:sz w:val="22"/>
                <w:szCs w:val="22"/>
              </w:rPr>
              <w:t xml:space="preserve"> </w:t>
            </w:r>
            <w:r w:rsidRPr="00F455F3">
              <w:rPr>
                <w:sz w:val="22"/>
                <w:szCs w:val="22"/>
              </w:rPr>
              <w:t>alfuzosin og atazanavir er</w:t>
            </w:r>
            <w:r>
              <w:rPr>
                <w:sz w:val="22"/>
                <w:szCs w:val="22"/>
              </w:rPr>
              <w:t xml:space="preserve"> </w:t>
            </w:r>
            <w:r w:rsidRPr="00F455F3">
              <w:rPr>
                <w:sz w:val="22"/>
                <w:szCs w:val="22"/>
              </w:rPr>
              <w:t>kontraindiceret (se pkt. 4.3)</w:t>
            </w: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b/>
                <w:sz w:val="22"/>
                <w:szCs w:val="22"/>
              </w:rPr>
              <w:t>ANTIKOAGULANTIA</w:t>
            </w: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sz w:val="22"/>
                <w:szCs w:val="22"/>
              </w:rPr>
            </w:pPr>
            <w:r w:rsidRPr="00DD568A">
              <w:rPr>
                <w:bCs/>
                <w:i/>
                <w:iCs/>
                <w:sz w:val="22"/>
                <w:szCs w:val="22"/>
              </w:rPr>
              <w:t>Direkte virkende orale antikoagulantia (DOAK)</w:t>
            </w:r>
          </w:p>
        </w:tc>
      </w:tr>
      <w:tr w:rsidR="002A0DA0" w:rsidTr="002A0DA0">
        <w:tc>
          <w:tcPr>
            <w:tcW w:w="1566" w:type="pct"/>
            <w:tcBorders>
              <w:top w:val="single" w:sz="4" w:space="0" w:color="auto"/>
              <w:left w:val="single" w:sz="4" w:space="0" w:color="auto"/>
              <w:bottom w:val="single" w:sz="4" w:space="0" w:color="auto"/>
              <w:right w:val="single" w:sz="4" w:space="0" w:color="auto"/>
            </w:tcBorders>
          </w:tcPr>
          <w:p w:rsidR="002A0DA0" w:rsidRPr="00DE1468" w:rsidRDefault="002A0DA0" w:rsidP="002A0DA0">
            <w:pPr>
              <w:ind w:left="29"/>
              <w:rPr>
                <w:b/>
                <w:sz w:val="22"/>
                <w:szCs w:val="22"/>
              </w:rPr>
            </w:pPr>
            <w:r w:rsidRPr="00DE1468">
              <w:rPr>
                <w:b/>
                <w:sz w:val="22"/>
                <w:szCs w:val="22"/>
              </w:rPr>
              <w:t xml:space="preserve">Apixaban </w:t>
            </w:r>
          </w:p>
          <w:p w:rsidR="002A0DA0" w:rsidRPr="00F455F3" w:rsidRDefault="002A0DA0" w:rsidP="002A0DA0">
            <w:pPr>
              <w:ind w:left="29"/>
              <w:rPr>
                <w:b/>
                <w:sz w:val="22"/>
                <w:szCs w:val="22"/>
              </w:rPr>
            </w:pPr>
            <w:r w:rsidRPr="00DE1468">
              <w:rPr>
                <w:b/>
                <w:sz w:val="22"/>
                <w:szCs w:val="22"/>
              </w:rPr>
              <w:t>Rivaroxaban</w:t>
            </w:r>
          </w:p>
        </w:tc>
        <w:tc>
          <w:tcPr>
            <w:tcW w:w="1733" w:type="pct"/>
            <w:tcBorders>
              <w:top w:val="single" w:sz="4" w:space="0" w:color="auto"/>
              <w:left w:val="single" w:sz="4" w:space="0" w:color="auto"/>
              <w:bottom w:val="single" w:sz="4" w:space="0" w:color="auto"/>
              <w:right w:val="single" w:sz="4" w:space="0" w:color="auto"/>
            </w:tcBorders>
          </w:tcPr>
          <w:p w:rsidR="002A0DA0" w:rsidRDefault="002A0DA0" w:rsidP="002A0DA0">
            <w:pPr>
              <w:ind w:left="29"/>
              <w:rPr>
                <w:sz w:val="22"/>
                <w:szCs w:val="22"/>
              </w:rPr>
            </w:pPr>
            <w:r w:rsidRPr="00482D75">
              <w:rPr>
                <w:sz w:val="22"/>
                <w:szCs w:val="22"/>
              </w:rPr>
              <w:t xml:space="preserve">Potentiale for øget koncentration af apixaban og rivaroxaban, som kan medføre en højere risiko for blødning. Interaktionsmekanismen er </w:t>
            </w:r>
            <w:r>
              <w:rPr>
                <w:sz w:val="22"/>
                <w:szCs w:val="22"/>
              </w:rPr>
              <w:t>atazanavirs</w:t>
            </w:r>
            <w:r w:rsidRPr="00482D75">
              <w:rPr>
                <w:sz w:val="22"/>
                <w:szCs w:val="22"/>
              </w:rPr>
              <w:t xml:space="preserve">/ritonavirs hæmning af CYP3A4 og P-gp. </w:t>
            </w:r>
          </w:p>
          <w:p w:rsidR="002A0DA0" w:rsidRDefault="002A0DA0" w:rsidP="002A0DA0">
            <w:pPr>
              <w:ind w:left="29"/>
              <w:rPr>
                <w:sz w:val="22"/>
                <w:szCs w:val="22"/>
              </w:rPr>
            </w:pPr>
          </w:p>
          <w:p w:rsidR="002A0DA0" w:rsidRDefault="002A0DA0" w:rsidP="002A0DA0">
            <w:pPr>
              <w:ind w:left="29"/>
              <w:rPr>
                <w:sz w:val="22"/>
                <w:szCs w:val="22"/>
              </w:rPr>
            </w:pPr>
            <w:r w:rsidRPr="00482D75">
              <w:rPr>
                <w:sz w:val="22"/>
                <w:szCs w:val="22"/>
              </w:rPr>
              <w:t>Ritonavir er en kraftig hæmmer af både CYP3A4 og P-gp.</w:t>
            </w:r>
          </w:p>
          <w:p w:rsidR="002A0DA0" w:rsidRDefault="002A0DA0" w:rsidP="002A0DA0">
            <w:pPr>
              <w:ind w:left="29"/>
              <w:rPr>
                <w:sz w:val="22"/>
                <w:szCs w:val="22"/>
              </w:rPr>
            </w:pPr>
          </w:p>
          <w:p w:rsidR="002A0DA0" w:rsidRPr="00F455F3" w:rsidRDefault="002A0DA0" w:rsidP="002A0DA0">
            <w:pPr>
              <w:ind w:left="29"/>
              <w:rPr>
                <w:sz w:val="22"/>
                <w:szCs w:val="22"/>
              </w:rPr>
            </w:pPr>
            <w:r>
              <w:rPr>
                <w:sz w:val="22"/>
                <w:szCs w:val="22"/>
              </w:rPr>
              <w:t>Atazanavir</w:t>
            </w:r>
            <w:r w:rsidRPr="00482D75">
              <w:rPr>
                <w:sz w:val="22"/>
                <w:szCs w:val="22"/>
              </w:rPr>
              <w:t xml:space="preserve"> er en hæmmer af CYP3A4. </w:t>
            </w:r>
            <w:r>
              <w:rPr>
                <w:sz w:val="22"/>
                <w:szCs w:val="22"/>
              </w:rPr>
              <w:t>Atazanavirs</w:t>
            </w:r>
            <w:r w:rsidRPr="00482D75">
              <w:rPr>
                <w:sz w:val="22"/>
                <w:szCs w:val="22"/>
              </w:rPr>
              <w:t xml:space="preserve"> potentielle hæmning af P-gp er ukendt og kan ikke udelukkes.</w:t>
            </w:r>
          </w:p>
        </w:tc>
        <w:tc>
          <w:tcPr>
            <w:tcW w:w="1701"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sz w:val="22"/>
                <w:szCs w:val="22"/>
              </w:rPr>
            </w:pPr>
            <w:r w:rsidRPr="00FB38D4">
              <w:rPr>
                <w:sz w:val="22"/>
                <w:szCs w:val="22"/>
              </w:rPr>
              <w:t xml:space="preserve">Samtidig administration af apixaban eller rivaroxaban og </w:t>
            </w:r>
            <w:r>
              <w:rPr>
                <w:sz w:val="22"/>
                <w:szCs w:val="22"/>
              </w:rPr>
              <w:t>Atazanavir</w:t>
            </w:r>
            <w:r w:rsidRPr="00FB38D4">
              <w:rPr>
                <w:sz w:val="22"/>
                <w:szCs w:val="22"/>
              </w:rPr>
              <w:t xml:space="preserve"> sammen med ritonavir frarådes</w:t>
            </w:r>
          </w:p>
        </w:tc>
      </w:tr>
      <w:tr w:rsidR="002A0DA0" w:rsidTr="002A0DA0">
        <w:tc>
          <w:tcPr>
            <w:tcW w:w="1566"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b/>
                <w:sz w:val="22"/>
                <w:szCs w:val="22"/>
              </w:rPr>
            </w:pPr>
            <w:r w:rsidRPr="00900F39">
              <w:rPr>
                <w:b/>
                <w:sz w:val="22"/>
                <w:szCs w:val="22"/>
              </w:rPr>
              <w:t>Dabigatran</w:t>
            </w:r>
          </w:p>
        </w:tc>
        <w:tc>
          <w:tcPr>
            <w:tcW w:w="1733"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sz w:val="22"/>
                <w:szCs w:val="22"/>
              </w:rPr>
            </w:pPr>
            <w:r w:rsidRPr="00900F39">
              <w:rPr>
                <w:sz w:val="22"/>
                <w:szCs w:val="22"/>
              </w:rPr>
              <w:t>Potentiale for øget koncentration af dabigatran, som kan medføre en højere risiko for blødning. Interaktionsmekanismen er P-gp-</w:t>
            </w:r>
            <w:r w:rsidRPr="00900F39">
              <w:rPr>
                <w:sz w:val="22"/>
                <w:szCs w:val="22"/>
              </w:rPr>
              <w:lastRenderedPageBreak/>
              <w:t xml:space="preserve">hæmning. Ritonavir er en kraftig P-gp-hæmmer. </w:t>
            </w:r>
            <w:r>
              <w:rPr>
                <w:sz w:val="22"/>
                <w:szCs w:val="22"/>
              </w:rPr>
              <w:t>Atazanavirs</w:t>
            </w:r>
            <w:r w:rsidRPr="00900F39">
              <w:rPr>
                <w:sz w:val="22"/>
                <w:szCs w:val="22"/>
              </w:rPr>
              <w:t xml:space="preserve"> potentielle hæmning af P-gp er ukendt og kan ikke udelukkes.</w:t>
            </w:r>
          </w:p>
        </w:tc>
        <w:tc>
          <w:tcPr>
            <w:tcW w:w="1701"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sz w:val="22"/>
                <w:szCs w:val="22"/>
              </w:rPr>
            </w:pPr>
            <w:r w:rsidRPr="006D0724">
              <w:rPr>
                <w:sz w:val="22"/>
                <w:szCs w:val="22"/>
              </w:rPr>
              <w:lastRenderedPageBreak/>
              <w:t xml:space="preserve">Samtidig administration af dabigatran og </w:t>
            </w:r>
            <w:r>
              <w:rPr>
                <w:sz w:val="22"/>
                <w:szCs w:val="22"/>
              </w:rPr>
              <w:t>atazanavir</w:t>
            </w:r>
            <w:r w:rsidRPr="006D0724">
              <w:rPr>
                <w:sz w:val="22"/>
                <w:szCs w:val="22"/>
              </w:rPr>
              <w:t xml:space="preserve"> sammen med ritonavir frarådes.</w:t>
            </w:r>
          </w:p>
        </w:tc>
      </w:tr>
      <w:tr w:rsidR="002A0DA0" w:rsidTr="002A0DA0">
        <w:tc>
          <w:tcPr>
            <w:tcW w:w="1566"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b/>
                <w:sz w:val="22"/>
                <w:szCs w:val="22"/>
              </w:rPr>
            </w:pPr>
            <w:r w:rsidRPr="00D314BF">
              <w:rPr>
                <w:b/>
                <w:sz w:val="22"/>
                <w:szCs w:val="22"/>
              </w:rPr>
              <w:t>Edoxaban</w:t>
            </w:r>
          </w:p>
        </w:tc>
        <w:tc>
          <w:tcPr>
            <w:tcW w:w="1733" w:type="pct"/>
            <w:tcBorders>
              <w:top w:val="single" w:sz="4" w:space="0" w:color="auto"/>
              <w:left w:val="single" w:sz="4" w:space="0" w:color="auto"/>
              <w:bottom w:val="single" w:sz="4" w:space="0" w:color="auto"/>
              <w:right w:val="single" w:sz="4" w:space="0" w:color="auto"/>
            </w:tcBorders>
          </w:tcPr>
          <w:p w:rsidR="002A0DA0" w:rsidRDefault="002A0DA0" w:rsidP="002A0DA0">
            <w:pPr>
              <w:ind w:left="29"/>
              <w:rPr>
                <w:sz w:val="22"/>
                <w:szCs w:val="22"/>
              </w:rPr>
            </w:pPr>
            <w:r w:rsidRPr="00D314BF">
              <w:rPr>
                <w:sz w:val="22"/>
                <w:szCs w:val="22"/>
              </w:rPr>
              <w:t xml:space="preserve">Potentiale for øget koncentration af edoxaban, som kan medføre en højere risiko for blødning. Interaktionsmekanismen er </w:t>
            </w:r>
            <w:r>
              <w:rPr>
                <w:sz w:val="22"/>
                <w:szCs w:val="22"/>
              </w:rPr>
              <w:t>atazanavir</w:t>
            </w:r>
            <w:r w:rsidRPr="00D314BF">
              <w:rPr>
                <w:sz w:val="22"/>
                <w:szCs w:val="22"/>
              </w:rPr>
              <w:t xml:space="preserve">/ritonavirs hæmning af P-gp. </w:t>
            </w:r>
          </w:p>
          <w:p w:rsidR="002A0DA0" w:rsidRDefault="002A0DA0" w:rsidP="002A0DA0">
            <w:pPr>
              <w:ind w:left="29"/>
              <w:rPr>
                <w:sz w:val="22"/>
                <w:szCs w:val="22"/>
              </w:rPr>
            </w:pPr>
          </w:p>
          <w:p w:rsidR="002A0DA0" w:rsidRDefault="002A0DA0" w:rsidP="002A0DA0">
            <w:pPr>
              <w:ind w:left="29"/>
              <w:rPr>
                <w:sz w:val="22"/>
                <w:szCs w:val="22"/>
              </w:rPr>
            </w:pPr>
            <w:r w:rsidRPr="00D314BF">
              <w:rPr>
                <w:sz w:val="22"/>
                <w:szCs w:val="22"/>
              </w:rPr>
              <w:t xml:space="preserve">Ritonavir er en kraftig P-gp-hæmmer. </w:t>
            </w:r>
          </w:p>
          <w:p w:rsidR="002A0DA0" w:rsidRDefault="002A0DA0" w:rsidP="002A0DA0">
            <w:pPr>
              <w:ind w:left="29"/>
              <w:rPr>
                <w:sz w:val="22"/>
                <w:szCs w:val="22"/>
              </w:rPr>
            </w:pPr>
          </w:p>
          <w:p w:rsidR="002A0DA0" w:rsidRPr="00F455F3" w:rsidRDefault="002A0DA0" w:rsidP="002A0DA0">
            <w:pPr>
              <w:ind w:left="29"/>
              <w:rPr>
                <w:sz w:val="22"/>
                <w:szCs w:val="22"/>
              </w:rPr>
            </w:pPr>
            <w:r>
              <w:rPr>
                <w:sz w:val="22"/>
                <w:szCs w:val="22"/>
              </w:rPr>
              <w:t>Atazanavir</w:t>
            </w:r>
            <w:r w:rsidRPr="00D314BF">
              <w:rPr>
                <w:sz w:val="22"/>
                <w:szCs w:val="22"/>
              </w:rPr>
              <w:t xml:space="preserve"> potentielle hæmning af P-gp er ukendt og kan ikke udelukkes.</w:t>
            </w:r>
          </w:p>
        </w:tc>
        <w:tc>
          <w:tcPr>
            <w:tcW w:w="1701"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sz w:val="22"/>
                <w:szCs w:val="22"/>
              </w:rPr>
            </w:pPr>
            <w:r w:rsidRPr="00DC0109">
              <w:rPr>
                <w:sz w:val="22"/>
                <w:szCs w:val="22"/>
              </w:rPr>
              <w:t xml:space="preserve">Der skal udvises forsigtighed, når edoxaban anvendes sammen med </w:t>
            </w:r>
            <w:r>
              <w:rPr>
                <w:sz w:val="22"/>
                <w:szCs w:val="22"/>
              </w:rPr>
              <w:t>atazanavir</w:t>
            </w:r>
            <w:r w:rsidRPr="00DC0109">
              <w:rPr>
                <w:sz w:val="22"/>
                <w:szCs w:val="22"/>
              </w:rPr>
              <w:t>. Se produktresuméet for edoxaban pkt. 4.2 og 4.5 for relevante doseringsanbefalinger for edoxaban ved samtidig administration af P-gp-hæmmere.</w:t>
            </w: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tcPr>
          <w:p w:rsidR="002A0DA0" w:rsidRPr="00582B2E" w:rsidRDefault="002A0DA0" w:rsidP="002A0DA0">
            <w:pPr>
              <w:ind w:left="29"/>
              <w:rPr>
                <w:i/>
                <w:iCs/>
                <w:sz w:val="22"/>
                <w:szCs w:val="22"/>
              </w:rPr>
            </w:pPr>
            <w:r w:rsidRPr="00582B2E">
              <w:rPr>
                <w:i/>
                <w:iCs/>
                <w:sz w:val="22"/>
                <w:szCs w:val="22"/>
              </w:rPr>
              <w:t>Vitamin K-antagonister</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Warfarin</w:t>
            </w: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Samtidig administration med</w:t>
            </w:r>
          </w:p>
          <w:p w:rsidR="002A0DA0" w:rsidRPr="00F455F3" w:rsidRDefault="002A0DA0" w:rsidP="002A0DA0">
            <w:pPr>
              <w:ind w:left="29"/>
              <w:rPr>
                <w:sz w:val="22"/>
                <w:szCs w:val="22"/>
              </w:rPr>
            </w:pPr>
            <w:r w:rsidRPr="00F455F3">
              <w:rPr>
                <w:sz w:val="22"/>
                <w:szCs w:val="22"/>
              </w:rPr>
              <w:t>atazanavir kan øge eller reducere koncentrationen af warfarin.</w:t>
            </w:r>
          </w:p>
        </w:tc>
        <w:tc>
          <w:tcPr>
            <w:tcW w:w="1701"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Det anbefales at monitorere</w:t>
            </w:r>
            <w:r>
              <w:rPr>
                <w:sz w:val="22"/>
                <w:szCs w:val="22"/>
              </w:rPr>
              <w:t xml:space="preserve"> </w:t>
            </w:r>
            <w:r w:rsidRPr="00F455F3">
              <w:rPr>
                <w:sz w:val="22"/>
                <w:szCs w:val="22"/>
              </w:rPr>
              <w:t>International Normaliseret Ratio (INR) omhyggeligt under behandling med atazanavir, særligt ved behandlingsstart.</w:t>
            </w: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b/>
                <w:sz w:val="22"/>
                <w:szCs w:val="22"/>
              </w:rPr>
              <w:t>ANTIEPILEPTIKA</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Carbamazepin</w:t>
            </w: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Atazanavir kan øge plasmakoncentrationen af carbamazepin på grund af CYP3A4-hæmning. På grund af carbamazepins inducerende effekt kan nedsat eksponering for atazanavir ikke udelukkes.</w:t>
            </w:r>
          </w:p>
        </w:tc>
        <w:tc>
          <w:tcPr>
            <w:tcW w:w="1701"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Carbamazepin bør anvendes</w:t>
            </w:r>
            <w:r>
              <w:rPr>
                <w:sz w:val="22"/>
                <w:szCs w:val="22"/>
              </w:rPr>
              <w:t xml:space="preserve"> </w:t>
            </w:r>
            <w:r w:rsidRPr="00F455F3">
              <w:rPr>
                <w:sz w:val="22"/>
                <w:szCs w:val="22"/>
              </w:rPr>
              <w:t>med forsigtighed sammen med</w:t>
            </w:r>
            <w:r>
              <w:rPr>
                <w:sz w:val="22"/>
                <w:szCs w:val="22"/>
              </w:rPr>
              <w:t xml:space="preserve"> </w:t>
            </w:r>
            <w:r w:rsidRPr="00F455F3">
              <w:rPr>
                <w:sz w:val="22"/>
                <w:szCs w:val="22"/>
              </w:rPr>
              <w:t>atazanavir. Om nødvendigt bør</w:t>
            </w:r>
            <w:r>
              <w:rPr>
                <w:sz w:val="22"/>
                <w:szCs w:val="22"/>
              </w:rPr>
              <w:t xml:space="preserve"> </w:t>
            </w:r>
            <w:r w:rsidRPr="00F455F3">
              <w:rPr>
                <w:sz w:val="22"/>
                <w:szCs w:val="22"/>
              </w:rPr>
              <w:t>serumkoncentrationen af</w:t>
            </w:r>
            <w:r>
              <w:rPr>
                <w:sz w:val="22"/>
                <w:szCs w:val="22"/>
              </w:rPr>
              <w:t xml:space="preserve"> </w:t>
            </w:r>
            <w:r w:rsidRPr="00F455F3">
              <w:rPr>
                <w:sz w:val="22"/>
                <w:szCs w:val="22"/>
              </w:rPr>
              <w:t>carbamazepin monitoreres og</w:t>
            </w:r>
            <w:r>
              <w:rPr>
                <w:sz w:val="22"/>
                <w:szCs w:val="22"/>
              </w:rPr>
              <w:t xml:space="preserve"> </w:t>
            </w:r>
            <w:r w:rsidRPr="00F455F3">
              <w:rPr>
                <w:sz w:val="22"/>
                <w:szCs w:val="22"/>
              </w:rPr>
              <w:t>dosis justeres i henhold hertil.</w:t>
            </w:r>
          </w:p>
          <w:p w:rsidR="002A0DA0" w:rsidRPr="00F455F3" w:rsidRDefault="002A0DA0" w:rsidP="002A0DA0">
            <w:pPr>
              <w:ind w:left="29"/>
              <w:rPr>
                <w:sz w:val="22"/>
                <w:szCs w:val="22"/>
              </w:rPr>
            </w:pPr>
            <w:r w:rsidRPr="00F455F3">
              <w:rPr>
                <w:sz w:val="22"/>
                <w:szCs w:val="22"/>
              </w:rPr>
              <w:t>Patientens virologiske respons</w:t>
            </w:r>
            <w:r>
              <w:rPr>
                <w:sz w:val="22"/>
                <w:szCs w:val="22"/>
              </w:rPr>
              <w:t xml:space="preserve"> </w:t>
            </w:r>
            <w:r w:rsidRPr="00F455F3">
              <w:rPr>
                <w:sz w:val="22"/>
                <w:szCs w:val="22"/>
              </w:rPr>
              <w:t>bør følges tæt.</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Phenytoin, phenobarbital</w:t>
            </w: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Ritonavir kan reducere plasmakoncentrationen af phenytoin og/eller phenobarbital på grund af CYP2C9- og CYP2C19-induktion. På grund af phenytoins/phenobarbitals inducerende effekt kan nedsat eksponering for atazanavir ikke udelukkes.</w:t>
            </w:r>
          </w:p>
        </w:tc>
        <w:tc>
          <w:tcPr>
            <w:tcW w:w="1701"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sz w:val="22"/>
                <w:szCs w:val="22"/>
              </w:rPr>
            </w:pPr>
            <w:r w:rsidRPr="00F455F3">
              <w:rPr>
                <w:sz w:val="22"/>
                <w:szCs w:val="22"/>
              </w:rPr>
              <w:t>Phenobarbital og phenytoin bør anvendes med forsigtighed</w:t>
            </w:r>
            <w:r>
              <w:rPr>
                <w:sz w:val="22"/>
                <w:szCs w:val="22"/>
              </w:rPr>
              <w:t xml:space="preserve"> </w:t>
            </w:r>
            <w:r w:rsidRPr="00F455F3">
              <w:rPr>
                <w:sz w:val="22"/>
                <w:szCs w:val="22"/>
              </w:rPr>
              <w:t>sammen med atazanavir/ritonavir.</w:t>
            </w:r>
          </w:p>
          <w:p w:rsidR="002A0DA0" w:rsidRPr="00F455F3" w:rsidRDefault="002A0DA0" w:rsidP="002A0DA0">
            <w:pPr>
              <w:ind w:left="29"/>
              <w:rPr>
                <w:sz w:val="22"/>
                <w:szCs w:val="22"/>
              </w:rPr>
            </w:pPr>
          </w:p>
          <w:p w:rsidR="002A0DA0" w:rsidRPr="00F455F3" w:rsidRDefault="002A0DA0" w:rsidP="002A0DA0">
            <w:pPr>
              <w:ind w:left="29"/>
              <w:rPr>
                <w:sz w:val="22"/>
                <w:szCs w:val="22"/>
              </w:rPr>
            </w:pPr>
            <w:r w:rsidRPr="00F455F3">
              <w:rPr>
                <w:sz w:val="22"/>
                <w:szCs w:val="22"/>
              </w:rPr>
              <w:t>Når atazanavir/ritonavir</w:t>
            </w:r>
            <w:r>
              <w:rPr>
                <w:sz w:val="22"/>
                <w:szCs w:val="22"/>
              </w:rPr>
              <w:t xml:space="preserve"> </w:t>
            </w:r>
            <w:r w:rsidRPr="00F455F3">
              <w:rPr>
                <w:sz w:val="22"/>
                <w:szCs w:val="22"/>
              </w:rPr>
              <w:t>administreres sammen med</w:t>
            </w:r>
            <w:r>
              <w:rPr>
                <w:sz w:val="22"/>
                <w:szCs w:val="22"/>
              </w:rPr>
              <w:t xml:space="preserve"> </w:t>
            </w:r>
            <w:r w:rsidRPr="00F455F3">
              <w:rPr>
                <w:sz w:val="22"/>
                <w:szCs w:val="22"/>
              </w:rPr>
              <w:t>phenytoin eller phenobarbital,</w:t>
            </w:r>
            <w:r>
              <w:rPr>
                <w:sz w:val="22"/>
                <w:szCs w:val="22"/>
              </w:rPr>
              <w:t xml:space="preserve"> </w:t>
            </w:r>
            <w:r w:rsidRPr="00F455F3">
              <w:rPr>
                <w:sz w:val="22"/>
                <w:szCs w:val="22"/>
              </w:rPr>
              <w:t>kan det være nødvendigt at</w:t>
            </w:r>
            <w:r>
              <w:rPr>
                <w:sz w:val="22"/>
                <w:szCs w:val="22"/>
              </w:rPr>
              <w:t xml:space="preserve"> </w:t>
            </w:r>
            <w:r w:rsidRPr="00F455F3">
              <w:rPr>
                <w:sz w:val="22"/>
                <w:szCs w:val="22"/>
              </w:rPr>
              <w:t>justere dosis af phenytoin eller</w:t>
            </w:r>
            <w:r>
              <w:rPr>
                <w:sz w:val="22"/>
                <w:szCs w:val="22"/>
              </w:rPr>
              <w:t xml:space="preserve"> </w:t>
            </w:r>
            <w:r w:rsidRPr="00F455F3">
              <w:rPr>
                <w:sz w:val="22"/>
                <w:szCs w:val="22"/>
              </w:rPr>
              <w:t>phenobarbital.</w:t>
            </w:r>
          </w:p>
          <w:p w:rsidR="002A0DA0" w:rsidRPr="00F455F3" w:rsidRDefault="002A0DA0" w:rsidP="002A0DA0">
            <w:pPr>
              <w:ind w:left="29"/>
              <w:rPr>
                <w:sz w:val="22"/>
                <w:szCs w:val="22"/>
              </w:rPr>
            </w:pPr>
          </w:p>
          <w:p w:rsidR="002A0DA0" w:rsidRPr="00F455F3" w:rsidRDefault="002A0DA0" w:rsidP="002A0DA0">
            <w:pPr>
              <w:ind w:left="29"/>
              <w:rPr>
                <w:sz w:val="22"/>
                <w:szCs w:val="22"/>
              </w:rPr>
            </w:pPr>
            <w:r w:rsidRPr="00F455F3">
              <w:rPr>
                <w:sz w:val="22"/>
                <w:szCs w:val="22"/>
              </w:rPr>
              <w:t>Patientens virologiske respons</w:t>
            </w:r>
            <w:r>
              <w:rPr>
                <w:sz w:val="22"/>
                <w:szCs w:val="22"/>
              </w:rPr>
              <w:t xml:space="preserve"> </w:t>
            </w:r>
            <w:r w:rsidRPr="00F455F3">
              <w:rPr>
                <w:sz w:val="22"/>
                <w:szCs w:val="22"/>
              </w:rPr>
              <w:t>bør følges tæt.</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Lamotrigin</w:t>
            </w: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ight="-113"/>
              <w:rPr>
                <w:sz w:val="22"/>
                <w:szCs w:val="22"/>
              </w:rPr>
            </w:pPr>
            <w:r w:rsidRPr="00F455F3">
              <w:rPr>
                <w:sz w:val="22"/>
                <w:szCs w:val="22"/>
              </w:rPr>
              <w:t>Samtidig administration af lamotrigin og atazanavir/ritonavir kan reducere</w:t>
            </w:r>
            <w:r>
              <w:rPr>
                <w:sz w:val="22"/>
                <w:szCs w:val="22"/>
              </w:rPr>
              <w:t xml:space="preserve"> </w:t>
            </w:r>
            <w:r w:rsidRPr="00F455F3">
              <w:rPr>
                <w:sz w:val="22"/>
                <w:szCs w:val="22"/>
              </w:rPr>
              <w:t>plasmakoncentrationen af lamotrigin på grund af UGT1A4-induktion.</w:t>
            </w:r>
          </w:p>
        </w:tc>
        <w:tc>
          <w:tcPr>
            <w:tcW w:w="1701"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sz w:val="22"/>
                <w:szCs w:val="22"/>
              </w:rPr>
            </w:pPr>
            <w:r w:rsidRPr="00F455F3">
              <w:rPr>
                <w:sz w:val="22"/>
                <w:szCs w:val="22"/>
              </w:rPr>
              <w:t>Lamotrigin bør anvendes med</w:t>
            </w:r>
            <w:r>
              <w:rPr>
                <w:sz w:val="22"/>
                <w:szCs w:val="22"/>
              </w:rPr>
              <w:t xml:space="preserve"> </w:t>
            </w:r>
            <w:r w:rsidRPr="00F455F3">
              <w:rPr>
                <w:sz w:val="22"/>
                <w:szCs w:val="22"/>
              </w:rPr>
              <w:t>forsigtighed sammen med</w:t>
            </w:r>
            <w:r>
              <w:rPr>
                <w:sz w:val="22"/>
                <w:szCs w:val="22"/>
              </w:rPr>
              <w:t xml:space="preserve"> </w:t>
            </w:r>
            <w:r w:rsidRPr="00F455F3">
              <w:rPr>
                <w:sz w:val="22"/>
                <w:szCs w:val="22"/>
              </w:rPr>
              <w:t>atazanavir/ritonavir.</w:t>
            </w:r>
          </w:p>
          <w:p w:rsidR="002A0DA0" w:rsidRPr="00F455F3" w:rsidRDefault="002A0DA0" w:rsidP="002A0DA0">
            <w:pPr>
              <w:ind w:left="29"/>
              <w:rPr>
                <w:sz w:val="22"/>
                <w:szCs w:val="22"/>
              </w:rPr>
            </w:pPr>
          </w:p>
          <w:p w:rsidR="002A0DA0" w:rsidRPr="00F455F3" w:rsidRDefault="002A0DA0" w:rsidP="002A0DA0">
            <w:pPr>
              <w:ind w:left="29"/>
              <w:rPr>
                <w:sz w:val="22"/>
                <w:szCs w:val="22"/>
              </w:rPr>
            </w:pPr>
            <w:r w:rsidRPr="00F455F3">
              <w:rPr>
                <w:sz w:val="22"/>
                <w:szCs w:val="22"/>
              </w:rPr>
              <w:t>Om nødvendigt bør</w:t>
            </w:r>
            <w:r>
              <w:rPr>
                <w:sz w:val="22"/>
                <w:szCs w:val="22"/>
              </w:rPr>
              <w:t xml:space="preserve"> </w:t>
            </w:r>
            <w:r w:rsidRPr="00F455F3">
              <w:rPr>
                <w:sz w:val="22"/>
                <w:szCs w:val="22"/>
              </w:rPr>
              <w:t>koncentrationen af lamotrigin</w:t>
            </w:r>
            <w:r>
              <w:rPr>
                <w:sz w:val="22"/>
                <w:szCs w:val="22"/>
              </w:rPr>
              <w:t xml:space="preserve"> </w:t>
            </w:r>
            <w:r w:rsidRPr="00F455F3">
              <w:rPr>
                <w:sz w:val="22"/>
                <w:szCs w:val="22"/>
              </w:rPr>
              <w:t>monitoreres og dosis justeres i</w:t>
            </w:r>
            <w:r>
              <w:rPr>
                <w:sz w:val="22"/>
                <w:szCs w:val="22"/>
              </w:rPr>
              <w:t xml:space="preserve"> </w:t>
            </w:r>
            <w:r w:rsidRPr="00F455F3">
              <w:rPr>
                <w:sz w:val="22"/>
                <w:szCs w:val="22"/>
              </w:rPr>
              <w:t>henhold hertil.</w:t>
            </w: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b/>
                <w:sz w:val="22"/>
                <w:szCs w:val="22"/>
              </w:rPr>
              <w:t>ANTINEOPLASTISKE OG IMMUNSUPRIMERENDE MIDLER</w:t>
            </w: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i/>
                <w:sz w:val="22"/>
                <w:szCs w:val="22"/>
              </w:rPr>
            </w:pPr>
            <w:r w:rsidRPr="00F455F3">
              <w:rPr>
                <w:i/>
                <w:sz w:val="22"/>
                <w:szCs w:val="22"/>
              </w:rPr>
              <w:t>Antineoplastiske midler</w:t>
            </w:r>
          </w:p>
        </w:tc>
      </w:tr>
      <w:tr w:rsidR="002A0DA0" w:rsidTr="002A0DA0">
        <w:tc>
          <w:tcPr>
            <w:tcW w:w="1566" w:type="pct"/>
            <w:tcBorders>
              <w:top w:val="single" w:sz="4" w:space="0" w:color="auto"/>
              <w:left w:val="single" w:sz="4" w:space="0" w:color="auto"/>
              <w:bottom w:val="single" w:sz="4" w:space="0" w:color="auto"/>
              <w:right w:val="single" w:sz="4" w:space="0" w:color="auto"/>
            </w:tcBorders>
          </w:tcPr>
          <w:p w:rsidR="002A0DA0" w:rsidRPr="00582B2E" w:rsidRDefault="002A0DA0" w:rsidP="002A0DA0">
            <w:pPr>
              <w:ind w:left="29"/>
              <w:rPr>
                <w:b/>
                <w:bCs/>
                <w:iCs/>
                <w:sz w:val="22"/>
                <w:szCs w:val="22"/>
              </w:rPr>
            </w:pPr>
            <w:r w:rsidRPr="00582B2E">
              <w:rPr>
                <w:b/>
                <w:bCs/>
                <w:iCs/>
                <w:sz w:val="22"/>
                <w:szCs w:val="22"/>
              </w:rPr>
              <w:lastRenderedPageBreak/>
              <w:t>Apalutamid</w:t>
            </w:r>
          </w:p>
        </w:tc>
        <w:tc>
          <w:tcPr>
            <w:tcW w:w="1733" w:type="pct"/>
            <w:tcBorders>
              <w:top w:val="single" w:sz="4" w:space="0" w:color="auto"/>
              <w:left w:val="single" w:sz="4" w:space="0" w:color="auto"/>
              <w:bottom w:val="single" w:sz="4" w:space="0" w:color="auto"/>
              <w:right w:val="single" w:sz="4" w:space="0" w:color="auto"/>
            </w:tcBorders>
          </w:tcPr>
          <w:p w:rsidR="002A0DA0" w:rsidRPr="00582B2E" w:rsidRDefault="002A0DA0" w:rsidP="002A0DA0">
            <w:pPr>
              <w:ind w:left="29"/>
              <w:rPr>
                <w:iCs/>
                <w:sz w:val="22"/>
                <w:szCs w:val="22"/>
              </w:rPr>
            </w:pPr>
            <w:r w:rsidRPr="00582B2E">
              <w:rPr>
                <w:iCs/>
                <w:sz w:val="22"/>
                <w:szCs w:val="22"/>
              </w:rPr>
              <w:t>Interaktionsmekanismen er apalutamidinduktion af CYP3A4 og atazanavir/ritonavir-hæmning af CYP3A4.</w:t>
            </w:r>
          </w:p>
        </w:tc>
        <w:tc>
          <w:tcPr>
            <w:tcW w:w="1701" w:type="pct"/>
            <w:tcBorders>
              <w:top w:val="single" w:sz="4" w:space="0" w:color="auto"/>
              <w:left w:val="single" w:sz="4" w:space="0" w:color="auto"/>
              <w:bottom w:val="single" w:sz="4" w:space="0" w:color="auto"/>
              <w:right w:val="single" w:sz="4" w:space="0" w:color="auto"/>
            </w:tcBorders>
          </w:tcPr>
          <w:p w:rsidR="002A0DA0" w:rsidRPr="00582B2E" w:rsidRDefault="002A0DA0" w:rsidP="002A0DA0">
            <w:pPr>
              <w:ind w:left="29"/>
              <w:rPr>
                <w:iCs/>
                <w:sz w:val="22"/>
                <w:szCs w:val="22"/>
              </w:rPr>
            </w:pPr>
            <w:r w:rsidRPr="00B676B0">
              <w:rPr>
                <w:iCs/>
                <w:sz w:val="22"/>
                <w:szCs w:val="22"/>
              </w:rPr>
              <w:t>Samtidig administration med</w:t>
            </w:r>
            <w:r>
              <w:rPr>
                <w:iCs/>
                <w:sz w:val="22"/>
                <w:szCs w:val="22"/>
              </w:rPr>
              <w:t xml:space="preserve"> atazanavir</w:t>
            </w:r>
            <w:r w:rsidRPr="00B676B0">
              <w:rPr>
                <w:iCs/>
                <w:sz w:val="22"/>
                <w:szCs w:val="22"/>
              </w:rPr>
              <w:t xml:space="preserve"> (med eller uden ritonavir) er kontraindiceret på grund af potentialet for et fald i plasmakoncentrationen af atazanavir og ritonavir med efterfølgende tab af virologisk respons og mulig resistens over for klassen af proteasehæmmere (se pkt. 4.3). Derudover kan serumkoncentrationer af apalutamid øges, når det administreres samtidigt med atazanavir/ritonavir, hvilket kan resultere i alvorlige bivirkninger, herunder krampeanfald.</w:t>
            </w:r>
          </w:p>
        </w:tc>
      </w:tr>
      <w:tr w:rsidR="002A0DA0" w:rsidTr="002A0DA0">
        <w:tc>
          <w:tcPr>
            <w:tcW w:w="1566" w:type="pct"/>
            <w:tcBorders>
              <w:top w:val="single" w:sz="4" w:space="0" w:color="auto"/>
              <w:left w:val="single" w:sz="4" w:space="0" w:color="auto"/>
              <w:bottom w:val="single" w:sz="4" w:space="0" w:color="auto"/>
              <w:right w:val="single" w:sz="4" w:space="0" w:color="auto"/>
            </w:tcBorders>
          </w:tcPr>
          <w:p w:rsidR="002A0DA0" w:rsidRPr="00582B2E" w:rsidRDefault="002A0DA0" w:rsidP="002A0DA0">
            <w:pPr>
              <w:ind w:left="29"/>
              <w:rPr>
                <w:b/>
                <w:bCs/>
                <w:iCs/>
                <w:sz w:val="22"/>
                <w:szCs w:val="22"/>
              </w:rPr>
            </w:pPr>
            <w:r w:rsidRPr="00370732">
              <w:rPr>
                <w:b/>
                <w:bCs/>
                <w:iCs/>
                <w:sz w:val="22"/>
                <w:szCs w:val="22"/>
              </w:rPr>
              <w:t>Encorafenib</w:t>
            </w:r>
          </w:p>
        </w:tc>
        <w:tc>
          <w:tcPr>
            <w:tcW w:w="1733" w:type="pct"/>
            <w:tcBorders>
              <w:top w:val="single" w:sz="4" w:space="0" w:color="auto"/>
              <w:left w:val="single" w:sz="4" w:space="0" w:color="auto"/>
              <w:bottom w:val="single" w:sz="4" w:space="0" w:color="auto"/>
              <w:right w:val="single" w:sz="4" w:space="0" w:color="auto"/>
            </w:tcBorders>
          </w:tcPr>
          <w:p w:rsidR="002A0DA0" w:rsidRPr="00582B2E" w:rsidRDefault="002A0DA0" w:rsidP="002A0DA0">
            <w:pPr>
              <w:ind w:left="29"/>
              <w:rPr>
                <w:iCs/>
                <w:sz w:val="22"/>
                <w:szCs w:val="22"/>
              </w:rPr>
            </w:pPr>
            <w:r w:rsidRPr="00A42342">
              <w:rPr>
                <w:iCs/>
                <w:sz w:val="22"/>
                <w:szCs w:val="22"/>
              </w:rPr>
              <w:t>Interaktionsmekanismen er atazanavir- og/eller ritonavir-hæmning af CYP3A4.</w:t>
            </w:r>
          </w:p>
        </w:tc>
        <w:tc>
          <w:tcPr>
            <w:tcW w:w="1701" w:type="pct"/>
            <w:tcBorders>
              <w:top w:val="single" w:sz="4" w:space="0" w:color="auto"/>
              <w:left w:val="single" w:sz="4" w:space="0" w:color="auto"/>
              <w:bottom w:val="single" w:sz="4" w:space="0" w:color="auto"/>
              <w:right w:val="single" w:sz="4" w:space="0" w:color="auto"/>
            </w:tcBorders>
          </w:tcPr>
          <w:p w:rsidR="002A0DA0" w:rsidRPr="00582B2E" w:rsidRDefault="002A0DA0" w:rsidP="002A0DA0">
            <w:pPr>
              <w:ind w:left="29"/>
              <w:rPr>
                <w:iCs/>
                <w:sz w:val="22"/>
                <w:szCs w:val="22"/>
              </w:rPr>
            </w:pPr>
            <w:r w:rsidRPr="00A42342">
              <w:rPr>
                <w:iCs/>
                <w:sz w:val="22"/>
                <w:szCs w:val="22"/>
              </w:rPr>
              <w:t xml:space="preserve">Samtidig administration af encorafenib og </w:t>
            </w:r>
            <w:r>
              <w:rPr>
                <w:iCs/>
                <w:sz w:val="22"/>
                <w:szCs w:val="22"/>
              </w:rPr>
              <w:t>atazanavir</w:t>
            </w:r>
            <w:r w:rsidRPr="00A42342">
              <w:rPr>
                <w:iCs/>
                <w:sz w:val="22"/>
                <w:szCs w:val="22"/>
              </w:rPr>
              <w:t xml:space="preserve"> (med eller uden ritonavir) skal undgås på grund af potentialet for en stigning i plasmakoncentrationen af encorafenib og efterfølgende risiko for alvorlige bivirkninger såsom forlængelse af QT-intervallet. Hvis samtidig administration af encorafenib og </w:t>
            </w:r>
            <w:r>
              <w:rPr>
                <w:iCs/>
                <w:sz w:val="22"/>
                <w:szCs w:val="22"/>
              </w:rPr>
              <w:t xml:space="preserve">atazanavir </w:t>
            </w:r>
            <w:r w:rsidRPr="00A42342">
              <w:rPr>
                <w:iCs/>
                <w:sz w:val="22"/>
                <w:szCs w:val="22"/>
              </w:rPr>
              <w:t>(med eller uden ritonavir) ikke kan undgås, skal dosis af encorafenib justeres som anbefalet for samtidig administration med kraftige og moderate CYP3A4-hæmmere i produktresuméet for encorafenib</w:t>
            </w:r>
          </w:p>
        </w:tc>
      </w:tr>
      <w:tr w:rsidR="002A0DA0" w:rsidTr="002A0DA0">
        <w:tc>
          <w:tcPr>
            <w:tcW w:w="1566" w:type="pct"/>
            <w:tcBorders>
              <w:top w:val="single" w:sz="4" w:space="0" w:color="auto"/>
              <w:left w:val="single" w:sz="4" w:space="0" w:color="auto"/>
              <w:bottom w:val="single" w:sz="4" w:space="0" w:color="auto"/>
              <w:right w:val="single" w:sz="4" w:space="0" w:color="auto"/>
            </w:tcBorders>
          </w:tcPr>
          <w:p w:rsidR="002A0DA0" w:rsidRPr="00370732" w:rsidRDefault="002A0DA0" w:rsidP="002A0DA0">
            <w:pPr>
              <w:ind w:left="29"/>
              <w:rPr>
                <w:b/>
                <w:bCs/>
                <w:iCs/>
                <w:sz w:val="22"/>
                <w:szCs w:val="22"/>
              </w:rPr>
            </w:pPr>
            <w:r w:rsidRPr="009A3DCC">
              <w:rPr>
                <w:b/>
                <w:bCs/>
                <w:iCs/>
                <w:sz w:val="22"/>
                <w:szCs w:val="22"/>
              </w:rPr>
              <w:t>Ivosidenib</w:t>
            </w:r>
          </w:p>
        </w:tc>
        <w:tc>
          <w:tcPr>
            <w:tcW w:w="1733" w:type="pct"/>
            <w:tcBorders>
              <w:top w:val="single" w:sz="4" w:space="0" w:color="auto"/>
              <w:left w:val="single" w:sz="4" w:space="0" w:color="auto"/>
              <w:bottom w:val="single" w:sz="4" w:space="0" w:color="auto"/>
              <w:right w:val="single" w:sz="4" w:space="0" w:color="auto"/>
            </w:tcBorders>
          </w:tcPr>
          <w:p w:rsidR="002A0DA0" w:rsidRPr="00A42342" w:rsidRDefault="002A0DA0" w:rsidP="002A0DA0">
            <w:pPr>
              <w:ind w:left="29"/>
              <w:rPr>
                <w:iCs/>
                <w:sz w:val="22"/>
                <w:szCs w:val="22"/>
              </w:rPr>
            </w:pPr>
            <w:r w:rsidRPr="009A3DCC">
              <w:rPr>
                <w:iCs/>
                <w:sz w:val="22"/>
                <w:szCs w:val="22"/>
              </w:rPr>
              <w:t>Interaktionsmekanismen er atazanavir- og/eller ritonavir-hæmning af CYP3A4</w:t>
            </w:r>
            <w:r>
              <w:rPr>
                <w:iCs/>
                <w:sz w:val="22"/>
                <w:szCs w:val="22"/>
              </w:rPr>
              <w:t>.</w:t>
            </w:r>
          </w:p>
        </w:tc>
        <w:tc>
          <w:tcPr>
            <w:tcW w:w="1701" w:type="pct"/>
            <w:tcBorders>
              <w:top w:val="single" w:sz="4" w:space="0" w:color="auto"/>
              <w:left w:val="single" w:sz="4" w:space="0" w:color="auto"/>
              <w:bottom w:val="single" w:sz="4" w:space="0" w:color="auto"/>
              <w:right w:val="single" w:sz="4" w:space="0" w:color="auto"/>
            </w:tcBorders>
          </w:tcPr>
          <w:p w:rsidR="002A0DA0" w:rsidRPr="00A42342" w:rsidRDefault="002A0DA0" w:rsidP="002A0DA0">
            <w:pPr>
              <w:ind w:left="29"/>
              <w:rPr>
                <w:iCs/>
                <w:sz w:val="22"/>
                <w:szCs w:val="22"/>
              </w:rPr>
            </w:pPr>
            <w:r w:rsidRPr="009A3DCC">
              <w:rPr>
                <w:iCs/>
                <w:sz w:val="22"/>
                <w:szCs w:val="22"/>
              </w:rPr>
              <w:t xml:space="preserve">Samtidig administration af ivosidenib og </w:t>
            </w:r>
            <w:r>
              <w:rPr>
                <w:iCs/>
                <w:sz w:val="22"/>
                <w:szCs w:val="22"/>
              </w:rPr>
              <w:t>atazanavir</w:t>
            </w:r>
            <w:r w:rsidRPr="009A3DCC">
              <w:rPr>
                <w:iCs/>
                <w:sz w:val="22"/>
                <w:szCs w:val="22"/>
              </w:rPr>
              <w:t xml:space="preserve"> (med eller uden ritonavir) skal undgås på grund af potentialet for en stigning i plasmakoncentrationen af ivosidenib og efterfølgende risiko for alvorlige bivirkninger såsom forlængelse af QT-intervallet. Hvis samtidig administration af ivosidenib og </w:t>
            </w:r>
            <w:r>
              <w:rPr>
                <w:iCs/>
                <w:sz w:val="22"/>
                <w:szCs w:val="22"/>
              </w:rPr>
              <w:t xml:space="preserve">atazanavir </w:t>
            </w:r>
            <w:r w:rsidRPr="009A3DCC">
              <w:rPr>
                <w:iCs/>
                <w:sz w:val="22"/>
                <w:szCs w:val="22"/>
              </w:rPr>
              <w:t>(med eller uden ritonavir) ikke kan undgås, skal dosis af ivosidenib justeres som anbefalet for samtidig administration med kraftige og moderate CYP3A4-hæmmere i produktresuméet for ivosidenib.</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Irinotecan</w:t>
            </w: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Atazanavir hæmmer UGT og kan derfor interferere med irinotecanmetabolismen</w:t>
            </w:r>
            <w:r>
              <w:rPr>
                <w:sz w:val="22"/>
                <w:szCs w:val="22"/>
              </w:rPr>
              <w:t xml:space="preserve"> </w:t>
            </w:r>
            <w:r w:rsidRPr="00F455F3">
              <w:rPr>
                <w:sz w:val="22"/>
                <w:szCs w:val="22"/>
              </w:rPr>
              <w:t>og medføre øget</w:t>
            </w:r>
            <w:r>
              <w:rPr>
                <w:sz w:val="22"/>
                <w:szCs w:val="22"/>
              </w:rPr>
              <w:t xml:space="preserve"> </w:t>
            </w:r>
            <w:r w:rsidRPr="00F455F3">
              <w:rPr>
                <w:sz w:val="22"/>
                <w:szCs w:val="22"/>
              </w:rPr>
              <w:t>irinotecan-toksicitet.</w:t>
            </w:r>
          </w:p>
        </w:tc>
        <w:tc>
          <w:tcPr>
            <w:tcW w:w="1701"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Hvis atazanavir administreres</w:t>
            </w:r>
            <w:r>
              <w:rPr>
                <w:sz w:val="22"/>
                <w:szCs w:val="22"/>
              </w:rPr>
              <w:t xml:space="preserve"> </w:t>
            </w:r>
            <w:r w:rsidRPr="00F455F3">
              <w:rPr>
                <w:sz w:val="22"/>
                <w:szCs w:val="22"/>
              </w:rPr>
              <w:t>samtidig med irinotecan, bør</w:t>
            </w:r>
            <w:r>
              <w:rPr>
                <w:sz w:val="22"/>
                <w:szCs w:val="22"/>
              </w:rPr>
              <w:t xml:space="preserve"> </w:t>
            </w:r>
            <w:r w:rsidRPr="00F455F3">
              <w:rPr>
                <w:sz w:val="22"/>
                <w:szCs w:val="22"/>
              </w:rPr>
              <w:t>patienten monitoreres tæt for</w:t>
            </w:r>
            <w:r>
              <w:rPr>
                <w:sz w:val="22"/>
                <w:szCs w:val="22"/>
              </w:rPr>
              <w:t xml:space="preserve"> </w:t>
            </w:r>
            <w:r w:rsidRPr="00F455F3">
              <w:rPr>
                <w:sz w:val="22"/>
                <w:szCs w:val="22"/>
              </w:rPr>
              <w:t>irinotecan-relaterede</w:t>
            </w:r>
            <w:r>
              <w:rPr>
                <w:sz w:val="22"/>
                <w:szCs w:val="22"/>
              </w:rPr>
              <w:t xml:space="preserve"> </w:t>
            </w:r>
            <w:r w:rsidRPr="00F455F3">
              <w:rPr>
                <w:sz w:val="22"/>
                <w:szCs w:val="22"/>
              </w:rPr>
              <w:t>bivirkninger.</w:t>
            </w: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i/>
                <w:sz w:val="22"/>
                <w:szCs w:val="22"/>
              </w:rPr>
            </w:pPr>
            <w:r w:rsidRPr="00F455F3">
              <w:rPr>
                <w:i/>
                <w:sz w:val="22"/>
                <w:szCs w:val="22"/>
              </w:rPr>
              <w:t>Immunsupprimerende midler</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lastRenderedPageBreak/>
              <w:t>Ciclosporin</w:t>
            </w:r>
          </w:p>
          <w:p w:rsidR="002A0DA0" w:rsidRPr="00F455F3" w:rsidRDefault="002A0DA0" w:rsidP="002A0DA0">
            <w:pPr>
              <w:ind w:left="29"/>
              <w:rPr>
                <w:b/>
                <w:sz w:val="22"/>
                <w:szCs w:val="22"/>
              </w:rPr>
            </w:pPr>
            <w:r w:rsidRPr="00F455F3">
              <w:rPr>
                <w:b/>
                <w:sz w:val="22"/>
                <w:szCs w:val="22"/>
              </w:rPr>
              <w:t>Tacrolimus</w:t>
            </w:r>
          </w:p>
          <w:p w:rsidR="002A0DA0" w:rsidRPr="00F455F3" w:rsidRDefault="002A0DA0" w:rsidP="002A0DA0">
            <w:pPr>
              <w:ind w:left="29"/>
              <w:rPr>
                <w:b/>
                <w:sz w:val="22"/>
                <w:szCs w:val="22"/>
              </w:rPr>
            </w:pPr>
            <w:r w:rsidRPr="00F455F3">
              <w:rPr>
                <w:b/>
                <w:sz w:val="22"/>
                <w:szCs w:val="22"/>
              </w:rPr>
              <w:t>Sirolimus</w:t>
            </w: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Koncentration af disse</w:t>
            </w:r>
            <w:r>
              <w:rPr>
                <w:sz w:val="22"/>
                <w:szCs w:val="22"/>
              </w:rPr>
              <w:t xml:space="preserve"> </w:t>
            </w:r>
            <w:r w:rsidRPr="00F455F3">
              <w:rPr>
                <w:sz w:val="22"/>
                <w:szCs w:val="22"/>
              </w:rPr>
              <w:t>immunsuppressiva kan øges ved samtidig administration af atazanavir pga. CYP3A4-hæmning.</w:t>
            </w:r>
          </w:p>
        </w:tc>
        <w:tc>
          <w:tcPr>
            <w:tcW w:w="1701"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Hyppigere monitorering af den</w:t>
            </w:r>
            <w:r>
              <w:rPr>
                <w:sz w:val="22"/>
                <w:szCs w:val="22"/>
              </w:rPr>
              <w:t xml:space="preserve"> </w:t>
            </w:r>
            <w:r w:rsidRPr="00F455F3">
              <w:rPr>
                <w:sz w:val="22"/>
                <w:szCs w:val="22"/>
              </w:rPr>
              <w:t>terapeutiske koncentration af</w:t>
            </w:r>
            <w:r>
              <w:rPr>
                <w:sz w:val="22"/>
                <w:szCs w:val="22"/>
              </w:rPr>
              <w:t xml:space="preserve"> </w:t>
            </w:r>
            <w:r w:rsidRPr="00F455F3">
              <w:rPr>
                <w:sz w:val="22"/>
                <w:szCs w:val="22"/>
              </w:rPr>
              <w:t>disse lægemidler anbefales,</w:t>
            </w:r>
            <w:r>
              <w:rPr>
                <w:sz w:val="22"/>
                <w:szCs w:val="22"/>
              </w:rPr>
              <w:t xml:space="preserve"> </w:t>
            </w:r>
            <w:r w:rsidRPr="00F455F3">
              <w:rPr>
                <w:sz w:val="22"/>
                <w:szCs w:val="22"/>
              </w:rPr>
              <w:t>indtil plasmaniveauerne er</w:t>
            </w:r>
            <w:r>
              <w:rPr>
                <w:sz w:val="22"/>
                <w:szCs w:val="22"/>
              </w:rPr>
              <w:t xml:space="preserve"> </w:t>
            </w:r>
            <w:r w:rsidRPr="00F455F3">
              <w:rPr>
                <w:sz w:val="22"/>
                <w:szCs w:val="22"/>
              </w:rPr>
              <w:t>stabile.</w:t>
            </w: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b/>
                <w:sz w:val="22"/>
                <w:szCs w:val="22"/>
              </w:rPr>
              <w:t>KARDIOVASKULÆRE MIDLER</w:t>
            </w: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i/>
                <w:sz w:val="22"/>
                <w:szCs w:val="22"/>
              </w:rPr>
            </w:pPr>
            <w:r w:rsidRPr="00F455F3">
              <w:rPr>
                <w:i/>
                <w:sz w:val="22"/>
                <w:szCs w:val="22"/>
              </w:rPr>
              <w:t>Antiarytmika</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Amiodaron</w:t>
            </w:r>
          </w:p>
          <w:p w:rsidR="002A0DA0" w:rsidRPr="00F455F3" w:rsidRDefault="002A0DA0" w:rsidP="002A0DA0">
            <w:pPr>
              <w:ind w:left="29"/>
              <w:rPr>
                <w:b/>
                <w:sz w:val="22"/>
                <w:szCs w:val="22"/>
              </w:rPr>
            </w:pPr>
            <w:r w:rsidRPr="00F455F3">
              <w:rPr>
                <w:b/>
                <w:sz w:val="22"/>
                <w:szCs w:val="22"/>
              </w:rPr>
              <w:t>Systemisk lidocain</w:t>
            </w:r>
          </w:p>
          <w:p w:rsidR="002A0DA0" w:rsidRPr="00F455F3" w:rsidRDefault="002A0DA0" w:rsidP="002A0DA0">
            <w:pPr>
              <w:ind w:left="29"/>
              <w:rPr>
                <w:b/>
                <w:sz w:val="22"/>
                <w:szCs w:val="22"/>
              </w:rPr>
            </w:pPr>
            <w:r w:rsidRPr="00F455F3">
              <w:rPr>
                <w:b/>
                <w:sz w:val="22"/>
                <w:szCs w:val="22"/>
              </w:rPr>
              <w:t>Quinidin</w:t>
            </w: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Koncentrationer af disse antiarytmika kan øges ved samtidig administration af atazanavir. Interaktionsmekanismen for</w:t>
            </w:r>
            <w:r>
              <w:rPr>
                <w:sz w:val="22"/>
                <w:szCs w:val="22"/>
              </w:rPr>
              <w:t xml:space="preserve"> </w:t>
            </w:r>
            <w:r w:rsidRPr="00F455F3">
              <w:rPr>
                <w:sz w:val="22"/>
                <w:szCs w:val="22"/>
              </w:rPr>
              <w:t>amiodaron eller systemisk lidocain/atazanavir er CYP3A</w:t>
            </w:r>
            <w:r>
              <w:rPr>
                <w:sz w:val="22"/>
                <w:szCs w:val="22"/>
              </w:rPr>
              <w:t>-</w:t>
            </w:r>
            <w:r w:rsidRPr="00F455F3">
              <w:rPr>
                <w:sz w:val="22"/>
                <w:szCs w:val="22"/>
              </w:rPr>
              <w:t>hæmning. Quinidin har et snævert terapeutisk indeks og er kontraindiceret pga. risiko for CYP3A</w:t>
            </w:r>
            <w:r>
              <w:rPr>
                <w:sz w:val="22"/>
                <w:szCs w:val="22"/>
              </w:rPr>
              <w:t>-</w:t>
            </w:r>
            <w:r w:rsidRPr="00F455F3">
              <w:rPr>
                <w:sz w:val="22"/>
                <w:szCs w:val="22"/>
              </w:rPr>
              <w:t>hæmning</w:t>
            </w:r>
            <w:r>
              <w:rPr>
                <w:sz w:val="22"/>
                <w:szCs w:val="22"/>
              </w:rPr>
              <w:t xml:space="preserve"> </w:t>
            </w:r>
            <w:r w:rsidRPr="00F455F3">
              <w:rPr>
                <w:sz w:val="22"/>
                <w:szCs w:val="22"/>
              </w:rPr>
              <w:t xml:space="preserve">med </w:t>
            </w:r>
            <w:r>
              <w:rPr>
                <w:sz w:val="22"/>
                <w:szCs w:val="22"/>
              </w:rPr>
              <w:t>atazanavir</w:t>
            </w:r>
            <w:r w:rsidRPr="00F455F3">
              <w:rPr>
                <w:sz w:val="22"/>
                <w:szCs w:val="22"/>
              </w:rPr>
              <w:t>.</w:t>
            </w:r>
          </w:p>
        </w:tc>
        <w:tc>
          <w:tcPr>
            <w:tcW w:w="1701"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Der bør udvises forsigtighed, og monitorering af terapeutiske</w:t>
            </w:r>
            <w:r>
              <w:rPr>
                <w:sz w:val="22"/>
                <w:szCs w:val="22"/>
              </w:rPr>
              <w:t xml:space="preserve"> </w:t>
            </w:r>
            <w:r w:rsidRPr="00F455F3">
              <w:rPr>
                <w:sz w:val="22"/>
                <w:szCs w:val="22"/>
              </w:rPr>
              <w:t>koncentrationer anbefales, hvis</w:t>
            </w:r>
            <w:r>
              <w:rPr>
                <w:sz w:val="22"/>
                <w:szCs w:val="22"/>
              </w:rPr>
              <w:t xml:space="preserve"> </w:t>
            </w:r>
            <w:r w:rsidRPr="00F455F3">
              <w:rPr>
                <w:sz w:val="22"/>
                <w:szCs w:val="22"/>
              </w:rPr>
              <w:t>dette er muligt. Samtidig brug af quinidin er kontraindiceret (se pkt. 4.3).</w:t>
            </w: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i/>
                <w:sz w:val="22"/>
                <w:szCs w:val="22"/>
              </w:rPr>
            </w:pPr>
            <w:r w:rsidRPr="00F455F3">
              <w:rPr>
                <w:i/>
                <w:sz w:val="22"/>
                <w:szCs w:val="22"/>
              </w:rPr>
              <w:t>Calciumantagonister</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Bepridil</w:t>
            </w: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Atazanavir bør ikke anvendes i kombination med lægemidler, der er CYP3A4-substrater, og som har et snævert terapeutisk indeks.</w:t>
            </w:r>
          </w:p>
        </w:tc>
        <w:tc>
          <w:tcPr>
            <w:tcW w:w="1701"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Samtidig administration af bepridil er kontraindiceret (se pkt. 4.3)</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Diltiazem 180 mg 1 gang dagligt</w:t>
            </w:r>
          </w:p>
          <w:p w:rsidR="002A0DA0" w:rsidRPr="00F455F3" w:rsidRDefault="002A0DA0" w:rsidP="002A0DA0">
            <w:pPr>
              <w:ind w:left="29"/>
              <w:rPr>
                <w:b/>
                <w:sz w:val="22"/>
                <w:szCs w:val="22"/>
              </w:rPr>
            </w:pPr>
            <w:r w:rsidRPr="00F455F3">
              <w:rPr>
                <w:sz w:val="22"/>
                <w:szCs w:val="22"/>
              </w:rPr>
              <w:t>(atazanavir 400 mg 1 gang</w:t>
            </w:r>
            <w:r>
              <w:rPr>
                <w:sz w:val="22"/>
                <w:szCs w:val="22"/>
              </w:rPr>
              <w:t xml:space="preserve"> </w:t>
            </w:r>
            <w:r w:rsidRPr="00F455F3">
              <w:rPr>
                <w:sz w:val="22"/>
                <w:szCs w:val="22"/>
              </w:rPr>
              <w:t>dagligt)</w:t>
            </w:r>
          </w:p>
        </w:tc>
        <w:tc>
          <w:tcPr>
            <w:tcW w:w="1733"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sz w:val="22"/>
                <w:szCs w:val="22"/>
              </w:rPr>
            </w:pPr>
            <w:r w:rsidRPr="00F455F3">
              <w:rPr>
                <w:sz w:val="22"/>
                <w:szCs w:val="22"/>
              </w:rPr>
              <w:t>Diltiazem AUC ↑125% (↑109% ↑141%)</w:t>
            </w:r>
          </w:p>
          <w:p w:rsidR="002A0DA0" w:rsidRPr="00F455F3" w:rsidRDefault="002A0DA0" w:rsidP="002A0DA0">
            <w:pPr>
              <w:ind w:left="29"/>
              <w:rPr>
                <w:sz w:val="22"/>
                <w:szCs w:val="22"/>
              </w:rPr>
            </w:pPr>
            <w:r w:rsidRPr="00F455F3">
              <w:rPr>
                <w:sz w:val="22"/>
                <w:szCs w:val="22"/>
              </w:rPr>
              <w:t>Diltiazem C</w:t>
            </w:r>
            <w:r w:rsidRPr="00F455F3">
              <w:rPr>
                <w:sz w:val="22"/>
                <w:szCs w:val="22"/>
                <w:vertAlign w:val="subscript"/>
              </w:rPr>
              <w:t>max</w:t>
            </w:r>
            <w:r w:rsidRPr="00F455F3">
              <w:rPr>
                <w:sz w:val="22"/>
                <w:szCs w:val="22"/>
              </w:rPr>
              <w:t xml:space="preserve"> ↑98% (↑78% ↑119%)</w:t>
            </w:r>
          </w:p>
          <w:p w:rsidR="002A0DA0" w:rsidRPr="00F455F3" w:rsidRDefault="002A0DA0" w:rsidP="002A0DA0">
            <w:pPr>
              <w:ind w:left="29"/>
              <w:rPr>
                <w:sz w:val="22"/>
                <w:szCs w:val="22"/>
              </w:rPr>
            </w:pPr>
            <w:r w:rsidRPr="00F455F3">
              <w:rPr>
                <w:sz w:val="22"/>
                <w:szCs w:val="22"/>
              </w:rPr>
              <w:t>Diltiazem C</w:t>
            </w:r>
            <w:r w:rsidRPr="00F455F3">
              <w:rPr>
                <w:sz w:val="22"/>
                <w:szCs w:val="22"/>
                <w:vertAlign w:val="subscript"/>
              </w:rPr>
              <w:t>min</w:t>
            </w:r>
            <w:r w:rsidRPr="00F455F3">
              <w:rPr>
                <w:sz w:val="22"/>
                <w:szCs w:val="22"/>
              </w:rPr>
              <w:t xml:space="preserve"> ↑142% (↑114%</w:t>
            </w:r>
          </w:p>
          <w:p w:rsidR="002A0DA0" w:rsidRPr="00F455F3" w:rsidRDefault="002A0DA0" w:rsidP="002A0DA0">
            <w:pPr>
              <w:ind w:left="29"/>
              <w:rPr>
                <w:sz w:val="22"/>
                <w:szCs w:val="22"/>
              </w:rPr>
            </w:pPr>
            <w:r w:rsidRPr="00F455F3">
              <w:rPr>
                <w:sz w:val="22"/>
                <w:szCs w:val="22"/>
              </w:rPr>
              <w:t>↑173%)</w:t>
            </w:r>
          </w:p>
          <w:p w:rsidR="002A0DA0" w:rsidRPr="00F455F3" w:rsidRDefault="002A0DA0" w:rsidP="002A0DA0">
            <w:pPr>
              <w:ind w:left="29"/>
              <w:rPr>
                <w:sz w:val="22"/>
                <w:szCs w:val="22"/>
              </w:rPr>
            </w:pPr>
          </w:p>
          <w:p w:rsidR="002A0DA0" w:rsidRPr="00F455F3" w:rsidRDefault="002A0DA0" w:rsidP="002A0DA0">
            <w:pPr>
              <w:ind w:left="29"/>
              <w:rPr>
                <w:sz w:val="22"/>
                <w:szCs w:val="22"/>
              </w:rPr>
            </w:pPr>
            <w:r w:rsidRPr="00F455F3">
              <w:rPr>
                <w:sz w:val="22"/>
                <w:szCs w:val="22"/>
              </w:rPr>
              <w:t>Desacetyl-diltiazem AUC ↑165% (↑145% ↑187%)</w:t>
            </w:r>
          </w:p>
          <w:p w:rsidR="002A0DA0" w:rsidRPr="00F455F3" w:rsidRDefault="002A0DA0" w:rsidP="002A0DA0">
            <w:pPr>
              <w:ind w:left="29"/>
              <w:rPr>
                <w:sz w:val="22"/>
                <w:szCs w:val="22"/>
              </w:rPr>
            </w:pPr>
            <w:r w:rsidRPr="00F455F3">
              <w:rPr>
                <w:sz w:val="22"/>
                <w:szCs w:val="22"/>
              </w:rPr>
              <w:t>Desacetyl-diltiazem C</w:t>
            </w:r>
            <w:r w:rsidRPr="00F455F3">
              <w:rPr>
                <w:sz w:val="22"/>
                <w:szCs w:val="22"/>
                <w:vertAlign w:val="subscript"/>
              </w:rPr>
              <w:t>max</w:t>
            </w:r>
            <w:r w:rsidRPr="00F455F3">
              <w:rPr>
                <w:sz w:val="22"/>
                <w:szCs w:val="22"/>
              </w:rPr>
              <w:t xml:space="preserve"> ↑172% (↑144% ↑203%)</w:t>
            </w:r>
          </w:p>
          <w:p w:rsidR="002A0DA0" w:rsidRPr="00F455F3" w:rsidRDefault="002A0DA0" w:rsidP="002A0DA0">
            <w:pPr>
              <w:ind w:left="29"/>
              <w:rPr>
                <w:sz w:val="22"/>
                <w:szCs w:val="22"/>
              </w:rPr>
            </w:pPr>
            <w:r w:rsidRPr="00F455F3">
              <w:rPr>
                <w:sz w:val="22"/>
                <w:szCs w:val="22"/>
              </w:rPr>
              <w:t>Desacetyl-diltiazem C</w:t>
            </w:r>
            <w:r w:rsidRPr="00F455F3">
              <w:rPr>
                <w:sz w:val="22"/>
                <w:szCs w:val="22"/>
                <w:vertAlign w:val="subscript"/>
              </w:rPr>
              <w:t>min</w:t>
            </w:r>
            <w:r w:rsidRPr="00F455F3">
              <w:rPr>
                <w:sz w:val="22"/>
                <w:szCs w:val="22"/>
              </w:rPr>
              <w:t xml:space="preserve"> ↑121% (↑102% ↑142%)</w:t>
            </w:r>
          </w:p>
          <w:p w:rsidR="002A0DA0" w:rsidRPr="00F455F3" w:rsidRDefault="002A0DA0" w:rsidP="002A0DA0">
            <w:pPr>
              <w:ind w:left="29"/>
              <w:rPr>
                <w:sz w:val="22"/>
                <w:szCs w:val="22"/>
              </w:rPr>
            </w:pPr>
          </w:p>
          <w:p w:rsidR="002A0DA0" w:rsidRPr="00F455F3" w:rsidRDefault="002A0DA0" w:rsidP="002A0DA0">
            <w:pPr>
              <w:ind w:left="29"/>
              <w:rPr>
                <w:sz w:val="22"/>
                <w:szCs w:val="22"/>
              </w:rPr>
            </w:pPr>
            <w:r w:rsidRPr="00F455F3">
              <w:rPr>
                <w:sz w:val="22"/>
                <w:szCs w:val="22"/>
              </w:rPr>
              <w:t xml:space="preserve">Der er ikke set signifikant påvirkning af atazanavirkoncentrationen. Der sås forlængelse af det maksimale </w:t>
            </w:r>
            <w:proofErr w:type="gramStart"/>
            <w:r w:rsidRPr="00F455F3">
              <w:rPr>
                <w:sz w:val="22"/>
                <w:szCs w:val="22"/>
              </w:rPr>
              <w:t>P</w:t>
            </w:r>
            <w:r>
              <w:rPr>
                <w:sz w:val="22"/>
                <w:szCs w:val="22"/>
              </w:rPr>
              <w:t xml:space="preserve">R </w:t>
            </w:r>
            <w:r w:rsidRPr="00F455F3">
              <w:rPr>
                <w:sz w:val="22"/>
                <w:szCs w:val="22"/>
              </w:rPr>
              <w:t>interval</w:t>
            </w:r>
            <w:proofErr w:type="gramEnd"/>
            <w:r w:rsidRPr="00F455F3">
              <w:rPr>
                <w:sz w:val="22"/>
                <w:szCs w:val="22"/>
              </w:rPr>
              <w:t xml:space="preserve"> sammenlignet med atazanavir alene. Samtidig administration af diltiazem og atazanavir/ritonavir er ikke undersøgt. Interaktionsmekanismen for diltiazem/atazanavir er CYP3A4-hæmning.</w:t>
            </w:r>
          </w:p>
        </w:tc>
        <w:tc>
          <w:tcPr>
            <w:tcW w:w="1701"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Initial dosisreduktion af</w:t>
            </w:r>
            <w:r>
              <w:rPr>
                <w:sz w:val="22"/>
                <w:szCs w:val="22"/>
              </w:rPr>
              <w:t xml:space="preserve"> </w:t>
            </w:r>
            <w:r w:rsidRPr="00F455F3">
              <w:rPr>
                <w:sz w:val="22"/>
                <w:szCs w:val="22"/>
              </w:rPr>
              <w:t>diltiazem på 50% med</w:t>
            </w:r>
            <w:r>
              <w:rPr>
                <w:sz w:val="22"/>
                <w:szCs w:val="22"/>
              </w:rPr>
              <w:t xml:space="preserve"> </w:t>
            </w:r>
            <w:r w:rsidRPr="00F455F3">
              <w:rPr>
                <w:sz w:val="22"/>
                <w:szCs w:val="22"/>
              </w:rPr>
              <w:t>efterfølgende titrering efter</w:t>
            </w:r>
            <w:r>
              <w:rPr>
                <w:sz w:val="22"/>
                <w:szCs w:val="22"/>
              </w:rPr>
              <w:t xml:space="preserve"> </w:t>
            </w:r>
            <w:r w:rsidRPr="00F455F3">
              <w:rPr>
                <w:sz w:val="22"/>
                <w:szCs w:val="22"/>
              </w:rPr>
              <w:t>behov samt EKG-monitorering</w:t>
            </w:r>
            <w:r>
              <w:rPr>
                <w:sz w:val="22"/>
                <w:szCs w:val="22"/>
              </w:rPr>
              <w:t xml:space="preserve"> </w:t>
            </w:r>
            <w:r w:rsidRPr="00F455F3">
              <w:rPr>
                <w:sz w:val="22"/>
                <w:szCs w:val="22"/>
              </w:rPr>
              <w:t>anbefales.</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Verapamil</w:t>
            </w: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Serumkoncentrationen af verapamil kan øges af atazanavir pga. CYP3A4-hæmning.</w:t>
            </w:r>
          </w:p>
        </w:tc>
        <w:tc>
          <w:tcPr>
            <w:tcW w:w="1701"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Der bør udvises forsigtighed ved samtidig administration af</w:t>
            </w:r>
            <w:r>
              <w:rPr>
                <w:sz w:val="22"/>
                <w:szCs w:val="22"/>
              </w:rPr>
              <w:t xml:space="preserve"> </w:t>
            </w:r>
            <w:r w:rsidRPr="00F455F3">
              <w:rPr>
                <w:sz w:val="22"/>
                <w:szCs w:val="22"/>
              </w:rPr>
              <w:t>verapamil og atazanavir.</w:t>
            </w: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b/>
                <w:sz w:val="22"/>
                <w:szCs w:val="22"/>
              </w:rPr>
              <w:t>KORTIKOSTEROIDER</w:t>
            </w:r>
          </w:p>
        </w:tc>
      </w:tr>
      <w:tr w:rsidR="002A0DA0" w:rsidTr="002A0DA0">
        <w:tc>
          <w:tcPr>
            <w:tcW w:w="1566"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b/>
                <w:sz w:val="22"/>
                <w:szCs w:val="22"/>
              </w:rPr>
            </w:pPr>
            <w:r w:rsidRPr="00CA7830">
              <w:rPr>
                <w:b/>
                <w:sz w:val="22"/>
                <w:szCs w:val="22"/>
              </w:rPr>
              <w:lastRenderedPageBreak/>
              <w:t xml:space="preserve">Dexamethason og andre kortikosteroider </w:t>
            </w:r>
            <w:r w:rsidRPr="00582B2E">
              <w:rPr>
                <w:bCs/>
                <w:sz w:val="22"/>
                <w:szCs w:val="22"/>
              </w:rPr>
              <w:t>(alle administrationsveje)</w:t>
            </w:r>
          </w:p>
        </w:tc>
        <w:tc>
          <w:tcPr>
            <w:tcW w:w="1733" w:type="pct"/>
            <w:tcBorders>
              <w:top w:val="single" w:sz="4" w:space="0" w:color="auto"/>
              <w:left w:val="single" w:sz="4" w:space="0" w:color="auto"/>
              <w:bottom w:val="single" w:sz="4" w:space="0" w:color="auto"/>
              <w:right w:val="single" w:sz="4" w:space="0" w:color="auto"/>
            </w:tcBorders>
          </w:tcPr>
          <w:p w:rsidR="002A0DA0" w:rsidRDefault="002A0DA0" w:rsidP="002A0DA0">
            <w:pPr>
              <w:ind w:left="29"/>
              <w:rPr>
                <w:sz w:val="22"/>
                <w:szCs w:val="22"/>
              </w:rPr>
            </w:pPr>
            <w:r w:rsidRPr="003F337A">
              <w:rPr>
                <w:sz w:val="22"/>
                <w:szCs w:val="22"/>
              </w:rPr>
              <w:t xml:space="preserve">Samtidig administration med dexamethason eller andre kortikosteroider, der inducerer CYP3A, kan medføre tab af terapeutisk virkning af </w:t>
            </w:r>
            <w:r>
              <w:rPr>
                <w:sz w:val="22"/>
                <w:szCs w:val="22"/>
              </w:rPr>
              <w:t xml:space="preserve">atazanavir </w:t>
            </w:r>
            <w:r w:rsidRPr="003F337A">
              <w:rPr>
                <w:sz w:val="22"/>
                <w:szCs w:val="22"/>
              </w:rPr>
              <w:t xml:space="preserve">og udvikling af resistens over for atazanavir og/eller ritonavir. Alternative kortikosteroider bør overvejes.  </w:t>
            </w:r>
          </w:p>
          <w:p w:rsidR="002A0DA0" w:rsidRDefault="002A0DA0" w:rsidP="002A0DA0">
            <w:pPr>
              <w:ind w:left="29"/>
              <w:rPr>
                <w:sz w:val="22"/>
                <w:szCs w:val="22"/>
              </w:rPr>
            </w:pPr>
          </w:p>
          <w:p w:rsidR="002A0DA0" w:rsidRPr="00F455F3" w:rsidRDefault="002A0DA0" w:rsidP="002A0DA0">
            <w:pPr>
              <w:ind w:left="29"/>
              <w:rPr>
                <w:sz w:val="22"/>
                <w:szCs w:val="22"/>
              </w:rPr>
            </w:pPr>
            <w:r w:rsidRPr="003F337A">
              <w:rPr>
                <w:sz w:val="22"/>
                <w:szCs w:val="22"/>
              </w:rPr>
              <w:t>Interaktionsmekanismen er dexamethasoninduktion af CYP3A4 og atazanavir- og/eller ritonavir-hæmning af CYP3A4.</w:t>
            </w:r>
          </w:p>
        </w:tc>
        <w:tc>
          <w:tcPr>
            <w:tcW w:w="1701" w:type="pct"/>
            <w:tcBorders>
              <w:top w:val="single" w:sz="4" w:space="0" w:color="auto"/>
              <w:left w:val="single" w:sz="4" w:space="0" w:color="auto"/>
              <w:bottom w:val="single" w:sz="4" w:space="0" w:color="auto"/>
              <w:right w:val="single" w:sz="4" w:space="0" w:color="auto"/>
            </w:tcBorders>
          </w:tcPr>
          <w:p w:rsidR="002A0DA0" w:rsidRDefault="002A0DA0" w:rsidP="002A0DA0">
            <w:pPr>
              <w:ind w:left="29"/>
              <w:rPr>
                <w:sz w:val="22"/>
                <w:szCs w:val="22"/>
              </w:rPr>
            </w:pPr>
            <w:r w:rsidRPr="003F337A">
              <w:rPr>
                <w:sz w:val="22"/>
                <w:szCs w:val="22"/>
              </w:rPr>
              <w:t xml:space="preserve">Samtidig administration med kortikosteroider (alle administrationsveje), der metaboliseres af CYP3A, især ved langvarig brug, kan øge risikoen for udvikling af systemiske kortikosteroidbivirkninger, inklusive Cushings syndrom og adrenal suppression. Den potentielle fordel ved behandlingen versus risikoen for systemiske kortikosteroidbivirkninger bør overvejes.  </w:t>
            </w:r>
          </w:p>
          <w:p w:rsidR="002A0DA0" w:rsidRDefault="002A0DA0" w:rsidP="002A0DA0">
            <w:pPr>
              <w:ind w:left="29"/>
              <w:rPr>
                <w:sz w:val="22"/>
                <w:szCs w:val="22"/>
              </w:rPr>
            </w:pPr>
          </w:p>
          <w:p w:rsidR="002A0DA0" w:rsidRPr="00F455F3" w:rsidRDefault="002A0DA0" w:rsidP="002A0DA0">
            <w:pPr>
              <w:ind w:left="29"/>
              <w:rPr>
                <w:sz w:val="22"/>
                <w:szCs w:val="22"/>
              </w:rPr>
            </w:pPr>
            <w:r w:rsidRPr="003F337A">
              <w:rPr>
                <w:sz w:val="22"/>
                <w:szCs w:val="22"/>
              </w:rPr>
              <w:t>Ved samtidig administration af kutant administrerede kortikosteroider, som er følsomme over for CYP3A-hæmning, henvises der til kortikosteroidets produktresumé vedrørende forhold eller anvendelser, der øger den systemiske absorption.</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Fluticasonpropionat intranasalt 50 µg 4 gange dagligt i 7 dage</w:t>
            </w:r>
          </w:p>
          <w:p w:rsidR="002A0DA0" w:rsidRDefault="002A0DA0" w:rsidP="002A0DA0">
            <w:pPr>
              <w:ind w:left="29"/>
              <w:rPr>
                <w:sz w:val="22"/>
                <w:szCs w:val="22"/>
              </w:rPr>
            </w:pPr>
            <w:r w:rsidRPr="00F455F3">
              <w:rPr>
                <w:sz w:val="22"/>
                <w:szCs w:val="22"/>
              </w:rPr>
              <w:t>(ritonavir 100 mg kapsler</w:t>
            </w:r>
            <w:r>
              <w:rPr>
                <w:sz w:val="22"/>
                <w:szCs w:val="22"/>
              </w:rPr>
              <w:t xml:space="preserve"> </w:t>
            </w:r>
            <w:r w:rsidRPr="00F455F3">
              <w:rPr>
                <w:sz w:val="22"/>
                <w:szCs w:val="22"/>
              </w:rPr>
              <w:t>2 gange dagligt)</w:t>
            </w:r>
          </w:p>
          <w:p w:rsidR="002A0DA0" w:rsidRDefault="002A0DA0" w:rsidP="002A0DA0">
            <w:pPr>
              <w:ind w:left="29"/>
              <w:rPr>
                <w:b/>
                <w:sz w:val="22"/>
                <w:szCs w:val="22"/>
              </w:rPr>
            </w:pPr>
          </w:p>
          <w:p w:rsidR="002A0DA0" w:rsidRDefault="002A0DA0" w:rsidP="002A0DA0">
            <w:pPr>
              <w:ind w:left="29"/>
              <w:rPr>
                <w:b/>
                <w:sz w:val="22"/>
                <w:szCs w:val="22"/>
              </w:rPr>
            </w:pPr>
          </w:p>
          <w:p w:rsidR="002A0DA0" w:rsidRDefault="002A0DA0" w:rsidP="002A0DA0">
            <w:pPr>
              <w:ind w:left="29"/>
              <w:rPr>
                <w:b/>
                <w:sz w:val="22"/>
                <w:szCs w:val="22"/>
              </w:rPr>
            </w:pPr>
            <w:r w:rsidRPr="008667E7">
              <w:rPr>
                <w:b/>
                <w:sz w:val="22"/>
                <w:szCs w:val="22"/>
              </w:rPr>
              <w:t xml:space="preserve">og  </w:t>
            </w:r>
          </w:p>
          <w:p w:rsidR="002A0DA0" w:rsidRDefault="002A0DA0" w:rsidP="002A0DA0">
            <w:pPr>
              <w:ind w:left="29"/>
              <w:rPr>
                <w:b/>
                <w:sz w:val="22"/>
                <w:szCs w:val="22"/>
              </w:rPr>
            </w:pPr>
          </w:p>
          <w:p w:rsidR="002A0DA0" w:rsidRPr="00F455F3" w:rsidRDefault="002A0DA0" w:rsidP="002A0DA0">
            <w:pPr>
              <w:ind w:left="29"/>
              <w:rPr>
                <w:b/>
                <w:sz w:val="22"/>
                <w:szCs w:val="22"/>
              </w:rPr>
            </w:pPr>
            <w:r w:rsidRPr="008667E7">
              <w:rPr>
                <w:b/>
                <w:sz w:val="22"/>
                <w:szCs w:val="22"/>
              </w:rPr>
              <w:t>Inhalerede/nasale kortikosteroider</w:t>
            </w:r>
          </w:p>
        </w:tc>
        <w:tc>
          <w:tcPr>
            <w:tcW w:w="1733" w:type="pct"/>
            <w:tcBorders>
              <w:top w:val="single" w:sz="4" w:space="0" w:color="auto"/>
              <w:left w:val="single" w:sz="4" w:space="0" w:color="auto"/>
              <w:bottom w:val="single" w:sz="4" w:space="0" w:color="auto"/>
              <w:right w:val="single" w:sz="4" w:space="0" w:color="auto"/>
            </w:tcBorders>
            <w:hideMark/>
          </w:tcPr>
          <w:p w:rsidR="002A0DA0" w:rsidRDefault="002A0DA0" w:rsidP="002A0DA0">
            <w:pPr>
              <w:ind w:left="29"/>
              <w:rPr>
                <w:sz w:val="22"/>
                <w:szCs w:val="22"/>
              </w:rPr>
            </w:pPr>
            <w:r w:rsidRPr="00F455F3">
              <w:rPr>
                <w:sz w:val="22"/>
                <w:szCs w:val="22"/>
              </w:rPr>
              <w:t>Plasmaniveauet af fluticasonpropionat øges signifikant hvorimod intrinsic kortisol-niveauer falder med ca. 86% (90% KI 82%-89%). Større effekt kan forventes ved inhalation af fluticasonpropionat. Systemiske kortikosteroid</w:t>
            </w:r>
            <w:r>
              <w:rPr>
                <w:sz w:val="22"/>
                <w:szCs w:val="22"/>
              </w:rPr>
              <w:softHyphen/>
            </w:r>
            <w:r w:rsidRPr="00F455F3">
              <w:rPr>
                <w:sz w:val="22"/>
                <w:szCs w:val="22"/>
              </w:rPr>
              <w:t>bivirkninger, inklusive Cushings syndrom og adrenal suppression, er indberettet hos patienter behandlet med ritonavir og inhaleret eller intranasal fluticasonpropionat. Dette kan også forekomme med andre kortikosteroider, der metaboliseres via CYP3A4, f.eks. budesonid. Det vides endnu ikke, hvordan høj systemisk fluticasoneksponering påvirker ritonavir-plasmaniveauet. Interaktionsmekanismen er CYP3A4-hæmning.</w:t>
            </w:r>
          </w:p>
          <w:p w:rsidR="002A0DA0" w:rsidRDefault="002A0DA0" w:rsidP="002A0DA0">
            <w:pPr>
              <w:ind w:left="29"/>
              <w:rPr>
                <w:sz w:val="22"/>
                <w:szCs w:val="22"/>
              </w:rPr>
            </w:pPr>
          </w:p>
          <w:p w:rsidR="002A0DA0" w:rsidRPr="00F455F3" w:rsidRDefault="002A0DA0" w:rsidP="002A0DA0">
            <w:pPr>
              <w:ind w:left="29"/>
              <w:rPr>
                <w:sz w:val="22"/>
                <w:szCs w:val="22"/>
              </w:rPr>
            </w:pPr>
            <w:r w:rsidRPr="008667E7">
              <w:rPr>
                <w:sz w:val="22"/>
                <w:szCs w:val="22"/>
              </w:rPr>
              <w:t xml:space="preserve">Samtidig brug af </w:t>
            </w:r>
            <w:r>
              <w:rPr>
                <w:sz w:val="22"/>
                <w:szCs w:val="22"/>
              </w:rPr>
              <w:t>atazanavir</w:t>
            </w:r>
            <w:r w:rsidRPr="008667E7">
              <w:rPr>
                <w:sz w:val="22"/>
                <w:szCs w:val="22"/>
              </w:rPr>
              <w:t xml:space="preserve"> (med eller uden ritonavir) og andre inhalerede/nasale kortikosteroider forventes at give de samme virkninger.</w:t>
            </w:r>
          </w:p>
        </w:tc>
        <w:tc>
          <w:tcPr>
            <w:tcW w:w="1701" w:type="pct"/>
            <w:tcBorders>
              <w:top w:val="single" w:sz="4" w:space="0" w:color="auto"/>
              <w:left w:val="single" w:sz="4" w:space="0" w:color="auto"/>
              <w:bottom w:val="single" w:sz="4" w:space="0" w:color="auto"/>
              <w:right w:val="single" w:sz="4" w:space="0" w:color="auto"/>
            </w:tcBorders>
            <w:hideMark/>
          </w:tcPr>
          <w:p w:rsidR="002A0DA0" w:rsidRDefault="002A0DA0" w:rsidP="002A0DA0">
            <w:pPr>
              <w:ind w:left="29"/>
              <w:rPr>
                <w:sz w:val="22"/>
                <w:szCs w:val="22"/>
              </w:rPr>
            </w:pPr>
            <w:r w:rsidRPr="00F455F3">
              <w:rPr>
                <w:sz w:val="22"/>
                <w:szCs w:val="22"/>
              </w:rPr>
              <w:t>Samtidig administration af atazanavir/ritonavir og disse glukokortikoider frarådes, medmindre den potentielle fordel ved behandlingen opvejer risikoen for systemiske bivirkninger (se pkt. 4.4). Reduktion af glukokortikoiddosis bør overvejes, og patienten bør monitoreres tæt for lokale og systemiske bivirkninger eller skiftes til et glukokortikoid, som ikke er substrat for CYP3A4 (f.eks. beclomethason). Derudover kan det i tilfælde af seponering af glukokortikoidet være nødvendigt med progressiv dosisreduktion over en længere periode.</w:t>
            </w:r>
          </w:p>
          <w:p w:rsidR="002A0DA0" w:rsidRDefault="002A0DA0" w:rsidP="002A0DA0">
            <w:pPr>
              <w:ind w:left="29"/>
              <w:rPr>
                <w:sz w:val="22"/>
                <w:szCs w:val="22"/>
              </w:rPr>
            </w:pPr>
          </w:p>
          <w:p w:rsidR="002A0DA0" w:rsidRPr="00F455F3" w:rsidRDefault="002A0DA0" w:rsidP="002A0DA0">
            <w:pPr>
              <w:ind w:left="29"/>
              <w:rPr>
                <w:sz w:val="22"/>
                <w:szCs w:val="22"/>
              </w:rPr>
            </w:pPr>
            <w:r w:rsidRPr="00B471A5">
              <w:rPr>
                <w:sz w:val="22"/>
                <w:szCs w:val="22"/>
              </w:rPr>
              <w:t xml:space="preserve">Samtidig brug af inhalerede/nasale kortikosteroider og </w:t>
            </w:r>
            <w:r>
              <w:rPr>
                <w:sz w:val="22"/>
                <w:szCs w:val="22"/>
              </w:rPr>
              <w:t xml:space="preserve">atazanavir </w:t>
            </w:r>
            <w:r w:rsidRPr="00B471A5">
              <w:rPr>
                <w:sz w:val="22"/>
                <w:szCs w:val="22"/>
              </w:rPr>
              <w:t xml:space="preserve">(med eller uden ritonavir) kan øge plasmakoncentrationerne af inhalerede/nasale kortikosteroider. Der skal udvises forsigtighed ved brug. Overvej alternativer til inhalerede/nasale </w:t>
            </w:r>
            <w:r w:rsidRPr="00B471A5">
              <w:rPr>
                <w:sz w:val="22"/>
                <w:szCs w:val="22"/>
              </w:rPr>
              <w:lastRenderedPageBreak/>
              <w:t>kortikosteroider, især ved langvarig brug.</w:t>
            </w: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b/>
                <w:sz w:val="22"/>
                <w:szCs w:val="22"/>
              </w:rPr>
              <w:lastRenderedPageBreak/>
              <w:t>EREKTIL DYSFUNKTION</w:t>
            </w: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i/>
                <w:sz w:val="22"/>
                <w:szCs w:val="22"/>
              </w:rPr>
            </w:pPr>
            <w:r w:rsidRPr="00F455F3">
              <w:rPr>
                <w:i/>
                <w:sz w:val="22"/>
                <w:szCs w:val="22"/>
              </w:rPr>
              <w:t>PDE5-hæmmere</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Sildenafil, tadalafil, vardenafil</w:t>
            </w: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Sildenafil, tadalafil og vardenafil metaboliseres af CYP3A4. Samtidig administration af atazanavir kan medføre øget koncentration af PDE5-hæmmeren og øget risiko for PDE5-relaterede bivirkninger, inklusive hypotension, synsforstyrrelser og priapisme. Mekanismen for denne interaktion er CYP3A4-hæmning.</w:t>
            </w:r>
          </w:p>
        </w:tc>
        <w:tc>
          <w:tcPr>
            <w:tcW w:w="1701" w:type="pct"/>
            <w:tcBorders>
              <w:top w:val="single" w:sz="4" w:space="0" w:color="auto"/>
              <w:left w:val="single" w:sz="4" w:space="0" w:color="auto"/>
              <w:bottom w:val="single" w:sz="4" w:space="0" w:color="auto"/>
              <w:right w:val="single" w:sz="4" w:space="0" w:color="auto"/>
            </w:tcBorders>
            <w:hideMark/>
          </w:tcPr>
          <w:p w:rsidR="002A0DA0" w:rsidRDefault="002A0DA0" w:rsidP="002A0DA0">
            <w:pPr>
              <w:ind w:left="29"/>
              <w:rPr>
                <w:sz w:val="22"/>
                <w:szCs w:val="22"/>
              </w:rPr>
            </w:pPr>
            <w:r w:rsidRPr="00F455F3">
              <w:rPr>
                <w:sz w:val="22"/>
                <w:szCs w:val="22"/>
              </w:rPr>
              <w:t>Patienterne bør advares om risikoen for disse bivirkninger ved brug af PDE5-hæmmere mod erektil dysfunktion samtidig med atazanavir (se pkt. 4.4). Se også PULMONAL ARTERIEL HYPERTENSION i denne tabel for yderligere information om samtidig administration af atazanavir og sildenafil.</w:t>
            </w:r>
          </w:p>
          <w:p w:rsidR="002A0DA0" w:rsidRDefault="002A0DA0" w:rsidP="002A0DA0">
            <w:pPr>
              <w:ind w:left="29"/>
              <w:rPr>
                <w:sz w:val="22"/>
                <w:szCs w:val="22"/>
              </w:rPr>
            </w:pPr>
          </w:p>
          <w:p w:rsidR="002A0DA0" w:rsidRPr="00F455F3" w:rsidRDefault="002A0DA0" w:rsidP="002A0DA0">
            <w:pPr>
              <w:ind w:left="29"/>
              <w:rPr>
                <w:sz w:val="22"/>
                <w:szCs w:val="22"/>
              </w:rPr>
            </w:pP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sz w:val="22"/>
                <w:szCs w:val="22"/>
              </w:rPr>
            </w:pPr>
            <w:r w:rsidRPr="00EE2868">
              <w:rPr>
                <w:b/>
                <w:sz w:val="22"/>
                <w:szCs w:val="22"/>
              </w:rPr>
              <w:t>GONADOTROPIN-FRIGIVENDE HORMON (GnRH)-RECEPTORANTAGONISTER</w:t>
            </w:r>
          </w:p>
        </w:tc>
      </w:tr>
      <w:tr w:rsidR="002A0DA0" w:rsidTr="002A0DA0">
        <w:tc>
          <w:tcPr>
            <w:tcW w:w="1566"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b/>
                <w:sz w:val="22"/>
                <w:szCs w:val="22"/>
              </w:rPr>
            </w:pPr>
            <w:r w:rsidRPr="002E5735">
              <w:rPr>
                <w:b/>
                <w:sz w:val="22"/>
                <w:szCs w:val="22"/>
              </w:rPr>
              <w:t>Elagolix</w:t>
            </w:r>
          </w:p>
        </w:tc>
        <w:tc>
          <w:tcPr>
            <w:tcW w:w="1733"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sz w:val="22"/>
                <w:szCs w:val="22"/>
              </w:rPr>
            </w:pPr>
            <w:r w:rsidRPr="002E5735">
              <w:rPr>
                <w:sz w:val="22"/>
                <w:szCs w:val="22"/>
              </w:rPr>
              <w:t>Interaktionsmekanismen er forventet øget elagolixeksponering ved tilstedeværelse af atazanavir- og/eller ritonavir-hæmning af CYP3A4.</w:t>
            </w:r>
          </w:p>
        </w:tc>
        <w:tc>
          <w:tcPr>
            <w:tcW w:w="1701"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sz w:val="22"/>
                <w:szCs w:val="22"/>
              </w:rPr>
            </w:pPr>
            <w:r w:rsidRPr="009D295F">
              <w:rPr>
                <w:sz w:val="22"/>
                <w:szCs w:val="22"/>
              </w:rPr>
              <w:t xml:space="preserve">Samtidig brug af elagolix 200 mg to gange dagligt med </w:t>
            </w:r>
            <w:r>
              <w:rPr>
                <w:sz w:val="22"/>
                <w:szCs w:val="22"/>
              </w:rPr>
              <w:t>atazanavir</w:t>
            </w:r>
            <w:r w:rsidRPr="009D295F">
              <w:rPr>
                <w:sz w:val="22"/>
                <w:szCs w:val="22"/>
              </w:rPr>
              <w:t xml:space="preserve"> (med eller uden ritonavir) i mere end 1 måned frarådes på grund af den potentielle risiko for bivirkninger såsom knogletab og forhøjede levertransaminaser. Samtidig brug af elagolix 150 mg én gang dagligt med </w:t>
            </w:r>
            <w:r>
              <w:rPr>
                <w:sz w:val="22"/>
                <w:szCs w:val="22"/>
              </w:rPr>
              <w:t xml:space="preserve">atazanavir </w:t>
            </w:r>
            <w:r w:rsidRPr="009D295F">
              <w:rPr>
                <w:sz w:val="22"/>
                <w:szCs w:val="22"/>
              </w:rPr>
              <w:t>(med eller uden ritonavir) skal begrænses til 6 måneder</w:t>
            </w: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tcPr>
          <w:p w:rsidR="002A0DA0" w:rsidRPr="009D295F" w:rsidRDefault="002A0DA0" w:rsidP="002A0DA0">
            <w:pPr>
              <w:ind w:left="29"/>
              <w:rPr>
                <w:sz w:val="22"/>
                <w:szCs w:val="22"/>
              </w:rPr>
            </w:pPr>
            <w:r w:rsidRPr="006125C5">
              <w:rPr>
                <w:b/>
                <w:sz w:val="22"/>
                <w:szCs w:val="22"/>
              </w:rPr>
              <w:t>KINASEHÆMMERE</w:t>
            </w:r>
          </w:p>
        </w:tc>
      </w:tr>
      <w:tr w:rsidR="002A0DA0" w:rsidTr="002A0DA0">
        <w:tc>
          <w:tcPr>
            <w:tcW w:w="1566" w:type="pct"/>
            <w:tcBorders>
              <w:top w:val="single" w:sz="4" w:space="0" w:color="auto"/>
              <w:left w:val="single" w:sz="4" w:space="0" w:color="auto"/>
              <w:bottom w:val="single" w:sz="4" w:space="0" w:color="auto"/>
              <w:right w:val="single" w:sz="4" w:space="0" w:color="auto"/>
            </w:tcBorders>
          </w:tcPr>
          <w:p w:rsidR="002A0DA0" w:rsidRPr="002E5735" w:rsidRDefault="002A0DA0" w:rsidP="002A0DA0">
            <w:pPr>
              <w:ind w:left="29"/>
              <w:rPr>
                <w:b/>
                <w:sz w:val="22"/>
                <w:szCs w:val="22"/>
              </w:rPr>
            </w:pPr>
            <w:r w:rsidRPr="00154533">
              <w:rPr>
                <w:b/>
                <w:sz w:val="22"/>
                <w:szCs w:val="22"/>
              </w:rPr>
              <w:t>Fostamatinib</w:t>
            </w:r>
          </w:p>
        </w:tc>
        <w:tc>
          <w:tcPr>
            <w:tcW w:w="1733" w:type="pct"/>
            <w:tcBorders>
              <w:top w:val="single" w:sz="4" w:space="0" w:color="auto"/>
              <w:left w:val="single" w:sz="4" w:space="0" w:color="auto"/>
              <w:bottom w:val="single" w:sz="4" w:space="0" w:color="auto"/>
              <w:right w:val="single" w:sz="4" w:space="0" w:color="auto"/>
            </w:tcBorders>
          </w:tcPr>
          <w:p w:rsidR="002A0DA0" w:rsidRPr="002E5735" w:rsidRDefault="002A0DA0" w:rsidP="002A0DA0">
            <w:pPr>
              <w:ind w:left="29"/>
              <w:rPr>
                <w:sz w:val="22"/>
                <w:szCs w:val="22"/>
              </w:rPr>
            </w:pPr>
            <w:r w:rsidRPr="00154533">
              <w:rPr>
                <w:sz w:val="22"/>
                <w:szCs w:val="22"/>
              </w:rPr>
              <w:t>Interaktionsmekanismen er atazanavir- og/eller ritonavir-hæmning af CYP3A4.</w:t>
            </w:r>
          </w:p>
        </w:tc>
        <w:tc>
          <w:tcPr>
            <w:tcW w:w="1701" w:type="pct"/>
            <w:tcBorders>
              <w:top w:val="single" w:sz="4" w:space="0" w:color="auto"/>
              <w:left w:val="single" w:sz="4" w:space="0" w:color="auto"/>
              <w:bottom w:val="single" w:sz="4" w:space="0" w:color="auto"/>
              <w:right w:val="single" w:sz="4" w:space="0" w:color="auto"/>
            </w:tcBorders>
          </w:tcPr>
          <w:p w:rsidR="002A0DA0" w:rsidRPr="009D295F" w:rsidRDefault="002A0DA0" w:rsidP="002A0DA0">
            <w:pPr>
              <w:ind w:left="29"/>
              <w:rPr>
                <w:sz w:val="22"/>
                <w:szCs w:val="22"/>
              </w:rPr>
            </w:pPr>
            <w:r w:rsidRPr="00154533">
              <w:rPr>
                <w:sz w:val="22"/>
                <w:szCs w:val="22"/>
              </w:rPr>
              <w:t xml:space="preserve">Samtidig brug af fostamatinib og </w:t>
            </w:r>
            <w:r>
              <w:rPr>
                <w:sz w:val="22"/>
                <w:szCs w:val="22"/>
              </w:rPr>
              <w:t>atazanavir</w:t>
            </w:r>
            <w:r w:rsidRPr="00154533">
              <w:rPr>
                <w:sz w:val="22"/>
                <w:szCs w:val="22"/>
              </w:rPr>
              <w:t xml:space="preserve"> (med eller uden ritonavir) kan øge plasmakoncentrationen af R406, fostamatinibs aktive metabolit. Monitorér for toksiciteter fra R406-eksponering, der fører til dosisrelaterede bivirkninger såsom hepatotoksicitet og neutropeni. Det kan være nødvendigt at reducere dosis af fostamatinib.</w:t>
            </w: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b/>
                <w:sz w:val="22"/>
                <w:szCs w:val="22"/>
              </w:rPr>
              <w:t>NATURLÆGEMIDDEL</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Perikon (</w:t>
            </w:r>
            <w:r w:rsidRPr="00F455F3">
              <w:rPr>
                <w:b/>
                <w:i/>
                <w:sz w:val="22"/>
                <w:szCs w:val="22"/>
              </w:rPr>
              <w:t>Hypericum</w:t>
            </w:r>
            <w:r>
              <w:rPr>
                <w:b/>
                <w:i/>
                <w:sz w:val="22"/>
                <w:szCs w:val="22"/>
              </w:rPr>
              <w:t xml:space="preserve"> </w:t>
            </w:r>
            <w:r w:rsidRPr="00F455F3">
              <w:rPr>
                <w:b/>
                <w:i/>
                <w:sz w:val="22"/>
                <w:szCs w:val="22"/>
              </w:rPr>
              <w:t>perforatum</w:t>
            </w:r>
            <w:r w:rsidRPr="00F455F3">
              <w:rPr>
                <w:b/>
                <w:sz w:val="22"/>
                <w:szCs w:val="22"/>
              </w:rPr>
              <w:t>)</w:t>
            </w: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Samtidig brug af perikon og atazanavir kan forventes at medføre signifikant fald i atazanavirs plasmaniveau. Denne effekt kan skyldes CYP3A4-induktion. Der er risiko for manglende terapeutisk effekt og resistensudvikling (se pkt. 4.3).</w:t>
            </w:r>
          </w:p>
        </w:tc>
        <w:tc>
          <w:tcPr>
            <w:tcW w:w="1701"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Samtidig administration af atazanavir og præparater indeholdende perikon er kontraindiceret.</w:t>
            </w: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b/>
                <w:sz w:val="22"/>
                <w:szCs w:val="22"/>
              </w:rPr>
              <w:t>HORMONEL KONTRACEPTION</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Ethinylestradiol 25 μg +</w:t>
            </w:r>
            <w:r>
              <w:rPr>
                <w:b/>
                <w:sz w:val="22"/>
                <w:szCs w:val="22"/>
              </w:rPr>
              <w:t xml:space="preserve"> </w:t>
            </w:r>
            <w:r w:rsidRPr="00F455F3">
              <w:rPr>
                <w:b/>
                <w:sz w:val="22"/>
                <w:szCs w:val="22"/>
              </w:rPr>
              <w:t>norgestimat</w:t>
            </w:r>
          </w:p>
          <w:p w:rsidR="002A0DA0" w:rsidRPr="00F455F3" w:rsidRDefault="002A0DA0" w:rsidP="002A0DA0">
            <w:pPr>
              <w:ind w:left="29"/>
              <w:rPr>
                <w:b/>
                <w:sz w:val="22"/>
                <w:szCs w:val="22"/>
              </w:rPr>
            </w:pPr>
            <w:r w:rsidRPr="00F455F3">
              <w:rPr>
                <w:sz w:val="22"/>
                <w:szCs w:val="22"/>
              </w:rPr>
              <w:t>(atazanavir 300 mg 1 gang</w:t>
            </w:r>
            <w:r>
              <w:rPr>
                <w:sz w:val="22"/>
                <w:szCs w:val="22"/>
              </w:rPr>
              <w:t xml:space="preserve"> </w:t>
            </w:r>
            <w:r w:rsidRPr="00F455F3">
              <w:rPr>
                <w:sz w:val="22"/>
                <w:szCs w:val="22"/>
              </w:rPr>
              <w:t>dagligt med ritonavir 100 mg 1</w:t>
            </w:r>
            <w:r>
              <w:rPr>
                <w:sz w:val="22"/>
                <w:szCs w:val="22"/>
              </w:rPr>
              <w:t xml:space="preserve"> </w:t>
            </w:r>
            <w:r w:rsidRPr="00F455F3">
              <w:rPr>
                <w:sz w:val="22"/>
                <w:szCs w:val="22"/>
              </w:rPr>
              <w:t>gang dagligt)</w:t>
            </w:r>
          </w:p>
        </w:tc>
        <w:tc>
          <w:tcPr>
            <w:tcW w:w="1733"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sz w:val="22"/>
                <w:szCs w:val="22"/>
              </w:rPr>
            </w:pPr>
            <w:r w:rsidRPr="00F455F3">
              <w:rPr>
                <w:sz w:val="22"/>
                <w:szCs w:val="22"/>
              </w:rPr>
              <w:t>Ethinylestradiol AUC ↓19% (↓25% ↓13%)</w:t>
            </w:r>
          </w:p>
          <w:p w:rsidR="002A0DA0" w:rsidRPr="00F455F3" w:rsidRDefault="002A0DA0" w:rsidP="002A0DA0">
            <w:pPr>
              <w:ind w:left="29"/>
              <w:rPr>
                <w:sz w:val="22"/>
                <w:szCs w:val="22"/>
              </w:rPr>
            </w:pPr>
            <w:r w:rsidRPr="00F455F3">
              <w:rPr>
                <w:sz w:val="22"/>
                <w:szCs w:val="22"/>
              </w:rPr>
              <w:t>Ethinylestradiol C</w:t>
            </w:r>
            <w:r w:rsidRPr="00F455F3">
              <w:rPr>
                <w:sz w:val="22"/>
                <w:szCs w:val="22"/>
                <w:vertAlign w:val="subscript"/>
              </w:rPr>
              <w:t>max</w:t>
            </w:r>
            <w:r w:rsidRPr="00F455F3">
              <w:rPr>
                <w:sz w:val="22"/>
                <w:szCs w:val="22"/>
              </w:rPr>
              <w:t xml:space="preserve"> ↓16% (↓26% ↓5%)</w:t>
            </w:r>
          </w:p>
          <w:p w:rsidR="002A0DA0" w:rsidRPr="00F455F3" w:rsidRDefault="002A0DA0" w:rsidP="002A0DA0">
            <w:pPr>
              <w:ind w:left="29"/>
              <w:rPr>
                <w:sz w:val="22"/>
                <w:szCs w:val="22"/>
              </w:rPr>
            </w:pPr>
            <w:r w:rsidRPr="00F455F3">
              <w:rPr>
                <w:sz w:val="22"/>
                <w:szCs w:val="22"/>
              </w:rPr>
              <w:lastRenderedPageBreak/>
              <w:t>Ethinylestradiol C</w:t>
            </w:r>
            <w:r w:rsidRPr="00F455F3">
              <w:rPr>
                <w:sz w:val="22"/>
                <w:szCs w:val="22"/>
                <w:vertAlign w:val="subscript"/>
              </w:rPr>
              <w:t>min</w:t>
            </w:r>
            <w:r w:rsidRPr="00F455F3">
              <w:rPr>
                <w:sz w:val="22"/>
                <w:szCs w:val="22"/>
              </w:rPr>
              <w:t xml:space="preserve"> ↓37% (↓45% ↓29%)</w:t>
            </w:r>
          </w:p>
          <w:p w:rsidR="002A0DA0" w:rsidRPr="00F455F3" w:rsidRDefault="002A0DA0" w:rsidP="002A0DA0">
            <w:pPr>
              <w:ind w:left="29"/>
              <w:rPr>
                <w:sz w:val="22"/>
                <w:szCs w:val="22"/>
              </w:rPr>
            </w:pPr>
          </w:p>
          <w:p w:rsidR="002A0DA0" w:rsidRPr="002A0DA0" w:rsidRDefault="002A0DA0" w:rsidP="002A0DA0">
            <w:pPr>
              <w:ind w:left="29"/>
              <w:rPr>
                <w:sz w:val="22"/>
                <w:szCs w:val="22"/>
                <w:lang w:val="en-US"/>
              </w:rPr>
            </w:pPr>
            <w:r w:rsidRPr="002A0DA0">
              <w:rPr>
                <w:sz w:val="22"/>
                <w:szCs w:val="22"/>
                <w:lang w:val="en-US"/>
              </w:rPr>
              <w:t>Norgestimat AUC ↑85% (↑67%</w:t>
            </w:r>
          </w:p>
          <w:p w:rsidR="002A0DA0" w:rsidRPr="002A0DA0" w:rsidRDefault="002A0DA0" w:rsidP="002A0DA0">
            <w:pPr>
              <w:ind w:left="29"/>
              <w:rPr>
                <w:sz w:val="22"/>
                <w:szCs w:val="22"/>
                <w:lang w:val="en-US"/>
              </w:rPr>
            </w:pPr>
            <w:r w:rsidRPr="002A0DA0">
              <w:rPr>
                <w:sz w:val="22"/>
                <w:szCs w:val="22"/>
                <w:lang w:val="en-US"/>
              </w:rPr>
              <w:t>↑105%)</w:t>
            </w:r>
          </w:p>
          <w:p w:rsidR="002A0DA0" w:rsidRPr="002A0DA0" w:rsidRDefault="002A0DA0" w:rsidP="002A0DA0">
            <w:pPr>
              <w:ind w:left="29"/>
              <w:rPr>
                <w:sz w:val="22"/>
                <w:szCs w:val="22"/>
                <w:lang w:val="en-US"/>
              </w:rPr>
            </w:pPr>
            <w:r w:rsidRPr="002A0DA0">
              <w:rPr>
                <w:sz w:val="22"/>
                <w:szCs w:val="22"/>
                <w:lang w:val="en-US"/>
              </w:rPr>
              <w:t>Norgestimat C</w:t>
            </w:r>
            <w:r w:rsidRPr="002A0DA0">
              <w:rPr>
                <w:sz w:val="22"/>
                <w:szCs w:val="22"/>
                <w:vertAlign w:val="subscript"/>
                <w:lang w:val="en-US"/>
              </w:rPr>
              <w:t>max</w:t>
            </w:r>
            <w:r w:rsidRPr="002A0DA0">
              <w:rPr>
                <w:sz w:val="22"/>
                <w:szCs w:val="22"/>
                <w:lang w:val="en-US"/>
              </w:rPr>
              <w:t xml:space="preserve"> ↑68% (↑51% ↑88%)</w:t>
            </w:r>
          </w:p>
          <w:p w:rsidR="002A0DA0" w:rsidRPr="002A0DA0" w:rsidRDefault="002A0DA0" w:rsidP="002A0DA0">
            <w:pPr>
              <w:ind w:left="29"/>
              <w:rPr>
                <w:sz w:val="22"/>
                <w:szCs w:val="22"/>
                <w:lang w:val="en-US"/>
              </w:rPr>
            </w:pPr>
            <w:r w:rsidRPr="002A0DA0">
              <w:rPr>
                <w:sz w:val="22"/>
                <w:szCs w:val="22"/>
                <w:lang w:val="en-US"/>
              </w:rPr>
              <w:t>Norgestimat C</w:t>
            </w:r>
            <w:r w:rsidRPr="002A0DA0">
              <w:rPr>
                <w:sz w:val="22"/>
                <w:szCs w:val="22"/>
                <w:vertAlign w:val="subscript"/>
                <w:lang w:val="en-US"/>
              </w:rPr>
              <w:t>min</w:t>
            </w:r>
            <w:r w:rsidRPr="002A0DA0">
              <w:rPr>
                <w:sz w:val="22"/>
                <w:szCs w:val="22"/>
                <w:lang w:val="en-US"/>
              </w:rPr>
              <w:t xml:space="preserve"> ↑102% (↑77% ↑131%)</w:t>
            </w:r>
          </w:p>
          <w:p w:rsidR="002A0DA0" w:rsidRPr="002A0DA0" w:rsidRDefault="002A0DA0" w:rsidP="002A0DA0">
            <w:pPr>
              <w:ind w:left="29"/>
              <w:rPr>
                <w:sz w:val="22"/>
                <w:szCs w:val="22"/>
                <w:lang w:val="en-US"/>
              </w:rPr>
            </w:pPr>
          </w:p>
          <w:p w:rsidR="002A0DA0" w:rsidRPr="00F455F3" w:rsidRDefault="002A0DA0" w:rsidP="002A0DA0">
            <w:pPr>
              <w:ind w:left="29"/>
              <w:rPr>
                <w:sz w:val="22"/>
                <w:szCs w:val="22"/>
              </w:rPr>
            </w:pPr>
            <w:r w:rsidRPr="00F455F3">
              <w:rPr>
                <w:sz w:val="22"/>
                <w:szCs w:val="22"/>
              </w:rPr>
              <w:t>Ethinylestradiolkoncentrationen øges, når atazanavir administreres alene pga. atazanavirs hæmmende effekt på både UGT og CYP3A4, hvorimod nettoeffekten af atazanavir/ritonavir vil være et fald i ethinylestradiol</w:t>
            </w:r>
            <w:r>
              <w:rPr>
                <w:sz w:val="22"/>
                <w:szCs w:val="22"/>
              </w:rPr>
              <w:softHyphen/>
            </w:r>
            <w:r w:rsidRPr="00F455F3">
              <w:rPr>
                <w:sz w:val="22"/>
                <w:szCs w:val="22"/>
              </w:rPr>
              <w:t>koncentrationen pga. ritonavirs inducerende effekt.</w:t>
            </w:r>
          </w:p>
          <w:p w:rsidR="002A0DA0" w:rsidRDefault="002A0DA0" w:rsidP="002A0DA0">
            <w:pPr>
              <w:ind w:left="29"/>
              <w:rPr>
                <w:sz w:val="22"/>
                <w:szCs w:val="22"/>
              </w:rPr>
            </w:pPr>
          </w:p>
          <w:p w:rsidR="002A0DA0" w:rsidRPr="00F455F3" w:rsidRDefault="002A0DA0" w:rsidP="002A0DA0">
            <w:pPr>
              <w:ind w:left="29"/>
              <w:rPr>
                <w:sz w:val="22"/>
                <w:szCs w:val="22"/>
              </w:rPr>
            </w:pPr>
            <w:r w:rsidRPr="00F455F3">
              <w:rPr>
                <w:sz w:val="22"/>
                <w:szCs w:val="22"/>
              </w:rPr>
              <w:t>Den øgede progestin-eksponering kan give bivirkninger (f.eks. insulinresistens, dyslipidæmi, akne og pletblødning), hvorved compliance muligvis påvirkes.</w:t>
            </w:r>
          </w:p>
        </w:tc>
        <w:tc>
          <w:tcPr>
            <w:tcW w:w="1701" w:type="pct"/>
            <w:vMerge w:val="restar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lastRenderedPageBreak/>
              <w:t xml:space="preserve">Hvis oral kontraception administreres samtidig med atazanavir/ritonavir, anbefales det, at det indeholder mindst 30 μg ethinylestradiol, og at </w:t>
            </w:r>
            <w:r w:rsidRPr="00F455F3">
              <w:rPr>
                <w:sz w:val="22"/>
                <w:szCs w:val="22"/>
              </w:rPr>
              <w:lastRenderedPageBreak/>
              <w:t>patienten forstår nødvendigheden af omhyggelig compliance med dette kontraceptionsmiddel. Samtidig administration af</w:t>
            </w:r>
            <w:r>
              <w:rPr>
                <w:sz w:val="22"/>
                <w:szCs w:val="22"/>
              </w:rPr>
              <w:t xml:space="preserve"> </w:t>
            </w:r>
            <w:r w:rsidRPr="00F455F3">
              <w:rPr>
                <w:sz w:val="22"/>
                <w:szCs w:val="22"/>
              </w:rPr>
              <w:t>atazanavir/ritonavir og andre hormonelle kontraceptionsmidler eller orale kontraceptionsmidler</w:t>
            </w:r>
            <w:r>
              <w:rPr>
                <w:sz w:val="22"/>
                <w:szCs w:val="22"/>
              </w:rPr>
              <w:t xml:space="preserve"> </w:t>
            </w:r>
            <w:r w:rsidRPr="00F455F3">
              <w:rPr>
                <w:sz w:val="22"/>
                <w:szCs w:val="22"/>
              </w:rPr>
              <w:t>indeholdende andre gestagener end norgestimat er ikke blevet undersøgt og bør derfor undgås. En alternativ pålidelig</w:t>
            </w:r>
            <w:r>
              <w:rPr>
                <w:sz w:val="22"/>
                <w:szCs w:val="22"/>
              </w:rPr>
              <w:t xml:space="preserve"> </w:t>
            </w:r>
            <w:r w:rsidRPr="00F455F3">
              <w:rPr>
                <w:sz w:val="22"/>
                <w:szCs w:val="22"/>
              </w:rPr>
              <w:t>kontraceptionsmetode anbefales.</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lastRenderedPageBreak/>
              <w:t>Ethinylestradiol 35 μg + norethindron</w:t>
            </w:r>
          </w:p>
          <w:p w:rsidR="002A0DA0" w:rsidRPr="00F455F3" w:rsidRDefault="002A0DA0" w:rsidP="002A0DA0">
            <w:pPr>
              <w:ind w:left="29"/>
              <w:rPr>
                <w:b/>
                <w:sz w:val="22"/>
                <w:szCs w:val="22"/>
              </w:rPr>
            </w:pPr>
            <w:r w:rsidRPr="00F455F3">
              <w:rPr>
                <w:sz w:val="22"/>
                <w:szCs w:val="22"/>
              </w:rPr>
              <w:t>(atazanavir 400 mg 1 gang</w:t>
            </w:r>
            <w:r>
              <w:rPr>
                <w:sz w:val="22"/>
                <w:szCs w:val="22"/>
              </w:rPr>
              <w:t xml:space="preserve"> </w:t>
            </w:r>
            <w:r w:rsidRPr="00F455F3">
              <w:rPr>
                <w:sz w:val="22"/>
                <w:szCs w:val="22"/>
              </w:rPr>
              <w:t>dagligt)</w:t>
            </w:r>
          </w:p>
        </w:tc>
        <w:tc>
          <w:tcPr>
            <w:tcW w:w="1733"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sz w:val="22"/>
                <w:szCs w:val="22"/>
              </w:rPr>
            </w:pPr>
            <w:r w:rsidRPr="00F455F3">
              <w:rPr>
                <w:sz w:val="22"/>
                <w:szCs w:val="22"/>
              </w:rPr>
              <w:t>Ethinylestradiol AUC ↑48% (↑31% ↑68%)</w:t>
            </w:r>
          </w:p>
          <w:p w:rsidR="002A0DA0" w:rsidRPr="00F455F3" w:rsidRDefault="002A0DA0" w:rsidP="002A0DA0">
            <w:pPr>
              <w:ind w:left="29"/>
              <w:rPr>
                <w:sz w:val="22"/>
                <w:szCs w:val="22"/>
              </w:rPr>
            </w:pPr>
            <w:r w:rsidRPr="00F455F3">
              <w:rPr>
                <w:sz w:val="22"/>
                <w:szCs w:val="22"/>
              </w:rPr>
              <w:t>Ethinylestradiol C</w:t>
            </w:r>
            <w:r w:rsidRPr="00F455F3">
              <w:rPr>
                <w:sz w:val="22"/>
                <w:szCs w:val="22"/>
                <w:vertAlign w:val="subscript"/>
              </w:rPr>
              <w:t>max</w:t>
            </w:r>
            <w:r w:rsidRPr="00F455F3">
              <w:rPr>
                <w:sz w:val="22"/>
                <w:szCs w:val="22"/>
              </w:rPr>
              <w:t xml:space="preserve"> ↑15% (↓1% ↑32%)</w:t>
            </w:r>
          </w:p>
          <w:p w:rsidR="002A0DA0" w:rsidRPr="00F455F3" w:rsidRDefault="002A0DA0" w:rsidP="002A0DA0">
            <w:pPr>
              <w:ind w:left="29"/>
              <w:rPr>
                <w:sz w:val="22"/>
                <w:szCs w:val="22"/>
              </w:rPr>
            </w:pPr>
            <w:r w:rsidRPr="00F455F3">
              <w:rPr>
                <w:sz w:val="22"/>
                <w:szCs w:val="22"/>
              </w:rPr>
              <w:t>Ethinylestradiol C</w:t>
            </w:r>
            <w:r w:rsidRPr="00F455F3">
              <w:rPr>
                <w:sz w:val="22"/>
                <w:szCs w:val="22"/>
                <w:vertAlign w:val="subscript"/>
              </w:rPr>
              <w:t>min</w:t>
            </w:r>
            <w:r w:rsidRPr="00F455F3">
              <w:rPr>
                <w:sz w:val="22"/>
                <w:szCs w:val="22"/>
              </w:rPr>
              <w:t xml:space="preserve"> ↑91% (↑57% ↑133%)</w:t>
            </w:r>
          </w:p>
          <w:p w:rsidR="002A0DA0" w:rsidRPr="00F455F3" w:rsidRDefault="002A0DA0" w:rsidP="002A0DA0">
            <w:pPr>
              <w:ind w:left="29"/>
              <w:rPr>
                <w:sz w:val="22"/>
                <w:szCs w:val="22"/>
              </w:rPr>
            </w:pPr>
          </w:p>
          <w:p w:rsidR="002A0DA0" w:rsidRPr="00F455F3" w:rsidRDefault="002A0DA0" w:rsidP="002A0DA0">
            <w:pPr>
              <w:ind w:left="29"/>
              <w:rPr>
                <w:sz w:val="22"/>
                <w:szCs w:val="22"/>
              </w:rPr>
            </w:pPr>
            <w:r w:rsidRPr="00F455F3">
              <w:rPr>
                <w:sz w:val="22"/>
                <w:szCs w:val="22"/>
              </w:rPr>
              <w:t>Norethindron AUC ↑110% (↑68% ↑162%)</w:t>
            </w:r>
          </w:p>
          <w:p w:rsidR="002A0DA0" w:rsidRPr="00F455F3" w:rsidRDefault="002A0DA0" w:rsidP="002A0DA0">
            <w:pPr>
              <w:ind w:left="29"/>
              <w:rPr>
                <w:sz w:val="22"/>
                <w:szCs w:val="22"/>
              </w:rPr>
            </w:pPr>
            <w:r w:rsidRPr="00F455F3">
              <w:rPr>
                <w:sz w:val="22"/>
                <w:szCs w:val="22"/>
              </w:rPr>
              <w:t>Norethindron C</w:t>
            </w:r>
            <w:r w:rsidRPr="00F455F3">
              <w:rPr>
                <w:sz w:val="22"/>
                <w:szCs w:val="22"/>
                <w:vertAlign w:val="subscript"/>
              </w:rPr>
              <w:t>max</w:t>
            </w:r>
            <w:r w:rsidRPr="00F455F3">
              <w:rPr>
                <w:sz w:val="22"/>
                <w:szCs w:val="22"/>
              </w:rPr>
              <w:t xml:space="preserve"> ↑67% (↑42% ↑196%)</w:t>
            </w:r>
          </w:p>
          <w:p w:rsidR="002A0DA0" w:rsidRPr="00F455F3" w:rsidRDefault="002A0DA0" w:rsidP="002A0DA0">
            <w:pPr>
              <w:ind w:left="29"/>
              <w:rPr>
                <w:sz w:val="22"/>
                <w:szCs w:val="22"/>
              </w:rPr>
            </w:pPr>
            <w:r w:rsidRPr="00F455F3">
              <w:rPr>
                <w:sz w:val="22"/>
                <w:szCs w:val="22"/>
              </w:rPr>
              <w:t>Norethindron C</w:t>
            </w:r>
            <w:r w:rsidRPr="00F455F3">
              <w:rPr>
                <w:sz w:val="22"/>
                <w:szCs w:val="22"/>
                <w:vertAlign w:val="subscript"/>
              </w:rPr>
              <w:t>min</w:t>
            </w:r>
            <w:r w:rsidRPr="00F455F3">
              <w:rPr>
                <w:sz w:val="22"/>
                <w:szCs w:val="22"/>
              </w:rPr>
              <w:t xml:space="preserve"> ↑262% (↑157% ↑409%)</w:t>
            </w:r>
          </w:p>
          <w:p w:rsidR="002A0DA0" w:rsidRPr="00F455F3" w:rsidRDefault="002A0DA0" w:rsidP="002A0DA0">
            <w:pPr>
              <w:ind w:left="29"/>
              <w:rPr>
                <w:sz w:val="22"/>
                <w:szCs w:val="22"/>
              </w:rPr>
            </w:pPr>
          </w:p>
          <w:p w:rsidR="002A0DA0" w:rsidRPr="00F455F3" w:rsidRDefault="002A0DA0" w:rsidP="002A0DA0">
            <w:pPr>
              <w:ind w:left="29"/>
              <w:rPr>
                <w:sz w:val="22"/>
                <w:szCs w:val="22"/>
              </w:rPr>
            </w:pPr>
            <w:r w:rsidRPr="00F455F3">
              <w:rPr>
                <w:sz w:val="22"/>
                <w:szCs w:val="22"/>
              </w:rPr>
              <w:t>Den øgede progestin-eksponering kan give bivirkninger (f.eks. insulinresistens, dyslipidæmi, akne og pletblødning), hvorved compliance muligvis påvirkes</w:t>
            </w:r>
          </w:p>
        </w:tc>
        <w:tc>
          <w:tcPr>
            <w:tcW w:w="1701" w:type="pct"/>
            <w:vMerge/>
            <w:tcBorders>
              <w:top w:val="single" w:sz="4" w:space="0" w:color="auto"/>
              <w:left w:val="single" w:sz="4" w:space="0" w:color="auto"/>
              <w:bottom w:val="single" w:sz="4" w:space="0" w:color="auto"/>
              <w:right w:val="single" w:sz="4" w:space="0" w:color="auto"/>
            </w:tcBorders>
            <w:vAlign w:val="center"/>
            <w:hideMark/>
          </w:tcPr>
          <w:p w:rsidR="002A0DA0" w:rsidRPr="00F455F3" w:rsidRDefault="002A0DA0" w:rsidP="002A0DA0">
            <w:pPr>
              <w:ind w:left="29"/>
              <w:rPr>
                <w:sz w:val="22"/>
                <w:szCs w:val="22"/>
              </w:rPr>
            </w:pP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b/>
                <w:sz w:val="22"/>
                <w:szCs w:val="22"/>
              </w:rPr>
              <w:t>LIPID</w:t>
            </w:r>
            <w:r>
              <w:rPr>
                <w:b/>
                <w:sz w:val="22"/>
                <w:szCs w:val="22"/>
              </w:rPr>
              <w:t>MODIFICERENDE</w:t>
            </w:r>
            <w:r w:rsidRPr="00F455F3">
              <w:rPr>
                <w:b/>
                <w:sz w:val="22"/>
                <w:szCs w:val="22"/>
              </w:rPr>
              <w:t xml:space="preserve"> MIDLER</w:t>
            </w: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i/>
                <w:sz w:val="22"/>
                <w:szCs w:val="22"/>
              </w:rPr>
            </w:pPr>
            <w:r w:rsidRPr="00F455F3">
              <w:rPr>
                <w:i/>
                <w:sz w:val="22"/>
                <w:szCs w:val="22"/>
              </w:rPr>
              <w:t>HMG-CoA-reduktasehæmmere</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Simvastatin</w:t>
            </w:r>
          </w:p>
          <w:p w:rsidR="002A0DA0" w:rsidRPr="00F455F3" w:rsidRDefault="002A0DA0" w:rsidP="002A0DA0">
            <w:pPr>
              <w:ind w:left="29"/>
              <w:rPr>
                <w:b/>
                <w:sz w:val="22"/>
                <w:szCs w:val="22"/>
              </w:rPr>
            </w:pPr>
            <w:r w:rsidRPr="00F455F3">
              <w:rPr>
                <w:b/>
                <w:sz w:val="22"/>
                <w:szCs w:val="22"/>
              </w:rPr>
              <w:t>Lovastatin</w:t>
            </w: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Simvastatin og lovastatin metaboliseres i høj grad via CYP3A4 og samtidig administration med atazanavir kan medføre øgede koncentrationer.</w:t>
            </w:r>
          </w:p>
        </w:tc>
        <w:tc>
          <w:tcPr>
            <w:tcW w:w="1701"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Samtidig administration af</w:t>
            </w:r>
            <w:r>
              <w:rPr>
                <w:sz w:val="22"/>
                <w:szCs w:val="22"/>
              </w:rPr>
              <w:t xml:space="preserve"> </w:t>
            </w:r>
            <w:r w:rsidRPr="00F455F3">
              <w:rPr>
                <w:sz w:val="22"/>
                <w:szCs w:val="22"/>
              </w:rPr>
              <w:t>simvastatin eller lovastatin og</w:t>
            </w:r>
            <w:r>
              <w:rPr>
                <w:sz w:val="22"/>
                <w:szCs w:val="22"/>
              </w:rPr>
              <w:t xml:space="preserve"> </w:t>
            </w:r>
            <w:r w:rsidRPr="00F455F3">
              <w:rPr>
                <w:sz w:val="22"/>
                <w:szCs w:val="22"/>
              </w:rPr>
              <w:t>atazanavir er kontraindiceret på grund af øget risiko for myopati, inklusive rabdomyolyse (se pkt. 4.3).</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Atorvastatin</w:t>
            </w: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Risikoen for myopati, inklusive</w:t>
            </w:r>
            <w:r>
              <w:rPr>
                <w:sz w:val="22"/>
                <w:szCs w:val="22"/>
              </w:rPr>
              <w:t xml:space="preserve"> </w:t>
            </w:r>
            <w:r w:rsidRPr="00F455F3">
              <w:rPr>
                <w:sz w:val="22"/>
                <w:szCs w:val="22"/>
              </w:rPr>
              <w:t xml:space="preserve">rabdomyolyse, kan også øges med </w:t>
            </w:r>
            <w:r w:rsidRPr="00F455F3">
              <w:rPr>
                <w:sz w:val="22"/>
                <w:szCs w:val="22"/>
              </w:rPr>
              <w:lastRenderedPageBreak/>
              <w:t>atorvastatin, som også metaboliseres via CYP3A4.</w:t>
            </w:r>
          </w:p>
        </w:tc>
        <w:tc>
          <w:tcPr>
            <w:tcW w:w="1701"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lastRenderedPageBreak/>
              <w:t xml:space="preserve">Samtidig administration af atorvastatin og atazanavir frarådes. Hvis behandling med </w:t>
            </w:r>
            <w:r w:rsidRPr="00F455F3">
              <w:rPr>
                <w:sz w:val="22"/>
                <w:szCs w:val="22"/>
              </w:rPr>
              <w:lastRenderedPageBreak/>
              <w:t>atorvastatin anses for at være absolut nødvendig, skal den lavest mulige dosis af atorvastatin administreres med omhyggelig monitorering af bivirkninger (se pkt. 4.4).</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lastRenderedPageBreak/>
              <w:t>Pravastatin</w:t>
            </w:r>
          </w:p>
          <w:p w:rsidR="002A0DA0" w:rsidRPr="00F455F3" w:rsidRDefault="002A0DA0" w:rsidP="002A0DA0">
            <w:pPr>
              <w:ind w:left="29"/>
              <w:rPr>
                <w:b/>
                <w:sz w:val="22"/>
                <w:szCs w:val="22"/>
              </w:rPr>
            </w:pPr>
            <w:r w:rsidRPr="00F455F3">
              <w:rPr>
                <w:b/>
                <w:sz w:val="22"/>
                <w:szCs w:val="22"/>
              </w:rPr>
              <w:t>Fluvastatin</w:t>
            </w: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Selvom det ikke er undersøgt, er der risiko for en øget pravastatin- eller fluvastatineksponering ved administration sammen med proteasehæmmere. Pravastatin metaboliseres ikke af CYP3A4. Fluvastatin metaboliseres delvist af CYP2C9.</w:t>
            </w:r>
          </w:p>
        </w:tc>
        <w:tc>
          <w:tcPr>
            <w:tcW w:w="1701"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Der skal udvises forsigtighed.</w:t>
            </w: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tcPr>
          <w:p w:rsidR="002A0DA0" w:rsidRPr="00582B2E" w:rsidRDefault="002A0DA0" w:rsidP="002A0DA0">
            <w:pPr>
              <w:ind w:left="29"/>
              <w:rPr>
                <w:i/>
                <w:iCs/>
                <w:sz w:val="22"/>
                <w:szCs w:val="22"/>
              </w:rPr>
            </w:pPr>
            <w:r w:rsidRPr="00582B2E">
              <w:rPr>
                <w:i/>
                <w:iCs/>
                <w:sz w:val="22"/>
                <w:szCs w:val="22"/>
              </w:rPr>
              <w:t>Andre lipidmodificerende midler</w:t>
            </w:r>
          </w:p>
        </w:tc>
      </w:tr>
      <w:tr w:rsidR="002A0DA0" w:rsidTr="002A0DA0">
        <w:tc>
          <w:tcPr>
            <w:tcW w:w="1566"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b/>
                <w:sz w:val="22"/>
                <w:szCs w:val="22"/>
              </w:rPr>
            </w:pPr>
            <w:r w:rsidRPr="00837D05">
              <w:rPr>
                <w:b/>
                <w:sz w:val="22"/>
                <w:szCs w:val="22"/>
              </w:rPr>
              <w:t>Lomitapid</w:t>
            </w:r>
          </w:p>
        </w:tc>
        <w:tc>
          <w:tcPr>
            <w:tcW w:w="1733"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sz w:val="22"/>
                <w:szCs w:val="22"/>
              </w:rPr>
            </w:pPr>
            <w:r w:rsidRPr="00837D05">
              <w:rPr>
                <w:sz w:val="22"/>
                <w:szCs w:val="22"/>
              </w:rPr>
              <w:t xml:space="preserve">Lomitapid metaboliseres i høj grad via CYP3A4, og samtidig administration med </w:t>
            </w:r>
            <w:r>
              <w:rPr>
                <w:sz w:val="22"/>
                <w:szCs w:val="22"/>
              </w:rPr>
              <w:t>atazanavir</w:t>
            </w:r>
            <w:r w:rsidRPr="00837D05">
              <w:rPr>
                <w:sz w:val="22"/>
                <w:szCs w:val="22"/>
              </w:rPr>
              <w:t xml:space="preserve"> og ritonavir kan medføre øget koncentration.</w:t>
            </w:r>
          </w:p>
        </w:tc>
        <w:tc>
          <w:tcPr>
            <w:tcW w:w="1701"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sz w:val="22"/>
                <w:szCs w:val="22"/>
              </w:rPr>
            </w:pPr>
            <w:r w:rsidRPr="00E14178">
              <w:rPr>
                <w:sz w:val="22"/>
                <w:szCs w:val="22"/>
              </w:rPr>
              <w:t xml:space="preserve">Samtidig administration af lomitapid og </w:t>
            </w:r>
            <w:r>
              <w:rPr>
                <w:sz w:val="22"/>
                <w:szCs w:val="22"/>
              </w:rPr>
              <w:t>atazanavir</w:t>
            </w:r>
            <w:r w:rsidRPr="00E14178">
              <w:rPr>
                <w:sz w:val="22"/>
                <w:szCs w:val="22"/>
              </w:rPr>
              <w:t xml:space="preserve"> sammen med ritonavir er kontraindiceret på grund af en potentiel risiko for markant forhøjede transaminaseniveauer og hepatotoksicitet (se pkt. 4.3).</w:t>
            </w: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b/>
                <w:sz w:val="22"/>
                <w:szCs w:val="22"/>
              </w:rPr>
              <w:t>BETA-AGONISTER TIL INHALATION</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Salmeterol</w:t>
            </w:r>
          </w:p>
        </w:tc>
        <w:tc>
          <w:tcPr>
            <w:tcW w:w="1733"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sz w:val="22"/>
                <w:szCs w:val="22"/>
              </w:rPr>
            </w:pPr>
            <w:r w:rsidRPr="00F455F3">
              <w:rPr>
                <w:sz w:val="22"/>
                <w:szCs w:val="22"/>
              </w:rPr>
              <w:t xml:space="preserve">Samtidig administration af atazanavir kan medføre højere salmeterolkoncentration og øget risiko for salmeterol-relaterede bivirkninger. </w:t>
            </w:r>
          </w:p>
          <w:p w:rsidR="002A0DA0" w:rsidRPr="00F455F3" w:rsidRDefault="002A0DA0" w:rsidP="002A0DA0">
            <w:pPr>
              <w:ind w:left="29"/>
              <w:rPr>
                <w:sz w:val="22"/>
                <w:szCs w:val="22"/>
              </w:rPr>
            </w:pPr>
          </w:p>
          <w:p w:rsidR="002A0DA0" w:rsidRPr="00F455F3" w:rsidRDefault="002A0DA0" w:rsidP="002A0DA0">
            <w:pPr>
              <w:ind w:left="29"/>
              <w:rPr>
                <w:sz w:val="22"/>
                <w:szCs w:val="22"/>
              </w:rPr>
            </w:pPr>
            <w:r w:rsidRPr="00F455F3">
              <w:rPr>
                <w:sz w:val="22"/>
                <w:szCs w:val="22"/>
              </w:rPr>
              <w:t>Interaktionsmekanismen er atazanavir og/eller ritonavir-hæmning af CYP3A4.</w:t>
            </w:r>
          </w:p>
        </w:tc>
        <w:tc>
          <w:tcPr>
            <w:tcW w:w="1701"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Samtidig administration af salmeterol og atazanavir anbefales ikke (se pkt. 4.4).</w:t>
            </w: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b/>
                <w:sz w:val="22"/>
                <w:szCs w:val="22"/>
              </w:rPr>
              <w:t>OPIOIDER</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Buprenorphin, 1 gang dagligt,</w:t>
            </w:r>
            <w:r>
              <w:rPr>
                <w:b/>
                <w:sz w:val="22"/>
                <w:szCs w:val="22"/>
              </w:rPr>
              <w:t xml:space="preserve"> </w:t>
            </w:r>
            <w:r w:rsidRPr="00F455F3">
              <w:rPr>
                <w:b/>
                <w:sz w:val="22"/>
                <w:szCs w:val="22"/>
              </w:rPr>
              <w:t>stabil vedligeholdelsesdosis</w:t>
            </w:r>
          </w:p>
          <w:p w:rsidR="002A0DA0" w:rsidRPr="00F455F3" w:rsidRDefault="002A0DA0" w:rsidP="002A0DA0">
            <w:pPr>
              <w:ind w:left="29"/>
              <w:rPr>
                <w:b/>
                <w:sz w:val="22"/>
                <w:szCs w:val="22"/>
              </w:rPr>
            </w:pPr>
            <w:r w:rsidRPr="00F455F3">
              <w:rPr>
                <w:sz w:val="22"/>
                <w:szCs w:val="22"/>
              </w:rPr>
              <w:t>(atazanavir 300 mg 1 gang</w:t>
            </w:r>
            <w:r>
              <w:rPr>
                <w:sz w:val="22"/>
                <w:szCs w:val="22"/>
              </w:rPr>
              <w:t xml:space="preserve"> </w:t>
            </w:r>
            <w:r w:rsidRPr="00F455F3">
              <w:rPr>
                <w:sz w:val="22"/>
                <w:szCs w:val="22"/>
              </w:rPr>
              <w:t>dagligt med ritonavir 100 mg 1</w:t>
            </w:r>
            <w:r>
              <w:rPr>
                <w:sz w:val="22"/>
                <w:szCs w:val="22"/>
              </w:rPr>
              <w:t xml:space="preserve"> </w:t>
            </w:r>
            <w:r w:rsidRPr="00F455F3">
              <w:rPr>
                <w:sz w:val="22"/>
                <w:szCs w:val="22"/>
              </w:rPr>
              <w:t>gang dagligt)</w:t>
            </w:r>
          </w:p>
        </w:tc>
        <w:tc>
          <w:tcPr>
            <w:tcW w:w="1733"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sz w:val="22"/>
                <w:szCs w:val="22"/>
              </w:rPr>
            </w:pPr>
            <w:r w:rsidRPr="00F455F3">
              <w:rPr>
                <w:sz w:val="22"/>
                <w:szCs w:val="22"/>
              </w:rPr>
              <w:t>Buprenorphin AUC ↑67%</w:t>
            </w:r>
          </w:p>
          <w:p w:rsidR="002A0DA0" w:rsidRPr="00F455F3" w:rsidRDefault="002A0DA0" w:rsidP="002A0DA0">
            <w:pPr>
              <w:ind w:left="29"/>
              <w:rPr>
                <w:sz w:val="22"/>
                <w:szCs w:val="22"/>
              </w:rPr>
            </w:pPr>
            <w:r w:rsidRPr="00F455F3">
              <w:rPr>
                <w:sz w:val="22"/>
                <w:szCs w:val="22"/>
              </w:rPr>
              <w:t>Buprenorphin C</w:t>
            </w:r>
            <w:r w:rsidRPr="00F455F3">
              <w:rPr>
                <w:sz w:val="22"/>
                <w:szCs w:val="22"/>
                <w:vertAlign w:val="subscript"/>
              </w:rPr>
              <w:t>max</w:t>
            </w:r>
            <w:r w:rsidRPr="00F455F3">
              <w:rPr>
                <w:sz w:val="22"/>
                <w:szCs w:val="22"/>
              </w:rPr>
              <w:t xml:space="preserve"> ↑37%</w:t>
            </w:r>
          </w:p>
          <w:p w:rsidR="002A0DA0" w:rsidRPr="00F455F3" w:rsidRDefault="002A0DA0" w:rsidP="002A0DA0">
            <w:pPr>
              <w:ind w:left="29"/>
              <w:rPr>
                <w:sz w:val="22"/>
                <w:szCs w:val="22"/>
              </w:rPr>
            </w:pPr>
            <w:r w:rsidRPr="00F455F3">
              <w:rPr>
                <w:sz w:val="22"/>
                <w:szCs w:val="22"/>
              </w:rPr>
              <w:t>Buprenorphin C</w:t>
            </w:r>
            <w:r w:rsidRPr="00F455F3">
              <w:rPr>
                <w:sz w:val="22"/>
                <w:szCs w:val="22"/>
                <w:vertAlign w:val="subscript"/>
              </w:rPr>
              <w:t>min</w:t>
            </w:r>
            <w:r w:rsidRPr="00F455F3">
              <w:rPr>
                <w:sz w:val="22"/>
                <w:szCs w:val="22"/>
              </w:rPr>
              <w:t xml:space="preserve"> ↑69%</w:t>
            </w:r>
          </w:p>
          <w:p w:rsidR="002A0DA0" w:rsidRPr="00F455F3" w:rsidRDefault="002A0DA0" w:rsidP="002A0DA0">
            <w:pPr>
              <w:ind w:left="29"/>
              <w:rPr>
                <w:sz w:val="22"/>
                <w:szCs w:val="22"/>
              </w:rPr>
            </w:pPr>
          </w:p>
          <w:p w:rsidR="002A0DA0" w:rsidRPr="00F455F3" w:rsidRDefault="002A0DA0" w:rsidP="002A0DA0">
            <w:pPr>
              <w:ind w:left="29"/>
              <w:rPr>
                <w:sz w:val="22"/>
                <w:szCs w:val="22"/>
              </w:rPr>
            </w:pPr>
            <w:r w:rsidRPr="00F455F3">
              <w:rPr>
                <w:sz w:val="22"/>
                <w:szCs w:val="22"/>
              </w:rPr>
              <w:t>Norbuprenorphin AUC ↑105%</w:t>
            </w:r>
          </w:p>
          <w:p w:rsidR="002A0DA0" w:rsidRPr="00F455F3" w:rsidRDefault="002A0DA0" w:rsidP="002A0DA0">
            <w:pPr>
              <w:ind w:left="29"/>
              <w:rPr>
                <w:sz w:val="22"/>
                <w:szCs w:val="22"/>
              </w:rPr>
            </w:pPr>
            <w:r w:rsidRPr="00F455F3">
              <w:rPr>
                <w:sz w:val="22"/>
                <w:szCs w:val="22"/>
              </w:rPr>
              <w:t>Norbuprenorphin C</w:t>
            </w:r>
            <w:r w:rsidRPr="00F455F3">
              <w:rPr>
                <w:sz w:val="22"/>
                <w:szCs w:val="22"/>
                <w:vertAlign w:val="subscript"/>
              </w:rPr>
              <w:t>max</w:t>
            </w:r>
            <w:r w:rsidRPr="00F455F3">
              <w:rPr>
                <w:sz w:val="22"/>
                <w:szCs w:val="22"/>
              </w:rPr>
              <w:t xml:space="preserve"> ↑61%</w:t>
            </w:r>
          </w:p>
          <w:p w:rsidR="002A0DA0" w:rsidRPr="00F455F3" w:rsidRDefault="002A0DA0" w:rsidP="002A0DA0">
            <w:pPr>
              <w:ind w:left="29"/>
              <w:rPr>
                <w:sz w:val="22"/>
                <w:szCs w:val="22"/>
              </w:rPr>
            </w:pPr>
            <w:r w:rsidRPr="00F455F3">
              <w:rPr>
                <w:sz w:val="22"/>
                <w:szCs w:val="22"/>
              </w:rPr>
              <w:t>Norbuprenorphin C</w:t>
            </w:r>
            <w:r w:rsidRPr="00F455F3">
              <w:rPr>
                <w:sz w:val="22"/>
                <w:szCs w:val="22"/>
                <w:vertAlign w:val="subscript"/>
              </w:rPr>
              <w:t>min</w:t>
            </w:r>
            <w:r w:rsidRPr="00F455F3">
              <w:rPr>
                <w:sz w:val="22"/>
                <w:szCs w:val="22"/>
              </w:rPr>
              <w:t xml:space="preserve"> ↑101%</w:t>
            </w:r>
          </w:p>
          <w:p w:rsidR="002A0DA0" w:rsidRPr="00F455F3" w:rsidRDefault="002A0DA0" w:rsidP="002A0DA0">
            <w:pPr>
              <w:ind w:left="29"/>
              <w:rPr>
                <w:sz w:val="22"/>
                <w:szCs w:val="22"/>
              </w:rPr>
            </w:pPr>
          </w:p>
          <w:p w:rsidR="002A0DA0" w:rsidRPr="00F455F3" w:rsidRDefault="002A0DA0" w:rsidP="002A0DA0">
            <w:pPr>
              <w:ind w:left="29"/>
              <w:rPr>
                <w:sz w:val="22"/>
                <w:szCs w:val="22"/>
              </w:rPr>
            </w:pPr>
            <w:r w:rsidRPr="00F455F3">
              <w:rPr>
                <w:sz w:val="22"/>
                <w:szCs w:val="22"/>
              </w:rPr>
              <w:t>Interaktionsmekanismen er CYP3A4- og UGT1A1-hæmning. Atazanavir-koncentrationen (når det gives med ritonavir) påvirkes ikke signifikant.</w:t>
            </w:r>
          </w:p>
        </w:tc>
        <w:tc>
          <w:tcPr>
            <w:tcW w:w="1701"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Samtidig administration af atazanavir med ritonavir kræver overvågning for sedation og kognitiv påvirkning. Reduktion af buprenorphindosis kan overvejes.</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Methadon, stabil</w:t>
            </w:r>
            <w:r>
              <w:rPr>
                <w:b/>
                <w:sz w:val="22"/>
                <w:szCs w:val="22"/>
              </w:rPr>
              <w:t xml:space="preserve"> </w:t>
            </w:r>
            <w:r w:rsidRPr="00F455F3">
              <w:rPr>
                <w:b/>
                <w:sz w:val="22"/>
                <w:szCs w:val="22"/>
              </w:rPr>
              <w:t>vedligeholdelsesdosis</w:t>
            </w:r>
          </w:p>
          <w:p w:rsidR="002A0DA0" w:rsidRPr="00F455F3" w:rsidRDefault="002A0DA0" w:rsidP="002A0DA0">
            <w:pPr>
              <w:ind w:left="29"/>
              <w:rPr>
                <w:b/>
                <w:sz w:val="22"/>
                <w:szCs w:val="22"/>
              </w:rPr>
            </w:pPr>
            <w:r w:rsidRPr="00F455F3">
              <w:rPr>
                <w:sz w:val="22"/>
                <w:szCs w:val="22"/>
              </w:rPr>
              <w:t>(atazanavir 400 mg 1 gang</w:t>
            </w:r>
            <w:r>
              <w:rPr>
                <w:sz w:val="22"/>
                <w:szCs w:val="22"/>
              </w:rPr>
              <w:t xml:space="preserve"> </w:t>
            </w:r>
            <w:r w:rsidRPr="00F455F3">
              <w:rPr>
                <w:sz w:val="22"/>
                <w:szCs w:val="22"/>
              </w:rPr>
              <w:t>dagligt)</w:t>
            </w: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 xml:space="preserve">Der er ikke set signifikant påvirkning af methadon-koncentrationen. Lav ritonavirdosis (100 mg 2 gange dagligt) er vist ikke at have signifikant effekt på methadon-koncentrationen, og på baggrund af disse data forventes ingen interaktion ved samtidig </w:t>
            </w:r>
            <w:r w:rsidRPr="00F455F3">
              <w:rPr>
                <w:sz w:val="22"/>
                <w:szCs w:val="22"/>
              </w:rPr>
              <w:lastRenderedPageBreak/>
              <w:t>administration af methadon og atazanavir.</w:t>
            </w:r>
          </w:p>
        </w:tc>
        <w:tc>
          <w:tcPr>
            <w:tcW w:w="1701"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lastRenderedPageBreak/>
              <w:t>Dosisjustering er ikke nødvendig ved samtidig administration af methadon og atazanavir.</w:t>
            </w: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b/>
                <w:sz w:val="22"/>
                <w:szCs w:val="22"/>
              </w:rPr>
              <w:t>PULMONAL ARTERIEL HYPERTENSION</w:t>
            </w: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i/>
                <w:sz w:val="22"/>
                <w:szCs w:val="22"/>
              </w:rPr>
            </w:pPr>
            <w:r w:rsidRPr="00F455F3">
              <w:rPr>
                <w:i/>
                <w:sz w:val="22"/>
                <w:szCs w:val="22"/>
              </w:rPr>
              <w:t>PDE5-hæmmere</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Sildenafil</w:t>
            </w:r>
          </w:p>
        </w:tc>
        <w:tc>
          <w:tcPr>
            <w:tcW w:w="1733" w:type="pct"/>
            <w:tcBorders>
              <w:top w:val="single" w:sz="4" w:space="0" w:color="auto"/>
              <w:left w:val="single" w:sz="4" w:space="0" w:color="auto"/>
              <w:bottom w:val="single" w:sz="4" w:space="0" w:color="auto"/>
              <w:right w:val="single" w:sz="4" w:space="0" w:color="auto"/>
            </w:tcBorders>
          </w:tcPr>
          <w:p w:rsidR="002A0DA0" w:rsidRPr="00F455F3" w:rsidRDefault="002A0DA0" w:rsidP="002A0DA0">
            <w:pPr>
              <w:ind w:left="29"/>
              <w:rPr>
                <w:sz w:val="22"/>
                <w:szCs w:val="22"/>
              </w:rPr>
            </w:pPr>
            <w:r w:rsidRPr="00F455F3">
              <w:rPr>
                <w:sz w:val="22"/>
                <w:szCs w:val="22"/>
              </w:rPr>
              <w:t>Administration sammen med atazanavir kan medføre øget koncentration af PDE5-hæmmeren og øget risiko for PDE5-hæmmerrelaterede bivirkninger.</w:t>
            </w:r>
          </w:p>
          <w:p w:rsidR="002A0DA0" w:rsidRPr="00F455F3" w:rsidRDefault="002A0DA0" w:rsidP="002A0DA0">
            <w:pPr>
              <w:ind w:left="29"/>
              <w:rPr>
                <w:sz w:val="22"/>
                <w:szCs w:val="22"/>
              </w:rPr>
            </w:pPr>
          </w:p>
          <w:p w:rsidR="002A0DA0" w:rsidRPr="00F455F3" w:rsidRDefault="002A0DA0" w:rsidP="002A0DA0">
            <w:pPr>
              <w:ind w:left="29"/>
              <w:rPr>
                <w:sz w:val="22"/>
                <w:szCs w:val="22"/>
              </w:rPr>
            </w:pPr>
            <w:r w:rsidRPr="00F455F3">
              <w:rPr>
                <w:sz w:val="22"/>
                <w:szCs w:val="22"/>
              </w:rPr>
              <w:t>Interaktionsmekanismen er atazanavir og/eller ritonavir-hæmning af CYP3A4.</w:t>
            </w:r>
          </w:p>
        </w:tc>
        <w:tc>
          <w:tcPr>
            <w:tcW w:w="1701"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Der er ikke fastlagt en sikker og effektiv dosis for sildenafil i</w:t>
            </w:r>
            <w:r>
              <w:rPr>
                <w:sz w:val="22"/>
                <w:szCs w:val="22"/>
              </w:rPr>
              <w:t xml:space="preserve"> </w:t>
            </w:r>
            <w:r w:rsidRPr="00F455F3">
              <w:rPr>
                <w:sz w:val="22"/>
                <w:szCs w:val="22"/>
              </w:rPr>
              <w:t>kombination med atazanavir til</w:t>
            </w:r>
            <w:r>
              <w:rPr>
                <w:sz w:val="22"/>
                <w:szCs w:val="22"/>
              </w:rPr>
              <w:t xml:space="preserve"> </w:t>
            </w:r>
            <w:r w:rsidRPr="00F455F3">
              <w:rPr>
                <w:sz w:val="22"/>
                <w:szCs w:val="22"/>
              </w:rPr>
              <w:t>behandling af pulmonal arteriel hypertension. Sildenafil er kontraindiceret ved behandling af pulmonal arteriel hypertension (se pkt. 4.3).</w:t>
            </w: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b/>
                <w:sz w:val="22"/>
                <w:szCs w:val="22"/>
              </w:rPr>
              <w:t>SEDATIVA</w:t>
            </w:r>
          </w:p>
        </w:tc>
      </w:tr>
      <w:tr w:rsidR="002A0DA0"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i/>
                <w:sz w:val="22"/>
                <w:szCs w:val="22"/>
              </w:rPr>
            </w:pPr>
            <w:r w:rsidRPr="00F455F3">
              <w:rPr>
                <w:i/>
                <w:sz w:val="22"/>
                <w:szCs w:val="22"/>
              </w:rPr>
              <w:t>Benzodiazepiner</w:t>
            </w:r>
          </w:p>
        </w:tc>
      </w:tr>
      <w:tr w:rsidR="002A0DA0" w:rsidTr="002A0DA0">
        <w:tc>
          <w:tcPr>
            <w:tcW w:w="1566"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b/>
                <w:sz w:val="22"/>
                <w:szCs w:val="22"/>
              </w:rPr>
            </w:pPr>
            <w:r w:rsidRPr="00F455F3">
              <w:rPr>
                <w:b/>
                <w:sz w:val="22"/>
                <w:szCs w:val="22"/>
              </w:rPr>
              <w:t>Midazolam</w:t>
            </w:r>
          </w:p>
          <w:p w:rsidR="002A0DA0" w:rsidRPr="00F455F3" w:rsidRDefault="002A0DA0" w:rsidP="002A0DA0">
            <w:pPr>
              <w:ind w:left="29"/>
              <w:rPr>
                <w:b/>
                <w:sz w:val="22"/>
                <w:szCs w:val="22"/>
              </w:rPr>
            </w:pPr>
            <w:r w:rsidRPr="00F455F3">
              <w:rPr>
                <w:b/>
                <w:sz w:val="22"/>
                <w:szCs w:val="22"/>
              </w:rPr>
              <w:t>Triazolam</w:t>
            </w:r>
          </w:p>
        </w:tc>
        <w:tc>
          <w:tcPr>
            <w:tcW w:w="1733"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Midazolam og triazolam metaboliseres i udstrakt grad af CYP3A4. Administration sammen med atazanavir kan medføre en stor stigning i koncentrationen af disse benzodiazepiner. Der er ikke gennemført interaktionsstudier af samtidig administration af atazanavir og benzodiazepiner. På baggrund af data for andre CYP3A4-hæmmere forventes plasma-koncentrationen af midazolam at være betydeligt højere, hvis midazolam administreres oralt. Data vedrørende samtidig brug af parenteral midazolam og andre proteasehæmmere tyder på en mulig 3-4 gange stigning i midazolamplasmaniveauet.</w:t>
            </w:r>
          </w:p>
        </w:tc>
        <w:tc>
          <w:tcPr>
            <w:tcW w:w="1701" w:type="pct"/>
            <w:tcBorders>
              <w:top w:val="single" w:sz="4" w:space="0" w:color="auto"/>
              <w:left w:val="single" w:sz="4" w:space="0" w:color="auto"/>
              <w:bottom w:val="single" w:sz="4" w:space="0" w:color="auto"/>
              <w:right w:val="single" w:sz="4" w:space="0" w:color="auto"/>
            </w:tcBorders>
            <w:hideMark/>
          </w:tcPr>
          <w:p w:rsidR="002A0DA0" w:rsidRPr="00F455F3" w:rsidRDefault="002A0DA0" w:rsidP="002A0DA0">
            <w:pPr>
              <w:ind w:left="29"/>
              <w:rPr>
                <w:sz w:val="22"/>
                <w:szCs w:val="22"/>
              </w:rPr>
            </w:pPr>
            <w:r w:rsidRPr="00F455F3">
              <w:rPr>
                <w:sz w:val="22"/>
                <w:szCs w:val="22"/>
              </w:rPr>
              <w:t>Samtidig administration af atazanavir og triazolam eller oralt administreret midazolam er kontraindiceret (se pkt. 4.3), og der bør udvises forsigtighed ved samtidig administration af</w:t>
            </w:r>
            <w:r>
              <w:rPr>
                <w:sz w:val="22"/>
                <w:szCs w:val="22"/>
              </w:rPr>
              <w:t xml:space="preserve"> </w:t>
            </w:r>
            <w:r w:rsidRPr="00F455F3">
              <w:rPr>
                <w:sz w:val="22"/>
                <w:szCs w:val="22"/>
              </w:rPr>
              <w:t>atazanavir og parenteral midazolam. Hvis atazanavir administreres sammen med parenteral midazolam, bør dette foregå på en intensivafdeling eller tilsvarende afdeling, som sikrer tæt klinisk monitorering og relevant behandling i tilfælde af respirations</w:t>
            </w:r>
            <w:r>
              <w:rPr>
                <w:sz w:val="22"/>
                <w:szCs w:val="22"/>
              </w:rPr>
              <w:softHyphen/>
            </w:r>
            <w:r w:rsidRPr="00F455F3">
              <w:rPr>
                <w:sz w:val="22"/>
                <w:szCs w:val="22"/>
              </w:rPr>
              <w:t>depression og/eller forlænget sedering. Justering af midazolamdosis bør overvejes, specielt hvis der administreres mere end én dosis midazolam.</w:t>
            </w:r>
          </w:p>
        </w:tc>
      </w:tr>
    </w:tbl>
    <w:p w:rsidR="002A0DA0" w:rsidRDefault="002A0DA0" w:rsidP="002A0DA0">
      <w:pPr>
        <w:rPr>
          <w:b/>
        </w:rPr>
      </w:pPr>
    </w:p>
    <w:p w:rsidR="002A0DA0" w:rsidRDefault="002A0DA0" w:rsidP="002A0DA0">
      <w:pPr>
        <w:rPr>
          <w:sz w:val="22"/>
          <w:szCs w:val="22"/>
        </w:rPr>
      </w:pPr>
    </w:p>
    <w:p w:rsidR="002A0DA0" w:rsidRPr="00E005C5" w:rsidRDefault="002A0DA0" w:rsidP="002A0DA0">
      <w:pPr>
        <w:ind w:left="851"/>
        <w:rPr>
          <w:i/>
          <w:sz w:val="24"/>
          <w:szCs w:val="24"/>
        </w:rPr>
      </w:pPr>
      <w:r w:rsidRPr="00E005C5">
        <w:rPr>
          <w:i/>
          <w:sz w:val="24"/>
          <w:szCs w:val="24"/>
        </w:rPr>
        <w:t xml:space="preserve">I tilfælde af seponering af ritonavir fra anbefalet atazanavir-boostet regime (se pkt. 4.4) </w:t>
      </w:r>
    </w:p>
    <w:p w:rsidR="002A0DA0" w:rsidRPr="00E005C5" w:rsidRDefault="002A0DA0" w:rsidP="002A0DA0">
      <w:pPr>
        <w:ind w:left="851"/>
        <w:rPr>
          <w:sz w:val="24"/>
          <w:szCs w:val="24"/>
        </w:rPr>
      </w:pPr>
      <w:r w:rsidRPr="00E005C5">
        <w:rPr>
          <w:sz w:val="24"/>
          <w:szCs w:val="24"/>
        </w:rPr>
        <w:t>De samme anbefalinger for lægemiddelinteraktioner gælder med undtagelse af:</w:t>
      </w:r>
    </w:p>
    <w:p w:rsidR="002A0DA0" w:rsidRPr="00E005C5" w:rsidRDefault="002A0DA0" w:rsidP="002A0DA0">
      <w:pPr>
        <w:pStyle w:val="Listeafsnit"/>
        <w:numPr>
          <w:ilvl w:val="0"/>
          <w:numId w:val="12"/>
        </w:numPr>
        <w:ind w:left="1276" w:hanging="426"/>
        <w:rPr>
          <w:sz w:val="24"/>
          <w:szCs w:val="24"/>
        </w:rPr>
      </w:pPr>
      <w:r w:rsidRPr="00E005C5">
        <w:rPr>
          <w:sz w:val="24"/>
          <w:szCs w:val="24"/>
        </w:rPr>
        <w:t>at administration sammen med tenofovir, carbamazepin, phenytoin, phenobarbital, protonpumpehæmmere og buprenorphin frarådes.</w:t>
      </w:r>
    </w:p>
    <w:p w:rsidR="002A0DA0" w:rsidRPr="00E005C5" w:rsidRDefault="002A0DA0" w:rsidP="002A0DA0">
      <w:pPr>
        <w:pStyle w:val="Listeafsnit"/>
        <w:numPr>
          <w:ilvl w:val="0"/>
          <w:numId w:val="12"/>
        </w:numPr>
        <w:ind w:left="1276" w:hanging="426"/>
        <w:rPr>
          <w:sz w:val="24"/>
          <w:szCs w:val="24"/>
        </w:rPr>
      </w:pPr>
      <w:r w:rsidRPr="00E005C5">
        <w:rPr>
          <w:sz w:val="24"/>
          <w:szCs w:val="24"/>
        </w:rPr>
        <w:t>at administration sammen med famotidin frarådes, men om nødvendigt kan atazanavir uden ritonavir administreres enten 2 timer efter famotidin eller 12 timer før. Enkeltdosis af famotidin bør aldrig overstige 20 mg, og den totale daglige dosis af famotidin bør ikke overstige 40 mg.</w:t>
      </w:r>
    </w:p>
    <w:p w:rsidR="002A0DA0" w:rsidRDefault="002A0DA0" w:rsidP="002A0DA0">
      <w:pPr>
        <w:pStyle w:val="Listeafsnit"/>
        <w:numPr>
          <w:ilvl w:val="0"/>
          <w:numId w:val="12"/>
        </w:numPr>
        <w:ind w:left="1276" w:hanging="426"/>
        <w:rPr>
          <w:sz w:val="24"/>
          <w:szCs w:val="24"/>
        </w:rPr>
      </w:pPr>
      <w:r w:rsidRPr="00E005C5">
        <w:rPr>
          <w:sz w:val="24"/>
          <w:szCs w:val="24"/>
        </w:rPr>
        <w:t>at det er nødvendigt at tage højde for, at</w:t>
      </w:r>
    </w:p>
    <w:p w:rsidR="002A0DA0" w:rsidRPr="00E005C5" w:rsidRDefault="002A0DA0" w:rsidP="002A0DA0">
      <w:pPr>
        <w:pStyle w:val="Listeafsnit"/>
        <w:numPr>
          <w:ilvl w:val="0"/>
          <w:numId w:val="12"/>
        </w:numPr>
        <w:ind w:left="1701" w:hanging="426"/>
        <w:rPr>
          <w:sz w:val="24"/>
          <w:szCs w:val="24"/>
        </w:rPr>
      </w:pPr>
      <w:r w:rsidRPr="00BD6476">
        <w:rPr>
          <w:sz w:val="24"/>
          <w:szCs w:val="24"/>
        </w:rPr>
        <w:t xml:space="preserve">samtidig administration af apixaban, dabigatran eller rivaroxaban og </w:t>
      </w:r>
      <w:r>
        <w:rPr>
          <w:sz w:val="24"/>
          <w:szCs w:val="24"/>
        </w:rPr>
        <w:t>atazanavir</w:t>
      </w:r>
      <w:r w:rsidRPr="00BD6476">
        <w:rPr>
          <w:sz w:val="24"/>
          <w:szCs w:val="24"/>
        </w:rPr>
        <w:t xml:space="preserve"> uden ritonavir kan påvirke koncentrationen af apixaban, dabigatran eller rivaroxaban</w:t>
      </w:r>
    </w:p>
    <w:p w:rsidR="002A0DA0" w:rsidRPr="00E005C5" w:rsidRDefault="002A0DA0" w:rsidP="002A0DA0">
      <w:pPr>
        <w:pStyle w:val="Listeafsnit"/>
        <w:numPr>
          <w:ilvl w:val="1"/>
          <w:numId w:val="12"/>
        </w:numPr>
        <w:ind w:left="1701" w:hanging="425"/>
        <w:rPr>
          <w:sz w:val="24"/>
          <w:szCs w:val="24"/>
        </w:rPr>
      </w:pPr>
      <w:r w:rsidRPr="00E005C5">
        <w:rPr>
          <w:sz w:val="24"/>
          <w:szCs w:val="24"/>
        </w:rPr>
        <w:t>samtidig administration af voriconazol og atazanavir uden ritonavir kan påvirke koncentrationen af atazanavir</w:t>
      </w:r>
    </w:p>
    <w:p w:rsidR="002A0DA0" w:rsidRPr="00E005C5" w:rsidRDefault="002A0DA0" w:rsidP="002A0DA0">
      <w:pPr>
        <w:pStyle w:val="Listeafsnit"/>
        <w:numPr>
          <w:ilvl w:val="1"/>
          <w:numId w:val="12"/>
        </w:numPr>
        <w:ind w:left="1701" w:hanging="425"/>
        <w:rPr>
          <w:sz w:val="24"/>
          <w:szCs w:val="24"/>
        </w:rPr>
      </w:pPr>
      <w:r w:rsidRPr="00E005C5">
        <w:rPr>
          <w:sz w:val="24"/>
          <w:szCs w:val="24"/>
        </w:rPr>
        <w:t>samtidig administration af fluticason og atazanavir uden ritonavir kan øge koncentrationen af fluticason i forhold til administration af fluticason alene</w:t>
      </w:r>
    </w:p>
    <w:p w:rsidR="002A0DA0" w:rsidRPr="00E005C5" w:rsidRDefault="002A0DA0" w:rsidP="002A0DA0">
      <w:pPr>
        <w:pStyle w:val="Listeafsnit"/>
        <w:numPr>
          <w:ilvl w:val="1"/>
          <w:numId w:val="12"/>
        </w:numPr>
        <w:ind w:left="1701" w:hanging="425"/>
        <w:rPr>
          <w:sz w:val="24"/>
          <w:szCs w:val="24"/>
        </w:rPr>
      </w:pPr>
      <w:r w:rsidRPr="00E005C5">
        <w:rPr>
          <w:sz w:val="24"/>
          <w:szCs w:val="24"/>
        </w:rPr>
        <w:lastRenderedPageBreak/>
        <w:t>ved samtidig administration af et oralt kontraceptivum og atazanavir uden ritonavir, anbefales det, at det orale kontraceptivum indeholder højst 30 μg ethinylestradiol</w:t>
      </w:r>
    </w:p>
    <w:p w:rsidR="002A0DA0" w:rsidRPr="00E005C5" w:rsidRDefault="002A0DA0" w:rsidP="002A0DA0">
      <w:pPr>
        <w:pStyle w:val="Listeafsnit"/>
        <w:numPr>
          <w:ilvl w:val="1"/>
          <w:numId w:val="12"/>
        </w:numPr>
        <w:ind w:left="1701" w:hanging="425"/>
        <w:rPr>
          <w:sz w:val="24"/>
          <w:szCs w:val="24"/>
        </w:rPr>
      </w:pPr>
      <w:r w:rsidRPr="00E005C5">
        <w:rPr>
          <w:sz w:val="24"/>
          <w:szCs w:val="24"/>
        </w:rPr>
        <w:t>dosisjustering af lamotrigin ikke er nødvendig</w:t>
      </w:r>
    </w:p>
    <w:p w:rsidR="002A0DA0" w:rsidRPr="00E005C5" w:rsidRDefault="002A0DA0" w:rsidP="002A0DA0">
      <w:pPr>
        <w:rPr>
          <w:sz w:val="24"/>
          <w:szCs w:val="24"/>
        </w:rPr>
      </w:pPr>
    </w:p>
    <w:p w:rsidR="002A0DA0" w:rsidRPr="00E005C5" w:rsidRDefault="002A0DA0" w:rsidP="002A0DA0">
      <w:pPr>
        <w:ind w:left="851"/>
        <w:rPr>
          <w:i/>
          <w:sz w:val="24"/>
          <w:szCs w:val="24"/>
        </w:rPr>
      </w:pPr>
      <w:r w:rsidRPr="00E005C5">
        <w:rPr>
          <w:i/>
          <w:sz w:val="24"/>
          <w:szCs w:val="24"/>
        </w:rPr>
        <w:t>Pædiatrisk population</w:t>
      </w:r>
    </w:p>
    <w:p w:rsidR="002A0DA0" w:rsidRDefault="002A0DA0" w:rsidP="002A0DA0">
      <w:pPr>
        <w:ind w:left="851"/>
        <w:rPr>
          <w:sz w:val="24"/>
          <w:szCs w:val="24"/>
        </w:rPr>
      </w:pPr>
      <w:r w:rsidRPr="00E005C5">
        <w:rPr>
          <w:sz w:val="24"/>
          <w:szCs w:val="24"/>
        </w:rPr>
        <w:t>Interaktionsstudier er kun udført hos voksne.</w:t>
      </w:r>
    </w:p>
    <w:p w:rsidR="000B51CD" w:rsidRPr="00E005C5" w:rsidRDefault="000B51CD" w:rsidP="00A61314">
      <w:pPr>
        <w:tabs>
          <w:tab w:val="left" w:pos="851"/>
        </w:tabs>
        <w:ind w:left="851"/>
        <w:rPr>
          <w:sz w:val="24"/>
          <w:szCs w:val="24"/>
        </w:rPr>
      </w:pPr>
    </w:p>
    <w:p w:rsidR="00A61314" w:rsidRPr="001337F3" w:rsidRDefault="00A61314" w:rsidP="00A61314">
      <w:pPr>
        <w:tabs>
          <w:tab w:val="left" w:pos="851"/>
        </w:tabs>
        <w:ind w:left="851" w:hanging="851"/>
        <w:rPr>
          <w:b/>
          <w:sz w:val="24"/>
          <w:szCs w:val="24"/>
        </w:rPr>
      </w:pPr>
      <w:r w:rsidRPr="00C84483">
        <w:rPr>
          <w:b/>
          <w:sz w:val="24"/>
          <w:szCs w:val="24"/>
        </w:rPr>
        <w:t>4.6</w:t>
      </w:r>
      <w:r w:rsidRPr="00C84483">
        <w:rPr>
          <w:b/>
          <w:sz w:val="24"/>
          <w:szCs w:val="24"/>
        </w:rPr>
        <w:tab/>
      </w:r>
      <w:r w:rsidR="00B1422A">
        <w:rPr>
          <w:b/>
          <w:sz w:val="24"/>
          <w:szCs w:val="24"/>
        </w:rPr>
        <w:t>Fertilitet, g</w:t>
      </w:r>
      <w:r w:rsidRPr="00C84483">
        <w:rPr>
          <w:b/>
          <w:sz w:val="24"/>
          <w:szCs w:val="24"/>
        </w:rPr>
        <w:t>raviditet og amning</w:t>
      </w:r>
    </w:p>
    <w:p w:rsidR="00A61314" w:rsidRPr="00E005C5" w:rsidRDefault="00A61314" w:rsidP="00A61314">
      <w:pPr>
        <w:ind w:left="851"/>
        <w:rPr>
          <w:sz w:val="24"/>
          <w:szCs w:val="24"/>
          <w:u w:val="single"/>
        </w:rPr>
      </w:pPr>
      <w:r w:rsidRPr="00E005C5">
        <w:rPr>
          <w:sz w:val="24"/>
          <w:szCs w:val="24"/>
          <w:u w:val="single"/>
        </w:rPr>
        <w:t>Graviditet</w:t>
      </w:r>
    </w:p>
    <w:p w:rsidR="00A61314" w:rsidRPr="00E005C5" w:rsidRDefault="00A61314" w:rsidP="00A61314">
      <w:pPr>
        <w:ind w:left="851"/>
        <w:rPr>
          <w:sz w:val="24"/>
          <w:szCs w:val="24"/>
        </w:rPr>
      </w:pPr>
      <w:r w:rsidRPr="00E005C5">
        <w:rPr>
          <w:sz w:val="24"/>
          <w:szCs w:val="24"/>
        </w:rPr>
        <w:t xml:space="preserve">Data fra anvendelse af atazanavir hos et begrænset antal gravide kvinder (mellem 300-1000) indikerer ingen misdannelser. Dyrestudier indikerer ikke reproduktionstoksicitet (se pkt. 5.3). Brug af </w:t>
      </w:r>
      <w:r>
        <w:rPr>
          <w:sz w:val="24"/>
          <w:szCs w:val="24"/>
        </w:rPr>
        <w:t>Atazanavir "Stada"</w:t>
      </w:r>
      <w:r w:rsidRPr="00E005C5">
        <w:rPr>
          <w:sz w:val="24"/>
          <w:szCs w:val="24"/>
        </w:rPr>
        <w:t xml:space="preserve"> med ritonavir kan overvejes under graviditet, hvis den potentielle fordel opvejer den potentielle risiko.</w:t>
      </w:r>
    </w:p>
    <w:p w:rsidR="00A61314" w:rsidRPr="00E005C5" w:rsidRDefault="00A61314" w:rsidP="00A61314">
      <w:pPr>
        <w:ind w:left="851"/>
        <w:rPr>
          <w:sz w:val="24"/>
          <w:szCs w:val="24"/>
        </w:rPr>
      </w:pPr>
    </w:p>
    <w:p w:rsidR="00A61314" w:rsidRPr="00E005C5" w:rsidRDefault="00A61314" w:rsidP="00A61314">
      <w:pPr>
        <w:ind w:left="851"/>
        <w:rPr>
          <w:sz w:val="24"/>
          <w:szCs w:val="24"/>
        </w:rPr>
      </w:pPr>
      <w:r w:rsidRPr="00E005C5">
        <w:rPr>
          <w:sz w:val="24"/>
          <w:szCs w:val="24"/>
        </w:rPr>
        <w:t>I det kliniske studie AI424-182 blev atazanavir/ritonavir (300/100 mg eller 400/100 mg) administreret samtidig med zidovudin/lamivudin til 41 gravide kvinder i andet og tredje trimester. Seks ud af 20 (30%) kvinder, der fik atazanavir/ritonavir 300/100 mg og 13 ud af 21 (62%) kvinder, der fik atazanavir/ritonavir 400/100 mg oplevede grad 3 til 4 hyperbilirubinæmi. Der blev ikke observeret laktacidose i studie AI424-182.</w:t>
      </w:r>
    </w:p>
    <w:p w:rsidR="00A61314" w:rsidRPr="00E005C5" w:rsidRDefault="00A61314" w:rsidP="00A61314">
      <w:pPr>
        <w:ind w:left="851"/>
        <w:rPr>
          <w:sz w:val="24"/>
          <w:szCs w:val="24"/>
        </w:rPr>
      </w:pPr>
      <w:r w:rsidRPr="00E005C5">
        <w:rPr>
          <w:sz w:val="24"/>
          <w:szCs w:val="24"/>
        </w:rPr>
        <w:t>I studiet indgik 40 spædbørn, som fik profylaktisk antiretroviral behandling (som ikke omfattede atazanavir), og som var negative for HIV-1-dna på fødselstidspunktet og/eller i de første 6 måneder efter fødslen. Tre ud af 20 spædbørn (15%) født af kvinder i behandling med atazanavir/ritonavir 300/100 mg og 4 ud af 20 spædbørn (20%) født af kvinder i behandling med atazanavir/ritonavir 400/100 mg oplevede grad 3-4 bilirubin. Der var ikke tegn på patologisk gulsot, og 6 ud af 40 spædbørn i dette studie fik lysbehandling i maksimalt 4 dage. Der blev ikke rapporteret kernicterus hos de nyfødte.</w:t>
      </w:r>
    </w:p>
    <w:p w:rsidR="00A61314" w:rsidRPr="00E005C5" w:rsidRDefault="00A61314" w:rsidP="00A61314">
      <w:pPr>
        <w:ind w:left="851"/>
        <w:rPr>
          <w:sz w:val="24"/>
          <w:szCs w:val="24"/>
        </w:rPr>
      </w:pPr>
    </w:p>
    <w:p w:rsidR="00A61314" w:rsidRPr="00E005C5" w:rsidRDefault="00A61314" w:rsidP="00A61314">
      <w:pPr>
        <w:ind w:left="851"/>
        <w:rPr>
          <w:sz w:val="24"/>
          <w:szCs w:val="24"/>
        </w:rPr>
      </w:pPr>
      <w:r w:rsidRPr="00E005C5">
        <w:rPr>
          <w:sz w:val="24"/>
          <w:szCs w:val="24"/>
        </w:rPr>
        <w:t>For dosisanbefalinger, se pkt. 4.2 og for farmakokinetiske data, se pkt. 5.2.</w:t>
      </w:r>
    </w:p>
    <w:p w:rsidR="00A61314" w:rsidRPr="00E005C5" w:rsidRDefault="00A61314" w:rsidP="00A61314">
      <w:pPr>
        <w:ind w:left="851"/>
        <w:rPr>
          <w:sz w:val="24"/>
          <w:szCs w:val="24"/>
        </w:rPr>
      </w:pPr>
    </w:p>
    <w:p w:rsidR="00A61314" w:rsidRPr="00E005C5" w:rsidRDefault="00A61314" w:rsidP="00A61314">
      <w:pPr>
        <w:ind w:left="851"/>
        <w:rPr>
          <w:sz w:val="24"/>
          <w:szCs w:val="24"/>
        </w:rPr>
      </w:pPr>
      <w:r w:rsidRPr="00E005C5">
        <w:rPr>
          <w:sz w:val="24"/>
          <w:szCs w:val="24"/>
        </w:rPr>
        <w:t>Det vides ikke, om atazanavir med ritonavir administreret til moderen under graviditet, vil forstærke fysiologisk hyperbilirubinæmi og medføre kernicterus hos nyfødte og spædbørn. I præpartumperioden bør yderligere monitorering overvejes.</w:t>
      </w:r>
    </w:p>
    <w:p w:rsidR="00A61314" w:rsidRPr="00E005C5" w:rsidRDefault="00A61314" w:rsidP="00A61314">
      <w:pPr>
        <w:ind w:left="851"/>
        <w:rPr>
          <w:sz w:val="24"/>
          <w:szCs w:val="24"/>
        </w:rPr>
      </w:pPr>
    </w:p>
    <w:p w:rsidR="002A0DA0" w:rsidRPr="00E005C5" w:rsidRDefault="002A0DA0" w:rsidP="002A0DA0">
      <w:pPr>
        <w:ind w:left="851"/>
        <w:rPr>
          <w:sz w:val="24"/>
          <w:szCs w:val="24"/>
          <w:u w:val="single"/>
        </w:rPr>
      </w:pPr>
      <w:r w:rsidRPr="00E005C5">
        <w:rPr>
          <w:sz w:val="24"/>
          <w:szCs w:val="24"/>
          <w:u w:val="single"/>
        </w:rPr>
        <w:t>Amning</w:t>
      </w:r>
    </w:p>
    <w:p w:rsidR="002A0DA0" w:rsidRPr="00E005C5" w:rsidRDefault="002A0DA0" w:rsidP="002A0DA0">
      <w:pPr>
        <w:ind w:left="851"/>
        <w:rPr>
          <w:sz w:val="24"/>
          <w:szCs w:val="24"/>
        </w:rPr>
      </w:pPr>
      <w:r w:rsidRPr="00E005C5">
        <w:rPr>
          <w:sz w:val="24"/>
          <w:szCs w:val="24"/>
        </w:rPr>
        <w:t xml:space="preserve">Atazanavir er påvist i human mælk. For at undgå overførsel af HIV anbefales det, at HIV-inficerede </w:t>
      </w:r>
      <w:r>
        <w:rPr>
          <w:sz w:val="24"/>
          <w:szCs w:val="24"/>
        </w:rPr>
        <w:t xml:space="preserve">kvinder </w:t>
      </w:r>
      <w:r w:rsidRPr="00E005C5">
        <w:rPr>
          <w:sz w:val="24"/>
          <w:szCs w:val="24"/>
        </w:rPr>
        <w:t>ikke ammer deres spædbørn.</w:t>
      </w:r>
    </w:p>
    <w:p w:rsidR="002A0DA0" w:rsidRPr="00E005C5" w:rsidRDefault="002A0DA0" w:rsidP="002A0DA0">
      <w:pPr>
        <w:ind w:left="851"/>
        <w:rPr>
          <w:sz w:val="24"/>
          <w:szCs w:val="24"/>
        </w:rPr>
      </w:pPr>
    </w:p>
    <w:p w:rsidR="002A0DA0" w:rsidRPr="00E005C5" w:rsidRDefault="002A0DA0" w:rsidP="002A0DA0">
      <w:pPr>
        <w:ind w:left="851"/>
        <w:rPr>
          <w:sz w:val="24"/>
          <w:szCs w:val="24"/>
          <w:u w:val="single"/>
        </w:rPr>
      </w:pPr>
      <w:r w:rsidRPr="00E005C5">
        <w:rPr>
          <w:sz w:val="24"/>
          <w:szCs w:val="24"/>
          <w:u w:val="single"/>
        </w:rPr>
        <w:t>Fertilitet</w:t>
      </w:r>
    </w:p>
    <w:p w:rsidR="002A0DA0" w:rsidRPr="00E005C5" w:rsidRDefault="002A0DA0" w:rsidP="002A0DA0">
      <w:pPr>
        <w:ind w:left="851"/>
        <w:rPr>
          <w:sz w:val="24"/>
          <w:szCs w:val="24"/>
        </w:rPr>
      </w:pPr>
      <w:r w:rsidRPr="00E005C5">
        <w:rPr>
          <w:sz w:val="24"/>
          <w:szCs w:val="24"/>
        </w:rPr>
        <w:t>I et præklinisk studie af fertiliet og tidlig fosterudvikling hos rotter ændrede atazanavir brunstcyklus uden nogen effekt på parring eller fertilitet (se pkt. 5.3).</w:t>
      </w:r>
    </w:p>
    <w:p w:rsidR="00A61314" w:rsidRPr="00C84483" w:rsidRDefault="00A61314" w:rsidP="00A61314">
      <w:pPr>
        <w:tabs>
          <w:tab w:val="left" w:pos="851"/>
        </w:tabs>
        <w:ind w:left="851"/>
        <w:rPr>
          <w:sz w:val="24"/>
          <w:szCs w:val="24"/>
        </w:rPr>
      </w:pPr>
    </w:p>
    <w:p w:rsidR="00A61314" w:rsidRPr="00C84483" w:rsidRDefault="00A61314" w:rsidP="00A61314">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B1422A">
        <w:rPr>
          <w:b/>
          <w:sz w:val="24"/>
          <w:szCs w:val="24"/>
        </w:rPr>
        <w:t>og</w:t>
      </w:r>
      <w:r w:rsidRPr="00C84483">
        <w:rPr>
          <w:b/>
          <w:sz w:val="24"/>
          <w:szCs w:val="24"/>
        </w:rPr>
        <w:t xml:space="preserve"> betjene maskiner</w:t>
      </w:r>
    </w:p>
    <w:p w:rsidR="00A61314" w:rsidRDefault="00A61314" w:rsidP="00A61314">
      <w:pPr>
        <w:ind w:left="851"/>
        <w:rPr>
          <w:sz w:val="24"/>
          <w:szCs w:val="24"/>
        </w:rPr>
      </w:pPr>
      <w:r>
        <w:rPr>
          <w:sz w:val="24"/>
          <w:szCs w:val="24"/>
        </w:rPr>
        <w:t>Ikke mærkning.</w:t>
      </w:r>
    </w:p>
    <w:p w:rsidR="002A0DA0" w:rsidRPr="00E005C5" w:rsidRDefault="002A0DA0" w:rsidP="002A0DA0">
      <w:pPr>
        <w:ind w:left="851"/>
        <w:rPr>
          <w:sz w:val="24"/>
          <w:szCs w:val="24"/>
        </w:rPr>
      </w:pPr>
      <w:r w:rsidRPr="00E005C5">
        <w:rPr>
          <w:sz w:val="24"/>
          <w:szCs w:val="24"/>
        </w:rPr>
        <w:t>Patienterne bør informeres om, at der er indberettet svimmelhed ved behandling med regimer</w:t>
      </w:r>
      <w:r>
        <w:rPr>
          <w:sz w:val="24"/>
          <w:szCs w:val="24"/>
        </w:rPr>
        <w:t xml:space="preserve"> </w:t>
      </w:r>
      <w:r w:rsidRPr="00E005C5">
        <w:rPr>
          <w:sz w:val="24"/>
          <w:szCs w:val="24"/>
        </w:rPr>
        <w:t xml:space="preserve">indeholdende </w:t>
      </w:r>
      <w:r>
        <w:rPr>
          <w:sz w:val="24"/>
          <w:szCs w:val="24"/>
        </w:rPr>
        <w:t>atazanavir</w:t>
      </w:r>
      <w:r w:rsidRPr="00E005C5">
        <w:rPr>
          <w:sz w:val="24"/>
          <w:szCs w:val="24"/>
        </w:rPr>
        <w:t xml:space="preserve"> (se pkt. 4.8).</w:t>
      </w:r>
    </w:p>
    <w:p w:rsidR="00A61314" w:rsidRPr="00C84483" w:rsidRDefault="00A61314" w:rsidP="00A61314">
      <w:pPr>
        <w:tabs>
          <w:tab w:val="left" w:pos="851"/>
        </w:tabs>
        <w:ind w:left="851"/>
        <w:rPr>
          <w:sz w:val="24"/>
          <w:szCs w:val="24"/>
        </w:rPr>
      </w:pPr>
    </w:p>
    <w:p w:rsidR="00A61314" w:rsidRPr="001337F3" w:rsidRDefault="00A61314" w:rsidP="00A61314">
      <w:pPr>
        <w:keepNext/>
        <w:tabs>
          <w:tab w:val="left" w:pos="851"/>
        </w:tabs>
        <w:ind w:left="851" w:hanging="851"/>
        <w:rPr>
          <w:b/>
          <w:sz w:val="24"/>
          <w:szCs w:val="24"/>
        </w:rPr>
      </w:pPr>
      <w:r w:rsidRPr="00C84483">
        <w:rPr>
          <w:b/>
          <w:sz w:val="24"/>
          <w:szCs w:val="24"/>
        </w:rPr>
        <w:t>4.8</w:t>
      </w:r>
      <w:r w:rsidRPr="00C84483">
        <w:rPr>
          <w:b/>
          <w:sz w:val="24"/>
          <w:szCs w:val="24"/>
        </w:rPr>
        <w:tab/>
        <w:t>Bivirkninger</w:t>
      </w:r>
    </w:p>
    <w:p w:rsidR="00A61314" w:rsidRPr="00E005C5" w:rsidRDefault="00A61314" w:rsidP="00A61314">
      <w:pPr>
        <w:keepNext/>
        <w:ind w:left="851"/>
        <w:rPr>
          <w:sz w:val="24"/>
          <w:szCs w:val="24"/>
          <w:u w:val="single"/>
        </w:rPr>
      </w:pPr>
      <w:r w:rsidRPr="00E005C5">
        <w:rPr>
          <w:sz w:val="24"/>
          <w:szCs w:val="24"/>
          <w:u w:val="single"/>
        </w:rPr>
        <w:t>Oversigt over sikkerhedsprofilen</w:t>
      </w:r>
    </w:p>
    <w:p w:rsidR="00A61314" w:rsidRPr="00E005C5" w:rsidRDefault="00A61314" w:rsidP="00A61314">
      <w:pPr>
        <w:ind w:left="851"/>
        <w:rPr>
          <w:sz w:val="24"/>
          <w:szCs w:val="24"/>
        </w:rPr>
      </w:pPr>
      <w:r w:rsidRPr="00E005C5">
        <w:rPr>
          <w:sz w:val="24"/>
          <w:szCs w:val="24"/>
        </w:rPr>
        <w:t>Atazanavir er i kontrollerede kliniske studier evalueret for sikkerhed i kombinations</w:t>
      </w:r>
      <w:r>
        <w:rPr>
          <w:sz w:val="24"/>
          <w:szCs w:val="24"/>
        </w:rPr>
        <w:softHyphen/>
      </w:r>
      <w:r w:rsidRPr="00E005C5">
        <w:rPr>
          <w:sz w:val="24"/>
          <w:szCs w:val="24"/>
        </w:rPr>
        <w:t xml:space="preserve">behandling med andre antiretrovirale lægemidler hos 1.806 voksne patienter behandlet </w:t>
      </w:r>
      <w:r w:rsidRPr="00E005C5">
        <w:rPr>
          <w:sz w:val="24"/>
          <w:szCs w:val="24"/>
        </w:rPr>
        <w:lastRenderedPageBreak/>
        <w:t>med atazanavir 400 mg, én gang dagligt (1.151 patienter, 52 ugers middelvarighed og 152 ugers maksimal varighed) eller</w:t>
      </w:r>
      <w:r>
        <w:rPr>
          <w:sz w:val="24"/>
          <w:szCs w:val="24"/>
        </w:rPr>
        <w:t xml:space="preserve"> </w:t>
      </w:r>
      <w:r w:rsidRPr="00E005C5">
        <w:rPr>
          <w:sz w:val="24"/>
          <w:szCs w:val="24"/>
        </w:rPr>
        <w:t>atazanavir 300 mg med ritonavir 100 mg én gang dagligt (655 patienter, 96 ugers middelvarighed og</w:t>
      </w:r>
      <w:r>
        <w:rPr>
          <w:sz w:val="24"/>
          <w:szCs w:val="24"/>
        </w:rPr>
        <w:t xml:space="preserve"> </w:t>
      </w:r>
      <w:r w:rsidRPr="00E005C5">
        <w:rPr>
          <w:sz w:val="24"/>
          <w:szCs w:val="24"/>
        </w:rPr>
        <w:t>108 ugers maksimal varighed).</w:t>
      </w:r>
    </w:p>
    <w:p w:rsidR="00A61314" w:rsidRPr="00E005C5" w:rsidRDefault="00A61314" w:rsidP="00A61314">
      <w:pPr>
        <w:ind w:left="851"/>
        <w:rPr>
          <w:sz w:val="24"/>
          <w:szCs w:val="24"/>
        </w:rPr>
      </w:pPr>
    </w:p>
    <w:p w:rsidR="00A61314" w:rsidRPr="00E005C5" w:rsidRDefault="00A61314" w:rsidP="00A61314">
      <w:pPr>
        <w:ind w:left="851"/>
        <w:rPr>
          <w:sz w:val="24"/>
          <w:szCs w:val="24"/>
        </w:rPr>
      </w:pPr>
      <w:r w:rsidRPr="00E005C5">
        <w:rPr>
          <w:sz w:val="24"/>
          <w:szCs w:val="24"/>
        </w:rPr>
        <w:t>Bivirkninger var ensartede mellem patienter, der fik 400 mg atazanavir én gang dagligt, og patienter, der fik 300 mg atazanavir med ritonavir 100 mg én gang dagligt, med undtagelse af, at der hyppigere indberettedes gulsot og forhøjede niveauer af totalbilirubin ved atazanavir plus ritonavir.</w:t>
      </w:r>
    </w:p>
    <w:p w:rsidR="00A61314" w:rsidRPr="00E005C5" w:rsidRDefault="00A61314" w:rsidP="00A61314">
      <w:pPr>
        <w:ind w:left="851"/>
        <w:rPr>
          <w:sz w:val="24"/>
          <w:szCs w:val="24"/>
        </w:rPr>
      </w:pPr>
    </w:p>
    <w:p w:rsidR="00A61314" w:rsidRPr="00E005C5" w:rsidRDefault="00A61314" w:rsidP="00A61314">
      <w:pPr>
        <w:ind w:left="851"/>
        <w:rPr>
          <w:sz w:val="24"/>
          <w:szCs w:val="24"/>
        </w:rPr>
      </w:pPr>
      <w:r w:rsidRPr="00E005C5">
        <w:rPr>
          <w:sz w:val="24"/>
          <w:szCs w:val="24"/>
        </w:rPr>
        <w:t>Blandt patienter, der fik atazanavir 400 mg, én gang dagligt, eller atazanavir 300 mg med 100 mg ritonavir, én gang dagligt, var de eneste meget almindelige bivirkninger, af nogen sværhedsgrad og med mindst en mulig forbindelse til regimer indeholdende atazanavir og én eller flere NRTIer: kvalme (20%), diarré (10%) og gulsot (13%). Blandt patienter, der fik 300 mg atazanavir med 100 mg ritonavir, var frekvensen af gulsot 19%. I de fleste tilfælde blev gulsot rapporteret inden for et par dage til et par måneder efter indledningen af behandlingen (se pkt. 4.4).</w:t>
      </w:r>
    </w:p>
    <w:p w:rsidR="00A61314" w:rsidRPr="00E005C5" w:rsidRDefault="00A61314" w:rsidP="00A61314">
      <w:pPr>
        <w:ind w:left="851"/>
        <w:rPr>
          <w:sz w:val="24"/>
          <w:szCs w:val="24"/>
        </w:rPr>
      </w:pPr>
    </w:p>
    <w:p w:rsidR="00A61314" w:rsidRPr="00E005C5" w:rsidRDefault="00A61314" w:rsidP="00A61314">
      <w:pPr>
        <w:ind w:left="851"/>
        <w:rPr>
          <w:sz w:val="24"/>
          <w:szCs w:val="24"/>
        </w:rPr>
      </w:pPr>
      <w:r w:rsidRPr="00E005C5">
        <w:rPr>
          <w:sz w:val="24"/>
          <w:szCs w:val="24"/>
        </w:rPr>
        <w:t>Kronisk nyresygdom hos HIV-inficerede patienter behandlet med atazanavir, med eller uden ritonavir, er blevet rapporteret under post-marketing-overvågning. Et stort prospektivt observationsstudie har vist en sammenhæng mellem øget forekomst af kronisk nyresygdom og kumulativ eksponering for atazanavir/ritonavir-indeholdende behandlingsregimer hos HIV-patienter med initial normal eGFR. Denne sammenhæng blev observeret uafhængigt af eksponering for tenofovirdisoproxil. Regelmæssig overvågning af patienternes nyrefunktion bør opretholdes igennem hele behandlingsforløbet (se pkt. 4.4).</w:t>
      </w:r>
    </w:p>
    <w:p w:rsidR="00A61314" w:rsidRPr="00E005C5" w:rsidRDefault="00A61314" w:rsidP="00A61314">
      <w:pPr>
        <w:ind w:left="851"/>
        <w:rPr>
          <w:sz w:val="24"/>
          <w:szCs w:val="24"/>
        </w:rPr>
      </w:pPr>
    </w:p>
    <w:p w:rsidR="002A0DA0" w:rsidRPr="00E005C5" w:rsidRDefault="002A0DA0" w:rsidP="002A0DA0">
      <w:pPr>
        <w:ind w:left="851"/>
        <w:rPr>
          <w:sz w:val="24"/>
          <w:szCs w:val="24"/>
          <w:u w:val="single"/>
        </w:rPr>
      </w:pPr>
      <w:r w:rsidRPr="00E005C5">
        <w:rPr>
          <w:sz w:val="24"/>
          <w:szCs w:val="24"/>
          <w:u w:val="single"/>
        </w:rPr>
        <w:t>Liste over bivirkninger i tabelform</w:t>
      </w:r>
    </w:p>
    <w:p w:rsidR="002A0DA0" w:rsidRPr="00E005C5" w:rsidRDefault="002A0DA0" w:rsidP="002A0DA0">
      <w:pPr>
        <w:ind w:left="851"/>
        <w:rPr>
          <w:sz w:val="24"/>
          <w:szCs w:val="24"/>
        </w:rPr>
      </w:pPr>
      <w:r w:rsidRPr="00E005C5">
        <w:rPr>
          <w:sz w:val="24"/>
          <w:szCs w:val="24"/>
        </w:rPr>
        <w:t>Evalueringen af atazanavirs bivirkninger er baseret på sikkerhedsdata fra kliniske studier og på erfaring efter markedsføring. Hyppighed af bivirkninger er defineret i henhold til den følgende konvention: Meget almindelig (≥1/10), almindelig (≥1/100 til &lt;1/10), ikke almindelig (≥1/1.000 til &lt;1/100), sjælden (≥1/10.000 til &lt;1/1.000), meget sjælden (&lt;1/10.000). Inden for hver enkelt frekvensgruppe er bivirkningerne opstillet efter, hvor alvorlige de er. De alvorligste bivirkninger er anført først.</w:t>
      </w:r>
    </w:p>
    <w:p w:rsidR="002A0DA0" w:rsidRDefault="002A0DA0" w:rsidP="002A0DA0"/>
    <w:tbl>
      <w:tblPr>
        <w:tblW w:w="0" w:type="auto"/>
        <w:tblLook w:val="04A0" w:firstRow="1" w:lastRow="0" w:firstColumn="1" w:lastColumn="0" w:noHBand="0" w:noVBand="1"/>
      </w:tblPr>
      <w:tblGrid>
        <w:gridCol w:w="4618"/>
        <w:gridCol w:w="4619"/>
      </w:tblGrid>
      <w:tr w:rsidR="002A0DA0" w:rsidTr="002A0DA0">
        <w:tc>
          <w:tcPr>
            <w:tcW w:w="4618" w:type="dxa"/>
            <w:tcBorders>
              <w:top w:val="single" w:sz="4" w:space="0" w:color="auto"/>
              <w:left w:val="single" w:sz="4" w:space="0" w:color="auto"/>
              <w:bottom w:val="single" w:sz="4" w:space="0" w:color="auto"/>
              <w:right w:val="single" w:sz="4" w:space="0" w:color="auto"/>
            </w:tcBorders>
          </w:tcPr>
          <w:p w:rsidR="002A0DA0" w:rsidRPr="00E005C5" w:rsidRDefault="002A0DA0" w:rsidP="002A0DA0">
            <w:pPr>
              <w:ind w:left="29"/>
              <w:rPr>
                <w:i/>
                <w:sz w:val="22"/>
                <w:szCs w:val="22"/>
              </w:rPr>
            </w:pPr>
            <w:r>
              <w:rPr>
                <w:i/>
                <w:sz w:val="22"/>
                <w:szCs w:val="22"/>
              </w:rPr>
              <w:t>System Organ klasse</w:t>
            </w:r>
          </w:p>
        </w:tc>
        <w:tc>
          <w:tcPr>
            <w:tcW w:w="4619" w:type="dxa"/>
            <w:tcBorders>
              <w:top w:val="single" w:sz="4" w:space="0" w:color="auto"/>
              <w:left w:val="single" w:sz="4" w:space="0" w:color="auto"/>
              <w:bottom w:val="single" w:sz="4" w:space="0" w:color="auto"/>
              <w:right w:val="single" w:sz="4" w:space="0" w:color="auto"/>
            </w:tcBorders>
          </w:tcPr>
          <w:p w:rsidR="002A0DA0" w:rsidRDefault="002A0DA0" w:rsidP="002A0DA0">
            <w:pPr>
              <w:ind w:left="29"/>
              <w:rPr>
                <w:sz w:val="22"/>
                <w:szCs w:val="22"/>
              </w:rPr>
            </w:pPr>
          </w:p>
        </w:tc>
      </w:tr>
      <w:tr w:rsidR="002A0DA0" w:rsidTr="002A0DA0">
        <w:tc>
          <w:tcPr>
            <w:tcW w:w="4618" w:type="dxa"/>
            <w:tcBorders>
              <w:top w:val="single" w:sz="4" w:space="0" w:color="auto"/>
              <w:left w:val="single" w:sz="4" w:space="0" w:color="auto"/>
              <w:bottom w:val="single" w:sz="4" w:space="0" w:color="auto"/>
              <w:right w:val="single" w:sz="4" w:space="0" w:color="auto"/>
            </w:tcBorders>
            <w:hideMark/>
          </w:tcPr>
          <w:p w:rsidR="002A0DA0" w:rsidRPr="00E005C5" w:rsidRDefault="002A0DA0" w:rsidP="002A0DA0">
            <w:pPr>
              <w:ind w:left="29"/>
              <w:rPr>
                <w:i/>
                <w:sz w:val="22"/>
                <w:szCs w:val="22"/>
              </w:rPr>
            </w:pPr>
            <w:r w:rsidRPr="00E005C5">
              <w:rPr>
                <w:i/>
                <w:sz w:val="22"/>
                <w:szCs w:val="22"/>
              </w:rPr>
              <w:t>Immunsystemet:</w:t>
            </w:r>
          </w:p>
        </w:tc>
        <w:tc>
          <w:tcPr>
            <w:tcW w:w="4619" w:type="dxa"/>
            <w:tcBorders>
              <w:top w:val="single" w:sz="4" w:space="0" w:color="auto"/>
              <w:left w:val="single" w:sz="4" w:space="0" w:color="auto"/>
              <w:bottom w:val="single" w:sz="4" w:space="0" w:color="auto"/>
              <w:right w:val="single" w:sz="4" w:space="0" w:color="auto"/>
            </w:tcBorders>
            <w:hideMark/>
          </w:tcPr>
          <w:p w:rsidR="002A0DA0" w:rsidRPr="00E005C5" w:rsidRDefault="002A0DA0" w:rsidP="002A0DA0">
            <w:pPr>
              <w:ind w:left="29"/>
              <w:rPr>
                <w:sz w:val="22"/>
                <w:szCs w:val="22"/>
              </w:rPr>
            </w:pPr>
            <w:r>
              <w:rPr>
                <w:sz w:val="22"/>
                <w:szCs w:val="22"/>
              </w:rPr>
              <w:t>I</w:t>
            </w:r>
            <w:r w:rsidRPr="00E005C5">
              <w:rPr>
                <w:sz w:val="22"/>
                <w:szCs w:val="22"/>
              </w:rPr>
              <w:t>kke almindelig: overfølsomhed</w:t>
            </w:r>
          </w:p>
        </w:tc>
      </w:tr>
      <w:tr w:rsidR="002A0DA0" w:rsidTr="002A0DA0">
        <w:tc>
          <w:tcPr>
            <w:tcW w:w="4618" w:type="dxa"/>
            <w:tcBorders>
              <w:top w:val="single" w:sz="4" w:space="0" w:color="auto"/>
              <w:left w:val="single" w:sz="4" w:space="0" w:color="auto"/>
              <w:bottom w:val="single" w:sz="4" w:space="0" w:color="auto"/>
              <w:right w:val="single" w:sz="4" w:space="0" w:color="auto"/>
            </w:tcBorders>
            <w:hideMark/>
          </w:tcPr>
          <w:p w:rsidR="002A0DA0" w:rsidRPr="00E005C5" w:rsidRDefault="002A0DA0" w:rsidP="002A0DA0">
            <w:pPr>
              <w:ind w:left="29"/>
              <w:rPr>
                <w:i/>
                <w:sz w:val="22"/>
                <w:szCs w:val="22"/>
              </w:rPr>
            </w:pPr>
            <w:r w:rsidRPr="00E005C5">
              <w:rPr>
                <w:i/>
                <w:sz w:val="22"/>
                <w:szCs w:val="22"/>
              </w:rPr>
              <w:t>Metabolisme og ernæring:</w:t>
            </w:r>
          </w:p>
        </w:tc>
        <w:tc>
          <w:tcPr>
            <w:tcW w:w="4619" w:type="dxa"/>
            <w:tcBorders>
              <w:top w:val="single" w:sz="4" w:space="0" w:color="auto"/>
              <w:left w:val="single" w:sz="4" w:space="0" w:color="auto"/>
              <w:bottom w:val="single" w:sz="4" w:space="0" w:color="auto"/>
              <w:right w:val="single" w:sz="4" w:space="0" w:color="auto"/>
            </w:tcBorders>
            <w:hideMark/>
          </w:tcPr>
          <w:p w:rsidR="002A0DA0" w:rsidRPr="00E005C5" w:rsidRDefault="002A0DA0" w:rsidP="002A0DA0">
            <w:pPr>
              <w:ind w:left="29"/>
              <w:rPr>
                <w:sz w:val="22"/>
                <w:szCs w:val="22"/>
              </w:rPr>
            </w:pPr>
            <w:r>
              <w:rPr>
                <w:sz w:val="22"/>
                <w:szCs w:val="22"/>
              </w:rPr>
              <w:t>I</w:t>
            </w:r>
            <w:r w:rsidRPr="00E005C5">
              <w:rPr>
                <w:sz w:val="22"/>
                <w:szCs w:val="22"/>
              </w:rPr>
              <w:t>kke almindelig: vægttab, vægtstigning, anoreksi, øget appetit</w:t>
            </w:r>
          </w:p>
        </w:tc>
      </w:tr>
      <w:tr w:rsidR="002A0DA0" w:rsidTr="002A0DA0">
        <w:tc>
          <w:tcPr>
            <w:tcW w:w="4618" w:type="dxa"/>
            <w:tcBorders>
              <w:top w:val="single" w:sz="4" w:space="0" w:color="auto"/>
              <w:left w:val="single" w:sz="4" w:space="0" w:color="auto"/>
              <w:bottom w:val="single" w:sz="4" w:space="0" w:color="auto"/>
              <w:right w:val="single" w:sz="4" w:space="0" w:color="auto"/>
            </w:tcBorders>
            <w:hideMark/>
          </w:tcPr>
          <w:p w:rsidR="002A0DA0" w:rsidRPr="00E005C5" w:rsidRDefault="002A0DA0" w:rsidP="002A0DA0">
            <w:pPr>
              <w:ind w:left="29"/>
              <w:rPr>
                <w:i/>
                <w:sz w:val="22"/>
                <w:szCs w:val="22"/>
              </w:rPr>
            </w:pPr>
            <w:r w:rsidRPr="00E005C5">
              <w:rPr>
                <w:i/>
                <w:sz w:val="22"/>
                <w:szCs w:val="22"/>
              </w:rPr>
              <w:t>Psykiske forstyrrelser:</w:t>
            </w:r>
          </w:p>
        </w:tc>
        <w:tc>
          <w:tcPr>
            <w:tcW w:w="4619" w:type="dxa"/>
            <w:tcBorders>
              <w:top w:val="single" w:sz="4" w:space="0" w:color="auto"/>
              <w:left w:val="single" w:sz="4" w:space="0" w:color="auto"/>
              <w:bottom w:val="single" w:sz="4" w:space="0" w:color="auto"/>
              <w:right w:val="single" w:sz="4" w:space="0" w:color="auto"/>
            </w:tcBorders>
            <w:hideMark/>
          </w:tcPr>
          <w:p w:rsidR="002A0DA0" w:rsidRPr="00E005C5" w:rsidRDefault="002A0DA0" w:rsidP="002A0DA0">
            <w:pPr>
              <w:ind w:left="29"/>
              <w:rPr>
                <w:sz w:val="22"/>
                <w:szCs w:val="22"/>
              </w:rPr>
            </w:pPr>
            <w:r>
              <w:rPr>
                <w:sz w:val="22"/>
                <w:szCs w:val="22"/>
              </w:rPr>
              <w:t>I</w:t>
            </w:r>
            <w:r w:rsidRPr="00E005C5">
              <w:rPr>
                <w:sz w:val="22"/>
                <w:szCs w:val="22"/>
              </w:rPr>
              <w:t>kke almindelig: depression, desorientering, ængstelse, søvnløshed, søvnforstyrrelser, abnorme drømme</w:t>
            </w:r>
          </w:p>
        </w:tc>
      </w:tr>
      <w:tr w:rsidR="002A0DA0" w:rsidTr="002A0DA0">
        <w:tc>
          <w:tcPr>
            <w:tcW w:w="4618" w:type="dxa"/>
            <w:tcBorders>
              <w:top w:val="single" w:sz="4" w:space="0" w:color="auto"/>
              <w:left w:val="single" w:sz="4" w:space="0" w:color="auto"/>
              <w:bottom w:val="single" w:sz="4" w:space="0" w:color="auto"/>
              <w:right w:val="single" w:sz="4" w:space="0" w:color="auto"/>
            </w:tcBorders>
            <w:hideMark/>
          </w:tcPr>
          <w:p w:rsidR="002A0DA0" w:rsidRPr="00E005C5" w:rsidRDefault="002A0DA0" w:rsidP="002A0DA0">
            <w:pPr>
              <w:ind w:left="29"/>
              <w:rPr>
                <w:i/>
                <w:sz w:val="22"/>
                <w:szCs w:val="22"/>
              </w:rPr>
            </w:pPr>
            <w:r w:rsidRPr="00E005C5">
              <w:rPr>
                <w:i/>
                <w:sz w:val="22"/>
                <w:szCs w:val="22"/>
              </w:rPr>
              <w:t>Nervesystemet:</w:t>
            </w:r>
          </w:p>
        </w:tc>
        <w:tc>
          <w:tcPr>
            <w:tcW w:w="4619" w:type="dxa"/>
            <w:tcBorders>
              <w:top w:val="single" w:sz="4" w:space="0" w:color="auto"/>
              <w:left w:val="single" w:sz="4" w:space="0" w:color="auto"/>
              <w:bottom w:val="single" w:sz="4" w:space="0" w:color="auto"/>
              <w:right w:val="single" w:sz="4" w:space="0" w:color="auto"/>
            </w:tcBorders>
            <w:hideMark/>
          </w:tcPr>
          <w:p w:rsidR="002A0DA0" w:rsidRPr="00E005C5" w:rsidRDefault="002A0DA0" w:rsidP="002A0DA0">
            <w:pPr>
              <w:ind w:left="29"/>
              <w:rPr>
                <w:sz w:val="22"/>
                <w:szCs w:val="22"/>
              </w:rPr>
            </w:pPr>
            <w:r>
              <w:rPr>
                <w:sz w:val="22"/>
                <w:szCs w:val="22"/>
              </w:rPr>
              <w:t>A</w:t>
            </w:r>
            <w:r w:rsidRPr="00E005C5">
              <w:rPr>
                <w:sz w:val="22"/>
                <w:szCs w:val="22"/>
              </w:rPr>
              <w:t>lmindelig: hovedpine</w:t>
            </w:r>
          </w:p>
          <w:p w:rsidR="002A0DA0" w:rsidRPr="00E005C5" w:rsidRDefault="002A0DA0" w:rsidP="002A0DA0">
            <w:pPr>
              <w:ind w:left="29"/>
              <w:rPr>
                <w:sz w:val="22"/>
                <w:szCs w:val="22"/>
              </w:rPr>
            </w:pPr>
            <w:r>
              <w:rPr>
                <w:sz w:val="22"/>
                <w:szCs w:val="22"/>
              </w:rPr>
              <w:t>I</w:t>
            </w:r>
            <w:r w:rsidRPr="00E005C5">
              <w:rPr>
                <w:sz w:val="22"/>
                <w:szCs w:val="22"/>
              </w:rPr>
              <w:t>kke almindelig: perifer neuropati, synkope, amnesi, svimmelhed, døsighed, dysgeusi</w:t>
            </w:r>
          </w:p>
        </w:tc>
      </w:tr>
      <w:tr w:rsidR="002A0DA0" w:rsidTr="002A0DA0">
        <w:tc>
          <w:tcPr>
            <w:tcW w:w="4618" w:type="dxa"/>
            <w:tcBorders>
              <w:top w:val="single" w:sz="4" w:space="0" w:color="auto"/>
              <w:left w:val="single" w:sz="4" w:space="0" w:color="auto"/>
              <w:bottom w:val="single" w:sz="4" w:space="0" w:color="auto"/>
              <w:right w:val="single" w:sz="4" w:space="0" w:color="auto"/>
            </w:tcBorders>
            <w:hideMark/>
          </w:tcPr>
          <w:p w:rsidR="002A0DA0" w:rsidRPr="00E005C5" w:rsidRDefault="002A0DA0" w:rsidP="002A0DA0">
            <w:pPr>
              <w:ind w:left="29"/>
              <w:rPr>
                <w:i/>
                <w:sz w:val="22"/>
                <w:szCs w:val="22"/>
              </w:rPr>
            </w:pPr>
            <w:r w:rsidRPr="00E005C5">
              <w:rPr>
                <w:i/>
                <w:sz w:val="22"/>
                <w:szCs w:val="22"/>
              </w:rPr>
              <w:t>Øjne:</w:t>
            </w:r>
          </w:p>
        </w:tc>
        <w:tc>
          <w:tcPr>
            <w:tcW w:w="4619" w:type="dxa"/>
            <w:tcBorders>
              <w:top w:val="single" w:sz="4" w:space="0" w:color="auto"/>
              <w:left w:val="single" w:sz="4" w:space="0" w:color="auto"/>
              <w:bottom w:val="single" w:sz="4" w:space="0" w:color="auto"/>
              <w:right w:val="single" w:sz="4" w:space="0" w:color="auto"/>
            </w:tcBorders>
            <w:hideMark/>
          </w:tcPr>
          <w:p w:rsidR="002A0DA0" w:rsidRPr="00E005C5" w:rsidRDefault="002A0DA0" w:rsidP="002A0DA0">
            <w:pPr>
              <w:ind w:left="29"/>
              <w:rPr>
                <w:sz w:val="22"/>
                <w:szCs w:val="22"/>
              </w:rPr>
            </w:pPr>
            <w:r>
              <w:rPr>
                <w:sz w:val="22"/>
                <w:szCs w:val="22"/>
              </w:rPr>
              <w:t>A</w:t>
            </w:r>
            <w:r w:rsidRPr="00E005C5">
              <w:rPr>
                <w:sz w:val="22"/>
                <w:szCs w:val="22"/>
              </w:rPr>
              <w:t>lmindelig: okulær icterus</w:t>
            </w:r>
          </w:p>
        </w:tc>
      </w:tr>
      <w:tr w:rsidR="002A0DA0" w:rsidTr="002A0DA0">
        <w:tc>
          <w:tcPr>
            <w:tcW w:w="4618" w:type="dxa"/>
            <w:tcBorders>
              <w:top w:val="single" w:sz="4" w:space="0" w:color="auto"/>
              <w:left w:val="single" w:sz="4" w:space="0" w:color="auto"/>
              <w:bottom w:val="single" w:sz="4" w:space="0" w:color="auto"/>
              <w:right w:val="single" w:sz="4" w:space="0" w:color="auto"/>
            </w:tcBorders>
            <w:hideMark/>
          </w:tcPr>
          <w:p w:rsidR="002A0DA0" w:rsidRPr="00E005C5" w:rsidRDefault="002A0DA0" w:rsidP="002A0DA0">
            <w:pPr>
              <w:ind w:left="29"/>
              <w:rPr>
                <w:i/>
                <w:sz w:val="22"/>
                <w:szCs w:val="22"/>
              </w:rPr>
            </w:pPr>
            <w:r w:rsidRPr="00E005C5">
              <w:rPr>
                <w:i/>
                <w:sz w:val="22"/>
                <w:szCs w:val="22"/>
              </w:rPr>
              <w:t>Hjerte:</w:t>
            </w:r>
          </w:p>
        </w:tc>
        <w:tc>
          <w:tcPr>
            <w:tcW w:w="4619" w:type="dxa"/>
            <w:tcBorders>
              <w:top w:val="single" w:sz="4" w:space="0" w:color="auto"/>
              <w:left w:val="single" w:sz="4" w:space="0" w:color="auto"/>
              <w:bottom w:val="single" w:sz="4" w:space="0" w:color="auto"/>
              <w:right w:val="single" w:sz="4" w:space="0" w:color="auto"/>
            </w:tcBorders>
            <w:hideMark/>
          </w:tcPr>
          <w:p w:rsidR="002A0DA0" w:rsidRPr="00E005C5" w:rsidRDefault="002A0DA0" w:rsidP="002A0DA0">
            <w:pPr>
              <w:ind w:left="29"/>
              <w:rPr>
                <w:sz w:val="22"/>
                <w:szCs w:val="22"/>
                <w:vertAlign w:val="superscript"/>
              </w:rPr>
            </w:pPr>
            <w:r>
              <w:rPr>
                <w:sz w:val="22"/>
                <w:szCs w:val="22"/>
              </w:rPr>
              <w:t>I</w:t>
            </w:r>
            <w:r w:rsidRPr="00E005C5">
              <w:rPr>
                <w:sz w:val="22"/>
                <w:szCs w:val="22"/>
              </w:rPr>
              <w:t>kke almindelig: torsades de pointes</w:t>
            </w:r>
            <w:r w:rsidRPr="00E005C5">
              <w:rPr>
                <w:sz w:val="22"/>
                <w:szCs w:val="22"/>
                <w:vertAlign w:val="superscript"/>
              </w:rPr>
              <w:t>a</w:t>
            </w:r>
          </w:p>
          <w:p w:rsidR="002A0DA0" w:rsidRPr="00E005C5" w:rsidRDefault="002A0DA0" w:rsidP="002A0DA0">
            <w:pPr>
              <w:ind w:left="29"/>
              <w:rPr>
                <w:sz w:val="22"/>
                <w:szCs w:val="22"/>
              </w:rPr>
            </w:pPr>
            <w:r>
              <w:rPr>
                <w:sz w:val="22"/>
                <w:szCs w:val="22"/>
              </w:rPr>
              <w:t>S</w:t>
            </w:r>
            <w:r w:rsidRPr="00E005C5">
              <w:rPr>
                <w:sz w:val="22"/>
                <w:szCs w:val="22"/>
              </w:rPr>
              <w:t>jælden: QTc-forlængelse</w:t>
            </w:r>
            <w:r w:rsidRPr="00E005C5">
              <w:rPr>
                <w:sz w:val="22"/>
                <w:szCs w:val="22"/>
                <w:vertAlign w:val="superscript"/>
              </w:rPr>
              <w:t>a</w:t>
            </w:r>
            <w:r w:rsidRPr="00E005C5">
              <w:rPr>
                <w:sz w:val="22"/>
                <w:szCs w:val="22"/>
              </w:rPr>
              <w:t>, ødem, palpitation</w:t>
            </w:r>
          </w:p>
        </w:tc>
      </w:tr>
      <w:tr w:rsidR="002A0DA0" w:rsidTr="002A0DA0">
        <w:tc>
          <w:tcPr>
            <w:tcW w:w="4618" w:type="dxa"/>
            <w:tcBorders>
              <w:top w:val="single" w:sz="4" w:space="0" w:color="auto"/>
              <w:left w:val="single" w:sz="4" w:space="0" w:color="auto"/>
              <w:bottom w:val="single" w:sz="4" w:space="0" w:color="auto"/>
              <w:right w:val="single" w:sz="4" w:space="0" w:color="auto"/>
            </w:tcBorders>
            <w:hideMark/>
          </w:tcPr>
          <w:p w:rsidR="002A0DA0" w:rsidRPr="00E005C5" w:rsidRDefault="002A0DA0" w:rsidP="002A0DA0">
            <w:pPr>
              <w:ind w:left="29"/>
              <w:rPr>
                <w:i/>
                <w:sz w:val="22"/>
                <w:szCs w:val="22"/>
              </w:rPr>
            </w:pPr>
            <w:r w:rsidRPr="00E005C5">
              <w:rPr>
                <w:i/>
                <w:sz w:val="22"/>
                <w:szCs w:val="22"/>
              </w:rPr>
              <w:t>Vaskulære sygdomme:</w:t>
            </w:r>
          </w:p>
        </w:tc>
        <w:tc>
          <w:tcPr>
            <w:tcW w:w="4619" w:type="dxa"/>
            <w:tcBorders>
              <w:top w:val="single" w:sz="4" w:space="0" w:color="auto"/>
              <w:left w:val="single" w:sz="4" w:space="0" w:color="auto"/>
              <w:bottom w:val="single" w:sz="4" w:space="0" w:color="auto"/>
              <w:right w:val="single" w:sz="4" w:space="0" w:color="auto"/>
            </w:tcBorders>
            <w:hideMark/>
          </w:tcPr>
          <w:p w:rsidR="002A0DA0" w:rsidRPr="00E005C5" w:rsidRDefault="002A0DA0" w:rsidP="002A0DA0">
            <w:pPr>
              <w:ind w:left="29"/>
              <w:rPr>
                <w:sz w:val="22"/>
                <w:szCs w:val="22"/>
              </w:rPr>
            </w:pPr>
            <w:r>
              <w:rPr>
                <w:sz w:val="22"/>
                <w:szCs w:val="22"/>
              </w:rPr>
              <w:t>I</w:t>
            </w:r>
            <w:r w:rsidRPr="00E005C5">
              <w:rPr>
                <w:sz w:val="22"/>
                <w:szCs w:val="22"/>
              </w:rPr>
              <w:t>kke almindelig: hypertension</w:t>
            </w:r>
          </w:p>
        </w:tc>
      </w:tr>
      <w:tr w:rsidR="002A0DA0" w:rsidTr="002A0DA0">
        <w:tc>
          <w:tcPr>
            <w:tcW w:w="4618" w:type="dxa"/>
            <w:tcBorders>
              <w:top w:val="single" w:sz="4" w:space="0" w:color="auto"/>
              <w:left w:val="single" w:sz="4" w:space="0" w:color="auto"/>
              <w:bottom w:val="single" w:sz="4" w:space="0" w:color="auto"/>
              <w:right w:val="single" w:sz="4" w:space="0" w:color="auto"/>
            </w:tcBorders>
            <w:hideMark/>
          </w:tcPr>
          <w:p w:rsidR="002A0DA0" w:rsidRPr="00E005C5" w:rsidRDefault="002A0DA0" w:rsidP="002A0DA0">
            <w:pPr>
              <w:ind w:left="29"/>
              <w:rPr>
                <w:i/>
                <w:sz w:val="22"/>
                <w:szCs w:val="22"/>
              </w:rPr>
            </w:pPr>
            <w:r w:rsidRPr="00E005C5">
              <w:rPr>
                <w:i/>
                <w:sz w:val="22"/>
                <w:szCs w:val="22"/>
              </w:rPr>
              <w:t>Luftveje, thorax og mediastinum:</w:t>
            </w:r>
          </w:p>
        </w:tc>
        <w:tc>
          <w:tcPr>
            <w:tcW w:w="4619" w:type="dxa"/>
            <w:tcBorders>
              <w:top w:val="single" w:sz="4" w:space="0" w:color="auto"/>
              <w:left w:val="single" w:sz="4" w:space="0" w:color="auto"/>
              <w:bottom w:val="single" w:sz="4" w:space="0" w:color="auto"/>
              <w:right w:val="single" w:sz="4" w:space="0" w:color="auto"/>
            </w:tcBorders>
            <w:hideMark/>
          </w:tcPr>
          <w:p w:rsidR="002A0DA0" w:rsidRPr="00E005C5" w:rsidRDefault="002A0DA0" w:rsidP="002A0DA0">
            <w:pPr>
              <w:ind w:left="29"/>
              <w:rPr>
                <w:sz w:val="22"/>
                <w:szCs w:val="22"/>
              </w:rPr>
            </w:pPr>
            <w:r>
              <w:rPr>
                <w:sz w:val="22"/>
                <w:szCs w:val="22"/>
              </w:rPr>
              <w:t>I</w:t>
            </w:r>
            <w:r w:rsidRPr="00E005C5">
              <w:rPr>
                <w:sz w:val="22"/>
                <w:szCs w:val="22"/>
              </w:rPr>
              <w:t>kke almindelig: dyspnø</w:t>
            </w:r>
          </w:p>
        </w:tc>
      </w:tr>
      <w:tr w:rsidR="002A0DA0" w:rsidTr="002A0DA0">
        <w:tc>
          <w:tcPr>
            <w:tcW w:w="4618" w:type="dxa"/>
            <w:tcBorders>
              <w:top w:val="single" w:sz="4" w:space="0" w:color="auto"/>
              <w:left w:val="single" w:sz="4" w:space="0" w:color="auto"/>
              <w:bottom w:val="single" w:sz="4" w:space="0" w:color="auto"/>
              <w:right w:val="single" w:sz="4" w:space="0" w:color="auto"/>
            </w:tcBorders>
            <w:hideMark/>
          </w:tcPr>
          <w:p w:rsidR="002A0DA0" w:rsidRPr="00E005C5" w:rsidRDefault="002A0DA0" w:rsidP="002A0DA0">
            <w:pPr>
              <w:ind w:left="29"/>
              <w:rPr>
                <w:i/>
                <w:sz w:val="22"/>
                <w:szCs w:val="22"/>
              </w:rPr>
            </w:pPr>
            <w:r w:rsidRPr="00E005C5">
              <w:rPr>
                <w:i/>
                <w:sz w:val="22"/>
                <w:szCs w:val="22"/>
              </w:rPr>
              <w:t>Mave-tarmkanalen:</w:t>
            </w:r>
          </w:p>
        </w:tc>
        <w:tc>
          <w:tcPr>
            <w:tcW w:w="4619" w:type="dxa"/>
            <w:tcBorders>
              <w:top w:val="single" w:sz="4" w:space="0" w:color="auto"/>
              <w:left w:val="single" w:sz="4" w:space="0" w:color="auto"/>
              <w:bottom w:val="single" w:sz="4" w:space="0" w:color="auto"/>
              <w:right w:val="single" w:sz="4" w:space="0" w:color="auto"/>
            </w:tcBorders>
            <w:hideMark/>
          </w:tcPr>
          <w:p w:rsidR="002A0DA0" w:rsidRPr="00E005C5" w:rsidRDefault="002A0DA0" w:rsidP="002A0DA0">
            <w:pPr>
              <w:ind w:left="29"/>
              <w:rPr>
                <w:sz w:val="22"/>
                <w:szCs w:val="22"/>
              </w:rPr>
            </w:pPr>
            <w:r>
              <w:rPr>
                <w:sz w:val="22"/>
                <w:szCs w:val="22"/>
              </w:rPr>
              <w:t>A</w:t>
            </w:r>
            <w:r w:rsidRPr="00E005C5">
              <w:rPr>
                <w:sz w:val="22"/>
                <w:szCs w:val="22"/>
              </w:rPr>
              <w:t>lmindelig: opkastning, diarré, abdominalsmerter,</w:t>
            </w:r>
            <w:r>
              <w:rPr>
                <w:sz w:val="22"/>
                <w:szCs w:val="22"/>
              </w:rPr>
              <w:t xml:space="preserve"> </w:t>
            </w:r>
            <w:r w:rsidRPr="00E005C5">
              <w:rPr>
                <w:sz w:val="22"/>
                <w:szCs w:val="22"/>
              </w:rPr>
              <w:t>kvalme, dyspepsi;</w:t>
            </w:r>
          </w:p>
          <w:p w:rsidR="002A0DA0" w:rsidRPr="00E005C5" w:rsidRDefault="002A0DA0" w:rsidP="002A0DA0">
            <w:pPr>
              <w:ind w:left="29"/>
              <w:rPr>
                <w:sz w:val="22"/>
                <w:szCs w:val="22"/>
              </w:rPr>
            </w:pPr>
            <w:r>
              <w:rPr>
                <w:sz w:val="22"/>
                <w:szCs w:val="22"/>
              </w:rPr>
              <w:lastRenderedPageBreak/>
              <w:t>I</w:t>
            </w:r>
            <w:r w:rsidRPr="00E005C5">
              <w:rPr>
                <w:sz w:val="22"/>
                <w:szCs w:val="22"/>
              </w:rPr>
              <w:t>kke almindelig: pankreatitis, gastritis, abdominal</w:t>
            </w:r>
            <w:r>
              <w:rPr>
                <w:sz w:val="22"/>
                <w:szCs w:val="22"/>
              </w:rPr>
              <w:t xml:space="preserve"> </w:t>
            </w:r>
            <w:r w:rsidRPr="00E005C5">
              <w:rPr>
                <w:sz w:val="22"/>
                <w:szCs w:val="22"/>
              </w:rPr>
              <w:t>distension, aftøs stomatitis, flatulens, tør mund</w:t>
            </w:r>
          </w:p>
        </w:tc>
      </w:tr>
      <w:tr w:rsidR="002A0DA0" w:rsidTr="002A0DA0">
        <w:tc>
          <w:tcPr>
            <w:tcW w:w="4618" w:type="dxa"/>
            <w:tcBorders>
              <w:top w:val="single" w:sz="4" w:space="0" w:color="auto"/>
              <w:left w:val="single" w:sz="4" w:space="0" w:color="auto"/>
              <w:bottom w:val="single" w:sz="4" w:space="0" w:color="auto"/>
              <w:right w:val="single" w:sz="4" w:space="0" w:color="auto"/>
            </w:tcBorders>
            <w:hideMark/>
          </w:tcPr>
          <w:p w:rsidR="002A0DA0" w:rsidRPr="00E005C5" w:rsidRDefault="002A0DA0" w:rsidP="002A0DA0">
            <w:pPr>
              <w:ind w:left="29"/>
              <w:rPr>
                <w:i/>
                <w:sz w:val="22"/>
                <w:szCs w:val="22"/>
              </w:rPr>
            </w:pPr>
            <w:r w:rsidRPr="00E005C5">
              <w:rPr>
                <w:i/>
                <w:sz w:val="22"/>
                <w:szCs w:val="22"/>
              </w:rPr>
              <w:lastRenderedPageBreak/>
              <w:t>Lever og galdeveje:</w:t>
            </w:r>
          </w:p>
        </w:tc>
        <w:tc>
          <w:tcPr>
            <w:tcW w:w="4619" w:type="dxa"/>
            <w:tcBorders>
              <w:top w:val="single" w:sz="4" w:space="0" w:color="auto"/>
              <w:left w:val="single" w:sz="4" w:space="0" w:color="auto"/>
              <w:bottom w:val="single" w:sz="4" w:space="0" w:color="auto"/>
              <w:right w:val="single" w:sz="4" w:space="0" w:color="auto"/>
            </w:tcBorders>
            <w:hideMark/>
          </w:tcPr>
          <w:p w:rsidR="002A0DA0" w:rsidRPr="00E005C5" w:rsidRDefault="002A0DA0" w:rsidP="002A0DA0">
            <w:pPr>
              <w:ind w:left="29"/>
              <w:rPr>
                <w:sz w:val="22"/>
                <w:szCs w:val="22"/>
              </w:rPr>
            </w:pPr>
            <w:r>
              <w:rPr>
                <w:sz w:val="22"/>
                <w:szCs w:val="22"/>
              </w:rPr>
              <w:t>A</w:t>
            </w:r>
            <w:r w:rsidRPr="00E005C5">
              <w:rPr>
                <w:sz w:val="22"/>
                <w:szCs w:val="22"/>
              </w:rPr>
              <w:t>lmindelig: gulsot</w:t>
            </w:r>
          </w:p>
          <w:p w:rsidR="002A0DA0" w:rsidRPr="00E005C5" w:rsidRDefault="002A0DA0" w:rsidP="002A0DA0">
            <w:pPr>
              <w:ind w:left="29"/>
              <w:rPr>
                <w:sz w:val="22"/>
                <w:szCs w:val="22"/>
              </w:rPr>
            </w:pPr>
            <w:r>
              <w:rPr>
                <w:sz w:val="22"/>
                <w:szCs w:val="22"/>
              </w:rPr>
              <w:t>I</w:t>
            </w:r>
            <w:r w:rsidRPr="00E005C5">
              <w:rPr>
                <w:sz w:val="22"/>
                <w:szCs w:val="22"/>
              </w:rPr>
              <w:t>kke almindelig: hepatitis, cholelithiasis</w:t>
            </w:r>
            <w:r w:rsidRPr="00E005C5">
              <w:rPr>
                <w:sz w:val="22"/>
                <w:szCs w:val="22"/>
                <w:vertAlign w:val="superscript"/>
              </w:rPr>
              <w:t>a</w:t>
            </w:r>
            <w:r w:rsidRPr="00E005C5">
              <w:rPr>
                <w:sz w:val="22"/>
                <w:szCs w:val="22"/>
              </w:rPr>
              <w:t>, kolestase</w:t>
            </w:r>
            <w:r w:rsidRPr="00E005C5">
              <w:rPr>
                <w:sz w:val="22"/>
                <w:szCs w:val="22"/>
                <w:vertAlign w:val="superscript"/>
              </w:rPr>
              <w:t>a</w:t>
            </w:r>
          </w:p>
          <w:p w:rsidR="002A0DA0" w:rsidRPr="00E005C5" w:rsidRDefault="002A0DA0" w:rsidP="002A0DA0">
            <w:pPr>
              <w:ind w:left="29"/>
              <w:rPr>
                <w:sz w:val="22"/>
                <w:szCs w:val="22"/>
              </w:rPr>
            </w:pPr>
            <w:r>
              <w:rPr>
                <w:sz w:val="22"/>
                <w:szCs w:val="22"/>
              </w:rPr>
              <w:t>S</w:t>
            </w:r>
            <w:r w:rsidRPr="00E005C5">
              <w:rPr>
                <w:sz w:val="22"/>
                <w:szCs w:val="22"/>
              </w:rPr>
              <w:t>jælden: hepatosplenomegali, cholecystitis</w:t>
            </w:r>
            <w:r w:rsidRPr="00E005C5">
              <w:rPr>
                <w:sz w:val="22"/>
                <w:szCs w:val="22"/>
                <w:vertAlign w:val="superscript"/>
              </w:rPr>
              <w:t>a</w:t>
            </w:r>
          </w:p>
        </w:tc>
      </w:tr>
      <w:tr w:rsidR="002A0DA0" w:rsidTr="002A0DA0">
        <w:tc>
          <w:tcPr>
            <w:tcW w:w="4618" w:type="dxa"/>
            <w:tcBorders>
              <w:top w:val="single" w:sz="4" w:space="0" w:color="auto"/>
              <w:left w:val="single" w:sz="4" w:space="0" w:color="auto"/>
              <w:bottom w:val="single" w:sz="4" w:space="0" w:color="auto"/>
              <w:right w:val="single" w:sz="4" w:space="0" w:color="auto"/>
            </w:tcBorders>
            <w:hideMark/>
          </w:tcPr>
          <w:p w:rsidR="002A0DA0" w:rsidRPr="00E005C5" w:rsidRDefault="002A0DA0" w:rsidP="002A0DA0">
            <w:pPr>
              <w:ind w:left="29"/>
              <w:rPr>
                <w:i/>
                <w:sz w:val="22"/>
                <w:szCs w:val="22"/>
              </w:rPr>
            </w:pPr>
            <w:r w:rsidRPr="00E005C5">
              <w:rPr>
                <w:i/>
                <w:sz w:val="22"/>
                <w:szCs w:val="22"/>
              </w:rPr>
              <w:t>Hud og subkutane væv:</w:t>
            </w:r>
          </w:p>
        </w:tc>
        <w:tc>
          <w:tcPr>
            <w:tcW w:w="4619" w:type="dxa"/>
            <w:tcBorders>
              <w:top w:val="single" w:sz="4" w:space="0" w:color="auto"/>
              <w:left w:val="single" w:sz="4" w:space="0" w:color="auto"/>
              <w:bottom w:val="single" w:sz="4" w:space="0" w:color="auto"/>
              <w:right w:val="single" w:sz="4" w:space="0" w:color="auto"/>
            </w:tcBorders>
            <w:hideMark/>
          </w:tcPr>
          <w:p w:rsidR="002A0DA0" w:rsidRPr="00E005C5" w:rsidRDefault="002A0DA0" w:rsidP="002A0DA0">
            <w:pPr>
              <w:ind w:left="29"/>
              <w:rPr>
                <w:sz w:val="22"/>
                <w:szCs w:val="22"/>
              </w:rPr>
            </w:pPr>
            <w:r>
              <w:rPr>
                <w:sz w:val="22"/>
                <w:szCs w:val="22"/>
              </w:rPr>
              <w:t>A</w:t>
            </w:r>
            <w:r w:rsidRPr="00E005C5">
              <w:rPr>
                <w:sz w:val="22"/>
                <w:szCs w:val="22"/>
              </w:rPr>
              <w:t>lmindelig: udslæt</w:t>
            </w:r>
          </w:p>
          <w:p w:rsidR="002A0DA0" w:rsidRPr="00E005C5" w:rsidRDefault="002A0DA0" w:rsidP="002A0DA0">
            <w:pPr>
              <w:ind w:left="29"/>
              <w:rPr>
                <w:sz w:val="22"/>
                <w:szCs w:val="22"/>
              </w:rPr>
            </w:pPr>
            <w:r>
              <w:rPr>
                <w:sz w:val="22"/>
                <w:szCs w:val="22"/>
              </w:rPr>
              <w:t>I</w:t>
            </w:r>
            <w:r w:rsidRPr="00E005C5">
              <w:rPr>
                <w:sz w:val="22"/>
                <w:szCs w:val="22"/>
              </w:rPr>
              <w:t xml:space="preserve">kke almindelig: erythema </w:t>
            </w:r>
            <w:proofErr w:type="gramStart"/>
            <w:r w:rsidRPr="00E005C5">
              <w:rPr>
                <w:sz w:val="22"/>
                <w:szCs w:val="22"/>
              </w:rPr>
              <w:t>multiforme</w:t>
            </w:r>
            <w:r w:rsidRPr="00E005C5">
              <w:rPr>
                <w:sz w:val="22"/>
                <w:szCs w:val="22"/>
                <w:vertAlign w:val="superscript"/>
              </w:rPr>
              <w:t>a,b</w:t>
            </w:r>
            <w:proofErr w:type="gramEnd"/>
            <w:r w:rsidRPr="00E005C5">
              <w:rPr>
                <w:sz w:val="22"/>
                <w:szCs w:val="22"/>
              </w:rPr>
              <w:t>, toksiske</w:t>
            </w:r>
            <w:r>
              <w:rPr>
                <w:sz w:val="22"/>
                <w:szCs w:val="22"/>
              </w:rPr>
              <w:t xml:space="preserve"> </w:t>
            </w:r>
            <w:r w:rsidRPr="00E005C5">
              <w:rPr>
                <w:sz w:val="22"/>
                <w:szCs w:val="22"/>
              </w:rPr>
              <w:t>huderuptioner</w:t>
            </w:r>
            <w:r w:rsidRPr="00E005C5">
              <w:rPr>
                <w:sz w:val="22"/>
                <w:szCs w:val="22"/>
                <w:vertAlign w:val="superscript"/>
              </w:rPr>
              <w:t>a,b</w:t>
            </w:r>
            <w:r w:rsidRPr="00E005C5">
              <w:rPr>
                <w:sz w:val="22"/>
                <w:szCs w:val="22"/>
              </w:rPr>
              <w:t>, lægemiddelfremkaldt udslæt med eosinofili og systemiske symptomer (DRESS-syndrom)</w:t>
            </w:r>
            <w:r w:rsidRPr="00E005C5">
              <w:rPr>
                <w:sz w:val="22"/>
                <w:szCs w:val="22"/>
                <w:vertAlign w:val="superscript"/>
              </w:rPr>
              <w:t>a,b</w:t>
            </w:r>
            <w:r w:rsidRPr="00E005C5">
              <w:rPr>
                <w:sz w:val="22"/>
                <w:szCs w:val="22"/>
              </w:rPr>
              <w:t>, angioødem</w:t>
            </w:r>
            <w:r w:rsidRPr="00E005C5">
              <w:rPr>
                <w:sz w:val="22"/>
                <w:szCs w:val="22"/>
                <w:vertAlign w:val="superscript"/>
              </w:rPr>
              <w:t>a</w:t>
            </w:r>
            <w:r w:rsidRPr="00E005C5">
              <w:rPr>
                <w:sz w:val="22"/>
                <w:szCs w:val="22"/>
              </w:rPr>
              <w:t>, urticaria, alopeci, pruritus</w:t>
            </w:r>
          </w:p>
          <w:p w:rsidR="002A0DA0" w:rsidRPr="00E005C5" w:rsidRDefault="002A0DA0" w:rsidP="002A0DA0">
            <w:pPr>
              <w:ind w:left="29"/>
              <w:rPr>
                <w:sz w:val="22"/>
                <w:szCs w:val="22"/>
              </w:rPr>
            </w:pPr>
            <w:r>
              <w:rPr>
                <w:sz w:val="22"/>
                <w:szCs w:val="22"/>
              </w:rPr>
              <w:t>S</w:t>
            </w:r>
            <w:r w:rsidRPr="00E005C5">
              <w:rPr>
                <w:sz w:val="22"/>
                <w:szCs w:val="22"/>
              </w:rPr>
              <w:t xml:space="preserve">jælden: Stevens-Johnsons </w:t>
            </w:r>
            <w:proofErr w:type="gramStart"/>
            <w:r w:rsidRPr="00E005C5">
              <w:rPr>
                <w:sz w:val="22"/>
                <w:szCs w:val="22"/>
              </w:rPr>
              <w:t>syndrom</w:t>
            </w:r>
            <w:r w:rsidRPr="00E005C5">
              <w:rPr>
                <w:sz w:val="22"/>
                <w:szCs w:val="22"/>
                <w:vertAlign w:val="superscript"/>
              </w:rPr>
              <w:t>a,b</w:t>
            </w:r>
            <w:proofErr w:type="gramEnd"/>
            <w:r w:rsidRPr="00E005C5">
              <w:rPr>
                <w:sz w:val="22"/>
                <w:szCs w:val="22"/>
              </w:rPr>
              <w:t>, vesikulobulløst udslæt, eksem, vasodilatation</w:t>
            </w:r>
          </w:p>
        </w:tc>
      </w:tr>
      <w:tr w:rsidR="002A0DA0" w:rsidTr="002A0DA0">
        <w:tc>
          <w:tcPr>
            <w:tcW w:w="4618" w:type="dxa"/>
            <w:tcBorders>
              <w:top w:val="single" w:sz="4" w:space="0" w:color="auto"/>
              <w:left w:val="single" w:sz="4" w:space="0" w:color="auto"/>
              <w:bottom w:val="single" w:sz="4" w:space="0" w:color="auto"/>
              <w:right w:val="single" w:sz="4" w:space="0" w:color="auto"/>
            </w:tcBorders>
            <w:hideMark/>
          </w:tcPr>
          <w:p w:rsidR="002A0DA0" w:rsidRPr="00E005C5" w:rsidRDefault="002A0DA0" w:rsidP="002A0DA0">
            <w:pPr>
              <w:ind w:left="29"/>
              <w:rPr>
                <w:i/>
                <w:sz w:val="22"/>
                <w:szCs w:val="22"/>
              </w:rPr>
            </w:pPr>
            <w:r w:rsidRPr="00E005C5">
              <w:rPr>
                <w:i/>
                <w:sz w:val="22"/>
                <w:szCs w:val="22"/>
              </w:rPr>
              <w:t>Knogler, led, muskler og</w:t>
            </w:r>
            <w:r>
              <w:rPr>
                <w:i/>
                <w:sz w:val="22"/>
                <w:szCs w:val="22"/>
              </w:rPr>
              <w:t xml:space="preserve"> </w:t>
            </w:r>
            <w:r w:rsidRPr="00E005C5">
              <w:rPr>
                <w:i/>
                <w:sz w:val="22"/>
                <w:szCs w:val="22"/>
              </w:rPr>
              <w:t>bindevæv:</w:t>
            </w:r>
          </w:p>
        </w:tc>
        <w:tc>
          <w:tcPr>
            <w:tcW w:w="4619" w:type="dxa"/>
            <w:tcBorders>
              <w:top w:val="single" w:sz="4" w:space="0" w:color="auto"/>
              <w:left w:val="single" w:sz="4" w:space="0" w:color="auto"/>
              <w:bottom w:val="single" w:sz="4" w:space="0" w:color="auto"/>
              <w:right w:val="single" w:sz="4" w:space="0" w:color="auto"/>
            </w:tcBorders>
            <w:hideMark/>
          </w:tcPr>
          <w:p w:rsidR="002A0DA0" w:rsidRPr="00E005C5" w:rsidRDefault="002A0DA0" w:rsidP="002A0DA0">
            <w:pPr>
              <w:ind w:left="29"/>
              <w:rPr>
                <w:sz w:val="22"/>
                <w:szCs w:val="22"/>
              </w:rPr>
            </w:pPr>
            <w:r>
              <w:rPr>
                <w:sz w:val="22"/>
                <w:szCs w:val="22"/>
              </w:rPr>
              <w:t>I</w:t>
            </w:r>
            <w:r w:rsidRPr="00E005C5">
              <w:rPr>
                <w:sz w:val="22"/>
                <w:szCs w:val="22"/>
              </w:rPr>
              <w:t>kke almindelig: muskelatrofi, artralgi, myalgi;</w:t>
            </w:r>
          </w:p>
          <w:p w:rsidR="002A0DA0" w:rsidRPr="00E005C5" w:rsidRDefault="002A0DA0" w:rsidP="002A0DA0">
            <w:pPr>
              <w:ind w:left="29"/>
              <w:rPr>
                <w:sz w:val="22"/>
                <w:szCs w:val="22"/>
              </w:rPr>
            </w:pPr>
            <w:r>
              <w:rPr>
                <w:sz w:val="22"/>
                <w:szCs w:val="22"/>
              </w:rPr>
              <w:t>S</w:t>
            </w:r>
            <w:r w:rsidRPr="00E005C5">
              <w:rPr>
                <w:sz w:val="22"/>
                <w:szCs w:val="22"/>
              </w:rPr>
              <w:t>jælden: myopati</w:t>
            </w:r>
          </w:p>
        </w:tc>
      </w:tr>
      <w:tr w:rsidR="002A0DA0" w:rsidTr="002A0DA0">
        <w:tc>
          <w:tcPr>
            <w:tcW w:w="4618" w:type="dxa"/>
            <w:tcBorders>
              <w:top w:val="single" w:sz="4" w:space="0" w:color="auto"/>
              <w:left w:val="single" w:sz="4" w:space="0" w:color="auto"/>
              <w:bottom w:val="single" w:sz="4" w:space="0" w:color="auto"/>
              <w:right w:val="single" w:sz="4" w:space="0" w:color="auto"/>
            </w:tcBorders>
            <w:hideMark/>
          </w:tcPr>
          <w:p w:rsidR="002A0DA0" w:rsidRPr="00E005C5" w:rsidRDefault="002A0DA0" w:rsidP="002A0DA0">
            <w:pPr>
              <w:ind w:left="29"/>
              <w:rPr>
                <w:i/>
                <w:sz w:val="22"/>
                <w:szCs w:val="22"/>
              </w:rPr>
            </w:pPr>
            <w:r w:rsidRPr="00E005C5">
              <w:rPr>
                <w:i/>
                <w:sz w:val="22"/>
                <w:szCs w:val="22"/>
              </w:rPr>
              <w:t>Nyrer og urinveje:</w:t>
            </w:r>
          </w:p>
        </w:tc>
        <w:tc>
          <w:tcPr>
            <w:tcW w:w="4619" w:type="dxa"/>
            <w:tcBorders>
              <w:top w:val="single" w:sz="4" w:space="0" w:color="auto"/>
              <w:left w:val="single" w:sz="4" w:space="0" w:color="auto"/>
              <w:bottom w:val="single" w:sz="4" w:space="0" w:color="auto"/>
              <w:right w:val="single" w:sz="4" w:space="0" w:color="auto"/>
            </w:tcBorders>
            <w:hideMark/>
          </w:tcPr>
          <w:p w:rsidR="002A0DA0" w:rsidRPr="00E005C5" w:rsidRDefault="002A0DA0" w:rsidP="002A0DA0">
            <w:pPr>
              <w:ind w:left="29"/>
              <w:rPr>
                <w:sz w:val="22"/>
                <w:szCs w:val="22"/>
              </w:rPr>
            </w:pPr>
            <w:r>
              <w:rPr>
                <w:sz w:val="22"/>
                <w:szCs w:val="22"/>
              </w:rPr>
              <w:t>I</w:t>
            </w:r>
            <w:r w:rsidRPr="00E005C5">
              <w:rPr>
                <w:sz w:val="22"/>
                <w:szCs w:val="22"/>
              </w:rPr>
              <w:t>kke almindelig: nefrolitiasis</w:t>
            </w:r>
            <w:r w:rsidRPr="009064FA">
              <w:rPr>
                <w:sz w:val="22"/>
                <w:szCs w:val="22"/>
                <w:vertAlign w:val="superscript"/>
              </w:rPr>
              <w:t>a</w:t>
            </w:r>
            <w:r w:rsidRPr="00E005C5">
              <w:rPr>
                <w:sz w:val="22"/>
                <w:szCs w:val="22"/>
              </w:rPr>
              <w:t>, hæmaturi, proteinuri, pollakisuri, interstitiel nefritis, kronisk nyresygdom</w:t>
            </w:r>
            <w:r w:rsidRPr="00E005C5">
              <w:rPr>
                <w:sz w:val="22"/>
                <w:szCs w:val="22"/>
                <w:vertAlign w:val="superscript"/>
              </w:rPr>
              <w:t>a</w:t>
            </w:r>
            <w:r w:rsidRPr="00E005C5">
              <w:rPr>
                <w:sz w:val="22"/>
                <w:szCs w:val="22"/>
              </w:rPr>
              <w:t>;</w:t>
            </w:r>
          </w:p>
          <w:p w:rsidR="002A0DA0" w:rsidRPr="00E005C5" w:rsidRDefault="002A0DA0" w:rsidP="002A0DA0">
            <w:pPr>
              <w:ind w:left="29"/>
              <w:rPr>
                <w:sz w:val="22"/>
                <w:szCs w:val="22"/>
              </w:rPr>
            </w:pPr>
            <w:r>
              <w:rPr>
                <w:sz w:val="22"/>
                <w:szCs w:val="22"/>
              </w:rPr>
              <w:t>S</w:t>
            </w:r>
            <w:r w:rsidRPr="00E005C5">
              <w:rPr>
                <w:sz w:val="22"/>
                <w:szCs w:val="22"/>
              </w:rPr>
              <w:t>jælden: nyresmerter</w:t>
            </w:r>
          </w:p>
        </w:tc>
      </w:tr>
      <w:tr w:rsidR="002A0DA0" w:rsidTr="002A0DA0">
        <w:tc>
          <w:tcPr>
            <w:tcW w:w="4618" w:type="dxa"/>
            <w:tcBorders>
              <w:top w:val="single" w:sz="4" w:space="0" w:color="auto"/>
              <w:left w:val="single" w:sz="4" w:space="0" w:color="auto"/>
              <w:bottom w:val="single" w:sz="4" w:space="0" w:color="auto"/>
              <w:right w:val="single" w:sz="4" w:space="0" w:color="auto"/>
            </w:tcBorders>
            <w:hideMark/>
          </w:tcPr>
          <w:p w:rsidR="002A0DA0" w:rsidRPr="00E005C5" w:rsidRDefault="002A0DA0" w:rsidP="002A0DA0">
            <w:pPr>
              <w:ind w:left="29"/>
              <w:rPr>
                <w:i/>
                <w:sz w:val="22"/>
                <w:szCs w:val="22"/>
              </w:rPr>
            </w:pPr>
            <w:r w:rsidRPr="00E005C5">
              <w:rPr>
                <w:i/>
                <w:sz w:val="22"/>
                <w:szCs w:val="22"/>
              </w:rPr>
              <w:t>Det reproduktive system og mammae:</w:t>
            </w:r>
          </w:p>
        </w:tc>
        <w:tc>
          <w:tcPr>
            <w:tcW w:w="4619" w:type="dxa"/>
            <w:tcBorders>
              <w:top w:val="single" w:sz="4" w:space="0" w:color="auto"/>
              <w:left w:val="single" w:sz="4" w:space="0" w:color="auto"/>
              <w:bottom w:val="single" w:sz="4" w:space="0" w:color="auto"/>
              <w:right w:val="single" w:sz="4" w:space="0" w:color="auto"/>
            </w:tcBorders>
            <w:hideMark/>
          </w:tcPr>
          <w:p w:rsidR="002A0DA0" w:rsidRPr="00E005C5" w:rsidRDefault="002A0DA0" w:rsidP="002A0DA0">
            <w:pPr>
              <w:ind w:left="29"/>
              <w:rPr>
                <w:sz w:val="22"/>
                <w:szCs w:val="22"/>
              </w:rPr>
            </w:pPr>
            <w:r>
              <w:rPr>
                <w:sz w:val="22"/>
                <w:szCs w:val="22"/>
              </w:rPr>
              <w:t>I</w:t>
            </w:r>
            <w:r w:rsidRPr="00E005C5">
              <w:rPr>
                <w:sz w:val="22"/>
                <w:szCs w:val="22"/>
              </w:rPr>
              <w:t>kke almindelig: gynækomasti</w:t>
            </w:r>
          </w:p>
        </w:tc>
      </w:tr>
      <w:tr w:rsidR="002A0DA0" w:rsidTr="002A0DA0">
        <w:tc>
          <w:tcPr>
            <w:tcW w:w="4618" w:type="dxa"/>
            <w:tcBorders>
              <w:top w:val="single" w:sz="4" w:space="0" w:color="auto"/>
              <w:left w:val="single" w:sz="4" w:space="0" w:color="auto"/>
              <w:bottom w:val="single" w:sz="4" w:space="0" w:color="auto"/>
              <w:right w:val="single" w:sz="4" w:space="0" w:color="auto"/>
            </w:tcBorders>
            <w:hideMark/>
          </w:tcPr>
          <w:p w:rsidR="002A0DA0" w:rsidRPr="00E005C5" w:rsidRDefault="002A0DA0" w:rsidP="002A0DA0">
            <w:pPr>
              <w:ind w:left="29"/>
              <w:rPr>
                <w:i/>
                <w:sz w:val="22"/>
                <w:szCs w:val="22"/>
              </w:rPr>
            </w:pPr>
            <w:r w:rsidRPr="00E005C5">
              <w:rPr>
                <w:i/>
                <w:sz w:val="22"/>
                <w:szCs w:val="22"/>
              </w:rPr>
              <w:t>Almene symptomer og reaktioner</w:t>
            </w:r>
            <w:r>
              <w:rPr>
                <w:i/>
                <w:sz w:val="22"/>
                <w:szCs w:val="22"/>
              </w:rPr>
              <w:t xml:space="preserve"> </w:t>
            </w:r>
            <w:r w:rsidRPr="00E005C5">
              <w:rPr>
                <w:i/>
                <w:sz w:val="22"/>
                <w:szCs w:val="22"/>
              </w:rPr>
              <w:t>på administrationsstedet:</w:t>
            </w:r>
          </w:p>
        </w:tc>
        <w:tc>
          <w:tcPr>
            <w:tcW w:w="4619" w:type="dxa"/>
            <w:tcBorders>
              <w:top w:val="single" w:sz="4" w:space="0" w:color="auto"/>
              <w:left w:val="single" w:sz="4" w:space="0" w:color="auto"/>
              <w:bottom w:val="single" w:sz="4" w:space="0" w:color="auto"/>
              <w:right w:val="single" w:sz="4" w:space="0" w:color="auto"/>
            </w:tcBorders>
            <w:hideMark/>
          </w:tcPr>
          <w:p w:rsidR="002A0DA0" w:rsidRPr="00E005C5" w:rsidRDefault="002A0DA0" w:rsidP="002A0DA0">
            <w:pPr>
              <w:ind w:left="29"/>
              <w:rPr>
                <w:sz w:val="22"/>
                <w:szCs w:val="22"/>
              </w:rPr>
            </w:pPr>
            <w:r>
              <w:rPr>
                <w:sz w:val="22"/>
                <w:szCs w:val="22"/>
              </w:rPr>
              <w:t>A</w:t>
            </w:r>
            <w:r w:rsidRPr="00E005C5">
              <w:rPr>
                <w:sz w:val="22"/>
                <w:szCs w:val="22"/>
              </w:rPr>
              <w:t>lmindelig: træthed</w:t>
            </w:r>
          </w:p>
          <w:p w:rsidR="002A0DA0" w:rsidRPr="00E005C5" w:rsidRDefault="002A0DA0" w:rsidP="002A0DA0">
            <w:pPr>
              <w:ind w:left="29"/>
              <w:rPr>
                <w:sz w:val="22"/>
                <w:szCs w:val="22"/>
              </w:rPr>
            </w:pPr>
            <w:r>
              <w:rPr>
                <w:sz w:val="22"/>
                <w:szCs w:val="22"/>
              </w:rPr>
              <w:t>I</w:t>
            </w:r>
            <w:r w:rsidRPr="00E005C5">
              <w:rPr>
                <w:sz w:val="22"/>
                <w:szCs w:val="22"/>
              </w:rPr>
              <w:t>kke almindelig: brystsmerter, ubehag, pyreksi, asteni</w:t>
            </w:r>
          </w:p>
          <w:p w:rsidR="002A0DA0" w:rsidRPr="00E005C5" w:rsidRDefault="002A0DA0" w:rsidP="002A0DA0">
            <w:pPr>
              <w:ind w:left="29"/>
              <w:rPr>
                <w:sz w:val="22"/>
                <w:szCs w:val="22"/>
              </w:rPr>
            </w:pPr>
            <w:r>
              <w:rPr>
                <w:sz w:val="22"/>
                <w:szCs w:val="22"/>
              </w:rPr>
              <w:t>S</w:t>
            </w:r>
            <w:r w:rsidRPr="00E005C5">
              <w:rPr>
                <w:sz w:val="22"/>
                <w:szCs w:val="22"/>
              </w:rPr>
              <w:t>jælden: gangforstyrrelser</w:t>
            </w:r>
          </w:p>
        </w:tc>
      </w:tr>
    </w:tbl>
    <w:p w:rsidR="002A0DA0" w:rsidRDefault="002A0DA0" w:rsidP="002A0DA0">
      <w:pPr>
        <w:rPr>
          <w:sz w:val="18"/>
        </w:rPr>
      </w:pPr>
      <w:r>
        <w:rPr>
          <w:sz w:val="18"/>
          <w:vertAlign w:val="superscript"/>
        </w:rPr>
        <w:t>a</w:t>
      </w:r>
      <w:r>
        <w:rPr>
          <w:sz w:val="18"/>
        </w:rPr>
        <w:t xml:space="preserve"> Disse bivirkninger blev identificeret under post-marketing-overvågning, men hyppigheden er dog estimeret ud fra en statistisk beregning baseret på det totale antal patienter, der har været eksponeret for atazanavir i randomiserede, kontrollerede og andre tilgængelige kliniske studier (n = 2.321).</w:t>
      </w:r>
    </w:p>
    <w:p w:rsidR="002A0DA0" w:rsidRDefault="002A0DA0" w:rsidP="002A0DA0">
      <w:pPr>
        <w:rPr>
          <w:sz w:val="18"/>
        </w:rPr>
      </w:pPr>
      <w:r>
        <w:rPr>
          <w:sz w:val="18"/>
          <w:vertAlign w:val="superscript"/>
        </w:rPr>
        <w:t>b</w:t>
      </w:r>
      <w:r>
        <w:rPr>
          <w:sz w:val="18"/>
        </w:rPr>
        <w:t xml:space="preserve"> Se Beskrivelse af udvalgte bivirkninger.</w:t>
      </w:r>
    </w:p>
    <w:p w:rsidR="002A0DA0" w:rsidRDefault="002A0DA0" w:rsidP="002A0DA0">
      <w:pPr>
        <w:rPr>
          <w:sz w:val="22"/>
        </w:rPr>
      </w:pPr>
    </w:p>
    <w:p w:rsidR="002A0DA0" w:rsidRPr="00E005C5" w:rsidRDefault="002A0DA0" w:rsidP="002A0DA0">
      <w:pPr>
        <w:ind w:left="851"/>
        <w:rPr>
          <w:sz w:val="24"/>
          <w:szCs w:val="24"/>
          <w:u w:val="single"/>
        </w:rPr>
      </w:pPr>
      <w:r w:rsidRPr="00E005C5">
        <w:rPr>
          <w:sz w:val="24"/>
          <w:szCs w:val="24"/>
          <w:u w:val="single"/>
        </w:rPr>
        <w:t>Beskrivelse af udvalgte bivirkninger</w:t>
      </w:r>
    </w:p>
    <w:p w:rsidR="002A0DA0" w:rsidRPr="00E005C5" w:rsidRDefault="002A0DA0" w:rsidP="002A0DA0">
      <w:pPr>
        <w:ind w:left="851"/>
        <w:rPr>
          <w:sz w:val="24"/>
          <w:szCs w:val="24"/>
        </w:rPr>
      </w:pPr>
      <w:r w:rsidRPr="00E005C5">
        <w:rPr>
          <w:sz w:val="24"/>
          <w:szCs w:val="24"/>
        </w:rPr>
        <w:t>Hos HIV-inficerede patienter med svær immuninsufficiens kan der ved påbegyndelse af CART opstå en inflammatorisk reaktion på asymptomatiske eller residuale opportunistiske infektioner. Autoimmune lidelser (såsom Graves sygdom</w:t>
      </w:r>
      <w:r>
        <w:rPr>
          <w:sz w:val="24"/>
          <w:szCs w:val="24"/>
        </w:rPr>
        <w:t xml:space="preserve"> og autoimmun hepatitis</w:t>
      </w:r>
      <w:r w:rsidRPr="00E005C5">
        <w:rPr>
          <w:sz w:val="24"/>
          <w:szCs w:val="24"/>
        </w:rPr>
        <w:t>) er også set; tiden til udbrud er imidlertid mere variabel, og udbrud kan optræde mange måneder efter behandlingsstart (se pkt. 4.4).</w:t>
      </w:r>
    </w:p>
    <w:p w:rsidR="002A0DA0" w:rsidRPr="00E005C5" w:rsidRDefault="002A0DA0" w:rsidP="002A0DA0">
      <w:pPr>
        <w:ind w:left="851"/>
        <w:rPr>
          <w:sz w:val="24"/>
          <w:szCs w:val="24"/>
        </w:rPr>
      </w:pPr>
    </w:p>
    <w:p w:rsidR="002A0DA0" w:rsidRPr="00E005C5" w:rsidRDefault="002A0DA0" w:rsidP="002A0DA0">
      <w:pPr>
        <w:ind w:left="851"/>
        <w:rPr>
          <w:sz w:val="24"/>
          <w:szCs w:val="24"/>
        </w:rPr>
      </w:pPr>
      <w:r w:rsidRPr="00E005C5">
        <w:rPr>
          <w:sz w:val="24"/>
          <w:szCs w:val="24"/>
        </w:rPr>
        <w:t>Særligt hos patienter med generelt anerkendte risikofaktorer, fremskreden HIV-sygdom eller langvarig kombinationsbehandling med antiretrovirale lægemidler</w:t>
      </w:r>
      <w:r>
        <w:rPr>
          <w:sz w:val="24"/>
          <w:szCs w:val="24"/>
        </w:rPr>
        <w:t xml:space="preserve"> </w:t>
      </w:r>
      <w:r w:rsidRPr="00E005C5">
        <w:rPr>
          <w:sz w:val="24"/>
          <w:szCs w:val="24"/>
        </w:rPr>
        <w:t>antiretroviral kombinationsbehandling (CART) er der rapporteret om tilfælde af osteonekrose. Hyppigheden heraf er ukendt (se pkt. 4.4).</w:t>
      </w:r>
    </w:p>
    <w:p w:rsidR="00A61314" w:rsidRPr="00E005C5" w:rsidRDefault="00A61314" w:rsidP="002A0DA0">
      <w:pPr>
        <w:rPr>
          <w:sz w:val="24"/>
          <w:szCs w:val="24"/>
        </w:rPr>
      </w:pPr>
    </w:p>
    <w:p w:rsidR="00A61314" w:rsidRPr="00E005C5" w:rsidRDefault="00A61314" w:rsidP="00A61314">
      <w:pPr>
        <w:ind w:left="851"/>
        <w:rPr>
          <w:sz w:val="24"/>
          <w:szCs w:val="24"/>
        </w:rPr>
      </w:pPr>
      <w:r w:rsidRPr="00E005C5">
        <w:rPr>
          <w:sz w:val="24"/>
          <w:szCs w:val="24"/>
        </w:rPr>
        <w:t>Metaboliske parametre</w:t>
      </w:r>
    </w:p>
    <w:p w:rsidR="00A61314" w:rsidRPr="00E005C5" w:rsidRDefault="00A61314" w:rsidP="00A61314">
      <w:pPr>
        <w:ind w:left="851"/>
        <w:rPr>
          <w:sz w:val="24"/>
          <w:szCs w:val="24"/>
        </w:rPr>
      </w:pPr>
      <w:r w:rsidRPr="00E005C5">
        <w:rPr>
          <w:sz w:val="24"/>
          <w:szCs w:val="24"/>
        </w:rPr>
        <w:t>Kropsvægt og niveauerne af lipid og glucose i blodet kan stige under antiretroviral behandling (se pkt. 4.4).</w:t>
      </w:r>
    </w:p>
    <w:p w:rsidR="00A61314" w:rsidRPr="00E005C5" w:rsidRDefault="00A61314" w:rsidP="00A61314">
      <w:pPr>
        <w:ind w:left="851"/>
        <w:rPr>
          <w:sz w:val="24"/>
          <w:szCs w:val="24"/>
        </w:rPr>
      </w:pPr>
    </w:p>
    <w:p w:rsidR="00A61314" w:rsidRPr="00E005C5" w:rsidRDefault="00A61314" w:rsidP="00A61314">
      <w:pPr>
        <w:ind w:left="851"/>
        <w:rPr>
          <w:sz w:val="24"/>
          <w:szCs w:val="24"/>
        </w:rPr>
      </w:pPr>
      <w:r w:rsidRPr="00E005C5">
        <w:rPr>
          <w:sz w:val="24"/>
          <w:szCs w:val="24"/>
        </w:rPr>
        <w:t>Udslæt og relaterede syndromer</w:t>
      </w:r>
    </w:p>
    <w:p w:rsidR="00A61314" w:rsidRPr="00E005C5" w:rsidRDefault="00A61314" w:rsidP="00A61314">
      <w:pPr>
        <w:ind w:left="851"/>
        <w:rPr>
          <w:sz w:val="24"/>
          <w:szCs w:val="24"/>
        </w:rPr>
      </w:pPr>
      <w:r w:rsidRPr="00E005C5">
        <w:rPr>
          <w:sz w:val="24"/>
          <w:szCs w:val="24"/>
        </w:rPr>
        <w:t>Udslæt er ofte lette til moderate makulopapuløse huderuptioner, der optræder inden for de første 3 uger efter påbegyndelse af atazanavir-behandling.</w:t>
      </w:r>
    </w:p>
    <w:p w:rsidR="00A61314" w:rsidRPr="00E005C5" w:rsidRDefault="00A61314" w:rsidP="00A61314">
      <w:pPr>
        <w:ind w:left="851"/>
        <w:rPr>
          <w:sz w:val="24"/>
          <w:szCs w:val="24"/>
        </w:rPr>
      </w:pPr>
    </w:p>
    <w:p w:rsidR="00A61314" w:rsidRPr="00E005C5" w:rsidRDefault="00A61314" w:rsidP="00A61314">
      <w:pPr>
        <w:ind w:left="851"/>
        <w:rPr>
          <w:sz w:val="24"/>
          <w:szCs w:val="24"/>
        </w:rPr>
      </w:pPr>
      <w:r w:rsidRPr="00E005C5">
        <w:rPr>
          <w:sz w:val="24"/>
          <w:szCs w:val="24"/>
        </w:rPr>
        <w:t>Stevens-Johnsons syndrom (SJS), erythema multiforme, toksiske huderuptioner og lægemiddelfremkaldt udslæt med eosinofili og systemiske symptomer (DRESS-syndrom) har været rapporteret hos patienter i behandling med atazanavir (se pkt. 4.4).</w:t>
      </w:r>
    </w:p>
    <w:p w:rsidR="00A61314" w:rsidRPr="00E005C5" w:rsidRDefault="00A61314" w:rsidP="00A61314">
      <w:pPr>
        <w:ind w:left="851"/>
        <w:rPr>
          <w:sz w:val="24"/>
          <w:szCs w:val="24"/>
        </w:rPr>
      </w:pPr>
    </w:p>
    <w:p w:rsidR="00A61314" w:rsidRPr="00E005C5" w:rsidRDefault="00A61314" w:rsidP="00A61314">
      <w:pPr>
        <w:ind w:left="851"/>
        <w:rPr>
          <w:i/>
          <w:sz w:val="24"/>
          <w:szCs w:val="24"/>
        </w:rPr>
      </w:pPr>
      <w:r w:rsidRPr="00E005C5">
        <w:rPr>
          <w:i/>
          <w:sz w:val="24"/>
          <w:szCs w:val="24"/>
        </w:rPr>
        <w:t>Laboratoriemæssige abnormaliteter</w:t>
      </w:r>
    </w:p>
    <w:p w:rsidR="00A61314" w:rsidRPr="00E005C5" w:rsidRDefault="00A61314" w:rsidP="00A61314">
      <w:pPr>
        <w:ind w:left="851"/>
        <w:rPr>
          <w:sz w:val="24"/>
          <w:szCs w:val="24"/>
        </w:rPr>
      </w:pPr>
      <w:r w:rsidRPr="00E005C5">
        <w:rPr>
          <w:sz w:val="24"/>
          <w:szCs w:val="24"/>
        </w:rPr>
        <w:t>Den oftest rapporterede laboratoriemæssige anormalitet hos patienter, der fik regimer indeholdende atazanavir og én eller flere NRTIer, var forhøjet total bilirubin, primært indberettet som indirekte forhøjet [ukonjugeret] bilirubin (87% grad 1, 2, 3 eller 4). Grad 3 eller 4 forhøjelse af total bilirubin blev noteret hos 37% (6% grad 4). Blandt behandlingserfarne patienter som fik atazanavir 300 mg én gang dagligt med 100 mg ritonavir én gang dagligt i gennemsnitligt 95 uger, havde 53% grad 3-4 forhøjelse af total bilirubin. Blandt behandlingsnaive patienter, der fik atazanavir 300 mg én gang dagligt med 100 mg ritonavir én gang dagligt med en middel-behandlingsvarighed på 96 uger, havde 48% grad 3-4 forhøjelse af total bilirubin (se pkt. 4.4).</w:t>
      </w:r>
    </w:p>
    <w:p w:rsidR="00A61314" w:rsidRPr="00E005C5" w:rsidRDefault="00A61314" w:rsidP="00A61314">
      <w:pPr>
        <w:ind w:left="851"/>
        <w:rPr>
          <w:sz w:val="24"/>
          <w:szCs w:val="24"/>
        </w:rPr>
      </w:pPr>
    </w:p>
    <w:p w:rsidR="00A61314" w:rsidRPr="00E005C5" w:rsidRDefault="00A61314" w:rsidP="00A61314">
      <w:pPr>
        <w:ind w:left="851"/>
        <w:rPr>
          <w:sz w:val="24"/>
          <w:szCs w:val="24"/>
        </w:rPr>
      </w:pPr>
      <w:r w:rsidRPr="00E005C5">
        <w:rPr>
          <w:sz w:val="24"/>
          <w:szCs w:val="24"/>
        </w:rPr>
        <w:t>Andre markante, kliniske laboratoriemæssige abnormaliteter (grad 3 eller 4) rapporteret hos ≥2% af patienterne, der fik regimer indeholdende atazanavir og én eller flere NRTIer omfattede: forhøjet kreatinkinase (7%), forhøjet alaninaminotransferase/serum-glutamin-pyrudrue transaminase (ALAT/SGPT) (5%), lav neutrofiltælling (5%), forhøjet aspartataminotransferase/serum-glutaminoxalsyretransaminase (ASAT/SGOT) (3%) og forhøjet lipase (3%).</w:t>
      </w:r>
    </w:p>
    <w:p w:rsidR="00A61314" w:rsidRPr="00E005C5" w:rsidRDefault="00A61314" w:rsidP="00A61314">
      <w:pPr>
        <w:ind w:left="851"/>
        <w:rPr>
          <w:sz w:val="24"/>
          <w:szCs w:val="24"/>
        </w:rPr>
      </w:pPr>
    </w:p>
    <w:p w:rsidR="00A61314" w:rsidRPr="00E005C5" w:rsidRDefault="00A61314" w:rsidP="00A61314">
      <w:pPr>
        <w:ind w:left="851"/>
        <w:rPr>
          <w:sz w:val="24"/>
          <w:szCs w:val="24"/>
        </w:rPr>
      </w:pPr>
      <w:r w:rsidRPr="00E005C5">
        <w:rPr>
          <w:sz w:val="24"/>
          <w:szCs w:val="24"/>
        </w:rPr>
        <w:t xml:space="preserve">To procent af patienterne behandlet med atazanavir oplevede samtidig grad 3-4 ALAT/ASAT og grad 3-4 forhøjelser af total bilirubin. </w:t>
      </w:r>
    </w:p>
    <w:p w:rsidR="00A61314" w:rsidRPr="00E005C5" w:rsidRDefault="00A61314" w:rsidP="00A61314">
      <w:pPr>
        <w:ind w:left="851"/>
        <w:rPr>
          <w:sz w:val="24"/>
          <w:szCs w:val="24"/>
        </w:rPr>
      </w:pPr>
    </w:p>
    <w:p w:rsidR="00A61314" w:rsidRPr="00E005C5" w:rsidRDefault="00A61314" w:rsidP="00A61314">
      <w:pPr>
        <w:ind w:left="851"/>
        <w:rPr>
          <w:sz w:val="24"/>
          <w:szCs w:val="24"/>
          <w:u w:val="single"/>
        </w:rPr>
      </w:pPr>
      <w:r w:rsidRPr="00E005C5">
        <w:rPr>
          <w:sz w:val="24"/>
          <w:szCs w:val="24"/>
          <w:u w:val="single"/>
        </w:rPr>
        <w:t>Pædiatrisk population</w:t>
      </w:r>
    </w:p>
    <w:p w:rsidR="00A61314" w:rsidRPr="00E005C5" w:rsidRDefault="00A61314" w:rsidP="00A61314">
      <w:pPr>
        <w:ind w:left="851"/>
        <w:rPr>
          <w:sz w:val="24"/>
          <w:szCs w:val="24"/>
        </w:rPr>
      </w:pPr>
      <w:r w:rsidRPr="00E005C5">
        <w:rPr>
          <w:sz w:val="24"/>
          <w:szCs w:val="24"/>
        </w:rPr>
        <w:t>Pædiatriske patienter fra 3 måneder til under 18 år, som fik enten oralt pulver eller kapsler, havde i et klinisk studie AI424-020 en gennemsnitlig behandlingsvarighed med atazanavir på 115 uger. Sikkerhedsprofilen i dette studie var overordnet set sammenlignelig med den, der blev set for voksne. Både asymptomatisk atrioventrikulært blok af 1. grad (23%) og 2. grad (1%) blev rapporteret hos pædiatriske patienter. Den hyppigst rapporterede laboratoriemæssige anormalitet hos pædiatriske patienter i behandling med atazanavir var forhøjet total-bilirubin (≥ 2,6 gange ULN, grad 3-4), som</w:t>
      </w:r>
      <w:r>
        <w:rPr>
          <w:sz w:val="24"/>
          <w:szCs w:val="24"/>
        </w:rPr>
        <w:t xml:space="preserve"> </w:t>
      </w:r>
      <w:r w:rsidRPr="00E005C5">
        <w:rPr>
          <w:sz w:val="24"/>
          <w:szCs w:val="24"/>
        </w:rPr>
        <w:t>forekom hos 45% af patienterne.</w:t>
      </w:r>
    </w:p>
    <w:p w:rsidR="00A61314" w:rsidRPr="00E005C5" w:rsidRDefault="00A61314" w:rsidP="00A61314">
      <w:pPr>
        <w:ind w:left="851"/>
        <w:rPr>
          <w:sz w:val="24"/>
          <w:szCs w:val="24"/>
        </w:rPr>
      </w:pPr>
    </w:p>
    <w:p w:rsidR="00A61314" w:rsidRPr="00E005C5" w:rsidRDefault="00A61314" w:rsidP="00A61314">
      <w:pPr>
        <w:ind w:left="851"/>
        <w:rPr>
          <w:sz w:val="24"/>
          <w:szCs w:val="24"/>
        </w:rPr>
      </w:pPr>
      <w:r w:rsidRPr="00E005C5">
        <w:rPr>
          <w:sz w:val="24"/>
          <w:szCs w:val="24"/>
        </w:rPr>
        <w:t>Pædiatriske patienter fra 3 måneder til under 11 år havde i de kliniske studier AI424-397 og AI424-451 en gennemsnitlig behandlingsvarighed med atazanavir oralt pulver på 80 uger. Der blev ikke rapporteret om dødsfald. Sikkerhedsprofilen i disse studier var overordnet set sammenlignelig med den, der blev set i tidligere studier med pædiatriske og voksne patienter. De hyppigst rapporterede laboratoriemæssige anormaliteter hos pædiatriske patienter i behandling med atazanavir oralt pulver var forhøjet total-bilirubin (≥ 2,6 gange ULN, grad 3-4; 16%) og forhøjet amylase (grad 3-4; 33%), generelt ikke udgået fra pancreas. I disse studier blev forhøjede ALAT-niveauer rapporteret hyppigere hos pædiatriske patienter end hos voksne.</w:t>
      </w:r>
    </w:p>
    <w:p w:rsidR="00A61314" w:rsidRPr="00E005C5" w:rsidRDefault="00A61314" w:rsidP="00A61314">
      <w:pPr>
        <w:ind w:left="851"/>
        <w:rPr>
          <w:sz w:val="24"/>
          <w:szCs w:val="24"/>
        </w:rPr>
      </w:pPr>
    </w:p>
    <w:p w:rsidR="00A61314" w:rsidRPr="00E005C5" w:rsidRDefault="00A61314" w:rsidP="00A61314">
      <w:pPr>
        <w:ind w:left="851"/>
        <w:rPr>
          <w:sz w:val="24"/>
          <w:szCs w:val="24"/>
          <w:u w:val="single"/>
        </w:rPr>
      </w:pPr>
      <w:r w:rsidRPr="00E005C5">
        <w:rPr>
          <w:sz w:val="24"/>
          <w:szCs w:val="24"/>
          <w:u w:val="single"/>
        </w:rPr>
        <w:t>Andre specielle populationer</w:t>
      </w:r>
    </w:p>
    <w:p w:rsidR="00A61314" w:rsidRPr="00E005C5" w:rsidRDefault="00A61314" w:rsidP="00A61314">
      <w:pPr>
        <w:ind w:left="851"/>
        <w:rPr>
          <w:i/>
          <w:sz w:val="24"/>
          <w:szCs w:val="24"/>
        </w:rPr>
      </w:pPr>
      <w:r w:rsidRPr="00E005C5">
        <w:rPr>
          <w:i/>
          <w:sz w:val="24"/>
          <w:szCs w:val="24"/>
        </w:rPr>
        <w:t>Patienter med samtidig hepatitis B- og/eller hepatitis C-virusinfektion</w:t>
      </w:r>
    </w:p>
    <w:p w:rsidR="00A61314" w:rsidRPr="00E005C5" w:rsidRDefault="00A61314" w:rsidP="00A61314">
      <w:pPr>
        <w:ind w:left="851"/>
        <w:rPr>
          <w:sz w:val="24"/>
          <w:szCs w:val="24"/>
        </w:rPr>
      </w:pPr>
      <w:r w:rsidRPr="00E005C5">
        <w:rPr>
          <w:sz w:val="24"/>
          <w:szCs w:val="24"/>
        </w:rPr>
        <w:t xml:space="preserve">Blandt 1.151 patienter, der fik 400 mg atazanavir én gang dagligt, var 177 patienter samtidig inficeret med kronisk hepatitis B eller C, og blandt 655 patienter, der fik 300 mg atazanavir én gang dagligt med 100 mg ritonavir én gang dagligt, var 97 patienter samtidig inficeret med kronisk hepatitis B eller C. Samtidigt inficerede patienter havde større sandsynlighed for forhøjede levertransaminaser ved baseline end de, der ikke havde kronisk viral hepatitis. Der er ikke observeret forskel i hyppigheden af bilirubinforhøjelser mellem disse patienter og dem uden viral hepatitis. Hyppigheden af behandlingsrelateret </w:t>
      </w:r>
      <w:r w:rsidRPr="00E005C5">
        <w:rPr>
          <w:sz w:val="24"/>
          <w:szCs w:val="24"/>
        </w:rPr>
        <w:lastRenderedPageBreak/>
        <w:t>hepatitis eller transaminaseforhøjelser hos samtidigt inficerede patienter var sammenlignelig mellem atazanavir og sammenlignelige regimer (se pkt. 4.4).</w:t>
      </w:r>
    </w:p>
    <w:p w:rsidR="00A61314" w:rsidRPr="00E005C5" w:rsidRDefault="00A61314" w:rsidP="00A61314">
      <w:pPr>
        <w:ind w:left="851"/>
        <w:rPr>
          <w:sz w:val="24"/>
          <w:szCs w:val="24"/>
        </w:rPr>
      </w:pPr>
    </w:p>
    <w:p w:rsidR="00A61314" w:rsidRPr="00E005C5" w:rsidRDefault="00A61314" w:rsidP="00A61314">
      <w:pPr>
        <w:ind w:left="851"/>
        <w:rPr>
          <w:sz w:val="24"/>
          <w:szCs w:val="24"/>
          <w:u w:val="single"/>
        </w:rPr>
      </w:pPr>
      <w:r w:rsidRPr="00E005C5">
        <w:rPr>
          <w:sz w:val="24"/>
          <w:szCs w:val="24"/>
          <w:u w:val="single"/>
        </w:rPr>
        <w:t>Indberetning af formodede bivirkninger</w:t>
      </w:r>
    </w:p>
    <w:p w:rsidR="00A61314" w:rsidRPr="00E005C5" w:rsidRDefault="00A61314" w:rsidP="00A61314">
      <w:pPr>
        <w:ind w:left="851"/>
        <w:rPr>
          <w:sz w:val="24"/>
          <w:szCs w:val="24"/>
        </w:rPr>
      </w:pPr>
      <w:r w:rsidRPr="00E005C5">
        <w:rPr>
          <w:sz w:val="24"/>
          <w:szCs w:val="24"/>
        </w:rPr>
        <w:t xml:space="preserve">Når lægemidlet er godkendt, er indberetning af formodede bivirkninger vigtig. Det muliggør løbende overvågning af benefit/risk-forholdet for lægemidlet. </w:t>
      </w:r>
      <w:r w:rsidR="00292EB4">
        <w:rPr>
          <w:sz w:val="24"/>
          <w:szCs w:val="24"/>
        </w:rPr>
        <w:t>S</w:t>
      </w:r>
      <w:r w:rsidRPr="00E005C5">
        <w:rPr>
          <w:sz w:val="24"/>
          <w:szCs w:val="24"/>
        </w:rPr>
        <w:t>undhedspersone</w:t>
      </w:r>
      <w:r w:rsidR="00292EB4">
        <w:rPr>
          <w:sz w:val="24"/>
          <w:szCs w:val="24"/>
        </w:rPr>
        <w:t>r</w:t>
      </w:r>
      <w:r w:rsidRPr="00E005C5">
        <w:rPr>
          <w:sz w:val="24"/>
          <w:szCs w:val="24"/>
        </w:rPr>
        <w:t xml:space="preserve"> anmodes om at indberette alle formodede bivirkninger via:</w:t>
      </w:r>
    </w:p>
    <w:p w:rsidR="00A61314" w:rsidRPr="00E005C5" w:rsidRDefault="00A61314" w:rsidP="00A61314">
      <w:pPr>
        <w:ind w:left="851"/>
        <w:rPr>
          <w:sz w:val="24"/>
          <w:szCs w:val="24"/>
        </w:rPr>
      </w:pPr>
    </w:p>
    <w:p w:rsidR="00A61314" w:rsidRPr="00E005C5" w:rsidRDefault="00A61314" w:rsidP="00A61314">
      <w:pPr>
        <w:ind w:left="851"/>
        <w:rPr>
          <w:sz w:val="24"/>
          <w:szCs w:val="24"/>
        </w:rPr>
      </w:pPr>
      <w:r w:rsidRPr="00E005C5">
        <w:rPr>
          <w:sz w:val="24"/>
          <w:szCs w:val="24"/>
        </w:rPr>
        <w:t>Lægemiddelstyrelsen</w:t>
      </w:r>
    </w:p>
    <w:p w:rsidR="00A61314" w:rsidRPr="00E005C5" w:rsidRDefault="00A61314" w:rsidP="00A61314">
      <w:pPr>
        <w:ind w:left="851"/>
        <w:rPr>
          <w:sz w:val="24"/>
          <w:szCs w:val="24"/>
        </w:rPr>
      </w:pPr>
      <w:r w:rsidRPr="00E005C5">
        <w:rPr>
          <w:sz w:val="24"/>
          <w:szCs w:val="24"/>
        </w:rPr>
        <w:t>Axel Heides Gade 1</w:t>
      </w:r>
    </w:p>
    <w:p w:rsidR="00A61314" w:rsidRPr="00E005C5" w:rsidRDefault="00A61314" w:rsidP="00A61314">
      <w:pPr>
        <w:ind w:left="851"/>
        <w:rPr>
          <w:sz w:val="24"/>
          <w:szCs w:val="24"/>
        </w:rPr>
      </w:pPr>
      <w:r w:rsidRPr="00E005C5">
        <w:rPr>
          <w:sz w:val="24"/>
          <w:szCs w:val="24"/>
        </w:rPr>
        <w:t>DK-2300 København S</w:t>
      </w:r>
      <w:r w:rsidRPr="00E005C5">
        <w:rPr>
          <w:sz w:val="24"/>
          <w:szCs w:val="24"/>
        </w:rPr>
        <w:br/>
        <w:t xml:space="preserve">Websted: </w:t>
      </w:r>
      <w:hyperlink r:id="rId8" w:history="1">
        <w:r w:rsidRPr="00E005C5">
          <w:rPr>
            <w:rStyle w:val="Hyperlink"/>
            <w:sz w:val="24"/>
            <w:szCs w:val="24"/>
          </w:rPr>
          <w:t>www.meldenbivirkning.dk</w:t>
        </w:r>
      </w:hyperlink>
    </w:p>
    <w:p w:rsidR="00A61314" w:rsidRPr="00322542" w:rsidRDefault="00A61314" w:rsidP="00A61314">
      <w:pPr>
        <w:pStyle w:val="Sidehoved"/>
        <w:tabs>
          <w:tab w:val="left" w:pos="851"/>
        </w:tabs>
        <w:ind w:left="851"/>
        <w:rPr>
          <w:szCs w:val="24"/>
        </w:rPr>
      </w:pPr>
    </w:p>
    <w:p w:rsidR="00A61314" w:rsidRPr="00322542" w:rsidRDefault="00A61314" w:rsidP="00A61314">
      <w:pPr>
        <w:tabs>
          <w:tab w:val="left" w:pos="851"/>
        </w:tabs>
        <w:ind w:left="851" w:hanging="851"/>
        <w:rPr>
          <w:b/>
          <w:sz w:val="24"/>
          <w:szCs w:val="24"/>
        </w:rPr>
      </w:pPr>
      <w:r w:rsidRPr="00322542">
        <w:rPr>
          <w:b/>
          <w:sz w:val="24"/>
          <w:szCs w:val="24"/>
        </w:rPr>
        <w:t>4.9</w:t>
      </w:r>
      <w:r w:rsidRPr="00322542">
        <w:rPr>
          <w:b/>
          <w:sz w:val="24"/>
          <w:szCs w:val="24"/>
        </w:rPr>
        <w:tab/>
        <w:t>Overdosering</w:t>
      </w:r>
    </w:p>
    <w:p w:rsidR="00A61314" w:rsidRPr="00E005C5" w:rsidRDefault="00A61314" w:rsidP="00A61314">
      <w:pPr>
        <w:ind w:left="851"/>
        <w:rPr>
          <w:sz w:val="24"/>
          <w:szCs w:val="24"/>
        </w:rPr>
      </w:pPr>
      <w:r w:rsidRPr="00E005C5">
        <w:rPr>
          <w:sz w:val="24"/>
          <w:szCs w:val="24"/>
        </w:rPr>
        <w:t>Der er begrænset erfaring med akut human overdosering med atazanavir. Raske frivillige har indtaget enkeltdoser på op til 1.200 mg uden symptomatisk negativ effekt. Ved høje doser, som kan medføre højt lægemiddeloptag, kan der observeres gulsot på grund af indirekte (ukonjugeret) hyperbilirubinæmi (uden dermed forbundne ændringer i leverfunktionstest) eller forlængelse af P</w:t>
      </w:r>
      <w:r>
        <w:rPr>
          <w:sz w:val="24"/>
          <w:szCs w:val="24"/>
        </w:rPr>
        <w:t>R-</w:t>
      </w:r>
      <w:r w:rsidRPr="00E005C5">
        <w:rPr>
          <w:sz w:val="24"/>
          <w:szCs w:val="24"/>
        </w:rPr>
        <w:t>interval (se pkt. 4.4 og 4.8).</w:t>
      </w:r>
    </w:p>
    <w:p w:rsidR="00A61314" w:rsidRPr="00E005C5" w:rsidRDefault="00A61314" w:rsidP="00A61314">
      <w:pPr>
        <w:ind w:left="851"/>
        <w:rPr>
          <w:sz w:val="24"/>
          <w:szCs w:val="24"/>
        </w:rPr>
      </w:pPr>
    </w:p>
    <w:p w:rsidR="00A61314" w:rsidRPr="00E005C5" w:rsidRDefault="00A61314" w:rsidP="00A61314">
      <w:pPr>
        <w:ind w:left="851"/>
        <w:rPr>
          <w:sz w:val="24"/>
          <w:szCs w:val="24"/>
        </w:rPr>
      </w:pPr>
      <w:r w:rsidRPr="00E005C5">
        <w:rPr>
          <w:sz w:val="24"/>
          <w:szCs w:val="24"/>
        </w:rPr>
        <w:t xml:space="preserve">Behandling af overdosering med atazanavir bør bestå af generelt understøttende tiltag, inklusive monitorering af vitale tegn og elektrokardiogram (ekg) samt observation af patientens kliniske status. Hvis indiceret, kan udskillelse af uoptaget atazanavir opnås ved opkastning eller maveskylning. Administration af aktivt kul kan også anvendes som middel til at fjerne uoptaget lægemiddel. Der findes ingen specifik antidot for overdosering med </w:t>
      </w:r>
      <w:r>
        <w:rPr>
          <w:sz w:val="24"/>
          <w:szCs w:val="24"/>
        </w:rPr>
        <w:t>Atazanavir "Stada"</w:t>
      </w:r>
      <w:r w:rsidRPr="00E005C5">
        <w:rPr>
          <w:sz w:val="24"/>
          <w:szCs w:val="24"/>
        </w:rPr>
        <w:t>. Da atazanavir i udtalt grad metaboliseres i leveren og er udtalt proteinbundet, er det usandsynligt, at dialyse i signifikant grad kan bidrage til fjernelse af dette lægemiddel.</w:t>
      </w:r>
    </w:p>
    <w:p w:rsidR="00A61314" w:rsidRPr="00C84483" w:rsidRDefault="00A61314" w:rsidP="00A61314">
      <w:pPr>
        <w:tabs>
          <w:tab w:val="left" w:pos="851"/>
        </w:tabs>
        <w:ind w:left="851"/>
        <w:rPr>
          <w:sz w:val="24"/>
          <w:szCs w:val="24"/>
        </w:rPr>
      </w:pPr>
    </w:p>
    <w:p w:rsidR="00A61314" w:rsidRPr="00C84483" w:rsidRDefault="00A61314" w:rsidP="00A61314">
      <w:pPr>
        <w:tabs>
          <w:tab w:val="left" w:pos="851"/>
        </w:tabs>
        <w:ind w:left="851" w:hanging="851"/>
        <w:rPr>
          <w:b/>
          <w:sz w:val="24"/>
          <w:szCs w:val="24"/>
        </w:rPr>
      </w:pPr>
      <w:r w:rsidRPr="00C84483">
        <w:rPr>
          <w:b/>
          <w:sz w:val="24"/>
          <w:szCs w:val="24"/>
        </w:rPr>
        <w:t>4.10</w:t>
      </w:r>
      <w:r w:rsidRPr="00C84483">
        <w:rPr>
          <w:b/>
          <w:sz w:val="24"/>
          <w:szCs w:val="24"/>
        </w:rPr>
        <w:tab/>
        <w:t>Udlevering</w:t>
      </w:r>
    </w:p>
    <w:p w:rsidR="00A61314" w:rsidRDefault="00A61314" w:rsidP="00A61314">
      <w:pPr>
        <w:ind w:firstLine="851"/>
        <w:rPr>
          <w:sz w:val="22"/>
        </w:rPr>
      </w:pPr>
      <w:r>
        <w:t>BEGR - kun til sygehuse</w:t>
      </w:r>
    </w:p>
    <w:p w:rsidR="00A61314" w:rsidRPr="00C84483" w:rsidRDefault="00A61314" w:rsidP="00A61314">
      <w:pPr>
        <w:tabs>
          <w:tab w:val="left" w:pos="851"/>
        </w:tabs>
        <w:ind w:left="851"/>
        <w:rPr>
          <w:sz w:val="24"/>
          <w:szCs w:val="24"/>
        </w:rPr>
      </w:pPr>
    </w:p>
    <w:p w:rsidR="00A61314" w:rsidRPr="00C84483" w:rsidRDefault="00A61314" w:rsidP="00A61314">
      <w:pPr>
        <w:tabs>
          <w:tab w:val="left" w:pos="851"/>
        </w:tabs>
        <w:ind w:left="851"/>
        <w:rPr>
          <w:sz w:val="24"/>
          <w:szCs w:val="24"/>
        </w:rPr>
      </w:pPr>
    </w:p>
    <w:p w:rsidR="00A61314" w:rsidRPr="00B1422A" w:rsidRDefault="00A61314" w:rsidP="00B1422A">
      <w:pPr>
        <w:tabs>
          <w:tab w:val="left" w:pos="851"/>
        </w:tabs>
        <w:ind w:left="851" w:hanging="851"/>
        <w:rPr>
          <w:b/>
          <w:sz w:val="24"/>
          <w:szCs w:val="24"/>
        </w:rPr>
      </w:pPr>
      <w:r w:rsidRPr="00C84483">
        <w:rPr>
          <w:b/>
          <w:sz w:val="24"/>
          <w:szCs w:val="24"/>
        </w:rPr>
        <w:t>5.</w:t>
      </w:r>
      <w:r w:rsidRPr="00C84483">
        <w:rPr>
          <w:b/>
          <w:sz w:val="24"/>
          <w:szCs w:val="24"/>
        </w:rPr>
        <w:tab/>
        <w:t>FARMAKOLOGISKE EGENSKABER</w:t>
      </w:r>
      <w:r w:rsidRPr="008955A1">
        <w:rPr>
          <w:sz w:val="24"/>
          <w:szCs w:val="24"/>
        </w:rPr>
        <w:t xml:space="preserve"> </w:t>
      </w:r>
    </w:p>
    <w:p w:rsidR="00A61314" w:rsidRPr="00C84483" w:rsidRDefault="00A61314" w:rsidP="00A61314">
      <w:pPr>
        <w:tabs>
          <w:tab w:val="left" w:pos="851"/>
        </w:tabs>
        <w:ind w:left="851"/>
        <w:rPr>
          <w:sz w:val="24"/>
          <w:szCs w:val="24"/>
        </w:rPr>
      </w:pPr>
    </w:p>
    <w:p w:rsidR="00A61314" w:rsidRDefault="00A61314" w:rsidP="00A61314">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B1422A" w:rsidRDefault="00B1422A" w:rsidP="00A61314">
      <w:pPr>
        <w:tabs>
          <w:tab w:val="num" w:pos="851"/>
        </w:tabs>
        <w:ind w:left="851" w:hanging="851"/>
        <w:rPr>
          <w:sz w:val="24"/>
          <w:szCs w:val="24"/>
        </w:rPr>
      </w:pPr>
      <w:r>
        <w:rPr>
          <w:b/>
          <w:sz w:val="24"/>
          <w:szCs w:val="24"/>
        </w:rPr>
        <w:tab/>
      </w:r>
      <w:r w:rsidRPr="00C922B2">
        <w:rPr>
          <w:sz w:val="24"/>
          <w:szCs w:val="24"/>
        </w:rPr>
        <w:t>Farmakoterapeutisk klassifikation:</w:t>
      </w:r>
      <w:r>
        <w:rPr>
          <w:sz w:val="24"/>
          <w:szCs w:val="24"/>
        </w:rPr>
        <w:t xml:space="preserve"> </w:t>
      </w:r>
      <w:r w:rsidRPr="008955A1">
        <w:rPr>
          <w:sz w:val="24"/>
          <w:szCs w:val="24"/>
        </w:rPr>
        <w:t>Antivirale midler til systemisk brug, proteasehæmmere</w:t>
      </w:r>
      <w:r>
        <w:rPr>
          <w:sz w:val="24"/>
          <w:szCs w:val="24"/>
        </w:rPr>
        <w:t xml:space="preserve">, </w:t>
      </w:r>
      <w:r w:rsidRPr="008955A1">
        <w:rPr>
          <w:sz w:val="24"/>
          <w:szCs w:val="24"/>
        </w:rPr>
        <w:t>ATC-kode:</w:t>
      </w:r>
      <w:r>
        <w:rPr>
          <w:sz w:val="24"/>
          <w:szCs w:val="24"/>
        </w:rPr>
        <w:t xml:space="preserve"> </w:t>
      </w:r>
      <w:r w:rsidRPr="008955A1">
        <w:rPr>
          <w:sz w:val="24"/>
          <w:szCs w:val="24"/>
        </w:rPr>
        <w:t>J</w:t>
      </w:r>
      <w:r>
        <w:rPr>
          <w:sz w:val="24"/>
          <w:szCs w:val="24"/>
        </w:rPr>
        <w:t xml:space="preserve"> </w:t>
      </w:r>
      <w:r w:rsidRPr="008955A1">
        <w:rPr>
          <w:sz w:val="24"/>
          <w:szCs w:val="24"/>
        </w:rPr>
        <w:t>05</w:t>
      </w:r>
      <w:r>
        <w:rPr>
          <w:sz w:val="24"/>
          <w:szCs w:val="24"/>
        </w:rPr>
        <w:t xml:space="preserve"> </w:t>
      </w:r>
      <w:r w:rsidRPr="008955A1">
        <w:rPr>
          <w:sz w:val="24"/>
          <w:szCs w:val="24"/>
        </w:rPr>
        <w:t>AE</w:t>
      </w:r>
      <w:r>
        <w:rPr>
          <w:sz w:val="24"/>
          <w:szCs w:val="24"/>
        </w:rPr>
        <w:t xml:space="preserve"> </w:t>
      </w:r>
      <w:r w:rsidRPr="008955A1">
        <w:rPr>
          <w:sz w:val="24"/>
          <w:szCs w:val="24"/>
        </w:rPr>
        <w:t>08</w:t>
      </w:r>
      <w:r>
        <w:rPr>
          <w:sz w:val="24"/>
          <w:szCs w:val="24"/>
        </w:rPr>
        <w:t>.</w:t>
      </w:r>
    </w:p>
    <w:p w:rsidR="00B1422A" w:rsidRPr="001337F3" w:rsidRDefault="00B1422A" w:rsidP="00A61314">
      <w:pPr>
        <w:tabs>
          <w:tab w:val="num" w:pos="851"/>
        </w:tabs>
        <w:ind w:left="851" w:hanging="851"/>
        <w:rPr>
          <w:b/>
          <w:sz w:val="24"/>
          <w:szCs w:val="24"/>
        </w:rPr>
      </w:pPr>
    </w:p>
    <w:p w:rsidR="00A61314" w:rsidRPr="008955A1" w:rsidRDefault="00A61314" w:rsidP="00A61314">
      <w:pPr>
        <w:ind w:left="851"/>
        <w:rPr>
          <w:sz w:val="24"/>
          <w:szCs w:val="24"/>
          <w:u w:val="single"/>
        </w:rPr>
      </w:pPr>
      <w:r w:rsidRPr="008955A1">
        <w:rPr>
          <w:sz w:val="24"/>
          <w:szCs w:val="24"/>
          <w:u w:val="single"/>
        </w:rPr>
        <w:t>Virkningsmekanisme</w:t>
      </w:r>
    </w:p>
    <w:p w:rsidR="00A61314" w:rsidRPr="008955A1" w:rsidRDefault="00A61314" w:rsidP="00A61314">
      <w:pPr>
        <w:ind w:left="851"/>
        <w:rPr>
          <w:sz w:val="24"/>
          <w:szCs w:val="24"/>
        </w:rPr>
      </w:pPr>
      <w:r w:rsidRPr="008955A1">
        <w:rPr>
          <w:sz w:val="24"/>
          <w:szCs w:val="24"/>
        </w:rPr>
        <w:t>Atazanavir er en azapeptid HIV-1-proteasehæmmer (PI). Stoffet blokerer bearbejdningen af virale gagpol-proteiner i HIV-1 inficerede celler og hindrer dermed dannelsen af modne virioner og infektion af andre celler.</w:t>
      </w:r>
    </w:p>
    <w:p w:rsidR="00A61314" w:rsidRPr="008955A1" w:rsidRDefault="00A61314" w:rsidP="00A61314">
      <w:pPr>
        <w:ind w:left="851"/>
        <w:rPr>
          <w:sz w:val="24"/>
          <w:szCs w:val="24"/>
        </w:rPr>
      </w:pPr>
    </w:p>
    <w:p w:rsidR="00A61314" w:rsidRPr="008955A1" w:rsidRDefault="00A61314" w:rsidP="00A61314">
      <w:pPr>
        <w:ind w:left="851"/>
        <w:rPr>
          <w:sz w:val="24"/>
          <w:szCs w:val="24"/>
        </w:rPr>
      </w:pPr>
      <w:r w:rsidRPr="008955A1">
        <w:rPr>
          <w:i/>
          <w:sz w:val="24"/>
          <w:szCs w:val="24"/>
        </w:rPr>
        <w:t>Antiviral aktivitet in vitro:</w:t>
      </w:r>
      <w:r w:rsidRPr="008955A1">
        <w:rPr>
          <w:sz w:val="24"/>
          <w:szCs w:val="24"/>
        </w:rPr>
        <w:t xml:space="preserve"> Atazanavir udviser anti-HIV-1 (herunder alle testede grupper) og anti-HIV-2 aktivitet i cellekulturer.</w:t>
      </w:r>
    </w:p>
    <w:p w:rsidR="00A61314" w:rsidRPr="008955A1" w:rsidRDefault="00A61314" w:rsidP="00A61314">
      <w:pPr>
        <w:ind w:left="851"/>
        <w:rPr>
          <w:sz w:val="24"/>
          <w:szCs w:val="24"/>
        </w:rPr>
      </w:pPr>
    </w:p>
    <w:p w:rsidR="00A61314" w:rsidRPr="008955A1" w:rsidRDefault="00A61314" w:rsidP="00A61314">
      <w:pPr>
        <w:keepNext/>
        <w:ind w:left="851"/>
        <w:rPr>
          <w:b/>
          <w:sz w:val="24"/>
          <w:szCs w:val="24"/>
        </w:rPr>
      </w:pPr>
      <w:r w:rsidRPr="008955A1">
        <w:rPr>
          <w:b/>
          <w:sz w:val="24"/>
          <w:szCs w:val="24"/>
        </w:rPr>
        <w:t>Resistens</w:t>
      </w:r>
    </w:p>
    <w:p w:rsidR="00A61314" w:rsidRPr="008955A1" w:rsidRDefault="00A61314" w:rsidP="00A61314">
      <w:pPr>
        <w:keepNext/>
        <w:ind w:left="851"/>
        <w:rPr>
          <w:i/>
          <w:sz w:val="24"/>
          <w:szCs w:val="24"/>
        </w:rPr>
      </w:pPr>
      <w:r w:rsidRPr="008955A1">
        <w:rPr>
          <w:i/>
          <w:sz w:val="24"/>
          <w:szCs w:val="24"/>
        </w:rPr>
        <w:t>Voksne patienter, der ikke tidligere har været i antiretroviral behandling</w:t>
      </w:r>
    </w:p>
    <w:p w:rsidR="00A61314" w:rsidRPr="008955A1" w:rsidRDefault="00A61314" w:rsidP="00A61314">
      <w:pPr>
        <w:ind w:left="851"/>
        <w:rPr>
          <w:sz w:val="24"/>
          <w:szCs w:val="24"/>
        </w:rPr>
      </w:pPr>
      <w:r w:rsidRPr="008955A1">
        <w:rPr>
          <w:sz w:val="24"/>
          <w:szCs w:val="24"/>
        </w:rPr>
        <w:t xml:space="preserve">I kliniske studier med patienter, der ikke tidligere har modtaget antiretroviral behandling, og som behandles med ikke-boostet atazanavir, er I50L-substitutionen, nogle gange i </w:t>
      </w:r>
      <w:r w:rsidRPr="008955A1">
        <w:rPr>
          <w:sz w:val="24"/>
          <w:szCs w:val="24"/>
        </w:rPr>
        <w:lastRenderedPageBreak/>
        <w:t>kombination med A71Vændring, den kendetegnende resistenssubstitution for atazanavir. Resistensniveauerne over for atazanavir strakte sig fra 3,5 til 29 gange uden tegn på fænotypekrydsresistens over for andre PI’er (proteasehæmmere). I kliniske studier med patienter, der ikke tidligere har modtaget antiretroviral behandling, og som behandles med boostet atazanavir, forekom der ikke I50-substitution hos nogen af patienterne uden baseline PI-substitution. N88S-substitution er i sjældne tilfælde set hos patienter med virologisk svigt ved atazanavirbehandling (med eller uden ritonavir). Mens det kan bidrage til nedsat følsomhed over for atazanavir, når det forekommer med andre proteasesubstitutioner, har N88S i kliniske studier for sig selv ikke altid medført fænotyperesistens over for atazanavir eller konsekvent påvirket den kliniske effekt.</w:t>
      </w:r>
    </w:p>
    <w:p w:rsidR="00A61314" w:rsidRDefault="00A61314" w:rsidP="00A61314"/>
    <w:p w:rsidR="002A0DA0" w:rsidRDefault="002A0DA0" w:rsidP="002A0DA0">
      <w:pPr>
        <w:rPr>
          <w:b/>
        </w:rPr>
      </w:pPr>
      <w:r>
        <w:rPr>
          <w:b/>
        </w:rPr>
        <w:t>Tabel 3. De novo substitutioner hos patienter, der ikke tidligere har modtaget antiretroviral behandling og med svigt i behandling med atazanavir + ritonavir (studie 138, 96 uger)</w:t>
      </w:r>
    </w:p>
    <w:tbl>
      <w:tblPr>
        <w:tblStyle w:val="Tabel-Gitter"/>
        <w:tblW w:w="5000" w:type="pct"/>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4819"/>
        <w:gridCol w:w="4819"/>
      </w:tblGrid>
      <w:tr w:rsidR="002A0DA0" w:rsidRPr="00C31425" w:rsidTr="002A0DA0">
        <w:tc>
          <w:tcPr>
            <w:tcW w:w="2500" w:type="pct"/>
            <w:tcBorders>
              <w:top w:val="single" w:sz="18" w:space="0" w:color="auto"/>
              <w:left w:val="nil"/>
              <w:bottom w:val="single" w:sz="4" w:space="0" w:color="auto"/>
              <w:right w:val="nil"/>
            </w:tcBorders>
          </w:tcPr>
          <w:p w:rsidR="002A0DA0" w:rsidRDefault="002A0DA0" w:rsidP="002A0DA0">
            <w:pPr>
              <w:tabs>
                <w:tab w:val="left" w:pos="709"/>
              </w:tabs>
              <w:rPr>
                <w:rFonts w:ascii="Times New Roman" w:hAnsi="Times New Roman" w:cs="Times New Roman"/>
                <w:b/>
              </w:rPr>
            </w:pPr>
          </w:p>
          <w:p w:rsidR="002A0DA0" w:rsidRDefault="002A0DA0" w:rsidP="002A0DA0">
            <w:pPr>
              <w:tabs>
                <w:tab w:val="left" w:pos="709"/>
              </w:tabs>
              <w:rPr>
                <w:rFonts w:ascii="Times New Roman" w:hAnsi="Times New Roman" w:cs="Times New Roman"/>
                <w:b/>
              </w:rPr>
            </w:pPr>
            <w:r>
              <w:rPr>
                <w:rFonts w:ascii="Times New Roman" w:hAnsi="Times New Roman" w:cs="Times New Roman"/>
                <w:b/>
              </w:rPr>
              <w:t>Hyppighed</w:t>
            </w:r>
          </w:p>
        </w:tc>
        <w:tc>
          <w:tcPr>
            <w:tcW w:w="2500" w:type="pct"/>
            <w:tcBorders>
              <w:top w:val="single" w:sz="18" w:space="0" w:color="auto"/>
              <w:left w:val="nil"/>
              <w:bottom w:val="single" w:sz="4" w:space="0" w:color="auto"/>
              <w:right w:val="nil"/>
            </w:tcBorders>
          </w:tcPr>
          <w:p w:rsidR="002A0DA0" w:rsidRPr="000258D7" w:rsidRDefault="002A0DA0" w:rsidP="002A0DA0">
            <w:pPr>
              <w:tabs>
                <w:tab w:val="left" w:pos="709"/>
              </w:tabs>
              <w:rPr>
                <w:rFonts w:ascii="Times New Roman" w:hAnsi="Times New Roman" w:cs="Times New Roman"/>
                <w:b/>
                <w:lang w:val="en-US"/>
              </w:rPr>
            </w:pPr>
          </w:p>
          <w:p w:rsidR="002A0DA0" w:rsidRDefault="002A0DA0" w:rsidP="002A0DA0">
            <w:pPr>
              <w:tabs>
                <w:tab w:val="left" w:pos="709"/>
              </w:tabs>
              <w:rPr>
                <w:rFonts w:ascii="Times New Roman" w:hAnsi="Times New Roman" w:cs="Times New Roman"/>
                <w:b/>
                <w:vertAlign w:val="superscript"/>
                <w:lang w:val="en-US"/>
              </w:rPr>
            </w:pPr>
            <w:r>
              <w:rPr>
                <w:rFonts w:ascii="Times New Roman" w:hAnsi="Times New Roman" w:cs="Times New Roman"/>
                <w:b/>
                <w:lang w:val="en-US"/>
              </w:rPr>
              <w:t xml:space="preserve">de novo PI substitution (n = </w:t>
            </w:r>
            <w:proofErr w:type="gramStart"/>
            <w:r>
              <w:rPr>
                <w:rFonts w:ascii="Times New Roman" w:hAnsi="Times New Roman" w:cs="Times New Roman"/>
                <w:b/>
                <w:lang w:val="en-US"/>
              </w:rPr>
              <w:t>26)</w:t>
            </w:r>
            <w:r>
              <w:rPr>
                <w:rFonts w:ascii="Times New Roman" w:hAnsi="Times New Roman" w:cs="Times New Roman"/>
                <w:b/>
                <w:vertAlign w:val="superscript"/>
                <w:lang w:val="en-US"/>
              </w:rPr>
              <w:t>a</w:t>
            </w:r>
            <w:proofErr w:type="gramEnd"/>
          </w:p>
        </w:tc>
      </w:tr>
      <w:tr w:rsidR="002A0DA0" w:rsidTr="002A0DA0">
        <w:tc>
          <w:tcPr>
            <w:tcW w:w="2500" w:type="pct"/>
            <w:tcBorders>
              <w:top w:val="single" w:sz="4" w:space="0" w:color="auto"/>
              <w:left w:val="nil"/>
              <w:bottom w:val="single" w:sz="4" w:space="0" w:color="auto"/>
              <w:right w:val="nil"/>
            </w:tcBorders>
            <w:hideMark/>
          </w:tcPr>
          <w:p w:rsidR="002A0DA0" w:rsidRDefault="002A0DA0" w:rsidP="002A0DA0">
            <w:pPr>
              <w:tabs>
                <w:tab w:val="left" w:pos="709"/>
              </w:tabs>
              <w:rPr>
                <w:rFonts w:ascii="Times New Roman" w:hAnsi="Times New Roman" w:cs="Times New Roman"/>
              </w:rPr>
            </w:pPr>
            <w:r>
              <w:rPr>
                <w:rFonts w:ascii="Times New Roman" w:hAnsi="Times New Roman" w:cs="Times New Roman"/>
              </w:rPr>
              <w:t>&gt; 20 %</w:t>
            </w:r>
          </w:p>
          <w:p w:rsidR="002A0DA0" w:rsidRDefault="002A0DA0" w:rsidP="002A0DA0">
            <w:pPr>
              <w:tabs>
                <w:tab w:val="left" w:pos="709"/>
              </w:tabs>
              <w:rPr>
                <w:rFonts w:ascii="Times New Roman" w:hAnsi="Times New Roman" w:cs="Times New Roman"/>
              </w:rPr>
            </w:pPr>
            <w:r>
              <w:rPr>
                <w:rFonts w:ascii="Times New Roman" w:hAnsi="Times New Roman" w:cs="Times New Roman"/>
              </w:rPr>
              <w:t>10 – 20 %</w:t>
            </w:r>
          </w:p>
        </w:tc>
        <w:tc>
          <w:tcPr>
            <w:tcW w:w="2500" w:type="pct"/>
            <w:tcBorders>
              <w:top w:val="single" w:sz="4" w:space="0" w:color="auto"/>
              <w:left w:val="nil"/>
              <w:bottom w:val="single" w:sz="4" w:space="0" w:color="auto"/>
              <w:right w:val="nil"/>
            </w:tcBorders>
            <w:hideMark/>
          </w:tcPr>
          <w:p w:rsidR="002A0DA0" w:rsidRDefault="002A0DA0" w:rsidP="002A0DA0">
            <w:pPr>
              <w:tabs>
                <w:tab w:val="left" w:pos="709"/>
              </w:tabs>
              <w:jc w:val="center"/>
              <w:rPr>
                <w:rFonts w:ascii="Times New Roman" w:hAnsi="Times New Roman" w:cs="Times New Roman"/>
              </w:rPr>
            </w:pPr>
            <w:r>
              <w:rPr>
                <w:rFonts w:ascii="Times New Roman" w:hAnsi="Times New Roman" w:cs="Times New Roman"/>
              </w:rPr>
              <w:t>Ingen</w:t>
            </w:r>
          </w:p>
          <w:p w:rsidR="002A0DA0" w:rsidRDefault="002A0DA0" w:rsidP="002A0DA0">
            <w:pPr>
              <w:tabs>
                <w:tab w:val="left" w:pos="709"/>
              </w:tabs>
              <w:jc w:val="center"/>
              <w:rPr>
                <w:rFonts w:ascii="Times New Roman" w:hAnsi="Times New Roman" w:cs="Times New Roman"/>
              </w:rPr>
            </w:pPr>
            <w:r>
              <w:rPr>
                <w:rFonts w:ascii="Times New Roman" w:hAnsi="Times New Roman" w:cs="Times New Roman"/>
              </w:rPr>
              <w:t>Ingen</w:t>
            </w:r>
          </w:p>
        </w:tc>
      </w:tr>
    </w:tbl>
    <w:p w:rsidR="002A0DA0" w:rsidRDefault="002A0DA0" w:rsidP="002A0DA0">
      <w:pPr>
        <w:tabs>
          <w:tab w:val="left" w:pos="709"/>
        </w:tabs>
        <w:rPr>
          <w:sz w:val="18"/>
          <w:szCs w:val="22"/>
        </w:rPr>
      </w:pPr>
      <w:r>
        <w:rPr>
          <w:sz w:val="18"/>
          <w:vertAlign w:val="superscript"/>
        </w:rPr>
        <w:t>a</w:t>
      </w:r>
      <w:r>
        <w:rPr>
          <w:sz w:val="18"/>
        </w:rPr>
        <w:t xml:space="preserve"> Antal patienter med parvise genotyper, der er klassificeret som virologisk svigt (HIV-RNA ≥ 400 kopier/ml).</w:t>
      </w:r>
    </w:p>
    <w:p w:rsidR="00A61314" w:rsidRDefault="00A61314" w:rsidP="00A61314">
      <w:pPr>
        <w:tabs>
          <w:tab w:val="left" w:pos="709"/>
        </w:tabs>
        <w:rPr>
          <w:sz w:val="22"/>
        </w:rPr>
      </w:pPr>
    </w:p>
    <w:p w:rsidR="00A61314" w:rsidRPr="008955A1" w:rsidRDefault="00A61314" w:rsidP="00A61314">
      <w:pPr>
        <w:ind w:left="851"/>
        <w:rPr>
          <w:sz w:val="24"/>
          <w:szCs w:val="24"/>
        </w:rPr>
      </w:pPr>
      <w:r w:rsidRPr="008955A1">
        <w:rPr>
          <w:sz w:val="24"/>
          <w:szCs w:val="24"/>
        </w:rPr>
        <w:t>M184I/V substitution opstod hos henholdsvis 5/26 atazanavir/ritonavir og 7/26 lopinavir/ritonavir patienter med virologisk svigt.</w:t>
      </w:r>
    </w:p>
    <w:p w:rsidR="00A61314" w:rsidRPr="008955A1" w:rsidRDefault="00A61314" w:rsidP="00A61314">
      <w:pPr>
        <w:ind w:left="851"/>
        <w:rPr>
          <w:sz w:val="24"/>
          <w:szCs w:val="24"/>
        </w:rPr>
      </w:pPr>
    </w:p>
    <w:p w:rsidR="00A61314" w:rsidRPr="008955A1" w:rsidRDefault="00A61314" w:rsidP="00A61314">
      <w:pPr>
        <w:ind w:left="851"/>
        <w:rPr>
          <w:i/>
          <w:sz w:val="24"/>
          <w:szCs w:val="24"/>
        </w:rPr>
      </w:pPr>
      <w:r w:rsidRPr="008955A1">
        <w:rPr>
          <w:i/>
          <w:sz w:val="24"/>
          <w:szCs w:val="24"/>
        </w:rPr>
        <w:t>Voksne patienter, der tidligere har været i antiretroviral behandling</w:t>
      </w:r>
    </w:p>
    <w:p w:rsidR="00A61314" w:rsidRPr="008955A1" w:rsidRDefault="00A61314" w:rsidP="00A61314">
      <w:pPr>
        <w:ind w:left="851"/>
        <w:rPr>
          <w:sz w:val="24"/>
          <w:szCs w:val="24"/>
        </w:rPr>
      </w:pPr>
      <w:r w:rsidRPr="008955A1">
        <w:rPr>
          <w:sz w:val="24"/>
          <w:szCs w:val="24"/>
        </w:rPr>
        <w:t>Hos antiretroviralt behandlingserfarne patienter fra studie 009, 043 og 045 blev 100 isolater fra patienter angivet som virologisk svigt under behandling, der omfattede enten atazanavir, atazanavir + ritonavir eller atazanavir + saquinavir og blev fastsat til at have udviklet resistens over for atazanavir.</w:t>
      </w:r>
    </w:p>
    <w:p w:rsidR="00A61314" w:rsidRPr="008955A1" w:rsidRDefault="00A61314" w:rsidP="00A61314">
      <w:pPr>
        <w:ind w:left="851"/>
        <w:rPr>
          <w:sz w:val="24"/>
          <w:szCs w:val="24"/>
        </w:rPr>
      </w:pPr>
      <w:r w:rsidRPr="008955A1">
        <w:rPr>
          <w:sz w:val="24"/>
          <w:szCs w:val="24"/>
        </w:rPr>
        <w:t>Ud af de 60 isolater fra patienter behandlet med enten atazanavir eller atazanavir + ritonavir viste</w:t>
      </w:r>
      <w:r>
        <w:rPr>
          <w:sz w:val="24"/>
          <w:szCs w:val="24"/>
        </w:rPr>
        <w:t xml:space="preserve"> </w:t>
      </w:r>
      <w:r w:rsidRPr="008955A1">
        <w:rPr>
          <w:sz w:val="24"/>
          <w:szCs w:val="24"/>
        </w:rPr>
        <w:t>18 (30%) I50L-fænotypen tidligere beskrevet hos patienter, der ikke tidligere havde været behandlet.</w:t>
      </w:r>
    </w:p>
    <w:p w:rsidR="00A61314" w:rsidRDefault="00A61314" w:rsidP="00A61314">
      <w:pPr>
        <w:tabs>
          <w:tab w:val="left" w:pos="709"/>
        </w:tabs>
      </w:pPr>
    </w:p>
    <w:p w:rsidR="00A61314" w:rsidRDefault="00A61314" w:rsidP="00A61314">
      <w:pPr>
        <w:tabs>
          <w:tab w:val="left" w:pos="709"/>
        </w:tabs>
        <w:rPr>
          <w:b/>
        </w:rPr>
      </w:pPr>
      <w:r>
        <w:rPr>
          <w:b/>
        </w:rPr>
        <w:t>Tabel 4. De novo substitutioner hos behandlingserfarne patienter med svigt i behandling med atazanavir + ritonavir (studie 045, 48 uger)</w:t>
      </w:r>
    </w:p>
    <w:p w:rsidR="00A61314" w:rsidRDefault="00A61314" w:rsidP="00A61314">
      <w:pPr>
        <w:tabs>
          <w:tab w:val="left" w:pos="709"/>
        </w:tabs>
      </w:pPr>
    </w:p>
    <w:tbl>
      <w:tblPr>
        <w:tblW w:w="5000" w:type="pct"/>
        <w:tblBorders>
          <w:bottom w:val="single" w:sz="4" w:space="0" w:color="auto"/>
          <w:insideH w:val="single" w:sz="4" w:space="0" w:color="auto"/>
        </w:tblBorders>
        <w:tblLook w:val="04A0" w:firstRow="1" w:lastRow="0" w:firstColumn="1" w:lastColumn="0" w:noHBand="0" w:noVBand="1"/>
      </w:tblPr>
      <w:tblGrid>
        <w:gridCol w:w="4137"/>
        <w:gridCol w:w="5501"/>
      </w:tblGrid>
      <w:tr w:rsidR="00A61314" w:rsidRPr="00C31425" w:rsidTr="00292EB4">
        <w:tc>
          <w:tcPr>
            <w:tcW w:w="2146" w:type="pct"/>
            <w:tcBorders>
              <w:top w:val="nil"/>
              <w:left w:val="nil"/>
              <w:bottom w:val="single" w:sz="4" w:space="0" w:color="auto"/>
              <w:right w:val="nil"/>
            </w:tcBorders>
            <w:hideMark/>
          </w:tcPr>
          <w:p w:rsidR="00A61314" w:rsidRDefault="00A61314" w:rsidP="00292EB4">
            <w:pPr>
              <w:tabs>
                <w:tab w:val="left" w:pos="709"/>
              </w:tabs>
              <w:rPr>
                <w:b/>
              </w:rPr>
            </w:pPr>
            <w:r>
              <w:rPr>
                <w:b/>
              </w:rPr>
              <w:t>Hyppighed</w:t>
            </w:r>
          </w:p>
        </w:tc>
        <w:tc>
          <w:tcPr>
            <w:tcW w:w="2854" w:type="pct"/>
            <w:tcBorders>
              <w:top w:val="nil"/>
              <w:left w:val="nil"/>
              <w:bottom w:val="single" w:sz="4" w:space="0" w:color="auto"/>
              <w:right w:val="nil"/>
            </w:tcBorders>
            <w:hideMark/>
          </w:tcPr>
          <w:p w:rsidR="00A61314" w:rsidRDefault="00A61314" w:rsidP="00292EB4">
            <w:pPr>
              <w:tabs>
                <w:tab w:val="left" w:pos="709"/>
              </w:tabs>
              <w:jc w:val="center"/>
              <w:rPr>
                <w:b/>
                <w:vertAlign w:val="superscript"/>
                <w:lang w:val="en-US"/>
              </w:rPr>
            </w:pPr>
            <w:r>
              <w:rPr>
                <w:b/>
                <w:lang w:val="en-US"/>
              </w:rPr>
              <w:t>de novo PI substitution (n=</w:t>
            </w:r>
            <w:proofErr w:type="gramStart"/>
            <w:r>
              <w:rPr>
                <w:b/>
                <w:lang w:val="en-US"/>
              </w:rPr>
              <w:t>35)</w:t>
            </w:r>
            <w:r>
              <w:rPr>
                <w:b/>
                <w:vertAlign w:val="superscript"/>
                <w:lang w:val="en-US"/>
              </w:rPr>
              <w:t>a</w:t>
            </w:r>
            <w:proofErr w:type="gramEnd"/>
            <w:r>
              <w:rPr>
                <w:b/>
                <w:vertAlign w:val="superscript"/>
                <w:lang w:val="en-US"/>
              </w:rPr>
              <w:t>,b</w:t>
            </w:r>
          </w:p>
        </w:tc>
      </w:tr>
      <w:tr w:rsidR="00A61314" w:rsidTr="00292EB4">
        <w:tc>
          <w:tcPr>
            <w:tcW w:w="2146" w:type="pct"/>
            <w:tcBorders>
              <w:top w:val="single" w:sz="4" w:space="0" w:color="auto"/>
              <w:left w:val="nil"/>
              <w:bottom w:val="single" w:sz="4" w:space="0" w:color="auto"/>
              <w:right w:val="nil"/>
            </w:tcBorders>
            <w:hideMark/>
          </w:tcPr>
          <w:p w:rsidR="00A61314" w:rsidRDefault="00A61314" w:rsidP="00292EB4">
            <w:pPr>
              <w:tabs>
                <w:tab w:val="left" w:pos="709"/>
              </w:tabs>
            </w:pPr>
            <w:r>
              <w:t>&gt; 20 %</w:t>
            </w:r>
          </w:p>
          <w:p w:rsidR="00A61314" w:rsidRDefault="00A61314" w:rsidP="00292EB4">
            <w:pPr>
              <w:tabs>
                <w:tab w:val="left" w:pos="709"/>
              </w:tabs>
            </w:pPr>
            <w:r>
              <w:t>10 – 20 %</w:t>
            </w:r>
          </w:p>
        </w:tc>
        <w:tc>
          <w:tcPr>
            <w:tcW w:w="2854" w:type="pct"/>
            <w:tcBorders>
              <w:top w:val="single" w:sz="4" w:space="0" w:color="auto"/>
              <w:left w:val="nil"/>
              <w:bottom w:val="single" w:sz="4" w:space="0" w:color="auto"/>
              <w:right w:val="nil"/>
            </w:tcBorders>
            <w:hideMark/>
          </w:tcPr>
          <w:p w:rsidR="00A61314" w:rsidRDefault="00A61314" w:rsidP="00292EB4">
            <w:pPr>
              <w:tabs>
                <w:tab w:val="left" w:pos="709"/>
              </w:tabs>
              <w:jc w:val="center"/>
            </w:pPr>
            <w:r>
              <w:t>M36, M46, I54, A71, V82</w:t>
            </w:r>
          </w:p>
          <w:p w:rsidR="00A61314" w:rsidRDefault="00A61314" w:rsidP="00292EB4">
            <w:pPr>
              <w:tabs>
                <w:tab w:val="left" w:pos="709"/>
              </w:tabs>
              <w:jc w:val="center"/>
            </w:pPr>
            <w:r>
              <w:t>L10, I15, K20, V32, E35, S37, F53, I62, G73, I84, L90</w:t>
            </w:r>
          </w:p>
        </w:tc>
      </w:tr>
    </w:tbl>
    <w:p w:rsidR="00A61314" w:rsidRDefault="00A61314" w:rsidP="00A61314">
      <w:pPr>
        <w:tabs>
          <w:tab w:val="left" w:pos="709"/>
        </w:tabs>
        <w:rPr>
          <w:sz w:val="18"/>
          <w:szCs w:val="22"/>
        </w:rPr>
      </w:pPr>
      <w:r>
        <w:rPr>
          <w:sz w:val="18"/>
          <w:vertAlign w:val="superscript"/>
        </w:rPr>
        <w:t>a</w:t>
      </w:r>
      <w:r>
        <w:rPr>
          <w:sz w:val="18"/>
        </w:rPr>
        <w:t xml:space="preserve"> Antal patienter med parvise genotyper, der er klassificeret som virologisk svigt (HIV-RNA ≥ 400 kopier/ml).</w:t>
      </w:r>
    </w:p>
    <w:p w:rsidR="00A61314" w:rsidRDefault="00A61314" w:rsidP="00A61314">
      <w:pPr>
        <w:tabs>
          <w:tab w:val="left" w:pos="709"/>
        </w:tabs>
        <w:rPr>
          <w:sz w:val="18"/>
        </w:rPr>
      </w:pPr>
      <w:r>
        <w:rPr>
          <w:sz w:val="18"/>
          <w:vertAlign w:val="superscript"/>
        </w:rPr>
        <w:t>b</w:t>
      </w:r>
      <w:r>
        <w:rPr>
          <w:sz w:val="18"/>
        </w:rPr>
        <w:t xml:space="preserve"> Ti patienter havde baseline fænotyperesistens over for atazanavir + ritonavir (foldændring [FC]&gt;5,2). </w:t>
      </w:r>
      <w:proofErr w:type="gramStart"/>
      <w:r>
        <w:rPr>
          <w:sz w:val="18"/>
        </w:rPr>
        <w:t>FC følsomhed</w:t>
      </w:r>
      <w:proofErr w:type="gramEnd"/>
      <w:r>
        <w:rPr>
          <w:sz w:val="18"/>
        </w:rPr>
        <w:t xml:space="preserve"> i cellekulturer hvad angår vildtypereference blev testet ved hjælp af PhenoSenseTM (Monogram Biosciences, South San Francisco, Californien, USA)</w:t>
      </w:r>
    </w:p>
    <w:p w:rsidR="00A61314" w:rsidRDefault="00A61314" w:rsidP="00A61314">
      <w:pPr>
        <w:tabs>
          <w:tab w:val="left" w:pos="709"/>
        </w:tabs>
        <w:rPr>
          <w:sz w:val="22"/>
        </w:rPr>
      </w:pPr>
    </w:p>
    <w:p w:rsidR="00A61314" w:rsidRPr="008955A1" w:rsidRDefault="00A61314" w:rsidP="00A61314">
      <w:pPr>
        <w:ind w:left="851"/>
        <w:rPr>
          <w:sz w:val="24"/>
          <w:szCs w:val="24"/>
        </w:rPr>
      </w:pPr>
      <w:r w:rsidRPr="008955A1">
        <w:rPr>
          <w:sz w:val="24"/>
          <w:szCs w:val="24"/>
        </w:rPr>
        <w:t>Ingen af de novo substitutionerne (se tabel 4) er specifikke for atazanavir og kan være et tegn på tilbagevendende forekomst af arkiveret resistens over for atazanavir + ritonavir i den behandlingserfarne population fra studie 045.</w:t>
      </w:r>
    </w:p>
    <w:p w:rsidR="00A61314" w:rsidRPr="008955A1" w:rsidRDefault="00A61314" w:rsidP="00A61314">
      <w:pPr>
        <w:ind w:left="851"/>
        <w:rPr>
          <w:sz w:val="24"/>
          <w:szCs w:val="24"/>
        </w:rPr>
      </w:pPr>
    </w:p>
    <w:p w:rsidR="00A61314" w:rsidRPr="008955A1" w:rsidRDefault="00A61314" w:rsidP="00A61314">
      <w:pPr>
        <w:ind w:left="851"/>
        <w:rPr>
          <w:sz w:val="24"/>
          <w:szCs w:val="24"/>
        </w:rPr>
      </w:pPr>
      <w:r w:rsidRPr="008955A1">
        <w:rPr>
          <w:sz w:val="24"/>
          <w:szCs w:val="24"/>
        </w:rPr>
        <w:t>Resistensen hos antiretroviralt behandlingserfarne patienter forekommer hovedsageligt ved akkumulering af de større og mindre resistenssubstitutioner beskrevet tidligere som værende involverede i proteasehæmmerresistens.</w:t>
      </w:r>
    </w:p>
    <w:p w:rsidR="00A61314" w:rsidRPr="008955A1" w:rsidRDefault="00A61314" w:rsidP="00A61314">
      <w:pPr>
        <w:ind w:left="851"/>
        <w:rPr>
          <w:sz w:val="24"/>
          <w:szCs w:val="24"/>
        </w:rPr>
      </w:pPr>
    </w:p>
    <w:p w:rsidR="002A0DA0" w:rsidRPr="008955A1" w:rsidRDefault="002A0DA0" w:rsidP="002A0DA0">
      <w:pPr>
        <w:ind w:left="851"/>
        <w:rPr>
          <w:b/>
          <w:sz w:val="24"/>
          <w:szCs w:val="24"/>
        </w:rPr>
      </w:pPr>
      <w:r w:rsidRPr="008955A1">
        <w:rPr>
          <w:b/>
          <w:sz w:val="24"/>
          <w:szCs w:val="24"/>
        </w:rPr>
        <w:t>Kliniske resultater</w:t>
      </w:r>
    </w:p>
    <w:p w:rsidR="002A0DA0" w:rsidRPr="008955A1" w:rsidRDefault="002A0DA0" w:rsidP="002A0DA0">
      <w:pPr>
        <w:ind w:left="851"/>
        <w:rPr>
          <w:i/>
          <w:sz w:val="24"/>
          <w:szCs w:val="24"/>
        </w:rPr>
      </w:pPr>
      <w:r w:rsidRPr="008955A1">
        <w:rPr>
          <w:i/>
          <w:sz w:val="24"/>
          <w:szCs w:val="24"/>
        </w:rPr>
        <w:t>Voksne patienter, der ikke tidligere har været i antiretroviral behandling</w:t>
      </w:r>
    </w:p>
    <w:p w:rsidR="002A0DA0" w:rsidRPr="008955A1" w:rsidRDefault="002A0DA0" w:rsidP="002A0DA0">
      <w:pPr>
        <w:ind w:left="851"/>
        <w:rPr>
          <w:sz w:val="24"/>
          <w:szCs w:val="24"/>
        </w:rPr>
      </w:pPr>
      <w:r w:rsidRPr="008955A1">
        <w:rPr>
          <w:sz w:val="24"/>
          <w:szCs w:val="24"/>
        </w:rPr>
        <w:lastRenderedPageBreak/>
        <w:t>Studie 138 er et internationalt, randomiseret, åbent, prospektivt multicenter-studie med ikke tidligere antiretroviralt behandlede patienter, der sammenligner atazanavir/ritonavir (300 mg/100 mg én gang dagligt) med lopinavir/ritonavir (400 mg/100 mg 2 gange dagligt), hver i kombination med en fast dosis tenofovirdisoproxil</w:t>
      </w:r>
      <w:r>
        <w:rPr>
          <w:sz w:val="24"/>
          <w:szCs w:val="24"/>
        </w:rPr>
        <w:t>fumarat</w:t>
      </w:r>
      <w:r w:rsidRPr="008955A1">
        <w:rPr>
          <w:sz w:val="24"/>
          <w:szCs w:val="24"/>
        </w:rPr>
        <w:t>/emtricitabin (</w:t>
      </w:r>
      <w:r>
        <w:rPr>
          <w:sz w:val="24"/>
          <w:szCs w:val="24"/>
        </w:rPr>
        <w:t>300</w:t>
      </w:r>
      <w:r w:rsidRPr="008955A1">
        <w:rPr>
          <w:sz w:val="24"/>
          <w:szCs w:val="24"/>
        </w:rPr>
        <w:t xml:space="preserve"> mg/200 mg tabletter én gang dagligt). Atazanavir/ritonavir-armen viste antiviral effekt svarende til lopinavir/ritonavir-armen (non-inferiør) vurderet ved andelen af patienter med HIV-RNA &lt;50 kopier/ml ved uge 48 (tabel 5). En analyse af data indsamlet over 96 behandlingsuger viste varigheden af den antivirale aktivitet (tabel 5).</w:t>
      </w:r>
    </w:p>
    <w:p w:rsidR="002A0DA0" w:rsidRDefault="002A0DA0" w:rsidP="002A0DA0">
      <w:pPr>
        <w:tabs>
          <w:tab w:val="left" w:pos="709"/>
        </w:tabs>
      </w:pPr>
    </w:p>
    <w:p w:rsidR="002A0DA0" w:rsidRPr="00BD6DF2" w:rsidRDefault="002A0DA0" w:rsidP="002A0DA0">
      <w:pPr>
        <w:tabs>
          <w:tab w:val="left" w:pos="709"/>
        </w:tabs>
        <w:rPr>
          <w:b/>
          <w:sz w:val="24"/>
          <w:szCs w:val="24"/>
        </w:rPr>
      </w:pPr>
      <w:r w:rsidRPr="00BD6DF2">
        <w:rPr>
          <w:b/>
          <w:sz w:val="24"/>
          <w:szCs w:val="24"/>
        </w:rPr>
        <w:t xml:space="preserve">Tabel 5: Effektresultater i Studie 138 </w:t>
      </w:r>
      <w:r w:rsidRPr="00BD6DF2">
        <w:rPr>
          <w:b/>
          <w:sz w:val="24"/>
          <w:szCs w:val="24"/>
          <w:vertAlign w:val="superscript"/>
        </w:rPr>
        <w:t>a</w:t>
      </w:r>
    </w:p>
    <w:tbl>
      <w:tblPr>
        <w:tblStyle w:val="Tabel-Gitter"/>
        <w:tblW w:w="5000" w:type="pct"/>
        <w:tblInd w:w="0" w:type="dxa"/>
        <w:tblLook w:val="04A0" w:firstRow="1" w:lastRow="0" w:firstColumn="1" w:lastColumn="0" w:noHBand="0" w:noVBand="1"/>
      </w:tblPr>
      <w:tblGrid>
        <w:gridCol w:w="2508"/>
        <w:gridCol w:w="1774"/>
        <w:gridCol w:w="1773"/>
        <w:gridCol w:w="1773"/>
        <w:gridCol w:w="1800"/>
      </w:tblGrid>
      <w:tr w:rsidR="002A0DA0" w:rsidRPr="00BD6DF2" w:rsidTr="002A0DA0">
        <w:tc>
          <w:tcPr>
            <w:tcW w:w="1302"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rPr>
                <w:rFonts w:ascii="Times New Roman" w:hAnsi="Times New Roman" w:cs="Times New Roman"/>
                <w:b/>
                <w:sz w:val="22"/>
              </w:rPr>
            </w:pPr>
            <w:r w:rsidRPr="00BD6DF2">
              <w:rPr>
                <w:rFonts w:ascii="Times New Roman" w:hAnsi="Times New Roman" w:cs="Times New Roman"/>
                <w:b/>
                <w:sz w:val="22"/>
              </w:rPr>
              <w:t>Parameter</w:t>
            </w:r>
          </w:p>
        </w:tc>
        <w:tc>
          <w:tcPr>
            <w:tcW w:w="1842" w:type="pct"/>
            <w:gridSpan w:val="2"/>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b/>
                <w:sz w:val="22"/>
              </w:rPr>
            </w:pPr>
            <w:r w:rsidRPr="00BD6DF2">
              <w:rPr>
                <w:rFonts w:ascii="Times New Roman" w:hAnsi="Times New Roman" w:cs="Times New Roman"/>
                <w:b/>
                <w:sz w:val="22"/>
              </w:rPr>
              <w:t>Atazanavir/ritonavir</w:t>
            </w:r>
            <w:r w:rsidRPr="00BD6DF2">
              <w:rPr>
                <w:rFonts w:ascii="Times New Roman" w:hAnsi="Times New Roman" w:cs="Times New Roman"/>
                <w:b/>
                <w:sz w:val="22"/>
                <w:vertAlign w:val="superscript"/>
              </w:rPr>
              <w:t>b</w:t>
            </w:r>
          </w:p>
          <w:p w:rsidR="002A0DA0" w:rsidRPr="00BD6DF2" w:rsidRDefault="002A0DA0" w:rsidP="002A0DA0">
            <w:pPr>
              <w:tabs>
                <w:tab w:val="left" w:pos="709"/>
              </w:tabs>
              <w:jc w:val="center"/>
              <w:rPr>
                <w:rFonts w:ascii="Times New Roman" w:hAnsi="Times New Roman" w:cs="Times New Roman"/>
                <w:b/>
                <w:sz w:val="22"/>
              </w:rPr>
            </w:pPr>
            <w:r w:rsidRPr="00BD6DF2">
              <w:rPr>
                <w:rFonts w:ascii="Times New Roman" w:hAnsi="Times New Roman" w:cs="Times New Roman"/>
                <w:b/>
                <w:sz w:val="22"/>
              </w:rPr>
              <w:t>(300 mg/100 mg én gang dagligt)</w:t>
            </w:r>
          </w:p>
          <w:p w:rsidR="002A0DA0" w:rsidRPr="00BD6DF2" w:rsidRDefault="002A0DA0" w:rsidP="002A0DA0">
            <w:pPr>
              <w:tabs>
                <w:tab w:val="left" w:pos="709"/>
              </w:tabs>
              <w:jc w:val="center"/>
              <w:rPr>
                <w:rFonts w:ascii="Times New Roman" w:hAnsi="Times New Roman" w:cs="Times New Roman"/>
                <w:b/>
                <w:sz w:val="22"/>
              </w:rPr>
            </w:pPr>
            <w:r w:rsidRPr="00BD6DF2">
              <w:rPr>
                <w:rFonts w:ascii="Times New Roman" w:hAnsi="Times New Roman" w:cs="Times New Roman"/>
                <w:b/>
                <w:sz w:val="22"/>
              </w:rPr>
              <w:t>N=440</w:t>
            </w:r>
          </w:p>
        </w:tc>
        <w:tc>
          <w:tcPr>
            <w:tcW w:w="1856" w:type="pct"/>
            <w:gridSpan w:val="2"/>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b/>
                <w:sz w:val="22"/>
              </w:rPr>
            </w:pPr>
            <w:r w:rsidRPr="00BD6DF2">
              <w:rPr>
                <w:rFonts w:ascii="Times New Roman" w:hAnsi="Times New Roman" w:cs="Times New Roman"/>
                <w:b/>
                <w:sz w:val="22"/>
              </w:rPr>
              <w:t>Lopinavir/ritonavir</w:t>
            </w:r>
            <w:r w:rsidRPr="00BD6DF2">
              <w:rPr>
                <w:rFonts w:ascii="Times New Roman" w:hAnsi="Times New Roman" w:cs="Times New Roman"/>
                <w:b/>
                <w:sz w:val="22"/>
                <w:vertAlign w:val="superscript"/>
              </w:rPr>
              <w:t>c</w:t>
            </w:r>
          </w:p>
          <w:p w:rsidR="002A0DA0" w:rsidRPr="00BD6DF2" w:rsidRDefault="002A0DA0" w:rsidP="002A0DA0">
            <w:pPr>
              <w:tabs>
                <w:tab w:val="left" w:pos="709"/>
              </w:tabs>
              <w:jc w:val="center"/>
              <w:rPr>
                <w:rFonts w:ascii="Times New Roman" w:hAnsi="Times New Roman" w:cs="Times New Roman"/>
                <w:b/>
                <w:sz w:val="22"/>
              </w:rPr>
            </w:pPr>
            <w:r w:rsidRPr="00BD6DF2">
              <w:rPr>
                <w:rFonts w:ascii="Times New Roman" w:hAnsi="Times New Roman" w:cs="Times New Roman"/>
                <w:b/>
                <w:sz w:val="22"/>
              </w:rPr>
              <w:t>(400 mg/100 mg 2 gange dagligt)</w:t>
            </w:r>
          </w:p>
          <w:p w:rsidR="002A0DA0" w:rsidRPr="00BD6DF2" w:rsidRDefault="002A0DA0" w:rsidP="002A0DA0">
            <w:pPr>
              <w:tabs>
                <w:tab w:val="left" w:pos="709"/>
              </w:tabs>
              <w:jc w:val="center"/>
              <w:rPr>
                <w:rFonts w:ascii="Times New Roman" w:hAnsi="Times New Roman" w:cs="Times New Roman"/>
                <w:b/>
                <w:sz w:val="22"/>
              </w:rPr>
            </w:pPr>
            <w:r w:rsidRPr="00BD6DF2">
              <w:rPr>
                <w:rFonts w:ascii="Times New Roman" w:hAnsi="Times New Roman" w:cs="Times New Roman"/>
                <w:b/>
                <w:sz w:val="22"/>
              </w:rPr>
              <w:t>n=443</w:t>
            </w:r>
          </w:p>
        </w:tc>
      </w:tr>
      <w:tr w:rsidR="002A0DA0" w:rsidRPr="00BD6DF2" w:rsidTr="002A0DA0">
        <w:tc>
          <w:tcPr>
            <w:tcW w:w="1302" w:type="pct"/>
            <w:tcBorders>
              <w:top w:val="single" w:sz="4" w:space="0" w:color="auto"/>
              <w:left w:val="single" w:sz="4" w:space="0" w:color="auto"/>
              <w:bottom w:val="single" w:sz="4" w:space="0" w:color="auto"/>
              <w:right w:val="single" w:sz="4" w:space="0" w:color="auto"/>
            </w:tcBorders>
          </w:tcPr>
          <w:p w:rsidR="002A0DA0" w:rsidRPr="00BD6DF2" w:rsidRDefault="002A0DA0" w:rsidP="002A0DA0">
            <w:pPr>
              <w:tabs>
                <w:tab w:val="left" w:pos="709"/>
              </w:tabs>
              <w:rPr>
                <w:rFonts w:ascii="Times New Roman" w:hAnsi="Times New Roman" w:cs="Times New Roman"/>
                <w:sz w:val="22"/>
              </w:rPr>
            </w:pPr>
          </w:p>
        </w:tc>
        <w:tc>
          <w:tcPr>
            <w:tcW w:w="921"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b/>
                <w:sz w:val="22"/>
              </w:rPr>
            </w:pPr>
            <w:r w:rsidRPr="00BD6DF2">
              <w:rPr>
                <w:rFonts w:ascii="Times New Roman" w:hAnsi="Times New Roman" w:cs="Times New Roman"/>
                <w:b/>
                <w:sz w:val="22"/>
              </w:rPr>
              <w:t>Uge 48</w:t>
            </w:r>
          </w:p>
        </w:tc>
        <w:tc>
          <w:tcPr>
            <w:tcW w:w="921"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b/>
                <w:sz w:val="22"/>
              </w:rPr>
            </w:pPr>
            <w:r w:rsidRPr="00BD6DF2">
              <w:rPr>
                <w:rFonts w:ascii="Times New Roman" w:hAnsi="Times New Roman" w:cs="Times New Roman"/>
                <w:b/>
                <w:sz w:val="22"/>
              </w:rPr>
              <w:t>Uge 96</w:t>
            </w:r>
          </w:p>
        </w:tc>
        <w:tc>
          <w:tcPr>
            <w:tcW w:w="921"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b/>
                <w:sz w:val="22"/>
              </w:rPr>
            </w:pPr>
            <w:r w:rsidRPr="00BD6DF2">
              <w:rPr>
                <w:rFonts w:ascii="Times New Roman" w:hAnsi="Times New Roman" w:cs="Times New Roman"/>
                <w:b/>
                <w:sz w:val="22"/>
              </w:rPr>
              <w:t>Uge 48</w:t>
            </w:r>
          </w:p>
        </w:tc>
        <w:tc>
          <w:tcPr>
            <w:tcW w:w="935"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b/>
                <w:sz w:val="22"/>
              </w:rPr>
            </w:pPr>
            <w:r w:rsidRPr="00BD6DF2">
              <w:rPr>
                <w:rFonts w:ascii="Times New Roman" w:hAnsi="Times New Roman" w:cs="Times New Roman"/>
                <w:b/>
                <w:sz w:val="22"/>
              </w:rPr>
              <w:t>Uge 96</w:t>
            </w:r>
          </w:p>
        </w:tc>
      </w:tr>
      <w:tr w:rsidR="002A0DA0" w:rsidRPr="00BD6DF2" w:rsidTr="002A0DA0">
        <w:tc>
          <w:tcPr>
            <w:tcW w:w="5000" w:type="pct"/>
            <w:gridSpan w:val="5"/>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rPr>
                <w:rFonts w:ascii="Times New Roman" w:hAnsi="Times New Roman" w:cs="Times New Roman"/>
                <w:b/>
                <w:sz w:val="22"/>
              </w:rPr>
            </w:pPr>
            <w:r w:rsidRPr="00BD6DF2">
              <w:rPr>
                <w:rFonts w:ascii="Times New Roman" w:hAnsi="Times New Roman" w:cs="Times New Roman"/>
                <w:b/>
                <w:sz w:val="22"/>
              </w:rPr>
              <w:t>HIV-RNA &lt; 50 kopier/ml, %</w:t>
            </w:r>
          </w:p>
        </w:tc>
      </w:tr>
      <w:tr w:rsidR="002A0DA0" w:rsidRPr="00BD6DF2" w:rsidTr="002A0DA0">
        <w:tc>
          <w:tcPr>
            <w:tcW w:w="1302"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rPr>
                <w:rFonts w:ascii="Times New Roman" w:hAnsi="Times New Roman" w:cs="Times New Roman"/>
                <w:sz w:val="22"/>
              </w:rPr>
            </w:pPr>
            <w:r w:rsidRPr="00BD6DF2">
              <w:rPr>
                <w:rFonts w:ascii="Times New Roman" w:hAnsi="Times New Roman" w:cs="Times New Roman"/>
                <w:sz w:val="22"/>
              </w:rPr>
              <w:t>Alle patienter</w:t>
            </w:r>
            <w:r>
              <w:rPr>
                <w:rFonts w:ascii="Times New Roman" w:hAnsi="Times New Roman" w:cs="Times New Roman"/>
                <w:sz w:val="22"/>
              </w:rPr>
              <w:t xml:space="preserve"> </w:t>
            </w:r>
            <w:r w:rsidRPr="00BD6DF2">
              <w:rPr>
                <w:rFonts w:ascii="Times New Roman" w:hAnsi="Times New Roman" w:cs="Times New Roman"/>
                <w:sz w:val="22"/>
                <w:vertAlign w:val="superscript"/>
              </w:rPr>
              <w:t>d</w:t>
            </w:r>
          </w:p>
        </w:tc>
        <w:tc>
          <w:tcPr>
            <w:tcW w:w="921"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78</w:t>
            </w:r>
          </w:p>
        </w:tc>
        <w:tc>
          <w:tcPr>
            <w:tcW w:w="921"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74</w:t>
            </w:r>
          </w:p>
        </w:tc>
        <w:tc>
          <w:tcPr>
            <w:tcW w:w="921"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76</w:t>
            </w:r>
          </w:p>
        </w:tc>
        <w:tc>
          <w:tcPr>
            <w:tcW w:w="935"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68</w:t>
            </w:r>
          </w:p>
        </w:tc>
      </w:tr>
      <w:tr w:rsidR="002A0DA0" w:rsidRPr="00BD6DF2" w:rsidTr="002A0DA0">
        <w:tc>
          <w:tcPr>
            <w:tcW w:w="1302"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rPr>
                <w:rFonts w:ascii="Times New Roman" w:hAnsi="Times New Roman" w:cs="Times New Roman"/>
                <w:sz w:val="22"/>
              </w:rPr>
            </w:pPr>
            <w:r w:rsidRPr="00BD6DF2">
              <w:rPr>
                <w:rFonts w:ascii="Times New Roman" w:hAnsi="Times New Roman" w:cs="Times New Roman"/>
                <w:sz w:val="22"/>
              </w:rPr>
              <w:t>Afvigelsesestimat</w:t>
            </w:r>
          </w:p>
          <w:p w:rsidR="002A0DA0" w:rsidRPr="00BD6DF2" w:rsidRDefault="002A0DA0" w:rsidP="002A0DA0">
            <w:pPr>
              <w:tabs>
                <w:tab w:val="left" w:pos="709"/>
              </w:tabs>
              <w:rPr>
                <w:rFonts w:ascii="Times New Roman" w:hAnsi="Times New Roman" w:cs="Times New Roman"/>
                <w:sz w:val="22"/>
                <w:vertAlign w:val="superscript"/>
              </w:rPr>
            </w:pPr>
            <w:r w:rsidRPr="00BD6DF2">
              <w:rPr>
                <w:rFonts w:ascii="Times New Roman" w:hAnsi="Times New Roman" w:cs="Times New Roman"/>
                <w:sz w:val="22"/>
              </w:rPr>
              <w:t xml:space="preserve">  [95% KI]</w:t>
            </w:r>
            <w:r>
              <w:rPr>
                <w:rFonts w:ascii="Times New Roman" w:hAnsi="Times New Roman" w:cs="Times New Roman"/>
                <w:sz w:val="22"/>
              </w:rPr>
              <w:t xml:space="preserve"> </w:t>
            </w:r>
            <w:r w:rsidRPr="00BD6DF2">
              <w:rPr>
                <w:rFonts w:ascii="Times New Roman" w:hAnsi="Times New Roman" w:cs="Times New Roman"/>
                <w:sz w:val="22"/>
                <w:vertAlign w:val="superscript"/>
              </w:rPr>
              <w:t>d</w:t>
            </w:r>
          </w:p>
        </w:tc>
        <w:tc>
          <w:tcPr>
            <w:tcW w:w="3698" w:type="pct"/>
            <w:gridSpan w:val="4"/>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Uge 48: 1,7% [-3,8%, 7,1%]</w:t>
            </w:r>
          </w:p>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Uge 96: 6,1% [0,3%, 12,0%]</w:t>
            </w:r>
          </w:p>
        </w:tc>
      </w:tr>
      <w:tr w:rsidR="002A0DA0" w:rsidRPr="00BD6DF2" w:rsidTr="002A0DA0">
        <w:tc>
          <w:tcPr>
            <w:tcW w:w="1302"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rPr>
                <w:rFonts w:ascii="Times New Roman" w:hAnsi="Times New Roman" w:cs="Times New Roman"/>
                <w:sz w:val="22"/>
                <w:vertAlign w:val="superscript"/>
              </w:rPr>
            </w:pPr>
            <w:r w:rsidRPr="00BD6DF2">
              <w:rPr>
                <w:rFonts w:ascii="Times New Roman" w:hAnsi="Times New Roman" w:cs="Times New Roman"/>
                <w:sz w:val="22"/>
              </w:rPr>
              <w:t>Per protokol analyse</w:t>
            </w:r>
            <w:r w:rsidRPr="00BD6DF2">
              <w:rPr>
                <w:rFonts w:ascii="Times New Roman" w:hAnsi="Times New Roman" w:cs="Times New Roman"/>
                <w:sz w:val="22"/>
                <w:vertAlign w:val="superscript"/>
              </w:rPr>
              <w:t>e</w:t>
            </w:r>
          </w:p>
        </w:tc>
        <w:tc>
          <w:tcPr>
            <w:tcW w:w="921"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86</w:t>
            </w:r>
          </w:p>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(n=392</w:t>
            </w:r>
            <w:r w:rsidRPr="00BD6DF2">
              <w:rPr>
                <w:rFonts w:ascii="Times New Roman" w:hAnsi="Times New Roman" w:cs="Times New Roman"/>
                <w:sz w:val="22"/>
                <w:vertAlign w:val="superscript"/>
              </w:rPr>
              <w:t>f</w:t>
            </w:r>
            <w:r w:rsidRPr="00BD6DF2">
              <w:rPr>
                <w:rFonts w:ascii="Times New Roman" w:hAnsi="Times New Roman" w:cs="Times New Roman"/>
                <w:sz w:val="22"/>
              </w:rPr>
              <w:t>)</w:t>
            </w:r>
          </w:p>
        </w:tc>
        <w:tc>
          <w:tcPr>
            <w:tcW w:w="921"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91</w:t>
            </w:r>
          </w:p>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(n=352)</w:t>
            </w:r>
          </w:p>
        </w:tc>
        <w:tc>
          <w:tcPr>
            <w:tcW w:w="921"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89</w:t>
            </w:r>
          </w:p>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(n=372)</w:t>
            </w:r>
          </w:p>
        </w:tc>
        <w:tc>
          <w:tcPr>
            <w:tcW w:w="935"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89</w:t>
            </w:r>
          </w:p>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(n=331)</w:t>
            </w:r>
          </w:p>
        </w:tc>
      </w:tr>
      <w:tr w:rsidR="002A0DA0" w:rsidRPr="00BD6DF2" w:rsidTr="002A0DA0">
        <w:tc>
          <w:tcPr>
            <w:tcW w:w="1302"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rPr>
                <w:rFonts w:ascii="Times New Roman" w:hAnsi="Times New Roman" w:cs="Times New Roman"/>
                <w:sz w:val="22"/>
              </w:rPr>
            </w:pPr>
            <w:r w:rsidRPr="00BD6DF2">
              <w:rPr>
                <w:rFonts w:ascii="Times New Roman" w:hAnsi="Times New Roman" w:cs="Times New Roman"/>
                <w:sz w:val="22"/>
              </w:rPr>
              <w:t>Afvigelsesestimat</w:t>
            </w:r>
            <w:r>
              <w:rPr>
                <w:rFonts w:ascii="Times New Roman" w:hAnsi="Times New Roman" w:cs="Times New Roman"/>
                <w:sz w:val="22"/>
              </w:rPr>
              <w:t xml:space="preserve"> </w:t>
            </w:r>
            <w:r w:rsidRPr="00BD6DF2">
              <w:rPr>
                <w:rFonts w:ascii="Times New Roman" w:hAnsi="Times New Roman" w:cs="Times New Roman"/>
                <w:sz w:val="22"/>
                <w:vertAlign w:val="superscript"/>
              </w:rPr>
              <w:t>e</w:t>
            </w:r>
          </w:p>
          <w:p w:rsidR="002A0DA0" w:rsidRPr="00BD6DF2" w:rsidRDefault="002A0DA0" w:rsidP="002A0DA0">
            <w:pPr>
              <w:tabs>
                <w:tab w:val="left" w:pos="709"/>
              </w:tabs>
              <w:rPr>
                <w:rFonts w:ascii="Times New Roman" w:hAnsi="Times New Roman" w:cs="Times New Roman"/>
                <w:sz w:val="22"/>
              </w:rPr>
            </w:pPr>
            <w:r w:rsidRPr="00BD6DF2">
              <w:rPr>
                <w:rFonts w:ascii="Times New Roman" w:hAnsi="Times New Roman" w:cs="Times New Roman"/>
                <w:sz w:val="22"/>
              </w:rPr>
              <w:t xml:space="preserve">  [95% KI]</w:t>
            </w:r>
          </w:p>
        </w:tc>
        <w:tc>
          <w:tcPr>
            <w:tcW w:w="3698" w:type="pct"/>
            <w:gridSpan w:val="4"/>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Uge 48: -3% [-7,6%, 1,5%]</w:t>
            </w:r>
          </w:p>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Uge 96: 2,2% [-2,3%, 6,7%]</w:t>
            </w:r>
          </w:p>
        </w:tc>
      </w:tr>
      <w:tr w:rsidR="002A0DA0" w:rsidRPr="00BD6DF2" w:rsidTr="002A0DA0">
        <w:tc>
          <w:tcPr>
            <w:tcW w:w="5000" w:type="pct"/>
            <w:gridSpan w:val="5"/>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rPr>
                <w:rFonts w:ascii="Times New Roman" w:hAnsi="Times New Roman" w:cs="Times New Roman"/>
                <w:sz w:val="22"/>
                <w:vertAlign w:val="superscript"/>
              </w:rPr>
            </w:pPr>
            <w:r w:rsidRPr="00BD6DF2">
              <w:rPr>
                <w:rFonts w:ascii="Times New Roman" w:hAnsi="Times New Roman" w:cs="Times New Roman"/>
                <w:sz w:val="22"/>
              </w:rPr>
              <w:t>HIV-RNA &lt; 50 kopier/ml, % ved Baseline Karakteristika</w:t>
            </w:r>
            <w:r>
              <w:rPr>
                <w:rFonts w:ascii="Times New Roman" w:hAnsi="Times New Roman" w:cs="Times New Roman"/>
                <w:sz w:val="22"/>
              </w:rPr>
              <w:t xml:space="preserve"> </w:t>
            </w:r>
            <w:r w:rsidRPr="00BD6DF2">
              <w:rPr>
                <w:rFonts w:ascii="Times New Roman" w:hAnsi="Times New Roman" w:cs="Times New Roman"/>
                <w:sz w:val="22"/>
                <w:vertAlign w:val="superscript"/>
              </w:rPr>
              <w:t>d</w:t>
            </w:r>
          </w:p>
        </w:tc>
      </w:tr>
      <w:tr w:rsidR="002A0DA0" w:rsidRPr="00BD6DF2" w:rsidTr="002A0DA0">
        <w:tc>
          <w:tcPr>
            <w:tcW w:w="1302"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rPr>
                <w:rFonts w:ascii="Times New Roman" w:hAnsi="Times New Roman" w:cs="Times New Roman"/>
                <w:sz w:val="22"/>
              </w:rPr>
            </w:pPr>
            <w:r w:rsidRPr="00BD6DF2">
              <w:rPr>
                <w:rFonts w:ascii="Times New Roman" w:hAnsi="Times New Roman" w:cs="Times New Roman"/>
                <w:sz w:val="22"/>
              </w:rPr>
              <w:t>HIV-RNA</w:t>
            </w:r>
          </w:p>
          <w:p w:rsidR="002A0DA0" w:rsidRPr="00BD6DF2" w:rsidRDefault="002A0DA0" w:rsidP="002A0DA0">
            <w:pPr>
              <w:tabs>
                <w:tab w:val="left" w:pos="709"/>
              </w:tabs>
              <w:rPr>
                <w:rFonts w:ascii="Times New Roman" w:hAnsi="Times New Roman" w:cs="Times New Roman"/>
                <w:sz w:val="22"/>
              </w:rPr>
            </w:pPr>
            <w:r w:rsidRPr="00BD6DF2">
              <w:rPr>
                <w:rFonts w:ascii="Times New Roman" w:hAnsi="Times New Roman" w:cs="Times New Roman"/>
                <w:sz w:val="22"/>
              </w:rPr>
              <w:t xml:space="preserve">   &lt; 100.000 kopier/ml</w:t>
            </w:r>
          </w:p>
        </w:tc>
        <w:tc>
          <w:tcPr>
            <w:tcW w:w="921" w:type="pct"/>
            <w:tcBorders>
              <w:top w:val="single" w:sz="4" w:space="0" w:color="auto"/>
              <w:left w:val="single" w:sz="4" w:space="0" w:color="auto"/>
              <w:bottom w:val="single" w:sz="4" w:space="0" w:color="auto"/>
              <w:right w:val="single" w:sz="4" w:space="0" w:color="auto"/>
            </w:tcBorders>
          </w:tcPr>
          <w:p w:rsidR="002A0DA0" w:rsidRPr="00BD6DF2" w:rsidRDefault="002A0DA0" w:rsidP="002A0DA0">
            <w:pPr>
              <w:tabs>
                <w:tab w:val="left" w:pos="709"/>
              </w:tabs>
              <w:jc w:val="center"/>
              <w:rPr>
                <w:rFonts w:ascii="Times New Roman" w:hAnsi="Times New Roman" w:cs="Times New Roman"/>
                <w:sz w:val="22"/>
              </w:rPr>
            </w:pPr>
          </w:p>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82 (n</w:t>
            </w:r>
            <w:r>
              <w:rPr>
                <w:rFonts w:ascii="Times New Roman" w:hAnsi="Times New Roman" w:cs="Times New Roman"/>
                <w:sz w:val="22"/>
              </w:rPr>
              <w:t xml:space="preserve"> </w:t>
            </w:r>
            <w:r w:rsidRPr="00BD6DF2">
              <w:rPr>
                <w:rFonts w:ascii="Times New Roman" w:hAnsi="Times New Roman" w:cs="Times New Roman"/>
                <w:sz w:val="22"/>
              </w:rPr>
              <w:t>=</w:t>
            </w:r>
            <w:r>
              <w:rPr>
                <w:rFonts w:ascii="Times New Roman" w:hAnsi="Times New Roman" w:cs="Times New Roman"/>
                <w:sz w:val="22"/>
              </w:rPr>
              <w:t xml:space="preserve"> </w:t>
            </w:r>
            <w:r w:rsidRPr="00BD6DF2">
              <w:rPr>
                <w:rFonts w:ascii="Times New Roman" w:hAnsi="Times New Roman" w:cs="Times New Roman"/>
                <w:sz w:val="22"/>
              </w:rPr>
              <w:t>217)</w:t>
            </w:r>
          </w:p>
        </w:tc>
        <w:tc>
          <w:tcPr>
            <w:tcW w:w="921" w:type="pct"/>
            <w:tcBorders>
              <w:top w:val="single" w:sz="4" w:space="0" w:color="auto"/>
              <w:left w:val="single" w:sz="4" w:space="0" w:color="auto"/>
              <w:bottom w:val="single" w:sz="4" w:space="0" w:color="auto"/>
              <w:right w:val="single" w:sz="4" w:space="0" w:color="auto"/>
            </w:tcBorders>
          </w:tcPr>
          <w:p w:rsidR="002A0DA0" w:rsidRPr="00BD6DF2" w:rsidRDefault="002A0DA0" w:rsidP="002A0DA0">
            <w:pPr>
              <w:tabs>
                <w:tab w:val="left" w:pos="709"/>
              </w:tabs>
              <w:jc w:val="center"/>
              <w:rPr>
                <w:rFonts w:ascii="Times New Roman" w:hAnsi="Times New Roman" w:cs="Times New Roman"/>
                <w:sz w:val="22"/>
              </w:rPr>
            </w:pPr>
          </w:p>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75 (n</w:t>
            </w:r>
            <w:r>
              <w:rPr>
                <w:rFonts w:ascii="Times New Roman" w:hAnsi="Times New Roman" w:cs="Times New Roman"/>
                <w:sz w:val="22"/>
              </w:rPr>
              <w:t xml:space="preserve"> </w:t>
            </w:r>
            <w:r w:rsidRPr="00BD6DF2">
              <w:rPr>
                <w:rFonts w:ascii="Times New Roman" w:hAnsi="Times New Roman" w:cs="Times New Roman"/>
                <w:sz w:val="22"/>
              </w:rPr>
              <w:t>=</w:t>
            </w:r>
            <w:r>
              <w:rPr>
                <w:rFonts w:ascii="Times New Roman" w:hAnsi="Times New Roman" w:cs="Times New Roman"/>
                <w:sz w:val="22"/>
              </w:rPr>
              <w:t xml:space="preserve"> </w:t>
            </w:r>
            <w:r w:rsidRPr="00BD6DF2">
              <w:rPr>
                <w:rFonts w:ascii="Times New Roman" w:hAnsi="Times New Roman" w:cs="Times New Roman"/>
                <w:sz w:val="22"/>
              </w:rPr>
              <w:t>217)</w:t>
            </w:r>
          </w:p>
        </w:tc>
        <w:tc>
          <w:tcPr>
            <w:tcW w:w="921" w:type="pct"/>
            <w:tcBorders>
              <w:top w:val="single" w:sz="4" w:space="0" w:color="auto"/>
              <w:left w:val="single" w:sz="4" w:space="0" w:color="auto"/>
              <w:bottom w:val="single" w:sz="4" w:space="0" w:color="auto"/>
              <w:right w:val="single" w:sz="4" w:space="0" w:color="auto"/>
            </w:tcBorders>
          </w:tcPr>
          <w:p w:rsidR="002A0DA0" w:rsidRPr="00BD6DF2" w:rsidRDefault="002A0DA0" w:rsidP="002A0DA0">
            <w:pPr>
              <w:tabs>
                <w:tab w:val="left" w:pos="709"/>
              </w:tabs>
              <w:jc w:val="center"/>
              <w:rPr>
                <w:rFonts w:ascii="Times New Roman" w:hAnsi="Times New Roman" w:cs="Times New Roman"/>
                <w:sz w:val="22"/>
              </w:rPr>
            </w:pPr>
          </w:p>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81 (n</w:t>
            </w:r>
            <w:r>
              <w:rPr>
                <w:rFonts w:ascii="Times New Roman" w:hAnsi="Times New Roman" w:cs="Times New Roman"/>
                <w:sz w:val="22"/>
              </w:rPr>
              <w:t xml:space="preserve"> </w:t>
            </w:r>
            <w:r w:rsidRPr="00BD6DF2">
              <w:rPr>
                <w:rFonts w:ascii="Times New Roman" w:hAnsi="Times New Roman" w:cs="Times New Roman"/>
                <w:sz w:val="22"/>
              </w:rPr>
              <w:t>=</w:t>
            </w:r>
            <w:r>
              <w:rPr>
                <w:rFonts w:ascii="Times New Roman" w:hAnsi="Times New Roman" w:cs="Times New Roman"/>
                <w:sz w:val="22"/>
              </w:rPr>
              <w:t xml:space="preserve"> </w:t>
            </w:r>
            <w:r w:rsidRPr="00BD6DF2">
              <w:rPr>
                <w:rFonts w:ascii="Times New Roman" w:hAnsi="Times New Roman" w:cs="Times New Roman"/>
                <w:sz w:val="22"/>
              </w:rPr>
              <w:t>218)</w:t>
            </w:r>
          </w:p>
        </w:tc>
        <w:tc>
          <w:tcPr>
            <w:tcW w:w="935" w:type="pct"/>
            <w:tcBorders>
              <w:top w:val="single" w:sz="4" w:space="0" w:color="auto"/>
              <w:left w:val="single" w:sz="4" w:space="0" w:color="auto"/>
              <w:bottom w:val="single" w:sz="4" w:space="0" w:color="auto"/>
              <w:right w:val="single" w:sz="4" w:space="0" w:color="auto"/>
            </w:tcBorders>
          </w:tcPr>
          <w:p w:rsidR="002A0DA0" w:rsidRPr="00BD6DF2" w:rsidRDefault="002A0DA0" w:rsidP="002A0DA0">
            <w:pPr>
              <w:tabs>
                <w:tab w:val="left" w:pos="709"/>
              </w:tabs>
              <w:jc w:val="center"/>
              <w:rPr>
                <w:rFonts w:ascii="Times New Roman" w:hAnsi="Times New Roman" w:cs="Times New Roman"/>
                <w:sz w:val="22"/>
              </w:rPr>
            </w:pPr>
          </w:p>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70 (n</w:t>
            </w:r>
            <w:r>
              <w:rPr>
                <w:rFonts w:ascii="Times New Roman" w:hAnsi="Times New Roman" w:cs="Times New Roman"/>
                <w:sz w:val="22"/>
              </w:rPr>
              <w:t xml:space="preserve"> </w:t>
            </w:r>
            <w:r w:rsidRPr="00BD6DF2">
              <w:rPr>
                <w:rFonts w:ascii="Times New Roman" w:hAnsi="Times New Roman" w:cs="Times New Roman"/>
                <w:sz w:val="22"/>
              </w:rPr>
              <w:t>=</w:t>
            </w:r>
            <w:r>
              <w:rPr>
                <w:rFonts w:ascii="Times New Roman" w:hAnsi="Times New Roman" w:cs="Times New Roman"/>
                <w:sz w:val="22"/>
              </w:rPr>
              <w:t xml:space="preserve"> </w:t>
            </w:r>
            <w:r w:rsidRPr="00BD6DF2">
              <w:rPr>
                <w:rFonts w:ascii="Times New Roman" w:hAnsi="Times New Roman" w:cs="Times New Roman"/>
                <w:sz w:val="22"/>
              </w:rPr>
              <w:t>218)</w:t>
            </w:r>
          </w:p>
        </w:tc>
      </w:tr>
      <w:tr w:rsidR="002A0DA0" w:rsidRPr="00BD6DF2" w:rsidTr="002A0DA0">
        <w:tc>
          <w:tcPr>
            <w:tcW w:w="1302"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rPr>
                <w:rFonts w:ascii="Times New Roman" w:hAnsi="Times New Roman" w:cs="Times New Roman"/>
                <w:sz w:val="22"/>
              </w:rPr>
            </w:pPr>
            <w:r w:rsidRPr="00BD6DF2">
              <w:rPr>
                <w:rFonts w:ascii="Times New Roman" w:hAnsi="Times New Roman" w:cs="Times New Roman"/>
                <w:sz w:val="22"/>
              </w:rPr>
              <w:t xml:space="preserve">   ≥ 100.000 kopier/ml</w:t>
            </w:r>
          </w:p>
        </w:tc>
        <w:tc>
          <w:tcPr>
            <w:tcW w:w="921"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74 (n</w:t>
            </w:r>
            <w:r>
              <w:rPr>
                <w:rFonts w:ascii="Times New Roman" w:hAnsi="Times New Roman" w:cs="Times New Roman"/>
                <w:sz w:val="22"/>
              </w:rPr>
              <w:t xml:space="preserve"> </w:t>
            </w:r>
            <w:r w:rsidRPr="00BD6DF2">
              <w:rPr>
                <w:rFonts w:ascii="Times New Roman" w:hAnsi="Times New Roman" w:cs="Times New Roman"/>
                <w:sz w:val="22"/>
              </w:rPr>
              <w:t>=</w:t>
            </w:r>
            <w:r>
              <w:rPr>
                <w:rFonts w:ascii="Times New Roman" w:hAnsi="Times New Roman" w:cs="Times New Roman"/>
                <w:sz w:val="22"/>
              </w:rPr>
              <w:t xml:space="preserve"> </w:t>
            </w:r>
            <w:r w:rsidRPr="00BD6DF2">
              <w:rPr>
                <w:rFonts w:ascii="Times New Roman" w:hAnsi="Times New Roman" w:cs="Times New Roman"/>
                <w:sz w:val="22"/>
              </w:rPr>
              <w:t>223)</w:t>
            </w:r>
          </w:p>
        </w:tc>
        <w:tc>
          <w:tcPr>
            <w:tcW w:w="921"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74 (n</w:t>
            </w:r>
            <w:r>
              <w:rPr>
                <w:rFonts w:ascii="Times New Roman" w:hAnsi="Times New Roman" w:cs="Times New Roman"/>
                <w:sz w:val="22"/>
              </w:rPr>
              <w:t xml:space="preserve"> </w:t>
            </w:r>
            <w:r w:rsidRPr="00BD6DF2">
              <w:rPr>
                <w:rFonts w:ascii="Times New Roman" w:hAnsi="Times New Roman" w:cs="Times New Roman"/>
                <w:sz w:val="22"/>
              </w:rPr>
              <w:t>=</w:t>
            </w:r>
            <w:r>
              <w:rPr>
                <w:rFonts w:ascii="Times New Roman" w:hAnsi="Times New Roman" w:cs="Times New Roman"/>
                <w:sz w:val="22"/>
              </w:rPr>
              <w:t xml:space="preserve"> </w:t>
            </w:r>
            <w:r w:rsidRPr="00BD6DF2">
              <w:rPr>
                <w:rFonts w:ascii="Times New Roman" w:hAnsi="Times New Roman" w:cs="Times New Roman"/>
                <w:sz w:val="22"/>
              </w:rPr>
              <w:t>223)</w:t>
            </w:r>
          </w:p>
        </w:tc>
        <w:tc>
          <w:tcPr>
            <w:tcW w:w="921"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72 (n</w:t>
            </w:r>
            <w:r>
              <w:rPr>
                <w:rFonts w:ascii="Times New Roman" w:hAnsi="Times New Roman" w:cs="Times New Roman"/>
                <w:sz w:val="22"/>
              </w:rPr>
              <w:t xml:space="preserve"> </w:t>
            </w:r>
            <w:r w:rsidRPr="00BD6DF2">
              <w:rPr>
                <w:rFonts w:ascii="Times New Roman" w:hAnsi="Times New Roman" w:cs="Times New Roman"/>
                <w:sz w:val="22"/>
              </w:rPr>
              <w:t>=</w:t>
            </w:r>
            <w:r>
              <w:rPr>
                <w:rFonts w:ascii="Times New Roman" w:hAnsi="Times New Roman" w:cs="Times New Roman"/>
                <w:sz w:val="22"/>
              </w:rPr>
              <w:t xml:space="preserve"> </w:t>
            </w:r>
            <w:r w:rsidRPr="00BD6DF2">
              <w:rPr>
                <w:rFonts w:ascii="Times New Roman" w:hAnsi="Times New Roman" w:cs="Times New Roman"/>
                <w:sz w:val="22"/>
              </w:rPr>
              <w:t>225)</w:t>
            </w:r>
          </w:p>
        </w:tc>
        <w:tc>
          <w:tcPr>
            <w:tcW w:w="935"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66 (n</w:t>
            </w:r>
            <w:r>
              <w:rPr>
                <w:rFonts w:ascii="Times New Roman" w:hAnsi="Times New Roman" w:cs="Times New Roman"/>
                <w:sz w:val="22"/>
              </w:rPr>
              <w:t xml:space="preserve"> </w:t>
            </w:r>
            <w:r w:rsidRPr="00BD6DF2">
              <w:rPr>
                <w:rFonts w:ascii="Times New Roman" w:hAnsi="Times New Roman" w:cs="Times New Roman"/>
                <w:sz w:val="22"/>
              </w:rPr>
              <w:t>=</w:t>
            </w:r>
            <w:r>
              <w:rPr>
                <w:rFonts w:ascii="Times New Roman" w:hAnsi="Times New Roman" w:cs="Times New Roman"/>
                <w:sz w:val="22"/>
              </w:rPr>
              <w:t xml:space="preserve"> </w:t>
            </w:r>
            <w:r w:rsidRPr="00BD6DF2">
              <w:rPr>
                <w:rFonts w:ascii="Times New Roman" w:hAnsi="Times New Roman" w:cs="Times New Roman"/>
                <w:sz w:val="22"/>
              </w:rPr>
              <w:t>225)</w:t>
            </w:r>
          </w:p>
        </w:tc>
      </w:tr>
      <w:tr w:rsidR="002A0DA0" w:rsidRPr="00BD6DF2" w:rsidTr="002A0DA0">
        <w:tc>
          <w:tcPr>
            <w:tcW w:w="1302"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rPr>
                <w:rFonts w:ascii="Times New Roman" w:hAnsi="Times New Roman" w:cs="Times New Roman"/>
                <w:sz w:val="22"/>
              </w:rPr>
            </w:pPr>
            <w:r w:rsidRPr="00BD6DF2">
              <w:rPr>
                <w:rFonts w:ascii="Times New Roman" w:hAnsi="Times New Roman" w:cs="Times New Roman"/>
                <w:sz w:val="22"/>
              </w:rPr>
              <w:t>CD4-celletal</w:t>
            </w:r>
          </w:p>
          <w:p w:rsidR="002A0DA0" w:rsidRPr="00BD6DF2" w:rsidRDefault="002A0DA0" w:rsidP="002A0DA0">
            <w:pPr>
              <w:tabs>
                <w:tab w:val="left" w:pos="709"/>
              </w:tabs>
              <w:rPr>
                <w:rFonts w:ascii="Times New Roman" w:hAnsi="Times New Roman" w:cs="Times New Roman"/>
                <w:sz w:val="22"/>
                <w:vertAlign w:val="superscript"/>
              </w:rPr>
            </w:pPr>
            <w:r w:rsidRPr="00BD6DF2">
              <w:rPr>
                <w:rFonts w:ascii="Times New Roman" w:hAnsi="Times New Roman" w:cs="Times New Roman"/>
                <w:sz w:val="22"/>
              </w:rPr>
              <w:t xml:space="preserve">    &lt; 50 celler/mm</w:t>
            </w:r>
            <w:r w:rsidRPr="00BD6DF2">
              <w:rPr>
                <w:rFonts w:ascii="Times New Roman" w:hAnsi="Times New Roman" w:cs="Times New Roman"/>
                <w:sz w:val="22"/>
                <w:vertAlign w:val="superscript"/>
              </w:rPr>
              <w:t>3</w:t>
            </w:r>
          </w:p>
        </w:tc>
        <w:tc>
          <w:tcPr>
            <w:tcW w:w="921"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78 (n</w:t>
            </w:r>
            <w:r>
              <w:rPr>
                <w:rFonts w:ascii="Times New Roman" w:hAnsi="Times New Roman" w:cs="Times New Roman"/>
                <w:sz w:val="22"/>
              </w:rPr>
              <w:t xml:space="preserve"> </w:t>
            </w:r>
            <w:r w:rsidRPr="00BD6DF2">
              <w:rPr>
                <w:rFonts w:ascii="Times New Roman" w:hAnsi="Times New Roman" w:cs="Times New Roman"/>
                <w:sz w:val="22"/>
              </w:rPr>
              <w:t>=</w:t>
            </w:r>
            <w:r>
              <w:rPr>
                <w:rFonts w:ascii="Times New Roman" w:hAnsi="Times New Roman" w:cs="Times New Roman"/>
                <w:sz w:val="22"/>
              </w:rPr>
              <w:t xml:space="preserve"> </w:t>
            </w:r>
            <w:r w:rsidRPr="00BD6DF2">
              <w:rPr>
                <w:rFonts w:ascii="Times New Roman" w:hAnsi="Times New Roman" w:cs="Times New Roman"/>
                <w:sz w:val="22"/>
              </w:rPr>
              <w:t>58)</w:t>
            </w:r>
          </w:p>
        </w:tc>
        <w:tc>
          <w:tcPr>
            <w:tcW w:w="921"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78 (n</w:t>
            </w:r>
            <w:r>
              <w:rPr>
                <w:rFonts w:ascii="Times New Roman" w:hAnsi="Times New Roman" w:cs="Times New Roman"/>
                <w:sz w:val="22"/>
              </w:rPr>
              <w:t xml:space="preserve"> </w:t>
            </w:r>
            <w:r w:rsidRPr="00BD6DF2">
              <w:rPr>
                <w:rFonts w:ascii="Times New Roman" w:hAnsi="Times New Roman" w:cs="Times New Roman"/>
                <w:sz w:val="22"/>
              </w:rPr>
              <w:t>=</w:t>
            </w:r>
            <w:r>
              <w:rPr>
                <w:rFonts w:ascii="Times New Roman" w:hAnsi="Times New Roman" w:cs="Times New Roman"/>
                <w:sz w:val="22"/>
              </w:rPr>
              <w:t xml:space="preserve"> </w:t>
            </w:r>
            <w:r w:rsidRPr="00BD6DF2">
              <w:rPr>
                <w:rFonts w:ascii="Times New Roman" w:hAnsi="Times New Roman" w:cs="Times New Roman"/>
                <w:sz w:val="22"/>
              </w:rPr>
              <w:t>58)</w:t>
            </w:r>
          </w:p>
        </w:tc>
        <w:tc>
          <w:tcPr>
            <w:tcW w:w="921"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63 (n</w:t>
            </w:r>
            <w:r>
              <w:rPr>
                <w:rFonts w:ascii="Times New Roman" w:hAnsi="Times New Roman" w:cs="Times New Roman"/>
                <w:sz w:val="22"/>
              </w:rPr>
              <w:t xml:space="preserve"> </w:t>
            </w:r>
            <w:r w:rsidRPr="00BD6DF2">
              <w:rPr>
                <w:rFonts w:ascii="Times New Roman" w:hAnsi="Times New Roman" w:cs="Times New Roman"/>
                <w:sz w:val="22"/>
              </w:rPr>
              <w:t>=</w:t>
            </w:r>
            <w:r>
              <w:rPr>
                <w:rFonts w:ascii="Times New Roman" w:hAnsi="Times New Roman" w:cs="Times New Roman"/>
                <w:sz w:val="22"/>
              </w:rPr>
              <w:t xml:space="preserve"> </w:t>
            </w:r>
            <w:r w:rsidRPr="00BD6DF2">
              <w:rPr>
                <w:rFonts w:ascii="Times New Roman" w:hAnsi="Times New Roman" w:cs="Times New Roman"/>
                <w:sz w:val="22"/>
              </w:rPr>
              <w:t>48)</w:t>
            </w:r>
          </w:p>
        </w:tc>
        <w:tc>
          <w:tcPr>
            <w:tcW w:w="935"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58 (n</w:t>
            </w:r>
            <w:r>
              <w:rPr>
                <w:rFonts w:ascii="Times New Roman" w:hAnsi="Times New Roman" w:cs="Times New Roman"/>
                <w:sz w:val="22"/>
              </w:rPr>
              <w:t xml:space="preserve"> </w:t>
            </w:r>
            <w:r w:rsidRPr="00BD6DF2">
              <w:rPr>
                <w:rFonts w:ascii="Times New Roman" w:hAnsi="Times New Roman" w:cs="Times New Roman"/>
                <w:sz w:val="22"/>
              </w:rPr>
              <w:t>=</w:t>
            </w:r>
            <w:r>
              <w:rPr>
                <w:rFonts w:ascii="Times New Roman" w:hAnsi="Times New Roman" w:cs="Times New Roman"/>
                <w:sz w:val="22"/>
              </w:rPr>
              <w:t xml:space="preserve"> </w:t>
            </w:r>
            <w:r w:rsidRPr="00BD6DF2">
              <w:rPr>
                <w:rFonts w:ascii="Times New Roman" w:hAnsi="Times New Roman" w:cs="Times New Roman"/>
                <w:sz w:val="22"/>
              </w:rPr>
              <w:t>48)</w:t>
            </w:r>
          </w:p>
        </w:tc>
      </w:tr>
      <w:tr w:rsidR="002A0DA0" w:rsidRPr="00BD6DF2" w:rsidTr="002A0DA0">
        <w:tc>
          <w:tcPr>
            <w:tcW w:w="1302"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ind w:right="-113"/>
              <w:rPr>
                <w:rFonts w:ascii="Times New Roman" w:hAnsi="Times New Roman" w:cs="Times New Roman"/>
                <w:sz w:val="22"/>
                <w:vertAlign w:val="superscript"/>
              </w:rPr>
            </w:pPr>
            <w:r w:rsidRPr="00BD6DF2">
              <w:rPr>
                <w:rFonts w:ascii="Times New Roman" w:hAnsi="Times New Roman" w:cs="Times New Roman"/>
                <w:sz w:val="22"/>
              </w:rPr>
              <w:t xml:space="preserve">   50 til &lt; 100 celler/mm</w:t>
            </w:r>
            <w:r w:rsidRPr="00BD6DF2">
              <w:rPr>
                <w:rFonts w:ascii="Times New Roman" w:hAnsi="Times New Roman" w:cs="Times New Roman"/>
                <w:sz w:val="22"/>
                <w:vertAlign w:val="superscript"/>
              </w:rPr>
              <w:t>3</w:t>
            </w:r>
          </w:p>
        </w:tc>
        <w:tc>
          <w:tcPr>
            <w:tcW w:w="921"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76 (n</w:t>
            </w:r>
            <w:r>
              <w:rPr>
                <w:rFonts w:ascii="Times New Roman" w:hAnsi="Times New Roman" w:cs="Times New Roman"/>
                <w:sz w:val="22"/>
              </w:rPr>
              <w:t xml:space="preserve"> </w:t>
            </w:r>
            <w:r w:rsidRPr="00BD6DF2">
              <w:rPr>
                <w:rFonts w:ascii="Times New Roman" w:hAnsi="Times New Roman" w:cs="Times New Roman"/>
                <w:sz w:val="22"/>
              </w:rPr>
              <w:t>=</w:t>
            </w:r>
            <w:r>
              <w:rPr>
                <w:rFonts w:ascii="Times New Roman" w:hAnsi="Times New Roman" w:cs="Times New Roman"/>
                <w:sz w:val="22"/>
              </w:rPr>
              <w:t xml:space="preserve"> </w:t>
            </w:r>
            <w:r w:rsidRPr="00BD6DF2">
              <w:rPr>
                <w:rFonts w:ascii="Times New Roman" w:hAnsi="Times New Roman" w:cs="Times New Roman"/>
                <w:sz w:val="22"/>
              </w:rPr>
              <w:t>45)</w:t>
            </w:r>
          </w:p>
        </w:tc>
        <w:tc>
          <w:tcPr>
            <w:tcW w:w="921"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71 (n</w:t>
            </w:r>
            <w:r>
              <w:rPr>
                <w:rFonts w:ascii="Times New Roman" w:hAnsi="Times New Roman" w:cs="Times New Roman"/>
                <w:sz w:val="22"/>
              </w:rPr>
              <w:t xml:space="preserve"> </w:t>
            </w:r>
            <w:r w:rsidRPr="00BD6DF2">
              <w:rPr>
                <w:rFonts w:ascii="Times New Roman" w:hAnsi="Times New Roman" w:cs="Times New Roman"/>
                <w:sz w:val="22"/>
              </w:rPr>
              <w:t>=</w:t>
            </w:r>
            <w:r>
              <w:rPr>
                <w:rFonts w:ascii="Times New Roman" w:hAnsi="Times New Roman" w:cs="Times New Roman"/>
                <w:sz w:val="22"/>
              </w:rPr>
              <w:t xml:space="preserve"> </w:t>
            </w:r>
            <w:r w:rsidRPr="00BD6DF2">
              <w:rPr>
                <w:rFonts w:ascii="Times New Roman" w:hAnsi="Times New Roman" w:cs="Times New Roman"/>
                <w:sz w:val="22"/>
              </w:rPr>
              <w:t>45)</w:t>
            </w:r>
          </w:p>
        </w:tc>
        <w:tc>
          <w:tcPr>
            <w:tcW w:w="921"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69 (n</w:t>
            </w:r>
            <w:r>
              <w:rPr>
                <w:rFonts w:ascii="Times New Roman" w:hAnsi="Times New Roman" w:cs="Times New Roman"/>
                <w:sz w:val="22"/>
              </w:rPr>
              <w:t xml:space="preserve"> </w:t>
            </w:r>
            <w:r w:rsidRPr="00BD6DF2">
              <w:rPr>
                <w:rFonts w:ascii="Times New Roman" w:hAnsi="Times New Roman" w:cs="Times New Roman"/>
                <w:sz w:val="22"/>
              </w:rPr>
              <w:t>=</w:t>
            </w:r>
            <w:r>
              <w:rPr>
                <w:rFonts w:ascii="Times New Roman" w:hAnsi="Times New Roman" w:cs="Times New Roman"/>
                <w:sz w:val="22"/>
              </w:rPr>
              <w:t xml:space="preserve"> </w:t>
            </w:r>
            <w:r w:rsidRPr="00BD6DF2">
              <w:rPr>
                <w:rFonts w:ascii="Times New Roman" w:hAnsi="Times New Roman" w:cs="Times New Roman"/>
                <w:sz w:val="22"/>
              </w:rPr>
              <w:t>29)</w:t>
            </w:r>
          </w:p>
        </w:tc>
        <w:tc>
          <w:tcPr>
            <w:tcW w:w="935"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69 (n</w:t>
            </w:r>
            <w:r>
              <w:rPr>
                <w:rFonts w:ascii="Times New Roman" w:hAnsi="Times New Roman" w:cs="Times New Roman"/>
                <w:sz w:val="22"/>
              </w:rPr>
              <w:t xml:space="preserve"> </w:t>
            </w:r>
            <w:r w:rsidRPr="00BD6DF2">
              <w:rPr>
                <w:rFonts w:ascii="Times New Roman" w:hAnsi="Times New Roman" w:cs="Times New Roman"/>
                <w:sz w:val="22"/>
              </w:rPr>
              <w:t>=</w:t>
            </w:r>
            <w:r>
              <w:rPr>
                <w:rFonts w:ascii="Times New Roman" w:hAnsi="Times New Roman" w:cs="Times New Roman"/>
                <w:sz w:val="22"/>
              </w:rPr>
              <w:t xml:space="preserve"> </w:t>
            </w:r>
            <w:r w:rsidRPr="00BD6DF2">
              <w:rPr>
                <w:rFonts w:ascii="Times New Roman" w:hAnsi="Times New Roman" w:cs="Times New Roman"/>
                <w:sz w:val="22"/>
              </w:rPr>
              <w:t>29)</w:t>
            </w:r>
          </w:p>
        </w:tc>
      </w:tr>
      <w:tr w:rsidR="002A0DA0" w:rsidRPr="00BD6DF2" w:rsidTr="002A0DA0">
        <w:tc>
          <w:tcPr>
            <w:tcW w:w="1302"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rPr>
                <w:rFonts w:ascii="Times New Roman" w:hAnsi="Times New Roman" w:cs="Times New Roman"/>
                <w:sz w:val="22"/>
              </w:rPr>
            </w:pPr>
            <w:r w:rsidRPr="00BD6DF2">
              <w:rPr>
                <w:rFonts w:ascii="Times New Roman" w:hAnsi="Times New Roman" w:cs="Times New Roman"/>
                <w:sz w:val="22"/>
              </w:rPr>
              <w:t xml:space="preserve">   100 til </w:t>
            </w:r>
          </w:p>
          <w:p w:rsidR="002A0DA0" w:rsidRPr="00BD6DF2" w:rsidRDefault="002A0DA0" w:rsidP="002A0DA0">
            <w:pPr>
              <w:tabs>
                <w:tab w:val="left" w:pos="709"/>
              </w:tabs>
              <w:rPr>
                <w:rFonts w:ascii="Times New Roman" w:hAnsi="Times New Roman" w:cs="Times New Roman"/>
                <w:sz w:val="22"/>
                <w:vertAlign w:val="superscript"/>
              </w:rPr>
            </w:pPr>
            <w:r w:rsidRPr="00BD6DF2">
              <w:rPr>
                <w:rFonts w:ascii="Times New Roman" w:hAnsi="Times New Roman" w:cs="Times New Roman"/>
                <w:sz w:val="22"/>
              </w:rPr>
              <w:t xml:space="preserve">   &lt; 200 celler/mm</w:t>
            </w:r>
            <w:r w:rsidRPr="00BD6DF2">
              <w:rPr>
                <w:rFonts w:ascii="Times New Roman" w:hAnsi="Times New Roman" w:cs="Times New Roman"/>
                <w:sz w:val="22"/>
                <w:vertAlign w:val="superscript"/>
              </w:rPr>
              <w:t>3</w:t>
            </w:r>
          </w:p>
        </w:tc>
        <w:tc>
          <w:tcPr>
            <w:tcW w:w="921"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75 (n=106)</w:t>
            </w:r>
          </w:p>
        </w:tc>
        <w:tc>
          <w:tcPr>
            <w:tcW w:w="921"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71 (n=106)</w:t>
            </w:r>
          </w:p>
        </w:tc>
        <w:tc>
          <w:tcPr>
            <w:tcW w:w="921"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78 (n=134)</w:t>
            </w:r>
          </w:p>
        </w:tc>
        <w:tc>
          <w:tcPr>
            <w:tcW w:w="935"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70 (n=134)</w:t>
            </w:r>
          </w:p>
        </w:tc>
      </w:tr>
      <w:tr w:rsidR="002A0DA0" w:rsidRPr="00BD6DF2" w:rsidTr="002A0DA0">
        <w:tc>
          <w:tcPr>
            <w:tcW w:w="1302"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rPr>
                <w:rFonts w:ascii="Times New Roman" w:hAnsi="Times New Roman" w:cs="Times New Roman"/>
                <w:sz w:val="22"/>
              </w:rPr>
            </w:pPr>
            <w:r w:rsidRPr="00BD6DF2">
              <w:rPr>
                <w:rFonts w:ascii="Times New Roman" w:hAnsi="Times New Roman" w:cs="Times New Roman"/>
                <w:sz w:val="22"/>
              </w:rPr>
              <w:t xml:space="preserve">   ≥ 200 celler/mm</w:t>
            </w:r>
            <w:r w:rsidRPr="00BD6DF2">
              <w:rPr>
                <w:rFonts w:ascii="Times New Roman" w:hAnsi="Times New Roman" w:cs="Times New Roman"/>
                <w:sz w:val="22"/>
                <w:vertAlign w:val="superscript"/>
              </w:rPr>
              <w:t>3</w:t>
            </w:r>
          </w:p>
        </w:tc>
        <w:tc>
          <w:tcPr>
            <w:tcW w:w="921"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80 (n</w:t>
            </w:r>
            <w:r>
              <w:rPr>
                <w:rFonts w:ascii="Times New Roman" w:hAnsi="Times New Roman" w:cs="Times New Roman"/>
                <w:sz w:val="22"/>
              </w:rPr>
              <w:t xml:space="preserve"> </w:t>
            </w:r>
            <w:r w:rsidRPr="00BD6DF2">
              <w:rPr>
                <w:rFonts w:ascii="Times New Roman" w:hAnsi="Times New Roman" w:cs="Times New Roman"/>
                <w:sz w:val="22"/>
              </w:rPr>
              <w:t>=</w:t>
            </w:r>
            <w:r>
              <w:rPr>
                <w:rFonts w:ascii="Times New Roman" w:hAnsi="Times New Roman" w:cs="Times New Roman"/>
                <w:sz w:val="22"/>
              </w:rPr>
              <w:t xml:space="preserve"> </w:t>
            </w:r>
            <w:r w:rsidRPr="00BD6DF2">
              <w:rPr>
                <w:rFonts w:ascii="Times New Roman" w:hAnsi="Times New Roman" w:cs="Times New Roman"/>
                <w:sz w:val="22"/>
              </w:rPr>
              <w:t>222)</w:t>
            </w:r>
          </w:p>
        </w:tc>
        <w:tc>
          <w:tcPr>
            <w:tcW w:w="921"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76 (n</w:t>
            </w:r>
            <w:r>
              <w:rPr>
                <w:rFonts w:ascii="Times New Roman" w:hAnsi="Times New Roman" w:cs="Times New Roman"/>
                <w:sz w:val="22"/>
              </w:rPr>
              <w:t xml:space="preserve"> </w:t>
            </w:r>
            <w:r w:rsidRPr="00BD6DF2">
              <w:rPr>
                <w:rFonts w:ascii="Times New Roman" w:hAnsi="Times New Roman" w:cs="Times New Roman"/>
                <w:sz w:val="22"/>
              </w:rPr>
              <w:t>=</w:t>
            </w:r>
            <w:r>
              <w:rPr>
                <w:rFonts w:ascii="Times New Roman" w:hAnsi="Times New Roman" w:cs="Times New Roman"/>
                <w:sz w:val="22"/>
              </w:rPr>
              <w:t xml:space="preserve"> </w:t>
            </w:r>
            <w:r w:rsidRPr="00BD6DF2">
              <w:rPr>
                <w:rFonts w:ascii="Times New Roman" w:hAnsi="Times New Roman" w:cs="Times New Roman"/>
                <w:sz w:val="22"/>
              </w:rPr>
              <w:t>222)</w:t>
            </w:r>
          </w:p>
        </w:tc>
        <w:tc>
          <w:tcPr>
            <w:tcW w:w="921"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80 (n</w:t>
            </w:r>
            <w:r>
              <w:rPr>
                <w:rFonts w:ascii="Times New Roman" w:hAnsi="Times New Roman" w:cs="Times New Roman"/>
                <w:sz w:val="22"/>
              </w:rPr>
              <w:t xml:space="preserve"> </w:t>
            </w:r>
            <w:r w:rsidRPr="00BD6DF2">
              <w:rPr>
                <w:rFonts w:ascii="Times New Roman" w:hAnsi="Times New Roman" w:cs="Times New Roman"/>
                <w:sz w:val="22"/>
              </w:rPr>
              <w:t>=</w:t>
            </w:r>
            <w:r>
              <w:rPr>
                <w:rFonts w:ascii="Times New Roman" w:hAnsi="Times New Roman" w:cs="Times New Roman"/>
                <w:sz w:val="22"/>
              </w:rPr>
              <w:t xml:space="preserve"> </w:t>
            </w:r>
            <w:r w:rsidRPr="00BD6DF2">
              <w:rPr>
                <w:rFonts w:ascii="Times New Roman" w:hAnsi="Times New Roman" w:cs="Times New Roman"/>
                <w:sz w:val="22"/>
              </w:rPr>
              <w:t>228)</w:t>
            </w:r>
          </w:p>
        </w:tc>
        <w:tc>
          <w:tcPr>
            <w:tcW w:w="935"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69 (n</w:t>
            </w:r>
            <w:r>
              <w:rPr>
                <w:rFonts w:ascii="Times New Roman" w:hAnsi="Times New Roman" w:cs="Times New Roman"/>
                <w:sz w:val="22"/>
              </w:rPr>
              <w:t xml:space="preserve"> </w:t>
            </w:r>
            <w:r w:rsidRPr="00BD6DF2">
              <w:rPr>
                <w:rFonts w:ascii="Times New Roman" w:hAnsi="Times New Roman" w:cs="Times New Roman"/>
                <w:sz w:val="22"/>
              </w:rPr>
              <w:t>=</w:t>
            </w:r>
            <w:r>
              <w:rPr>
                <w:rFonts w:ascii="Times New Roman" w:hAnsi="Times New Roman" w:cs="Times New Roman"/>
                <w:sz w:val="22"/>
              </w:rPr>
              <w:t xml:space="preserve"> </w:t>
            </w:r>
            <w:r w:rsidRPr="00BD6DF2">
              <w:rPr>
                <w:rFonts w:ascii="Times New Roman" w:hAnsi="Times New Roman" w:cs="Times New Roman"/>
                <w:sz w:val="22"/>
              </w:rPr>
              <w:t>228)</w:t>
            </w:r>
          </w:p>
        </w:tc>
      </w:tr>
      <w:tr w:rsidR="002A0DA0" w:rsidRPr="00BD6DF2" w:rsidTr="002A0DA0">
        <w:tc>
          <w:tcPr>
            <w:tcW w:w="5000" w:type="pct"/>
            <w:gridSpan w:val="5"/>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rPr>
                <w:rFonts w:ascii="Times New Roman" w:hAnsi="Times New Roman" w:cs="Times New Roman"/>
                <w:b/>
                <w:sz w:val="22"/>
              </w:rPr>
            </w:pPr>
            <w:r w:rsidRPr="00BD6DF2">
              <w:rPr>
                <w:rFonts w:ascii="Times New Roman" w:hAnsi="Times New Roman" w:cs="Times New Roman"/>
                <w:b/>
                <w:sz w:val="22"/>
              </w:rPr>
              <w:t>HIV-RNA Middelændring fra baseline, log</w:t>
            </w:r>
            <w:r w:rsidRPr="00BD6DF2">
              <w:rPr>
                <w:rFonts w:ascii="Times New Roman" w:hAnsi="Times New Roman" w:cs="Times New Roman"/>
                <w:b/>
                <w:sz w:val="22"/>
                <w:vertAlign w:val="subscript"/>
              </w:rPr>
              <w:t>10</w:t>
            </w:r>
            <w:r w:rsidRPr="00BD6DF2">
              <w:rPr>
                <w:rFonts w:ascii="Times New Roman" w:hAnsi="Times New Roman" w:cs="Times New Roman"/>
                <w:b/>
                <w:sz w:val="22"/>
              </w:rPr>
              <w:t xml:space="preserve"> kopier/ml</w:t>
            </w:r>
          </w:p>
        </w:tc>
      </w:tr>
      <w:tr w:rsidR="002A0DA0" w:rsidRPr="00BD6DF2" w:rsidTr="002A0DA0">
        <w:tc>
          <w:tcPr>
            <w:tcW w:w="1302"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rPr>
                <w:rFonts w:ascii="Times New Roman" w:hAnsi="Times New Roman" w:cs="Times New Roman"/>
                <w:sz w:val="22"/>
              </w:rPr>
            </w:pPr>
            <w:r w:rsidRPr="00BD6DF2">
              <w:rPr>
                <w:rFonts w:ascii="Times New Roman" w:hAnsi="Times New Roman" w:cs="Times New Roman"/>
                <w:sz w:val="22"/>
              </w:rPr>
              <w:t xml:space="preserve">   Alle patienter</w:t>
            </w:r>
          </w:p>
        </w:tc>
        <w:tc>
          <w:tcPr>
            <w:tcW w:w="921"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-3,09 (n</w:t>
            </w:r>
            <w:r>
              <w:rPr>
                <w:rFonts w:ascii="Times New Roman" w:hAnsi="Times New Roman" w:cs="Times New Roman"/>
                <w:sz w:val="22"/>
              </w:rPr>
              <w:t xml:space="preserve"> </w:t>
            </w:r>
            <w:r w:rsidRPr="00BD6DF2">
              <w:rPr>
                <w:rFonts w:ascii="Times New Roman" w:hAnsi="Times New Roman" w:cs="Times New Roman"/>
                <w:sz w:val="22"/>
              </w:rPr>
              <w:t>=</w:t>
            </w:r>
            <w:r>
              <w:rPr>
                <w:rFonts w:ascii="Times New Roman" w:hAnsi="Times New Roman" w:cs="Times New Roman"/>
                <w:sz w:val="22"/>
              </w:rPr>
              <w:t xml:space="preserve"> </w:t>
            </w:r>
            <w:r w:rsidRPr="00BD6DF2">
              <w:rPr>
                <w:rFonts w:ascii="Times New Roman" w:hAnsi="Times New Roman" w:cs="Times New Roman"/>
                <w:sz w:val="22"/>
              </w:rPr>
              <w:t>397)</w:t>
            </w:r>
          </w:p>
        </w:tc>
        <w:tc>
          <w:tcPr>
            <w:tcW w:w="921"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-3,21 (n</w:t>
            </w:r>
            <w:r>
              <w:rPr>
                <w:rFonts w:ascii="Times New Roman" w:hAnsi="Times New Roman" w:cs="Times New Roman"/>
                <w:sz w:val="22"/>
              </w:rPr>
              <w:t xml:space="preserve"> </w:t>
            </w:r>
            <w:r w:rsidRPr="00BD6DF2">
              <w:rPr>
                <w:rFonts w:ascii="Times New Roman" w:hAnsi="Times New Roman" w:cs="Times New Roman"/>
                <w:sz w:val="22"/>
              </w:rPr>
              <w:t>=</w:t>
            </w:r>
            <w:r>
              <w:rPr>
                <w:rFonts w:ascii="Times New Roman" w:hAnsi="Times New Roman" w:cs="Times New Roman"/>
                <w:sz w:val="22"/>
              </w:rPr>
              <w:t xml:space="preserve"> </w:t>
            </w:r>
            <w:r w:rsidRPr="00BD6DF2">
              <w:rPr>
                <w:rFonts w:ascii="Times New Roman" w:hAnsi="Times New Roman" w:cs="Times New Roman"/>
                <w:sz w:val="22"/>
              </w:rPr>
              <w:t>360)</w:t>
            </w:r>
          </w:p>
        </w:tc>
        <w:tc>
          <w:tcPr>
            <w:tcW w:w="921"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-3,13 (n</w:t>
            </w:r>
            <w:r>
              <w:rPr>
                <w:rFonts w:ascii="Times New Roman" w:hAnsi="Times New Roman" w:cs="Times New Roman"/>
                <w:sz w:val="22"/>
              </w:rPr>
              <w:t xml:space="preserve"> </w:t>
            </w:r>
            <w:r w:rsidRPr="00BD6DF2">
              <w:rPr>
                <w:rFonts w:ascii="Times New Roman" w:hAnsi="Times New Roman" w:cs="Times New Roman"/>
                <w:sz w:val="22"/>
              </w:rPr>
              <w:t>=</w:t>
            </w:r>
            <w:r>
              <w:rPr>
                <w:rFonts w:ascii="Times New Roman" w:hAnsi="Times New Roman" w:cs="Times New Roman"/>
                <w:sz w:val="22"/>
              </w:rPr>
              <w:t xml:space="preserve"> </w:t>
            </w:r>
            <w:r w:rsidRPr="00BD6DF2">
              <w:rPr>
                <w:rFonts w:ascii="Times New Roman" w:hAnsi="Times New Roman" w:cs="Times New Roman"/>
                <w:sz w:val="22"/>
              </w:rPr>
              <w:t>379)</w:t>
            </w:r>
          </w:p>
        </w:tc>
        <w:tc>
          <w:tcPr>
            <w:tcW w:w="935"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-3,19 (n</w:t>
            </w:r>
            <w:r>
              <w:rPr>
                <w:rFonts w:ascii="Times New Roman" w:hAnsi="Times New Roman" w:cs="Times New Roman"/>
                <w:sz w:val="22"/>
              </w:rPr>
              <w:t xml:space="preserve"> </w:t>
            </w:r>
            <w:r w:rsidRPr="00BD6DF2">
              <w:rPr>
                <w:rFonts w:ascii="Times New Roman" w:hAnsi="Times New Roman" w:cs="Times New Roman"/>
                <w:sz w:val="22"/>
              </w:rPr>
              <w:t>=</w:t>
            </w:r>
            <w:r>
              <w:rPr>
                <w:rFonts w:ascii="Times New Roman" w:hAnsi="Times New Roman" w:cs="Times New Roman"/>
                <w:sz w:val="22"/>
              </w:rPr>
              <w:t xml:space="preserve"> </w:t>
            </w:r>
            <w:r w:rsidRPr="00BD6DF2">
              <w:rPr>
                <w:rFonts w:ascii="Times New Roman" w:hAnsi="Times New Roman" w:cs="Times New Roman"/>
                <w:sz w:val="22"/>
              </w:rPr>
              <w:t>340)</w:t>
            </w:r>
          </w:p>
        </w:tc>
      </w:tr>
      <w:tr w:rsidR="002A0DA0" w:rsidRPr="00BD6DF2" w:rsidTr="002A0DA0">
        <w:tc>
          <w:tcPr>
            <w:tcW w:w="5000" w:type="pct"/>
            <w:gridSpan w:val="5"/>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rPr>
                <w:rFonts w:ascii="Times New Roman" w:hAnsi="Times New Roman" w:cs="Times New Roman"/>
                <w:b/>
                <w:sz w:val="22"/>
              </w:rPr>
            </w:pPr>
            <w:r w:rsidRPr="00BD6DF2">
              <w:rPr>
                <w:rFonts w:ascii="Times New Roman" w:hAnsi="Times New Roman" w:cs="Times New Roman"/>
                <w:b/>
                <w:sz w:val="22"/>
              </w:rPr>
              <w:t>CD4 Middelændring fra baseline, celler/mm</w:t>
            </w:r>
            <w:r w:rsidRPr="00BD6DF2">
              <w:rPr>
                <w:rFonts w:ascii="Times New Roman" w:hAnsi="Times New Roman" w:cs="Times New Roman"/>
                <w:b/>
                <w:sz w:val="22"/>
                <w:vertAlign w:val="superscript"/>
              </w:rPr>
              <w:t>3</w:t>
            </w:r>
          </w:p>
        </w:tc>
      </w:tr>
      <w:tr w:rsidR="002A0DA0" w:rsidRPr="00BD6DF2" w:rsidTr="002A0DA0">
        <w:tc>
          <w:tcPr>
            <w:tcW w:w="1302"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rPr>
                <w:rFonts w:ascii="Times New Roman" w:hAnsi="Times New Roman" w:cs="Times New Roman"/>
                <w:sz w:val="22"/>
              </w:rPr>
            </w:pPr>
            <w:r w:rsidRPr="00BD6DF2">
              <w:rPr>
                <w:rFonts w:ascii="Times New Roman" w:hAnsi="Times New Roman" w:cs="Times New Roman"/>
                <w:sz w:val="22"/>
              </w:rPr>
              <w:t xml:space="preserve">   Alle patienter</w:t>
            </w:r>
          </w:p>
        </w:tc>
        <w:tc>
          <w:tcPr>
            <w:tcW w:w="921"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203 (n</w:t>
            </w:r>
            <w:r>
              <w:rPr>
                <w:rFonts w:ascii="Times New Roman" w:hAnsi="Times New Roman" w:cs="Times New Roman"/>
                <w:sz w:val="22"/>
              </w:rPr>
              <w:t xml:space="preserve"> </w:t>
            </w:r>
            <w:r w:rsidRPr="00BD6DF2">
              <w:rPr>
                <w:rFonts w:ascii="Times New Roman" w:hAnsi="Times New Roman" w:cs="Times New Roman"/>
                <w:sz w:val="22"/>
              </w:rPr>
              <w:t>=</w:t>
            </w:r>
            <w:r>
              <w:rPr>
                <w:rFonts w:ascii="Times New Roman" w:hAnsi="Times New Roman" w:cs="Times New Roman"/>
                <w:sz w:val="22"/>
              </w:rPr>
              <w:t xml:space="preserve"> </w:t>
            </w:r>
            <w:r w:rsidRPr="00BD6DF2">
              <w:rPr>
                <w:rFonts w:ascii="Times New Roman" w:hAnsi="Times New Roman" w:cs="Times New Roman"/>
                <w:sz w:val="22"/>
              </w:rPr>
              <w:t>370)</w:t>
            </w:r>
          </w:p>
        </w:tc>
        <w:tc>
          <w:tcPr>
            <w:tcW w:w="921"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268 (n</w:t>
            </w:r>
            <w:r>
              <w:rPr>
                <w:rFonts w:ascii="Times New Roman" w:hAnsi="Times New Roman" w:cs="Times New Roman"/>
                <w:sz w:val="22"/>
              </w:rPr>
              <w:t xml:space="preserve"> </w:t>
            </w:r>
            <w:r w:rsidRPr="00BD6DF2">
              <w:rPr>
                <w:rFonts w:ascii="Times New Roman" w:hAnsi="Times New Roman" w:cs="Times New Roman"/>
                <w:sz w:val="22"/>
              </w:rPr>
              <w:t>=</w:t>
            </w:r>
            <w:r>
              <w:rPr>
                <w:rFonts w:ascii="Times New Roman" w:hAnsi="Times New Roman" w:cs="Times New Roman"/>
                <w:sz w:val="22"/>
              </w:rPr>
              <w:t xml:space="preserve"> </w:t>
            </w:r>
            <w:r w:rsidRPr="00BD6DF2">
              <w:rPr>
                <w:rFonts w:ascii="Times New Roman" w:hAnsi="Times New Roman" w:cs="Times New Roman"/>
                <w:sz w:val="22"/>
              </w:rPr>
              <w:t>336)</w:t>
            </w:r>
          </w:p>
        </w:tc>
        <w:tc>
          <w:tcPr>
            <w:tcW w:w="921"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219 (n</w:t>
            </w:r>
            <w:r>
              <w:rPr>
                <w:rFonts w:ascii="Times New Roman" w:hAnsi="Times New Roman" w:cs="Times New Roman"/>
                <w:sz w:val="22"/>
              </w:rPr>
              <w:t xml:space="preserve"> </w:t>
            </w:r>
            <w:r w:rsidRPr="00BD6DF2">
              <w:rPr>
                <w:rFonts w:ascii="Times New Roman" w:hAnsi="Times New Roman" w:cs="Times New Roman"/>
                <w:sz w:val="22"/>
              </w:rPr>
              <w:t>=</w:t>
            </w:r>
            <w:r>
              <w:rPr>
                <w:rFonts w:ascii="Times New Roman" w:hAnsi="Times New Roman" w:cs="Times New Roman"/>
                <w:sz w:val="22"/>
              </w:rPr>
              <w:t xml:space="preserve"> </w:t>
            </w:r>
            <w:r w:rsidRPr="00BD6DF2">
              <w:rPr>
                <w:rFonts w:ascii="Times New Roman" w:hAnsi="Times New Roman" w:cs="Times New Roman"/>
                <w:sz w:val="22"/>
              </w:rPr>
              <w:t>363)</w:t>
            </w:r>
          </w:p>
        </w:tc>
        <w:tc>
          <w:tcPr>
            <w:tcW w:w="935"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290 (n</w:t>
            </w:r>
            <w:r>
              <w:rPr>
                <w:rFonts w:ascii="Times New Roman" w:hAnsi="Times New Roman" w:cs="Times New Roman"/>
                <w:sz w:val="22"/>
              </w:rPr>
              <w:t xml:space="preserve"> </w:t>
            </w:r>
            <w:r w:rsidRPr="00BD6DF2">
              <w:rPr>
                <w:rFonts w:ascii="Times New Roman" w:hAnsi="Times New Roman" w:cs="Times New Roman"/>
                <w:sz w:val="22"/>
              </w:rPr>
              <w:t>=</w:t>
            </w:r>
            <w:r>
              <w:rPr>
                <w:rFonts w:ascii="Times New Roman" w:hAnsi="Times New Roman" w:cs="Times New Roman"/>
                <w:sz w:val="22"/>
              </w:rPr>
              <w:t xml:space="preserve"> </w:t>
            </w:r>
            <w:r w:rsidRPr="00BD6DF2">
              <w:rPr>
                <w:rFonts w:ascii="Times New Roman" w:hAnsi="Times New Roman" w:cs="Times New Roman"/>
                <w:sz w:val="22"/>
              </w:rPr>
              <w:t>317)</w:t>
            </w:r>
          </w:p>
        </w:tc>
      </w:tr>
      <w:tr w:rsidR="002A0DA0" w:rsidRPr="00BD6DF2" w:rsidTr="002A0DA0">
        <w:tc>
          <w:tcPr>
            <w:tcW w:w="5000" w:type="pct"/>
            <w:gridSpan w:val="5"/>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rPr>
                <w:rFonts w:ascii="Times New Roman" w:hAnsi="Times New Roman" w:cs="Times New Roman"/>
                <w:sz w:val="22"/>
              </w:rPr>
            </w:pPr>
            <w:r w:rsidRPr="00BD6DF2">
              <w:rPr>
                <w:rFonts w:ascii="Times New Roman" w:hAnsi="Times New Roman" w:cs="Times New Roman"/>
                <w:sz w:val="22"/>
              </w:rPr>
              <w:t>CD4 Middelændring fra baseline, celler/mm</w:t>
            </w:r>
            <w:r w:rsidRPr="00BD6DF2">
              <w:rPr>
                <w:rFonts w:ascii="Times New Roman" w:hAnsi="Times New Roman" w:cs="Times New Roman"/>
                <w:sz w:val="22"/>
                <w:vertAlign w:val="superscript"/>
              </w:rPr>
              <w:t>3</w:t>
            </w:r>
            <w:r w:rsidRPr="00BD6DF2">
              <w:rPr>
                <w:rFonts w:ascii="Times New Roman" w:hAnsi="Times New Roman" w:cs="Times New Roman"/>
                <w:sz w:val="22"/>
              </w:rPr>
              <w:t xml:space="preserve"> ved baseline karakteristika</w:t>
            </w:r>
          </w:p>
        </w:tc>
      </w:tr>
      <w:tr w:rsidR="002A0DA0" w:rsidRPr="00BD6DF2" w:rsidTr="002A0DA0">
        <w:tc>
          <w:tcPr>
            <w:tcW w:w="1302"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rPr>
                <w:rFonts w:ascii="Times New Roman" w:hAnsi="Times New Roman" w:cs="Times New Roman"/>
                <w:sz w:val="22"/>
              </w:rPr>
            </w:pPr>
            <w:r w:rsidRPr="00BD6DF2">
              <w:rPr>
                <w:rFonts w:ascii="Times New Roman" w:hAnsi="Times New Roman" w:cs="Times New Roman"/>
                <w:sz w:val="22"/>
              </w:rPr>
              <w:t>HIV-RNA</w:t>
            </w:r>
          </w:p>
          <w:p w:rsidR="002A0DA0" w:rsidRPr="00BD6DF2" w:rsidRDefault="002A0DA0" w:rsidP="002A0DA0">
            <w:pPr>
              <w:tabs>
                <w:tab w:val="left" w:pos="709"/>
              </w:tabs>
              <w:rPr>
                <w:rFonts w:ascii="Times New Roman" w:hAnsi="Times New Roman" w:cs="Times New Roman"/>
                <w:sz w:val="22"/>
              </w:rPr>
            </w:pPr>
            <w:r w:rsidRPr="00BD6DF2">
              <w:rPr>
                <w:rFonts w:ascii="Times New Roman" w:hAnsi="Times New Roman" w:cs="Times New Roman"/>
                <w:sz w:val="22"/>
              </w:rPr>
              <w:t xml:space="preserve">   &lt; 100.000 kopier/ml</w:t>
            </w:r>
          </w:p>
        </w:tc>
        <w:tc>
          <w:tcPr>
            <w:tcW w:w="921"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179 (n</w:t>
            </w:r>
            <w:r>
              <w:rPr>
                <w:rFonts w:ascii="Times New Roman" w:hAnsi="Times New Roman" w:cs="Times New Roman"/>
                <w:sz w:val="22"/>
              </w:rPr>
              <w:t xml:space="preserve"> </w:t>
            </w:r>
            <w:r w:rsidRPr="00BD6DF2">
              <w:rPr>
                <w:rFonts w:ascii="Times New Roman" w:hAnsi="Times New Roman" w:cs="Times New Roman"/>
                <w:sz w:val="22"/>
              </w:rPr>
              <w:t>=</w:t>
            </w:r>
            <w:r>
              <w:rPr>
                <w:rFonts w:ascii="Times New Roman" w:hAnsi="Times New Roman" w:cs="Times New Roman"/>
                <w:sz w:val="22"/>
              </w:rPr>
              <w:t xml:space="preserve"> </w:t>
            </w:r>
            <w:r w:rsidRPr="00BD6DF2">
              <w:rPr>
                <w:rFonts w:ascii="Times New Roman" w:hAnsi="Times New Roman" w:cs="Times New Roman"/>
                <w:sz w:val="22"/>
              </w:rPr>
              <w:t>183)</w:t>
            </w:r>
          </w:p>
        </w:tc>
        <w:tc>
          <w:tcPr>
            <w:tcW w:w="921"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243 (n</w:t>
            </w:r>
            <w:r>
              <w:rPr>
                <w:rFonts w:ascii="Times New Roman" w:hAnsi="Times New Roman" w:cs="Times New Roman"/>
                <w:sz w:val="22"/>
              </w:rPr>
              <w:t xml:space="preserve"> </w:t>
            </w:r>
            <w:r w:rsidRPr="00BD6DF2">
              <w:rPr>
                <w:rFonts w:ascii="Times New Roman" w:hAnsi="Times New Roman" w:cs="Times New Roman"/>
                <w:sz w:val="22"/>
              </w:rPr>
              <w:t>=</w:t>
            </w:r>
            <w:r>
              <w:rPr>
                <w:rFonts w:ascii="Times New Roman" w:hAnsi="Times New Roman" w:cs="Times New Roman"/>
                <w:sz w:val="22"/>
              </w:rPr>
              <w:t xml:space="preserve"> </w:t>
            </w:r>
            <w:r w:rsidRPr="00BD6DF2">
              <w:rPr>
                <w:rFonts w:ascii="Times New Roman" w:hAnsi="Times New Roman" w:cs="Times New Roman"/>
                <w:sz w:val="22"/>
              </w:rPr>
              <w:t>163)</w:t>
            </w:r>
          </w:p>
        </w:tc>
        <w:tc>
          <w:tcPr>
            <w:tcW w:w="921"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194 (n</w:t>
            </w:r>
            <w:r>
              <w:rPr>
                <w:rFonts w:ascii="Times New Roman" w:hAnsi="Times New Roman" w:cs="Times New Roman"/>
                <w:sz w:val="22"/>
              </w:rPr>
              <w:t xml:space="preserve"> </w:t>
            </w:r>
            <w:r w:rsidRPr="00BD6DF2">
              <w:rPr>
                <w:rFonts w:ascii="Times New Roman" w:hAnsi="Times New Roman" w:cs="Times New Roman"/>
                <w:sz w:val="22"/>
              </w:rPr>
              <w:t>=</w:t>
            </w:r>
            <w:r>
              <w:rPr>
                <w:rFonts w:ascii="Times New Roman" w:hAnsi="Times New Roman" w:cs="Times New Roman"/>
                <w:sz w:val="22"/>
              </w:rPr>
              <w:t xml:space="preserve"> </w:t>
            </w:r>
            <w:r w:rsidRPr="00BD6DF2">
              <w:rPr>
                <w:rFonts w:ascii="Times New Roman" w:hAnsi="Times New Roman" w:cs="Times New Roman"/>
                <w:sz w:val="22"/>
              </w:rPr>
              <w:t>183)</w:t>
            </w:r>
          </w:p>
        </w:tc>
        <w:tc>
          <w:tcPr>
            <w:tcW w:w="935"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276 (n</w:t>
            </w:r>
            <w:r>
              <w:rPr>
                <w:rFonts w:ascii="Times New Roman" w:hAnsi="Times New Roman" w:cs="Times New Roman"/>
                <w:sz w:val="22"/>
              </w:rPr>
              <w:t xml:space="preserve"> </w:t>
            </w:r>
            <w:r w:rsidRPr="00BD6DF2">
              <w:rPr>
                <w:rFonts w:ascii="Times New Roman" w:hAnsi="Times New Roman" w:cs="Times New Roman"/>
                <w:sz w:val="22"/>
              </w:rPr>
              <w:t>=</w:t>
            </w:r>
            <w:r>
              <w:rPr>
                <w:rFonts w:ascii="Times New Roman" w:hAnsi="Times New Roman" w:cs="Times New Roman"/>
                <w:sz w:val="22"/>
              </w:rPr>
              <w:t xml:space="preserve"> </w:t>
            </w:r>
            <w:r w:rsidRPr="00BD6DF2">
              <w:rPr>
                <w:rFonts w:ascii="Times New Roman" w:hAnsi="Times New Roman" w:cs="Times New Roman"/>
                <w:sz w:val="22"/>
              </w:rPr>
              <w:t>152)</w:t>
            </w:r>
          </w:p>
        </w:tc>
      </w:tr>
      <w:tr w:rsidR="002A0DA0" w:rsidRPr="00BD6DF2" w:rsidTr="002A0DA0">
        <w:tc>
          <w:tcPr>
            <w:tcW w:w="1302"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rPr>
                <w:rFonts w:ascii="Times New Roman" w:hAnsi="Times New Roman" w:cs="Times New Roman"/>
                <w:sz w:val="22"/>
              </w:rPr>
            </w:pPr>
            <w:r w:rsidRPr="00BD6DF2">
              <w:rPr>
                <w:rFonts w:ascii="Times New Roman" w:hAnsi="Times New Roman" w:cs="Times New Roman"/>
                <w:sz w:val="22"/>
              </w:rPr>
              <w:t xml:space="preserve">   ≥ 100.000 kopier/ml</w:t>
            </w:r>
          </w:p>
        </w:tc>
        <w:tc>
          <w:tcPr>
            <w:tcW w:w="921"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227 (n</w:t>
            </w:r>
            <w:r>
              <w:rPr>
                <w:rFonts w:ascii="Times New Roman" w:hAnsi="Times New Roman" w:cs="Times New Roman"/>
                <w:sz w:val="22"/>
              </w:rPr>
              <w:t xml:space="preserve"> </w:t>
            </w:r>
            <w:r w:rsidRPr="00BD6DF2">
              <w:rPr>
                <w:rFonts w:ascii="Times New Roman" w:hAnsi="Times New Roman" w:cs="Times New Roman"/>
                <w:sz w:val="22"/>
              </w:rPr>
              <w:t>=</w:t>
            </w:r>
            <w:r>
              <w:rPr>
                <w:rFonts w:ascii="Times New Roman" w:hAnsi="Times New Roman" w:cs="Times New Roman"/>
                <w:sz w:val="22"/>
              </w:rPr>
              <w:t xml:space="preserve"> </w:t>
            </w:r>
            <w:r w:rsidRPr="00BD6DF2">
              <w:rPr>
                <w:rFonts w:ascii="Times New Roman" w:hAnsi="Times New Roman" w:cs="Times New Roman"/>
                <w:sz w:val="22"/>
              </w:rPr>
              <w:t>187)</w:t>
            </w:r>
          </w:p>
        </w:tc>
        <w:tc>
          <w:tcPr>
            <w:tcW w:w="921"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291 (n</w:t>
            </w:r>
            <w:r>
              <w:rPr>
                <w:rFonts w:ascii="Times New Roman" w:hAnsi="Times New Roman" w:cs="Times New Roman"/>
                <w:sz w:val="22"/>
              </w:rPr>
              <w:t xml:space="preserve"> </w:t>
            </w:r>
            <w:r w:rsidRPr="00BD6DF2">
              <w:rPr>
                <w:rFonts w:ascii="Times New Roman" w:hAnsi="Times New Roman" w:cs="Times New Roman"/>
                <w:sz w:val="22"/>
              </w:rPr>
              <w:t>=</w:t>
            </w:r>
            <w:r>
              <w:rPr>
                <w:rFonts w:ascii="Times New Roman" w:hAnsi="Times New Roman" w:cs="Times New Roman"/>
                <w:sz w:val="22"/>
              </w:rPr>
              <w:t xml:space="preserve"> </w:t>
            </w:r>
            <w:r w:rsidRPr="00BD6DF2">
              <w:rPr>
                <w:rFonts w:ascii="Times New Roman" w:hAnsi="Times New Roman" w:cs="Times New Roman"/>
                <w:sz w:val="22"/>
              </w:rPr>
              <w:t>173)</w:t>
            </w:r>
          </w:p>
        </w:tc>
        <w:tc>
          <w:tcPr>
            <w:tcW w:w="921"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245 (n</w:t>
            </w:r>
            <w:r>
              <w:rPr>
                <w:rFonts w:ascii="Times New Roman" w:hAnsi="Times New Roman" w:cs="Times New Roman"/>
                <w:sz w:val="22"/>
              </w:rPr>
              <w:t xml:space="preserve"> </w:t>
            </w:r>
            <w:r w:rsidRPr="00BD6DF2">
              <w:rPr>
                <w:rFonts w:ascii="Times New Roman" w:hAnsi="Times New Roman" w:cs="Times New Roman"/>
                <w:sz w:val="22"/>
              </w:rPr>
              <w:t>=</w:t>
            </w:r>
            <w:r>
              <w:rPr>
                <w:rFonts w:ascii="Times New Roman" w:hAnsi="Times New Roman" w:cs="Times New Roman"/>
                <w:sz w:val="22"/>
              </w:rPr>
              <w:t xml:space="preserve"> </w:t>
            </w:r>
            <w:r w:rsidRPr="00BD6DF2">
              <w:rPr>
                <w:rFonts w:ascii="Times New Roman" w:hAnsi="Times New Roman" w:cs="Times New Roman"/>
                <w:sz w:val="22"/>
              </w:rPr>
              <w:t>180)</w:t>
            </w:r>
          </w:p>
        </w:tc>
        <w:tc>
          <w:tcPr>
            <w:tcW w:w="935"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310 (n</w:t>
            </w:r>
            <w:r>
              <w:rPr>
                <w:rFonts w:ascii="Times New Roman" w:hAnsi="Times New Roman" w:cs="Times New Roman"/>
                <w:sz w:val="22"/>
              </w:rPr>
              <w:t xml:space="preserve"> </w:t>
            </w:r>
            <w:r w:rsidRPr="00BD6DF2">
              <w:rPr>
                <w:rFonts w:ascii="Times New Roman" w:hAnsi="Times New Roman" w:cs="Times New Roman"/>
                <w:sz w:val="22"/>
              </w:rPr>
              <w:t>=</w:t>
            </w:r>
            <w:r>
              <w:rPr>
                <w:rFonts w:ascii="Times New Roman" w:hAnsi="Times New Roman" w:cs="Times New Roman"/>
                <w:sz w:val="22"/>
              </w:rPr>
              <w:t xml:space="preserve"> </w:t>
            </w:r>
            <w:r w:rsidRPr="00BD6DF2">
              <w:rPr>
                <w:rFonts w:ascii="Times New Roman" w:hAnsi="Times New Roman" w:cs="Times New Roman"/>
                <w:sz w:val="22"/>
              </w:rPr>
              <w:t>165)</w:t>
            </w:r>
          </w:p>
        </w:tc>
      </w:tr>
    </w:tbl>
    <w:p w:rsidR="002A0DA0" w:rsidRDefault="002A0DA0" w:rsidP="002A0DA0">
      <w:pPr>
        <w:tabs>
          <w:tab w:val="left" w:pos="709"/>
        </w:tabs>
        <w:rPr>
          <w:sz w:val="18"/>
          <w:szCs w:val="22"/>
        </w:rPr>
      </w:pPr>
      <w:r>
        <w:rPr>
          <w:sz w:val="18"/>
          <w:vertAlign w:val="superscript"/>
        </w:rPr>
        <w:t>a</w:t>
      </w:r>
      <w:r>
        <w:rPr>
          <w:sz w:val="18"/>
        </w:rPr>
        <w:t xml:space="preserve"> Gennemsnitligt CD4-celletal ved baseline var 214 celler/mm</w:t>
      </w:r>
      <w:r>
        <w:rPr>
          <w:sz w:val="18"/>
          <w:vertAlign w:val="superscript"/>
        </w:rPr>
        <w:t>3</w:t>
      </w:r>
      <w:r>
        <w:rPr>
          <w:sz w:val="18"/>
        </w:rPr>
        <w:t xml:space="preserve"> (i området 2 til 810 celler/mm</w:t>
      </w:r>
      <w:r>
        <w:rPr>
          <w:sz w:val="18"/>
          <w:vertAlign w:val="superscript"/>
        </w:rPr>
        <w:t>3</w:t>
      </w:r>
      <w:r>
        <w:rPr>
          <w:sz w:val="18"/>
        </w:rPr>
        <w:t>) og gennemsnitligt plasma-HIV-1-RNA ved baseline var 4,94 log</w:t>
      </w:r>
      <w:r w:rsidRPr="00403D80">
        <w:rPr>
          <w:sz w:val="18"/>
          <w:vertAlign w:val="subscript"/>
        </w:rPr>
        <w:t>10</w:t>
      </w:r>
      <w:r>
        <w:rPr>
          <w:sz w:val="18"/>
        </w:rPr>
        <w:t xml:space="preserve"> kopier/ml (i området 2,6 til 5,88 log</w:t>
      </w:r>
      <w:r w:rsidRPr="00403D80">
        <w:rPr>
          <w:sz w:val="18"/>
          <w:vertAlign w:val="subscript"/>
        </w:rPr>
        <w:t>10</w:t>
      </w:r>
      <w:r>
        <w:rPr>
          <w:sz w:val="18"/>
        </w:rPr>
        <w:t xml:space="preserve"> kopier/ml)</w:t>
      </w:r>
    </w:p>
    <w:p w:rsidR="002A0DA0" w:rsidRDefault="002A0DA0" w:rsidP="002A0DA0">
      <w:pPr>
        <w:tabs>
          <w:tab w:val="left" w:pos="709"/>
        </w:tabs>
        <w:rPr>
          <w:sz w:val="18"/>
        </w:rPr>
      </w:pPr>
      <w:r>
        <w:rPr>
          <w:sz w:val="18"/>
          <w:vertAlign w:val="superscript"/>
        </w:rPr>
        <w:t>b</w:t>
      </w:r>
      <w:r>
        <w:rPr>
          <w:sz w:val="18"/>
        </w:rPr>
        <w:t xml:space="preserve"> Atazanavir/RTV med tenofovirdisoproxilfumarat/emtricitabin (fast dosis på 300 mg/200 mg tabletter én gang dagligt).</w:t>
      </w:r>
    </w:p>
    <w:p w:rsidR="002A0DA0" w:rsidRDefault="002A0DA0" w:rsidP="002A0DA0">
      <w:pPr>
        <w:tabs>
          <w:tab w:val="left" w:pos="709"/>
        </w:tabs>
        <w:rPr>
          <w:sz w:val="18"/>
        </w:rPr>
      </w:pPr>
      <w:r>
        <w:rPr>
          <w:sz w:val="18"/>
          <w:vertAlign w:val="superscript"/>
        </w:rPr>
        <w:t>c</w:t>
      </w:r>
      <w:r>
        <w:rPr>
          <w:sz w:val="18"/>
        </w:rPr>
        <w:t xml:space="preserve"> Lopinavir/RTV med tenofovirdisoproxilfumarat/emtricitabin (fast dosis på 300 mg/200 mg tabletter en gang dagligt).</w:t>
      </w:r>
    </w:p>
    <w:p w:rsidR="002A0DA0" w:rsidRDefault="002A0DA0" w:rsidP="002A0DA0">
      <w:pPr>
        <w:tabs>
          <w:tab w:val="left" w:pos="709"/>
        </w:tabs>
        <w:rPr>
          <w:sz w:val="18"/>
        </w:rPr>
      </w:pPr>
      <w:r>
        <w:rPr>
          <w:sz w:val="18"/>
          <w:vertAlign w:val="superscript"/>
        </w:rPr>
        <w:t>d</w:t>
      </w:r>
      <w:r>
        <w:rPr>
          <w:sz w:val="18"/>
        </w:rPr>
        <w:t xml:space="preserve"> Intent-to-treat-analyse hvor manglende værdier anses som svigt.</w:t>
      </w:r>
    </w:p>
    <w:p w:rsidR="002A0DA0" w:rsidRDefault="002A0DA0" w:rsidP="002A0DA0">
      <w:pPr>
        <w:tabs>
          <w:tab w:val="left" w:pos="709"/>
        </w:tabs>
        <w:rPr>
          <w:sz w:val="18"/>
        </w:rPr>
      </w:pPr>
      <w:r>
        <w:rPr>
          <w:sz w:val="18"/>
          <w:vertAlign w:val="superscript"/>
        </w:rPr>
        <w:t>e</w:t>
      </w:r>
      <w:r>
        <w:rPr>
          <w:sz w:val="18"/>
        </w:rPr>
        <w:t xml:space="preserve"> Per protokol analyse: Undtagen patienter, der ikke fuldførte behandlingen, og patienter med store protokolafvigelser.</w:t>
      </w:r>
    </w:p>
    <w:p w:rsidR="002A0DA0" w:rsidRDefault="002A0DA0" w:rsidP="002A0DA0">
      <w:pPr>
        <w:tabs>
          <w:tab w:val="left" w:pos="709"/>
        </w:tabs>
        <w:rPr>
          <w:sz w:val="18"/>
        </w:rPr>
      </w:pPr>
      <w:r>
        <w:rPr>
          <w:sz w:val="18"/>
          <w:vertAlign w:val="superscript"/>
        </w:rPr>
        <w:t>f</w:t>
      </w:r>
      <w:r>
        <w:rPr>
          <w:sz w:val="18"/>
        </w:rPr>
        <w:t xml:space="preserve"> Antal evaluerbare patienter.</w:t>
      </w:r>
    </w:p>
    <w:p w:rsidR="00A61314" w:rsidRDefault="00A61314" w:rsidP="00A61314">
      <w:pPr>
        <w:tabs>
          <w:tab w:val="left" w:pos="709"/>
        </w:tabs>
        <w:rPr>
          <w:sz w:val="22"/>
        </w:rPr>
      </w:pPr>
    </w:p>
    <w:p w:rsidR="00A61314" w:rsidRPr="008955A1" w:rsidRDefault="00A61314" w:rsidP="00A61314">
      <w:pPr>
        <w:ind w:left="851"/>
        <w:rPr>
          <w:i/>
          <w:sz w:val="24"/>
          <w:szCs w:val="24"/>
        </w:rPr>
      </w:pPr>
      <w:r w:rsidRPr="008955A1">
        <w:rPr>
          <w:i/>
          <w:sz w:val="24"/>
          <w:szCs w:val="24"/>
        </w:rPr>
        <w:t>Data for seponering af ritonavir fra atazanavir-boostet regime (se også pkt. 4.4)</w:t>
      </w:r>
    </w:p>
    <w:p w:rsidR="00A61314" w:rsidRPr="008955A1" w:rsidRDefault="00A61314" w:rsidP="00A61314">
      <w:pPr>
        <w:ind w:left="851"/>
        <w:rPr>
          <w:sz w:val="24"/>
          <w:szCs w:val="24"/>
          <w:u w:val="single"/>
        </w:rPr>
      </w:pPr>
      <w:r w:rsidRPr="008955A1">
        <w:rPr>
          <w:sz w:val="24"/>
          <w:szCs w:val="24"/>
          <w:u w:val="single"/>
        </w:rPr>
        <w:t>Studie 136 (INDUMA)</w:t>
      </w:r>
    </w:p>
    <w:p w:rsidR="00A61314" w:rsidRPr="008955A1" w:rsidRDefault="00A61314" w:rsidP="00A61314">
      <w:pPr>
        <w:ind w:left="851"/>
        <w:rPr>
          <w:sz w:val="24"/>
          <w:szCs w:val="24"/>
        </w:rPr>
      </w:pPr>
      <w:r w:rsidRPr="008955A1">
        <w:rPr>
          <w:sz w:val="24"/>
          <w:szCs w:val="24"/>
        </w:rPr>
        <w:t xml:space="preserve">Efter en 26-30 ugers induktionsfase med atazanavir 300 mg + ritonavir 100 mg én gang dagligt og to NRTI’er havde ikke-boostet atazanavir 400 mg én gang dagligt og to NRTI’er, som blev administreret i en 48-ugers vedligeholdelsesfase (n=87) i et åbent, randomiseret, komparativt studie, samme antivirale virkning som atazanavir + ritonavir og </w:t>
      </w:r>
      <w:r w:rsidRPr="008955A1">
        <w:rPr>
          <w:sz w:val="24"/>
          <w:szCs w:val="24"/>
        </w:rPr>
        <w:lastRenderedPageBreak/>
        <w:t>to NRTI’er (n=85) hos HIV-inficerede forsøgspersoner med fuldt supprimeret HIV-replikation. Den antivirale virkning blev vurderet på baggrund af andelen af forsøgspersoner med HIV-RNA &lt; 50 kopies/ml: 78% af forsøgspersonerne, der fik ikke-boostet atazanavir og to NRTI’er, sammenlignet med 75%, der fik atazanavir + ritonavir og to NRTI’er.</w:t>
      </w:r>
    </w:p>
    <w:p w:rsidR="00A61314" w:rsidRPr="008955A1" w:rsidRDefault="00A61314" w:rsidP="00A61314">
      <w:pPr>
        <w:ind w:left="851"/>
        <w:rPr>
          <w:sz w:val="24"/>
          <w:szCs w:val="24"/>
        </w:rPr>
      </w:pPr>
    </w:p>
    <w:p w:rsidR="00A61314" w:rsidRPr="008955A1" w:rsidRDefault="00A61314" w:rsidP="00A61314">
      <w:pPr>
        <w:ind w:left="851"/>
        <w:rPr>
          <w:sz w:val="24"/>
          <w:szCs w:val="24"/>
        </w:rPr>
      </w:pPr>
      <w:r w:rsidRPr="008955A1">
        <w:rPr>
          <w:sz w:val="24"/>
          <w:szCs w:val="24"/>
        </w:rPr>
        <w:t>11 forsøgspersoner (13%) i gruppen med ikke-boostet atazanavir og 6 forsøgspersoner (7%) i gruppen med atazanavir + ritonavir oplevede virologisk rebound. 4 forsøgspersoner i gruppen med ikke-boostet atazanavir og 2 forsøgspersoner i gruppen med atazanavir + ritonavir havde HIV-RNA &gt; 500 kopier/ml i vedligeholdelsesfasen. Ingen forsøgspersoner i de 2 grupper udviklede proteasehæmmer-resistens. Der blev observeret M184V-substitution i revers transkriptase, som medfører resistens over for lamivudin og emtricitabin, hos 2 forsøgspersoner i gruppen med ikke</w:t>
      </w:r>
      <w:r>
        <w:rPr>
          <w:sz w:val="24"/>
          <w:szCs w:val="24"/>
        </w:rPr>
        <w:t>-</w:t>
      </w:r>
      <w:r w:rsidRPr="008955A1">
        <w:rPr>
          <w:sz w:val="24"/>
          <w:szCs w:val="24"/>
        </w:rPr>
        <w:t>boostet atazanavir og hos 1 forsøgsperson i atazanavir + ritonavir-gruppen.</w:t>
      </w:r>
    </w:p>
    <w:p w:rsidR="00A61314" w:rsidRPr="008955A1" w:rsidRDefault="00A61314" w:rsidP="00A61314">
      <w:pPr>
        <w:ind w:left="851"/>
        <w:rPr>
          <w:sz w:val="24"/>
          <w:szCs w:val="24"/>
        </w:rPr>
      </w:pPr>
    </w:p>
    <w:p w:rsidR="00A61314" w:rsidRPr="008955A1" w:rsidRDefault="00A61314" w:rsidP="00A61314">
      <w:pPr>
        <w:ind w:left="851"/>
        <w:rPr>
          <w:sz w:val="24"/>
          <w:szCs w:val="24"/>
        </w:rPr>
      </w:pPr>
      <w:r w:rsidRPr="008955A1">
        <w:rPr>
          <w:sz w:val="24"/>
          <w:szCs w:val="24"/>
        </w:rPr>
        <w:t>Der var færre behandlingsafbrydelser i gruppen med ikke-boostet atazanavir (1 versus 4 i gruppen med atazanavir + ritonavir). Der var færre tilfælde af hyperbilirubinæmi og gulsot i gruppen med ikke-boostet atazanavir sammenlignet med gruppen med atazanavir + ritonavir (hos henholdsvis 18 og 28 forsøgspersoner).</w:t>
      </w:r>
    </w:p>
    <w:p w:rsidR="00A61314" w:rsidRPr="008955A1" w:rsidRDefault="00A61314" w:rsidP="00A61314">
      <w:pPr>
        <w:ind w:left="851"/>
        <w:rPr>
          <w:sz w:val="24"/>
          <w:szCs w:val="24"/>
        </w:rPr>
      </w:pPr>
    </w:p>
    <w:p w:rsidR="002A0DA0" w:rsidRPr="008955A1" w:rsidRDefault="002A0DA0" w:rsidP="002A0DA0">
      <w:pPr>
        <w:ind w:left="851"/>
        <w:rPr>
          <w:i/>
          <w:sz w:val="24"/>
          <w:szCs w:val="24"/>
        </w:rPr>
      </w:pPr>
      <w:r w:rsidRPr="008955A1">
        <w:rPr>
          <w:i/>
          <w:sz w:val="24"/>
          <w:szCs w:val="24"/>
        </w:rPr>
        <w:t>Voksne patienter, der tidligere har været i antiretroviral behandling</w:t>
      </w:r>
    </w:p>
    <w:p w:rsidR="002A0DA0" w:rsidRPr="008955A1" w:rsidRDefault="002A0DA0" w:rsidP="002A0DA0">
      <w:pPr>
        <w:ind w:left="851"/>
        <w:rPr>
          <w:sz w:val="24"/>
          <w:szCs w:val="24"/>
        </w:rPr>
      </w:pPr>
      <w:r w:rsidRPr="008955A1">
        <w:rPr>
          <w:sz w:val="24"/>
          <w:szCs w:val="24"/>
        </w:rPr>
        <w:t>Studie 045 er et randomiseret, multicenterstudie, der sammenligner atazanavir/ritonavir (300/100 mg én gang dagligt) og atazanavir/saquinavir (400/1.200 mg én gang dagligt) med lopinavir + ritonavir (400/100 mg fast dosiskombination to gange dagligt), hver i kombination med tenofovirdisoproxil</w:t>
      </w:r>
      <w:r>
        <w:rPr>
          <w:sz w:val="24"/>
          <w:szCs w:val="24"/>
        </w:rPr>
        <w:t>fumarat</w:t>
      </w:r>
      <w:r w:rsidRPr="008955A1">
        <w:rPr>
          <w:sz w:val="24"/>
          <w:szCs w:val="24"/>
        </w:rPr>
        <w:t xml:space="preserve"> (se pkt. 4.5 og 4.8) og én NRTI hos patienter med virologisk svigt under to eller flere tidligere behandlinger med mindst en PI, NRTI eller NNRTI. For randomiserede patienter var middeltiden for tidligere antiretroviral eksponering 138 uger for PIer, 281 uger for NRTIer og 85 uger for NNRTIer. Ved baseline fik 34% af patienterne en PI og 60% fik en NNRTI. Femten ud af 120 (13%) patienter i atazanavir + ritonavir-behandlingsarmen og 17 ud af 123 (14%) patienter i lopinavir + ritonavir-armen havde fire eller flere af PI-substitutionerne L10, M46, I54, V82, I84 og L90. Toogtredive procent af patienterne i studiet havde en virusstamme med færre end to NRTI-substitutioner.</w:t>
      </w:r>
    </w:p>
    <w:p w:rsidR="00A61314" w:rsidRPr="008955A1" w:rsidRDefault="00A61314" w:rsidP="00A61314">
      <w:pPr>
        <w:ind w:left="851"/>
        <w:rPr>
          <w:sz w:val="24"/>
          <w:szCs w:val="24"/>
        </w:rPr>
      </w:pPr>
    </w:p>
    <w:p w:rsidR="002A0DA0" w:rsidRPr="008955A1" w:rsidRDefault="002A0DA0" w:rsidP="002A0DA0">
      <w:pPr>
        <w:ind w:left="851"/>
        <w:rPr>
          <w:sz w:val="24"/>
          <w:szCs w:val="24"/>
        </w:rPr>
      </w:pPr>
      <w:r w:rsidRPr="008955A1">
        <w:rPr>
          <w:sz w:val="24"/>
          <w:szCs w:val="24"/>
        </w:rPr>
        <w:t>Det primære endepunkt var den tidsgennemsnitlige forskel i ændring fra baseline i HIV-RNA gennem 48 uger (tabel 6).</w:t>
      </w:r>
    </w:p>
    <w:p w:rsidR="002A0DA0" w:rsidRPr="008955A1" w:rsidRDefault="002A0DA0" w:rsidP="002A0DA0">
      <w:pPr>
        <w:ind w:left="851"/>
        <w:rPr>
          <w:sz w:val="24"/>
          <w:szCs w:val="24"/>
        </w:rPr>
      </w:pPr>
    </w:p>
    <w:p w:rsidR="002A0DA0" w:rsidRPr="00705833" w:rsidRDefault="002A0DA0" w:rsidP="002A0DA0">
      <w:pPr>
        <w:tabs>
          <w:tab w:val="left" w:pos="709"/>
        </w:tabs>
        <w:rPr>
          <w:b/>
          <w:sz w:val="24"/>
          <w:szCs w:val="24"/>
        </w:rPr>
      </w:pPr>
      <w:r w:rsidRPr="00705833">
        <w:rPr>
          <w:b/>
          <w:sz w:val="24"/>
          <w:szCs w:val="24"/>
        </w:rPr>
        <w:t>Tabel 6: Effektresultater ved uge 48</w:t>
      </w:r>
      <w:r w:rsidRPr="00705833">
        <w:rPr>
          <w:b/>
          <w:sz w:val="24"/>
          <w:szCs w:val="24"/>
          <w:vertAlign w:val="superscript"/>
        </w:rPr>
        <w:t>a</w:t>
      </w:r>
      <w:r w:rsidRPr="00705833">
        <w:rPr>
          <w:b/>
          <w:sz w:val="24"/>
          <w:szCs w:val="24"/>
        </w:rPr>
        <w:t xml:space="preserve"> og uge 96 (Studie 045)</w:t>
      </w:r>
    </w:p>
    <w:tbl>
      <w:tblPr>
        <w:tblStyle w:val="Tabel-Gitter"/>
        <w:tblW w:w="5000" w:type="pct"/>
        <w:tblInd w:w="0" w:type="dxa"/>
        <w:tblLook w:val="04A0" w:firstRow="1" w:lastRow="0" w:firstColumn="1" w:lastColumn="0" w:noHBand="0" w:noVBand="1"/>
      </w:tblPr>
      <w:tblGrid>
        <w:gridCol w:w="1620"/>
        <w:gridCol w:w="1329"/>
        <w:gridCol w:w="1331"/>
        <w:gridCol w:w="1331"/>
        <w:gridCol w:w="1331"/>
        <w:gridCol w:w="1311"/>
        <w:gridCol w:w="1375"/>
      </w:tblGrid>
      <w:tr w:rsidR="002A0DA0" w:rsidRPr="00705833" w:rsidTr="002A0DA0">
        <w:tc>
          <w:tcPr>
            <w:tcW w:w="842" w:type="pct"/>
            <w:tcBorders>
              <w:top w:val="single" w:sz="4" w:space="0" w:color="auto"/>
              <w:left w:val="single" w:sz="4" w:space="0" w:color="auto"/>
              <w:bottom w:val="single" w:sz="4" w:space="0" w:color="auto"/>
              <w:right w:val="single" w:sz="4" w:space="0" w:color="auto"/>
            </w:tcBorders>
            <w:vAlign w:val="center"/>
            <w:hideMark/>
          </w:tcPr>
          <w:p w:rsidR="002A0DA0" w:rsidRPr="00705833" w:rsidRDefault="002A0DA0" w:rsidP="002A0DA0">
            <w:pPr>
              <w:tabs>
                <w:tab w:val="left" w:pos="709"/>
              </w:tabs>
              <w:rPr>
                <w:rFonts w:ascii="Times New Roman" w:hAnsi="Times New Roman" w:cs="Times New Roman"/>
                <w:b/>
                <w:sz w:val="22"/>
              </w:rPr>
            </w:pPr>
            <w:r w:rsidRPr="00705833">
              <w:rPr>
                <w:rFonts w:ascii="Times New Roman" w:hAnsi="Times New Roman" w:cs="Times New Roman"/>
                <w:b/>
                <w:sz w:val="22"/>
              </w:rPr>
              <w:t>Parameter</w:t>
            </w:r>
          </w:p>
        </w:tc>
        <w:tc>
          <w:tcPr>
            <w:tcW w:w="1381" w:type="pct"/>
            <w:gridSpan w:val="2"/>
            <w:tcBorders>
              <w:top w:val="single" w:sz="4" w:space="0" w:color="auto"/>
              <w:left w:val="single" w:sz="4" w:space="0" w:color="auto"/>
              <w:bottom w:val="single" w:sz="4" w:space="0" w:color="auto"/>
              <w:right w:val="single" w:sz="4" w:space="0" w:color="auto"/>
            </w:tcBorders>
            <w:hideMark/>
          </w:tcPr>
          <w:p w:rsidR="002A0DA0" w:rsidRDefault="002A0DA0" w:rsidP="002A0DA0">
            <w:pPr>
              <w:tabs>
                <w:tab w:val="left" w:pos="709"/>
              </w:tabs>
              <w:jc w:val="center"/>
              <w:rPr>
                <w:rFonts w:ascii="Times New Roman" w:hAnsi="Times New Roman" w:cs="Times New Roman"/>
                <w:b/>
                <w:sz w:val="22"/>
              </w:rPr>
            </w:pPr>
            <w:r w:rsidRPr="00705833">
              <w:rPr>
                <w:rFonts w:ascii="Times New Roman" w:hAnsi="Times New Roman" w:cs="Times New Roman"/>
                <w:b/>
                <w:sz w:val="22"/>
              </w:rPr>
              <w:t>ATV/RTV</w:t>
            </w:r>
            <w:r w:rsidRPr="00705833">
              <w:rPr>
                <w:rFonts w:ascii="Times New Roman" w:hAnsi="Times New Roman" w:cs="Times New Roman"/>
                <w:b/>
                <w:sz w:val="22"/>
                <w:vertAlign w:val="superscript"/>
              </w:rPr>
              <w:t>b</w:t>
            </w:r>
            <w:r w:rsidRPr="00705833">
              <w:rPr>
                <w:rFonts w:ascii="Times New Roman" w:hAnsi="Times New Roman" w:cs="Times New Roman"/>
                <w:b/>
                <w:sz w:val="22"/>
              </w:rPr>
              <w:t xml:space="preserve"> (300 mg/ 100 mg én gang dagligt) </w:t>
            </w:r>
          </w:p>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b/>
                <w:sz w:val="22"/>
              </w:rPr>
              <w:t>n</w:t>
            </w:r>
            <w:r>
              <w:rPr>
                <w:rFonts w:ascii="Times New Roman" w:hAnsi="Times New Roman" w:cs="Times New Roman"/>
                <w:b/>
                <w:sz w:val="22"/>
              </w:rPr>
              <w:t xml:space="preserve"> </w:t>
            </w:r>
            <w:r w:rsidRPr="00705833">
              <w:rPr>
                <w:rFonts w:ascii="Times New Roman" w:hAnsi="Times New Roman" w:cs="Times New Roman"/>
                <w:b/>
                <w:sz w:val="22"/>
              </w:rPr>
              <w:t>=</w:t>
            </w:r>
            <w:r>
              <w:rPr>
                <w:rFonts w:ascii="Times New Roman" w:hAnsi="Times New Roman" w:cs="Times New Roman"/>
                <w:b/>
                <w:sz w:val="22"/>
              </w:rPr>
              <w:t xml:space="preserve"> </w:t>
            </w:r>
            <w:r w:rsidRPr="00705833">
              <w:rPr>
                <w:rFonts w:ascii="Times New Roman" w:hAnsi="Times New Roman" w:cs="Times New Roman"/>
                <w:b/>
                <w:sz w:val="22"/>
              </w:rPr>
              <w:t>120</w:t>
            </w:r>
          </w:p>
        </w:tc>
        <w:tc>
          <w:tcPr>
            <w:tcW w:w="1381" w:type="pct"/>
            <w:gridSpan w:val="2"/>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b/>
                <w:sz w:val="22"/>
              </w:rPr>
            </w:pPr>
            <w:r w:rsidRPr="00705833">
              <w:rPr>
                <w:rFonts w:ascii="Times New Roman" w:hAnsi="Times New Roman" w:cs="Times New Roman"/>
                <w:b/>
                <w:sz w:val="22"/>
              </w:rPr>
              <w:t>LPV/RTV</w:t>
            </w:r>
            <w:r w:rsidRPr="00705833">
              <w:rPr>
                <w:rFonts w:ascii="Times New Roman" w:hAnsi="Times New Roman" w:cs="Times New Roman"/>
                <w:b/>
                <w:sz w:val="22"/>
                <w:vertAlign w:val="superscript"/>
              </w:rPr>
              <w:t>c</w:t>
            </w:r>
            <w:r w:rsidRPr="00705833">
              <w:rPr>
                <w:rFonts w:ascii="Times New Roman" w:hAnsi="Times New Roman" w:cs="Times New Roman"/>
                <w:b/>
                <w:sz w:val="22"/>
              </w:rPr>
              <w:t xml:space="preserve"> (400 mg/ 100 mg to gange dagligt) n=123</w:t>
            </w:r>
          </w:p>
        </w:tc>
        <w:tc>
          <w:tcPr>
            <w:tcW w:w="1396" w:type="pct"/>
            <w:gridSpan w:val="2"/>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b/>
                <w:sz w:val="22"/>
              </w:rPr>
            </w:pPr>
            <w:r w:rsidRPr="00705833">
              <w:rPr>
                <w:rFonts w:ascii="Times New Roman" w:hAnsi="Times New Roman" w:cs="Times New Roman"/>
                <w:b/>
                <w:sz w:val="22"/>
              </w:rPr>
              <w:t>Tidsgennemsnitlig forskel ATV/RTV-LPV/RTV [97,5% KI</w:t>
            </w:r>
            <w:r w:rsidRPr="00705833">
              <w:rPr>
                <w:rFonts w:ascii="Times New Roman" w:hAnsi="Times New Roman" w:cs="Times New Roman"/>
                <w:b/>
                <w:sz w:val="22"/>
                <w:vertAlign w:val="superscript"/>
              </w:rPr>
              <w:t>d</w:t>
            </w:r>
            <w:r w:rsidRPr="00705833">
              <w:rPr>
                <w:rFonts w:ascii="Times New Roman" w:hAnsi="Times New Roman" w:cs="Times New Roman"/>
                <w:b/>
                <w:sz w:val="22"/>
              </w:rPr>
              <w:t>]</w:t>
            </w:r>
          </w:p>
        </w:tc>
      </w:tr>
      <w:tr w:rsidR="002A0DA0" w:rsidRPr="00705833" w:rsidTr="002A0DA0">
        <w:tc>
          <w:tcPr>
            <w:tcW w:w="842" w:type="pct"/>
            <w:tcBorders>
              <w:top w:val="single" w:sz="4" w:space="0" w:color="auto"/>
              <w:left w:val="single" w:sz="4" w:space="0" w:color="auto"/>
              <w:bottom w:val="single" w:sz="4" w:space="0" w:color="auto"/>
              <w:right w:val="single" w:sz="4" w:space="0" w:color="auto"/>
            </w:tcBorders>
          </w:tcPr>
          <w:p w:rsidR="002A0DA0" w:rsidRPr="00705833" w:rsidRDefault="002A0DA0" w:rsidP="002A0DA0">
            <w:pPr>
              <w:tabs>
                <w:tab w:val="left" w:pos="709"/>
              </w:tabs>
              <w:rPr>
                <w:rFonts w:ascii="Times New Roman" w:hAnsi="Times New Roman" w:cs="Times New Roman"/>
                <w:b/>
                <w:sz w:val="22"/>
              </w:rPr>
            </w:pPr>
          </w:p>
        </w:tc>
        <w:tc>
          <w:tcPr>
            <w:tcW w:w="690"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b/>
                <w:sz w:val="22"/>
              </w:rPr>
            </w:pPr>
            <w:r w:rsidRPr="00705833">
              <w:rPr>
                <w:rFonts w:ascii="Times New Roman" w:hAnsi="Times New Roman" w:cs="Times New Roman"/>
                <w:b/>
                <w:sz w:val="22"/>
              </w:rPr>
              <w:t>Uge 48</w:t>
            </w:r>
          </w:p>
        </w:tc>
        <w:tc>
          <w:tcPr>
            <w:tcW w:w="691"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b/>
                <w:sz w:val="22"/>
              </w:rPr>
            </w:pPr>
            <w:r w:rsidRPr="00705833">
              <w:rPr>
                <w:rFonts w:ascii="Times New Roman" w:hAnsi="Times New Roman" w:cs="Times New Roman"/>
                <w:b/>
                <w:sz w:val="22"/>
              </w:rPr>
              <w:t>Uge 96</w:t>
            </w:r>
          </w:p>
        </w:tc>
        <w:tc>
          <w:tcPr>
            <w:tcW w:w="691"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b/>
                <w:sz w:val="22"/>
              </w:rPr>
            </w:pPr>
            <w:r w:rsidRPr="00705833">
              <w:rPr>
                <w:rFonts w:ascii="Times New Roman" w:hAnsi="Times New Roman" w:cs="Times New Roman"/>
                <w:b/>
                <w:sz w:val="22"/>
              </w:rPr>
              <w:t>Uge 48</w:t>
            </w:r>
          </w:p>
        </w:tc>
        <w:tc>
          <w:tcPr>
            <w:tcW w:w="691"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b/>
                <w:sz w:val="22"/>
              </w:rPr>
            </w:pPr>
            <w:r w:rsidRPr="00705833">
              <w:rPr>
                <w:rFonts w:ascii="Times New Roman" w:hAnsi="Times New Roman" w:cs="Times New Roman"/>
                <w:b/>
                <w:sz w:val="22"/>
              </w:rPr>
              <w:t>Uge 96</w:t>
            </w:r>
          </w:p>
        </w:tc>
        <w:tc>
          <w:tcPr>
            <w:tcW w:w="681"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b/>
                <w:sz w:val="22"/>
              </w:rPr>
            </w:pPr>
            <w:r w:rsidRPr="00705833">
              <w:rPr>
                <w:rFonts w:ascii="Times New Roman" w:hAnsi="Times New Roman" w:cs="Times New Roman"/>
                <w:b/>
                <w:sz w:val="22"/>
              </w:rPr>
              <w:t>Uge 48</w:t>
            </w:r>
          </w:p>
        </w:tc>
        <w:tc>
          <w:tcPr>
            <w:tcW w:w="715"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b/>
                <w:sz w:val="22"/>
              </w:rPr>
            </w:pPr>
            <w:r w:rsidRPr="00705833">
              <w:rPr>
                <w:rFonts w:ascii="Times New Roman" w:hAnsi="Times New Roman" w:cs="Times New Roman"/>
                <w:b/>
                <w:sz w:val="22"/>
              </w:rPr>
              <w:t>Uge 96</w:t>
            </w:r>
          </w:p>
        </w:tc>
      </w:tr>
      <w:tr w:rsidR="002A0DA0" w:rsidRPr="00705833" w:rsidTr="002A0DA0">
        <w:tc>
          <w:tcPr>
            <w:tcW w:w="5000" w:type="pct"/>
            <w:gridSpan w:val="7"/>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rPr>
                <w:rFonts w:ascii="Times New Roman" w:hAnsi="Times New Roman" w:cs="Times New Roman"/>
                <w:b/>
                <w:sz w:val="22"/>
              </w:rPr>
            </w:pPr>
            <w:r w:rsidRPr="00705833">
              <w:rPr>
                <w:rFonts w:ascii="Times New Roman" w:hAnsi="Times New Roman" w:cs="Times New Roman"/>
                <w:b/>
                <w:sz w:val="22"/>
              </w:rPr>
              <w:t>HIV-RNA Middelændring fra baseline, log</w:t>
            </w:r>
            <w:r w:rsidRPr="00705833">
              <w:rPr>
                <w:rFonts w:ascii="Times New Roman" w:hAnsi="Times New Roman" w:cs="Times New Roman"/>
                <w:b/>
                <w:sz w:val="22"/>
                <w:vertAlign w:val="subscript"/>
              </w:rPr>
              <w:t>10</w:t>
            </w:r>
            <w:r w:rsidRPr="00705833">
              <w:rPr>
                <w:rFonts w:ascii="Times New Roman" w:hAnsi="Times New Roman" w:cs="Times New Roman"/>
                <w:b/>
                <w:sz w:val="22"/>
              </w:rPr>
              <w:t xml:space="preserve"> kopier/ml</w:t>
            </w:r>
          </w:p>
        </w:tc>
      </w:tr>
      <w:tr w:rsidR="002A0DA0" w:rsidRPr="00705833" w:rsidTr="002A0DA0">
        <w:tc>
          <w:tcPr>
            <w:tcW w:w="842"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rPr>
                <w:rFonts w:ascii="Times New Roman" w:hAnsi="Times New Roman" w:cs="Times New Roman"/>
                <w:sz w:val="22"/>
              </w:rPr>
            </w:pPr>
            <w:r w:rsidRPr="00705833">
              <w:rPr>
                <w:rFonts w:ascii="Times New Roman" w:hAnsi="Times New Roman" w:cs="Times New Roman"/>
                <w:sz w:val="22"/>
              </w:rPr>
              <w:t>Alle patienter</w:t>
            </w:r>
          </w:p>
        </w:tc>
        <w:tc>
          <w:tcPr>
            <w:tcW w:w="690"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sz w:val="22"/>
              </w:rPr>
              <w:t>-1,93</w:t>
            </w:r>
          </w:p>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sz w:val="22"/>
              </w:rPr>
              <w:t>(n=90</w:t>
            </w:r>
            <w:r w:rsidRPr="00705833">
              <w:rPr>
                <w:rFonts w:ascii="Times New Roman" w:hAnsi="Times New Roman" w:cs="Times New Roman"/>
                <w:sz w:val="22"/>
                <w:vertAlign w:val="superscript"/>
              </w:rPr>
              <w:t>e</w:t>
            </w:r>
            <w:r w:rsidRPr="00705833">
              <w:rPr>
                <w:rFonts w:ascii="Times New Roman" w:hAnsi="Times New Roman" w:cs="Times New Roman"/>
                <w:sz w:val="22"/>
              </w:rPr>
              <w:t>)</w:t>
            </w:r>
          </w:p>
        </w:tc>
        <w:tc>
          <w:tcPr>
            <w:tcW w:w="691"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sz w:val="22"/>
              </w:rPr>
              <w:t>-2,29</w:t>
            </w:r>
          </w:p>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sz w:val="22"/>
              </w:rPr>
              <w:t>(n=64)</w:t>
            </w:r>
          </w:p>
        </w:tc>
        <w:tc>
          <w:tcPr>
            <w:tcW w:w="691"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sz w:val="22"/>
              </w:rPr>
              <w:t>-1,87</w:t>
            </w:r>
          </w:p>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sz w:val="22"/>
              </w:rPr>
              <w:t>(n=99)</w:t>
            </w:r>
          </w:p>
        </w:tc>
        <w:tc>
          <w:tcPr>
            <w:tcW w:w="691"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sz w:val="22"/>
              </w:rPr>
              <w:t>-2,08</w:t>
            </w:r>
          </w:p>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sz w:val="22"/>
              </w:rPr>
              <w:t>(n=65)</w:t>
            </w:r>
          </w:p>
        </w:tc>
        <w:tc>
          <w:tcPr>
            <w:tcW w:w="681"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sz w:val="22"/>
              </w:rPr>
              <w:t>0,13</w:t>
            </w:r>
          </w:p>
          <w:p w:rsidR="002A0DA0" w:rsidRPr="00705833" w:rsidRDefault="002A0DA0" w:rsidP="002A0DA0">
            <w:pPr>
              <w:tabs>
                <w:tab w:val="left" w:pos="709"/>
              </w:tabs>
              <w:ind w:left="-57" w:right="-113"/>
              <w:jc w:val="center"/>
              <w:rPr>
                <w:rFonts w:ascii="Times New Roman" w:hAnsi="Times New Roman" w:cs="Times New Roman"/>
                <w:sz w:val="22"/>
              </w:rPr>
            </w:pPr>
            <w:r w:rsidRPr="00705833">
              <w:rPr>
                <w:rFonts w:ascii="Times New Roman" w:hAnsi="Times New Roman" w:cs="Times New Roman"/>
                <w:sz w:val="22"/>
              </w:rPr>
              <w:t>[-0,12, 0,39]</w:t>
            </w:r>
          </w:p>
        </w:tc>
        <w:tc>
          <w:tcPr>
            <w:tcW w:w="715"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ind w:left="-57" w:right="-113"/>
              <w:jc w:val="center"/>
              <w:rPr>
                <w:rFonts w:ascii="Times New Roman" w:hAnsi="Times New Roman" w:cs="Times New Roman"/>
                <w:sz w:val="22"/>
              </w:rPr>
            </w:pPr>
            <w:r w:rsidRPr="00705833">
              <w:rPr>
                <w:rFonts w:ascii="Times New Roman" w:hAnsi="Times New Roman" w:cs="Times New Roman"/>
                <w:sz w:val="22"/>
              </w:rPr>
              <w:t>0,14</w:t>
            </w:r>
          </w:p>
          <w:p w:rsidR="002A0DA0" w:rsidRPr="00705833" w:rsidRDefault="002A0DA0" w:rsidP="002A0DA0">
            <w:pPr>
              <w:tabs>
                <w:tab w:val="left" w:pos="709"/>
              </w:tabs>
              <w:ind w:left="-57" w:right="-113"/>
              <w:jc w:val="center"/>
              <w:rPr>
                <w:rFonts w:ascii="Times New Roman" w:hAnsi="Times New Roman" w:cs="Times New Roman"/>
                <w:sz w:val="22"/>
              </w:rPr>
            </w:pPr>
            <w:r w:rsidRPr="00705833">
              <w:rPr>
                <w:rFonts w:ascii="Times New Roman" w:hAnsi="Times New Roman" w:cs="Times New Roman"/>
                <w:sz w:val="22"/>
              </w:rPr>
              <w:t>[-0,13, 0,41]</w:t>
            </w:r>
          </w:p>
        </w:tc>
      </w:tr>
      <w:tr w:rsidR="002A0DA0" w:rsidRPr="00C31425" w:rsidTr="002A0DA0">
        <w:tc>
          <w:tcPr>
            <w:tcW w:w="5000" w:type="pct"/>
            <w:gridSpan w:val="7"/>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rPr>
                <w:rFonts w:ascii="Times New Roman" w:hAnsi="Times New Roman" w:cs="Times New Roman"/>
                <w:b/>
                <w:sz w:val="22"/>
                <w:lang w:val="en-US"/>
              </w:rPr>
            </w:pPr>
            <w:r w:rsidRPr="00705833">
              <w:rPr>
                <w:rFonts w:ascii="Times New Roman" w:hAnsi="Times New Roman" w:cs="Times New Roman"/>
                <w:b/>
                <w:sz w:val="22"/>
                <w:lang w:val="en-US"/>
              </w:rPr>
              <w:t>HIV-RNA &lt; 50 kopier/ml, %</w:t>
            </w:r>
            <w:r w:rsidRPr="00705833">
              <w:rPr>
                <w:rFonts w:ascii="Times New Roman" w:hAnsi="Times New Roman" w:cs="Times New Roman"/>
                <w:b/>
                <w:sz w:val="22"/>
                <w:vertAlign w:val="superscript"/>
                <w:lang w:val="en-US"/>
              </w:rPr>
              <w:t>f</w:t>
            </w:r>
            <w:r w:rsidRPr="00705833">
              <w:rPr>
                <w:rFonts w:ascii="Times New Roman" w:hAnsi="Times New Roman" w:cs="Times New Roman"/>
                <w:b/>
                <w:sz w:val="22"/>
                <w:lang w:val="en-US"/>
              </w:rPr>
              <w:t xml:space="preserve"> (respons/evaluerbar)</w:t>
            </w:r>
          </w:p>
        </w:tc>
      </w:tr>
      <w:tr w:rsidR="002A0DA0" w:rsidRPr="00705833" w:rsidTr="002A0DA0">
        <w:tc>
          <w:tcPr>
            <w:tcW w:w="842"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rPr>
                <w:rFonts w:ascii="Times New Roman" w:hAnsi="Times New Roman" w:cs="Times New Roman"/>
                <w:sz w:val="22"/>
              </w:rPr>
            </w:pPr>
            <w:r w:rsidRPr="00705833">
              <w:rPr>
                <w:rFonts w:ascii="Times New Roman" w:hAnsi="Times New Roman" w:cs="Times New Roman"/>
                <w:sz w:val="22"/>
              </w:rPr>
              <w:t>Alle patienter</w:t>
            </w:r>
          </w:p>
        </w:tc>
        <w:tc>
          <w:tcPr>
            <w:tcW w:w="690"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sz w:val="22"/>
              </w:rPr>
              <w:t>36 (43/120)</w:t>
            </w:r>
          </w:p>
        </w:tc>
        <w:tc>
          <w:tcPr>
            <w:tcW w:w="691"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sz w:val="22"/>
              </w:rPr>
              <w:t>32 (38/120)</w:t>
            </w:r>
          </w:p>
        </w:tc>
        <w:tc>
          <w:tcPr>
            <w:tcW w:w="691"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sz w:val="22"/>
              </w:rPr>
              <w:t>42 (52/123)</w:t>
            </w:r>
          </w:p>
        </w:tc>
        <w:tc>
          <w:tcPr>
            <w:tcW w:w="691"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sz w:val="22"/>
              </w:rPr>
              <w:t>35 (41/118)</w:t>
            </w:r>
          </w:p>
        </w:tc>
        <w:tc>
          <w:tcPr>
            <w:tcW w:w="681"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sz w:val="22"/>
              </w:rPr>
              <w:t>NA</w:t>
            </w:r>
          </w:p>
        </w:tc>
        <w:tc>
          <w:tcPr>
            <w:tcW w:w="715"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sz w:val="22"/>
              </w:rPr>
              <w:t>NA</w:t>
            </w:r>
          </w:p>
        </w:tc>
      </w:tr>
      <w:tr w:rsidR="002A0DA0" w:rsidRPr="00705833" w:rsidTr="002A0DA0">
        <w:tc>
          <w:tcPr>
            <w:tcW w:w="5000" w:type="pct"/>
            <w:gridSpan w:val="7"/>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rPr>
                <w:rFonts w:ascii="Times New Roman" w:hAnsi="Times New Roman" w:cs="Times New Roman"/>
                <w:b/>
                <w:sz w:val="22"/>
              </w:rPr>
            </w:pPr>
            <w:r w:rsidRPr="00705833">
              <w:rPr>
                <w:rFonts w:ascii="Times New Roman" w:hAnsi="Times New Roman" w:cs="Times New Roman"/>
                <w:b/>
                <w:sz w:val="22"/>
              </w:rPr>
              <w:t xml:space="preserve">HIV-RNA &lt; 50 kopier/ml ved selekteret baseline PI substitutioner, </w:t>
            </w:r>
            <w:r w:rsidRPr="00705833">
              <w:rPr>
                <w:rFonts w:ascii="Times New Roman" w:hAnsi="Times New Roman" w:cs="Times New Roman"/>
                <w:b/>
                <w:sz w:val="22"/>
                <w:vertAlign w:val="superscript"/>
              </w:rPr>
              <w:t>f, g</w:t>
            </w:r>
            <w:r w:rsidRPr="00705833">
              <w:rPr>
                <w:rFonts w:ascii="Times New Roman" w:hAnsi="Times New Roman" w:cs="Times New Roman"/>
                <w:b/>
                <w:sz w:val="22"/>
              </w:rPr>
              <w:t xml:space="preserve"> % (respons/evaluerbar)</w:t>
            </w:r>
          </w:p>
        </w:tc>
      </w:tr>
      <w:tr w:rsidR="002A0DA0" w:rsidRPr="00705833" w:rsidTr="002A0DA0">
        <w:tc>
          <w:tcPr>
            <w:tcW w:w="842"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rPr>
                <w:rFonts w:ascii="Times New Roman" w:hAnsi="Times New Roman" w:cs="Times New Roman"/>
                <w:sz w:val="22"/>
              </w:rPr>
            </w:pPr>
            <w:r w:rsidRPr="00705833">
              <w:rPr>
                <w:rFonts w:ascii="Times New Roman" w:hAnsi="Times New Roman" w:cs="Times New Roman"/>
                <w:sz w:val="22"/>
              </w:rPr>
              <w:t xml:space="preserve">   0-2</w:t>
            </w:r>
          </w:p>
        </w:tc>
        <w:tc>
          <w:tcPr>
            <w:tcW w:w="690"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sz w:val="22"/>
              </w:rPr>
              <w:t>44 (28/63)</w:t>
            </w:r>
          </w:p>
        </w:tc>
        <w:tc>
          <w:tcPr>
            <w:tcW w:w="691"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sz w:val="22"/>
              </w:rPr>
              <w:t>41 (26/63)</w:t>
            </w:r>
          </w:p>
        </w:tc>
        <w:tc>
          <w:tcPr>
            <w:tcW w:w="691"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sz w:val="22"/>
              </w:rPr>
              <w:t>56 (32/57)</w:t>
            </w:r>
          </w:p>
        </w:tc>
        <w:tc>
          <w:tcPr>
            <w:tcW w:w="691"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sz w:val="22"/>
              </w:rPr>
              <w:t>48 (26/54)</w:t>
            </w:r>
          </w:p>
        </w:tc>
        <w:tc>
          <w:tcPr>
            <w:tcW w:w="681"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sz w:val="22"/>
              </w:rPr>
              <w:t>NA</w:t>
            </w:r>
          </w:p>
        </w:tc>
        <w:tc>
          <w:tcPr>
            <w:tcW w:w="715"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sz w:val="22"/>
              </w:rPr>
              <w:t>NA</w:t>
            </w:r>
          </w:p>
        </w:tc>
      </w:tr>
      <w:tr w:rsidR="002A0DA0" w:rsidRPr="00705833" w:rsidTr="002A0DA0">
        <w:tc>
          <w:tcPr>
            <w:tcW w:w="842"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rPr>
                <w:rFonts w:ascii="Times New Roman" w:hAnsi="Times New Roman" w:cs="Times New Roman"/>
                <w:sz w:val="22"/>
              </w:rPr>
            </w:pPr>
            <w:r w:rsidRPr="00705833">
              <w:rPr>
                <w:rFonts w:ascii="Times New Roman" w:hAnsi="Times New Roman" w:cs="Times New Roman"/>
                <w:sz w:val="22"/>
              </w:rPr>
              <w:t xml:space="preserve">   3</w:t>
            </w:r>
          </w:p>
        </w:tc>
        <w:tc>
          <w:tcPr>
            <w:tcW w:w="690"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sz w:val="22"/>
              </w:rPr>
              <w:t>18 (2/11)</w:t>
            </w:r>
          </w:p>
        </w:tc>
        <w:tc>
          <w:tcPr>
            <w:tcW w:w="691"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sz w:val="22"/>
              </w:rPr>
              <w:t>9 (1/11)</w:t>
            </w:r>
          </w:p>
        </w:tc>
        <w:tc>
          <w:tcPr>
            <w:tcW w:w="691"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sz w:val="22"/>
              </w:rPr>
              <w:t>38 (6/16)</w:t>
            </w:r>
          </w:p>
        </w:tc>
        <w:tc>
          <w:tcPr>
            <w:tcW w:w="691"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sz w:val="22"/>
              </w:rPr>
              <w:t>33 (5/15)</w:t>
            </w:r>
          </w:p>
        </w:tc>
        <w:tc>
          <w:tcPr>
            <w:tcW w:w="681"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sz w:val="22"/>
              </w:rPr>
              <w:t>NA</w:t>
            </w:r>
          </w:p>
        </w:tc>
        <w:tc>
          <w:tcPr>
            <w:tcW w:w="715"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sz w:val="22"/>
              </w:rPr>
              <w:t>NA</w:t>
            </w:r>
          </w:p>
        </w:tc>
      </w:tr>
      <w:tr w:rsidR="002A0DA0" w:rsidRPr="00705833" w:rsidTr="002A0DA0">
        <w:tc>
          <w:tcPr>
            <w:tcW w:w="842"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rPr>
                <w:rFonts w:ascii="Times New Roman" w:hAnsi="Times New Roman" w:cs="Times New Roman"/>
                <w:sz w:val="22"/>
              </w:rPr>
            </w:pPr>
            <w:r w:rsidRPr="00705833">
              <w:rPr>
                <w:rFonts w:ascii="Times New Roman" w:hAnsi="Times New Roman" w:cs="Times New Roman"/>
                <w:sz w:val="22"/>
              </w:rPr>
              <w:t xml:space="preserve">   ≥ 4</w:t>
            </w:r>
          </w:p>
        </w:tc>
        <w:tc>
          <w:tcPr>
            <w:tcW w:w="690"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sz w:val="22"/>
              </w:rPr>
              <w:t>27 (12/45)</w:t>
            </w:r>
          </w:p>
        </w:tc>
        <w:tc>
          <w:tcPr>
            <w:tcW w:w="691"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sz w:val="22"/>
              </w:rPr>
              <w:t>24 (11/45)</w:t>
            </w:r>
          </w:p>
        </w:tc>
        <w:tc>
          <w:tcPr>
            <w:tcW w:w="691"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sz w:val="22"/>
              </w:rPr>
              <w:t>28 (14/50)</w:t>
            </w:r>
          </w:p>
        </w:tc>
        <w:tc>
          <w:tcPr>
            <w:tcW w:w="691"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sz w:val="22"/>
              </w:rPr>
              <w:t>20 (10/49)</w:t>
            </w:r>
          </w:p>
        </w:tc>
        <w:tc>
          <w:tcPr>
            <w:tcW w:w="681"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sz w:val="22"/>
              </w:rPr>
              <w:t>NA</w:t>
            </w:r>
          </w:p>
        </w:tc>
        <w:tc>
          <w:tcPr>
            <w:tcW w:w="715"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sz w:val="22"/>
              </w:rPr>
              <w:t>NA</w:t>
            </w:r>
          </w:p>
        </w:tc>
      </w:tr>
      <w:tr w:rsidR="002A0DA0" w:rsidRPr="00705833" w:rsidTr="002A0DA0">
        <w:tc>
          <w:tcPr>
            <w:tcW w:w="5000" w:type="pct"/>
            <w:gridSpan w:val="7"/>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rPr>
                <w:rFonts w:ascii="Times New Roman" w:hAnsi="Times New Roman" w:cs="Times New Roman"/>
                <w:b/>
                <w:sz w:val="22"/>
              </w:rPr>
            </w:pPr>
            <w:r w:rsidRPr="00705833">
              <w:rPr>
                <w:rFonts w:ascii="Times New Roman" w:hAnsi="Times New Roman" w:cs="Times New Roman"/>
                <w:b/>
                <w:sz w:val="22"/>
              </w:rPr>
              <w:t>CD4 Middelændring fra baseline, celler/mm</w:t>
            </w:r>
            <w:r w:rsidRPr="00705833">
              <w:rPr>
                <w:rFonts w:ascii="Times New Roman" w:hAnsi="Times New Roman" w:cs="Times New Roman"/>
                <w:b/>
                <w:sz w:val="22"/>
                <w:vertAlign w:val="superscript"/>
              </w:rPr>
              <w:t>3</w:t>
            </w:r>
          </w:p>
        </w:tc>
      </w:tr>
      <w:tr w:rsidR="002A0DA0" w:rsidRPr="00705833" w:rsidTr="002A0DA0">
        <w:tc>
          <w:tcPr>
            <w:tcW w:w="842"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rPr>
                <w:rFonts w:ascii="Times New Roman" w:hAnsi="Times New Roman" w:cs="Times New Roman"/>
                <w:sz w:val="22"/>
              </w:rPr>
            </w:pPr>
            <w:r w:rsidRPr="00705833">
              <w:rPr>
                <w:rFonts w:ascii="Times New Roman" w:hAnsi="Times New Roman" w:cs="Times New Roman"/>
                <w:sz w:val="22"/>
              </w:rPr>
              <w:lastRenderedPageBreak/>
              <w:t>Alle patienter</w:t>
            </w:r>
          </w:p>
        </w:tc>
        <w:tc>
          <w:tcPr>
            <w:tcW w:w="690"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sz w:val="22"/>
              </w:rPr>
              <w:t>110 (n=83)</w:t>
            </w:r>
          </w:p>
        </w:tc>
        <w:tc>
          <w:tcPr>
            <w:tcW w:w="691"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sz w:val="22"/>
              </w:rPr>
              <w:t>122 (n=60)</w:t>
            </w:r>
          </w:p>
        </w:tc>
        <w:tc>
          <w:tcPr>
            <w:tcW w:w="691"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sz w:val="22"/>
              </w:rPr>
              <w:t>121 (n=94)</w:t>
            </w:r>
          </w:p>
        </w:tc>
        <w:tc>
          <w:tcPr>
            <w:tcW w:w="691"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sz w:val="22"/>
              </w:rPr>
              <w:t>154 (n=60)</w:t>
            </w:r>
          </w:p>
        </w:tc>
        <w:tc>
          <w:tcPr>
            <w:tcW w:w="681"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sz w:val="22"/>
              </w:rPr>
              <w:t>NA</w:t>
            </w:r>
          </w:p>
        </w:tc>
        <w:tc>
          <w:tcPr>
            <w:tcW w:w="715" w:type="pct"/>
            <w:tcBorders>
              <w:top w:val="single" w:sz="4" w:space="0" w:color="auto"/>
              <w:left w:val="single" w:sz="4" w:space="0" w:color="auto"/>
              <w:bottom w:val="single" w:sz="4" w:space="0" w:color="auto"/>
              <w:right w:val="single" w:sz="4" w:space="0" w:color="auto"/>
            </w:tcBorders>
            <w:hideMark/>
          </w:tcPr>
          <w:p w:rsidR="002A0DA0" w:rsidRPr="00705833" w:rsidRDefault="002A0DA0" w:rsidP="002A0DA0">
            <w:pPr>
              <w:tabs>
                <w:tab w:val="left" w:pos="709"/>
              </w:tabs>
              <w:jc w:val="center"/>
              <w:rPr>
                <w:rFonts w:ascii="Times New Roman" w:hAnsi="Times New Roman" w:cs="Times New Roman"/>
                <w:sz w:val="22"/>
              </w:rPr>
            </w:pPr>
            <w:r w:rsidRPr="00705833">
              <w:rPr>
                <w:rFonts w:ascii="Times New Roman" w:hAnsi="Times New Roman" w:cs="Times New Roman"/>
                <w:sz w:val="22"/>
              </w:rPr>
              <w:t>NA</w:t>
            </w:r>
          </w:p>
        </w:tc>
      </w:tr>
    </w:tbl>
    <w:p w:rsidR="002A0DA0" w:rsidRDefault="002A0DA0" w:rsidP="002A0DA0">
      <w:pPr>
        <w:tabs>
          <w:tab w:val="left" w:pos="709"/>
        </w:tabs>
        <w:rPr>
          <w:sz w:val="18"/>
          <w:szCs w:val="22"/>
        </w:rPr>
      </w:pPr>
      <w:r>
        <w:rPr>
          <w:sz w:val="18"/>
          <w:vertAlign w:val="superscript"/>
        </w:rPr>
        <w:t>a</w:t>
      </w:r>
      <w:r>
        <w:rPr>
          <w:sz w:val="18"/>
        </w:rPr>
        <w:t xml:space="preserve"> Middel CD4-celletal ved baseline var 337 celler/mm</w:t>
      </w:r>
      <w:r>
        <w:rPr>
          <w:sz w:val="18"/>
          <w:vertAlign w:val="superscript"/>
        </w:rPr>
        <w:t>3</w:t>
      </w:r>
      <w:r>
        <w:rPr>
          <w:sz w:val="18"/>
        </w:rPr>
        <w:t xml:space="preserve"> (område: 14 til 1.543 celler/mm</w:t>
      </w:r>
      <w:r>
        <w:rPr>
          <w:sz w:val="18"/>
          <w:vertAlign w:val="superscript"/>
        </w:rPr>
        <w:t>3</w:t>
      </w:r>
      <w:r>
        <w:rPr>
          <w:sz w:val="18"/>
        </w:rPr>
        <w:t xml:space="preserve">) og middel plasma HIV-1 </w:t>
      </w:r>
      <w:proofErr w:type="gramStart"/>
      <w:r>
        <w:rPr>
          <w:sz w:val="18"/>
        </w:rPr>
        <w:t>RNA niveauet</w:t>
      </w:r>
      <w:proofErr w:type="gramEnd"/>
      <w:r>
        <w:rPr>
          <w:sz w:val="18"/>
        </w:rPr>
        <w:t xml:space="preserve"> var 4,4 log</w:t>
      </w:r>
      <w:r w:rsidRPr="00705833">
        <w:rPr>
          <w:sz w:val="18"/>
          <w:vertAlign w:val="subscript"/>
        </w:rPr>
        <w:t>10</w:t>
      </w:r>
      <w:r>
        <w:rPr>
          <w:sz w:val="18"/>
        </w:rPr>
        <w:t xml:space="preserve"> kopier/ml (område: 2,6 til 5,88 log</w:t>
      </w:r>
      <w:r w:rsidRPr="00705833">
        <w:rPr>
          <w:sz w:val="18"/>
          <w:vertAlign w:val="subscript"/>
        </w:rPr>
        <w:t>10</w:t>
      </w:r>
      <w:r>
        <w:rPr>
          <w:sz w:val="18"/>
        </w:rPr>
        <w:t xml:space="preserve"> kopier/ml).</w:t>
      </w:r>
    </w:p>
    <w:p w:rsidR="002A0DA0" w:rsidRDefault="002A0DA0" w:rsidP="002A0DA0">
      <w:pPr>
        <w:tabs>
          <w:tab w:val="left" w:pos="709"/>
        </w:tabs>
        <w:rPr>
          <w:sz w:val="18"/>
        </w:rPr>
      </w:pPr>
      <w:r>
        <w:rPr>
          <w:sz w:val="18"/>
          <w:vertAlign w:val="superscript"/>
        </w:rPr>
        <w:t>b</w:t>
      </w:r>
      <w:r>
        <w:rPr>
          <w:sz w:val="18"/>
        </w:rPr>
        <w:t xml:space="preserve"> ATV/RTV med tenofovirdisoproxilfumarat/emtricitabin (fast dosis på 300 mg/200 mg tabletter én gang dagligt).</w:t>
      </w:r>
    </w:p>
    <w:p w:rsidR="002A0DA0" w:rsidRDefault="002A0DA0" w:rsidP="002A0DA0">
      <w:pPr>
        <w:tabs>
          <w:tab w:val="left" w:pos="709"/>
        </w:tabs>
        <w:rPr>
          <w:sz w:val="18"/>
        </w:rPr>
      </w:pPr>
      <w:r>
        <w:rPr>
          <w:sz w:val="18"/>
          <w:vertAlign w:val="superscript"/>
        </w:rPr>
        <w:t>c</w:t>
      </w:r>
      <w:r>
        <w:rPr>
          <w:sz w:val="18"/>
        </w:rPr>
        <w:t xml:space="preserve"> LPV/RTV med tenofovirdisoproxilfumarat/emtricitabin (fast dosis på 300 mg/200 mg tabletter én gang dagligt).</w:t>
      </w:r>
    </w:p>
    <w:p w:rsidR="002A0DA0" w:rsidRDefault="002A0DA0" w:rsidP="002A0DA0">
      <w:pPr>
        <w:tabs>
          <w:tab w:val="left" w:pos="709"/>
        </w:tabs>
        <w:rPr>
          <w:sz w:val="18"/>
        </w:rPr>
      </w:pPr>
      <w:r>
        <w:rPr>
          <w:sz w:val="18"/>
          <w:vertAlign w:val="superscript"/>
        </w:rPr>
        <w:t>d</w:t>
      </w:r>
      <w:r>
        <w:rPr>
          <w:sz w:val="18"/>
        </w:rPr>
        <w:t xml:space="preserve"> Konfidensinterval.</w:t>
      </w:r>
    </w:p>
    <w:p w:rsidR="002A0DA0" w:rsidRDefault="002A0DA0" w:rsidP="002A0DA0">
      <w:pPr>
        <w:tabs>
          <w:tab w:val="left" w:pos="709"/>
        </w:tabs>
        <w:rPr>
          <w:sz w:val="18"/>
        </w:rPr>
      </w:pPr>
      <w:r>
        <w:rPr>
          <w:sz w:val="18"/>
          <w:vertAlign w:val="superscript"/>
        </w:rPr>
        <w:t>e</w:t>
      </w:r>
      <w:r>
        <w:rPr>
          <w:sz w:val="18"/>
        </w:rPr>
        <w:t xml:space="preserve"> Antal evaluerbare patienter.</w:t>
      </w:r>
    </w:p>
    <w:p w:rsidR="002A0DA0" w:rsidRDefault="002A0DA0" w:rsidP="002A0DA0">
      <w:pPr>
        <w:tabs>
          <w:tab w:val="left" w:pos="709"/>
        </w:tabs>
        <w:rPr>
          <w:sz w:val="18"/>
        </w:rPr>
      </w:pPr>
      <w:r>
        <w:rPr>
          <w:sz w:val="18"/>
          <w:vertAlign w:val="superscript"/>
        </w:rPr>
        <w:t>f</w:t>
      </w:r>
      <w:r>
        <w:rPr>
          <w:sz w:val="18"/>
        </w:rPr>
        <w:t xml:space="preserve"> Intent-to-treat-analyse hvor manglende værdier anses for svigt. Patienter, der responderede på LPV/RTV, og som fuldførte behandlingen inden uge 96, er ekskluderet fra uge 96 analysen. Andelen af patienter med HIV-RNA &lt; 400 kopier/ml var 53% og 43% for ATV/RTV og 54% og 46% for LPV/RTV ved henholdsvis uge 48 og 96.</w:t>
      </w:r>
    </w:p>
    <w:p w:rsidR="002A0DA0" w:rsidRDefault="002A0DA0" w:rsidP="002A0DA0">
      <w:pPr>
        <w:tabs>
          <w:tab w:val="left" w:pos="709"/>
        </w:tabs>
        <w:rPr>
          <w:sz w:val="18"/>
        </w:rPr>
      </w:pPr>
      <w:r>
        <w:rPr>
          <w:sz w:val="18"/>
          <w:vertAlign w:val="superscript"/>
        </w:rPr>
        <w:t>g</w:t>
      </w:r>
      <w:r>
        <w:rPr>
          <w:sz w:val="18"/>
        </w:rPr>
        <w:t xml:space="preserve"> Selekterede substitutioner inkluderer alle ændringer ved position L10, K20, L24, V32, L33, M36, M46, G48, I50, I54, L63, A71, G73, V82, I84 og L90 (0-2, 3, 4 eller flere) ved baseline.</w:t>
      </w:r>
    </w:p>
    <w:p w:rsidR="002A0DA0" w:rsidRDefault="002A0DA0" w:rsidP="002A0DA0">
      <w:pPr>
        <w:tabs>
          <w:tab w:val="left" w:pos="709"/>
        </w:tabs>
        <w:rPr>
          <w:sz w:val="18"/>
        </w:rPr>
      </w:pPr>
      <w:r>
        <w:rPr>
          <w:sz w:val="18"/>
        </w:rPr>
        <w:t>NA = ikke relevant.</w:t>
      </w:r>
    </w:p>
    <w:p w:rsidR="00A61314" w:rsidRDefault="00A61314" w:rsidP="00A61314">
      <w:pPr>
        <w:tabs>
          <w:tab w:val="left" w:pos="709"/>
        </w:tabs>
        <w:rPr>
          <w:sz w:val="22"/>
        </w:rPr>
      </w:pPr>
    </w:p>
    <w:p w:rsidR="00A61314" w:rsidRDefault="00A61314" w:rsidP="00A61314">
      <w:pPr>
        <w:ind w:left="851"/>
      </w:pPr>
      <w:r>
        <w:t>Gennem 48 ugers behandling var middelændringerne i HIV-RNA-niveauer fra baseline for atazanavir + ritonavir og lopinavir + ritonavir sammenlignelige (ikke-inferior). Der blev opnået samstemmede resultater ved en analysemetode, hvor sidste observation blev fremskrevet (tidsgennemsnitlig forskel på 0,11; 97,5% konfidensinterval [-0,15; 0,36]). Andelen af patienter med HIV-RNA &lt;400 kopier/ml (&lt; 50 kopier/ml) i atazanavir + ritonavir-armen og lopinavir + ritonavir-armen var henholdsvis 55% (40%) og 56% (46%).</w:t>
      </w:r>
    </w:p>
    <w:p w:rsidR="00A61314" w:rsidRDefault="00A61314" w:rsidP="00A61314">
      <w:pPr>
        <w:ind w:left="851"/>
      </w:pPr>
    </w:p>
    <w:p w:rsidR="00A61314" w:rsidRDefault="00A61314" w:rsidP="00A61314">
      <w:pPr>
        <w:ind w:left="851"/>
      </w:pPr>
      <w:r>
        <w:t>Gennem 96 ugers behandling opfyldte gennemsnitlige HIV-RNA-ændringer fra baseline i uge 96 for atazanavir + ritonavir og lopinavir + ritonavir, kriterierne for "ikke inferioritet" baseret på observerede tilfælde. Der blev opnået samstemmende resultater ved en analysemetode, hvor sidste observation blev fremskrevet. Ved AT-analyse, hvor manglende værdier blev ekskluderet, var andelen af patienter med HIV-RNA &lt;400 kopier/ml (&lt;50 kopier/ml) for atazanavir + ritonavir 84% (72%) og for lopinavir + ritonavir 82% (72%). Det er vigtigt at bemærke, at 48% af det samlede antal patienter i studiet fortsatte efter 96-ugersanalysen. Atazanavir + saquinavir er vist at være ringere end lopinavir + ritonavir.</w:t>
      </w:r>
    </w:p>
    <w:p w:rsidR="00A61314" w:rsidRDefault="00A61314" w:rsidP="00A61314">
      <w:pPr>
        <w:ind w:left="851"/>
      </w:pPr>
    </w:p>
    <w:p w:rsidR="00A61314" w:rsidRDefault="00A61314" w:rsidP="00A61314">
      <w:pPr>
        <w:ind w:left="851"/>
        <w:rPr>
          <w:i/>
        </w:rPr>
      </w:pPr>
      <w:r>
        <w:rPr>
          <w:i/>
        </w:rPr>
        <w:t>Pædiatrisk population</w:t>
      </w:r>
    </w:p>
    <w:p w:rsidR="00A61314" w:rsidRDefault="00A61314" w:rsidP="00A61314">
      <w:pPr>
        <w:ind w:left="851"/>
      </w:pPr>
      <w:r>
        <w:t>Vurdering af farmakokinetik, sikkerhed, tolerabilitet og virkning af atazanavir er baseret på data fra et åbent, klinisk multicenterstudie (AI424-020), der blev udført med patienter i alderen 3 måneder til 21 år. Totalt fik 182 pædiatriske patienter (81 antiretroviral-naive og 101 antiretroviral-erfarne) i dette studie atazanavir en gang dagligt (kapsler eller pulverformulering) med eller uden ritonavir, i kombination med to NRTI’er.</w:t>
      </w:r>
    </w:p>
    <w:p w:rsidR="00A61314" w:rsidRDefault="00A61314" w:rsidP="00A61314">
      <w:pPr>
        <w:ind w:left="851"/>
      </w:pPr>
    </w:p>
    <w:p w:rsidR="00A61314" w:rsidRDefault="00A61314" w:rsidP="00A61314">
      <w:pPr>
        <w:ind w:left="851"/>
      </w:pPr>
      <w:r>
        <w:t>Der er ikke tilstrækkelige kliniske data fra dette studie til at understøtte brugen af atazanavir (med eller uden ritonavir) hos børn under 6 år.</w:t>
      </w:r>
    </w:p>
    <w:p w:rsidR="00A61314" w:rsidRDefault="00A61314" w:rsidP="00A61314">
      <w:pPr>
        <w:ind w:left="851"/>
      </w:pPr>
    </w:p>
    <w:p w:rsidR="00A61314" w:rsidRDefault="00A61314" w:rsidP="00A61314">
      <w:pPr>
        <w:ind w:left="851"/>
      </w:pPr>
      <w:r>
        <w:t>I tabel 7 ses data for virkningen hos de 41 pædiatriske patienter i alderen fra 6 år til under 18 år, som fik atazanavir-kapsler med ritonavir. For de behandlingsnaive pædiatriske patienter var middel- baseline-CD4-celletal 344 celler/mm</w:t>
      </w:r>
      <w:r>
        <w:rPr>
          <w:vertAlign w:val="superscript"/>
        </w:rPr>
        <w:t>3</w:t>
      </w:r>
      <w:r>
        <w:t xml:space="preserve"> (interval 2-800 celler/mm</w:t>
      </w:r>
      <w:r>
        <w:rPr>
          <w:vertAlign w:val="superscript"/>
        </w:rPr>
        <w:t>3</w:t>
      </w:r>
      <w:r>
        <w:t>), og middel-baseline-plasma HIV-1-RNA var 4,67 log</w:t>
      </w:r>
      <w:r>
        <w:rPr>
          <w:vertAlign w:val="subscript"/>
        </w:rPr>
        <w:t>10</w:t>
      </w:r>
      <w:r>
        <w:t xml:space="preserve"> kopier/ml (interval 3,70-5,00 log</w:t>
      </w:r>
      <w:r>
        <w:rPr>
          <w:vertAlign w:val="subscript"/>
        </w:rPr>
        <w:t>10</w:t>
      </w:r>
      <w:r>
        <w:t xml:space="preserve"> kopier/ml). For de behandlingserfarne pædiatriske patienter var middel-baseline-CD4-celletal 522 celler/mm</w:t>
      </w:r>
      <w:r>
        <w:rPr>
          <w:vertAlign w:val="superscript"/>
        </w:rPr>
        <w:t>3</w:t>
      </w:r>
      <w:r>
        <w:t xml:space="preserve"> (interval 100-1.157 celler/mm</w:t>
      </w:r>
      <w:r>
        <w:rPr>
          <w:vertAlign w:val="superscript"/>
        </w:rPr>
        <w:t>3</w:t>
      </w:r>
      <w:r>
        <w:t>), og middel-baseline-plasma-HIV-1-RNA var 4,09 log</w:t>
      </w:r>
      <w:r>
        <w:rPr>
          <w:vertAlign w:val="subscript"/>
        </w:rPr>
        <w:t xml:space="preserve">10 </w:t>
      </w:r>
      <w:r>
        <w:t>kopier/ml (interval 3,28-5,00 log</w:t>
      </w:r>
      <w:r>
        <w:rPr>
          <w:vertAlign w:val="subscript"/>
        </w:rPr>
        <w:t xml:space="preserve">10 </w:t>
      </w:r>
      <w:r>
        <w:t>kopier/ml).</w:t>
      </w:r>
    </w:p>
    <w:p w:rsidR="00A61314" w:rsidRDefault="00A61314" w:rsidP="00A61314">
      <w:pPr>
        <w:tabs>
          <w:tab w:val="left" w:pos="709"/>
        </w:tabs>
      </w:pPr>
    </w:p>
    <w:p w:rsidR="002A0DA0" w:rsidRPr="00BD6DF2" w:rsidRDefault="002A0DA0" w:rsidP="002A0DA0">
      <w:pPr>
        <w:keepNext/>
        <w:tabs>
          <w:tab w:val="left" w:pos="709"/>
        </w:tabs>
        <w:rPr>
          <w:b/>
          <w:sz w:val="24"/>
          <w:szCs w:val="24"/>
        </w:rPr>
      </w:pPr>
      <w:r w:rsidRPr="00BD6DF2">
        <w:rPr>
          <w:b/>
          <w:sz w:val="24"/>
          <w:szCs w:val="24"/>
        </w:rPr>
        <w:t>Tabel 7: Effektparametre (pædiatriske patienter fra 6 år til under 18 år) ved uge 48</w:t>
      </w:r>
    </w:p>
    <w:p w:rsidR="002A0DA0" w:rsidRPr="00BD6DF2" w:rsidRDefault="002A0DA0" w:rsidP="002A0DA0">
      <w:pPr>
        <w:keepNext/>
        <w:tabs>
          <w:tab w:val="left" w:pos="709"/>
        </w:tabs>
        <w:rPr>
          <w:b/>
          <w:sz w:val="24"/>
          <w:szCs w:val="24"/>
        </w:rPr>
      </w:pPr>
      <w:r w:rsidRPr="00BD6DF2">
        <w:rPr>
          <w:b/>
          <w:sz w:val="24"/>
          <w:szCs w:val="24"/>
        </w:rPr>
        <w:t>(AI424-020 studie)</w:t>
      </w:r>
    </w:p>
    <w:tbl>
      <w:tblPr>
        <w:tblStyle w:val="Tabel-Gitter"/>
        <w:tblW w:w="5000" w:type="pct"/>
        <w:tblInd w:w="0" w:type="dxa"/>
        <w:tblLook w:val="04A0" w:firstRow="1" w:lastRow="0" w:firstColumn="1" w:lastColumn="0" w:noHBand="0" w:noVBand="1"/>
      </w:tblPr>
      <w:tblGrid>
        <w:gridCol w:w="3210"/>
        <w:gridCol w:w="3210"/>
        <w:gridCol w:w="3208"/>
      </w:tblGrid>
      <w:tr w:rsidR="002A0DA0" w:rsidRPr="00BD6DF2" w:rsidTr="002A0DA0">
        <w:tc>
          <w:tcPr>
            <w:tcW w:w="1667"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keepNext/>
              <w:tabs>
                <w:tab w:val="left" w:pos="709"/>
              </w:tabs>
              <w:rPr>
                <w:rFonts w:ascii="Times New Roman" w:hAnsi="Times New Roman" w:cs="Times New Roman"/>
                <w:b/>
                <w:sz w:val="22"/>
              </w:rPr>
            </w:pPr>
            <w:r w:rsidRPr="00BD6DF2">
              <w:rPr>
                <w:rFonts w:ascii="Times New Roman" w:hAnsi="Times New Roman" w:cs="Times New Roman"/>
                <w:b/>
                <w:sz w:val="22"/>
              </w:rPr>
              <w:t>Parameter</w:t>
            </w:r>
          </w:p>
        </w:tc>
        <w:tc>
          <w:tcPr>
            <w:tcW w:w="1667"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keepNext/>
              <w:tabs>
                <w:tab w:val="left" w:pos="709"/>
              </w:tabs>
              <w:jc w:val="center"/>
              <w:rPr>
                <w:rFonts w:ascii="Times New Roman" w:hAnsi="Times New Roman" w:cs="Times New Roman"/>
                <w:b/>
                <w:sz w:val="22"/>
              </w:rPr>
            </w:pPr>
            <w:r w:rsidRPr="00BD6DF2">
              <w:rPr>
                <w:rFonts w:ascii="Times New Roman" w:hAnsi="Times New Roman" w:cs="Times New Roman"/>
                <w:b/>
                <w:sz w:val="22"/>
              </w:rPr>
              <w:t>Behandlingsnaive atazanavir-kapsler/ritonavir</w:t>
            </w:r>
          </w:p>
          <w:p w:rsidR="002A0DA0" w:rsidRPr="00BD6DF2" w:rsidRDefault="002A0DA0" w:rsidP="002A0DA0">
            <w:pPr>
              <w:keepNext/>
              <w:tabs>
                <w:tab w:val="left" w:pos="709"/>
              </w:tabs>
              <w:jc w:val="center"/>
              <w:rPr>
                <w:rFonts w:ascii="Times New Roman" w:hAnsi="Times New Roman" w:cs="Times New Roman"/>
                <w:b/>
                <w:sz w:val="22"/>
              </w:rPr>
            </w:pPr>
            <w:r w:rsidRPr="00BD6DF2">
              <w:rPr>
                <w:rFonts w:ascii="Times New Roman" w:hAnsi="Times New Roman" w:cs="Times New Roman"/>
                <w:b/>
                <w:sz w:val="22"/>
              </w:rPr>
              <w:t>(300 mg/100 mg én</w:t>
            </w:r>
          </w:p>
          <w:p w:rsidR="002A0DA0" w:rsidRPr="00BD6DF2" w:rsidRDefault="002A0DA0" w:rsidP="002A0DA0">
            <w:pPr>
              <w:keepNext/>
              <w:tabs>
                <w:tab w:val="left" w:pos="709"/>
              </w:tabs>
              <w:jc w:val="center"/>
              <w:rPr>
                <w:rFonts w:ascii="Times New Roman" w:hAnsi="Times New Roman" w:cs="Times New Roman"/>
                <w:b/>
                <w:sz w:val="22"/>
              </w:rPr>
            </w:pPr>
            <w:r w:rsidRPr="00BD6DF2">
              <w:rPr>
                <w:rFonts w:ascii="Times New Roman" w:hAnsi="Times New Roman" w:cs="Times New Roman"/>
                <w:b/>
                <w:sz w:val="22"/>
              </w:rPr>
              <w:t>gang dagligt) n=16</w:t>
            </w:r>
          </w:p>
        </w:tc>
        <w:tc>
          <w:tcPr>
            <w:tcW w:w="1667"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keepNext/>
              <w:tabs>
                <w:tab w:val="left" w:pos="709"/>
              </w:tabs>
              <w:jc w:val="center"/>
              <w:rPr>
                <w:rFonts w:ascii="Times New Roman" w:hAnsi="Times New Roman" w:cs="Times New Roman"/>
                <w:b/>
                <w:sz w:val="22"/>
              </w:rPr>
            </w:pPr>
            <w:r w:rsidRPr="00BD6DF2">
              <w:rPr>
                <w:rFonts w:ascii="Times New Roman" w:hAnsi="Times New Roman" w:cs="Times New Roman"/>
                <w:b/>
                <w:sz w:val="22"/>
              </w:rPr>
              <w:t>Behandlingserfarne atazanavir-kapsler/ritonavir</w:t>
            </w:r>
          </w:p>
          <w:p w:rsidR="002A0DA0" w:rsidRPr="00BD6DF2" w:rsidRDefault="002A0DA0" w:rsidP="002A0DA0">
            <w:pPr>
              <w:keepNext/>
              <w:tabs>
                <w:tab w:val="left" w:pos="709"/>
              </w:tabs>
              <w:jc w:val="center"/>
              <w:rPr>
                <w:rFonts w:ascii="Times New Roman" w:hAnsi="Times New Roman" w:cs="Times New Roman"/>
                <w:b/>
                <w:sz w:val="22"/>
              </w:rPr>
            </w:pPr>
            <w:r w:rsidRPr="00BD6DF2">
              <w:rPr>
                <w:rFonts w:ascii="Times New Roman" w:hAnsi="Times New Roman" w:cs="Times New Roman"/>
                <w:b/>
                <w:sz w:val="22"/>
              </w:rPr>
              <w:t>(300 mg/100 mg én</w:t>
            </w:r>
          </w:p>
          <w:p w:rsidR="002A0DA0" w:rsidRPr="00BD6DF2" w:rsidRDefault="002A0DA0" w:rsidP="002A0DA0">
            <w:pPr>
              <w:keepNext/>
              <w:tabs>
                <w:tab w:val="left" w:pos="709"/>
              </w:tabs>
              <w:jc w:val="center"/>
              <w:rPr>
                <w:rFonts w:ascii="Times New Roman" w:hAnsi="Times New Roman" w:cs="Times New Roman"/>
                <w:b/>
                <w:sz w:val="22"/>
              </w:rPr>
            </w:pPr>
            <w:r w:rsidRPr="00BD6DF2">
              <w:rPr>
                <w:rFonts w:ascii="Times New Roman" w:hAnsi="Times New Roman" w:cs="Times New Roman"/>
                <w:b/>
                <w:sz w:val="22"/>
              </w:rPr>
              <w:t>gang dagligt) n=25</w:t>
            </w:r>
          </w:p>
        </w:tc>
      </w:tr>
      <w:tr w:rsidR="002A0DA0" w:rsidRPr="000257C6"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582B2E" w:rsidRDefault="002A0DA0" w:rsidP="002A0DA0">
            <w:pPr>
              <w:tabs>
                <w:tab w:val="left" w:pos="709"/>
              </w:tabs>
              <w:rPr>
                <w:rFonts w:ascii="Times New Roman" w:hAnsi="Times New Roman" w:cs="Times New Roman"/>
                <w:b/>
                <w:sz w:val="22"/>
                <w:lang w:val="sv-SE"/>
              </w:rPr>
            </w:pPr>
            <w:r w:rsidRPr="00582B2E">
              <w:rPr>
                <w:b/>
                <w:sz w:val="22"/>
                <w:lang w:val="sv-SE"/>
              </w:rPr>
              <w:t xml:space="preserve">HIV-RNA </w:t>
            </w:r>
            <w:proofErr w:type="gramStart"/>
            <w:r w:rsidRPr="00582B2E">
              <w:rPr>
                <w:b/>
                <w:sz w:val="22"/>
                <w:lang w:val="sv-SE"/>
              </w:rPr>
              <w:t>&lt; 50</w:t>
            </w:r>
            <w:proofErr w:type="gramEnd"/>
            <w:r w:rsidRPr="00582B2E">
              <w:rPr>
                <w:b/>
                <w:sz w:val="22"/>
                <w:lang w:val="sv-SE"/>
              </w:rPr>
              <w:t xml:space="preserve"> kopier/ml, % </w:t>
            </w:r>
            <w:r w:rsidRPr="00582B2E">
              <w:rPr>
                <w:b/>
                <w:sz w:val="22"/>
                <w:vertAlign w:val="superscript"/>
                <w:lang w:val="sv-SE"/>
              </w:rPr>
              <w:t>a</w:t>
            </w:r>
          </w:p>
        </w:tc>
      </w:tr>
      <w:tr w:rsidR="002A0DA0" w:rsidRPr="00BD6DF2" w:rsidTr="002A0DA0">
        <w:tc>
          <w:tcPr>
            <w:tcW w:w="1667"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rPr>
                <w:rFonts w:ascii="Times New Roman" w:hAnsi="Times New Roman" w:cs="Times New Roman"/>
                <w:sz w:val="22"/>
              </w:rPr>
            </w:pPr>
            <w:r w:rsidRPr="00BD6DF2">
              <w:rPr>
                <w:rFonts w:ascii="Times New Roman" w:hAnsi="Times New Roman" w:cs="Times New Roman"/>
                <w:sz w:val="22"/>
              </w:rPr>
              <w:t>Alle patienter</w:t>
            </w:r>
          </w:p>
        </w:tc>
        <w:tc>
          <w:tcPr>
            <w:tcW w:w="1667"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81 (13/16)</w:t>
            </w:r>
          </w:p>
        </w:tc>
        <w:tc>
          <w:tcPr>
            <w:tcW w:w="1667"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24 (6/25)</w:t>
            </w:r>
          </w:p>
        </w:tc>
      </w:tr>
      <w:tr w:rsidR="002A0DA0" w:rsidRPr="000257C6"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582B2E" w:rsidRDefault="002A0DA0" w:rsidP="002A0DA0">
            <w:pPr>
              <w:tabs>
                <w:tab w:val="left" w:pos="709"/>
              </w:tabs>
              <w:rPr>
                <w:rFonts w:ascii="Times New Roman" w:hAnsi="Times New Roman" w:cs="Times New Roman"/>
                <w:b/>
                <w:sz w:val="22"/>
                <w:lang w:val="sv-SE"/>
              </w:rPr>
            </w:pPr>
            <w:r w:rsidRPr="00582B2E">
              <w:rPr>
                <w:b/>
                <w:sz w:val="22"/>
                <w:lang w:val="sv-SE"/>
              </w:rPr>
              <w:lastRenderedPageBreak/>
              <w:t xml:space="preserve">HIV-RNA </w:t>
            </w:r>
            <w:proofErr w:type="gramStart"/>
            <w:r w:rsidRPr="00582B2E">
              <w:rPr>
                <w:b/>
                <w:sz w:val="22"/>
                <w:lang w:val="sv-SE"/>
              </w:rPr>
              <w:t>&lt; 400</w:t>
            </w:r>
            <w:proofErr w:type="gramEnd"/>
            <w:r w:rsidRPr="00582B2E">
              <w:rPr>
                <w:b/>
                <w:sz w:val="22"/>
                <w:lang w:val="sv-SE"/>
              </w:rPr>
              <w:t xml:space="preserve"> kopier/ml, % </w:t>
            </w:r>
            <w:r w:rsidRPr="00582B2E">
              <w:rPr>
                <w:b/>
                <w:sz w:val="22"/>
                <w:vertAlign w:val="superscript"/>
                <w:lang w:val="sv-SE"/>
              </w:rPr>
              <w:t>a</w:t>
            </w:r>
          </w:p>
        </w:tc>
      </w:tr>
      <w:tr w:rsidR="002A0DA0" w:rsidRPr="00BD6DF2" w:rsidTr="002A0DA0">
        <w:tc>
          <w:tcPr>
            <w:tcW w:w="1667"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rPr>
                <w:rFonts w:ascii="Times New Roman" w:hAnsi="Times New Roman" w:cs="Times New Roman"/>
                <w:sz w:val="22"/>
              </w:rPr>
            </w:pPr>
            <w:r w:rsidRPr="00BD6DF2">
              <w:rPr>
                <w:rFonts w:ascii="Times New Roman" w:hAnsi="Times New Roman" w:cs="Times New Roman"/>
                <w:sz w:val="22"/>
              </w:rPr>
              <w:t>Alle patienter</w:t>
            </w:r>
          </w:p>
        </w:tc>
        <w:tc>
          <w:tcPr>
            <w:tcW w:w="1667"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88 (14/16)</w:t>
            </w:r>
          </w:p>
        </w:tc>
        <w:tc>
          <w:tcPr>
            <w:tcW w:w="1667"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32 (8/25)</w:t>
            </w:r>
          </w:p>
        </w:tc>
      </w:tr>
      <w:tr w:rsidR="002A0DA0" w:rsidRPr="00BD6DF2"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rPr>
                <w:rFonts w:ascii="Times New Roman" w:hAnsi="Times New Roman" w:cs="Times New Roman"/>
                <w:b/>
                <w:sz w:val="22"/>
              </w:rPr>
            </w:pPr>
            <w:r w:rsidRPr="00BD6DF2">
              <w:rPr>
                <w:rFonts w:ascii="Times New Roman" w:hAnsi="Times New Roman" w:cs="Times New Roman"/>
                <w:b/>
                <w:sz w:val="22"/>
              </w:rPr>
              <w:t xml:space="preserve">CD4 Middelændring fra </w:t>
            </w:r>
            <w:proofErr w:type="gramStart"/>
            <w:r w:rsidRPr="00BD6DF2">
              <w:rPr>
                <w:rFonts w:ascii="Times New Roman" w:hAnsi="Times New Roman" w:cs="Times New Roman"/>
                <w:b/>
                <w:sz w:val="22"/>
              </w:rPr>
              <w:t>baseline,celler</w:t>
            </w:r>
            <w:proofErr w:type="gramEnd"/>
            <w:r w:rsidRPr="00BD6DF2">
              <w:rPr>
                <w:rFonts w:ascii="Times New Roman" w:hAnsi="Times New Roman" w:cs="Times New Roman"/>
                <w:b/>
                <w:sz w:val="22"/>
              </w:rPr>
              <w:t>/mm</w:t>
            </w:r>
            <w:r w:rsidRPr="00BD6DF2">
              <w:rPr>
                <w:rFonts w:ascii="Times New Roman" w:hAnsi="Times New Roman" w:cs="Times New Roman"/>
                <w:b/>
                <w:sz w:val="22"/>
                <w:vertAlign w:val="superscript"/>
              </w:rPr>
              <w:t>3</w:t>
            </w:r>
          </w:p>
        </w:tc>
      </w:tr>
      <w:tr w:rsidR="002A0DA0" w:rsidRPr="00BD6DF2" w:rsidTr="002A0DA0">
        <w:tc>
          <w:tcPr>
            <w:tcW w:w="1667"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rPr>
                <w:rFonts w:ascii="Times New Roman" w:hAnsi="Times New Roman" w:cs="Times New Roman"/>
                <w:sz w:val="22"/>
              </w:rPr>
            </w:pPr>
            <w:r w:rsidRPr="00BD6DF2">
              <w:rPr>
                <w:rFonts w:ascii="Times New Roman" w:hAnsi="Times New Roman" w:cs="Times New Roman"/>
                <w:sz w:val="22"/>
              </w:rPr>
              <w:t>Alle patienter</w:t>
            </w:r>
          </w:p>
        </w:tc>
        <w:tc>
          <w:tcPr>
            <w:tcW w:w="1667"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293 (n=14</w:t>
            </w:r>
            <w:r w:rsidRPr="00BD6DF2">
              <w:rPr>
                <w:rFonts w:ascii="Times New Roman" w:hAnsi="Times New Roman" w:cs="Times New Roman"/>
                <w:sz w:val="22"/>
                <w:vertAlign w:val="superscript"/>
              </w:rPr>
              <w:t>b</w:t>
            </w:r>
            <w:r w:rsidRPr="00BD6DF2">
              <w:rPr>
                <w:rFonts w:ascii="Times New Roman" w:hAnsi="Times New Roman" w:cs="Times New Roman"/>
                <w:sz w:val="22"/>
              </w:rPr>
              <w:t>)</w:t>
            </w:r>
          </w:p>
        </w:tc>
        <w:tc>
          <w:tcPr>
            <w:tcW w:w="1667"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229 (n=14</w:t>
            </w:r>
            <w:r w:rsidRPr="00BD6DF2">
              <w:rPr>
                <w:rFonts w:ascii="Times New Roman" w:hAnsi="Times New Roman" w:cs="Times New Roman"/>
                <w:sz w:val="22"/>
                <w:vertAlign w:val="superscript"/>
              </w:rPr>
              <w:t>b</w:t>
            </w:r>
            <w:r w:rsidRPr="00BD6DF2">
              <w:rPr>
                <w:rFonts w:ascii="Times New Roman" w:hAnsi="Times New Roman" w:cs="Times New Roman"/>
                <w:sz w:val="22"/>
              </w:rPr>
              <w:t>)</w:t>
            </w:r>
          </w:p>
        </w:tc>
      </w:tr>
      <w:tr w:rsidR="002A0DA0" w:rsidRPr="00BD6DF2" w:rsidTr="002A0DA0">
        <w:tc>
          <w:tcPr>
            <w:tcW w:w="5000" w:type="pct"/>
            <w:gridSpan w:val="3"/>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rPr>
                <w:rFonts w:ascii="Times New Roman" w:hAnsi="Times New Roman" w:cs="Times New Roman"/>
                <w:b/>
                <w:sz w:val="22"/>
              </w:rPr>
            </w:pPr>
            <w:r w:rsidRPr="00BD6DF2">
              <w:rPr>
                <w:rFonts w:ascii="Times New Roman" w:hAnsi="Times New Roman" w:cs="Times New Roman"/>
                <w:b/>
                <w:sz w:val="22"/>
              </w:rPr>
              <w:t>HIV-RNA &lt; 50 kopier/ml ved selekteret baseline PI-</w:t>
            </w:r>
            <w:proofErr w:type="gramStart"/>
            <w:r w:rsidRPr="00BD6DF2">
              <w:rPr>
                <w:rFonts w:ascii="Times New Roman" w:hAnsi="Times New Roman" w:cs="Times New Roman"/>
                <w:b/>
                <w:sz w:val="22"/>
              </w:rPr>
              <w:t>substitution,</w:t>
            </w:r>
            <w:r w:rsidRPr="00BD6DF2">
              <w:rPr>
                <w:rFonts w:ascii="Times New Roman" w:hAnsi="Times New Roman" w:cs="Times New Roman"/>
                <w:b/>
                <w:sz w:val="22"/>
                <w:vertAlign w:val="superscript"/>
              </w:rPr>
              <w:t>c</w:t>
            </w:r>
            <w:proofErr w:type="gramEnd"/>
            <w:r w:rsidRPr="00BD6DF2">
              <w:rPr>
                <w:rFonts w:ascii="Times New Roman" w:hAnsi="Times New Roman" w:cs="Times New Roman"/>
                <w:b/>
                <w:sz w:val="22"/>
              </w:rPr>
              <w:t xml:space="preserve"> % (respondent/evaluerbar</w:t>
            </w:r>
            <w:r w:rsidRPr="00BD6DF2">
              <w:rPr>
                <w:rFonts w:ascii="Times New Roman" w:hAnsi="Times New Roman" w:cs="Times New Roman"/>
                <w:b/>
                <w:sz w:val="22"/>
                <w:vertAlign w:val="superscript"/>
              </w:rPr>
              <w:t>d</w:t>
            </w:r>
            <w:r w:rsidRPr="00BD6DF2">
              <w:rPr>
                <w:rFonts w:ascii="Times New Roman" w:hAnsi="Times New Roman" w:cs="Times New Roman"/>
                <w:b/>
                <w:sz w:val="22"/>
              </w:rPr>
              <w:t>)</w:t>
            </w:r>
          </w:p>
        </w:tc>
      </w:tr>
      <w:tr w:rsidR="002A0DA0" w:rsidRPr="00BD6DF2" w:rsidTr="002A0DA0">
        <w:tc>
          <w:tcPr>
            <w:tcW w:w="1667"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rPr>
                <w:rFonts w:ascii="Times New Roman" w:hAnsi="Times New Roman" w:cs="Times New Roman"/>
                <w:sz w:val="22"/>
              </w:rPr>
            </w:pPr>
            <w:r w:rsidRPr="00BD6DF2">
              <w:rPr>
                <w:rFonts w:ascii="Times New Roman" w:hAnsi="Times New Roman" w:cs="Times New Roman"/>
                <w:sz w:val="22"/>
              </w:rPr>
              <w:t>0-2</w:t>
            </w:r>
          </w:p>
        </w:tc>
        <w:tc>
          <w:tcPr>
            <w:tcW w:w="1667"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NA</w:t>
            </w:r>
          </w:p>
        </w:tc>
        <w:tc>
          <w:tcPr>
            <w:tcW w:w="1667"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27 (4/15)</w:t>
            </w:r>
          </w:p>
        </w:tc>
      </w:tr>
      <w:tr w:rsidR="002A0DA0" w:rsidRPr="00BD6DF2" w:rsidTr="002A0DA0">
        <w:tc>
          <w:tcPr>
            <w:tcW w:w="1667"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rPr>
                <w:rFonts w:ascii="Times New Roman" w:hAnsi="Times New Roman" w:cs="Times New Roman"/>
                <w:sz w:val="22"/>
              </w:rPr>
            </w:pPr>
            <w:r w:rsidRPr="00BD6DF2">
              <w:rPr>
                <w:rFonts w:ascii="Times New Roman" w:hAnsi="Times New Roman" w:cs="Times New Roman"/>
                <w:sz w:val="22"/>
              </w:rPr>
              <w:t>3</w:t>
            </w:r>
          </w:p>
        </w:tc>
        <w:tc>
          <w:tcPr>
            <w:tcW w:w="1667"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NA</w:t>
            </w:r>
          </w:p>
        </w:tc>
        <w:tc>
          <w:tcPr>
            <w:tcW w:w="1667"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w:t>
            </w:r>
          </w:p>
        </w:tc>
      </w:tr>
      <w:tr w:rsidR="002A0DA0" w:rsidRPr="00BD6DF2" w:rsidTr="002A0DA0">
        <w:tc>
          <w:tcPr>
            <w:tcW w:w="1667"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rPr>
                <w:rFonts w:ascii="Times New Roman" w:hAnsi="Times New Roman" w:cs="Times New Roman"/>
                <w:sz w:val="22"/>
              </w:rPr>
            </w:pPr>
            <w:r w:rsidRPr="00BD6DF2">
              <w:rPr>
                <w:rFonts w:ascii="Times New Roman" w:hAnsi="Times New Roman" w:cs="Times New Roman"/>
                <w:sz w:val="22"/>
              </w:rPr>
              <w:t>≥ 4</w:t>
            </w:r>
          </w:p>
        </w:tc>
        <w:tc>
          <w:tcPr>
            <w:tcW w:w="1667"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NA</w:t>
            </w:r>
          </w:p>
        </w:tc>
        <w:tc>
          <w:tcPr>
            <w:tcW w:w="1667" w:type="pct"/>
            <w:tcBorders>
              <w:top w:val="single" w:sz="4" w:space="0" w:color="auto"/>
              <w:left w:val="single" w:sz="4" w:space="0" w:color="auto"/>
              <w:bottom w:val="single" w:sz="4" w:space="0" w:color="auto"/>
              <w:right w:val="single" w:sz="4" w:space="0" w:color="auto"/>
            </w:tcBorders>
            <w:hideMark/>
          </w:tcPr>
          <w:p w:rsidR="002A0DA0" w:rsidRPr="00BD6DF2" w:rsidRDefault="002A0DA0" w:rsidP="002A0DA0">
            <w:pPr>
              <w:tabs>
                <w:tab w:val="left" w:pos="709"/>
              </w:tabs>
              <w:jc w:val="center"/>
              <w:rPr>
                <w:rFonts w:ascii="Times New Roman" w:hAnsi="Times New Roman" w:cs="Times New Roman"/>
                <w:sz w:val="22"/>
              </w:rPr>
            </w:pPr>
            <w:r w:rsidRPr="00BD6DF2">
              <w:rPr>
                <w:rFonts w:ascii="Times New Roman" w:hAnsi="Times New Roman" w:cs="Times New Roman"/>
                <w:sz w:val="22"/>
              </w:rPr>
              <w:t>0 (0/3)</w:t>
            </w:r>
          </w:p>
        </w:tc>
      </w:tr>
    </w:tbl>
    <w:p w:rsidR="002A0DA0" w:rsidRDefault="002A0DA0" w:rsidP="002A0DA0">
      <w:pPr>
        <w:tabs>
          <w:tab w:val="left" w:pos="709"/>
        </w:tabs>
        <w:rPr>
          <w:sz w:val="18"/>
          <w:szCs w:val="22"/>
        </w:rPr>
      </w:pPr>
      <w:r>
        <w:rPr>
          <w:sz w:val="18"/>
          <w:vertAlign w:val="superscript"/>
        </w:rPr>
        <w:t>a</w:t>
      </w:r>
      <w:r>
        <w:rPr>
          <w:sz w:val="18"/>
        </w:rPr>
        <w:t xml:space="preserve"> Intent-to-treat-analyse hvor manglende værdier betragtes som behandlingssvigt.</w:t>
      </w:r>
    </w:p>
    <w:p w:rsidR="002A0DA0" w:rsidRDefault="002A0DA0" w:rsidP="002A0DA0">
      <w:pPr>
        <w:tabs>
          <w:tab w:val="left" w:pos="709"/>
        </w:tabs>
        <w:rPr>
          <w:sz w:val="18"/>
        </w:rPr>
      </w:pPr>
      <w:r>
        <w:rPr>
          <w:sz w:val="18"/>
          <w:vertAlign w:val="superscript"/>
        </w:rPr>
        <w:t>b</w:t>
      </w:r>
      <w:r>
        <w:rPr>
          <w:sz w:val="18"/>
        </w:rPr>
        <w:t xml:space="preserve"> Antal evaluérbare patienter</w:t>
      </w:r>
    </w:p>
    <w:p w:rsidR="002A0DA0" w:rsidRDefault="002A0DA0" w:rsidP="002A0DA0">
      <w:pPr>
        <w:tabs>
          <w:tab w:val="left" w:pos="709"/>
        </w:tabs>
        <w:rPr>
          <w:sz w:val="18"/>
        </w:rPr>
      </w:pPr>
      <w:r>
        <w:rPr>
          <w:sz w:val="18"/>
          <w:vertAlign w:val="superscript"/>
        </w:rPr>
        <w:t>c</w:t>
      </w:r>
      <w:r>
        <w:rPr>
          <w:sz w:val="18"/>
        </w:rPr>
        <w:t xml:space="preserve"> PI major L24I, D30N, V32I, L33F, M46IL, I47AV, G48V, I50LV, F53LY, I54ALMSTV, L76V, V82AFLST, I84V, N88DS, L90M; PI minor: L10CFIRV, V11I, E35G, K43T, Q58E, A71ILTV, G73ACST, T74P, N83D, L89V.</w:t>
      </w:r>
    </w:p>
    <w:p w:rsidR="002A0DA0" w:rsidRPr="00582B2E" w:rsidRDefault="002A0DA0" w:rsidP="002A0DA0">
      <w:pPr>
        <w:tabs>
          <w:tab w:val="left" w:pos="709"/>
        </w:tabs>
        <w:rPr>
          <w:sz w:val="18"/>
          <w:lang w:val="nb-NO"/>
        </w:rPr>
      </w:pPr>
      <w:r w:rsidRPr="00582B2E">
        <w:rPr>
          <w:sz w:val="18"/>
          <w:vertAlign w:val="superscript"/>
          <w:lang w:val="nb-NO"/>
        </w:rPr>
        <w:t>d</w:t>
      </w:r>
      <w:r w:rsidRPr="00582B2E">
        <w:rPr>
          <w:sz w:val="18"/>
          <w:lang w:val="nb-NO"/>
        </w:rPr>
        <w:t xml:space="preserve"> Inkluderer patienter med baseline resistens data.</w:t>
      </w:r>
    </w:p>
    <w:p w:rsidR="002A0DA0" w:rsidRPr="00582B2E" w:rsidRDefault="002A0DA0" w:rsidP="002A0DA0">
      <w:pPr>
        <w:tabs>
          <w:tab w:val="left" w:pos="709"/>
        </w:tabs>
        <w:rPr>
          <w:sz w:val="18"/>
          <w:lang w:val="nb-NO"/>
        </w:rPr>
      </w:pPr>
      <w:r w:rsidRPr="00582B2E">
        <w:rPr>
          <w:sz w:val="18"/>
          <w:lang w:val="nb-NO"/>
        </w:rPr>
        <w:t>NA = ikke relevant.</w:t>
      </w:r>
    </w:p>
    <w:p w:rsidR="00A61314" w:rsidRDefault="00A61314" w:rsidP="00A61314">
      <w:pPr>
        <w:tabs>
          <w:tab w:val="left" w:pos="709"/>
        </w:tabs>
        <w:rPr>
          <w:sz w:val="22"/>
        </w:rPr>
      </w:pPr>
    </w:p>
    <w:p w:rsidR="00C32206" w:rsidRDefault="00C32206" w:rsidP="00A61314">
      <w:pPr>
        <w:tabs>
          <w:tab w:val="left" w:pos="709"/>
        </w:tabs>
        <w:rPr>
          <w:sz w:val="22"/>
        </w:rPr>
      </w:pPr>
    </w:p>
    <w:p w:rsidR="00A61314" w:rsidRPr="00C84483" w:rsidRDefault="00A61314" w:rsidP="00A61314">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A61314" w:rsidRPr="008955A1" w:rsidRDefault="00A61314" w:rsidP="00A61314">
      <w:pPr>
        <w:ind w:left="851"/>
        <w:rPr>
          <w:sz w:val="24"/>
          <w:szCs w:val="24"/>
        </w:rPr>
      </w:pPr>
      <w:r w:rsidRPr="008955A1">
        <w:rPr>
          <w:sz w:val="24"/>
          <w:szCs w:val="24"/>
        </w:rPr>
        <w:t>Farmakokinetik for atazanavir er evalueret hos raske, voksne frivillige og hos HIV-inficerede patienter;</w:t>
      </w:r>
      <w:r>
        <w:rPr>
          <w:sz w:val="24"/>
          <w:szCs w:val="24"/>
        </w:rPr>
        <w:t xml:space="preserve"> </w:t>
      </w:r>
      <w:r w:rsidRPr="008955A1">
        <w:rPr>
          <w:sz w:val="24"/>
          <w:szCs w:val="24"/>
        </w:rPr>
        <w:t>der er observeret væsentlige forskelle mellem de to grupper. Farmakokinetik for atazanavir udviser en</w:t>
      </w:r>
      <w:r>
        <w:rPr>
          <w:sz w:val="24"/>
          <w:szCs w:val="24"/>
        </w:rPr>
        <w:t xml:space="preserve"> </w:t>
      </w:r>
      <w:r w:rsidRPr="008955A1">
        <w:rPr>
          <w:sz w:val="24"/>
          <w:szCs w:val="24"/>
        </w:rPr>
        <w:t>ikke-lineær disposition.</w:t>
      </w:r>
    </w:p>
    <w:p w:rsidR="00A61314" w:rsidRPr="008955A1" w:rsidRDefault="00A61314" w:rsidP="00A61314">
      <w:pPr>
        <w:ind w:left="851"/>
        <w:rPr>
          <w:sz w:val="24"/>
          <w:szCs w:val="24"/>
        </w:rPr>
      </w:pPr>
    </w:p>
    <w:p w:rsidR="00A61314" w:rsidRPr="008955A1" w:rsidRDefault="00A61314" w:rsidP="00A61314">
      <w:pPr>
        <w:ind w:left="851"/>
        <w:rPr>
          <w:sz w:val="24"/>
          <w:szCs w:val="24"/>
        </w:rPr>
      </w:pPr>
      <w:r w:rsidRPr="008955A1">
        <w:rPr>
          <w:i/>
          <w:sz w:val="24"/>
          <w:szCs w:val="24"/>
        </w:rPr>
        <w:t>Absorption:</w:t>
      </w:r>
      <w:r w:rsidRPr="008955A1">
        <w:rPr>
          <w:sz w:val="24"/>
          <w:szCs w:val="24"/>
        </w:rPr>
        <w:t xml:space="preserve"> gentagne doser af atazanavir 300 mg én gang dagligt i kombination med ritonavir 100 mg én gang dagligt sammen med et måltid gav hos HIV-inficerede patienter (n=33, kombinerede studier) et geometrisk gennemsnit (CV%) for atazanavir, C</w:t>
      </w:r>
      <w:r w:rsidRPr="008955A1">
        <w:rPr>
          <w:sz w:val="24"/>
          <w:szCs w:val="24"/>
          <w:vertAlign w:val="subscript"/>
        </w:rPr>
        <w:t>max</w:t>
      </w:r>
      <w:r w:rsidRPr="008955A1">
        <w:rPr>
          <w:sz w:val="24"/>
          <w:szCs w:val="24"/>
        </w:rPr>
        <w:t xml:space="preserve"> på 4.466 (42%) ng/ml, med en tid til C</w:t>
      </w:r>
      <w:r w:rsidRPr="008955A1">
        <w:rPr>
          <w:sz w:val="24"/>
          <w:szCs w:val="24"/>
          <w:vertAlign w:val="subscript"/>
        </w:rPr>
        <w:t>max</w:t>
      </w:r>
      <w:r w:rsidRPr="008955A1">
        <w:rPr>
          <w:sz w:val="24"/>
          <w:szCs w:val="24"/>
        </w:rPr>
        <w:t xml:space="preserve"> på ca. 2,5 timer. Det geometriske gennemsnit (CV%) for atazanavir C</w:t>
      </w:r>
      <w:r w:rsidRPr="008955A1">
        <w:rPr>
          <w:sz w:val="24"/>
          <w:szCs w:val="24"/>
          <w:vertAlign w:val="subscript"/>
        </w:rPr>
        <w:t>min</w:t>
      </w:r>
      <w:r w:rsidRPr="008955A1">
        <w:rPr>
          <w:sz w:val="24"/>
          <w:szCs w:val="24"/>
        </w:rPr>
        <w:t xml:space="preserve"> og AUC var henholdsvis 654 (76%) ng/ml og 44</w:t>
      </w:r>
      <w:r>
        <w:rPr>
          <w:sz w:val="24"/>
          <w:szCs w:val="24"/>
        </w:rPr>
        <w:t>.</w:t>
      </w:r>
      <w:r w:rsidRPr="008955A1">
        <w:rPr>
          <w:sz w:val="24"/>
          <w:szCs w:val="24"/>
        </w:rPr>
        <w:t>185 (51%) ng•t/ml. Hos HIV-inficerede patienter (n=13) medførte gentagne doser af atazanavir 400 mg (uden ritonavir) en gang dagligt med føde en geometrisk gennemsnitlig (CV%) atazanavir-C</w:t>
      </w:r>
      <w:r w:rsidRPr="008955A1">
        <w:rPr>
          <w:sz w:val="24"/>
          <w:szCs w:val="24"/>
          <w:vertAlign w:val="subscript"/>
        </w:rPr>
        <w:t>max</w:t>
      </w:r>
      <w:r w:rsidRPr="008955A1">
        <w:rPr>
          <w:sz w:val="24"/>
          <w:szCs w:val="24"/>
        </w:rPr>
        <w:t xml:space="preserve"> på 2.298 (71) ng/ml, med en tid til C</w:t>
      </w:r>
      <w:r w:rsidRPr="008955A1">
        <w:rPr>
          <w:sz w:val="24"/>
          <w:szCs w:val="24"/>
          <w:vertAlign w:val="subscript"/>
        </w:rPr>
        <w:t>max</w:t>
      </w:r>
      <w:r w:rsidRPr="008955A1">
        <w:rPr>
          <w:sz w:val="24"/>
          <w:szCs w:val="24"/>
        </w:rPr>
        <w:t xml:space="preserve"> på ca. 2,0 timer. Den geometrisk gennemsnitlige (CV%) atazanavir-C</w:t>
      </w:r>
      <w:r w:rsidRPr="008955A1">
        <w:rPr>
          <w:sz w:val="24"/>
          <w:szCs w:val="24"/>
          <w:vertAlign w:val="subscript"/>
        </w:rPr>
        <w:t>min</w:t>
      </w:r>
      <w:r w:rsidRPr="008955A1">
        <w:rPr>
          <w:sz w:val="24"/>
          <w:szCs w:val="24"/>
        </w:rPr>
        <w:t xml:space="preserve"> og -AUC var henholdsvis 120 (109) ng/ml og 14.874 (91) ng•t/ml.</w:t>
      </w:r>
    </w:p>
    <w:p w:rsidR="00A61314" w:rsidRPr="008955A1" w:rsidRDefault="00A61314" w:rsidP="00A61314">
      <w:pPr>
        <w:ind w:left="851"/>
        <w:rPr>
          <w:sz w:val="24"/>
          <w:szCs w:val="24"/>
        </w:rPr>
      </w:pPr>
    </w:p>
    <w:p w:rsidR="00A61314" w:rsidRPr="008955A1" w:rsidRDefault="00A61314" w:rsidP="00A61314">
      <w:pPr>
        <w:ind w:left="851"/>
        <w:rPr>
          <w:sz w:val="24"/>
          <w:szCs w:val="24"/>
        </w:rPr>
      </w:pPr>
      <w:r w:rsidRPr="008955A1">
        <w:rPr>
          <w:sz w:val="24"/>
          <w:szCs w:val="24"/>
          <w:u w:val="single"/>
        </w:rPr>
        <w:t>Fødepåvirkning:</w:t>
      </w:r>
      <w:r w:rsidRPr="008955A1">
        <w:rPr>
          <w:sz w:val="24"/>
          <w:szCs w:val="24"/>
        </w:rPr>
        <w:t xml:space="preserve"> samtidig indtag af atazanavir og ritonavir og mad optimerer biotilgængeligheden af atazanavir. Samtidig indtag af enkeltdosis atazanavir 300 mg og ritonavir 100 mg og et let måltid medførte en stigning i AUC på 33% og en stigning i såvel C</w:t>
      </w:r>
      <w:r w:rsidRPr="008955A1">
        <w:rPr>
          <w:sz w:val="24"/>
          <w:szCs w:val="24"/>
          <w:vertAlign w:val="subscript"/>
        </w:rPr>
        <w:t>max</w:t>
      </w:r>
      <w:r w:rsidRPr="008955A1">
        <w:rPr>
          <w:sz w:val="24"/>
          <w:szCs w:val="24"/>
        </w:rPr>
        <w:t xml:space="preserve"> som 24-timerskoncentrationen af atazanavir på 40% i forhold til i fastende tilstand. Samtidig indtag af fedtrigt måltid påvirkede ikke AUC for atazanavir i forhold til i fastende tilstand, og C</w:t>
      </w:r>
      <w:r w:rsidRPr="008955A1">
        <w:rPr>
          <w:sz w:val="24"/>
          <w:szCs w:val="24"/>
          <w:vertAlign w:val="subscript"/>
        </w:rPr>
        <w:t>max</w:t>
      </w:r>
      <w:r w:rsidRPr="008955A1">
        <w:rPr>
          <w:sz w:val="24"/>
          <w:szCs w:val="24"/>
        </w:rPr>
        <w:t xml:space="preserve"> lå inden for 11% i forhold til fasteværdierne. 24-timerskoncentrationen efter et fedtrigt måltid steg med ca. 33% på grund af forsinket absorption; middel-T</w:t>
      </w:r>
      <w:r w:rsidRPr="008955A1">
        <w:rPr>
          <w:sz w:val="24"/>
          <w:szCs w:val="24"/>
          <w:vertAlign w:val="subscript"/>
        </w:rPr>
        <w:t>max</w:t>
      </w:r>
      <w:r w:rsidRPr="008955A1">
        <w:rPr>
          <w:sz w:val="24"/>
          <w:szCs w:val="24"/>
        </w:rPr>
        <w:t xml:space="preserve"> steg fra 2,0 til 5,0 timer. Administration af atazanavir og ritonavir sammen med et let eller et fedtrigt måltid nedsatte variationskoefficienten for AUC og C</w:t>
      </w:r>
      <w:r w:rsidRPr="008955A1">
        <w:rPr>
          <w:sz w:val="24"/>
          <w:szCs w:val="24"/>
          <w:vertAlign w:val="subscript"/>
        </w:rPr>
        <w:t>max</w:t>
      </w:r>
      <w:r w:rsidRPr="008955A1">
        <w:rPr>
          <w:sz w:val="24"/>
          <w:szCs w:val="24"/>
        </w:rPr>
        <w:t xml:space="preserve"> med ca. 25% sammenlignet med i fastende tilstand. For at øge biotilgængelighed og minimere variabilitet, skal atazanavir tages sammen med et måltid.</w:t>
      </w:r>
    </w:p>
    <w:p w:rsidR="00A61314" w:rsidRPr="008955A1" w:rsidRDefault="00A61314" w:rsidP="00A61314">
      <w:pPr>
        <w:ind w:left="851"/>
        <w:rPr>
          <w:sz w:val="24"/>
          <w:szCs w:val="24"/>
        </w:rPr>
      </w:pPr>
    </w:p>
    <w:p w:rsidR="00A61314" w:rsidRPr="008955A1" w:rsidRDefault="00A61314" w:rsidP="00A61314">
      <w:pPr>
        <w:ind w:left="851"/>
        <w:rPr>
          <w:sz w:val="24"/>
          <w:szCs w:val="24"/>
        </w:rPr>
      </w:pPr>
      <w:r w:rsidRPr="008955A1">
        <w:rPr>
          <w:i/>
          <w:sz w:val="24"/>
          <w:szCs w:val="24"/>
        </w:rPr>
        <w:t>Fordeling:</w:t>
      </w:r>
      <w:r w:rsidRPr="008955A1">
        <w:rPr>
          <w:sz w:val="24"/>
          <w:szCs w:val="24"/>
        </w:rPr>
        <w:t xml:space="preserve"> Atazanavir bindes med cirka 86% til humane serumproteiner over et koncentrationsinterval på 100 til 10.000 ng/ml. Atazanavir bindes til både alfa-1-acid glykoprotein (AAG) og albumin i samme udstrækning (henholdsvis 89% og 86% ved 1.000 ng/ml). I et flerdosis-studie med HIVinficerede patienter, der fik 400 mg atazanavir én gang dagligt med et let måltid i 12 uger, kunne atazanavir påvises i cerebrospinal</w:t>
      </w:r>
      <w:r>
        <w:rPr>
          <w:sz w:val="24"/>
          <w:szCs w:val="24"/>
        </w:rPr>
        <w:softHyphen/>
      </w:r>
      <w:r w:rsidRPr="008955A1">
        <w:rPr>
          <w:sz w:val="24"/>
          <w:szCs w:val="24"/>
        </w:rPr>
        <w:t>væsken og sæd.</w:t>
      </w:r>
    </w:p>
    <w:p w:rsidR="00A61314" w:rsidRPr="008955A1" w:rsidRDefault="00A61314" w:rsidP="00A61314">
      <w:pPr>
        <w:ind w:left="851"/>
        <w:rPr>
          <w:sz w:val="24"/>
          <w:szCs w:val="24"/>
        </w:rPr>
      </w:pPr>
    </w:p>
    <w:p w:rsidR="00A61314" w:rsidRPr="008955A1" w:rsidRDefault="00A61314" w:rsidP="00A61314">
      <w:pPr>
        <w:ind w:left="851"/>
        <w:rPr>
          <w:sz w:val="24"/>
          <w:szCs w:val="24"/>
        </w:rPr>
      </w:pPr>
      <w:r w:rsidRPr="008955A1">
        <w:rPr>
          <w:i/>
          <w:sz w:val="24"/>
          <w:szCs w:val="24"/>
        </w:rPr>
        <w:t>Biotransformation:</w:t>
      </w:r>
      <w:r w:rsidRPr="008955A1">
        <w:rPr>
          <w:sz w:val="24"/>
          <w:szCs w:val="24"/>
        </w:rPr>
        <w:t xml:space="preserve"> Studier på mennesker og in vitro-studier med brug af humane levermikrosomer har vist, at atazanavir hovedsagelig metaboliseres til oxygenerede </w:t>
      </w:r>
      <w:r w:rsidRPr="008955A1">
        <w:rPr>
          <w:sz w:val="24"/>
          <w:szCs w:val="24"/>
        </w:rPr>
        <w:lastRenderedPageBreak/>
        <w:t>metabolitter af CYP3A4-isozymer. Metabolitterne udskilles herefter i galden, enten som frie eller som glucuroniderede metabolitter. Yderligere mindre metaboliske pathways består af N-dealkylering og hydrolyse. Der er karakteriseret to mindre metabolitter af atazanavir i plasma. Ingen af metabolitterne udviste in vitro-antiviral aktivitet.</w:t>
      </w:r>
    </w:p>
    <w:p w:rsidR="00A61314" w:rsidRPr="008955A1" w:rsidRDefault="00A61314" w:rsidP="00A61314">
      <w:pPr>
        <w:ind w:left="851"/>
        <w:rPr>
          <w:sz w:val="24"/>
          <w:szCs w:val="24"/>
        </w:rPr>
      </w:pPr>
    </w:p>
    <w:p w:rsidR="00A61314" w:rsidRPr="008955A1" w:rsidRDefault="00A61314" w:rsidP="00A61314">
      <w:pPr>
        <w:ind w:left="851"/>
        <w:rPr>
          <w:sz w:val="24"/>
          <w:szCs w:val="24"/>
        </w:rPr>
      </w:pPr>
      <w:r w:rsidRPr="008955A1">
        <w:rPr>
          <w:i/>
          <w:sz w:val="24"/>
          <w:szCs w:val="24"/>
        </w:rPr>
        <w:t>Elimination:</w:t>
      </w:r>
      <w:r w:rsidRPr="008955A1">
        <w:rPr>
          <w:sz w:val="24"/>
          <w:szCs w:val="24"/>
        </w:rPr>
        <w:t xml:space="preserve"> Efter en enkelt dosis på 400 mg </w:t>
      </w:r>
      <w:r w:rsidRPr="00BD6DF2">
        <w:rPr>
          <w:sz w:val="24"/>
          <w:szCs w:val="24"/>
          <w:vertAlign w:val="superscript"/>
        </w:rPr>
        <w:t>14</w:t>
      </w:r>
      <w:r w:rsidRPr="008955A1">
        <w:rPr>
          <w:sz w:val="24"/>
          <w:szCs w:val="24"/>
        </w:rPr>
        <w:t>C-atazanavir, blev henholdsvis 79% og 13% af den totale radioaktivitet genfundet i fæces og urin. Uomdannet lægemiddel udgjorde henholdsvis cirka 20% og 7% af den administrerede dosis i fæces og urin. Middelværdien for udskillelse i urinen af uomdannet lægemiddel var 7% efter 2 ugers dosering ved 800 mg én gang dagligt. Gennemsnitlig halveringstid var, inden for atazanavirs dosisinterval, hos HIV-inficerede voksne patienter (n=33, kombinerede studier) 12 timer ved steady state efter en dosis på 300 mg dagligt med 100 mg ritonavir én gang dagligt med et let måltid.</w:t>
      </w:r>
    </w:p>
    <w:p w:rsidR="00A61314" w:rsidRPr="008955A1" w:rsidRDefault="00A61314" w:rsidP="00A61314">
      <w:pPr>
        <w:ind w:left="851"/>
        <w:rPr>
          <w:sz w:val="24"/>
          <w:szCs w:val="24"/>
        </w:rPr>
      </w:pPr>
    </w:p>
    <w:p w:rsidR="00A61314" w:rsidRPr="008955A1" w:rsidRDefault="00A61314" w:rsidP="00A61314">
      <w:pPr>
        <w:ind w:left="851"/>
        <w:rPr>
          <w:sz w:val="24"/>
          <w:szCs w:val="24"/>
          <w:u w:val="single"/>
        </w:rPr>
      </w:pPr>
      <w:r w:rsidRPr="008955A1">
        <w:rPr>
          <w:sz w:val="24"/>
          <w:szCs w:val="24"/>
          <w:u w:val="single"/>
        </w:rPr>
        <w:t>Specielle populationer</w:t>
      </w:r>
    </w:p>
    <w:p w:rsidR="00A61314" w:rsidRPr="008955A1" w:rsidRDefault="00A61314" w:rsidP="00A61314">
      <w:pPr>
        <w:ind w:left="851"/>
        <w:rPr>
          <w:sz w:val="24"/>
          <w:szCs w:val="24"/>
        </w:rPr>
      </w:pPr>
    </w:p>
    <w:p w:rsidR="00A61314" w:rsidRPr="008955A1" w:rsidRDefault="00A61314" w:rsidP="00A61314">
      <w:pPr>
        <w:ind w:left="851"/>
        <w:rPr>
          <w:sz w:val="24"/>
          <w:szCs w:val="24"/>
        </w:rPr>
      </w:pPr>
      <w:r w:rsidRPr="008955A1">
        <w:rPr>
          <w:i/>
          <w:sz w:val="24"/>
          <w:szCs w:val="24"/>
        </w:rPr>
        <w:t>Nedsat nyrefunktion:</w:t>
      </w:r>
      <w:r w:rsidRPr="008955A1">
        <w:rPr>
          <w:sz w:val="24"/>
          <w:szCs w:val="24"/>
        </w:rPr>
        <w:t xml:space="preserve"> Hos raske forsøgspersoner var den renale udskillelse af uomdannet atazanavir cirka 7% af den administrerede dosis. Der foreligger ingen farmakokinetiske data for atazanavir med ritonavir hos patienter med nyreinsufficiens. Atazanavir (uden ritonavir) er blevet undersøgt hos voksne patienter med alvorligt nedsat nyrefunktion (n=20), inklusive patienter i hæmodialyse, ved multiple doser på 400 mg en gang dagligt. Selvom dette studie havde nogle begrænsninger (f.eks. blev koncentrationen af ubundet lægemiddel ikke undersøgt), antydede resultaterne at de farmakokinetiske parametre for atazanavir blev nedsat med 30 til 50% hos patienter i hæmodialysebehandling i forhold til patienter med en normal nyrefunktion. Mekanismen bag dette fald er ukendt (se pkt. 4.2 og 4.4).</w:t>
      </w:r>
    </w:p>
    <w:p w:rsidR="00A61314" w:rsidRPr="008955A1" w:rsidRDefault="00A61314" w:rsidP="00A61314">
      <w:pPr>
        <w:ind w:left="851"/>
        <w:rPr>
          <w:sz w:val="24"/>
          <w:szCs w:val="24"/>
        </w:rPr>
      </w:pPr>
    </w:p>
    <w:p w:rsidR="00A61314" w:rsidRPr="008955A1" w:rsidRDefault="00A61314" w:rsidP="00A61314">
      <w:pPr>
        <w:ind w:left="851"/>
        <w:rPr>
          <w:sz w:val="24"/>
          <w:szCs w:val="24"/>
        </w:rPr>
      </w:pPr>
      <w:r w:rsidRPr="008955A1">
        <w:rPr>
          <w:i/>
          <w:sz w:val="24"/>
          <w:szCs w:val="24"/>
        </w:rPr>
        <w:t>Nedsat leverfunktion:</w:t>
      </w:r>
      <w:r w:rsidRPr="008955A1">
        <w:rPr>
          <w:sz w:val="24"/>
          <w:szCs w:val="24"/>
        </w:rPr>
        <w:t xml:space="preserve"> Atazanavir metaboliseres og udskilles primært via leveren. Atazanavir (uden ritonavir) er blevet undersøgt hos voksne forsøgspersoner med moderat til alvorligt nedsat leverfunktion (14 forsøgspersoner med Child-Pugh klasse B og 2 forsøgspersoner med Child-Pugh klasse C) efter en enkelt 400 mg dosis. Gennemsnitlig </w:t>
      </w:r>
      <w:proofErr w:type="gramStart"/>
      <w:r w:rsidRPr="008955A1">
        <w:rPr>
          <w:sz w:val="24"/>
          <w:szCs w:val="24"/>
        </w:rPr>
        <w:t>AUC(</w:t>
      </w:r>
      <w:proofErr w:type="gramEnd"/>
      <w:r w:rsidRPr="008955A1">
        <w:rPr>
          <w:sz w:val="24"/>
          <w:szCs w:val="24"/>
        </w:rPr>
        <w:t>0-∞) var 42% højere hos forsøgspersoner med nedsat leverfunktion end hos raske forsøgspersoner. Atazanavirs gennemsnitlige halveringstid hos forsøgspersoner med nedsat leverfunktion var 12,1 timer i forhold til 6,4 timer hos raske forsøgspersoner. Betydningen af nedsat leverfunktion for farmakokinetik for atazanavir 300 mg med ritonavir er ikke undersøgt. Koncentrationerne af atazanavir med eller uden ritonavir forventes at øges hos patienter med moderat eller alvorligt nedsat leverfunktion (se pkt. 4.2, 4.3 og 4.4).</w:t>
      </w:r>
    </w:p>
    <w:p w:rsidR="00A61314" w:rsidRPr="008955A1" w:rsidRDefault="00A61314" w:rsidP="00A61314">
      <w:pPr>
        <w:ind w:left="851"/>
        <w:rPr>
          <w:sz w:val="24"/>
          <w:szCs w:val="24"/>
        </w:rPr>
      </w:pPr>
    </w:p>
    <w:p w:rsidR="00A61314" w:rsidRPr="008955A1" w:rsidRDefault="00A61314" w:rsidP="00A61314">
      <w:pPr>
        <w:ind w:left="851"/>
        <w:rPr>
          <w:sz w:val="24"/>
          <w:szCs w:val="24"/>
        </w:rPr>
      </w:pPr>
      <w:r w:rsidRPr="008955A1">
        <w:rPr>
          <w:i/>
          <w:sz w:val="24"/>
          <w:szCs w:val="24"/>
        </w:rPr>
        <w:t>Alder/køn:</w:t>
      </w:r>
      <w:r w:rsidRPr="008955A1">
        <w:rPr>
          <w:sz w:val="24"/>
          <w:szCs w:val="24"/>
        </w:rPr>
        <w:t xml:space="preserve"> Der er gennemført farmakokinetiske studier af atazanavir på 59 raske mandlige og kvindelige forsøgspersoner (29 unge, 30 ældre). Der var ingen klinisk vigtige farmakokinetiske forskelle baseret på alder eller køn.</w:t>
      </w:r>
    </w:p>
    <w:p w:rsidR="00A61314" w:rsidRPr="008955A1" w:rsidRDefault="00A61314" w:rsidP="00A61314">
      <w:pPr>
        <w:ind w:left="851"/>
        <w:rPr>
          <w:sz w:val="24"/>
          <w:szCs w:val="24"/>
        </w:rPr>
      </w:pPr>
    </w:p>
    <w:p w:rsidR="00A61314" w:rsidRPr="008955A1" w:rsidRDefault="00A61314" w:rsidP="00A61314">
      <w:pPr>
        <w:ind w:left="851"/>
        <w:rPr>
          <w:sz w:val="24"/>
          <w:szCs w:val="24"/>
        </w:rPr>
      </w:pPr>
      <w:r w:rsidRPr="008955A1">
        <w:rPr>
          <w:i/>
          <w:sz w:val="24"/>
          <w:szCs w:val="24"/>
        </w:rPr>
        <w:t>Race:</w:t>
      </w:r>
      <w:r w:rsidRPr="008955A1">
        <w:rPr>
          <w:sz w:val="24"/>
          <w:szCs w:val="24"/>
        </w:rPr>
        <w:t xml:space="preserve"> En befolkningsmæssig farmakokinetisk analyse af prøver fra fase II kliniske afprøvninger indikerede ingen racemæssig indvirkning på farmakokinetikken for atazanavir.</w:t>
      </w:r>
    </w:p>
    <w:p w:rsidR="00A61314" w:rsidRPr="008955A1" w:rsidRDefault="00A61314" w:rsidP="00A61314">
      <w:pPr>
        <w:ind w:left="851"/>
        <w:rPr>
          <w:sz w:val="24"/>
          <w:szCs w:val="24"/>
        </w:rPr>
      </w:pPr>
    </w:p>
    <w:p w:rsidR="00A61314" w:rsidRPr="008955A1" w:rsidRDefault="00A61314" w:rsidP="00A61314">
      <w:pPr>
        <w:ind w:left="851"/>
        <w:rPr>
          <w:i/>
          <w:sz w:val="24"/>
          <w:szCs w:val="24"/>
        </w:rPr>
      </w:pPr>
      <w:r w:rsidRPr="008955A1">
        <w:rPr>
          <w:i/>
          <w:sz w:val="24"/>
          <w:szCs w:val="24"/>
        </w:rPr>
        <w:t>Graviditet:</w:t>
      </w:r>
    </w:p>
    <w:p w:rsidR="00A61314" w:rsidRPr="008955A1" w:rsidRDefault="00A61314" w:rsidP="00A61314">
      <w:pPr>
        <w:ind w:left="851"/>
        <w:rPr>
          <w:sz w:val="24"/>
          <w:szCs w:val="24"/>
        </w:rPr>
      </w:pPr>
      <w:r w:rsidRPr="008955A1">
        <w:rPr>
          <w:sz w:val="24"/>
          <w:szCs w:val="24"/>
        </w:rPr>
        <w:t>De farmakokinetiske data fra HIV-smittede gravide kvinder, der fik atazanavir kapsler med ritonavir, er beskrevet i Tabel 8.</w:t>
      </w:r>
    </w:p>
    <w:p w:rsidR="00A61314" w:rsidRPr="008955A1" w:rsidRDefault="00A61314" w:rsidP="00A61314">
      <w:pPr>
        <w:ind w:left="851"/>
        <w:rPr>
          <w:sz w:val="24"/>
          <w:szCs w:val="24"/>
        </w:rPr>
      </w:pPr>
    </w:p>
    <w:p w:rsidR="00C32206" w:rsidRPr="00912B6C" w:rsidRDefault="00C32206" w:rsidP="00C32206">
      <w:pPr>
        <w:rPr>
          <w:b/>
          <w:sz w:val="24"/>
          <w:szCs w:val="24"/>
        </w:rPr>
      </w:pPr>
      <w:r w:rsidRPr="00912B6C">
        <w:rPr>
          <w:b/>
          <w:sz w:val="24"/>
          <w:szCs w:val="24"/>
        </w:rPr>
        <w:lastRenderedPageBreak/>
        <w:t>Tabel 8: Steady state farmakokinetik af atazanavir med ritonavir hos HIV-smittede gravide kvinder efter fødeindtagelse</w:t>
      </w:r>
    </w:p>
    <w:tbl>
      <w:tblPr>
        <w:tblStyle w:val="Tabel-Gitter"/>
        <w:tblW w:w="5000" w:type="pct"/>
        <w:tblInd w:w="0" w:type="dxa"/>
        <w:tblLook w:val="04A0" w:firstRow="1" w:lastRow="0" w:firstColumn="1" w:lastColumn="0" w:noHBand="0" w:noVBand="1"/>
      </w:tblPr>
      <w:tblGrid>
        <w:gridCol w:w="3099"/>
        <w:gridCol w:w="2216"/>
        <w:gridCol w:w="2216"/>
        <w:gridCol w:w="2097"/>
      </w:tblGrid>
      <w:tr w:rsidR="00C32206" w:rsidRPr="00C31425" w:rsidTr="00AE279C">
        <w:tc>
          <w:tcPr>
            <w:tcW w:w="1609" w:type="pct"/>
            <w:tcBorders>
              <w:top w:val="single" w:sz="4" w:space="0" w:color="auto"/>
              <w:left w:val="single" w:sz="4" w:space="0" w:color="auto"/>
              <w:bottom w:val="single" w:sz="4" w:space="0" w:color="auto"/>
              <w:right w:val="single" w:sz="4" w:space="0" w:color="auto"/>
            </w:tcBorders>
          </w:tcPr>
          <w:p w:rsidR="00C32206" w:rsidRPr="00912B6C" w:rsidRDefault="00C32206" w:rsidP="00AE279C">
            <w:pPr>
              <w:ind w:left="-57" w:right="-113"/>
              <w:rPr>
                <w:rFonts w:ascii="Times New Roman" w:hAnsi="Times New Roman" w:cs="Times New Roman"/>
                <w:sz w:val="22"/>
              </w:rPr>
            </w:pPr>
          </w:p>
        </w:tc>
        <w:tc>
          <w:tcPr>
            <w:tcW w:w="3391" w:type="pct"/>
            <w:gridSpan w:val="3"/>
            <w:tcBorders>
              <w:top w:val="single" w:sz="4" w:space="0" w:color="auto"/>
              <w:left w:val="single" w:sz="4" w:space="0" w:color="auto"/>
              <w:bottom w:val="single" w:sz="4" w:space="0" w:color="auto"/>
              <w:right w:val="single" w:sz="4" w:space="0" w:color="auto"/>
            </w:tcBorders>
            <w:hideMark/>
          </w:tcPr>
          <w:p w:rsidR="00C32206" w:rsidRPr="00582B2E" w:rsidRDefault="00C32206" w:rsidP="00AE279C">
            <w:pPr>
              <w:jc w:val="center"/>
              <w:rPr>
                <w:rFonts w:ascii="Times New Roman" w:hAnsi="Times New Roman" w:cs="Times New Roman"/>
                <w:b/>
                <w:sz w:val="22"/>
                <w:lang w:val="sv-SE"/>
              </w:rPr>
            </w:pPr>
            <w:r w:rsidRPr="00582B2E">
              <w:rPr>
                <w:b/>
                <w:sz w:val="22"/>
                <w:lang w:val="sv-SE"/>
              </w:rPr>
              <w:t>Atazanavir 300 mg med ritonavir 100 mg</w:t>
            </w:r>
          </w:p>
        </w:tc>
      </w:tr>
      <w:tr w:rsidR="00C32206" w:rsidRPr="00912B6C" w:rsidTr="00AE279C">
        <w:tc>
          <w:tcPr>
            <w:tcW w:w="1609" w:type="pct"/>
            <w:tcBorders>
              <w:top w:val="single" w:sz="4" w:space="0" w:color="auto"/>
              <w:left w:val="single" w:sz="4" w:space="0" w:color="auto"/>
              <w:bottom w:val="single" w:sz="4" w:space="0" w:color="auto"/>
              <w:right w:val="single" w:sz="4" w:space="0" w:color="auto"/>
            </w:tcBorders>
            <w:vAlign w:val="center"/>
            <w:hideMark/>
          </w:tcPr>
          <w:p w:rsidR="00C32206" w:rsidRPr="00912B6C" w:rsidRDefault="00C32206" w:rsidP="00AE279C">
            <w:pPr>
              <w:ind w:left="-57" w:right="-113"/>
              <w:rPr>
                <w:rFonts w:ascii="Times New Roman" w:hAnsi="Times New Roman" w:cs="Times New Roman"/>
                <w:b/>
                <w:sz w:val="22"/>
              </w:rPr>
            </w:pPr>
            <w:r w:rsidRPr="00912B6C">
              <w:rPr>
                <w:rFonts w:ascii="Times New Roman" w:hAnsi="Times New Roman" w:cs="Times New Roman"/>
                <w:b/>
                <w:sz w:val="22"/>
              </w:rPr>
              <w:t>Farmakokinetisk parameter</w:t>
            </w:r>
          </w:p>
        </w:tc>
        <w:tc>
          <w:tcPr>
            <w:tcW w:w="1151" w:type="pct"/>
            <w:tcBorders>
              <w:top w:val="single" w:sz="4" w:space="0" w:color="auto"/>
              <w:left w:val="single" w:sz="4" w:space="0" w:color="auto"/>
              <w:bottom w:val="single" w:sz="4" w:space="0" w:color="auto"/>
              <w:right w:val="single" w:sz="4" w:space="0" w:color="auto"/>
            </w:tcBorders>
            <w:hideMark/>
          </w:tcPr>
          <w:p w:rsidR="00C32206" w:rsidRPr="00912B6C" w:rsidRDefault="00C32206" w:rsidP="00AE279C">
            <w:pPr>
              <w:jc w:val="center"/>
              <w:rPr>
                <w:rFonts w:ascii="Times New Roman" w:hAnsi="Times New Roman" w:cs="Times New Roman"/>
                <w:b/>
                <w:sz w:val="22"/>
              </w:rPr>
            </w:pPr>
            <w:r w:rsidRPr="00912B6C">
              <w:rPr>
                <w:rFonts w:ascii="Times New Roman" w:hAnsi="Times New Roman" w:cs="Times New Roman"/>
                <w:b/>
                <w:sz w:val="22"/>
              </w:rPr>
              <w:t>2. trimester</w:t>
            </w:r>
          </w:p>
          <w:p w:rsidR="00C32206" w:rsidRPr="00912B6C" w:rsidRDefault="00C32206" w:rsidP="00AE279C">
            <w:pPr>
              <w:jc w:val="center"/>
              <w:rPr>
                <w:rFonts w:ascii="Times New Roman" w:hAnsi="Times New Roman" w:cs="Times New Roman"/>
                <w:sz w:val="22"/>
              </w:rPr>
            </w:pPr>
            <w:r w:rsidRPr="00912B6C">
              <w:rPr>
                <w:rFonts w:ascii="Times New Roman" w:hAnsi="Times New Roman" w:cs="Times New Roman"/>
                <w:b/>
                <w:sz w:val="22"/>
              </w:rPr>
              <w:t>(n=9)</w:t>
            </w:r>
          </w:p>
        </w:tc>
        <w:tc>
          <w:tcPr>
            <w:tcW w:w="1151" w:type="pct"/>
            <w:tcBorders>
              <w:top w:val="single" w:sz="4" w:space="0" w:color="auto"/>
              <w:left w:val="single" w:sz="4" w:space="0" w:color="auto"/>
              <w:bottom w:val="single" w:sz="4" w:space="0" w:color="auto"/>
              <w:right w:val="single" w:sz="4" w:space="0" w:color="auto"/>
            </w:tcBorders>
            <w:hideMark/>
          </w:tcPr>
          <w:p w:rsidR="00C32206" w:rsidRPr="00912B6C" w:rsidRDefault="00C32206" w:rsidP="00AE279C">
            <w:pPr>
              <w:jc w:val="center"/>
              <w:rPr>
                <w:rFonts w:ascii="Times New Roman" w:hAnsi="Times New Roman" w:cs="Times New Roman"/>
                <w:b/>
                <w:sz w:val="22"/>
              </w:rPr>
            </w:pPr>
            <w:r w:rsidRPr="00912B6C">
              <w:rPr>
                <w:rFonts w:ascii="Times New Roman" w:hAnsi="Times New Roman" w:cs="Times New Roman"/>
                <w:b/>
                <w:sz w:val="22"/>
              </w:rPr>
              <w:t>3. trimester</w:t>
            </w:r>
          </w:p>
          <w:p w:rsidR="00C32206" w:rsidRPr="00912B6C" w:rsidRDefault="00C32206" w:rsidP="00AE279C">
            <w:pPr>
              <w:jc w:val="center"/>
              <w:rPr>
                <w:rFonts w:ascii="Times New Roman" w:hAnsi="Times New Roman" w:cs="Times New Roman"/>
                <w:sz w:val="22"/>
              </w:rPr>
            </w:pPr>
            <w:r w:rsidRPr="00912B6C">
              <w:rPr>
                <w:rFonts w:ascii="Times New Roman" w:hAnsi="Times New Roman" w:cs="Times New Roman"/>
                <w:b/>
                <w:sz w:val="22"/>
              </w:rPr>
              <w:t>(n=20)</w:t>
            </w:r>
          </w:p>
        </w:tc>
        <w:tc>
          <w:tcPr>
            <w:tcW w:w="1089" w:type="pct"/>
            <w:tcBorders>
              <w:top w:val="single" w:sz="4" w:space="0" w:color="auto"/>
              <w:left w:val="single" w:sz="4" w:space="0" w:color="auto"/>
              <w:bottom w:val="single" w:sz="4" w:space="0" w:color="auto"/>
              <w:right w:val="single" w:sz="4" w:space="0" w:color="auto"/>
            </w:tcBorders>
            <w:hideMark/>
          </w:tcPr>
          <w:p w:rsidR="00C32206" w:rsidRPr="00912B6C" w:rsidRDefault="00C32206" w:rsidP="00AE279C">
            <w:pPr>
              <w:jc w:val="center"/>
              <w:rPr>
                <w:rFonts w:ascii="Times New Roman" w:hAnsi="Times New Roman" w:cs="Times New Roman"/>
                <w:b/>
                <w:sz w:val="22"/>
              </w:rPr>
            </w:pPr>
            <w:r w:rsidRPr="00912B6C">
              <w:rPr>
                <w:rFonts w:ascii="Times New Roman" w:hAnsi="Times New Roman" w:cs="Times New Roman"/>
                <w:b/>
                <w:sz w:val="22"/>
              </w:rPr>
              <w:t>Postpartum</w:t>
            </w:r>
            <w:r w:rsidRPr="00912B6C">
              <w:rPr>
                <w:rFonts w:ascii="Times New Roman" w:hAnsi="Times New Roman" w:cs="Times New Roman"/>
                <w:b/>
                <w:sz w:val="22"/>
                <w:vertAlign w:val="superscript"/>
              </w:rPr>
              <w:t>a</w:t>
            </w:r>
          </w:p>
          <w:p w:rsidR="00C32206" w:rsidRPr="00912B6C" w:rsidRDefault="00C32206" w:rsidP="00AE279C">
            <w:pPr>
              <w:jc w:val="center"/>
              <w:rPr>
                <w:rFonts w:ascii="Times New Roman" w:hAnsi="Times New Roman" w:cs="Times New Roman"/>
                <w:sz w:val="22"/>
              </w:rPr>
            </w:pPr>
            <w:r w:rsidRPr="00912B6C">
              <w:rPr>
                <w:rFonts w:ascii="Times New Roman" w:hAnsi="Times New Roman" w:cs="Times New Roman"/>
                <w:b/>
                <w:sz w:val="22"/>
              </w:rPr>
              <w:t>(n=36)</w:t>
            </w:r>
          </w:p>
        </w:tc>
      </w:tr>
      <w:tr w:rsidR="00C32206" w:rsidRPr="00912B6C" w:rsidTr="00AE279C">
        <w:tc>
          <w:tcPr>
            <w:tcW w:w="1609" w:type="pct"/>
            <w:tcBorders>
              <w:top w:val="single" w:sz="4" w:space="0" w:color="auto"/>
              <w:left w:val="single" w:sz="4" w:space="0" w:color="auto"/>
              <w:bottom w:val="single" w:sz="4" w:space="0" w:color="auto"/>
              <w:right w:val="single" w:sz="4" w:space="0" w:color="auto"/>
            </w:tcBorders>
            <w:hideMark/>
          </w:tcPr>
          <w:p w:rsidR="00C32206" w:rsidRPr="00912B6C" w:rsidRDefault="00C32206" w:rsidP="00AE279C">
            <w:pPr>
              <w:ind w:left="-57" w:right="-113"/>
              <w:rPr>
                <w:rFonts w:ascii="Times New Roman" w:hAnsi="Times New Roman" w:cs="Times New Roman"/>
                <w:sz w:val="22"/>
              </w:rPr>
            </w:pPr>
            <w:r w:rsidRPr="00912B6C">
              <w:rPr>
                <w:rFonts w:ascii="Times New Roman" w:hAnsi="Times New Roman" w:cs="Times New Roman"/>
                <w:sz w:val="22"/>
              </w:rPr>
              <w:t>C</w:t>
            </w:r>
            <w:r w:rsidRPr="00912B6C">
              <w:rPr>
                <w:rFonts w:ascii="Times New Roman" w:hAnsi="Times New Roman" w:cs="Times New Roman"/>
                <w:sz w:val="22"/>
                <w:vertAlign w:val="subscript"/>
              </w:rPr>
              <w:t>max</w:t>
            </w:r>
            <w:r w:rsidRPr="00912B6C">
              <w:rPr>
                <w:rFonts w:ascii="Times New Roman" w:hAnsi="Times New Roman" w:cs="Times New Roman"/>
                <w:sz w:val="22"/>
              </w:rPr>
              <w:t xml:space="preserve"> ng/ml</w:t>
            </w:r>
          </w:p>
          <w:p w:rsidR="00C32206" w:rsidRPr="00912B6C" w:rsidRDefault="00C32206" w:rsidP="00AE279C">
            <w:pPr>
              <w:ind w:left="-57" w:right="-113"/>
              <w:rPr>
                <w:rFonts w:ascii="Times New Roman" w:hAnsi="Times New Roman" w:cs="Times New Roman"/>
                <w:sz w:val="22"/>
              </w:rPr>
            </w:pPr>
            <w:r w:rsidRPr="00912B6C">
              <w:rPr>
                <w:rFonts w:ascii="Times New Roman" w:hAnsi="Times New Roman" w:cs="Times New Roman"/>
                <w:sz w:val="22"/>
              </w:rPr>
              <w:t>Geometrisk gennemsnit (CV%)</w:t>
            </w:r>
          </w:p>
        </w:tc>
        <w:tc>
          <w:tcPr>
            <w:tcW w:w="1151" w:type="pct"/>
            <w:tcBorders>
              <w:top w:val="single" w:sz="4" w:space="0" w:color="auto"/>
              <w:left w:val="single" w:sz="4" w:space="0" w:color="auto"/>
              <w:bottom w:val="single" w:sz="4" w:space="0" w:color="auto"/>
              <w:right w:val="single" w:sz="4" w:space="0" w:color="auto"/>
            </w:tcBorders>
            <w:hideMark/>
          </w:tcPr>
          <w:p w:rsidR="00C32206" w:rsidRPr="00912B6C" w:rsidRDefault="00C32206" w:rsidP="00AE279C">
            <w:pPr>
              <w:jc w:val="center"/>
              <w:rPr>
                <w:rFonts w:ascii="Times New Roman" w:hAnsi="Times New Roman" w:cs="Times New Roman"/>
                <w:sz w:val="22"/>
              </w:rPr>
            </w:pPr>
            <w:r w:rsidRPr="00912B6C">
              <w:rPr>
                <w:rFonts w:ascii="Times New Roman" w:hAnsi="Times New Roman" w:cs="Times New Roman"/>
                <w:sz w:val="22"/>
              </w:rPr>
              <w:t>3729,09</w:t>
            </w:r>
          </w:p>
          <w:p w:rsidR="00C32206" w:rsidRPr="00912B6C" w:rsidRDefault="00C32206" w:rsidP="00AE279C">
            <w:pPr>
              <w:jc w:val="center"/>
              <w:rPr>
                <w:rFonts w:ascii="Times New Roman" w:hAnsi="Times New Roman" w:cs="Times New Roman"/>
                <w:sz w:val="22"/>
              </w:rPr>
            </w:pPr>
            <w:r w:rsidRPr="00912B6C">
              <w:rPr>
                <w:rFonts w:ascii="Times New Roman" w:hAnsi="Times New Roman" w:cs="Times New Roman"/>
                <w:sz w:val="22"/>
              </w:rPr>
              <w:t>(39)</w:t>
            </w:r>
          </w:p>
        </w:tc>
        <w:tc>
          <w:tcPr>
            <w:tcW w:w="1151" w:type="pct"/>
            <w:tcBorders>
              <w:top w:val="single" w:sz="4" w:space="0" w:color="auto"/>
              <w:left w:val="single" w:sz="4" w:space="0" w:color="auto"/>
              <w:bottom w:val="single" w:sz="4" w:space="0" w:color="auto"/>
              <w:right w:val="single" w:sz="4" w:space="0" w:color="auto"/>
            </w:tcBorders>
            <w:hideMark/>
          </w:tcPr>
          <w:p w:rsidR="00C32206" w:rsidRPr="00912B6C" w:rsidRDefault="00C32206" w:rsidP="00AE279C">
            <w:pPr>
              <w:jc w:val="center"/>
              <w:rPr>
                <w:rFonts w:ascii="Times New Roman" w:hAnsi="Times New Roman" w:cs="Times New Roman"/>
                <w:sz w:val="22"/>
              </w:rPr>
            </w:pPr>
            <w:r w:rsidRPr="00912B6C">
              <w:rPr>
                <w:rFonts w:ascii="Times New Roman" w:hAnsi="Times New Roman" w:cs="Times New Roman"/>
                <w:sz w:val="22"/>
              </w:rPr>
              <w:t>3291,46</w:t>
            </w:r>
          </w:p>
          <w:p w:rsidR="00C32206" w:rsidRPr="00912B6C" w:rsidRDefault="00C32206" w:rsidP="00AE279C">
            <w:pPr>
              <w:jc w:val="center"/>
              <w:rPr>
                <w:rFonts w:ascii="Times New Roman" w:hAnsi="Times New Roman" w:cs="Times New Roman"/>
                <w:sz w:val="22"/>
              </w:rPr>
            </w:pPr>
            <w:r w:rsidRPr="00912B6C">
              <w:rPr>
                <w:rFonts w:ascii="Times New Roman" w:hAnsi="Times New Roman" w:cs="Times New Roman"/>
                <w:sz w:val="22"/>
              </w:rPr>
              <w:t>(48)</w:t>
            </w:r>
          </w:p>
        </w:tc>
        <w:tc>
          <w:tcPr>
            <w:tcW w:w="1089" w:type="pct"/>
            <w:tcBorders>
              <w:top w:val="single" w:sz="4" w:space="0" w:color="auto"/>
              <w:left w:val="single" w:sz="4" w:space="0" w:color="auto"/>
              <w:bottom w:val="single" w:sz="4" w:space="0" w:color="auto"/>
              <w:right w:val="single" w:sz="4" w:space="0" w:color="auto"/>
            </w:tcBorders>
            <w:hideMark/>
          </w:tcPr>
          <w:p w:rsidR="00C32206" w:rsidRPr="00912B6C" w:rsidRDefault="00C32206" w:rsidP="00AE279C">
            <w:pPr>
              <w:jc w:val="center"/>
              <w:rPr>
                <w:rFonts w:ascii="Times New Roman" w:hAnsi="Times New Roman" w:cs="Times New Roman"/>
                <w:sz w:val="22"/>
              </w:rPr>
            </w:pPr>
            <w:r w:rsidRPr="00912B6C">
              <w:rPr>
                <w:rFonts w:ascii="Times New Roman" w:hAnsi="Times New Roman" w:cs="Times New Roman"/>
                <w:sz w:val="22"/>
              </w:rPr>
              <w:t>5649,10</w:t>
            </w:r>
          </w:p>
          <w:p w:rsidR="00C32206" w:rsidRPr="00912B6C" w:rsidRDefault="00C32206" w:rsidP="00AE279C">
            <w:pPr>
              <w:jc w:val="center"/>
              <w:rPr>
                <w:rFonts w:ascii="Times New Roman" w:hAnsi="Times New Roman" w:cs="Times New Roman"/>
                <w:sz w:val="22"/>
              </w:rPr>
            </w:pPr>
            <w:r w:rsidRPr="00912B6C">
              <w:rPr>
                <w:rFonts w:ascii="Times New Roman" w:hAnsi="Times New Roman" w:cs="Times New Roman"/>
                <w:sz w:val="22"/>
              </w:rPr>
              <w:t>(31)</w:t>
            </w:r>
          </w:p>
        </w:tc>
      </w:tr>
      <w:tr w:rsidR="00C32206" w:rsidRPr="00912B6C" w:rsidTr="00AE279C">
        <w:tc>
          <w:tcPr>
            <w:tcW w:w="1609" w:type="pct"/>
            <w:tcBorders>
              <w:top w:val="single" w:sz="4" w:space="0" w:color="auto"/>
              <w:left w:val="single" w:sz="4" w:space="0" w:color="auto"/>
              <w:bottom w:val="single" w:sz="4" w:space="0" w:color="auto"/>
              <w:right w:val="single" w:sz="4" w:space="0" w:color="auto"/>
            </w:tcBorders>
            <w:hideMark/>
          </w:tcPr>
          <w:p w:rsidR="00C32206" w:rsidRPr="00912B6C" w:rsidRDefault="00C32206" w:rsidP="00AE279C">
            <w:pPr>
              <w:ind w:left="-57" w:right="-113"/>
              <w:rPr>
                <w:rFonts w:ascii="Times New Roman" w:hAnsi="Times New Roman" w:cs="Times New Roman"/>
                <w:sz w:val="22"/>
              </w:rPr>
            </w:pPr>
            <w:r w:rsidRPr="00912B6C">
              <w:rPr>
                <w:rFonts w:ascii="Times New Roman" w:hAnsi="Times New Roman" w:cs="Times New Roman"/>
                <w:sz w:val="22"/>
              </w:rPr>
              <w:t>AUC ng•time/ml</w:t>
            </w:r>
          </w:p>
          <w:p w:rsidR="00C32206" w:rsidRPr="00912B6C" w:rsidRDefault="00C32206" w:rsidP="00AE279C">
            <w:pPr>
              <w:ind w:left="-57" w:right="-113"/>
              <w:rPr>
                <w:rFonts w:ascii="Times New Roman" w:hAnsi="Times New Roman" w:cs="Times New Roman"/>
                <w:sz w:val="22"/>
              </w:rPr>
            </w:pPr>
            <w:r w:rsidRPr="00912B6C">
              <w:rPr>
                <w:rFonts w:ascii="Times New Roman" w:hAnsi="Times New Roman" w:cs="Times New Roman"/>
                <w:sz w:val="22"/>
              </w:rPr>
              <w:t>Geometrisk gennemsnit (CV%)</w:t>
            </w:r>
          </w:p>
        </w:tc>
        <w:tc>
          <w:tcPr>
            <w:tcW w:w="1151" w:type="pct"/>
            <w:tcBorders>
              <w:top w:val="single" w:sz="4" w:space="0" w:color="auto"/>
              <w:left w:val="single" w:sz="4" w:space="0" w:color="auto"/>
              <w:bottom w:val="single" w:sz="4" w:space="0" w:color="auto"/>
              <w:right w:val="single" w:sz="4" w:space="0" w:color="auto"/>
            </w:tcBorders>
            <w:hideMark/>
          </w:tcPr>
          <w:p w:rsidR="00C32206" w:rsidRPr="00912B6C" w:rsidRDefault="00C32206" w:rsidP="00AE279C">
            <w:pPr>
              <w:jc w:val="center"/>
              <w:rPr>
                <w:rFonts w:ascii="Times New Roman" w:hAnsi="Times New Roman" w:cs="Times New Roman"/>
                <w:sz w:val="22"/>
              </w:rPr>
            </w:pPr>
            <w:r w:rsidRPr="00912B6C">
              <w:rPr>
                <w:rFonts w:ascii="Times New Roman" w:hAnsi="Times New Roman" w:cs="Times New Roman"/>
                <w:sz w:val="22"/>
              </w:rPr>
              <w:t>34399,1</w:t>
            </w:r>
          </w:p>
          <w:p w:rsidR="00C32206" w:rsidRPr="00912B6C" w:rsidRDefault="00C32206" w:rsidP="00AE279C">
            <w:pPr>
              <w:jc w:val="center"/>
              <w:rPr>
                <w:rFonts w:ascii="Times New Roman" w:hAnsi="Times New Roman" w:cs="Times New Roman"/>
                <w:sz w:val="22"/>
              </w:rPr>
            </w:pPr>
            <w:r w:rsidRPr="00912B6C">
              <w:rPr>
                <w:rFonts w:ascii="Times New Roman" w:hAnsi="Times New Roman" w:cs="Times New Roman"/>
                <w:sz w:val="22"/>
              </w:rPr>
              <w:t>(37)</w:t>
            </w:r>
          </w:p>
        </w:tc>
        <w:tc>
          <w:tcPr>
            <w:tcW w:w="1151" w:type="pct"/>
            <w:tcBorders>
              <w:top w:val="single" w:sz="4" w:space="0" w:color="auto"/>
              <w:left w:val="single" w:sz="4" w:space="0" w:color="auto"/>
              <w:bottom w:val="single" w:sz="4" w:space="0" w:color="auto"/>
              <w:right w:val="single" w:sz="4" w:space="0" w:color="auto"/>
            </w:tcBorders>
            <w:hideMark/>
          </w:tcPr>
          <w:p w:rsidR="00C32206" w:rsidRPr="00912B6C" w:rsidRDefault="00C32206" w:rsidP="00AE279C">
            <w:pPr>
              <w:jc w:val="center"/>
              <w:rPr>
                <w:rFonts w:ascii="Times New Roman" w:hAnsi="Times New Roman" w:cs="Times New Roman"/>
                <w:sz w:val="22"/>
              </w:rPr>
            </w:pPr>
            <w:r w:rsidRPr="00912B6C">
              <w:rPr>
                <w:rFonts w:ascii="Times New Roman" w:hAnsi="Times New Roman" w:cs="Times New Roman"/>
                <w:sz w:val="22"/>
              </w:rPr>
              <w:t>34251,5</w:t>
            </w:r>
          </w:p>
          <w:p w:rsidR="00C32206" w:rsidRPr="00912B6C" w:rsidRDefault="00C32206" w:rsidP="00AE279C">
            <w:pPr>
              <w:jc w:val="center"/>
              <w:rPr>
                <w:rFonts w:ascii="Times New Roman" w:hAnsi="Times New Roman" w:cs="Times New Roman"/>
                <w:sz w:val="22"/>
              </w:rPr>
            </w:pPr>
            <w:r w:rsidRPr="00912B6C">
              <w:rPr>
                <w:rFonts w:ascii="Times New Roman" w:hAnsi="Times New Roman" w:cs="Times New Roman"/>
                <w:sz w:val="22"/>
              </w:rPr>
              <w:t>(43)</w:t>
            </w:r>
          </w:p>
        </w:tc>
        <w:tc>
          <w:tcPr>
            <w:tcW w:w="1089" w:type="pct"/>
            <w:tcBorders>
              <w:top w:val="single" w:sz="4" w:space="0" w:color="auto"/>
              <w:left w:val="single" w:sz="4" w:space="0" w:color="auto"/>
              <w:bottom w:val="single" w:sz="4" w:space="0" w:color="auto"/>
              <w:right w:val="single" w:sz="4" w:space="0" w:color="auto"/>
            </w:tcBorders>
            <w:hideMark/>
          </w:tcPr>
          <w:p w:rsidR="00C32206" w:rsidRPr="00912B6C" w:rsidRDefault="00C32206" w:rsidP="00AE279C">
            <w:pPr>
              <w:jc w:val="center"/>
              <w:rPr>
                <w:rFonts w:ascii="Times New Roman" w:hAnsi="Times New Roman" w:cs="Times New Roman"/>
                <w:sz w:val="22"/>
              </w:rPr>
            </w:pPr>
            <w:r w:rsidRPr="00912B6C">
              <w:rPr>
                <w:rFonts w:ascii="Times New Roman" w:hAnsi="Times New Roman" w:cs="Times New Roman"/>
                <w:sz w:val="22"/>
              </w:rPr>
              <w:t>60532,7</w:t>
            </w:r>
          </w:p>
          <w:p w:rsidR="00C32206" w:rsidRPr="00912B6C" w:rsidRDefault="00C32206" w:rsidP="00AE279C">
            <w:pPr>
              <w:jc w:val="center"/>
              <w:rPr>
                <w:rFonts w:ascii="Times New Roman" w:hAnsi="Times New Roman" w:cs="Times New Roman"/>
                <w:sz w:val="22"/>
              </w:rPr>
            </w:pPr>
            <w:r w:rsidRPr="00912B6C">
              <w:rPr>
                <w:rFonts w:ascii="Times New Roman" w:hAnsi="Times New Roman" w:cs="Times New Roman"/>
                <w:sz w:val="22"/>
              </w:rPr>
              <w:t>(33)</w:t>
            </w:r>
          </w:p>
        </w:tc>
      </w:tr>
      <w:tr w:rsidR="00C32206" w:rsidRPr="00912B6C" w:rsidTr="00AE279C">
        <w:tc>
          <w:tcPr>
            <w:tcW w:w="1609" w:type="pct"/>
            <w:tcBorders>
              <w:top w:val="single" w:sz="4" w:space="0" w:color="auto"/>
              <w:left w:val="single" w:sz="4" w:space="0" w:color="auto"/>
              <w:bottom w:val="single" w:sz="4" w:space="0" w:color="auto"/>
              <w:right w:val="single" w:sz="4" w:space="0" w:color="auto"/>
            </w:tcBorders>
            <w:hideMark/>
          </w:tcPr>
          <w:p w:rsidR="00C32206" w:rsidRPr="00912B6C" w:rsidRDefault="00C32206" w:rsidP="00AE279C">
            <w:pPr>
              <w:ind w:left="-57" w:right="-113"/>
              <w:rPr>
                <w:rFonts w:ascii="Times New Roman" w:hAnsi="Times New Roman" w:cs="Times New Roman"/>
                <w:sz w:val="22"/>
                <w:vertAlign w:val="superscript"/>
              </w:rPr>
            </w:pPr>
            <w:r w:rsidRPr="00912B6C">
              <w:rPr>
                <w:rFonts w:ascii="Times New Roman" w:hAnsi="Times New Roman" w:cs="Times New Roman"/>
                <w:sz w:val="22"/>
              </w:rPr>
              <w:t>C</w:t>
            </w:r>
            <w:r w:rsidRPr="00912B6C">
              <w:rPr>
                <w:rFonts w:ascii="Times New Roman" w:hAnsi="Times New Roman" w:cs="Times New Roman"/>
                <w:sz w:val="22"/>
                <w:vertAlign w:val="subscript"/>
              </w:rPr>
              <w:t>min</w:t>
            </w:r>
            <w:r w:rsidRPr="00912B6C">
              <w:rPr>
                <w:rFonts w:ascii="Times New Roman" w:hAnsi="Times New Roman" w:cs="Times New Roman"/>
                <w:sz w:val="22"/>
              </w:rPr>
              <w:t xml:space="preserve"> ng/ml</w:t>
            </w:r>
            <w:r w:rsidRPr="00912B6C">
              <w:rPr>
                <w:rFonts w:ascii="Times New Roman" w:hAnsi="Times New Roman" w:cs="Times New Roman"/>
                <w:sz w:val="22"/>
                <w:vertAlign w:val="superscript"/>
              </w:rPr>
              <w:t>b</w:t>
            </w:r>
          </w:p>
          <w:p w:rsidR="00C32206" w:rsidRPr="00912B6C" w:rsidRDefault="00C32206" w:rsidP="00AE279C">
            <w:pPr>
              <w:ind w:left="-57" w:right="-113"/>
              <w:rPr>
                <w:rFonts w:ascii="Times New Roman" w:hAnsi="Times New Roman" w:cs="Times New Roman"/>
                <w:sz w:val="22"/>
              </w:rPr>
            </w:pPr>
            <w:r w:rsidRPr="00912B6C">
              <w:rPr>
                <w:rFonts w:ascii="Times New Roman" w:hAnsi="Times New Roman" w:cs="Times New Roman"/>
                <w:sz w:val="22"/>
              </w:rPr>
              <w:t>Geometrisk gennemsnit (CV%)</w:t>
            </w:r>
          </w:p>
        </w:tc>
        <w:tc>
          <w:tcPr>
            <w:tcW w:w="1151" w:type="pct"/>
            <w:tcBorders>
              <w:top w:val="single" w:sz="4" w:space="0" w:color="auto"/>
              <w:left w:val="single" w:sz="4" w:space="0" w:color="auto"/>
              <w:bottom w:val="single" w:sz="4" w:space="0" w:color="auto"/>
              <w:right w:val="single" w:sz="4" w:space="0" w:color="auto"/>
            </w:tcBorders>
            <w:hideMark/>
          </w:tcPr>
          <w:p w:rsidR="00C32206" w:rsidRPr="00912B6C" w:rsidRDefault="00C32206" w:rsidP="00AE279C">
            <w:pPr>
              <w:jc w:val="center"/>
              <w:rPr>
                <w:rFonts w:ascii="Times New Roman" w:hAnsi="Times New Roman" w:cs="Times New Roman"/>
                <w:sz w:val="22"/>
              </w:rPr>
            </w:pPr>
            <w:r w:rsidRPr="00912B6C">
              <w:rPr>
                <w:rFonts w:ascii="Times New Roman" w:hAnsi="Times New Roman" w:cs="Times New Roman"/>
                <w:sz w:val="22"/>
              </w:rPr>
              <w:t>663,78</w:t>
            </w:r>
          </w:p>
          <w:p w:rsidR="00C32206" w:rsidRPr="00912B6C" w:rsidRDefault="00C32206" w:rsidP="00AE279C">
            <w:pPr>
              <w:jc w:val="center"/>
              <w:rPr>
                <w:rFonts w:ascii="Times New Roman" w:hAnsi="Times New Roman" w:cs="Times New Roman"/>
                <w:sz w:val="22"/>
              </w:rPr>
            </w:pPr>
            <w:r w:rsidRPr="00912B6C">
              <w:rPr>
                <w:rFonts w:ascii="Times New Roman" w:hAnsi="Times New Roman" w:cs="Times New Roman"/>
                <w:sz w:val="22"/>
              </w:rPr>
              <w:t>(36)</w:t>
            </w:r>
          </w:p>
        </w:tc>
        <w:tc>
          <w:tcPr>
            <w:tcW w:w="1151" w:type="pct"/>
            <w:tcBorders>
              <w:top w:val="single" w:sz="4" w:space="0" w:color="auto"/>
              <w:left w:val="single" w:sz="4" w:space="0" w:color="auto"/>
              <w:bottom w:val="single" w:sz="4" w:space="0" w:color="auto"/>
              <w:right w:val="single" w:sz="4" w:space="0" w:color="auto"/>
            </w:tcBorders>
            <w:hideMark/>
          </w:tcPr>
          <w:p w:rsidR="00C32206" w:rsidRPr="00912B6C" w:rsidRDefault="00C32206" w:rsidP="00AE279C">
            <w:pPr>
              <w:jc w:val="center"/>
              <w:rPr>
                <w:rFonts w:ascii="Times New Roman" w:hAnsi="Times New Roman" w:cs="Times New Roman"/>
                <w:sz w:val="22"/>
              </w:rPr>
            </w:pPr>
            <w:r w:rsidRPr="00912B6C">
              <w:rPr>
                <w:rFonts w:ascii="Times New Roman" w:hAnsi="Times New Roman" w:cs="Times New Roman"/>
                <w:sz w:val="22"/>
              </w:rPr>
              <w:t>668,48</w:t>
            </w:r>
          </w:p>
          <w:p w:rsidR="00C32206" w:rsidRPr="00912B6C" w:rsidRDefault="00C32206" w:rsidP="00AE279C">
            <w:pPr>
              <w:jc w:val="center"/>
              <w:rPr>
                <w:rFonts w:ascii="Times New Roman" w:hAnsi="Times New Roman" w:cs="Times New Roman"/>
                <w:sz w:val="22"/>
              </w:rPr>
            </w:pPr>
            <w:r w:rsidRPr="00912B6C">
              <w:rPr>
                <w:rFonts w:ascii="Times New Roman" w:hAnsi="Times New Roman" w:cs="Times New Roman"/>
                <w:sz w:val="22"/>
              </w:rPr>
              <w:t>(50)</w:t>
            </w:r>
          </w:p>
        </w:tc>
        <w:tc>
          <w:tcPr>
            <w:tcW w:w="1089" w:type="pct"/>
            <w:tcBorders>
              <w:top w:val="single" w:sz="4" w:space="0" w:color="auto"/>
              <w:left w:val="single" w:sz="4" w:space="0" w:color="auto"/>
              <w:bottom w:val="single" w:sz="4" w:space="0" w:color="auto"/>
              <w:right w:val="single" w:sz="4" w:space="0" w:color="auto"/>
            </w:tcBorders>
            <w:hideMark/>
          </w:tcPr>
          <w:p w:rsidR="00C32206" w:rsidRPr="00912B6C" w:rsidRDefault="00C32206" w:rsidP="00AE279C">
            <w:pPr>
              <w:jc w:val="center"/>
              <w:rPr>
                <w:rFonts w:ascii="Times New Roman" w:hAnsi="Times New Roman" w:cs="Times New Roman"/>
                <w:sz w:val="22"/>
              </w:rPr>
            </w:pPr>
            <w:r w:rsidRPr="00912B6C">
              <w:rPr>
                <w:rFonts w:ascii="Times New Roman" w:hAnsi="Times New Roman" w:cs="Times New Roman"/>
                <w:sz w:val="22"/>
              </w:rPr>
              <w:t>1420,64</w:t>
            </w:r>
          </w:p>
          <w:p w:rsidR="00C32206" w:rsidRPr="00912B6C" w:rsidRDefault="00C32206" w:rsidP="00AE279C">
            <w:pPr>
              <w:jc w:val="center"/>
              <w:rPr>
                <w:rFonts w:ascii="Times New Roman" w:hAnsi="Times New Roman" w:cs="Times New Roman"/>
                <w:sz w:val="22"/>
              </w:rPr>
            </w:pPr>
            <w:r w:rsidRPr="00912B6C">
              <w:rPr>
                <w:rFonts w:ascii="Times New Roman" w:hAnsi="Times New Roman" w:cs="Times New Roman"/>
                <w:sz w:val="22"/>
              </w:rPr>
              <w:t>(47)</w:t>
            </w:r>
          </w:p>
        </w:tc>
      </w:tr>
    </w:tbl>
    <w:p w:rsidR="00C32206" w:rsidRDefault="00C32206" w:rsidP="00C32206">
      <w:pPr>
        <w:rPr>
          <w:sz w:val="18"/>
          <w:szCs w:val="22"/>
        </w:rPr>
      </w:pPr>
      <w:r>
        <w:rPr>
          <w:sz w:val="18"/>
          <w:vertAlign w:val="superscript"/>
        </w:rPr>
        <w:t>a</w:t>
      </w:r>
      <w:r>
        <w:rPr>
          <w:sz w:val="18"/>
        </w:rPr>
        <w:t xml:space="preserve"> Atazanavirs maksimumkoncentration og AUC var ca. 26-40% højere i post partum perioden (4-12 uger) end observeret historisk hos HIV-smittede, ikke-gravide patienter. Atazanavirs minimumkoncentration var ca. 2 gange højere i postpartum perioden sammenlignet med værdierne observeret historisk hos HIV-smittede ikke-gravide patienter.</w:t>
      </w:r>
    </w:p>
    <w:p w:rsidR="00C32206" w:rsidRDefault="00C32206" w:rsidP="00C32206">
      <w:pPr>
        <w:rPr>
          <w:sz w:val="18"/>
        </w:rPr>
      </w:pPr>
      <w:r>
        <w:rPr>
          <w:sz w:val="18"/>
          <w:vertAlign w:val="superscript"/>
        </w:rPr>
        <w:t>b</w:t>
      </w:r>
      <w:r>
        <w:rPr>
          <w:sz w:val="18"/>
        </w:rPr>
        <w:t xml:space="preserve"> C</w:t>
      </w:r>
      <w:r>
        <w:rPr>
          <w:sz w:val="18"/>
          <w:vertAlign w:val="subscript"/>
        </w:rPr>
        <w:t>min</w:t>
      </w:r>
      <w:r>
        <w:rPr>
          <w:sz w:val="18"/>
        </w:rPr>
        <w:t xml:space="preserve"> er koncentrationen 24 timer efter dosering.</w:t>
      </w:r>
    </w:p>
    <w:p w:rsidR="00A61314" w:rsidRDefault="00A61314" w:rsidP="00A61314">
      <w:pPr>
        <w:rPr>
          <w:sz w:val="22"/>
        </w:rPr>
      </w:pPr>
    </w:p>
    <w:p w:rsidR="00A61314" w:rsidRPr="007D5ADC" w:rsidRDefault="00A61314" w:rsidP="00A61314">
      <w:pPr>
        <w:ind w:left="851"/>
        <w:rPr>
          <w:i/>
          <w:sz w:val="24"/>
          <w:szCs w:val="24"/>
        </w:rPr>
      </w:pPr>
      <w:r w:rsidRPr="007D5ADC">
        <w:rPr>
          <w:i/>
          <w:sz w:val="24"/>
          <w:szCs w:val="24"/>
        </w:rPr>
        <w:t>Pædiatrisk population</w:t>
      </w:r>
    </w:p>
    <w:p w:rsidR="00A61314" w:rsidRPr="007D5ADC" w:rsidRDefault="00A61314" w:rsidP="00A61314">
      <w:pPr>
        <w:ind w:left="851"/>
        <w:rPr>
          <w:sz w:val="24"/>
          <w:szCs w:val="24"/>
        </w:rPr>
      </w:pPr>
      <w:r w:rsidRPr="007D5ADC">
        <w:rPr>
          <w:sz w:val="24"/>
          <w:szCs w:val="24"/>
        </w:rPr>
        <w:t>Der er en lille tendens til højere clearance hos yngre børn, når der korrigeres for legemsvægt. Som følge heraf ses et større peak/trough-forhold. Den geometriske middeleksponering for atazanavir (C</w:t>
      </w:r>
      <w:r w:rsidRPr="007D5ADC">
        <w:rPr>
          <w:sz w:val="24"/>
          <w:szCs w:val="24"/>
          <w:vertAlign w:val="subscript"/>
        </w:rPr>
        <w:t>min</w:t>
      </w:r>
      <w:r w:rsidRPr="007D5ADC">
        <w:rPr>
          <w:sz w:val="24"/>
          <w:szCs w:val="24"/>
        </w:rPr>
        <w:t>, C</w:t>
      </w:r>
      <w:r w:rsidRPr="007D5ADC">
        <w:rPr>
          <w:sz w:val="24"/>
          <w:szCs w:val="24"/>
          <w:vertAlign w:val="subscript"/>
        </w:rPr>
        <w:t>max</w:t>
      </w:r>
      <w:r w:rsidRPr="007D5ADC">
        <w:rPr>
          <w:sz w:val="24"/>
          <w:szCs w:val="24"/>
        </w:rPr>
        <w:t xml:space="preserve"> og AUC) ved den anbefalede dosering forventes imidlertid at være den samme hos pædiatriske patienter, som er observeret hos voksne.</w:t>
      </w:r>
    </w:p>
    <w:p w:rsidR="00A61314" w:rsidRPr="00C84483" w:rsidRDefault="00A61314" w:rsidP="00A61314">
      <w:pPr>
        <w:tabs>
          <w:tab w:val="left" w:pos="851"/>
        </w:tabs>
        <w:ind w:left="851"/>
        <w:rPr>
          <w:sz w:val="24"/>
          <w:szCs w:val="24"/>
        </w:rPr>
      </w:pPr>
    </w:p>
    <w:p w:rsidR="00A61314" w:rsidRPr="00C84483" w:rsidRDefault="00A61314" w:rsidP="00A61314">
      <w:pPr>
        <w:tabs>
          <w:tab w:val="left" w:pos="851"/>
        </w:tabs>
        <w:ind w:left="851" w:hanging="851"/>
        <w:rPr>
          <w:b/>
          <w:sz w:val="24"/>
          <w:szCs w:val="24"/>
        </w:rPr>
      </w:pPr>
      <w:r w:rsidRPr="00C84483">
        <w:rPr>
          <w:b/>
          <w:sz w:val="24"/>
          <w:szCs w:val="24"/>
        </w:rPr>
        <w:t>5.3</w:t>
      </w:r>
      <w:r w:rsidRPr="00C84483">
        <w:rPr>
          <w:b/>
          <w:sz w:val="24"/>
          <w:szCs w:val="24"/>
        </w:rPr>
        <w:tab/>
      </w:r>
      <w:r w:rsidR="00B1422A">
        <w:rPr>
          <w:b/>
          <w:sz w:val="24"/>
          <w:szCs w:val="24"/>
        </w:rPr>
        <w:t>Non-</w:t>
      </w:r>
      <w:r w:rsidRPr="00C84483">
        <w:rPr>
          <w:b/>
          <w:sz w:val="24"/>
          <w:szCs w:val="24"/>
        </w:rPr>
        <w:t>kliniske sikkerhedsdata</w:t>
      </w:r>
    </w:p>
    <w:p w:rsidR="00A61314" w:rsidRPr="007D5ADC" w:rsidRDefault="00A61314" w:rsidP="00A61314">
      <w:pPr>
        <w:ind w:left="851"/>
        <w:rPr>
          <w:sz w:val="24"/>
          <w:szCs w:val="24"/>
        </w:rPr>
      </w:pPr>
      <w:r w:rsidRPr="007D5ADC">
        <w:rPr>
          <w:sz w:val="24"/>
          <w:szCs w:val="24"/>
        </w:rPr>
        <w:t xml:space="preserve">I toksicitetsstudier med gentagne doser på mus, rotter og hunde var atazanavirrelaterede fund generelt begrænset til leveren og omfattede generelt minimale til milde forhøjelser af serum bilirubin og leverenzymer, hepatocellulær vacuolation og hypertrofi, og kun i hunmus hepatisk enkeltcellenekrose. Systemisk optagelse af atazanavir i mus (hanner), rotter og hunde ved doser forbundet med leverforandringer, var mindst den samme som den, der blev observeret hos mennesker, der kun havde fået 400 mg én gang dagligt. I hunmus var atazanaviroptagelsen ved en dosis, der frembragte enkeltcellenekrose, 12 gange optagelsen hos mennesker, der havde fået 400 mg én gang dagligt. Serum-kolesterol og glucose var minimalt til let forhøjet hos rotter, men ikke hos mus eller hunde. </w:t>
      </w:r>
    </w:p>
    <w:p w:rsidR="00A61314" w:rsidRPr="007D5ADC" w:rsidRDefault="00A61314" w:rsidP="00A61314">
      <w:pPr>
        <w:ind w:left="851"/>
        <w:rPr>
          <w:sz w:val="24"/>
          <w:szCs w:val="24"/>
        </w:rPr>
      </w:pPr>
    </w:p>
    <w:p w:rsidR="00A61314" w:rsidRPr="007D5ADC" w:rsidRDefault="00A61314" w:rsidP="00A61314">
      <w:pPr>
        <w:ind w:left="851"/>
        <w:rPr>
          <w:sz w:val="24"/>
          <w:szCs w:val="24"/>
        </w:rPr>
      </w:pPr>
      <w:r w:rsidRPr="007D5ADC">
        <w:rPr>
          <w:sz w:val="24"/>
          <w:szCs w:val="24"/>
        </w:rPr>
        <w:t>Den klonede, humane kardielle kaliumkanal, hERG, blev hæmmet med 15% i in vitro-studier ved en koncentration (30 µM) af atazanavir svarende til 30 gange den frie lægemiddelkoncentration ved C</w:t>
      </w:r>
      <w:r w:rsidRPr="007D5ADC">
        <w:rPr>
          <w:sz w:val="24"/>
          <w:szCs w:val="24"/>
          <w:vertAlign w:val="subscript"/>
        </w:rPr>
        <w:t xml:space="preserve">max </w:t>
      </w:r>
      <w:r w:rsidRPr="007D5ADC">
        <w:rPr>
          <w:sz w:val="24"/>
          <w:szCs w:val="24"/>
        </w:rPr>
        <w:t>hos mennesker. Tilsvarende atazanavirkoncentrationer øgede den potentielle virkningsvarighed (ADP90) med 13% i et studie af Purkinjefibre hos kaniner. Elektrokardiografiske forandringer (sinusbradykardi, forlængelse af PR- interval, forlængelse af QT-interval og forlængelse af QRS-kompleks) blev kun observeret i en indledende 2-ugers oral toksicitetsstudie udført på hunde. Efterfølgende 9 måneders orale toksicitetsstudier af hunde viste ingen lægemiddelrelaterede elektrokardiografiske forandringer. Den kliniske relevans af disse prækliniske data er ukendt. Potentielle kardielle virkninger ved dette produkt hos mennesker kan ikke udelukkes (se pkt. 4.4 og 4.8). Potentialet for PR-forlængelse bør tages i betragtning i tilfælde af overdosering (se pkt. 4.9).</w:t>
      </w:r>
    </w:p>
    <w:p w:rsidR="00A61314" w:rsidRPr="007D5ADC" w:rsidRDefault="00A61314" w:rsidP="00A61314">
      <w:pPr>
        <w:ind w:left="851"/>
        <w:rPr>
          <w:sz w:val="24"/>
          <w:szCs w:val="24"/>
        </w:rPr>
      </w:pPr>
    </w:p>
    <w:p w:rsidR="00A61314" w:rsidRPr="007D5ADC" w:rsidRDefault="00A61314" w:rsidP="00A61314">
      <w:pPr>
        <w:ind w:left="851"/>
        <w:rPr>
          <w:sz w:val="24"/>
          <w:szCs w:val="24"/>
        </w:rPr>
      </w:pPr>
      <w:r w:rsidRPr="007D5ADC">
        <w:rPr>
          <w:sz w:val="24"/>
          <w:szCs w:val="24"/>
        </w:rPr>
        <w:t xml:space="preserve">I et studie af fertilitet og tidlig fosterudvikling hos rotter ændrede atazanavir brunstcyklus uden nogen effekt på parring eller fertilitet. Der sås ingen teratogen effekt hos rotter eller kaniner ved maternelle toksiske doser. Der sås hos drægtige kaniner omfattende læsioner i mave og tarm hos døde eller moribunde hunner ved maternelle doser 2 og 4 gange den højeste dosis administreret i den endelige fosterudviklingsstudie. I den præ- og postnatale </w:t>
      </w:r>
      <w:r w:rsidRPr="007D5ADC">
        <w:rPr>
          <w:sz w:val="24"/>
          <w:szCs w:val="24"/>
        </w:rPr>
        <w:lastRenderedPageBreak/>
        <w:t>udviklingsvurdering hos rotter, frembragte atazanavir en forbigående reduktion i legemsvægten hos afkommet ved en maternel toksisk dosis. Systemisk optagelse af atazanavir i doser, der medførte maternel toksicitet, var mindst lig med, eller en anelse større end den, der blev observeret hos mennesker, der fik 400 mg én gang dagligt.</w:t>
      </w:r>
    </w:p>
    <w:p w:rsidR="00A61314" w:rsidRPr="007D5ADC" w:rsidRDefault="00A61314" w:rsidP="00A61314">
      <w:pPr>
        <w:ind w:left="851"/>
        <w:rPr>
          <w:sz w:val="24"/>
          <w:szCs w:val="24"/>
        </w:rPr>
      </w:pPr>
    </w:p>
    <w:p w:rsidR="00A61314" w:rsidRPr="007D5ADC" w:rsidRDefault="00A61314" w:rsidP="00A61314">
      <w:pPr>
        <w:ind w:left="851"/>
        <w:rPr>
          <w:sz w:val="24"/>
          <w:szCs w:val="24"/>
        </w:rPr>
      </w:pPr>
      <w:r w:rsidRPr="007D5ADC">
        <w:rPr>
          <w:sz w:val="24"/>
          <w:szCs w:val="24"/>
        </w:rPr>
        <w:t xml:space="preserve">Atazanavir var negativ i Ames reverse-mutationsbestemmelse, men inducerede kromosomale afvigelser </w:t>
      </w:r>
      <w:r w:rsidRPr="007D5ADC">
        <w:rPr>
          <w:i/>
          <w:sz w:val="24"/>
          <w:szCs w:val="24"/>
        </w:rPr>
        <w:t>in vitro</w:t>
      </w:r>
      <w:r w:rsidRPr="007D5ADC">
        <w:rPr>
          <w:sz w:val="24"/>
          <w:szCs w:val="24"/>
        </w:rPr>
        <w:t xml:space="preserve"> både ved fravær og tilstedeværelse af metabolisk aktivering. I </w:t>
      </w:r>
      <w:r w:rsidRPr="007D5ADC">
        <w:rPr>
          <w:i/>
          <w:sz w:val="24"/>
          <w:szCs w:val="24"/>
        </w:rPr>
        <w:t>in vivo</w:t>
      </w:r>
      <w:r w:rsidRPr="007D5ADC">
        <w:rPr>
          <w:sz w:val="24"/>
          <w:szCs w:val="24"/>
        </w:rPr>
        <w:t xml:space="preserve">-studier hos rotter inducerede atazanavir ikke mikronukleus i knoglemarv, dna-beskadigelse i duodenum (comet assay) eller uplanlagt dna-reparation i leveren ved plasma- og vævskoncentrationer, der overskrider dem, der var klastogene </w:t>
      </w:r>
      <w:r w:rsidRPr="007D5ADC">
        <w:rPr>
          <w:i/>
          <w:sz w:val="24"/>
          <w:szCs w:val="24"/>
        </w:rPr>
        <w:t>in vitro</w:t>
      </w:r>
      <w:r w:rsidRPr="007D5ADC">
        <w:rPr>
          <w:sz w:val="24"/>
          <w:szCs w:val="24"/>
        </w:rPr>
        <w:t>.</w:t>
      </w:r>
    </w:p>
    <w:p w:rsidR="00A61314" w:rsidRPr="007D5ADC" w:rsidRDefault="00A61314" w:rsidP="00A61314">
      <w:pPr>
        <w:ind w:left="851"/>
        <w:rPr>
          <w:sz w:val="24"/>
          <w:szCs w:val="24"/>
        </w:rPr>
      </w:pPr>
    </w:p>
    <w:p w:rsidR="00A61314" w:rsidRPr="007D5ADC" w:rsidRDefault="00A61314" w:rsidP="00A61314">
      <w:pPr>
        <w:ind w:left="851"/>
        <w:rPr>
          <w:sz w:val="24"/>
          <w:szCs w:val="24"/>
        </w:rPr>
      </w:pPr>
      <w:r w:rsidRPr="007D5ADC">
        <w:rPr>
          <w:sz w:val="24"/>
          <w:szCs w:val="24"/>
        </w:rPr>
        <w:t>Der er i længerevarende studier af karcinogenecitet af atazanavir hos mus og rotter set en øget incidens af benigne hepatiske adenomer hos hunmus. Den øgede incidens af benigne hepatiske adenomer hos hunmus var sandsynligvis sekundære til cytotoksiske leverforandringer manifesteret ved enkeltcellenekrose og anses ikke for at være relevante for mennesker ved planlagte terapeutiske doser. Der var ingen tumorigene fund hos hanmus eller hos rotter.</w:t>
      </w:r>
    </w:p>
    <w:p w:rsidR="00A61314" w:rsidRPr="007D5ADC" w:rsidRDefault="00A61314" w:rsidP="00A61314">
      <w:pPr>
        <w:ind w:left="851"/>
        <w:rPr>
          <w:sz w:val="24"/>
          <w:szCs w:val="24"/>
        </w:rPr>
      </w:pPr>
    </w:p>
    <w:p w:rsidR="00A61314" w:rsidRPr="007D5ADC" w:rsidRDefault="00A61314" w:rsidP="00A61314">
      <w:pPr>
        <w:ind w:left="851"/>
        <w:rPr>
          <w:sz w:val="24"/>
          <w:szCs w:val="24"/>
        </w:rPr>
      </w:pPr>
      <w:r w:rsidRPr="007D5ADC">
        <w:rPr>
          <w:sz w:val="24"/>
          <w:szCs w:val="24"/>
        </w:rPr>
        <w:t xml:space="preserve">Atazanavir øgede opaciteten af bovine corneae i et </w:t>
      </w:r>
      <w:r w:rsidRPr="007D5ADC">
        <w:rPr>
          <w:i/>
          <w:sz w:val="24"/>
          <w:szCs w:val="24"/>
        </w:rPr>
        <w:t>in vitro</w:t>
      </w:r>
      <w:r w:rsidRPr="007D5ADC">
        <w:rPr>
          <w:sz w:val="24"/>
          <w:szCs w:val="24"/>
        </w:rPr>
        <w:t xml:space="preserve"> okulær irritationsstudie, hvilket tyder på at det kan være en okulær irritant ved direkte kontakt med øjet.</w:t>
      </w:r>
    </w:p>
    <w:p w:rsidR="00A61314" w:rsidRPr="007D5ADC" w:rsidRDefault="00A61314" w:rsidP="00A61314">
      <w:pPr>
        <w:tabs>
          <w:tab w:val="left" w:pos="851"/>
        </w:tabs>
        <w:ind w:left="851"/>
        <w:rPr>
          <w:sz w:val="24"/>
          <w:szCs w:val="24"/>
        </w:rPr>
      </w:pPr>
    </w:p>
    <w:p w:rsidR="00A61314" w:rsidRPr="00C84483" w:rsidRDefault="00A61314" w:rsidP="00A61314">
      <w:pPr>
        <w:tabs>
          <w:tab w:val="left" w:pos="851"/>
        </w:tabs>
        <w:ind w:left="851"/>
        <w:rPr>
          <w:sz w:val="24"/>
          <w:szCs w:val="24"/>
        </w:rPr>
      </w:pPr>
    </w:p>
    <w:p w:rsidR="00A61314" w:rsidRPr="00C84483" w:rsidRDefault="00A61314" w:rsidP="00A61314">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A61314" w:rsidRPr="00BA09F1" w:rsidRDefault="00A61314" w:rsidP="00A61314">
      <w:pPr>
        <w:tabs>
          <w:tab w:val="left" w:pos="851"/>
        </w:tabs>
        <w:ind w:left="851"/>
        <w:rPr>
          <w:sz w:val="24"/>
          <w:szCs w:val="24"/>
        </w:rPr>
      </w:pPr>
    </w:p>
    <w:p w:rsidR="00A61314" w:rsidRPr="00C84483" w:rsidRDefault="00A61314" w:rsidP="00A61314">
      <w:pPr>
        <w:tabs>
          <w:tab w:val="left" w:pos="851"/>
        </w:tabs>
        <w:ind w:left="851" w:hanging="851"/>
        <w:rPr>
          <w:b/>
          <w:sz w:val="24"/>
          <w:szCs w:val="24"/>
        </w:rPr>
      </w:pPr>
      <w:r w:rsidRPr="00C84483">
        <w:rPr>
          <w:b/>
          <w:sz w:val="24"/>
          <w:szCs w:val="24"/>
        </w:rPr>
        <w:t>6.1</w:t>
      </w:r>
      <w:r w:rsidRPr="00C84483">
        <w:rPr>
          <w:b/>
          <w:sz w:val="24"/>
          <w:szCs w:val="24"/>
        </w:rPr>
        <w:tab/>
        <w:t>Hjælpestoffer</w:t>
      </w:r>
    </w:p>
    <w:p w:rsidR="00A61314" w:rsidRPr="007D5ADC" w:rsidRDefault="00A61314" w:rsidP="00A61314">
      <w:pPr>
        <w:ind w:left="851"/>
        <w:rPr>
          <w:sz w:val="24"/>
          <w:szCs w:val="24"/>
        </w:rPr>
      </w:pPr>
      <w:r>
        <w:rPr>
          <w:sz w:val="24"/>
          <w:szCs w:val="24"/>
        </w:rPr>
        <w:t>Atazanavir "Stada"</w:t>
      </w:r>
      <w:r w:rsidRPr="007D5ADC">
        <w:rPr>
          <w:sz w:val="24"/>
          <w:szCs w:val="24"/>
        </w:rPr>
        <w:t xml:space="preserve"> </w:t>
      </w:r>
      <w:r>
        <w:rPr>
          <w:sz w:val="24"/>
          <w:szCs w:val="24"/>
        </w:rPr>
        <w:t xml:space="preserve">150 mg og 200 mg </w:t>
      </w:r>
      <w:r w:rsidRPr="007D5ADC">
        <w:rPr>
          <w:sz w:val="24"/>
          <w:szCs w:val="24"/>
        </w:rPr>
        <w:t>hårde kapsler:</w:t>
      </w:r>
    </w:p>
    <w:p w:rsidR="00A61314" w:rsidRPr="007D5ADC" w:rsidRDefault="00A61314" w:rsidP="00A61314">
      <w:pPr>
        <w:ind w:left="851"/>
        <w:rPr>
          <w:sz w:val="24"/>
          <w:szCs w:val="24"/>
          <w:u w:val="single"/>
          <w:lang w:val="en-US"/>
        </w:rPr>
      </w:pPr>
      <w:r w:rsidRPr="007D5ADC">
        <w:rPr>
          <w:sz w:val="24"/>
          <w:szCs w:val="24"/>
          <w:u w:val="single"/>
          <w:lang w:val="en-US"/>
        </w:rPr>
        <w:t xml:space="preserve">Kapslens indhold: </w:t>
      </w:r>
    </w:p>
    <w:p w:rsidR="00A61314" w:rsidRPr="007D5ADC" w:rsidRDefault="00A61314" w:rsidP="00A61314">
      <w:pPr>
        <w:ind w:left="851"/>
        <w:rPr>
          <w:sz w:val="24"/>
          <w:szCs w:val="24"/>
          <w:lang w:val="en-US"/>
        </w:rPr>
      </w:pPr>
      <w:r w:rsidRPr="007D5ADC">
        <w:rPr>
          <w:sz w:val="24"/>
          <w:szCs w:val="24"/>
          <w:lang w:val="en-US"/>
        </w:rPr>
        <w:t xml:space="preserve">Lactosemonohydrat </w:t>
      </w:r>
    </w:p>
    <w:p w:rsidR="00A61314" w:rsidRPr="007D5ADC" w:rsidRDefault="00A61314" w:rsidP="00A61314">
      <w:pPr>
        <w:ind w:left="851"/>
        <w:rPr>
          <w:sz w:val="24"/>
          <w:szCs w:val="24"/>
          <w:lang w:val="en-US"/>
        </w:rPr>
      </w:pPr>
      <w:r w:rsidRPr="007D5ADC">
        <w:rPr>
          <w:sz w:val="24"/>
          <w:szCs w:val="24"/>
          <w:lang w:val="en-US"/>
        </w:rPr>
        <w:t>Crospovidon (type A) (E1202)</w:t>
      </w:r>
    </w:p>
    <w:p w:rsidR="00A61314" w:rsidRPr="007D5ADC" w:rsidRDefault="00A61314" w:rsidP="00A61314">
      <w:pPr>
        <w:ind w:left="851"/>
        <w:rPr>
          <w:sz w:val="24"/>
          <w:szCs w:val="24"/>
        </w:rPr>
      </w:pPr>
      <w:r w:rsidRPr="007D5ADC">
        <w:rPr>
          <w:sz w:val="24"/>
          <w:szCs w:val="24"/>
        </w:rPr>
        <w:t>Silica, kolloid vandfri (E551)</w:t>
      </w:r>
    </w:p>
    <w:p w:rsidR="00A61314" w:rsidRPr="007D5ADC" w:rsidRDefault="00A61314" w:rsidP="00A61314">
      <w:pPr>
        <w:ind w:left="851"/>
        <w:rPr>
          <w:sz w:val="24"/>
          <w:szCs w:val="24"/>
        </w:rPr>
      </w:pPr>
      <w:r w:rsidRPr="007D5ADC">
        <w:rPr>
          <w:sz w:val="24"/>
          <w:szCs w:val="24"/>
        </w:rPr>
        <w:t>Magnesiumstearat (E470b)</w:t>
      </w:r>
    </w:p>
    <w:p w:rsidR="00A61314" w:rsidRPr="007D5ADC" w:rsidRDefault="00A61314" w:rsidP="00A61314">
      <w:pPr>
        <w:ind w:left="851"/>
        <w:rPr>
          <w:sz w:val="24"/>
          <w:szCs w:val="24"/>
        </w:rPr>
      </w:pPr>
    </w:p>
    <w:p w:rsidR="00A61314" w:rsidRPr="007D5ADC" w:rsidRDefault="00A61314" w:rsidP="00A61314">
      <w:pPr>
        <w:ind w:left="851"/>
        <w:rPr>
          <w:sz w:val="24"/>
          <w:szCs w:val="24"/>
          <w:u w:val="single"/>
        </w:rPr>
      </w:pPr>
      <w:r w:rsidRPr="007D5ADC">
        <w:rPr>
          <w:sz w:val="24"/>
          <w:szCs w:val="24"/>
          <w:u w:val="single"/>
        </w:rPr>
        <w:t xml:space="preserve">Kapslens skal: </w:t>
      </w:r>
    </w:p>
    <w:p w:rsidR="00A61314" w:rsidRPr="007D5ADC" w:rsidRDefault="00A61314" w:rsidP="00A61314">
      <w:pPr>
        <w:ind w:left="851"/>
        <w:rPr>
          <w:sz w:val="24"/>
          <w:szCs w:val="24"/>
        </w:rPr>
      </w:pPr>
      <w:r w:rsidRPr="007D5ADC">
        <w:rPr>
          <w:sz w:val="24"/>
          <w:szCs w:val="24"/>
        </w:rPr>
        <w:t>Gelatine</w:t>
      </w:r>
    </w:p>
    <w:p w:rsidR="00A61314" w:rsidRPr="007D5ADC" w:rsidRDefault="00A61314" w:rsidP="00A61314">
      <w:pPr>
        <w:ind w:left="851"/>
        <w:rPr>
          <w:sz w:val="24"/>
          <w:szCs w:val="24"/>
        </w:rPr>
      </w:pPr>
      <w:r w:rsidRPr="007D5ADC">
        <w:rPr>
          <w:sz w:val="24"/>
          <w:szCs w:val="24"/>
        </w:rPr>
        <w:t>Titandioxid (E171)</w:t>
      </w:r>
    </w:p>
    <w:p w:rsidR="00A61314" w:rsidRPr="007D5ADC" w:rsidRDefault="00A61314" w:rsidP="00A61314">
      <w:pPr>
        <w:ind w:left="851"/>
        <w:rPr>
          <w:sz w:val="24"/>
          <w:szCs w:val="24"/>
        </w:rPr>
      </w:pPr>
      <w:r w:rsidRPr="007D5ADC">
        <w:rPr>
          <w:sz w:val="24"/>
          <w:szCs w:val="24"/>
        </w:rPr>
        <w:t>Indigocarmin (E132)</w:t>
      </w:r>
    </w:p>
    <w:p w:rsidR="00A61314" w:rsidRPr="007D5ADC" w:rsidRDefault="00A61314" w:rsidP="00A61314">
      <w:pPr>
        <w:ind w:left="851"/>
        <w:rPr>
          <w:i/>
          <w:sz w:val="24"/>
          <w:szCs w:val="24"/>
        </w:rPr>
      </w:pPr>
      <w:r w:rsidRPr="007D5ADC">
        <w:rPr>
          <w:i/>
          <w:sz w:val="24"/>
          <w:szCs w:val="24"/>
        </w:rPr>
        <w:t>Hvidt blæk:</w:t>
      </w:r>
    </w:p>
    <w:p w:rsidR="00A61314" w:rsidRPr="00204EB1" w:rsidRDefault="00A61314" w:rsidP="00A61314">
      <w:pPr>
        <w:ind w:left="851"/>
        <w:rPr>
          <w:sz w:val="24"/>
          <w:szCs w:val="24"/>
          <w:lang w:val="en-US"/>
        </w:rPr>
      </w:pPr>
      <w:r w:rsidRPr="00204EB1">
        <w:rPr>
          <w:sz w:val="24"/>
          <w:szCs w:val="24"/>
          <w:lang w:val="en-US"/>
        </w:rPr>
        <w:t>Shellac</w:t>
      </w:r>
    </w:p>
    <w:p w:rsidR="00A61314" w:rsidRPr="00204EB1" w:rsidRDefault="00A61314" w:rsidP="00A61314">
      <w:pPr>
        <w:ind w:left="851"/>
        <w:rPr>
          <w:sz w:val="24"/>
          <w:szCs w:val="24"/>
          <w:lang w:val="en-US"/>
        </w:rPr>
      </w:pPr>
      <w:r w:rsidRPr="00204EB1">
        <w:rPr>
          <w:sz w:val="24"/>
          <w:szCs w:val="24"/>
          <w:lang w:val="en-US"/>
        </w:rPr>
        <w:t>Titandioxid (E171)</w:t>
      </w:r>
    </w:p>
    <w:p w:rsidR="00A61314" w:rsidRPr="00204EB1" w:rsidRDefault="00A61314" w:rsidP="00A61314">
      <w:pPr>
        <w:ind w:left="851"/>
        <w:rPr>
          <w:sz w:val="24"/>
          <w:szCs w:val="24"/>
          <w:lang w:val="en-US"/>
        </w:rPr>
      </w:pPr>
      <w:r w:rsidRPr="00204EB1">
        <w:rPr>
          <w:sz w:val="24"/>
          <w:szCs w:val="24"/>
          <w:lang w:val="en-US"/>
        </w:rPr>
        <w:t>Propylenglycol (E1520)</w:t>
      </w:r>
    </w:p>
    <w:p w:rsidR="00A61314" w:rsidRPr="00204EB1" w:rsidRDefault="00A61314" w:rsidP="00A61314">
      <w:pPr>
        <w:ind w:left="851"/>
        <w:rPr>
          <w:sz w:val="24"/>
          <w:szCs w:val="24"/>
          <w:lang w:val="en-US"/>
        </w:rPr>
      </w:pPr>
    </w:p>
    <w:p w:rsidR="00A61314" w:rsidRPr="007D5ADC" w:rsidRDefault="00A61314" w:rsidP="00A61314">
      <w:pPr>
        <w:ind w:left="851"/>
        <w:rPr>
          <w:sz w:val="24"/>
          <w:szCs w:val="24"/>
        </w:rPr>
      </w:pPr>
      <w:r>
        <w:rPr>
          <w:sz w:val="24"/>
          <w:szCs w:val="24"/>
        </w:rPr>
        <w:t>Atazanavir "Stada"</w:t>
      </w:r>
      <w:r w:rsidRPr="007D5ADC">
        <w:rPr>
          <w:sz w:val="24"/>
          <w:szCs w:val="24"/>
        </w:rPr>
        <w:t xml:space="preserve"> 300 mg hårde kapsler</w:t>
      </w:r>
    </w:p>
    <w:p w:rsidR="00A61314" w:rsidRPr="00204EB1" w:rsidRDefault="00A61314" w:rsidP="00A61314">
      <w:pPr>
        <w:ind w:left="851"/>
        <w:rPr>
          <w:sz w:val="24"/>
          <w:szCs w:val="24"/>
          <w:u w:val="single"/>
        </w:rPr>
      </w:pPr>
      <w:r w:rsidRPr="00204EB1">
        <w:rPr>
          <w:sz w:val="24"/>
          <w:szCs w:val="24"/>
          <w:u w:val="single"/>
        </w:rPr>
        <w:t xml:space="preserve">Kapslens indhold: </w:t>
      </w:r>
    </w:p>
    <w:p w:rsidR="00A61314" w:rsidRPr="007D5ADC" w:rsidRDefault="00A61314" w:rsidP="00A61314">
      <w:pPr>
        <w:ind w:left="851"/>
        <w:rPr>
          <w:sz w:val="24"/>
          <w:szCs w:val="24"/>
          <w:lang w:val="en-US"/>
        </w:rPr>
      </w:pPr>
      <w:r w:rsidRPr="007D5ADC">
        <w:rPr>
          <w:sz w:val="24"/>
          <w:szCs w:val="24"/>
          <w:lang w:val="en-US"/>
        </w:rPr>
        <w:t xml:space="preserve">Lactosemonohydrat </w:t>
      </w:r>
    </w:p>
    <w:p w:rsidR="00A61314" w:rsidRPr="007D5ADC" w:rsidRDefault="00A61314" w:rsidP="00A61314">
      <w:pPr>
        <w:ind w:left="851"/>
        <w:rPr>
          <w:sz w:val="24"/>
          <w:szCs w:val="24"/>
          <w:lang w:val="en-US"/>
        </w:rPr>
      </w:pPr>
      <w:r w:rsidRPr="007D5ADC">
        <w:rPr>
          <w:sz w:val="24"/>
          <w:szCs w:val="24"/>
          <w:lang w:val="en-US"/>
        </w:rPr>
        <w:t>Crospovidon (type A) (E1202)</w:t>
      </w:r>
    </w:p>
    <w:p w:rsidR="00A61314" w:rsidRPr="007D5ADC" w:rsidRDefault="00A61314" w:rsidP="00A61314">
      <w:pPr>
        <w:ind w:left="851"/>
        <w:rPr>
          <w:sz w:val="24"/>
          <w:szCs w:val="24"/>
        </w:rPr>
      </w:pPr>
      <w:r w:rsidRPr="007D5ADC">
        <w:rPr>
          <w:sz w:val="24"/>
          <w:szCs w:val="24"/>
        </w:rPr>
        <w:t>Silica, kolloid vandfri (E551)</w:t>
      </w:r>
    </w:p>
    <w:p w:rsidR="00A61314" w:rsidRPr="007D5ADC" w:rsidRDefault="00A61314" w:rsidP="00A61314">
      <w:pPr>
        <w:ind w:left="851"/>
        <w:rPr>
          <w:sz w:val="24"/>
          <w:szCs w:val="24"/>
        </w:rPr>
      </w:pPr>
      <w:r w:rsidRPr="007D5ADC">
        <w:rPr>
          <w:sz w:val="24"/>
          <w:szCs w:val="24"/>
        </w:rPr>
        <w:t>Magnesiumstearat (E470b)</w:t>
      </w:r>
    </w:p>
    <w:p w:rsidR="00A61314" w:rsidRPr="007D5ADC" w:rsidRDefault="00A61314" w:rsidP="00A61314">
      <w:pPr>
        <w:ind w:left="851"/>
        <w:rPr>
          <w:sz w:val="24"/>
          <w:szCs w:val="24"/>
        </w:rPr>
      </w:pPr>
    </w:p>
    <w:p w:rsidR="00A61314" w:rsidRPr="007D5ADC" w:rsidRDefault="00A61314" w:rsidP="00A61314">
      <w:pPr>
        <w:ind w:left="851"/>
        <w:rPr>
          <w:sz w:val="24"/>
          <w:szCs w:val="24"/>
          <w:u w:val="single"/>
        </w:rPr>
      </w:pPr>
      <w:r w:rsidRPr="007D5ADC">
        <w:rPr>
          <w:sz w:val="24"/>
          <w:szCs w:val="24"/>
          <w:u w:val="single"/>
        </w:rPr>
        <w:t xml:space="preserve">Kapslens skal: </w:t>
      </w:r>
    </w:p>
    <w:p w:rsidR="00A61314" w:rsidRPr="007D5ADC" w:rsidRDefault="00A61314" w:rsidP="00A61314">
      <w:pPr>
        <w:ind w:left="851"/>
        <w:rPr>
          <w:sz w:val="24"/>
          <w:szCs w:val="24"/>
        </w:rPr>
      </w:pPr>
      <w:r w:rsidRPr="007D5ADC">
        <w:rPr>
          <w:sz w:val="24"/>
          <w:szCs w:val="24"/>
        </w:rPr>
        <w:t>Gelatine</w:t>
      </w:r>
    </w:p>
    <w:p w:rsidR="00A61314" w:rsidRPr="007D5ADC" w:rsidRDefault="00A61314" w:rsidP="00A61314">
      <w:pPr>
        <w:ind w:left="851"/>
        <w:rPr>
          <w:sz w:val="24"/>
          <w:szCs w:val="24"/>
        </w:rPr>
      </w:pPr>
      <w:r w:rsidRPr="007D5ADC">
        <w:rPr>
          <w:sz w:val="24"/>
          <w:szCs w:val="24"/>
        </w:rPr>
        <w:lastRenderedPageBreak/>
        <w:t>Titandioxid (E171)</w:t>
      </w:r>
    </w:p>
    <w:p w:rsidR="00A61314" w:rsidRPr="007D5ADC" w:rsidRDefault="00A61314" w:rsidP="00A61314">
      <w:pPr>
        <w:ind w:left="851"/>
        <w:rPr>
          <w:sz w:val="24"/>
          <w:szCs w:val="24"/>
        </w:rPr>
      </w:pPr>
      <w:r w:rsidRPr="007D5ADC">
        <w:rPr>
          <w:sz w:val="24"/>
          <w:szCs w:val="24"/>
        </w:rPr>
        <w:t>Indigocarmin (E132)</w:t>
      </w:r>
    </w:p>
    <w:p w:rsidR="00A61314" w:rsidRPr="007D5ADC" w:rsidRDefault="00A61314" w:rsidP="00A61314">
      <w:pPr>
        <w:ind w:left="851"/>
        <w:rPr>
          <w:sz w:val="24"/>
          <w:szCs w:val="24"/>
        </w:rPr>
      </w:pPr>
      <w:r w:rsidRPr="007D5ADC">
        <w:rPr>
          <w:sz w:val="24"/>
          <w:szCs w:val="24"/>
        </w:rPr>
        <w:t>Jernoxid, rød (E172)</w:t>
      </w:r>
    </w:p>
    <w:p w:rsidR="00A61314" w:rsidRPr="007D5ADC" w:rsidRDefault="00A61314" w:rsidP="00A61314">
      <w:pPr>
        <w:ind w:left="851"/>
        <w:rPr>
          <w:i/>
          <w:sz w:val="24"/>
          <w:szCs w:val="24"/>
        </w:rPr>
      </w:pPr>
      <w:r w:rsidRPr="007D5ADC">
        <w:rPr>
          <w:i/>
          <w:sz w:val="24"/>
          <w:szCs w:val="24"/>
        </w:rPr>
        <w:t>Hvidt blæk:</w:t>
      </w:r>
    </w:p>
    <w:p w:rsidR="00A61314" w:rsidRPr="007D5ADC" w:rsidRDefault="00A61314" w:rsidP="00A61314">
      <w:pPr>
        <w:ind w:left="851"/>
        <w:rPr>
          <w:sz w:val="24"/>
          <w:szCs w:val="24"/>
        </w:rPr>
      </w:pPr>
      <w:r w:rsidRPr="007D5ADC">
        <w:rPr>
          <w:sz w:val="24"/>
          <w:szCs w:val="24"/>
        </w:rPr>
        <w:t>Shellac</w:t>
      </w:r>
    </w:p>
    <w:p w:rsidR="00A61314" w:rsidRPr="007D5ADC" w:rsidRDefault="00A61314" w:rsidP="00A61314">
      <w:pPr>
        <w:ind w:left="851"/>
        <w:rPr>
          <w:sz w:val="24"/>
          <w:szCs w:val="24"/>
        </w:rPr>
      </w:pPr>
      <w:r w:rsidRPr="007D5ADC">
        <w:rPr>
          <w:sz w:val="24"/>
          <w:szCs w:val="24"/>
        </w:rPr>
        <w:t>Titandioxid (E171)</w:t>
      </w:r>
    </w:p>
    <w:p w:rsidR="00A61314" w:rsidRPr="007D5ADC" w:rsidRDefault="00A61314" w:rsidP="00A61314">
      <w:pPr>
        <w:ind w:left="851"/>
        <w:rPr>
          <w:sz w:val="24"/>
          <w:szCs w:val="24"/>
        </w:rPr>
      </w:pPr>
      <w:r w:rsidRPr="007D5ADC">
        <w:rPr>
          <w:sz w:val="24"/>
          <w:szCs w:val="24"/>
        </w:rPr>
        <w:t>Propylenglycol (E1520)</w:t>
      </w:r>
    </w:p>
    <w:p w:rsidR="00A61314" w:rsidRPr="007D5ADC" w:rsidRDefault="00A61314" w:rsidP="00A61314">
      <w:pPr>
        <w:ind w:left="851"/>
        <w:rPr>
          <w:sz w:val="24"/>
          <w:szCs w:val="24"/>
        </w:rPr>
      </w:pPr>
    </w:p>
    <w:p w:rsidR="00A61314" w:rsidRPr="00C84483" w:rsidRDefault="00A61314" w:rsidP="00A61314">
      <w:pPr>
        <w:tabs>
          <w:tab w:val="left" w:pos="851"/>
        </w:tabs>
        <w:ind w:left="851" w:hanging="851"/>
        <w:rPr>
          <w:b/>
          <w:sz w:val="24"/>
          <w:szCs w:val="24"/>
        </w:rPr>
      </w:pPr>
      <w:r w:rsidRPr="00C84483">
        <w:rPr>
          <w:b/>
          <w:sz w:val="24"/>
          <w:szCs w:val="24"/>
        </w:rPr>
        <w:t>6.2</w:t>
      </w:r>
      <w:r w:rsidRPr="00C84483">
        <w:rPr>
          <w:b/>
          <w:sz w:val="24"/>
          <w:szCs w:val="24"/>
        </w:rPr>
        <w:tab/>
        <w:t>Uforligeligheder</w:t>
      </w:r>
    </w:p>
    <w:p w:rsidR="00A61314" w:rsidRPr="007D5ADC" w:rsidRDefault="00A61314" w:rsidP="00A61314">
      <w:pPr>
        <w:ind w:firstLine="851"/>
        <w:rPr>
          <w:sz w:val="24"/>
          <w:szCs w:val="24"/>
        </w:rPr>
      </w:pPr>
      <w:r w:rsidRPr="007D5ADC">
        <w:rPr>
          <w:sz w:val="24"/>
          <w:szCs w:val="24"/>
        </w:rPr>
        <w:t>Ikke relevant.</w:t>
      </w:r>
    </w:p>
    <w:p w:rsidR="00A61314" w:rsidRPr="00C84483" w:rsidRDefault="00A61314" w:rsidP="00A61314">
      <w:pPr>
        <w:tabs>
          <w:tab w:val="left" w:pos="851"/>
        </w:tabs>
        <w:ind w:left="851"/>
        <w:rPr>
          <w:sz w:val="24"/>
          <w:szCs w:val="24"/>
        </w:rPr>
      </w:pPr>
    </w:p>
    <w:p w:rsidR="00A61314" w:rsidRPr="00C84483" w:rsidRDefault="00A61314" w:rsidP="00A61314">
      <w:pPr>
        <w:tabs>
          <w:tab w:val="left" w:pos="851"/>
        </w:tabs>
        <w:ind w:left="851" w:hanging="851"/>
        <w:rPr>
          <w:b/>
          <w:sz w:val="24"/>
          <w:szCs w:val="24"/>
        </w:rPr>
      </w:pPr>
      <w:r w:rsidRPr="00C84483">
        <w:rPr>
          <w:b/>
          <w:sz w:val="24"/>
          <w:szCs w:val="24"/>
        </w:rPr>
        <w:t>6.3</w:t>
      </w:r>
      <w:r w:rsidRPr="00C84483">
        <w:rPr>
          <w:b/>
          <w:sz w:val="24"/>
          <w:szCs w:val="24"/>
        </w:rPr>
        <w:tab/>
        <w:t>Opbevaringstid</w:t>
      </w:r>
    </w:p>
    <w:p w:rsidR="00A61314" w:rsidRPr="007D5ADC" w:rsidRDefault="007160EB" w:rsidP="00A61314">
      <w:pPr>
        <w:ind w:left="851"/>
        <w:rPr>
          <w:sz w:val="24"/>
          <w:szCs w:val="24"/>
        </w:rPr>
      </w:pPr>
      <w:r>
        <w:rPr>
          <w:sz w:val="24"/>
          <w:szCs w:val="24"/>
        </w:rPr>
        <w:t>3</w:t>
      </w:r>
      <w:r w:rsidR="00A61314" w:rsidRPr="007D5ADC">
        <w:rPr>
          <w:sz w:val="24"/>
          <w:szCs w:val="24"/>
        </w:rPr>
        <w:t xml:space="preserve"> år</w:t>
      </w:r>
    </w:p>
    <w:p w:rsidR="00A61314" w:rsidRPr="007D5ADC" w:rsidRDefault="00A61314" w:rsidP="00A61314">
      <w:pPr>
        <w:ind w:left="851"/>
        <w:rPr>
          <w:sz w:val="24"/>
          <w:szCs w:val="24"/>
        </w:rPr>
      </w:pPr>
    </w:p>
    <w:p w:rsidR="00A61314" w:rsidRPr="007D5ADC" w:rsidRDefault="00A61314" w:rsidP="00A61314">
      <w:pPr>
        <w:ind w:left="851"/>
        <w:rPr>
          <w:sz w:val="24"/>
          <w:szCs w:val="24"/>
        </w:rPr>
      </w:pPr>
      <w:r w:rsidRPr="007D5ADC">
        <w:rPr>
          <w:sz w:val="24"/>
          <w:szCs w:val="24"/>
        </w:rPr>
        <w:t>For beholdere:</w:t>
      </w:r>
    </w:p>
    <w:p w:rsidR="00A61314" w:rsidRPr="007D5ADC" w:rsidRDefault="00A61314" w:rsidP="00A61314">
      <w:pPr>
        <w:ind w:left="851"/>
        <w:rPr>
          <w:i/>
          <w:sz w:val="24"/>
          <w:szCs w:val="24"/>
        </w:rPr>
      </w:pPr>
      <w:r w:rsidRPr="007D5ADC">
        <w:rPr>
          <w:i/>
          <w:sz w:val="24"/>
          <w:szCs w:val="24"/>
        </w:rPr>
        <w:t>Efter første åbning:</w:t>
      </w:r>
    </w:p>
    <w:p w:rsidR="00A61314" w:rsidRPr="007D5ADC" w:rsidRDefault="00A61314" w:rsidP="00A61314">
      <w:pPr>
        <w:ind w:left="851"/>
        <w:rPr>
          <w:sz w:val="24"/>
          <w:szCs w:val="24"/>
        </w:rPr>
      </w:pPr>
      <w:r w:rsidRPr="007D5ADC">
        <w:rPr>
          <w:sz w:val="24"/>
          <w:szCs w:val="24"/>
        </w:rPr>
        <w:t xml:space="preserve">For 150 mg, 200 mg: </w:t>
      </w:r>
      <w:r w:rsidR="0017774B">
        <w:rPr>
          <w:sz w:val="24"/>
          <w:szCs w:val="24"/>
        </w:rPr>
        <w:t>4</w:t>
      </w:r>
      <w:r w:rsidRPr="007D5ADC">
        <w:rPr>
          <w:sz w:val="24"/>
          <w:szCs w:val="24"/>
        </w:rPr>
        <w:t xml:space="preserve"> måneder</w:t>
      </w:r>
    </w:p>
    <w:p w:rsidR="00A61314" w:rsidRPr="007D5ADC" w:rsidRDefault="00A61314" w:rsidP="00A61314">
      <w:pPr>
        <w:ind w:left="851"/>
        <w:rPr>
          <w:sz w:val="24"/>
          <w:szCs w:val="24"/>
        </w:rPr>
      </w:pPr>
      <w:r w:rsidRPr="007D5ADC">
        <w:rPr>
          <w:sz w:val="24"/>
          <w:szCs w:val="24"/>
        </w:rPr>
        <w:t xml:space="preserve">For 300 mg: </w:t>
      </w:r>
      <w:r w:rsidR="0017774B">
        <w:rPr>
          <w:sz w:val="24"/>
          <w:szCs w:val="24"/>
        </w:rPr>
        <w:t>2</w:t>
      </w:r>
      <w:r w:rsidRPr="007D5ADC">
        <w:rPr>
          <w:sz w:val="24"/>
          <w:szCs w:val="24"/>
        </w:rPr>
        <w:t xml:space="preserve"> måned</w:t>
      </w:r>
      <w:r w:rsidR="0017774B">
        <w:rPr>
          <w:sz w:val="24"/>
          <w:szCs w:val="24"/>
        </w:rPr>
        <w:t>er</w:t>
      </w:r>
    </w:p>
    <w:p w:rsidR="00A61314" w:rsidRPr="00B1422A" w:rsidRDefault="00A61314" w:rsidP="00A61314">
      <w:pPr>
        <w:tabs>
          <w:tab w:val="left" w:pos="851"/>
        </w:tabs>
        <w:ind w:left="851"/>
        <w:rPr>
          <w:sz w:val="24"/>
          <w:szCs w:val="24"/>
        </w:rPr>
      </w:pPr>
    </w:p>
    <w:p w:rsidR="00A61314" w:rsidRPr="00C84483" w:rsidRDefault="00A61314" w:rsidP="00A61314">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A61314" w:rsidRPr="007D5ADC" w:rsidRDefault="00A61314" w:rsidP="00A61314">
      <w:pPr>
        <w:ind w:left="851"/>
        <w:rPr>
          <w:sz w:val="24"/>
          <w:szCs w:val="24"/>
        </w:rPr>
      </w:pPr>
      <w:r w:rsidRPr="007D5ADC">
        <w:rPr>
          <w:sz w:val="24"/>
          <w:szCs w:val="24"/>
        </w:rPr>
        <w:t>Må ikke opbevares ved temperaturer over 30°C</w:t>
      </w:r>
    </w:p>
    <w:p w:rsidR="00A61314" w:rsidRPr="00C84483" w:rsidRDefault="00A61314" w:rsidP="00A61314">
      <w:pPr>
        <w:tabs>
          <w:tab w:val="left" w:pos="851"/>
        </w:tabs>
        <w:ind w:left="851"/>
        <w:rPr>
          <w:sz w:val="24"/>
          <w:szCs w:val="24"/>
        </w:rPr>
      </w:pPr>
    </w:p>
    <w:p w:rsidR="00A61314" w:rsidRPr="00C84483" w:rsidRDefault="00A61314" w:rsidP="00A61314">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A61314" w:rsidRPr="007D5ADC" w:rsidRDefault="00A61314" w:rsidP="00A61314">
      <w:pPr>
        <w:ind w:left="851"/>
        <w:rPr>
          <w:i/>
          <w:sz w:val="24"/>
          <w:szCs w:val="24"/>
        </w:rPr>
      </w:pPr>
      <w:r>
        <w:rPr>
          <w:i/>
          <w:sz w:val="24"/>
          <w:szCs w:val="24"/>
        </w:rPr>
        <w:t>Atazanavir "Stada"</w:t>
      </w:r>
      <w:r w:rsidRPr="007D5ADC">
        <w:rPr>
          <w:i/>
          <w:sz w:val="24"/>
          <w:szCs w:val="24"/>
        </w:rPr>
        <w:t xml:space="preserve"> 150 mg og 200 mg hårde kapsler:</w:t>
      </w:r>
    </w:p>
    <w:p w:rsidR="00A61314" w:rsidRPr="007D5ADC" w:rsidRDefault="00A61314" w:rsidP="00A61314">
      <w:pPr>
        <w:ind w:left="851"/>
        <w:rPr>
          <w:sz w:val="24"/>
          <w:szCs w:val="24"/>
        </w:rPr>
      </w:pPr>
      <w:r w:rsidRPr="007D5ADC">
        <w:rPr>
          <w:sz w:val="24"/>
          <w:szCs w:val="24"/>
        </w:rPr>
        <w:t>Aluminium-OPA/Alu/PVC enkeltdosis perforeret blister med 60</w:t>
      </w:r>
      <w:r>
        <w:rPr>
          <w:sz w:val="24"/>
          <w:szCs w:val="24"/>
        </w:rPr>
        <w:t>×</w:t>
      </w:r>
      <w:r w:rsidRPr="007D5ADC">
        <w:rPr>
          <w:sz w:val="24"/>
          <w:szCs w:val="24"/>
        </w:rPr>
        <w:t>1 hårde kapsler; 10 blister kort med 6</w:t>
      </w:r>
      <w:r>
        <w:rPr>
          <w:sz w:val="24"/>
          <w:szCs w:val="24"/>
        </w:rPr>
        <w:t>×</w:t>
      </w:r>
      <w:r w:rsidRPr="007D5ADC">
        <w:rPr>
          <w:sz w:val="24"/>
          <w:szCs w:val="24"/>
        </w:rPr>
        <w:t>1 kapsel hver.</w:t>
      </w:r>
    </w:p>
    <w:p w:rsidR="00A61314" w:rsidRPr="007D5ADC" w:rsidRDefault="00A61314" w:rsidP="00A61314">
      <w:pPr>
        <w:ind w:left="851"/>
        <w:rPr>
          <w:sz w:val="24"/>
          <w:szCs w:val="24"/>
        </w:rPr>
      </w:pPr>
      <w:r w:rsidRPr="007D5ADC">
        <w:rPr>
          <w:sz w:val="24"/>
          <w:szCs w:val="24"/>
        </w:rPr>
        <w:t>Aluminium-OPA/Alu/PVC-blistre med 60 hårde kapsler; 10 blister kort med 6 hårde kapsler hver.</w:t>
      </w:r>
    </w:p>
    <w:p w:rsidR="00A61314" w:rsidRPr="007D5ADC" w:rsidRDefault="00A61314" w:rsidP="00A61314">
      <w:pPr>
        <w:ind w:left="851"/>
        <w:rPr>
          <w:sz w:val="24"/>
          <w:szCs w:val="24"/>
        </w:rPr>
      </w:pPr>
      <w:r w:rsidRPr="007D5ADC">
        <w:rPr>
          <w:sz w:val="24"/>
          <w:szCs w:val="24"/>
        </w:rPr>
        <w:t>Højdensitets polyethylen (HDPE) beholdere lukket med børnesikret polypropylen lukkemekanisme.</w:t>
      </w:r>
    </w:p>
    <w:p w:rsidR="00A61314" w:rsidRPr="007D5ADC" w:rsidRDefault="00A61314" w:rsidP="00A61314">
      <w:pPr>
        <w:ind w:left="851"/>
        <w:rPr>
          <w:sz w:val="24"/>
          <w:szCs w:val="24"/>
        </w:rPr>
      </w:pPr>
      <w:r w:rsidRPr="007D5ADC">
        <w:rPr>
          <w:sz w:val="24"/>
          <w:szCs w:val="24"/>
        </w:rPr>
        <w:t>Hver beholder indeholder 60 hårde kapsler.</w:t>
      </w:r>
    </w:p>
    <w:p w:rsidR="00A61314" w:rsidRDefault="00A61314" w:rsidP="00A61314">
      <w:pPr>
        <w:ind w:left="851"/>
        <w:rPr>
          <w:i/>
          <w:sz w:val="24"/>
          <w:szCs w:val="24"/>
        </w:rPr>
      </w:pPr>
    </w:p>
    <w:p w:rsidR="00A61314" w:rsidRPr="007D5ADC" w:rsidRDefault="00A61314" w:rsidP="00A61314">
      <w:pPr>
        <w:ind w:left="851"/>
        <w:rPr>
          <w:i/>
          <w:sz w:val="24"/>
          <w:szCs w:val="24"/>
        </w:rPr>
      </w:pPr>
      <w:r>
        <w:rPr>
          <w:i/>
          <w:sz w:val="24"/>
          <w:szCs w:val="24"/>
        </w:rPr>
        <w:t>Atazanavir "Stada"</w:t>
      </w:r>
      <w:r w:rsidRPr="007D5ADC">
        <w:rPr>
          <w:i/>
          <w:sz w:val="24"/>
          <w:szCs w:val="24"/>
        </w:rPr>
        <w:t xml:space="preserve"> 300 mg hårde kapsler:</w:t>
      </w:r>
    </w:p>
    <w:p w:rsidR="00A61314" w:rsidRPr="007D5ADC" w:rsidRDefault="00A61314" w:rsidP="00A61314">
      <w:pPr>
        <w:ind w:left="851"/>
        <w:rPr>
          <w:sz w:val="24"/>
          <w:szCs w:val="24"/>
        </w:rPr>
      </w:pPr>
      <w:r w:rsidRPr="007D5ADC">
        <w:rPr>
          <w:sz w:val="24"/>
          <w:szCs w:val="24"/>
        </w:rPr>
        <w:t>Aluminium-OPA/Alu/PVC enkeltdosis perforeret blister med 30</w:t>
      </w:r>
      <w:r>
        <w:rPr>
          <w:sz w:val="24"/>
          <w:szCs w:val="24"/>
        </w:rPr>
        <w:t>×</w:t>
      </w:r>
      <w:r w:rsidRPr="007D5ADC">
        <w:rPr>
          <w:sz w:val="24"/>
          <w:szCs w:val="24"/>
        </w:rPr>
        <w:t>1 hårde kapsler; 5 blister kort med 6</w:t>
      </w:r>
      <w:r>
        <w:rPr>
          <w:sz w:val="24"/>
          <w:szCs w:val="24"/>
        </w:rPr>
        <w:t>×</w:t>
      </w:r>
      <w:r w:rsidRPr="007D5ADC">
        <w:rPr>
          <w:sz w:val="24"/>
          <w:szCs w:val="24"/>
        </w:rPr>
        <w:t>1 kapsel hver.</w:t>
      </w:r>
    </w:p>
    <w:p w:rsidR="00A61314" w:rsidRPr="007D5ADC" w:rsidRDefault="00A61314" w:rsidP="00A61314">
      <w:pPr>
        <w:ind w:left="851"/>
        <w:rPr>
          <w:sz w:val="24"/>
          <w:szCs w:val="24"/>
        </w:rPr>
      </w:pPr>
      <w:r w:rsidRPr="007D5ADC">
        <w:rPr>
          <w:sz w:val="24"/>
          <w:szCs w:val="24"/>
        </w:rPr>
        <w:t>Aluminium-OPA/Alu/PVC-blistre med 30 hårde kapsler; 5 blister kort med 6 hårde kapsler hver.</w:t>
      </w:r>
    </w:p>
    <w:p w:rsidR="00A61314" w:rsidRPr="007D5ADC" w:rsidRDefault="00A61314" w:rsidP="00A61314">
      <w:pPr>
        <w:ind w:left="851"/>
        <w:rPr>
          <w:sz w:val="24"/>
          <w:szCs w:val="24"/>
        </w:rPr>
      </w:pPr>
      <w:r>
        <w:rPr>
          <w:sz w:val="24"/>
          <w:szCs w:val="24"/>
        </w:rPr>
        <w:t>Sam</w:t>
      </w:r>
      <w:r w:rsidRPr="007D5ADC">
        <w:rPr>
          <w:sz w:val="24"/>
          <w:szCs w:val="24"/>
        </w:rPr>
        <w:t>pak der indeholder 90</w:t>
      </w:r>
      <w:r>
        <w:rPr>
          <w:sz w:val="24"/>
          <w:szCs w:val="24"/>
        </w:rPr>
        <w:t>×</w:t>
      </w:r>
      <w:r w:rsidRPr="007D5ADC">
        <w:rPr>
          <w:sz w:val="24"/>
          <w:szCs w:val="24"/>
        </w:rPr>
        <w:t>1 (3 pakker med 30</w:t>
      </w:r>
      <w:r>
        <w:rPr>
          <w:sz w:val="24"/>
          <w:szCs w:val="24"/>
        </w:rPr>
        <w:t>×</w:t>
      </w:r>
      <w:r w:rsidRPr="007D5ADC">
        <w:rPr>
          <w:sz w:val="24"/>
          <w:szCs w:val="24"/>
        </w:rPr>
        <w:t>1) hårde kapsler i Aluminium-OPA/Alu/PVC enkeltdosis perforere</w:t>
      </w:r>
      <w:r>
        <w:rPr>
          <w:sz w:val="24"/>
          <w:szCs w:val="24"/>
        </w:rPr>
        <w:t>de</w:t>
      </w:r>
      <w:r w:rsidRPr="007D5ADC">
        <w:rPr>
          <w:sz w:val="24"/>
          <w:szCs w:val="24"/>
        </w:rPr>
        <w:t xml:space="preserve"> blistre.</w:t>
      </w:r>
    </w:p>
    <w:p w:rsidR="00A61314" w:rsidRPr="007D5ADC" w:rsidRDefault="00A61314" w:rsidP="00A61314">
      <w:pPr>
        <w:ind w:left="851"/>
        <w:rPr>
          <w:sz w:val="24"/>
          <w:szCs w:val="24"/>
        </w:rPr>
      </w:pPr>
      <w:r>
        <w:rPr>
          <w:sz w:val="24"/>
          <w:szCs w:val="24"/>
        </w:rPr>
        <w:t>Sam</w:t>
      </w:r>
      <w:r w:rsidRPr="007D5ADC">
        <w:rPr>
          <w:sz w:val="24"/>
          <w:szCs w:val="24"/>
        </w:rPr>
        <w:t>pak der indeholder 90 (3 pakker med 30) hårde kapsler i Aluminium-OPA/Alu/PVC-blistre.</w:t>
      </w:r>
    </w:p>
    <w:p w:rsidR="00A61314" w:rsidRPr="007D5ADC" w:rsidRDefault="00A61314" w:rsidP="00A61314">
      <w:pPr>
        <w:ind w:left="851"/>
        <w:rPr>
          <w:sz w:val="24"/>
          <w:szCs w:val="24"/>
        </w:rPr>
      </w:pPr>
      <w:r w:rsidRPr="007D5ADC">
        <w:rPr>
          <w:sz w:val="24"/>
          <w:szCs w:val="24"/>
        </w:rPr>
        <w:t>Højdensitets polyethylen (HDPE) beholdere lukket med børnesikret polypropylen lukkemekanisme.</w:t>
      </w:r>
    </w:p>
    <w:p w:rsidR="00A61314" w:rsidRPr="007D5ADC" w:rsidRDefault="00A61314" w:rsidP="00A61314">
      <w:pPr>
        <w:ind w:left="851"/>
        <w:rPr>
          <w:sz w:val="24"/>
          <w:szCs w:val="24"/>
        </w:rPr>
      </w:pPr>
      <w:r w:rsidRPr="007D5ADC">
        <w:rPr>
          <w:sz w:val="24"/>
          <w:szCs w:val="24"/>
        </w:rPr>
        <w:t>Hver beholder indeholder 30 hårde kapsler.</w:t>
      </w:r>
    </w:p>
    <w:p w:rsidR="00A61314" w:rsidRPr="007D5ADC" w:rsidRDefault="00A61314" w:rsidP="00A61314">
      <w:pPr>
        <w:ind w:left="851"/>
        <w:rPr>
          <w:sz w:val="24"/>
          <w:szCs w:val="24"/>
        </w:rPr>
      </w:pPr>
    </w:p>
    <w:p w:rsidR="00A61314" w:rsidRPr="007D5ADC" w:rsidRDefault="00A61314" w:rsidP="00A61314">
      <w:pPr>
        <w:ind w:left="851"/>
        <w:rPr>
          <w:sz w:val="24"/>
          <w:szCs w:val="24"/>
        </w:rPr>
      </w:pPr>
      <w:r w:rsidRPr="007D5ADC">
        <w:rPr>
          <w:sz w:val="24"/>
          <w:szCs w:val="24"/>
        </w:rPr>
        <w:t>Ikke alle pakningsstørrelser er nødvendigvis markedsført.</w:t>
      </w:r>
    </w:p>
    <w:p w:rsidR="00A61314" w:rsidRPr="00C84483" w:rsidRDefault="00A61314" w:rsidP="00A61314">
      <w:pPr>
        <w:tabs>
          <w:tab w:val="left" w:pos="851"/>
        </w:tabs>
        <w:ind w:left="851"/>
        <w:rPr>
          <w:sz w:val="24"/>
          <w:szCs w:val="24"/>
        </w:rPr>
      </w:pPr>
    </w:p>
    <w:p w:rsidR="00A61314" w:rsidRPr="00C84483" w:rsidRDefault="00A61314" w:rsidP="00A61314">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1422A">
        <w:rPr>
          <w:b/>
          <w:sz w:val="24"/>
          <w:szCs w:val="24"/>
        </w:rPr>
        <w:t>bortskaffelse</w:t>
      </w:r>
      <w:r w:rsidRPr="00C84483">
        <w:rPr>
          <w:b/>
          <w:sz w:val="24"/>
          <w:szCs w:val="24"/>
        </w:rPr>
        <w:t xml:space="preserve"> og anden håndtering</w:t>
      </w:r>
    </w:p>
    <w:p w:rsidR="00A61314" w:rsidRDefault="00A61314" w:rsidP="00A61314">
      <w:pPr>
        <w:ind w:left="851"/>
        <w:rPr>
          <w:sz w:val="24"/>
          <w:szCs w:val="24"/>
        </w:rPr>
      </w:pPr>
      <w:r>
        <w:rPr>
          <w:sz w:val="24"/>
          <w:szCs w:val="24"/>
        </w:rPr>
        <w:t>Ingen særlige forholdsregler ved bortskaffelse.</w:t>
      </w:r>
    </w:p>
    <w:p w:rsidR="00A61314" w:rsidRPr="007D5ADC" w:rsidRDefault="00A61314" w:rsidP="00A61314">
      <w:pPr>
        <w:ind w:left="851"/>
        <w:rPr>
          <w:sz w:val="24"/>
          <w:szCs w:val="24"/>
        </w:rPr>
      </w:pPr>
      <w:r w:rsidRPr="007D5ADC">
        <w:rPr>
          <w:sz w:val="24"/>
          <w:szCs w:val="24"/>
        </w:rPr>
        <w:t>Ikke anvendt lægemiddel samt affald heraf skal bortskaffes i henhold til lokale retningslinjer.</w:t>
      </w:r>
    </w:p>
    <w:p w:rsidR="00A61314" w:rsidRPr="00C84483" w:rsidRDefault="00A61314" w:rsidP="00A61314">
      <w:pPr>
        <w:tabs>
          <w:tab w:val="left" w:pos="851"/>
        </w:tabs>
        <w:ind w:left="851"/>
        <w:jc w:val="both"/>
        <w:rPr>
          <w:sz w:val="24"/>
          <w:szCs w:val="24"/>
        </w:rPr>
      </w:pPr>
    </w:p>
    <w:p w:rsidR="00A61314" w:rsidRPr="00C84483" w:rsidRDefault="00A61314" w:rsidP="00A61314">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A61314" w:rsidRPr="007D5ADC" w:rsidRDefault="00A61314" w:rsidP="00A61314">
      <w:pPr>
        <w:ind w:left="851"/>
        <w:rPr>
          <w:sz w:val="24"/>
          <w:szCs w:val="24"/>
        </w:rPr>
      </w:pPr>
      <w:r w:rsidRPr="007D5ADC">
        <w:rPr>
          <w:sz w:val="24"/>
          <w:szCs w:val="24"/>
        </w:rPr>
        <w:t>STADA Arzneimittel AG</w:t>
      </w:r>
    </w:p>
    <w:p w:rsidR="00A61314" w:rsidRPr="007D5ADC" w:rsidRDefault="00A61314" w:rsidP="00A61314">
      <w:pPr>
        <w:ind w:left="851"/>
        <w:rPr>
          <w:sz w:val="24"/>
          <w:szCs w:val="24"/>
        </w:rPr>
      </w:pPr>
      <w:r w:rsidRPr="007D5ADC">
        <w:rPr>
          <w:sz w:val="24"/>
          <w:szCs w:val="24"/>
        </w:rPr>
        <w:t xml:space="preserve">Stadastrasse 2-18, </w:t>
      </w:r>
    </w:p>
    <w:p w:rsidR="00A61314" w:rsidRPr="007D5ADC" w:rsidRDefault="00A61314" w:rsidP="00A61314">
      <w:pPr>
        <w:ind w:left="851"/>
        <w:rPr>
          <w:sz w:val="24"/>
          <w:szCs w:val="24"/>
        </w:rPr>
      </w:pPr>
      <w:r w:rsidRPr="007D5ADC">
        <w:rPr>
          <w:sz w:val="24"/>
          <w:szCs w:val="24"/>
        </w:rPr>
        <w:t xml:space="preserve">61118 Bad Vilbel </w:t>
      </w:r>
    </w:p>
    <w:p w:rsidR="00A61314" w:rsidRPr="007D5ADC" w:rsidRDefault="00A61314" w:rsidP="00A61314">
      <w:pPr>
        <w:ind w:left="851"/>
        <w:rPr>
          <w:sz w:val="24"/>
          <w:szCs w:val="24"/>
        </w:rPr>
      </w:pPr>
      <w:r w:rsidRPr="007D5ADC">
        <w:rPr>
          <w:sz w:val="24"/>
          <w:szCs w:val="24"/>
        </w:rPr>
        <w:t>Tyskland</w:t>
      </w:r>
    </w:p>
    <w:p w:rsidR="00A61314" w:rsidRPr="007D5ADC" w:rsidRDefault="00A61314" w:rsidP="00A61314">
      <w:pPr>
        <w:ind w:left="851"/>
        <w:rPr>
          <w:sz w:val="24"/>
          <w:szCs w:val="24"/>
        </w:rPr>
      </w:pPr>
    </w:p>
    <w:p w:rsidR="00A61314" w:rsidRPr="001370F4" w:rsidRDefault="00A61314" w:rsidP="00A61314">
      <w:pPr>
        <w:ind w:left="851"/>
        <w:rPr>
          <w:b/>
          <w:sz w:val="24"/>
          <w:szCs w:val="24"/>
        </w:rPr>
      </w:pPr>
      <w:r w:rsidRPr="001370F4">
        <w:rPr>
          <w:b/>
          <w:sz w:val="24"/>
          <w:szCs w:val="24"/>
        </w:rPr>
        <w:t>Repræsentant</w:t>
      </w:r>
    </w:p>
    <w:p w:rsidR="00A61314" w:rsidRPr="007D5ADC" w:rsidRDefault="00A61314" w:rsidP="00A61314">
      <w:pPr>
        <w:ind w:left="851"/>
        <w:rPr>
          <w:sz w:val="24"/>
          <w:szCs w:val="24"/>
        </w:rPr>
      </w:pPr>
      <w:r w:rsidRPr="007D5ADC">
        <w:rPr>
          <w:sz w:val="24"/>
          <w:szCs w:val="24"/>
        </w:rPr>
        <w:t>STADA Nordic ApS</w:t>
      </w:r>
    </w:p>
    <w:p w:rsidR="00A61314" w:rsidRPr="007D5ADC" w:rsidRDefault="00A61314" w:rsidP="00A61314">
      <w:pPr>
        <w:ind w:left="851"/>
        <w:rPr>
          <w:sz w:val="24"/>
          <w:szCs w:val="24"/>
        </w:rPr>
      </w:pPr>
      <w:r w:rsidRPr="007D5ADC">
        <w:rPr>
          <w:sz w:val="24"/>
          <w:szCs w:val="24"/>
        </w:rPr>
        <w:t xml:space="preserve">Marielundvej 46a </w:t>
      </w:r>
    </w:p>
    <w:p w:rsidR="00A61314" w:rsidRPr="007D5ADC" w:rsidRDefault="00A61314" w:rsidP="00A61314">
      <w:pPr>
        <w:ind w:left="851"/>
        <w:rPr>
          <w:sz w:val="24"/>
          <w:szCs w:val="24"/>
        </w:rPr>
      </w:pPr>
      <w:r w:rsidRPr="007D5ADC">
        <w:rPr>
          <w:sz w:val="24"/>
          <w:szCs w:val="24"/>
        </w:rPr>
        <w:t>2730 Herlev</w:t>
      </w:r>
    </w:p>
    <w:p w:rsidR="00A61314" w:rsidRPr="00C84483" w:rsidRDefault="00A61314" w:rsidP="00A61314">
      <w:pPr>
        <w:tabs>
          <w:tab w:val="left" w:pos="851"/>
        </w:tabs>
        <w:ind w:left="851"/>
        <w:rPr>
          <w:sz w:val="24"/>
          <w:szCs w:val="24"/>
        </w:rPr>
      </w:pPr>
    </w:p>
    <w:p w:rsidR="00A61314" w:rsidRPr="00C84483" w:rsidRDefault="00A61314" w:rsidP="00A61314">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1422A">
        <w:rPr>
          <w:b/>
          <w:sz w:val="24"/>
          <w:szCs w:val="24"/>
        </w:rPr>
        <w:t>-</w:t>
      </w:r>
      <w:r w:rsidRPr="00C84483">
        <w:rPr>
          <w:b/>
          <w:sz w:val="24"/>
          <w:szCs w:val="24"/>
        </w:rPr>
        <w:t>NUMRE)</w:t>
      </w:r>
    </w:p>
    <w:p w:rsidR="00A61314" w:rsidRDefault="00A61314" w:rsidP="00A61314">
      <w:pPr>
        <w:tabs>
          <w:tab w:val="left" w:pos="851"/>
        </w:tabs>
        <w:ind w:left="851"/>
        <w:rPr>
          <w:sz w:val="24"/>
          <w:szCs w:val="24"/>
        </w:rPr>
      </w:pPr>
      <w:r>
        <w:rPr>
          <w:sz w:val="24"/>
          <w:szCs w:val="24"/>
        </w:rPr>
        <w:t>150 mg: 59828</w:t>
      </w:r>
    </w:p>
    <w:p w:rsidR="00A61314" w:rsidRDefault="00A61314" w:rsidP="00A61314">
      <w:pPr>
        <w:tabs>
          <w:tab w:val="left" w:pos="851"/>
        </w:tabs>
        <w:ind w:left="851"/>
        <w:rPr>
          <w:sz w:val="24"/>
          <w:szCs w:val="24"/>
        </w:rPr>
      </w:pPr>
      <w:r>
        <w:rPr>
          <w:sz w:val="24"/>
          <w:szCs w:val="24"/>
        </w:rPr>
        <w:t>200 mg: 59829</w:t>
      </w:r>
    </w:p>
    <w:p w:rsidR="00A61314" w:rsidRPr="00C84483" w:rsidRDefault="00A61314" w:rsidP="00A61314">
      <w:pPr>
        <w:tabs>
          <w:tab w:val="left" w:pos="851"/>
        </w:tabs>
        <w:ind w:left="851"/>
        <w:rPr>
          <w:sz w:val="24"/>
          <w:szCs w:val="24"/>
        </w:rPr>
      </w:pPr>
      <w:r>
        <w:rPr>
          <w:sz w:val="24"/>
          <w:szCs w:val="24"/>
        </w:rPr>
        <w:t>300 mg: 59830</w:t>
      </w:r>
    </w:p>
    <w:p w:rsidR="00A61314" w:rsidRPr="00C84483" w:rsidRDefault="00A61314" w:rsidP="00A61314">
      <w:pPr>
        <w:tabs>
          <w:tab w:val="left" w:pos="851"/>
        </w:tabs>
        <w:ind w:left="851"/>
        <w:jc w:val="both"/>
        <w:rPr>
          <w:sz w:val="24"/>
          <w:szCs w:val="24"/>
        </w:rPr>
      </w:pPr>
    </w:p>
    <w:p w:rsidR="00A61314" w:rsidRPr="00C84483" w:rsidRDefault="00A61314" w:rsidP="00A61314">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A61314" w:rsidRPr="00C84483" w:rsidRDefault="00A61314" w:rsidP="00A61314">
      <w:pPr>
        <w:tabs>
          <w:tab w:val="left" w:pos="851"/>
        </w:tabs>
        <w:ind w:left="851"/>
        <w:rPr>
          <w:sz w:val="24"/>
          <w:szCs w:val="24"/>
        </w:rPr>
      </w:pPr>
      <w:r>
        <w:rPr>
          <w:sz w:val="24"/>
          <w:szCs w:val="24"/>
        </w:rPr>
        <w:t>10. januar 2019</w:t>
      </w:r>
    </w:p>
    <w:p w:rsidR="00A61314" w:rsidRPr="00C84483" w:rsidRDefault="00A61314" w:rsidP="00A61314">
      <w:pPr>
        <w:tabs>
          <w:tab w:val="left" w:pos="851"/>
        </w:tabs>
        <w:ind w:left="851"/>
        <w:rPr>
          <w:sz w:val="24"/>
          <w:szCs w:val="24"/>
        </w:rPr>
      </w:pPr>
    </w:p>
    <w:p w:rsidR="00A61314" w:rsidRPr="00C84483" w:rsidRDefault="00A61314" w:rsidP="00A61314">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A61314" w:rsidRPr="00C84483" w:rsidRDefault="005A300A" w:rsidP="00A61314">
      <w:pPr>
        <w:tabs>
          <w:tab w:val="left" w:pos="851"/>
        </w:tabs>
        <w:ind w:left="851"/>
        <w:rPr>
          <w:sz w:val="24"/>
          <w:szCs w:val="24"/>
        </w:rPr>
      </w:pPr>
      <w:r>
        <w:rPr>
          <w:sz w:val="24"/>
          <w:szCs w:val="24"/>
        </w:rPr>
        <w:t>11</w:t>
      </w:r>
      <w:r w:rsidR="00C32206">
        <w:rPr>
          <w:sz w:val="24"/>
          <w:szCs w:val="24"/>
        </w:rPr>
        <w:t xml:space="preserve">. </w:t>
      </w:r>
      <w:r>
        <w:rPr>
          <w:sz w:val="24"/>
          <w:szCs w:val="24"/>
        </w:rPr>
        <w:t>juni</w:t>
      </w:r>
      <w:bookmarkStart w:id="0" w:name="_GoBack"/>
      <w:bookmarkEnd w:id="0"/>
      <w:r w:rsidR="00C32206">
        <w:rPr>
          <w:sz w:val="24"/>
          <w:szCs w:val="24"/>
        </w:rPr>
        <w:t xml:space="preserve"> 2024</w:t>
      </w:r>
    </w:p>
    <w:p w:rsidR="0003527F" w:rsidRPr="00A61314" w:rsidRDefault="0003527F" w:rsidP="00A61314"/>
    <w:sectPr w:rsidR="0003527F" w:rsidRPr="00A61314"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79C" w:rsidRDefault="00AE279C">
      <w:r>
        <w:separator/>
      </w:r>
    </w:p>
  </w:endnote>
  <w:endnote w:type="continuationSeparator" w:id="0">
    <w:p w:rsidR="00AE279C" w:rsidRDefault="00AE2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Bold">
    <w:altName w:val="Times New Roman"/>
    <w:charset w:val="00"/>
    <w:family w:val="auto"/>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79C" w:rsidRDefault="00AE279C">
    <w:pPr>
      <w:pStyle w:val="Sidefod"/>
      <w:pBdr>
        <w:bottom w:val="single" w:sz="6" w:space="1" w:color="auto"/>
      </w:pBdr>
      <w:tabs>
        <w:tab w:val="clear" w:pos="4819"/>
        <w:tab w:val="left" w:pos="8647"/>
      </w:tabs>
      <w:rPr>
        <w:i/>
        <w:snapToGrid w:val="0"/>
        <w:sz w:val="18"/>
      </w:rPr>
    </w:pPr>
  </w:p>
  <w:p w:rsidR="00AE279C" w:rsidRDefault="00AE279C">
    <w:pPr>
      <w:pStyle w:val="Sidefod"/>
      <w:tabs>
        <w:tab w:val="clear" w:pos="4819"/>
        <w:tab w:val="left" w:pos="8647"/>
      </w:tabs>
      <w:rPr>
        <w:i/>
        <w:snapToGrid w:val="0"/>
        <w:sz w:val="18"/>
      </w:rPr>
    </w:pPr>
  </w:p>
  <w:p w:rsidR="00AE279C" w:rsidRDefault="00AE279C">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Atazanavir Stada, hårde kapsler 150 mg, 200 mg og 300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79C" w:rsidRDefault="00AE279C">
    <w:pPr>
      <w:pStyle w:val="Sidefod"/>
      <w:pBdr>
        <w:bottom w:val="single" w:sz="6" w:space="1" w:color="auto"/>
      </w:pBdr>
      <w:tabs>
        <w:tab w:val="clear" w:pos="4819"/>
        <w:tab w:val="left" w:pos="8647"/>
      </w:tabs>
      <w:rPr>
        <w:i/>
        <w:snapToGrid w:val="0"/>
        <w:sz w:val="18"/>
      </w:rPr>
    </w:pPr>
  </w:p>
  <w:p w:rsidR="00AE279C" w:rsidRDefault="00AE279C">
    <w:pPr>
      <w:pStyle w:val="Sidefod"/>
      <w:tabs>
        <w:tab w:val="clear" w:pos="4819"/>
        <w:tab w:val="left" w:pos="8647"/>
      </w:tabs>
      <w:rPr>
        <w:i/>
        <w:snapToGrid w:val="0"/>
        <w:sz w:val="18"/>
      </w:rPr>
    </w:pPr>
  </w:p>
  <w:p w:rsidR="00AE279C" w:rsidRDefault="00AE279C">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Atazanavir Stada, hårde kapsler 150 mg, 200 mg og 300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79C" w:rsidRDefault="00AE279C">
      <w:r>
        <w:separator/>
      </w:r>
    </w:p>
  </w:footnote>
  <w:footnote w:type="continuationSeparator" w:id="0">
    <w:p w:rsidR="00AE279C" w:rsidRDefault="00AE2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79C" w:rsidRDefault="00AE279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79C" w:rsidRDefault="00AE279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2384DAC"/>
    <w:multiLevelType w:val="hybridMultilevel"/>
    <w:tmpl w:val="E4AC4B3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190D27"/>
    <w:multiLevelType w:val="hybridMultilevel"/>
    <w:tmpl w:val="6198A00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4897F13"/>
    <w:multiLevelType w:val="hybridMultilevel"/>
    <w:tmpl w:val="9C68B1BC"/>
    <w:lvl w:ilvl="0" w:tplc="B8260F7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A9C146E"/>
    <w:multiLevelType w:val="hybridMultilevel"/>
    <w:tmpl w:val="AE08EEBE"/>
    <w:lvl w:ilvl="0" w:tplc="07989562">
      <w:start w:val="1"/>
      <w:numFmt w:val="bullet"/>
      <w:lvlText w:val=""/>
      <w:lvlJc w:val="left"/>
      <w:pPr>
        <w:ind w:left="720" w:hanging="360"/>
      </w:pPr>
      <w:rPr>
        <w:rFonts w:ascii="Wingdings" w:eastAsia="Wingdings" w:hAnsi="Wingdings" w:hint="default"/>
        <w:w w:val="99"/>
        <w:sz w:val="22"/>
        <w:szCs w:val="22"/>
      </w:rPr>
    </w:lvl>
    <w:lvl w:ilvl="1" w:tplc="07989562">
      <w:start w:val="1"/>
      <w:numFmt w:val="bullet"/>
      <w:lvlText w:val=""/>
      <w:lvlJc w:val="left"/>
      <w:pPr>
        <w:ind w:left="1440" w:hanging="360"/>
      </w:pPr>
      <w:rPr>
        <w:rFonts w:ascii="Wingdings" w:eastAsia="Wingdings" w:hAnsi="Wingdings" w:hint="default"/>
        <w:w w:val="99"/>
        <w:sz w:val="22"/>
        <w:szCs w:val="22"/>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7BF711E6"/>
    <w:multiLevelType w:val="hybridMultilevel"/>
    <w:tmpl w:val="BF6C3C5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7"/>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2"/>
  </w:num>
  <w:num w:numId="11">
    <w:abstractNumId w:val="1"/>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314"/>
    <w:rsid w:val="00031F27"/>
    <w:rsid w:val="0003527F"/>
    <w:rsid w:val="000607B8"/>
    <w:rsid w:val="00065C7D"/>
    <w:rsid w:val="00083C60"/>
    <w:rsid w:val="00090F32"/>
    <w:rsid w:val="000B51CD"/>
    <w:rsid w:val="000C6CD4"/>
    <w:rsid w:val="001458BB"/>
    <w:rsid w:val="00145ECF"/>
    <w:rsid w:val="001577E4"/>
    <w:rsid w:val="0017774B"/>
    <w:rsid w:val="001858CA"/>
    <w:rsid w:val="001A7631"/>
    <w:rsid w:val="001B4C46"/>
    <w:rsid w:val="001C208B"/>
    <w:rsid w:val="001C4AEF"/>
    <w:rsid w:val="001D3CC5"/>
    <w:rsid w:val="00226EDE"/>
    <w:rsid w:val="0023582A"/>
    <w:rsid w:val="00255A0B"/>
    <w:rsid w:val="00292EB4"/>
    <w:rsid w:val="002A0DA0"/>
    <w:rsid w:val="002D22D8"/>
    <w:rsid w:val="00322542"/>
    <w:rsid w:val="00322BDE"/>
    <w:rsid w:val="003271C0"/>
    <w:rsid w:val="00331A74"/>
    <w:rsid w:val="00357056"/>
    <w:rsid w:val="003718A9"/>
    <w:rsid w:val="003977D7"/>
    <w:rsid w:val="003F0FBB"/>
    <w:rsid w:val="003F4F73"/>
    <w:rsid w:val="00404760"/>
    <w:rsid w:val="00406EE7"/>
    <w:rsid w:val="00407013"/>
    <w:rsid w:val="004204FB"/>
    <w:rsid w:val="00454C52"/>
    <w:rsid w:val="00472DBB"/>
    <w:rsid w:val="004A62CC"/>
    <w:rsid w:val="004B5B3B"/>
    <w:rsid w:val="004F3E1A"/>
    <w:rsid w:val="004F5D17"/>
    <w:rsid w:val="004F74AA"/>
    <w:rsid w:val="00515799"/>
    <w:rsid w:val="00536BAF"/>
    <w:rsid w:val="0054382B"/>
    <w:rsid w:val="00565A74"/>
    <w:rsid w:val="00570CA6"/>
    <w:rsid w:val="005A300A"/>
    <w:rsid w:val="005B0036"/>
    <w:rsid w:val="005F5831"/>
    <w:rsid w:val="006545E4"/>
    <w:rsid w:val="00662012"/>
    <w:rsid w:val="00666B01"/>
    <w:rsid w:val="006B1539"/>
    <w:rsid w:val="006B669C"/>
    <w:rsid w:val="006F5621"/>
    <w:rsid w:val="007160EB"/>
    <w:rsid w:val="0072489B"/>
    <w:rsid w:val="00785822"/>
    <w:rsid w:val="007B17FB"/>
    <w:rsid w:val="007E2A00"/>
    <w:rsid w:val="008010F2"/>
    <w:rsid w:val="00807D88"/>
    <w:rsid w:val="0088674B"/>
    <w:rsid w:val="008C575A"/>
    <w:rsid w:val="008F6A14"/>
    <w:rsid w:val="009060A8"/>
    <w:rsid w:val="009202AE"/>
    <w:rsid w:val="00991594"/>
    <w:rsid w:val="009D66C6"/>
    <w:rsid w:val="00A075E0"/>
    <w:rsid w:val="00A33254"/>
    <w:rsid w:val="00A33BC7"/>
    <w:rsid w:val="00A61314"/>
    <w:rsid w:val="00A96525"/>
    <w:rsid w:val="00AB5B72"/>
    <w:rsid w:val="00AE279C"/>
    <w:rsid w:val="00AE29E5"/>
    <w:rsid w:val="00AE5757"/>
    <w:rsid w:val="00B1422A"/>
    <w:rsid w:val="00B25EB8"/>
    <w:rsid w:val="00B83183"/>
    <w:rsid w:val="00BB1239"/>
    <w:rsid w:val="00BC634B"/>
    <w:rsid w:val="00BC7A0B"/>
    <w:rsid w:val="00BF2AE0"/>
    <w:rsid w:val="00C31425"/>
    <w:rsid w:val="00C32206"/>
    <w:rsid w:val="00C4149B"/>
    <w:rsid w:val="00C41819"/>
    <w:rsid w:val="00C479BF"/>
    <w:rsid w:val="00C84C5B"/>
    <w:rsid w:val="00D8602C"/>
    <w:rsid w:val="00DA4B7C"/>
    <w:rsid w:val="00DD5980"/>
    <w:rsid w:val="00DD6D71"/>
    <w:rsid w:val="00DF32BE"/>
    <w:rsid w:val="00E14F0A"/>
    <w:rsid w:val="00E832A7"/>
    <w:rsid w:val="00E879C5"/>
    <w:rsid w:val="00EB5778"/>
    <w:rsid w:val="00EE5253"/>
    <w:rsid w:val="00F329FF"/>
    <w:rsid w:val="00F37237"/>
    <w:rsid w:val="00F510C1"/>
    <w:rsid w:val="00F94443"/>
    <w:rsid w:val="00FA66E4"/>
    <w:rsid w:val="00FD6433"/>
    <w:rsid w:val="00FF4A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BC0F6"/>
  <w15:chartTrackingRefBased/>
  <w15:docId w15:val="{FCF8317D-E15E-49A1-B526-877E8F3DE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link w:val="Overskrift1Tegn"/>
    <w:qFormat/>
    <w:rsid w:val="00E14F0A"/>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B51CD"/>
    <w:rPr>
      <w:rFonts w:ascii="Arial" w:hAnsi="Arial"/>
      <w:b/>
      <w:kern w:val="28"/>
      <w:sz w:val="28"/>
      <w:lang w:eastAsia="en-US"/>
    </w:rPr>
  </w:style>
  <w:style w:type="character" w:customStyle="1" w:styleId="Overskrift3Tegn">
    <w:name w:val="Overskrift 3 Tegn"/>
    <w:basedOn w:val="Standardskrifttypeiafsnit"/>
    <w:link w:val="Overskrift3"/>
    <w:rsid w:val="000B51CD"/>
    <w:rPr>
      <w:rFonts w:ascii="Arial" w:hAnsi="Arial"/>
      <w:sz w:val="24"/>
      <w:lang w:eastAsia="en-US"/>
    </w:rPr>
  </w:style>
  <w:style w:type="paragraph" w:styleId="Sidehoved">
    <w:name w:val="header"/>
    <w:basedOn w:val="Normal"/>
    <w:link w:val="SidehovedTegn"/>
    <w:uiPriority w:val="99"/>
    <w:rsid w:val="00DF32BE"/>
    <w:pPr>
      <w:tabs>
        <w:tab w:val="center" w:pos="4819"/>
        <w:tab w:val="right" w:pos="9638"/>
      </w:tabs>
    </w:pPr>
    <w:rPr>
      <w:sz w:val="24"/>
      <w:lang w:eastAsia="da-DK"/>
    </w:rPr>
  </w:style>
  <w:style w:type="character" w:customStyle="1" w:styleId="SidehovedTegn">
    <w:name w:val="Sidehoved Tegn"/>
    <w:link w:val="Sidehoved"/>
    <w:uiPriority w:val="99"/>
    <w:rsid w:val="00FA66E4"/>
    <w:rPr>
      <w:sz w:val="24"/>
    </w:rPr>
  </w:style>
  <w:style w:type="paragraph" w:styleId="Sidefod">
    <w:name w:val="footer"/>
    <w:basedOn w:val="Normal"/>
    <w:link w:val="SidefodTegn"/>
    <w:rsid w:val="00DF32BE"/>
    <w:pPr>
      <w:tabs>
        <w:tab w:val="center" w:pos="4819"/>
        <w:tab w:val="right" w:pos="9638"/>
      </w:tabs>
    </w:pPr>
    <w:rPr>
      <w:sz w:val="24"/>
      <w:lang w:eastAsia="da-DK"/>
    </w:rPr>
  </w:style>
  <w:style w:type="character" w:customStyle="1" w:styleId="SidefodTegn">
    <w:name w:val="Sidefod Tegn"/>
    <w:basedOn w:val="Standardskrifttypeiafsnit"/>
    <w:link w:val="Sidefod"/>
    <w:rsid w:val="00A61314"/>
    <w:rPr>
      <w:sz w:val="24"/>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character" w:customStyle="1" w:styleId="KommentartekstTegn">
    <w:name w:val="Kommentartekst Tegn"/>
    <w:basedOn w:val="Standardskrifttypeiafsnit"/>
    <w:link w:val="Kommentartekst"/>
    <w:semiHidden/>
    <w:rsid w:val="00FA66E4"/>
  </w:style>
  <w:style w:type="paragraph" w:styleId="Markeringsbobletekst">
    <w:name w:val="Balloon Text"/>
    <w:basedOn w:val="Normal"/>
    <w:link w:val="MarkeringsbobletekstTegn"/>
    <w:semiHidden/>
    <w:rsid w:val="00DF32BE"/>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B51CD"/>
    <w:rPr>
      <w:rFonts w:ascii="Tahoma" w:hAnsi="Tahoma" w:cs="Tahoma"/>
      <w:sz w:val="16"/>
      <w:szCs w:val="16"/>
      <w:lang w:eastAsia="en-US"/>
    </w:rPr>
  </w:style>
  <w:style w:type="paragraph" w:styleId="Kommentaremne">
    <w:name w:val="annotation subject"/>
    <w:basedOn w:val="Kommentartekst"/>
    <w:next w:val="Kommentartekst"/>
    <w:link w:val="KommentaremneTegn"/>
    <w:uiPriority w:val="99"/>
    <w:semiHidden/>
    <w:rsid w:val="001577E4"/>
    <w:rPr>
      <w:b/>
      <w:bCs/>
      <w:lang w:eastAsia="en-US"/>
    </w:rPr>
  </w:style>
  <w:style w:type="character" w:customStyle="1" w:styleId="KommentaremneTegn">
    <w:name w:val="Kommentaremne Tegn"/>
    <w:basedOn w:val="KommentartekstTegn"/>
    <w:link w:val="Kommentaremne"/>
    <w:uiPriority w:val="99"/>
    <w:semiHidden/>
    <w:rsid w:val="00A61314"/>
    <w:rPr>
      <w:b/>
      <w:bCs/>
      <w:lang w:eastAsia="en-US"/>
    </w:rPr>
  </w:style>
  <w:style w:type="character" w:styleId="Pladsholdertekst">
    <w:name w:val="Placeholder Text"/>
    <w:basedOn w:val="Standardskrifttypeiafsnit"/>
    <w:uiPriority w:val="99"/>
    <w:semiHidden/>
    <w:rsid w:val="00090F32"/>
    <w:rPr>
      <w:color w:val="808080"/>
    </w:rPr>
  </w:style>
  <w:style w:type="paragraph" w:styleId="Titel">
    <w:name w:val="Title"/>
    <w:basedOn w:val="Normal"/>
    <w:link w:val="TitelTegn"/>
    <w:qFormat/>
    <w:rsid w:val="00A61314"/>
    <w:pPr>
      <w:jc w:val="center"/>
    </w:pPr>
    <w:rPr>
      <w:b/>
      <w:sz w:val="24"/>
      <w:lang w:eastAsia="da-DK"/>
    </w:rPr>
  </w:style>
  <w:style w:type="character" w:customStyle="1" w:styleId="TitelTegn">
    <w:name w:val="Titel Tegn"/>
    <w:basedOn w:val="Standardskrifttypeiafsnit"/>
    <w:link w:val="Titel"/>
    <w:rsid w:val="00A61314"/>
    <w:rPr>
      <w:b/>
      <w:sz w:val="24"/>
    </w:rPr>
  </w:style>
  <w:style w:type="character" w:styleId="Sidetal">
    <w:name w:val="page number"/>
    <w:basedOn w:val="Standardskrifttypeiafsnit"/>
    <w:rsid w:val="00A61314"/>
  </w:style>
  <w:style w:type="paragraph" w:styleId="Listeafsnit">
    <w:name w:val="List Paragraph"/>
    <w:basedOn w:val="Normal"/>
    <w:uiPriority w:val="34"/>
    <w:qFormat/>
    <w:rsid w:val="00A61314"/>
    <w:pPr>
      <w:ind w:left="720"/>
      <w:contextualSpacing/>
    </w:pPr>
  </w:style>
  <w:style w:type="table" w:styleId="Tabel-Gitter">
    <w:name w:val="Table Grid"/>
    <w:basedOn w:val="Tabel-Normal"/>
    <w:uiPriority w:val="39"/>
    <w:rsid w:val="00A61314"/>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A61314"/>
    <w:rPr>
      <w:color w:val="0563C1" w:themeColor="hyperlink"/>
      <w:u w:val="single"/>
    </w:rPr>
  </w:style>
  <w:style w:type="character" w:customStyle="1" w:styleId="FormateretHTMLTegn">
    <w:name w:val="Formateret HTML Tegn"/>
    <w:basedOn w:val="Standardskrifttypeiafsnit"/>
    <w:link w:val="FormateretHTML"/>
    <w:uiPriority w:val="99"/>
    <w:semiHidden/>
    <w:rsid w:val="00A61314"/>
    <w:rPr>
      <w:rFonts w:ascii="Courier New" w:hAnsi="Courier New" w:cs="Courier New"/>
    </w:rPr>
  </w:style>
  <w:style w:type="paragraph" w:styleId="FormateretHTML">
    <w:name w:val="HTML Preformatted"/>
    <w:basedOn w:val="Normal"/>
    <w:link w:val="FormateretHTMLTegn"/>
    <w:uiPriority w:val="99"/>
    <w:semiHidden/>
    <w:unhideWhenUsed/>
    <w:rsid w:val="00A6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da-DK"/>
    </w:rPr>
  </w:style>
  <w:style w:type="character" w:customStyle="1" w:styleId="FormateretHTMLTegn1">
    <w:name w:val="Formateret HTML Tegn1"/>
    <w:basedOn w:val="Standardskrifttypeiafsnit"/>
    <w:uiPriority w:val="99"/>
    <w:semiHidden/>
    <w:rsid w:val="00A61314"/>
    <w:rPr>
      <w:rFonts w:ascii="Consolas" w:hAnsi="Consolas"/>
      <w:lang w:eastAsia="en-US"/>
    </w:rPr>
  </w:style>
  <w:style w:type="paragraph" w:styleId="Brdtekstindrykning">
    <w:name w:val="Body Text Indent"/>
    <w:basedOn w:val="Normal"/>
    <w:link w:val="BrdtekstindrykningTegn"/>
    <w:semiHidden/>
    <w:unhideWhenUsed/>
    <w:rsid w:val="00A61314"/>
    <w:pPr>
      <w:tabs>
        <w:tab w:val="left" w:pos="851"/>
      </w:tabs>
      <w:ind w:left="851"/>
    </w:pPr>
    <w:rPr>
      <w:sz w:val="24"/>
      <w:lang w:eastAsia="da-DK"/>
    </w:rPr>
  </w:style>
  <w:style w:type="character" w:customStyle="1" w:styleId="BrdtekstindrykningTegn">
    <w:name w:val="Brødtekstindrykning Tegn"/>
    <w:basedOn w:val="Standardskrifttypeiafsnit"/>
    <w:link w:val="Brdtekstindrykning"/>
    <w:semiHidden/>
    <w:rsid w:val="00A6131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42</Pages>
  <Words>13842</Words>
  <Characters>90430</Characters>
  <Application>Microsoft Office Word</Application>
  <DocSecurity>0</DocSecurity>
  <Lines>753</Lines>
  <Paragraphs>208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OPTION</Company>
  <LinksUpToDate>false</LinksUpToDate>
  <CharactersWithSpaces>104064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2024011774_x000d_
SPC pkt. 4.2, 4.3, 4.4, 4.5, 4.6, 4.7, 4.8, 5.1, 5.2_x000d_
2023080141 - (samme ændringer som i voteringsarket for ovenstående sag + noget til pkt. 4.8 - viar)</dc:description>
  <cp:lastModifiedBy>Victoria Alexsandra Ringgaard</cp:lastModifiedBy>
  <cp:revision>4</cp:revision>
  <dcterms:created xsi:type="dcterms:W3CDTF">2024-06-07T11:16:00Z</dcterms:created>
  <dcterms:modified xsi:type="dcterms:W3CDTF">2024-06-07T11:30:00Z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ies>
</file>