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90B23" w14:textId="77777777" w:rsidR="009260DE" w:rsidRPr="00EB768C" w:rsidRDefault="0021526C" w:rsidP="009260DE">
      <w:pPr>
        <w:rPr>
          <w:sz w:val="24"/>
          <w:szCs w:val="24"/>
        </w:rPr>
      </w:pPr>
      <w:r w:rsidRPr="00EB768C">
        <w:rPr>
          <w:noProof/>
          <w:sz w:val="24"/>
          <w:szCs w:val="24"/>
          <w:lang w:eastAsia="da-DK"/>
        </w:rPr>
        <w:drawing>
          <wp:anchor distT="0" distB="0" distL="114300" distR="114300" simplePos="0" relativeHeight="251658240" behindDoc="0" locked="0" layoutInCell="1" allowOverlap="1" wp14:anchorId="70F0A43E" wp14:editId="5AD9CC1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B768C">
        <w:rPr>
          <w:sz w:val="24"/>
          <w:szCs w:val="24"/>
        </w:rPr>
        <w:br w:type="textWrapping" w:clear="all"/>
      </w:r>
    </w:p>
    <w:p w14:paraId="669F0ED4" w14:textId="65F11D4B" w:rsidR="009260DE" w:rsidRPr="00EB768C" w:rsidRDefault="009260DE" w:rsidP="009260DE">
      <w:pPr>
        <w:pStyle w:val="Titel"/>
        <w:tabs>
          <w:tab w:val="right" w:pos="9356"/>
        </w:tabs>
        <w:jc w:val="left"/>
        <w:rPr>
          <w:b w:val="0"/>
          <w:szCs w:val="24"/>
          <w:lang w:eastAsia="en-US"/>
        </w:rPr>
      </w:pPr>
      <w:r w:rsidRPr="00EB768C">
        <w:rPr>
          <w:b w:val="0"/>
          <w:szCs w:val="24"/>
          <w:lang w:eastAsia="en-US"/>
        </w:rPr>
        <w:tab/>
      </w:r>
      <w:r w:rsidR="00E24132">
        <w:rPr>
          <w:szCs w:val="24"/>
        </w:rPr>
        <w:t>1. august 2024</w:t>
      </w:r>
    </w:p>
    <w:p w14:paraId="7F08B587" w14:textId="77777777" w:rsidR="009260DE" w:rsidRPr="00EB768C" w:rsidRDefault="009260DE" w:rsidP="009260DE">
      <w:pPr>
        <w:pStyle w:val="Titel"/>
        <w:tabs>
          <w:tab w:val="left" w:pos="8222"/>
        </w:tabs>
        <w:jc w:val="left"/>
        <w:rPr>
          <w:b w:val="0"/>
          <w:szCs w:val="24"/>
        </w:rPr>
      </w:pPr>
    </w:p>
    <w:p w14:paraId="0C28E612" w14:textId="77777777" w:rsidR="009260DE" w:rsidRPr="00EB768C" w:rsidRDefault="009260DE" w:rsidP="009260DE">
      <w:pPr>
        <w:pStyle w:val="Titel"/>
        <w:jc w:val="left"/>
        <w:rPr>
          <w:b w:val="0"/>
          <w:szCs w:val="24"/>
        </w:rPr>
      </w:pPr>
    </w:p>
    <w:p w14:paraId="180EF4EB" w14:textId="77777777" w:rsidR="009260DE" w:rsidRPr="00EB768C" w:rsidRDefault="009260DE" w:rsidP="009260DE">
      <w:pPr>
        <w:pStyle w:val="Titel"/>
        <w:jc w:val="left"/>
        <w:rPr>
          <w:b w:val="0"/>
          <w:szCs w:val="24"/>
        </w:rPr>
      </w:pPr>
    </w:p>
    <w:p w14:paraId="10D68D94" w14:textId="77777777" w:rsidR="009260DE" w:rsidRPr="00EB768C" w:rsidRDefault="009260DE" w:rsidP="009260DE">
      <w:pPr>
        <w:jc w:val="center"/>
        <w:rPr>
          <w:b/>
          <w:sz w:val="24"/>
          <w:szCs w:val="24"/>
        </w:rPr>
      </w:pPr>
      <w:r w:rsidRPr="00EB768C">
        <w:rPr>
          <w:b/>
          <w:sz w:val="24"/>
          <w:szCs w:val="24"/>
        </w:rPr>
        <w:t>PRODUKTRESUMÉ</w:t>
      </w:r>
    </w:p>
    <w:p w14:paraId="12020EB5" w14:textId="77777777" w:rsidR="009260DE" w:rsidRPr="00EB768C" w:rsidRDefault="009260DE" w:rsidP="009260DE">
      <w:pPr>
        <w:jc w:val="center"/>
        <w:rPr>
          <w:b/>
          <w:sz w:val="24"/>
          <w:szCs w:val="24"/>
        </w:rPr>
      </w:pPr>
    </w:p>
    <w:p w14:paraId="73FAE21C" w14:textId="77777777" w:rsidR="009260DE" w:rsidRPr="00EB768C" w:rsidRDefault="009260DE" w:rsidP="009260DE">
      <w:pPr>
        <w:jc w:val="center"/>
        <w:rPr>
          <w:b/>
          <w:sz w:val="24"/>
          <w:szCs w:val="24"/>
        </w:rPr>
      </w:pPr>
      <w:r w:rsidRPr="00EB768C">
        <w:rPr>
          <w:b/>
          <w:sz w:val="24"/>
          <w:szCs w:val="24"/>
        </w:rPr>
        <w:t>for</w:t>
      </w:r>
    </w:p>
    <w:p w14:paraId="7AC13A63" w14:textId="77777777" w:rsidR="000B058C" w:rsidRPr="00EB768C" w:rsidRDefault="000B058C" w:rsidP="009260DE">
      <w:pPr>
        <w:jc w:val="center"/>
        <w:rPr>
          <w:b/>
          <w:sz w:val="24"/>
          <w:szCs w:val="24"/>
        </w:rPr>
      </w:pPr>
    </w:p>
    <w:p w14:paraId="61E9EFA9" w14:textId="6E434108" w:rsidR="009260DE" w:rsidRPr="00EB768C" w:rsidRDefault="001155DC" w:rsidP="009260DE">
      <w:pPr>
        <w:jc w:val="center"/>
        <w:rPr>
          <w:b/>
          <w:sz w:val="24"/>
          <w:szCs w:val="24"/>
        </w:rPr>
      </w:pPr>
      <w:proofErr w:type="spellStart"/>
      <w:r w:rsidRPr="00EB768C">
        <w:rPr>
          <w:b/>
          <w:sz w:val="24"/>
          <w:szCs w:val="24"/>
        </w:rPr>
        <w:t>Atenolol</w:t>
      </w:r>
      <w:proofErr w:type="spellEnd"/>
      <w:r w:rsidRPr="00EB768C">
        <w:rPr>
          <w:b/>
          <w:sz w:val="24"/>
          <w:szCs w:val="24"/>
        </w:rPr>
        <w:t xml:space="preserve"> </w:t>
      </w:r>
      <w:r w:rsidR="00B167E7">
        <w:rPr>
          <w:b/>
          <w:sz w:val="24"/>
          <w:szCs w:val="24"/>
        </w:rPr>
        <w:t>"</w:t>
      </w:r>
      <w:r w:rsidRPr="00EB768C">
        <w:rPr>
          <w:b/>
          <w:sz w:val="24"/>
          <w:szCs w:val="24"/>
        </w:rPr>
        <w:t>Medical Valley</w:t>
      </w:r>
      <w:r w:rsidR="00B167E7">
        <w:rPr>
          <w:b/>
          <w:sz w:val="24"/>
          <w:szCs w:val="24"/>
        </w:rPr>
        <w:t>"</w:t>
      </w:r>
      <w:r w:rsidRPr="00EB768C">
        <w:rPr>
          <w:b/>
          <w:sz w:val="24"/>
          <w:szCs w:val="24"/>
        </w:rPr>
        <w:t>, filmovertrukne tabletter</w:t>
      </w:r>
    </w:p>
    <w:p w14:paraId="669BFE6F" w14:textId="77777777" w:rsidR="009260DE" w:rsidRPr="00EB768C" w:rsidRDefault="009260DE" w:rsidP="009260DE">
      <w:pPr>
        <w:jc w:val="both"/>
        <w:rPr>
          <w:sz w:val="24"/>
          <w:szCs w:val="24"/>
        </w:rPr>
      </w:pPr>
    </w:p>
    <w:p w14:paraId="097CD294" w14:textId="77777777" w:rsidR="009260DE" w:rsidRPr="00EB768C" w:rsidRDefault="009260DE" w:rsidP="009260DE">
      <w:pPr>
        <w:jc w:val="both"/>
        <w:rPr>
          <w:sz w:val="24"/>
          <w:szCs w:val="24"/>
        </w:rPr>
      </w:pPr>
    </w:p>
    <w:p w14:paraId="14A71A9C" w14:textId="77777777" w:rsidR="009260DE" w:rsidRPr="00EB768C" w:rsidRDefault="009260DE" w:rsidP="009260DE">
      <w:pPr>
        <w:tabs>
          <w:tab w:val="left" w:pos="851"/>
        </w:tabs>
        <w:ind w:left="851" w:hanging="851"/>
        <w:rPr>
          <w:b/>
          <w:sz w:val="24"/>
          <w:szCs w:val="24"/>
        </w:rPr>
      </w:pPr>
      <w:r w:rsidRPr="00EB768C">
        <w:rPr>
          <w:b/>
          <w:sz w:val="24"/>
          <w:szCs w:val="24"/>
        </w:rPr>
        <w:t>0.</w:t>
      </w:r>
      <w:r w:rsidRPr="00EB768C">
        <w:rPr>
          <w:b/>
          <w:sz w:val="24"/>
          <w:szCs w:val="24"/>
        </w:rPr>
        <w:tab/>
        <w:t>D.SP.NR.</w:t>
      </w:r>
    </w:p>
    <w:p w14:paraId="69B497E7" w14:textId="77A6C2F0" w:rsidR="009260DE" w:rsidRPr="00EB768C" w:rsidRDefault="001155DC" w:rsidP="009260DE">
      <w:pPr>
        <w:tabs>
          <w:tab w:val="left" w:pos="851"/>
        </w:tabs>
        <w:ind w:left="851"/>
        <w:rPr>
          <w:sz w:val="24"/>
          <w:szCs w:val="24"/>
        </w:rPr>
      </w:pPr>
      <w:r w:rsidRPr="00EB768C">
        <w:rPr>
          <w:sz w:val="24"/>
          <w:szCs w:val="24"/>
        </w:rPr>
        <w:t>33345</w:t>
      </w:r>
    </w:p>
    <w:p w14:paraId="503472D3" w14:textId="77777777" w:rsidR="009260DE" w:rsidRPr="00EB768C" w:rsidRDefault="009260DE" w:rsidP="009260DE">
      <w:pPr>
        <w:tabs>
          <w:tab w:val="left" w:pos="851"/>
        </w:tabs>
        <w:ind w:left="851"/>
        <w:rPr>
          <w:sz w:val="24"/>
          <w:szCs w:val="24"/>
        </w:rPr>
      </w:pPr>
    </w:p>
    <w:p w14:paraId="0725F6CD" w14:textId="77777777" w:rsidR="009260DE" w:rsidRPr="00EB768C" w:rsidRDefault="009260DE" w:rsidP="009260DE">
      <w:pPr>
        <w:tabs>
          <w:tab w:val="left" w:pos="851"/>
        </w:tabs>
        <w:ind w:left="851" w:hanging="851"/>
        <w:rPr>
          <w:b/>
          <w:sz w:val="24"/>
          <w:szCs w:val="24"/>
        </w:rPr>
      </w:pPr>
      <w:r w:rsidRPr="00EB768C">
        <w:rPr>
          <w:b/>
          <w:sz w:val="24"/>
          <w:szCs w:val="24"/>
        </w:rPr>
        <w:t>1.</w:t>
      </w:r>
      <w:r w:rsidRPr="00EB768C">
        <w:rPr>
          <w:b/>
          <w:sz w:val="24"/>
          <w:szCs w:val="24"/>
        </w:rPr>
        <w:tab/>
        <w:t>LÆGEMIDLETS NAVN</w:t>
      </w:r>
    </w:p>
    <w:p w14:paraId="31C42883" w14:textId="067D6778" w:rsidR="001155DC" w:rsidRPr="00EB768C" w:rsidRDefault="001155DC" w:rsidP="001155DC">
      <w:pPr>
        <w:ind w:left="851"/>
        <w:rPr>
          <w:sz w:val="24"/>
          <w:szCs w:val="24"/>
          <w:lang w:eastAsia="da-DK"/>
        </w:rPr>
      </w:pPr>
      <w:proofErr w:type="spellStart"/>
      <w:r w:rsidRPr="00EB768C">
        <w:rPr>
          <w:sz w:val="24"/>
          <w:szCs w:val="24"/>
        </w:rPr>
        <w:t>Atenolol</w:t>
      </w:r>
      <w:proofErr w:type="spellEnd"/>
      <w:r w:rsidRPr="00EB768C">
        <w:rPr>
          <w:sz w:val="24"/>
          <w:szCs w:val="24"/>
        </w:rPr>
        <w:t xml:space="preserve"> </w:t>
      </w:r>
      <w:r w:rsidR="00B167E7">
        <w:rPr>
          <w:sz w:val="24"/>
          <w:szCs w:val="24"/>
        </w:rPr>
        <w:t>"</w:t>
      </w:r>
      <w:r w:rsidRPr="00EB768C">
        <w:rPr>
          <w:sz w:val="24"/>
          <w:szCs w:val="24"/>
        </w:rPr>
        <w:t>Medical Valley</w:t>
      </w:r>
      <w:r w:rsidR="00B167E7">
        <w:rPr>
          <w:sz w:val="24"/>
          <w:szCs w:val="24"/>
        </w:rPr>
        <w:t>"</w:t>
      </w:r>
    </w:p>
    <w:p w14:paraId="1956802D" w14:textId="77777777" w:rsidR="009260DE" w:rsidRPr="00EB768C" w:rsidRDefault="009260DE" w:rsidP="009260DE">
      <w:pPr>
        <w:tabs>
          <w:tab w:val="left" w:pos="851"/>
        </w:tabs>
        <w:ind w:left="851"/>
        <w:rPr>
          <w:sz w:val="24"/>
          <w:szCs w:val="24"/>
        </w:rPr>
      </w:pPr>
    </w:p>
    <w:p w14:paraId="267FFF03" w14:textId="77777777" w:rsidR="009260DE" w:rsidRPr="00EB768C" w:rsidRDefault="009260DE" w:rsidP="009260DE">
      <w:pPr>
        <w:tabs>
          <w:tab w:val="left" w:pos="851"/>
        </w:tabs>
        <w:ind w:left="851" w:hanging="851"/>
        <w:rPr>
          <w:b/>
          <w:sz w:val="24"/>
          <w:szCs w:val="24"/>
        </w:rPr>
      </w:pPr>
      <w:r w:rsidRPr="00EB768C">
        <w:rPr>
          <w:b/>
          <w:sz w:val="24"/>
          <w:szCs w:val="24"/>
        </w:rPr>
        <w:t>2.</w:t>
      </w:r>
      <w:r w:rsidRPr="00EB768C">
        <w:rPr>
          <w:b/>
          <w:sz w:val="24"/>
          <w:szCs w:val="24"/>
        </w:rPr>
        <w:tab/>
        <w:t>KVALITATIV OG KVANTITATIV SAMMENSÆTNING</w:t>
      </w:r>
    </w:p>
    <w:p w14:paraId="45C21228" w14:textId="2701B7DC" w:rsidR="00E4750A" w:rsidRPr="00EB768C" w:rsidRDefault="00E4750A" w:rsidP="00F65D87">
      <w:pPr>
        <w:suppressAutoHyphens/>
        <w:ind w:left="851"/>
        <w:rPr>
          <w:sz w:val="24"/>
          <w:szCs w:val="24"/>
        </w:rPr>
      </w:pPr>
      <w:r w:rsidRPr="00EB768C">
        <w:rPr>
          <w:sz w:val="24"/>
          <w:szCs w:val="24"/>
        </w:rPr>
        <w:t xml:space="preserve">Hver </w:t>
      </w:r>
      <w:proofErr w:type="spellStart"/>
      <w:r w:rsidRPr="00EB768C">
        <w:rPr>
          <w:sz w:val="24"/>
          <w:szCs w:val="24"/>
        </w:rPr>
        <w:t>Atenolol</w:t>
      </w:r>
      <w:proofErr w:type="spellEnd"/>
      <w:r w:rsidRPr="00EB768C">
        <w:rPr>
          <w:sz w:val="24"/>
          <w:szCs w:val="24"/>
        </w:rPr>
        <w:t xml:space="preserve"> </w:t>
      </w:r>
      <w:r w:rsidR="00602DED">
        <w:rPr>
          <w:noProof/>
          <w:sz w:val="24"/>
          <w:szCs w:val="24"/>
        </w:rPr>
        <w:t>"</w:t>
      </w:r>
      <w:r w:rsidRPr="00EB768C">
        <w:rPr>
          <w:sz w:val="24"/>
          <w:szCs w:val="24"/>
        </w:rPr>
        <w:t>Medical Valley</w:t>
      </w:r>
      <w:r w:rsidR="00B167E7">
        <w:rPr>
          <w:sz w:val="24"/>
          <w:szCs w:val="24"/>
        </w:rPr>
        <w:t>"</w:t>
      </w:r>
      <w:r w:rsidRPr="00EB768C">
        <w:rPr>
          <w:sz w:val="24"/>
          <w:szCs w:val="24"/>
        </w:rPr>
        <w:t xml:space="preserve"> 25 mg </w:t>
      </w:r>
      <w:r w:rsidR="00B167E7">
        <w:rPr>
          <w:sz w:val="24"/>
          <w:szCs w:val="24"/>
        </w:rPr>
        <w:t>filmovertrukket</w:t>
      </w:r>
      <w:r w:rsidRPr="00EB768C">
        <w:rPr>
          <w:sz w:val="24"/>
          <w:szCs w:val="24"/>
        </w:rPr>
        <w:t xml:space="preserve"> tablet indeholder 25 mg </w:t>
      </w:r>
      <w:proofErr w:type="spellStart"/>
      <w:r w:rsidRPr="00EB768C">
        <w:rPr>
          <w:sz w:val="24"/>
          <w:szCs w:val="24"/>
        </w:rPr>
        <w:t>atenolol</w:t>
      </w:r>
      <w:proofErr w:type="spellEnd"/>
      <w:r w:rsidRPr="00EB768C">
        <w:rPr>
          <w:sz w:val="24"/>
          <w:szCs w:val="24"/>
        </w:rPr>
        <w:t>.</w:t>
      </w:r>
    </w:p>
    <w:p w14:paraId="413F6538" w14:textId="2FFBE38E" w:rsidR="00E4750A" w:rsidRPr="00EB768C" w:rsidRDefault="00E4750A" w:rsidP="00F65D87">
      <w:pPr>
        <w:suppressAutoHyphens/>
        <w:ind w:left="851"/>
        <w:rPr>
          <w:sz w:val="24"/>
          <w:szCs w:val="24"/>
        </w:rPr>
      </w:pPr>
      <w:r w:rsidRPr="00EB768C">
        <w:rPr>
          <w:sz w:val="24"/>
          <w:szCs w:val="24"/>
        </w:rPr>
        <w:t xml:space="preserve">Hver </w:t>
      </w:r>
      <w:proofErr w:type="spellStart"/>
      <w:r w:rsidRPr="00EB768C">
        <w:rPr>
          <w:sz w:val="24"/>
          <w:szCs w:val="24"/>
        </w:rPr>
        <w:t>Atenolol</w:t>
      </w:r>
      <w:proofErr w:type="spellEnd"/>
      <w:r w:rsidRPr="00EB768C">
        <w:rPr>
          <w:sz w:val="24"/>
          <w:szCs w:val="24"/>
        </w:rPr>
        <w:t xml:space="preserve"> </w:t>
      </w:r>
      <w:r w:rsidR="00602DED">
        <w:rPr>
          <w:noProof/>
          <w:sz w:val="24"/>
          <w:szCs w:val="24"/>
        </w:rPr>
        <w:t>"</w:t>
      </w:r>
      <w:r w:rsidRPr="00EB768C">
        <w:rPr>
          <w:sz w:val="24"/>
          <w:szCs w:val="24"/>
        </w:rPr>
        <w:t>Medical Valley</w:t>
      </w:r>
      <w:r w:rsidR="00B167E7">
        <w:rPr>
          <w:sz w:val="24"/>
          <w:szCs w:val="24"/>
        </w:rPr>
        <w:t>"</w:t>
      </w:r>
      <w:r w:rsidRPr="00EB768C">
        <w:rPr>
          <w:sz w:val="24"/>
          <w:szCs w:val="24"/>
        </w:rPr>
        <w:t xml:space="preserve"> 50 mg </w:t>
      </w:r>
      <w:r w:rsidR="00B167E7">
        <w:rPr>
          <w:sz w:val="24"/>
          <w:szCs w:val="24"/>
        </w:rPr>
        <w:t>filmovertrukket</w:t>
      </w:r>
      <w:r w:rsidRPr="00EB768C">
        <w:rPr>
          <w:sz w:val="24"/>
          <w:szCs w:val="24"/>
        </w:rPr>
        <w:t xml:space="preserve"> tablet indeholder 50 mg </w:t>
      </w:r>
      <w:proofErr w:type="spellStart"/>
      <w:r w:rsidRPr="00EB768C">
        <w:rPr>
          <w:sz w:val="24"/>
          <w:szCs w:val="24"/>
        </w:rPr>
        <w:t>atenolol</w:t>
      </w:r>
      <w:proofErr w:type="spellEnd"/>
      <w:r w:rsidRPr="00EB768C">
        <w:rPr>
          <w:sz w:val="24"/>
          <w:szCs w:val="24"/>
        </w:rPr>
        <w:t>.</w:t>
      </w:r>
    </w:p>
    <w:p w14:paraId="381AE345" w14:textId="05FF33B5" w:rsidR="00E4750A" w:rsidRPr="00EB768C" w:rsidRDefault="00E4750A" w:rsidP="00F65D87">
      <w:pPr>
        <w:suppressAutoHyphens/>
        <w:ind w:left="851"/>
        <w:rPr>
          <w:sz w:val="24"/>
          <w:szCs w:val="24"/>
        </w:rPr>
      </w:pPr>
      <w:r w:rsidRPr="00EB768C">
        <w:rPr>
          <w:sz w:val="24"/>
          <w:szCs w:val="24"/>
        </w:rPr>
        <w:t xml:space="preserve">Hver </w:t>
      </w:r>
      <w:proofErr w:type="spellStart"/>
      <w:r w:rsidRPr="00EB768C">
        <w:rPr>
          <w:sz w:val="24"/>
          <w:szCs w:val="24"/>
        </w:rPr>
        <w:t>Atenolol</w:t>
      </w:r>
      <w:proofErr w:type="spellEnd"/>
      <w:r w:rsidRPr="00EB768C">
        <w:rPr>
          <w:sz w:val="24"/>
          <w:szCs w:val="24"/>
        </w:rPr>
        <w:t xml:space="preserve"> </w:t>
      </w:r>
      <w:r w:rsidR="00602DED">
        <w:rPr>
          <w:noProof/>
          <w:sz w:val="24"/>
          <w:szCs w:val="24"/>
        </w:rPr>
        <w:t>"</w:t>
      </w:r>
      <w:r w:rsidRPr="00EB768C">
        <w:rPr>
          <w:sz w:val="24"/>
          <w:szCs w:val="24"/>
        </w:rPr>
        <w:t>Medical Valley</w:t>
      </w:r>
      <w:r w:rsidR="00B167E7">
        <w:rPr>
          <w:sz w:val="24"/>
          <w:szCs w:val="24"/>
        </w:rPr>
        <w:t>"</w:t>
      </w:r>
      <w:r w:rsidRPr="00EB768C">
        <w:rPr>
          <w:sz w:val="24"/>
          <w:szCs w:val="24"/>
        </w:rPr>
        <w:t xml:space="preserve"> 100 mg </w:t>
      </w:r>
      <w:r w:rsidR="00B167E7">
        <w:rPr>
          <w:sz w:val="24"/>
          <w:szCs w:val="24"/>
        </w:rPr>
        <w:t>filmovertrukket</w:t>
      </w:r>
      <w:r w:rsidRPr="00EB768C">
        <w:rPr>
          <w:sz w:val="24"/>
          <w:szCs w:val="24"/>
        </w:rPr>
        <w:t xml:space="preserve"> tablet indeholder 100 mg </w:t>
      </w:r>
      <w:proofErr w:type="spellStart"/>
      <w:r w:rsidRPr="00EB768C">
        <w:rPr>
          <w:sz w:val="24"/>
          <w:szCs w:val="24"/>
        </w:rPr>
        <w:t>atenolol</w:t>
      </w:r>
      <w:proofErr w:type="spellEnd"/>
      <w:r w:rsidRPr="00EB768C">
        <w:rPr>
          <w:sz w:val="24"/>
          <w:szCs w:val="24"/>
        </w:rPr>
        <w:t>.</w:t>
      </w:r>
    </w:p>
    <w:p w14:paraId="7A8DA44E" w14:textId="77777777" w:rsidR="00E4750A" w:rsidRPr="00EB768C" w:rsidRDefault="00E4750A" w:rsidP="00F65D87">
      <w:pPr>
        <w:suppressAutoHyphens/>
        <w:ind w:left="851"/>
        <w:rPr>
          <w:sz w:val="24"/>
          <w:szCs w:val="24"/>
        </w:rPr>
      </w:pPr>
    </w:p>
    <w:p w14:paraId="26E5472A" w14:textId="77777777" w:rsidR="00E4750A" w:rsidRPr="00EB768C" w:rsidRDefault="00E4750A" w:rsidP="00F65D87">
      <w:pPr>
        <w:tabs>
          <w:tab w:val="left" w:pos="567"/>
        </w:tabs>
        <w:spacing w:line="260" w:lineRule="exact"/>
        <w:ind w:left="851"/>
        <w:rPr>
          <w:sz w:val="24"/>
          <w:szCs w:val="24"/>
        </w:rPr>
      </w:pPr>
      <w:r w:rsidRPr="00EB768C">
        <w:rPr>
          <w:sz w:val="24"/>
          <w:szCs w:val="24"/>
        </w:rPr>
        <w:t>Alle hjælpestoffer er anført under pkt. 6.1.</w:t>
      </w:r>
    </w:p>
    <w:p w14:paraId="61A7FF4C" w14:textId="77777777" w:rsidR="009260DE" w:rsidRPr="00EB768C" w:rsidRDefault="009260DE" w:rsidP="009260DE">
      <w:pPr>
        <w:tabs>
          <w:tab w:val="left" w:pos="851"/>
        </w:tabs>
        <w:ind w:left="851"/>
        <w:rPr>
          <w:sz w:val="24"/>
          <w:szCs w:val="24"/>
        </w:rPr>
      </w:pPr>
    </w:p>
    <w:p w14:paraId="04F9F069" w14:textId="77777777" w:rsidR="009260DE" w:rsidRPr="00EB768C" w:rsidRDefault="009260DE" w:rsidP="009260DE">
      <w:pPr>
        <w:tabs>
          <w:tab w:val="left" w:pos="851"/>
        </w:tabs>
        <w:ind w:left="851" w:hanging="851"/>
        <w:rPr>
          <w:b/>
          <w:sz w:val="24"/>
          <w:szCs w:val="24"/>
        </w:rPr>
      </w:pPr>
      <w:r w:rsidRPr="00EB768C">
        <w:rPr>
          <w:b/>
          <w:sz w:val="24"/>
          <w:szCs w:val="24"/>
        </w:rPr>
        <w:t>3.</w:t>
      </w:r>
      <w:r w:rsidRPr="00EB768C">
        <w:rPr>
          <w:b/>
          <w:sz w:val="24"/>
          <w:szCs w:val="24"/>
        </w:rPr>
        <w:tab/>
        <w:t>LÆGEMIDDELFORM</w:t>
      </w:r>
    </w:p>
    <w:p w14:paraId="3D1F874F" w14:textId="77777777" w:rsidR="00E4750A" w:rsidRPr="00EB768C" w:rsidRDefault="00E4750A" w:rsidP="00F65D87">
      <w:pPr>
        <w:suppressAutoHyphens/>
        <w:ind w:left="851"/>
        <w:rPr>
          <w:sz w:val="24"/>
          <w:szCs w:val="24"/>
        </w:rPr>
      </w:pPr>
      <w:r w:rsidRPr="00EB768C">
        <w:rPr>
          <w:spacing w:val="-3"/>
          <w:sz w:val="24"/>
          <w:szCs w:val="24"/>
        </w:rPr>
        <w:t>Filmovertrukne tabletter</w:t>
      </w:r>
    </w:p>
    <w:p w14:paraId="7D96B1F2" w14:textId="77777777" w:rsidR="00E4750A" w:rsidRPr="00EB768C" w:rsidRDefault="00E4750A" w:rsidP="00F65D87">
      <w:pPr>
        <w:suppressAutoHyphens/>
        <w:ind w:left="851"/>
        <w:rPr>
          <w:sz w:val="24"/>
          <w:szCs w:val="24"/>
        </w:rPr>
      </w:pPr>
    </w:p>
    <w:p w14:paraId="19357F5C" w14:textId="0CABDDB2" w:rsidR="00E4750A" w:rsidRPr="00EB768C" w:rsidRDefault="00E4750A" w:rsidP="00F65D87">
      <w:pPr>
        <w:suppressAutoHyphens/>
        <w:ind w:left="851"/>
        <w:rPr>
          <w:noProof/>
          <w:sz w:val="24"/>
          <w:szCs w:val="24"/>
        </w:rPr>
      </w:pPr>
      <w:r w:rsidRPr="00EB768C">
        <w:rPr>
          <w:noProof/>
          <w:sz w:val="24"/>
          <w:szCs w:val="24"/>
        </w:rPr>
        <w:t xml:space="preserve">Atenolol </w:t>
      </w:r>
      <w:r w:rsidR="00602DED">
        <w:rPr>
          <w:noProof/>
          <w:sz w:val="24"/>
          <w:szCs w:val="24"/>
        </w:rPr>
        <w:t>"</w:t>
      </w:r>
      <w:r w:rsidRPr="00EB768C">
        <w:rPr>
          <w:noProof/>
          <w:sz w:val="24"/>
          <w:szCs w:val="24"/>
        </w:rPr>
        <w:t>Medical Valley</w:t>
      </w:r>
      <w:r w:rsidR="00B167E7">
        <w:rPr>
          <w:noProof/>
          <w:sz w:val="24"/>
          <w:szCs w:val="24"/>
        </w:rPr>
        <w:t>"</w:t>
      </w:r>
      <w:r w:rsidRPr="00EB768C">
        <w:rPr>
          <w:noProof/>
          <w:sz w:val="24"/>
          <w:szCs w:val="24"/>
        </w:rPr>
        <w:t xml:space="preserve"> 25 mg er hvide til råhvide, runde 7 mm bikonvekse filmovertrukne tabletter med </w:t>
      </w:r>
      <w:r w:rsidR="00B167E7">
        <w:rPr>
          <w:noProof/>
          <w:sz w:val="24"/>
          <w:szCs w:val="24"/>
        </w:rPr>
        <w:t>"</w:t>
      </w:r>
      <w:r w:rsidRPr="00EB768C">
        <w:rPr>
          <w:noProof/>
          <w:sz w:val="24"/>
          <w:szCs w:val="24"/>
        </w:rPr>
        <w:t>25</w:t>
      </w:r>
      <w:r w:rsidR="00B167E7">
        <w:rPr>
          <w:noProof/>
          <w:sz w:val="24"/>
          <w:szCs w:val="24"/>
        </w:rPr>
        <w:t>"</w:t>
      </w:r>
      <w:r w:rsidRPr="00EB768C">
        <w:rPr>
          <w:noProof/>
          <w:sz w:val="24"/>
          <w:szCs w:val="24"/>
        </w:rPr>
        <w:t xml:space="preserve"> præget på den ene side.</w:t>
      </w:r>
    </w:p>
    <w:p w14:paraId="3463BC5F" w14:textId="77777777" w:rsidR="00E4750A" w:rsidRPr="00EB768C" w:rsidRDefault="00E4750A" w:rsidP="00F65D87">
      <w:pPr>
        <w:suppressAutoHyphens/>
        <w:ind w:left="851"/>
        <w:rPr>
          <w:noProof/>
          <w:sz w:val="24"/>
          <w:szCs w:val="24"/>
        </w:rPr>
      </w:pPr>
    </w:p>
    <w:p w14:paraId="713E5B14" w14:textId="0982D2B3" w:rsidR="00E4750A" w:rsidRPr="00EB768C" w:rsidRDefault="00E4750A" w:rsidP="00F65D87">
      <w:pPr>
        <w:suppressAutoHyphens/>
        <w:ind w:left="851"/>
        <w:rPr>
          <w:noProof/>
          <w:sz w:val="24"/>
          <w:szCs w:val="24"/>
        </w:rPr>
      </w:pPr>
      <w:r w:rsidRPr="00EB768C">
        <w:rPr>
          <w:noProof/>
          <w:sz w:val="24"/>
          <w:szCs w:val="24"/>
        </w:rPr>
        <w:t xml:space="preserve">Atenolol </w:t>
      </w:r>
      <w:r w:rsidR="00602DED">
        <w:rPr>
          <w:noProof/>
          <w:sz w:val="24"/>
          <w:szCs w:val="24"/>
        </w:rPr>
        <w:t>"</w:t>
      </w:r>
      <w:r w:rsidRPr="00EB768C">
        <w:rPr>
          <w:noProof/>
          <w:sz w:val="24"/>
          <w:szCs w:val="24"/>
        </w:rPr>
        <w:t>Medical Valley</w:t>
      </w:r>
      <w:r w:rsidR="00B167E7">
        <w:rPr>
          <w:noProof/>
          <w:sz w:val="24"/>
          <w:szCs w:val="24"/>
        </w:rPr>
        <w:t>"</w:t>
      </w:r>
      <w:r w:rsidRPr="00EB768C">
        <w:rPr>
          <w:noProof/>
          <w:sz w:val="24"/>
          <w:szCs w:val="24"/>
        </w:rPr>
        <w:t xml:space="preserve"> 50 mg er hvide til råhvide, runde 8,5 mm bikonvekse filmovertrukne tabletter med </w:t>
      </w:r>
      <w:r w:rsidR="00B167E7">
        <w:rPr>
          <w:noProof/>
          <w:sz w:val="24"/>
          <w:szCs w:val="24"/>
        </w:rPr>
        <w:t>"</w:t>
      </w:r>
      <w:r w:rsidRPr="00EB768C">
        <w:rPr>
          <w:noProof/>
          <w:sz w:val="24"/>
          <w:szCs w:val="24"/>
        </w:rPr>
        <w:t>50</w:t>
      </w:r>
      <w:r w:rsidR="00B167E7">
        <w:rPr>
          <w:noProof/>
          <w:sz w:val="24"/>
          <w:szCs w:val="24"/>
        </w:rPr>
        <w:t>"</w:t>
      </w:r>
      <w:r w:rsidRPr="00EB768C">
        <w:rPr>
          <w:noProof/>
          <w:sz w:val="24"/>
          <w:szCs w:val="24"/>
        </w:rPr>
        <w:t xml:space="preserve"> præget på den ene side og delekærv på den anden side.</w:t>
      </w:r>
    </w:p>
    <w:p w14:paraId="003914EA" w14:textId="77777777" w:rsidR="00E4750A" w:rsidRPr="00EB768C" w:rsidRDefault="00E4750A" w:rsidP="00F65D87">
      <w:pPr>
        <w:suppressAutoHyphens/>
        <w:ind w:left="851"/>
        <w:rPr>
          <w:noProof/>
          <w:sz w:val="24"/>
          <w:szCs w:val="24"/>
        </w:rPr>
      </w:pPr>
    </w:p>
    <w:p w14:paraId="28E41838" w14:textId="4372F6A2" w:rsidR="00E4750A" w:rsidRPr="00EB768C" w:rsidRDefault="00E4750A" w:rsidP="00F65D87">
      <w:pPr>
        <w:suppressAutoHyphens/>
        <w:ind w:left="851"/>
        <w:rPr>
          <w:noProof/>
          <w:sz w:val="24"/>
          <w:szCs w:val="24"/>
        </w:rPr>
      </w:pPr>
      <w:r w:rsidRPr="00EB768C">
        <w:rPr>
          <w:noProof/>
          <w:sz w:val="24"/>
          <w:szCs w:val="24"/>
        </w:rPr>
        <w:t xml:space="preserve">Atenolol </w:t>
      </w:r>
      <w:r w:rsidR="00602DED">
        <w:rPr>
          <w:noProof/>
          <w:sz w:val="24"/>
          <w:szCs w:val="24"/>
        </w:rPr>
        <w:t>"</w:t>
      </w:r>
      <w:r w:rsidRPr="00EB768C">
        <w:rPr>
          <w:noProof/>
          <w:sz w:val="24"/>
          <w:szCs w:val="24"/>
        </w:rPr>
        <w:t>Medical Valley</w:t>
      </w:r>
      <w:r w:rsidR="00B167E7">
        <w:rPr>
          <w:noProof/>
          <w:sz w:val="24"/>
          <w:szCs w:val="24"/>
        </w:rPr>
        <w:t>"</w:t>
      </w:r>
      <w:r w:rsidRPr="00EB768C">
        <w:rPr>
          <w:noProof/>
          <w:sz w:val="24"/>
          <w:szCs w:val="24"/>
        </w:rPr>
        <w:t xml:space="preserve"> 100 mg er hvide til råhvide, runde 11 mm bikonvekse filmovertrukne tabletter med </w:t>
      </w:r>
      <w:r w:rsidR="00B167E7">
        <w:rPr>
          <w:noProof/>
          <w:sz w:val="24"/>
          <w:szCs w:val="24"/>
        </w:rPr>
        <w:t>"</w:t>
      </w:r>
      <w:r w:rsidRPr="00EB768C">
        <w:rPr>
          <w:noProof/>
          <w:sz w:val="24"/>
          <w:szCs w:val="24"/>
        </w:rPr>
        <w:t>100</w:t>
      </w:r>
      <w:r w:rsidR="00B167E7">
        <w:rPr>
          <w:noProof/>
          <w:sz w:val="24"/>
          <w:szCs w:val="24"/>
        </w:rPr>
        <w:t>"</w:t>
      </w:r>
      <w:r w:rsidRPr="00EB768C">
        <w:rPr>
          <w:noProof/>
          <w:sz w:val="24"/>
          <w:szCs w:val="24"/>
        </w:rPr>
        <w:t xml:space="preserve"> præget på den ene side og delekærv på den anden side.</w:t>
      </w:r>
    </w:p>
    <w:p w14:paraId="5181F390" w14:textId="77777777" w:rsidR="00E4750A" w:rsidRPr="00EB768C" w:rsidRDefault="00E4750A" w:rsidP="00F65D87">
      <w:pPr>
        <w:suppressAutoHyphens/>
        <w:ind w:left="851"/>
        <w:rPr>
          <w:noProof/>
          <w:sz w:val="24"/>
          <w:szCs w:val="24"/>
        </w:rPr>
      </w:pPr>
    </w:p>
    <w:p w14:paraId="0169ADAA" w14:textId="77777777" w:rsidR="00E4750A" w:rsidRPr="00EB768C" w:rsidRDefault="00E4750A" w:rsidP="00F65D87">
      <w:pPr>
        <w:suppressAutoHyphens/>
        <w:ind w:left="851"/>
        <w:rPr>
          <w:sz w:val="24"/>
          <w:szCs w:val="24"/>
        </w:rPr>
      </w:pPr>
      <w:r w:rsidRPr="00EB768C">
        <w:rPr>
          <w:sz w:val="24"/>
          <w:szCs w:val="24"/>
        </w:rPr>
        <w:t>Tabletten har kun delekærv for at muliggøre deling af tabletten, så den er nemmere at sluge. Tabletten kan ikke deles i to lige store doser.</w:t>
      </w:r>
    </w:p>
    <w:p w14:paraId="2E1DC8E1" w14:textId="77777777" w:rsidR="009260DE" w:rsidRPr="00EB768C" w:rsidRDefault="009260DE" w:rsidP="009260DE">
      <w:pPr>
        <w:tabs>
          <w:tab w:val="left" w:pos="851"/>
        </w:tabs>
        <w:ind w:left="851"/>
        <w:rPr>
          <w:sz w:val="24"/>
          <w:szCs w:val="24"/>
        </w:rPr>
      </w:pPr>
    </w:p>
    <w:p w14:paraId="47B03109" w14:textId="7AD9E27C" w:rsidR="00602DED" w:rsidRDefault="00602DED">
      <w:pPr>
        <w:rPr>
          <w:sz w:val="24"/>
          <w:szCs w:val="24"/>
        </w:rPr>
      </w:pPr>
      <w:r>
        <w:rPr>
          <w:sz w:val="24"/>
          <w:szCs w:val="24"/>
        </w:rPr>
        <w:br w:type="page"/>
      </w:r>
    </w:p>
    <w:p w14:paraId="13D29780" w14:textId="77777777" w:rsidR="009260DE" w:rsidRPr="00EB768C" w:rsidRDefault="009260DE" w:rsidP="009260DE">
      <w:pPr>
        <w:tabs>
          <w:tab w:val="left" w:pos="851"/>
        </w:tabs>
        <w:ind w:left="851"/>
        <w:rPr>
          <w:sz w:val="24"/>
          <w:szCs w:val="24"/>
        </w:rPr>
      </w:pPr>
    </w:p>
    <w:p w14:paraId="4D56032E" w14:textId="77777777" w:rsidR="009260DE" w:rsidRPr="00EB768C" w:rsidRDefault="009260DE" w:rsidP="009260DE">
      <w:pPr>
        <w:tabs>
          <w:tab w:val="left" w:pos="851"/>
        </w:tabs>
        <w:ind w:left="851" w:hanging="851"/>
        <w:rPr>
          <w:b/>
          <w:sz w:val="24"/>
          <w:szCs w:val="24"/>
        </w:rPr>
      </w:pPr>
      <w:r w:rsidRPr="00EB768C">
        <w:rPr>
          <w:b/>
          <w:sz w:val="24"/>
          <w:szCs w:val="24"/>
        </w:rPr>
        <w:t>4.</w:t>
      </w:r>
      <w:r w:rsidRPr="00EB768C">
        <w:rPr>
          <w:b/>
          <w:sz w:val="24"/>
          <w:szCs w:val="24"/>
        </w:rPr>
        <w:tab/>
        <w:t>KLINISKE OPLYSNINGER</w:t>
      </w:r>
    </w:p>
    <w:p w14:paraId="77C4DE8A" w14:textId="77777777" w:rsidR="009260DE" w:rsidRPr="00EB768C" w:rsidRDefault="009260DE" w:rsidP="009260DE">
      <w:pPr>
        <w:tabs>
          <w:tab w:val="left" w:pos="851"/>
        </w:tabs>
        <w:ind w:left="851"/>
        <w:rPr>
          <w:b/>
          <w:sz w:val="24"/>
          <w:szCs w:val="24"/>
        </w:rPr>
      </w:pPr>
    </w:p>
    <w:p w14:paraId="569A4460" w14:textId="77777777" w:rsidR="009260DE" w:rsidRPr="00EB768C" w:rsidRDefault="009260DE" w:rsidP="009260DE">
      <w:pPr>
        <w:tabs>
          <w:tab w:val="left" w:pos="851"/>
        </w:tabs>
        <w:ind w:left="851" w:hanging="851"/>
        <w:rPr>
          <w:b/>
          <w:sz w:val="24"/>
          <w:szCs w:val="24"/>
          <w:u w:val="single"/>
        </w:rPr>
      </w:pPr>
      <w:r w:rsidRPr="00EB768C">
        <w:rPr>
          <w:b/>
          <w:sz w:val="24"/>
          <w:szCs w:val="24"/>
        </w:rPr>
        <w:t>4.1</w:t>
      </w:r>
      <w:r w:rsidRPr="00EB768C">
        <w:rPr>
          <w:b/>
          <w:sz w:val="24"/>
          <w:szCs w:val="24"/>
        </w:rPr>
        <w:tab/>
        <w:t>Terapeutiske indikationer</w:t>
      </w:r>
    </w:p>
    <w:p w14:paraId="4B76B47E" w14:textId="77777777" w:rsidR="00E4750A" w:rsidRPr="00EB768C" w:rsidRDefault="00E4750A" w:rsidP="00F65D87">
      <w:pPr>
        <w:ind w:left="851"/>
        <w:rPr>
          <w:sz w:val="24"/>
          <w:szCs w:val="24"/>
        </w:rPr>
      </w:pPr>
      <w:r w:rsidRPr="00EB768C">
        <w:rPr>
          <w:sz w:val="24"/>
          <w:szCs w:val="24"/>
        </w:rPr>
        <w:t>Til behandling af:</w:t>
      </w:r>
    </w:p>
    <w:p w14:paraId="23F711FB" w14:textId="77777777" w:rsidR="00E4750A" w:rsidRPr="00EB768C" w:rsidRDefault="00E4750A" w:rsidP="00EB768C">
      <w:pPr>
        <w:pStyle w:val="Listeafsnit"/>
        <w:numPr>
          <w:ilvl w:val="0"/>
          <w:numId w:val="8"/>
        </w:numPr>
        <w:ind w:left="1276" w:hanging="425"/>
        <w:rPr>
          <w:sz w:val="24"/>
          <w:szCs w:val="24"/>
        </w:rPr>
      </w:pPr>
      <w:r w:rsidRPr="00EB768C">
        <w:rPr>
          <w:sz w:val="24"/>
          <w:szCs w:val="24"/>
        </w:rPr>
        <w:t>Hypertension</w:t>
      </w:r>
    </w:p>
    <w:p w14:paraId="58798A3F" w14:textId="77777777" w:rsidR="00E4750A" w:rsidRPr="00EB768C" w:rsidRDefault="00E4750A" w:rsidP="00EB768C">
      <w:pPr>
        <w:pStyle w:val="Listeafsnit"/>
        <w:numPr>
          <w:ilvl w:val="0"/>
          <w:numId w:val="8"/>
        </w:numPr>
        <w:ind w:left="1276" w:hanging="425"/>
        <w:rPr>
          <w:sz w:val="24"/>
          <w:szCs w:val="24"/>
        </w:rPr>
      </w:pPr>
      <w:r w:rsidRPr="00EB768C">
        <w:rPr>
          <w:sz w:val="24"/>
          <w:szCs w:val="24"/>
        </w:rPr>
        <w:t>Kronisk stabil angina pectoris</w:t>
      </w:r>
    </w:p>
    <w:p w14:paraId="49B97857" w14:textId="77777777" w:rsidR="00E4750A" w:rsidRPr="00EB768C" w:rsidRDefault="00E4750A" w:rsidP="00EB768C">
      <w:pPr>
        <w:pStyle w:val="Listeafsnit"/>
        <w:numPr>
          <w:ilvl w:val="0"/>
          <w:numId w:val="8"/>
        </w:numPr>
        <w:ind w:left="1276" w:hanging="425"/>
        <w:rPr>
          <w:sz w:val="24"/>
          <w:szCs w:val="24"/>
        </w:rPr>
      </w:pPr>
      <w:r w:rsidRPr="00EB768C">
        <w:rPr>
          <w:sz w:val="24"/>
          <w:szCs w:val="24"/>
        </w:rPr>
        <w:t>Sekundær forebyggelse efter akut myokardieinfarkt</w:t>
      </w:r>
    </w:p>
    <w:p w14:paraId="6B4A7932" w14:textId="77777777" w:rsidR="00E4750A" w:rsidRPr="00EB768C" w:rsidRDefault="00E4750A" w:rsidP="00EB768C">
      <w:pPr>
        <w:pStyle w:val="Listeafsnit"/>
        <w:numPr>
          <w:ilvl w:val="0"/>
          <w:numId w:val="8"/>
        </w:numPr>
        <w:ind w:left="1276" w:hanging="425"/>
        <w:rPr>
          <w:sz w:val="24"/>
          <w:szCs w:val="24"/>
        </w:rPr>
      </w:pPr>
      <w:proofErr w:type="spellStart"/>
      <w:r w:rsidRPr="00EB768C">
        <w:rPr>
          <w:sz w:val="24"/>
          <w:szCs w:val="24"/>
        </w:rPr>
        <w:t>Supraventrikulære</w:t>
      </w:r>
      <w:proofErr w:type="spellEnd"/>
      <w:r w:rsidRPr="00EB768C">
        <w:rPr>
          <w:sz w:val="24"/>
          <w:szCs w:val="24"/>
        </w:rPr>
        <w:t xml:space="preserve"> </w:t>
      </w:r>
      <w:proofErr w:type="spellStart"/>
      <w:r w:rsidRPr="00EB768C">
        <w:rPr>
          <w:sz w:val="24"/>
          <w:szCs w:val="24"/>
        </w:rPr>
        <w:t>arytmier</w:t>
      </w:r>
      <w:proofErr w:type="spellEnd"/>
      <w:r w:rsidRPr="00EB768C">
        <w:rPr>
          <w:sz w:val="24"/>
          <w:szCs w:val="24"/>
        </w:rPr>
        <w:t>:</w:t>
      </w:r>
    </w:p>
    <w:p w14:paraId="231859F8" w14:textId="77777777" w:rsidR="00E4750A" w:rsidRPr="00EB768C" w:rsidRDefault="00E4750A" w:rsidP="00EB768C">
      <w:pPr>
        <w:pStyle w:val="Listeafsnit"/>
        <w:numPr>
          <w:ilvl w:val="0"/>
          <w:numId w:val="9"/>
        </w:numPr>
        <w:ind w:hanging="295"/>
        <w:rPr>
          <w:sz w:val="24"/>
          <w:szCs w:val="24"/>
        </w:rPr>
      </w:pPr>
      <w:proofErr w:type="spellStart"/>
      <w:r w:rsidRPr="00EB768C">
        <w:rPr>
          <w:sz w:val="24"/>
          <w:szCs w:val="24"/>
        </w:rPr>
        <w:t>paroxysmal</w:t>
      </w:r>
      <w:proofErr w:type="spellEnd"/>
      <w:r w:rsidRPr="00EB768C">
        <w:rPr>
          <w:sz w:val="24"/>
          <w:szCs w:val="24"/>
        </w:rPr>
        <w:t xml:space="preserve"> </w:t>
      </w:r>
      <w:proofErr w:type="spellStart"/>
      <w:r w:rsidRPr="00EB768C">
        <w:rPr>
          <w:sz w:val="24"/>
          <w:szCs w:val="24"/>
        </w:rPr>
        <w:t>supraventrikulær</w:t>
      </w:r>
      <w:proofErr w:type="spellEnd"/>
      <w:r w:rsidRPr="00EB768C">
        <w:rPr>
          <w:sz w:val="24"/>
          <w:szCs w:val="24"/>
        </w:rPr>
        <w:t xml:space="preserve"> </w:t>
      </w:r>
      <w:proofErr w:type="spellStart"/>
      <w:r w:rsidRPr="00EB768C">
        <w:rPr>
          <w:sz w:val="24"/>
          <w:szCs w:val="24"/>
        </w:rPr>
        <w:t>takykardi</w:t>
      </w:r>
      <w:proofErr w:type="spellEnd"/>
      <w:r w:rsidRPr="00EB768C">
        <w:rPr>
          <w:sz w:val="24"/>
          <w:szCs w:val="24"/>
        </w:rPr>
        <w:t xml:space="preserve"> (i terapeutisk eller profylaktisk behandling)</w:t>
      </w:r>
    </w:p>
    <w:p w14:paraId="78403AA9" w14:textId="77777777" w:rsidR="00E4750A" w:rsidRPr="00EB768C" w:rsidRDefault="00E4750A" w:rsidP="00EB768C">
      <w:pPr>
        <w:pStyle w:val="Listeafsnit"/>
        <w:numPr>
          <w:ilvl w:val="0"/>
          <w:numId w:val="9"/>
        </w:numPr>
        <w:ind w:hanging="295"/>
        <w:rPr>
          <w:sz w:val="24"/>
          <w:szCs w:val="24"/>
        </w:rPr>
      </w:pPr>
      <w:proofErr w:type="spellStart"/>
      <w:r w:rsidRPr="00EB768C">
        <w:rPr>
          <w:sz w:val="24"/>
          <w:szCs w:val="24"/>
        </w:rPr>
        <w:t>atriefibrillation</w:t>
      </w:r>
      <w:proofErr w:type="spellEnd"/>
      <w:r w:rsidRPr="00EB768C">
        <w:rPr>
          <w:sz w:val="24"/>
          <w:szCs w:val="24"/>
        </w:rPr>
        <w:t xml:space="preserve"> og atrieflimren: i tilfælde af utilstrækkelig respons på maksimale doser af </w:t>
      </w:r>
      <w:proofErr w:type="spellStart"/>
      <w:r w:rsidRPr="00EB768C">
        <w:rPr>
          <w:sz w:val="24"/>
          <w:szCs w:val="24"/>
        </w:rPr>
        <w:t>hjerteglycosider</w:t>
      </w:r>
      <w:proofErr w:type="spellEnd"/>
      <w:r w:rsidRPr="00EB768C">
        <w:rPr>
          <w:sz w:val="24"/>
          <w:szCs w:val="24"/>
        </w:rPr>
        <w:t xml:space="preserve">; i tilfælde, hvor </w:t>
      </w:r>
      <w:proofErr w:type="spellStart"/>
      <w:r w:rsidRPr="00EB768C">
        <w:rPr>
          <w:sz w:val="24"/>
          <w:szCs w:val="24"/>
        </w:rPr>
        <w:t>hjerteglycosider</w:t>
      </w:r>
      <w:proofErr w:type="spellEnd"/>
      <w:r w:rsidRPr="00EB768C">
        <w:rPr>
          <w:sz w:val="24"/>
          <w:szCs w:val="24"/>
        </w:rPr>
        <w:t xml:space="preserve"> kan være kontraindiceret eller kan være forbundet med et ugunstig risiko/fordel-forhold</w:t>
      </w:r>
    </w:p>
    <w:p w14:paraId="53174EBE" w14:textId="77777777" w:rsidR="00E4750A" w:rsidRPr="00EB768C" w:rsidRDefault="00E4750A" w:rsidP="00EB768C">
      <w:pPr>
        <w:pStyle w:val="Listeafsnit"/>
        <w:numPr>
          <w:ilvl w:val="0"/>
          <w:numId w:val="8"/>
        </w:numPr>
        <w:ind w:left="1276" w:hanging="425"/>
        <w:rPr>
          <w:sz w:val="24"/>
          <w:szCs w:val="24"/>
        </w:rPr>
      </w:pPr>
      <w:proofErr w:type="spellStart"/>
      <w:r w:rsidRPr="00EB768C">
        <w:rPr>
          <w:sz w:val="24"/>
          <w:szCs w:val="24"/>
        </w:rPr>
        <w:t>Ventrikulære</w:t>
      </w:r>
      <w:proofErr w:type="spellEnd"/>
      <w:r w:rsidRPr="00EB768C">
        <w:rPr>
          <w:sz w:val="24"/>
          <w:szCs w:val="24"/>
        </w:rPr>
        <w:t xml:space="preserve"> </w:t>
      </w:r>
      <w:proofErr w:type="spellStart"/>
      <w:r w:rsidRPr="00EB768C">
        <w:rPr>
          <w:sz w:val="24"/>
          <w:szCs w:val="24"/>
        </w:rPr>
        <w:t>arytmier</w:t>
      </w:r>
      <w:proofErr w:type="spellEnd"/>
      <w:r w:rsidRPr="00EB768C">
        <w:rPr>
          <w:sz w:val="24"/>
          <w:szCs w:val="24"/>
        </w:rPr>
        <w:t>:</w:t>
      </w:r>
    </w:p>
    <w:p w14:paraId="4034B7D9" w14:textId="77777777" w:rsidR="00E4750A" w:rsidRPr="00EB768C" w:rsidRDefault="00E4750A" w:rsidP="00EB768C">
      <w:pPr>
        <w:pStyle w:val="Listeafsnit"/>
        <w:numPr>
          <w:ilvl w:val="0"/>
          <w:numId w:val="10"/>
        </w:numPr>
        <w:ind w:hanging="295"/>
        <w:rPr>
          <w:sz w:val="24"/>
          <w:szCs w:val="24"/>
        </w:rPr>
      </w:pPr>
      <w:proofErr w:type="spellStart"/>
      <w:r w:rsidRPr="00EB768C">
        <w:rPr>
          <w:sz w:val="24"/>
          <w:szCs w:val="24"/>
        </w:rPr>
        <w:t>ventrikulære</w:t>
      </w:r>
      <w:proofErr w:type="spellEnd"/>
      <w:r w:rsidRPr="00EB768C">
        <w:rPr>
          <w:sz w:val="24"/>
          <w:szCs w:val="24"/>
        </w:rPr>
        <w:t xml:space="preserve"> </w:t>
      </w:r>
      <w:proofErr w:type="spellStart"/>
      <w:r w:rsidRPr="00EB768C">
        <w:rPr>
          <w:sz w:val="24"/>
          <w:szCs w:val="24"/>
        </w:rPr>
        <w:t>ekstrasystoler</w:t>
      </w:r>
      <w:proofErr w:type="spellEnd"/>
      <w:r w:rsidRPr="00EB768C">
        <w:rPr>
          <w:sz w:val="24"/>
          <w:szCs w:val="24"/>
        </w:rPr>
        <w:t xml:space="preserve"> (profylaktisk eller terapeutisk behandling), hvis </w:t>
      </w:r>
      <w:proofErr w:type="spellStart"/>
      <w:r w:rsidRPr="00EB768C">
        <w:rPr>
          <w:sz w:val="24"/>
          <w:szCs w:val="24"/>
        </w:rPr>
        <w:t>ekstrasystoler</w:t>
      </w:r>
      <w:proofErr w:type="spellEnd"/>
      <w:r w:rsidRPr="00EB768C">
        <w:rPr>
          <w:sz w:val="24"/>
          <w:szCs w:val="24"/>
        </w:rPr>
        <w:t xml:space="preserve"> er resultatet af øget sympatisk aktivitet</w:t>
      </w:r>
    </w:p>
    <w:p w14:paraId="417DDE18" w14:textId="77777777" w:rsidR="00E4750A" w:rsidRPr="00EB768C" w:rsidRDefault="00E4750A" w:rsidP="00EB768C">
      <w:pPr>
        <w:pStyle w:val="Listeafsnit"/>
        <w:numPr>
          <w:ilvl w:val="0"/>
          <w:numId w:val="10"/>
        </w:numPr>
        <w:ind w:hanging="295"/>
        <w:rPr>
          <w:sz w:val="24"/>
          <w:szCs w:val="24"/>
        </w:rPr>
      </w:pPr>
      <w:proofErr w:type="spellStart"/>
      <w:r w:rsidRPr="00EB768C">
        <w:rPr>
          <w:sz w:val="24"/>
          <w:szCs w:val="24"/>
        </w:rPr>
        <w:t>ventrikulær</w:t>
      </w:r>
      <w:proofErr w:type="spellEnd"/>
      <w:r w:rsidRPr="00EB768C">
        <w:rPr>
          <w:sz w:val="24"/>
          <w:szCs w:val="24"/>
        </w:rPr>
        <w:t xml:space="preserve"> </w:t>
      </w:r>
      <w:proofErr w:type="spellStart"/>
      <w:r w:rsidRPr="00EB768C">
        <w:rPr>
          <w:sz w:val="24"/>
          <w:szCs w:val="24"/>
        </w:rPr>
        <w:t>takykardi</w:t>
      </w:r>
      <w:proofErr w:type="spellEnd"/>
      <w:r w:rsidRPr="00EB768C">
        <w:rPr>
          <w:sz w:val="24"/>
          <w:szCs w:val="24"/>
        </w:rPr>
        <w:t xml:space="preserve"> og </w:t>
      </w:r>
      <w:proofErr w:type="spellStart"/>
      <w:r w:rsidRPr="00EB768C">
        <w:rPr>
          <w:sz w:val="24"/>
          <w:szCs w:val="24"/>
        </w:rPr>
        <w:t>ventrikulær</w:t>
      </w:r>
      <w:proofErr w:type="spellEnd"/>
      <w:r w:rsidRPr="00EB768C">
        <w:rPr>
          <w:sz w:val="24"/>
          <w:szCs w:val="24"/>
        </w:rPr>
        <w:t xml:space="preserve"> fibrillation (profylaktisk behandling), især når </w:t>
      </w:r>
      <w:proofErr w:type="spellStart"/>
      <w:r w:rsidRPr="00EB768C">
        <w:rPr>
          <w:sz w:val="24"/>
          <w:szCs w:val="24"/>
        </w:rPr>
        <w:t>ventrikulær</w:t>
      </w:r>
      <w:proofErr w:type="spellEnd"/>
      <w:r w:rsidRPr="00EB768C">
        <w:rPr>
          <w:sz w:val="24"/>
          <w:szCs w:val="24"/>
        </w:rPr>
        <w:t xml:space="preserve"> abnormitet er resultatet af forhøjet sympatisk aktivitet</w:t>
      </w:r>
    </w:p>
    <w:p w14:paraId="1EDDE76E" w14:textId="77777777" w:rsidR="009260DE" w:rsidRPr="00EB768C" w:rsidRDefault="009260DE" w:rsidP="009260DE">
      <w:pPr>
        <w:tabs>
          <w:tab w:val="left" w:pos="851"/>
        </w:tabs>
        <w:ind w:left="851"/>
        <w:rPr>
          <w:sz w:val="24"/>
          <w:szCs w:val="24"/>
        </w:rPr>
      </w:pPr>
    </w:p>
    <w:p w14:paraId="42042A06" w14:textId="77777777" w:rsidR="009260DE" w:rsidRPr="00EB768C" w:rsidRDefault="009260DE" w:rsidP="009260DE">
      <w:pPr>
        <w:tabs>
          <w:tab w:val="left" w:pos="851"/>
        </w:tabs>
        <w:ind w:left="851" w:hanging="851"/>
        <w:rPr>
          <w:b/>
          <w:sz w:val="24"/>
          <w:szCs w:val="24"/>
        </w:rPr>
      </w:pPr>
      <w:r w:rsidRPr="00EB768C">
        <w:rPr>
          <w:b/>
          <w:sz w:val="24"/>
          <w:szCs w:val="24"/>
        </w:rPr>
        <w:t>4.2</w:t>
      </w:r>
      <w:r w:rsidRPr="00EB768C">
        <w:rPr>
          <w:b/>
          <w:sz w:val="24"/>
          <w:szCs w:val="24"/>
        </w:rPr>
        <w:tab/>
        <w:t xml:space="preserve">Dosering og </w:t>
      </w:r>
      <w:r w:rsidR="002C1EC0" w:rsidRPr="00EB768C">
        <w:rPr>
          <w:b/>
          <w:sz w:val="24"/>
          <w:szCs w:val="24"/>
        </w:rPr>
        <w:t>administration</w:t>
      </w:r>
    </w:p>
    <w:p w14:paraId="5EDF557B" w14:textId="77777777" w:rsidR="00E033E1" w:rsidRDefault="00E033E1" w:rsidP="00F65D87">
      <w:pPr>
        <w:ind w:left="851"/>
        <w:rPr>
          <w:noProof/>
          <w:sz w:val="24"/>
          <w:szCs w:val="24"/>
        </w:rPr>
      </w:pPr>
    </w:p>
    <w:p w14:paraId="0C7661CB" w14:textId="6E877D50" w:rsidR="00E4750A" w:rsidRPr="00E033E1" w:rsidRDefault="00E4750A" w:rsidP="00F65D87">
      <w:pPr>
        <w:ind w:left="851"/>
        <w:rPr>
          <w:noProof/>
          <w:sz w:val="24"/>
          <w:szCs w:val="24"/>
          <w:u w:val="single"/>
        </w:rPr>
      </w:pPr>
      <w:r w:rsidRPr="00E033E1">
        <w:rPr>
          <w:noProof/>
          <w:sz w:val="24"/>
          <w:szCs w:val="24"/>
          <w:u w:val="single"/>
        </w:rPr>
        <w:t>Dosering</w:t>
      </w:r>
    </w:p>
    <w:p w14:paraId="349255C7" w14:textId="77777777" w:rsidR="00E4750A" w:rsidRPr="00EB768C" w:rsidRDefault="00E4750A" w:rsidP="00F65D87">
      <w:pPr>
        <w:ind w:left="851"/>
        <w:rPr>
          <w:noProof/>
          <w:sz w:val="24"/>
          <w:szCs w:val="24"/>
        </w:rPr>
      </w:pPr>
    </w:p>
    <w:p w14:paraId="6CF19380" w14:textId="77777777" w:rsidR="00E4750A" w:rsidRPr="00EB768C" w:rsidRDefault="00E4750A" w:rsidP="00F65D87">
      <w:pPr>
        <w:ind w:left="851"/>
        <w:rPr>
          <w:noProof/>
          <w:sz w:val="24"/>
          <w:szCs w:val="24"/>
        </w:rPr>
      </w:pPr>
      <w:r w:rsidRPr="00EB768C">
        <w:rPr>
          <w:noProof/>
          <w:sz w:val="24"/>
          <w:szCs w:val="24"/>
        </w:rPr>
        <w:t>Dosis skal bestemmes individuelt. Det anbefales at starte med den lavest mulige dosis, således at dekompensation, bradykardi og bronkielle symptomer opdages rettidigt. Dette er især vigtigt hos ældre. Yderligere tilpasning bør ske gradvist (f.eks. en gang om ugen) under kontrollerede forhold eller baseret på den kliniske effekt.</w:t>
      </w:r>
    </w:p>
    <w:p w14:paraId="0AB47809" w14:textId="77777777" w:rsidR="00E4750A" w:rsidRPr="00EB768C" w:rsidRDefault="00E4750A" w:rsidP="00F65D87">
      <w:pPr>
        <w:ind w:left="851"/>
        <w:rPr>
          <w:noProof/>
          <w:sz w:val="24"/>
          <w:szCs w:val="24"/>
        </w:rPr>
      </w:pPr>
    </w:p>
    <w:p w14:paraId="486D9F5A" w14:textId="77777777" w:rsidR="00E4750A" w:rsidRPr="00EB768C" w:rsidRDefault="00E4750A" w:rsidP="00F65D87">
      <w:pPr>
        <w:ind w:left="851"/>
        <w:rPr>
          <w:noProof/>
          <w:sz w:val="24"/>
          <w:szCs w:val="24"/>
        </w:rPr>
      </w:pPr>
      <w:r w:rsidRPr="00EB768C">
        <w:rPr>
          <w:i/>
          <w:iCs/>
          <w:noProof/>
          <w:sz w:val="24"/>
          <w:szCs w:val="24"/>
        </w:rPr>
        <w:t>Voksne</w:t>
      </w:r>
    </w:p>
    <w:p w14:paraId="30870E5F" w14:textId="77777777" w:rsidR="00E4750A" w:rsidRPr="00E033E1" w:rsidRDefault="00E4750A" w:rsidP="00F65D87">
      <w:pPr>
        <w:ind w:left="851"/>
        <w:rPr>
          <w:noProof/>
          <w:sz w:val="24"/>
          <w:szCs w:val="24"/>
          <w:u w:val="single"/>
        </w:rPr>
      </w:pPr>
      <w:r w:rsidRPr="00E033E1">
        <w:rPr>
          <w:noProof/>
          <w:sz w:val="24"/>
          <w:szCs w:val="24"/>
          <w:u w:val="single"/>
        </w:rPr>
        <w:t>Hypertension</w:t>
      </w:r>
    </w:p>
    <w:p w14:paraId="483F21B6" w14:textId="77777777" w:rsidR="00E4750A" w:rsidRPr="00EB768C" w:rsidRDefault="00E4750A" w:rsidP="00F65D87">
      <w:pPr>
        <w:ind w:left="851"/>
        <w:rPr>
          <w:noProof/>
          <w:sz w:val="24"/>
          <w:szCs w:val="24"/>
        </w:rPr>
      </w:pPr>
      <w:r w:rsidRPr="00EB768C">
        <w:rPr>
          <w:noProof/>
          <w:sz w:val="24"/>
          <w:szCs w:val="24"/>
        </w:rPr>
        <w:t>Der anbefales en startdosis på 50 mg. Den sædvanlige vedligeholdelsesdosis ved hypertension er én tablet (50-100 mg) dagligt. Den maksimale virkning vil blive opnået efter 1-2 uger. Hvis der ønskes en yderligere forbedring af blodtrykket, kan atenolol kombineres med andre antihypertensiva f.eks. et diuretikum.</w:t>
      </w:r>
    </w:p>
    <w:p w14:paraId="38FD1CBB" w14:textId="77777777" w:rsidR="00E4750A" w:rsidRPr="00EB768C" w:rsidRDefault="00E4750A" w:rsidP="00F65D87">
      <w:pPr>
        <w:ind w:left="851"/>
        <w:rPr>
          <w:noProof/>
          <w:sz w:val="24"/>
          <w:szCs w:val="24"/>
        </w:rPr>
      </w:pPr>
    </w:p>
    <w:p w14:paraId="61441510" w14:textId="77777777" w:rsidR="00E4750A" w:rsidRPr="00E033E1" w:rsidRDefault="00E4750A" w:rsidP="00F65D87">
      <w:pPr>
        <w:ind w:left="851"/>
        <w:rPr>
          <w:noProof/>
          <w:sz w:val="24"/>
          <w:szCs w:val="24"/>
          <w:u w:val="single"/>
        </w:rPr>
      </w:pPr>
      <w:r w:rsidRPr="00E033E1">
        <w:rPr>
          <w:noProof/>
          <w:sz w:val="24"/>
          <w:szCs w:val="24"/>
          <w:u w:val="single"/>
        </w:rPr>
        <w:t>Angina</w:t>
      </w:r>
    </w:p>
    <w:p w14:paraId="0BE8EC92" w14:textId="77777777" w:rsidR="00E4750A" w:rsidRPr="00EB768C" w:rsidRDefault="00E4750A" w:rsidP="00F65D87">
      <w:pPr>
        <w:ind w:left="851"/>
        <w:rPr>
          <w:noProof/>
          <w:sz w:val="24"/>
          <w:szCs w:val="24"/>
        </w:rPr>
      </w:pPr>
      <w:r w:rsidRPr="00EB768C">
        <w:rPr>
          <w:noProof/>
          <w:sz w:val="24"/>
          <w:szCs w:val="24"/>
        </w:rPr>
        <w:t>50-100 mg dagligt afhængigt af den kliniske virkning. En øgning til over 100 mg fører normalt ikke til en øget antianginøs virkning.</w:t>
      </w:r>
    </w:p>
    <w:p w14:paraId="01C843C8" w14:textId="77777777" w:rsidR="00E4750A" w:rsidRPr="00EB768C" w:rsidRDefault="00E4750A" w:rsidP="00F65D87">
      <w:pPr>
        <w:ind w:left="851"/>
        <w:rPr>
          <w:noProof/>
          <w:sz w:val="24"/>
          <w:szCs w:val="24"/>
        </w:rPr>
      </w:pPr>
    </w:p>
    <w:p w14:paraId="7ADCFF9B" w14:textId="77777777" w:rsidR="00E4750A" w:rsidRPr="00E033E1" w:rsidRDefault="00E4750A" w:rsidP="00F65D87">
      <w:pPr>
        <w:ind w:left="851"/>
        <w:rPr>
          <w:noProof/>
          <w:sz w:val="24"/>
          <w:szCs w:val="24"/>
          <w:u w:val="single"/>
        </w:rPr>
      </w:pPr>
      <w:r w:rsidRPr="00E033E1">
        <w:rPr>
          <w:noProof/>
          <w:sz w:val="24"/>
          <w:szCs w:val="24"/>
          <w:u w:val="single"/>
        </w:rPr>
        <w:t>Arytmier</w:t>
      </w:r>
    </w:p>
    <w:p w14:paraId="0B46E71C" w14:textId="77777777" w:rsidR="00E4750A" w:rsidRPr="00EB768C" w:rsidRDefault="00E4750A" w:rsidP="00F65D87">
      <w:pPr>
        <w:ind w:left="851"/>
        <w:rPr>
          <w:noProof/>
          <w:sz w:val="24"/>
          <w:szCs w:val="24"/>
        </w:rPr>
      </w:pPr>
      <w:r w:rsidRPr="00EB768C">
        <w:rPr>
          <w:noProof/>
          <w:sz w:val="24"/>
          <w:szCs w:val="24"/>
        </w:rPr>
        <w:t>Den sædvanlige orale vedligeholdelsesdosis er 50 til 100 mg atenolol dagligt.</w:t>
      </w:r>
    </w:p>
    <w:p w14:paraId="3A1CC2B6" w14:textId="77777777" w:rsidR="00E4750A" w:rsidRPr="00EB768C" w:rsidRDefault="00E4750A" w:rsidP="00F65D87">
      <w:pPr>
        <w:ind w:left="851"/>
        <w:rPr>
          <w:noProof/>
          <w:sz w:val="24"/>
          <w:szCs w:val="24"/>
        </w:rPr>
      </w:pPr>
    </w:p>
    <w:p w14:paraId="7C669A07" w14:textId="77777777" w:rsidR="00E4750A" w:rsidRPr="00E033E1" w:rsidRDefault="00E4750A" w:rsidP="00F65D87">
      <w:pPr>
        <w:ind w:left="851"/>
        <w:rPr>
          <w:noProof/>
          <w:sz w:val="24"/>
          <w:szCs w:val="24"/>
          <w:u w:val="single"/>
        </w:rPr>
      </w:pPr>
      <w:r w:rsidRPr="00E033E1">
        <w:rPr>
          <w:noProof/>
          <w:sz w:val="24"/>
          <w:szCs w:val="24"/>
          <w:u w:val="single"/>
        </w:rPr>
        <w:t>Sekundær profylaksis efter akut myokardieinfarkt</w:t>
      </w:r>
    </w:p>
    <w:p w14:paraId="072FFD8D" w14:textId="77777777" w:rsidR="00E4750A" w:rsidRPr="00EB768C" w:rsidRDefault="00E4750A" w:rsidP="00F65D87">
      <w:pPr>
        <w:ind w:left="851"/>
        <w:rPr>
          <w:noProof/>
          <w:sz w:val="24"/>
          <w:szCs w:val="24"/>
        </w:rPr>
      </w:pPr>
      <w:r w:rsidRPr="00EB768C">
        <w:rPr>
          <w:noProof/>
          <w:sz w:val="24"/>
          <w:szCs w:val="24"/>
        </w:rPr>
        <w:t>10 minutter efter afbrydelse af den intravenøse atenolol, indgives 50 mg efterfulgt af yderligere 50 mg 12 timer senere. Vedligeholdelsesdosis er 100 mg dagligt over 6 dage eller indtil hospitalsudskrivning.</w:t>
      </w:r>
    </w:p>
    <w:p w14:paraId="571EB934" w14:textId="77777777" w:rsidR="00E4750A" w:rsidRPr="00EB768C" w:rsidRDefault="00E4750A" w:rsidP="00F65D87">
      <w:pPr>
        <w:ind w:left="851"/>
        <w:rPr>
          <w:noProof/>
          <w:sz w:val="24"/>
          <w:szCs w:val="24"/>
        </w:rPr>
      </w:pPr>
    </w:p>
    <w:p w14:paraId="50B3D575" w14:textId="77777777" w:rsidR="00E4750A" w:rsidRPr="00EB768C" w:rsidRDefault="00E4750A" w:rsidP="00F65D87">
      <w:pPr>
        <w:ind w:left="851"/>
        <w:rPr>
          <w:noProof/>
          <w:sz w:val="24"/>
          <w:szCs w:val="24"/>
        </w:rPr>
      </w:pPr>
      <w:r w:rsidRPr="00EB768C">
        <w:rPr>
          <w:i/>
          <w:iCs/>
          <w:noProof/>
          <w:sz w:val="24"/>
          <w:szCs w:val="24"/>
        </w:rPr>
        <w:t>Ældre</w:t>
      </w:r>
    </w:p>
    <w:p w14:paraId="1E10D3FB" w14:textId="3D606158" w:rsidR="00E4750A" w:rsidRPr="00EB768C" w:rsidRDefault="00E4750A" w:rsidP="00F65D87">
      <w:pPr>
        <w:ind w:left="851"/>
        <w:rPr>
          <w:noProof/>
          <w:sz w:val="24"/>
          <w:szCs w:val="24"/>
        </w:rPr>
      </w:pPr>
      <w:r w:rsidRPr="00EB768C">
        <w:rPr>
          <w:noProof/>
          <w:sz w:val="24"/>
          <w:szCs w:val="24"/>
        </w:rPr>
        <w:t>Hos ældre patienter bør behandlingen startes med en lavere dosis. Dosis bør titreres i overensstemmelse med kliniske effekt</w:t>
      </w:r>
      <w:r w:rsidR="00355D82">
        <w:rPr>
          <w:noProof/>
          <w:sz w:val="24"/>
          <w:szCs w:val="24"/>
        </w:rPr>
        <w:t>.</w:t>
      </w:r>
    </w:p>
    <w:p w14:paraId="06A0FBEF" w14:textId="77777777" w:rsidR="00E4750A" w:rsidRPr="00EB768C" w:rsidRDefault="00E4750A" w:rsidP="00F65D87">
      <w:pPr>
        <w:ind w:left="851"/>
        <w:rPr>
          <w:noProof/>
          <w:sz w:val="24"/>
          <w:szCs w:val="24"/>
        </w:rPr>
      </w:pPr>
    </w:p>
    <w:p w14:paraId="68EDB8B1" w14:textId="77777777" w:rsidR="00E4750A" w:rsidRPr="00EB768C" w:rsidRDefault="00E4750A" w:rsidP="00F65D87">
      <w:pPr>
        <w:ind w:left="851"/>
        <w:rPr>
          <w:noProof/>
          <w:sz w:val="24"/>
          <w:szCs w:val="24"/>
        </w:rPr>
      </w:pPr>
      <w:r w:rsidRPr="00EB768C">
        <w:rPr>
          <w:i/>
          <w:noProof/>
          <w:sz w:val="24"/>
          <w:szCs w:val="24"/>
        </w:rPr>
        <w:t>Pædiatrisk population</w:t>
      </w:r>
    </w:p>
    <w:p w14:paraId="02D35956" w14:textId="77777777" w:rsidR="00E4750A" w:rsidRPr="00EB768C" w:rsidRDefault="00E4750A" w:rsidP="00F65D87">
      <w:pPr>
        <w:ind w:left="851"/>
        <w:rPr>
          <w:noProof/>
          <w:sz w:val="24"/>
          <w:szCs w:val="24"/>
        </w:rPr>
      </w:pPr>
      <w:r w:rsidRPr="00EB768C">
        <w:rPr>
          <w:noProof/>
          <w:sz w:val="24"/>
          <w:szCs w:val="24"/>
        </w:rPr>
        <w:t>Atenolol bør ikke anvendes til børn, da erfaringen med behandling af børn er utilstrækkelig.</w:t>
      </w:r>
    </w:p>
    <w:p w14:paraId="0116F576" w14:textId="77777777" w:rsidR="00E4750A" w:rsidRPr="00EB768C" w:rsidRDefault="00E4750A" w:rsidP="00F65D87">
      <w:pPr>
        <w:ind w:left="851"/>
        <w:rPr>
          <w:noProof/>
          <w:sz w:val="24"/>
          <w:szCs w:val="24"/>
        </w:rPr>
      </w:pPr>
    </w:p>
    <w:p w14:paraId="68D372B4" w14:textId="77777777" w:rsidR="00E4750A" w:rsidRPr="00E033E1" w:rsidRDefault="00E4750A" w:rsidP="00F65D87">
      <w:pPr>
        <w:ind w:left="851"/>
        <w:rPr>
          <w:noProof/>
          <w:sz w:val="24"/>
          <w:szCs w:val="24"/>
          <w:u w:val="single"/>
        </w:rPr>
      </w:pPr>
      <w:r w:rsidRPr="00E033E1">
        <w:rPr>
          <w:noProof/>
          <w:sz w:val="24"/>
          <w:szCs w:val="24"/>
          <w:u w:val="single"/>
        </w:rPr>
        <w:t>Nedsat nyrefunktion</w:t>
      </w:r>
    </w:p>
    <w:p w14:paraId="12E45521" w14:textId="35833B7F" w:rsidR="00E4750A" w:rsidRPr="00EB768C" w:rsidRDefault="00E4750A" w:rsidP="00F65D87">
      <w:pPr>
        <w:ind w:left="851"/>
        <w:rPr>
          <w:noProof/>
          <w:sz w:val="24"/>
          <w:szCs w:val="24"/>
        </w:rPr>
      </w:pPr>
      <w:r w:rsidRPr="00EB768C">
        <w:rPr>
          <w:noProof/>
          <w:sz w:val="24"/>
          <w:szCs w:val="24"/>
        </w:rPr>
        <w:t xml:space="preserve">Det er nødvendigt at justere dosis hos patienter med alvorlig nedsat nyrefunktion, da atenolol udskilles via nyrerne (se tabel 1). Der er ingen signifikant akkumulering af Atenolol </w:t>
      </w:r>
      <w:r w:rsidR="00602DED">
        <w:rPr>
          <w:noProof/>
          <w:sz w:val="24"/>
          <w:szCs w:val="24"/>
        </w:rPr>
        <w:t>"</w:t>
      </w:r>
      <w:r w:rsidRPr="00EB768C">
        <w:rPr>
          <w:noProof/>
          <w:sz w:val="24"/>
          <w:szCs w:val="24"/>
        </w:rPr>
        <w:t>Medical Valley</w:t>
      </w:r>
      <w:r w:rsidR="00B167E7">
        <w:rPr>
          <w:noProof/>
          <w:sz w:val="24"/>
          <w:szCs w:val="24"/>
        </w:rPr>
        <w:t>"</w:t>
      </w:r>
      <w:r w:rsidRPr="00EB768C">
        <w:rPr>
          <w:noProof/>
          <w:sz w:val="24"/>
          <w:szCs w:val="24"/>
        </w:rPr>
        <w:t>, når kreatininclearance er større end 35 ml/min/1,73 m</w:t>
      </w:r>
      <w:r w:rsidRPr="00EB768C">
        <w:rPr>
          <w:noProof/>
          <w:sz w:val="24"/>
          <w:szCs w:val="24"/>
          <w:vertAlign w:val="superscript"/>
        </w:rPr>
        <w:t>2</w:t>
      </w:r>
      <w:r w:rsidRPr="00EB768C">
        <w:rPr>
          <w:noProof/>
          <w:sz w:val="24"/>
          <w:szCs w:val="24"/>
        </w:rPr>
        <w:t xml:space="preserve"> (normalværdi er mellem 100 og 150 ml/min/1,73 m</w:t>
      </w:r>
      <w:r w:rsidRPr="00EB768C">
        <w:rPr>
          <w:noProof/>
          <w:sz w:val="24"/>
          <w:szCs w:val="24"/>
          <w:vertAlign w:val="superscript"/>
        </w:rPr>
        <w:t>2</w:t>
      </w:r>
      <w:r w:rsidRPr="00EB768C">
        <w:rPr>
          <w:noProof/>
          <w:sz w:val="24"/>
          <w:szCs w:val="24"/>
        </w:rPr>
        <w:t>). Hos patienter med kreatinin</w:t>
      </w:r>
      <w:r w:rsidR="00355D82">
        <w:rPr>
          <w:noProof/>
          <w:sz w:val="24"/>
          <w:szCs w:val="24"/>
        </w:rPr>
        <w:softHyphen/>
      </w:r>
      <w:r w:rsidRPr="00EB768C">
        <w:rPr>
          <w:noProof/>
          <w:sz w:val="24"/>
          <w:szCs w:val="24"/>
        </w:rPr>
        <w:t>clearance mellem 15 og 35 ml/min/1,73 m</w:t>
      </w:r>
      <w:r w:rsidRPr="00EB768C">
        <w:rPr>
          <w:noProof/>
          <w:sz w:val="24"/>
          <w:szCs w:val="24"/>
          <w:vertAlign w:val="superscript"/>
        </w:rPr>
        <w:t>2</w:t>
      </w:r>
      <w:r w:rsidRPr="00EB768C">
        <w:rPr>
          <w:noProof/>
          <w:sz w:val="24"/>
          <w:szCs w:val="24"/>
        </w:rPr>
        <w:t xml:space="preserve"> (svarede til en serum-kreatinin på 300-600 nmol/l) er den maksimale orale dosis 50 mg dagligt, og den intravenøse dosis bør være 10 mg hver 2. dag. Hos patienter med en kreatininclerance på mindre end 15 ml/min/1,73 m</w:t>
      </w:r>
      <w:r w:rsidRPr="00EB768C">
        <w:rPr>
          <w:noProof/>
          <w:sz w:val="24"/>
          <w:szCs w:val="24"/>
          <w:vertAlign w:val="superscript"/>
        </w:rPr>
        <w:t>2</w:t>
      </w:r>
      <w:r w:rsidRPr="00EB768C">
        <w:rPr>
          <w:noProof/>
          <w:sz w:val="24"/>
          <w:szCs w:val="24"/>
        </w:rPr>
        <w:t xml:space="preserve"> (svarende til en serum-kreatinin på mere end 600 nmol/l) bør den orale dosis være 25 mg eller 50 mg dagligt på forskellige dage og den intravenøse dosis 10 mg hver 4. dag.</w:t>
      </w:r>
    </w:p>
    <w:p w14:paraId="5CA28F61" w14:textId="77777777" w:rsidR="00E4750A" w:rsidRPr="00EB768C" w:rsidRDefault="00E4750A" w:rsidP="00F65D87">
      <w:pPr>
        <w:ind w:left="851"/>
        <w:rPr>
          <w:noProof/>
          <w:sz w:val="24"/>
          <w:szCs w:val="24"/>
        </w:rPr>
      </w:pPr>
    </w:p>
    <w:p w14:paraId="63636583" w14:textId="77777777" w:rsidR="00E4750A" w:rsidRPr="00EB768C" w:rsidRDefault="00E4750A" w:rsidP="00F65D87">
      <w:pPr>
        <w:ind w:left="851"/>
        <w:rPr>
          <w:noProof/>
          <w:sz w:val="24"/>
          <w:szCs w:val="24"/>
        </w:rPr>
      </w:pPr>
      <w:r w:rsidRPr="00EB768C">
        <w:rPr>
          <w:noProof/>
          <w:sz w:val="24"/>
          <w:szCs w:val="24"/>
        </w:rPr>
        <w:t>Dialysepatienter bør få 50 mg oralt efter hver dialyse. Da der kan forekomme markant blodtryksfald efter dosering, bør administrationen kun ske under hospitalsovervågning</w:t>
      </w:r>
    </w:p>
    <w:p w14:paraId="773A344B" w14:textId="77777777" w:rsidR="00E4750A" w:rsidRPr="00EB768C" w:rsidRDefault="00E4750A" w:rsidP="00E4750A">
      <w:pPr>
        <w:rPr>
          <w:noProof/>
          <w:sz w:val="24"/>
          <w:szCs w:val="24"/>
        </w:rPr>
      </w:pPr>
    </w:p>
    <w:tbl>
      <w:tblPr>
        <w:tblStyle w:val="Tabel-Gitter"/>
        <w:tblW w:w="8788" w:type="dxa"/>
        <w:tblInd w:w="846" w:type="dxa"/>
        <w:tblLook w:val="04A0" w:firstRow="1" w:lastRow="0" w:firstColumn="1" w:lastColumn="0" w:noHBand="0" w:noVBand="1"/>
      </w:tblPr>
      <w:tblGrid>
        <w:gridCol w:w="4458"/>
        <w:gridCol w:w="4330"/>
      </w:tblGrid>
      <w:tr w:rsidR="00E4750A" w:rsidRPr="00EB768C" w14:paraId="3DFFCEE9" w14:textId="77777777" w:rsidTr="00F65D87">
        <w:tc>
          <w:tcPr>
            <w:tcW w:w="4458" w:type="dxa"/>
            <w:tcBorders>
              <w:top w:val="single" w:sz="4" w:space="0" w:color="auto"/>
              <w:left w:val="single" w:sz="4" w:space="0" w:color="auto"/>
              <w:bottom w:val="single" w:sz="4" w:space="0" w:color="auto"/>
              <w:right w:val="single" w:sz="4" w:space="0" w:color="auto"/>
            </w:tcBorders>
            <w:hideMark/>
          </w:tcPr>
          <w:p w14:paraId="0EF51C0F" w14:textId="77777777" w:rsidR="00E4750A" w:rsidRPr="00EB768C" w:rsidRDefault="00E4750A">
            <w:pPr>
              <w:pStyle w:val="Brdtekst"/>
              <w:ind w:right="-6"/>
              <w:rPr>
                <w:rFonts w:ascii="Times New Roman" w:hAnsi="Times New Roman" w:cs="Times New Roman"/>
                <w:sz w:val="24"/>
                <w:szCs w:val="24"/>
                <w:lang w:val="da-DK"/>
              </w:rPr>
            </w:pPr>
            <w:r w:rsidRPr="00EB768C">
              <w:rPr>
                <w:rFonts w:ascii="Times New Roman" w:hAnsi="Times New Roman" w:cs="Times New Roman"/>
                <w:sz w:val="24"/>
                <w:szCs w:val="24"/>
                <w:lang w:val="da-DK"/>
              </w:rPr>
              <w:t xml:space="preserve">Estimeret </w:t>
            </w:r>
            <w:proofErr w:type="spellStart"/>
            <w:r w:rsidRPr="00EB768C">
              <w:rPr>
                <w:rFonts w:ascii="Times New Roman" w:hAnsi="Times New Roman" w:cs="Times New Roman"/>
                <w:sz w:val="24"/>
                <w:szCs w:val="24"/>
                <w:lang w:val="da-DK"/>
              </w:rPr>
              <w:t>glomerulær</w:t>
            </w:r>
            <w:proofErr w:type="spellEnd"/>
            <w:r w:rsidRPr="00EB768C">
              <w:rPr>
                <w:rFonts w:ascii="Times New Roman" w:hAnsi="Times New Roman" w:cs="Times New Roman"/>
                <w:sz w:val="24"/>
                <w:szCs w:val="24"/>
                <w:lang w:val="da-DK"/>
              </w:rPr>
              <w:t xml:space="preserve"> filtrationshastighed (ml/min/1.73m</w:t>
            </w:r>
            <w:r w:rsidRPr="00EB768C">
              <w:rPr>
                <w:rFonts w:ascii="Times New Roman" w:hAnsi="Times New Roman" w:cs="Times New Roman"/>
                <w:sz w:val="24"/>
                <w:szCs w:val="24"/>
                <w:vertAlign w:val="superscript"/>
                <w:lang w:val="da-DK"/>
              </w:rPr>
              <w:t>2</w:t>
            </w:r>
            <w:r w:rsidRPr="00EB768C">
              <w:rPr>
                <w:rFonts w:ascii="Times New Roman" w:hAnsi="Times New Roman" w:cs="Times New Roman"/>
                <w:sz w:val="24"/>
                <w:szCs w:val="24"/>
                <w:lang w:val="da-DK"/>
              </w:rPr>
              <w:t>)</w:t>
            </w:r>
          </w:p>
        </w:tc>
        <w:tc>
          <w:tcPr>
            <w:tcW w:w="4330" w:type="dxa"/>
            <w:tcBorders>
              <w:top w:val="single" w:sz="4" w:space="0" w:color="auto"/>
              <w:left w:val="single" w:sz="4" w:space="0" w:color="auto"/>
              <w:bottom w:val="single" w:sz="4" w:space="0" w:color="auto"/>
              <w:right w:val="single" w:sz="4" w:space="0" w:color="auto"/>
            </w:tcBorders>
            <w:hideMark/>
          </w:tcPr>
          <w:p w14:paraId="6C4213D5" w14:textId="77777777" w:rsidR="00E4750A" w:rsidRPr="00EB768C" w:rsidRDefault="00E4750A">
            <w:pPr>
              <w:pStyle w:val="Brdtekst"/>
              <w:ind w:right="-6"/>
              <w:rPr>
                <w:rFonts w:ascii="Times New Roman" w:hAnsi="Times New Roman" w:cs="Times New Roman"/>
                <w:sz w:val="24"/>
                <w:szCs w:val="24"/>
                <w:lang w:val="da-DK"/>
              </w:rPr>
            </w:pPr>
            <w:r w:rsidRPr="00EB768C">
              <w:rPr>
                <w:rFonts w:ascii="Times New Roman" w:hAnsi="Times New Roman" w:cs="Times New Roman"/>
                <w:sz w:val="24"/>
                <w:szCs w:val="24"/>
                <w:lang w:val="da-DK"/>
              </w:rPr>
              <w:t xml:space="preserve">Maksimal anbefalet dosis </w:t>
            </w:r>
          </w:p>
        </w:tc>
      </w:tr>
      <w:tr w:rsidR="00E4750A" w:rsidRPr="00EB768C" w14:paraId="30713A5B" w14:textId="77777777" w:rsidTr="00F65D87">
        <w:tc>
          <w:tcPr>
            <w:tcW w:w="4458" w:type="dxa"/>
            <w:tcBorders>
              <w:top w:val="single" w:sz="4" w:space="0" w:color="auto"/>
              <w:left w:val="single" w:sz="4" w:space="0" w:color="auto"/>
              <w:bottom w:val="single" w:sz="4" w:space="0" w:color="auto"/>
              <w:right w:val="single" w:sz="4" w:space="0" w:color="auto"/>
            </w:tcBorders>
            <w:hideMark/>
          </w:tcPr>
          <w:p w14:paraId="19B1964A" w14:textId="77777777" w:rsidR="00E4750A" w:rsidRPr="00EB768C" w:rsidRDefault="00E4750A">
            <w:pPr>
              <w:pStyle w:val="Brdtekst"/>
              <w:ind w:right="-6"/>
              <w:rPr>
                <w:rFonts w:ascii="Times New Roman" w:hAnsi="Times New Roman" w:cs="Times New Roman"/>
                <w:sz w:val="24"/>
                <w:szCs w:val="24"/>
                <w:lang w:val="da-DK"/>
              </w:rPr>
            </w:pPr>
            <w:r w:rsidRPr="00EB768C">
              <w:rPr>
                <w:rFonts w:ascii="Times New Roman" w:hAnsi="Times New Roman" w:cs="Times New Roman"/>
                <w:sz w:val="24"/>
                <w:szCs w:val="24"/>
                <w:lang w:val="da-DK"/>
              </w:rPr>
              <w:t>&gt; 35</w:t>
            </w:r>
          </w:p>
        </w:tc>
        <w:tc>
          <w:tcPr>
            <w:tcW w:w="4330" w:type="dxa"/>
            <w:tcBorders>
              <w:top w:val="single" w:sz="4" w:space="0" w:color="auto"/>
              <w:left w:val="single" w:sz="4" w:space="0" w:color="auto"/>
              <w:bottom w:val="single" w:sz="4" w:space="0" w:color="auto"/>
              <w:right w:val="single" w:sz="4" w:space="0" w:color="auto"/>
            </w:tcBorders>
            <w:hideMark/>
          </w:tcPr>
          <w:p w14:paraId="4CDF5FF6" w14:textId="77777777" w:rsidR="00E4750A" w:rsidRPr="00EB768C" w:rsidRDefault="00E4750A">
            <w:pPr>
              <w:pStyle w:val="Brdtekst"/>
              <w:ind w:right="-6"/>
              <w:rPr>
                <w:rFonts w:ascii="Times New Roman" w:hAnsi="Times New Roman" w:cs="Times New Roman"/>
                <w:sz w:val="24"/>
                <w:szCs w:val="24"/>
                <w:lang w:val="da-DK"/>
              </w:rPr>
            </w:pPr>
            <w:r w:rsidRPr="00EB768C">
              <w:rPr>
                <w:rFonts w:ascii="Times New Roman" w:hAnsi="Times New Roman" w:cs="Times New Roman"/>
                <w:sz w:val="24"/>
                <w:szCs w:val="24"/>
                <w:lang w:val="da-DK"/>
              </w:rPr>
              <w:t>Ingen dosisjustering</w:t>
            </w:r>
          </w:p>
        </w:tc>
      </w:tr>
      <w:tr w:rsidR="00E4750A" w:rsidRPr="00EB768C" w14:paraId="3A24670B" w14:textId="77777777" w:rsidTr="00F65D87">
        <w:tc>
          <w:tcPr>
            <w:tcW w:w="4458" w:type="dxa"/>
            <w:tcBorders>
              <w:top w:val="single" w:sz="4" w:space="0" w:color="auto"/>
              <w:left w:val="single" w:sz="4" w:space="0" w:color="auto"/>
              <w:bottom w:val="single" w:sz="4" w:space="0" w:color="auto"/>
              <w:right w:val="single" w:sz="4" w:space="0" w:color="auto"/>
            </w:tcBorders>
            <w:hideMark/>
          </w:tcPr>
          <w:p w14:paraId="02D894AC" w14:textId="77777777" w:rsidR="00E4750A" w:rsidRPr="00EB768C" w:rsidRDefault="00E4750A">
            <w:pPr>
              <w:pStyle w:val="Brdtekst"/>
              <w:ind w:right="-6"/>
              <w:rPr>
                <w:rFonts w:ascii="Times New Roman" w:hAnsi="Times New Roman" w:cs="Times New Roman"/>
                <w:sz w:val="24"/>
                <w:szCs w:val="24"/>
                <w:lang w:val="da-DK"/>
              </w:rPr>
            </w:pPr>
            <w:r w:rsidRPr="00EB768C">
              <w:rPr>
                <w:rFonts w:ascii="Times New Roman" w:hAnsi="Times New Roman" w:cs="Times New Roman"/>
                <w:sz w:val="24"/>
                <w:szCs w:val="24"/>
                <w:lang w:val="da-DK"/>
              </w:rPr>
              <w:t>15-35</w:t>
            </w:r>
          </w:p>
        </w:tc>
        <w:tc>
          <w:tcPr>
            <w:tcW w:w="4330" w:type="dxa"/>
            <w:tcBorders>
              <w:top w:val="single" w:sz="4" w:space="0" w:color="auto"/>
              <w:left w:val="single" w:sz="4" w:space="0" w:color="auto"/>
              <w:bottom w:val="single" w:sz="4" w:space="0" w:color="auto"/>
              <w:right w:val="single" w:sz="4" w:space="0" w:color="auto"/>
            </w:tcBorders>
            <w:hideMark/>
          </w:tcPr>
          <w:p w14:paraId="49CC3545" w14:textId="77777777" w:rsidR="00E4750A" w:rsidRPr="00EB768C" w:rsidRDefault="00E4750A">
            <w:pPr>
              <w:pStyle w:val="Brdtekst"/>
              <w:ind w:right="-6"/>
              <w:rPr>
                <w:rFonts w:ascii="Times New Roman" w:hAnsi="Times New Roman" w:cs="Times New Roman"/>
                <w:sz w:val="24"/>
                <w:szCs w:val="24"/>
                <w:lang w:val="da-DK"/>
              </w:rPr>
            </w:pPr>
            <w:r w:rsidRPr="00EB768C">
              <w:rPr>
                <w:rFonts w:ascii="Times New Roman" w:hAnsi="Times New Roman" w:cs="Times New Roman"/>
                <w:sz w:val="24"/>
                <w:szCs w:val="24"/>
                <w:lang w:val="da-DK"/>
              </w:rPr>
              <w:t>25 til 50 mg dagligt</w:t>
            </w:r>
          </w:p>
        </w:tc>
      </w:tr>
      <w:tr w:rsidR="00E4750A" w:rsidRPr="00EB768C" w14:paraId="1450442B" w14:textId="77777777" w:rsidTr="00F65D87">
        <w:tc>
          <w:tcPr>
            <w:tcW w:w="4458" w:type="dxa"/>
            <w:tcBorders>
              <w:top w:val="single" w:sz="4" w:space="0" w:color="auto"/>
              <w:left w:val="single" w:sz="4" w:space="0" w:color="auto"/>
              <w:bottom w:val="single" w:sz="4" w:space="0" w:color="auto"/>
              <w:right w:val="single" w:sz="4" w:space="0" w:color="auto"/>
            </w:tcBorders>
            <w:hideMark/>
          </w:tcPr>
          <w:p w14:paraId="2191ECB6" w14:textId="77777777" w:rsidR="00E4750A" w:rsidRPr="00EB768C" w:rsidRDefault="00E4750A">
            <w:pPr>
              <w:pStyle w:val="Brdtekst"/>
              <w:ind w:right="-6"/>
              <w:rPr>
                <w:rFonts w:ascii="Times New Roman" w:hAnsi="Times New Roman" w:cs="Times New Roman"/>
                <w:sz w:val="24"/>
                <w:szCs w:val="24"/>
                <w:lang w:val="da-DK"/>
              </w:rPr>
            </w:pPr>
            <w:r w:rsidRPr="00EB768C">
              <w:rPr>
                <w:rFonts w:ascii="Times New Roman" w:hAnsi="Times New Roman" w:cs="Times New Roman"/>
                <w:sz w:val="24"/>
                <w:szCs w:val="24"/>
                <w:lang w:val="da-DK"/>
              </w:rPr>
              <w:t xml:space="preserve">&lt; 15 </w:t>
            </w:r>
          </w:p>
        </w:tc>
        <w:tc>
          <w:tcPr>
            <w:tcW w:w="4330" w:type="dxa"/>
            <w:tcBorders>
              <w:top w:val="single" w:sz="4" w:space="0" w:color="auto"/>
              <w:left w:val="single" w:sz="4" w:space="0" w:color="auto"/>
              <w:bottom w:val="single" w:sz="4" w:space="0" w:color="auto"/>
              <w:right w:val="single" w:sz="4" w:space="0" w:color="auto"/>
            </w:tcBorders>
            <w:hideMark/>
          </w:tcPr>
          <w:p w14:paraId="7632C22E" w14:textId="77777777" w:rsidR="00E4750A" w:rsidRPr="00EB768C" w:rsidRDefault="00E4750A">
            <w:pPr>
              <w:pStyle w:val="Brdtekst"/>
              <w:ind w:right="-6"/>
              <w:rPr>
                <w:rFonts w:ascii="Times New Roman" w:hAnsi="Times New Roman" w:cs="Times New Roman"/>
                <w:sz w:val="24"/>
                <w:szCs w:val="24"/>
                <w:lang w:val="da-DK"/>
              </w:rPr>
            </w:pPr>
            <w:r w:rsidRPr="00EB768C">
              <w:rPr>
                <w:rFonts w:ascii="Times New Roman" w:hAnsi="Times New Roman" w:cs="Times New Roman"/>
                <w:sz w:val="24"/>
                <w:szCs w:val="24"/>
                <w:lang w:val="da-DK"/>
              </w:rPr>
              <w:t>25 mg dagligt eller 50 mg hver 2. dag</w:t>
            </w:r>
          </w:p>
        </w:tc>
      </w:tr>
    </w:tbl>
    <w:p w14:paraId="6653D6FF" w14:textId="77777777" w:rsidR="00E4750A" w:rsidRPr="00EB768C" w:rsidRDefault="00E4750A" w:rsidP="00E4750A">
      <w:pPr>
        <w:rPr>
          <w:noProof/>
          <w:sz w:val="24"/>
          <w:szCs w:val="24"/>
        </w:rPr>
      </w:pPr>
    </w:p>
    <w:p w14:paraId="396BE960" w14:textId="77777777" w:rsidR="00E4750A" w:rsidRPr="00E033E1" w:rsidRDefault="00E4750A" w:rsidP="00F65D87">
      <w:pPr>
        <w:ind w:left="851"/>
        <w:rPr>
          <w:noProof/>
          <w:sz w:val="24"/>
          <w:szCs w:val="24"/>
          <w:u w:val="single"/>
        </w:rPr>
      </w:pPr>
      <w:r w:rsidRPr="00E033E1">
        <w:rPr>
          <w:noProof/>
          <w:sz w:val="24"/>
          <w:szCs w:val="24"/>
          <w:u w:val="single"/>
        </w:rPr>
        <w:t>Nedsat leverfunktion</w:t>
      </w:r>
    </w:p>
    <w:p w14:paraId="7BE4E190" w14:textId="77777777" w:rsidR="00E4750A" w:rsidRPr="00EB768C" w:rsidRDefault="00E4750A" w:rsidP="00F65D87">
      <w:pPr>
        <w:ind w:left="851"/>
        <w:rPr>
          <w:noProof/>
          <w:sz w:val="24"/>
          <w:szCs w:val="24"/>
        </w:rPr>
      </w:pPr>
      <w:r w:rsidRPr="00EB768C">
        <w:rPr>
          <w:noProof/>
          <w:sz w:val="24"/>
          <w:szCs w:val="24"/>
        </w:rPr>
        <w:t>Dosisjustering er ikke nødvendig.</w:t>
      </w:r>
    </w:p>
    <w:p w14:paraId="16AE3B6A" w14:textId="77777777" w:rsidR="00E4750A" w:rsidRPr="00EB768C" w:rsidRDefault="00E4750A" w:rsidP="00F65D87">
      <w:pPr>
        <w:ind w:left="851"/>
        <w:rPr>
          <w:noProof/>
          <w:sz w:val="24"/>
          <w:szCs w:val="24"/>
        </w:rPr>
      </w:pPr>
    </w:p>
    <w:p w14:paraId="352A0CC7" w14:textId="77777777" w:rsidR="00E4750A" w:rsidRPr="00E033E1" w:rsidRDefault="00E4750A" w:rsidP="00F65D87">
      <w:pPr>
        <w:ind w:left="851"/>
        <w:rPr>
          <w:noProof/>
          <w:sz w:val="24"/>
          <w:szCs w:val="24"/>
          <w:u w:val="single"/>
        </w:rPr>
      </w:pPr>
      <w:r w:rsidRPr="00E033E1">
        <w:rPr>
          <w:noProof/>
          <w:sz w:val="24"/>
          <w:szCs w:val="24"/>
          <w:u w:val="single"/>
        </w:rPr>
        <w:t>Administration</w:t>
      </w:r>
    </w:p>
    <w:p w14:paraId="2938FBC5" w14:textId="628257D2" w:rsidR="00E4750A" w:rsidRPr="00EB768C" w:rsidRDefault="00E4750A" w:rsidP="00F65D87">
      <w:pPr>
        <w:ind w:left="851"/>
        <w:rPr>
          <w:noProof/>
          <w:sz w:val="24"/>
          <w:szCs w:val="24"/>
        </w:rPr>
      </w:pPr>
      <w:r w:rsidRPr="00EB768C">
        <w:rPr>
          <w:noProof/>
          <w:sz w:val="24"/>
          <w:szCs w:val="24"/>
        </w:rPr>
        <w:t xml:space="preserve">Atenolol </w:t>
      </w:r>
      <w:r w:rsidR="00602DED">
        <w:rPr>
          <w:noProof/>
          <w:sz w:val="24"/>
          <w:szCs w:val="24"/>
        </w:rPr>
        <w:t>"</w:t>
      </w:r>
      <w:r w:rsidRPr="00EB768C">
        <w:rPr>
          <w:noProof/>
          <w:sz w:val="24"/>
          <w:szCs w:val="24"/>
        </w:rPr>
        <w:t>Medical Valley</w:t>
      </w:r>
      <w:r w:rsidR="00B167E7">
        <w:rPr>
          <w:noProof/>
          <w:sz w:val="24"/>
          <w:szCs w:val="24"/>
        </w:rPr>
        <w:t>"</w:t>
      </w:r>
      <w:r w:rsidRPr="00EB768C">
        <w:rPr>
          <w:noProof/>
          <w:sz w:val="24"/>
          <w:szCs w:val="24"/>
        </w:rPr>
        <w:t xml:space="preserve"> skal indgives oralt.</w:t>
      </w:r>
    </w:p>
    <w:p w14:paraId="0A1F875E" w14:textId="77777777" w:rsidR="00E4750A" w:rsidRPr="00EB768C" w:rsidRDefault="00E4750A" w:rsidP="00F65D87">
      <w:pPr>
        <w:ind w:left="851"/>
        <w:rPr>
          <w:noProof/>
          <w:sz w:val="24"/>
          <w:szCs w:val="24"/>
        </w:rPr>
      </w:pPr>
      <w:r w:rsidRPr="00EB768C">
        <w:rPr>
          <w:noProof/>
          <w:sz w:val="24"/>
          <w:szCs w:val="24"/>
        </w:rPr>
        <w:t>Atenolol skal synkes med en tilstrækkelig mængde væske (f.eks. et glas vand) før fødeindtagelse.</w:t>
      </w:r>
    </w:p>
    <w:p w14:paraId="7698C99B" w14:textId="77777777" w:rsidR="00E4750A" w:rsidRPr="00EB768C" w:rsidRDefault="00E4750A" w:rsidP="00F65D87">
      <w:pPr>
        <w:ind w:left="851"/>
        <w:rPr>
          <w:noProof/>
          <w:sz w:val="24"/>
          <w:szCs w:val="24"/>
        </w:rPr>
      </w:pPr>
      <w:r w:rsidRPr="00EB768C">
        <w:rPr>
          <w:noProof/>
          <w:sz w:val="24"/>
          <w:szCs w:val="24"/>
        </w:rPr>
        <w:t>Det anbefales ikke, at atenolol-behandling stoppes pludseligt, da dette kan føre til forværring af hypertension, hjertesvigt eller iskæmisk hjertesygdom, hvilket kan føre til myokardieinfarkt. Dosering af atenolol bør altid reduceres trinvist.</w:t>
      </w:r>
    </w:p>
    <w:p w14:paraId="35580812" w14:textId="77777777" w:rsidR="009260DE" w:rsidRPr="00EB768C" w:rsidRDefault="009260DE" w:rsidP="009260DE">
      <w:pPr>
        <w:tabs>
          <w:tab w:val="left" w:pos="851"/>
        </w:tabs>
        <w:ind w:left="851"/>
        <w:rPr>
          <w:sz w:val="24"/>
          <w:szCs w:val="24"/>
        </w:rPr>
      </w:pPr>
    </w:p>
    <w:p w14:paraId="0D3A69F7" w14:textId="77777777" w:rsidR="009260DE" w:rsidRPr="00EB768C" w:rsidRDefault="009260DE" w:rsidP="009260DE">
      <w:pPr>
        <w:tabs>
          <w:tab w:val="left" w:pos="851"/>
        </w:tabs>
        <w:ind w:left="851" w:hanging="851"/>
        <w:rPr>
          <w:b/>
          <w:sz w:val="24"/>
          <w:szCs w:val="24"/>
        </w:rPr>
      </w:pPr>
      <w:r w:rsidRPr="00EB768C">
        <w:rPr>
          <w:b/>
          <w:sz w:val="24"/>
          <w:szCs w:val="24"/>
        </w:rPr>
        <w:t>4.3</w:t>
      </w:r>
      <w:r w:rsidRPr="00EB768C">
        <w:rPr>
          <w:b/>
          <w:sz w:val="24"/>
          <w:szCs w:val="24"/>
        </w:rPr>
        <w:tab/>
        <w:t>Kontraindikationer</w:t>
      </w:r>
    </w:p>
    <w:p w14:paraId="3F9C38F4" w14:textId="0CDFBA86" w:rsidR="00E4750A" w:rsidRPr="00EB768C" w:rsidRDefault="00E4750A" w:rsidP="00F65D87">
      <w:pPr>
        <w:ind w:left="851"/>
        <w:rPr>
          <w:sz w:val="24"/>
          <w:szCs w:val="24"/>
        </w:rPr>
      </w:pPr>
      <w:r w:rsidRPr="00EB768C">
        <w:rPr>
          <w:sz w:val="24"/>
          <w:szCs w:val="24"/>
        </w:rPr>
        <w:t xml:space="preserve">Som for andre betablokkere, bør </w:t>
      </w:r>
      <w:proofErr w:type="spellStart"/>
      <w:r w:rsidRPr="00EB768C">
        <w:rPr>
          <w:sz w:val="24"/>
          <w:szCs w:val="24"/>
        </w:rPr>
        <w:t>Atenolol</w:t>
      </w:r>
      <w:proofErr w:type="spellEnd"/>
      <w:r w:rsidRPr="00EB768C">
        <w:rPr>
          <w:sz w:val="24"/>
          <w:szCs w:val="24"/>
        </w:rPr>
        <w:t xml:space="preserve"> </w:t>
      </w:r>
      <w:r w:rsidR="00602DED">
        <w:rPr>
          <w:noProof/>
          <w:sz w:val="24"/>
          <w:szCs w:val="24"/>
        </w:rPr>
        <w:t>"</w:t>
      </w:r>
      <w:r w:rsidRPr="00EB768C">
        <w:rPr>
          <w:sz w:val="24"/>
          <w:szCs w:val="24"/>
        </w:rPr>
        <w:t>Medical Valley</w:t>
      </w:r>
      <w:r w:rsidR="00B167E7">
        <w:rPr>
          <w:sz w:val="24"/>
          <w:szCs w:val="24"/>
        </w:rPr>
        <w:t>"</w:t>
      </w:r>
      <w:r w:rsidRPr="00EB768C">
        <w:rPr>
          <w:sz w:val="24"/>
          <w:szCs w:val="24"/>
        </w:rPr>
        <w:t xml:space="preserve"> ikke gives til patienter med:</w:t>
      </w:r>
    </w:p>
    <w:p w14:paraId="6741AE9F" w14:textId="77777777" w:rsidR="00E4750A" w:rsidRPr="00FB77EB" w:rsidRDefault="00E4750A" w:rsidP="00FB77EB">
      <w:pPr>
        <w:pStyle w:val="Listeafsnit"/>
        <w:numPr>
          <w:ilvl w:val="0"/>
          <w:numId w:val="11"/>
        </w:numPr>
        <w:ind w:left="1276" w:hanging="425"/>
        <w:rPr>
          <w:sz w:val="24"/>
          <w:szCs w:val="24"/>
        </w:rPr>
      </w:pPr>
      <w:r w:rsidRPr="00FB77EB">
        <w:rPr>
          <w:sz w:val="24"/>
          <w:szCs w:val="24"/>
        </w:rPr>
        <w:t>Overfølsomhed over for det aktive stof, andre betablokkere eller over for et eller flere af hjælpestofferne.</w:t>
      </w:r>
    </w:p>
    <w:p w14:paraId="5DD4FCA0" w14:textId="77777777" w:rsidR="00E4750A" w:rsidRPr="00FB77EB" w:rsidRDefault="00E4750A" w:rsidP="00FB77EB">
      <w:pPr>
        <w:pStyle w:val="Listeafsnit"/>
        <w:numPr>
          <w:ilvl w:val="0"/>
          <w:numId w:val="11"/>
        </w:numPr>
        <w:ind w:left="1276" w:hanging="425"/>
        <w:rPr>
          <w:sz w:val="24"/>
          <w:szCs w:val="24"/>
        </w:rPr>
      </w:pPr>
      <w:proofErr w:type="spellStart"/>
      <w:r w:rsidRPr="00FB77EB">
        <w:rPr>
          <w:sz w:val="24"/>
          <w:szCs w:val="24"/>
        </w:rPr>
        <w:t>Kardiogent</w:t>
      </w:r>
      <w:proofErr w:type="spellEnd"/>
      <w:r w:rsidRPr="00FB77EB">
        <w:rPr>
          <w:sz w:val="24"/>
          <w:szCs w:val="24"/>
        </w:rPr>
        <w:t xml:space="preserve"> chok</w:t>
      </w:r>
    </w:p>
    <w:p w14:paraId="4EEC716C" w14:textId="77777777" w:rsidR="00E4750A" w:rsidRPr="00FB77EB" w:rsidRDefault="00E4750A" w:rsidP="00FB77EB">
      <w:pPr>
        <w:pStyle w:val="Listeafsnit"/>
        <w:numPr>
          <w:ilvl w:val="0"/>
          <w:numId w:val="11"/>
        </w:numPr>
        <w:ind w:left="1276" w:hanging="425"/>
        <w:rPr>
          <w:sz w:val="24"/>
          <w:szCs w:val="24"/>
        </w:rPr>
      </w:pPr>
      <w:r w:rsidRPr="00FB77EB">
        <w:rPr>
          <w:sz w:val="24"/>
          <w:szCs w:val="24"/>
        </w:rPr>
        <w:t>Ukontrolleret hjerteinsufficiens</w:t>
      </w:r>
    </w:p>
    <w:p w14:paraId="5FC81A45" w14:textId="77777777" w:rsidR="00E4750A" w:rsidRPr="00FB77EB" w:rsidRDefault="00E4750A" w:rsidP="00FB77EB">
      <w:pPr>
        <w:pStyle w:val="Listeafsnit"/>
        <w:numPr>
          <w:ilvl w:val="0"/>
          <w:numId w:val="11"/>
        </w:numPr>
        <w:ind w:left="1276" w:hanging="425"/>
        <w:rPr>
          <w:sz w:val="24"/>
          <w:szCs w:val="24"/>
        </w:rPr>
      </w:pPr>
      <w:r w:rsidRPr="00FB77EB">
        <w:rPr>
          <w:sz w:val="24"/>
          <w:szCs w:val="24"/>
        </w:rPr>
        <w:t>Bradykardi (hjertefrekvens &lt; 50 slag pr. min.).</w:t>
      </w:r>
    </w:p>
    <w:p w14:paraId="1AA4A156" w14:textId="77777777" w:rsidR="00E4750A" w:rsidRPr="00FB77EB" w:rsidRDefault="00E4750A" w:rsidP="00FB77EB">
      <w:pPr>
        <w:pStyle w:val="Listeafsnit"/>
        <w:numPr>
          <w:ilvl w:val="0"/>
          <w:numId w:val="11"/>
        </w:numPr>
        <w:ind w:left="1276" w:hanging="425"/>
        <w:rPr>
          <w:sz w:val="24"/>
          <w:szCs w:val="24"/>
        </w:rPr>
      </w:pPr>
      <w:r w:rsidRPr="00FB77EB">
        <w:rPr>
          <w:sz w:val="24"/>
          <w:szCs w:val="24"/>
        </w:rPr>
        <w:t>Syg sinus-syndrom</w:t>
      </w:r>
    </w:p>
    <w:p w14:paraId="38CE12AB" w14:textId="77777777" w:rsidR="00E4750A" w:rsidRPr="00FB77EB" w:rsidRDefault="00E4750A" w:rsidP="00FB77EB">
      <w:pPr>
        <w:pStyle w:val="Listeafsnit"/>
        <w:numPr>
          <w:ilvl w:val="0"/>
          <w:numId w:val="11"/>
        </w:numPr>
        <w:ind w:left="1276" w:hanging="425"/>
        <w:rPr>
          <w:sz w:val="24"/>
          <w:szCs w:val="24"/>
        </w:rPr>
      </w:pPr>
      <w:r w:rsidRPr="00FB77EB">
        <w:rPr>
          <w:sz w:val="24"/>
          <w:szCs w:val="24"/>
        </w:rPr>
        <w:t xml:space="preserve">Hypotension </w:t>
      </w:r>
    </w:p>
    <w:p w14:paraId="54AF0D53" w14:textId="77777777" w:rsidR="00E4750A" w:rsidRPr="00FB77EB" w:rsidRDefault="00E4750A" w:rsidP="00FB77EB">
      <w:pPr>
        <w:pStyle w:val="Listeafsnit"/>
        <w:numPr>
          <w:ilvl w:val="0"/>
          <w:numId w:val="11"/>
        </w:numPr>
        <w:ind w:left="1276" w:hanging="425"/>
        <w:rPr>
          <w:sz w:val="24"/>
          <w:szCs w:val="24"/>
        </w:rPr>
      </w:pPr>
      <w:r w:rsidRPr="00FB77EB">
        <w:rPr>
          <w:sz w:val="24"/>
          <w:szCs w:val="24"/>
        </w:rPr>
        <w:t xml:space="preserve">Metabolisk </w:t>
      </w:r>
      <w:proofErr w:type="spellStart"/>
      <w:r w:rsidRPr="00FB77EB">
        <w:rPr>
          <w:sz w:val="24"/>
          <w:szCs w:val="24"/>
        </w:rPr>
        <w:t>acidose</w:t>
      </w:r>
      <w:proofErr w:type="spellEnd"/>
    </w:p>
    <w:p w14:paraId="5A9F15DF" w14:textId="77777777" w:rsidR="00E4750A" w:rsidRPr="00FB77EB" w:rsidRDefault="00E4750A" w:rsidP="00FB77EB">
      <w:pPr>
        <w:pStyle w:val="Listeafsnit"/>
        <w:numPr>
          <w:ilvl w:val="0"/>
          <w:numId w:val="11"/>
        </w:numPr>
        <w:ind w:left="1276" w:hanging="425"/>
        <w:rPr>
          <w:sz w:val="24"/>
          <w:szCs w:val="24"/>
        </w:rPr>
      </w:pPr>
      <w:r w:rsidRPr="00FB77EB">
        <w:rPr>
          <w:sz w:val="24"/>
          <w:szCs w:val="24"/>
        </w:rPr>
        <w:t xml:space="preserve">Svær lidelse i det perifere arterielle kredsløb. </w:t>
      </w:r>
    </w:p>
    <w:p w14:paraId="2416FB5B" w14:textId="77777777" w:rsidR="00E4750A" w:rsidRPr="00FB77EB" w:rsidRDefault="00E4750A" w:rsidP="00FB77EB">
      <w:pPr>
        <w:pStyle w:val="Listeafsnit"/>
        <w:numPr>
          <w:ilvl w:val="0"/>
          <w:numId w:val="11"/>
        </w:numPr>
        <w:ind w:left="1276" w:hanging="425"/>
        <w:rPr>
          <w:sz w:val="24"/>
          <w:szCs w:val="24"/>
        </w:rPr>
      </w:pPr>
      <w:r w:rsidRPr="00FB77EB">
        <w:rPr>
          <w:sz w:val="24"/>
          <w:szCs w:val="24"/>
        </w:rPr>
        <w:t>AV-blok af 2. eller 3. grad.</w:t>
      </w:r>
    </w:p>
    <w:p w14:paraId="20B5A8C1" w14:textId="77777777" w:rsidR="00E4750A" w:rsidRPr="00FB77EB" w:rsidRDefault="00E4750A" w:rsidP="00FB77EB">
      <w:pPr>
        <w:pStyle w:val="Listeafsnit"/>
        <w:numPr>
          <w:ilvl w:val="0"/>
          <w:numId w:val="11"/>
        </w:numPr>
        <w:ind w:left="1276" w:hanging="425"/>
        <w:rPr>
          <w:sz w:val="24"/>
          <w:szCs w:val="24"/>
        </w:rPr>
      </w:pPr>
      <w:r w:rsidRPr="00FB77EB">
        <w:rPr>
          <w:sz w:val="24"/>
          <w:szCs w:val="24"/>
        </w:rPr>
        <w:t xml:space="preserve">Ukontrolleret </w:t>
      </w:r>
      <w:proofErr w:type="spellStart"/>
      <w:r w:rsidRPr="00FB77EB">
        <w:rPr>
          <w:sz w:val="24"/>
          <w:szCs w:val="24"/>
        </w:rPr>
        <w:t>fæokromocytom</w:t>
      </w:r>
      <w:proofErr w:type="spellEnd"/>
      <w:r w:rsidRPr="00FB77EB">
        <w:rPr>
          <w:sz w:val="24"/>
          <w:szCs w:val="24"/>
        </w:rPr>
        <w:t xml:space="preserve"> </w:t>
      </w:r>
    </w:p>
    <w:p w14:paraId="7417ADA8" w14:textId="77777777" w:rsidR="00E4750A" w:rsidRPr="00FB77EB" w:rsidRDefault="00E4750A" w:rsidP="00FB77EB">
      <w:pPr>
        <w:pStyle w:val="Listeafsnit"/>
        <w:numPr>
          <w:ilvl w:val="0"/>
          <w:numId w:val="11"/>
        </w:numPr>
        <w:ind w:left="1276" w:hanging="425"/>
        <w:rPr>
          <w:sz w:val="24"/>
          <w:szCs w:val="24"/>
        </w:rPr>
      </w:pPr>
      <w:r w:rsidRPr="00FB77EB">
        <w:rPr>
          <w:sz w:val="24"/>
          <w:szCs w:val="24"/>
        </w:rPr>
        <w:t xml:space="preserve">Svær astma bronkiale eller kronisk obstruktiv lungesygdom. </w:t>
      </w:r>
    </w:p>
    <w:p w14:paraId="4B6DF30D" w14:textId="77777777" w:rsidR="00E4750A" w:rsidRPr="00FB77EB" w:rsidRDefault="00E4750A" w:rsidP="00FB77EB">
      <w:pPr>
        <w:pStyle w:val="Listeafsnit"/>
        <w:numPr>
          <w:ilvl w:val="0"/>
          <w:numId w:val="11"/>
        </w:numPr>
        <w:ind w:left="1276" w:hanging="425"/>
        <w:rPr>
          <w:sz w:val="24"/>
          <w:szCs w:val="24"/>
        </w:rPr>
      </w:pPr>
      <w:r w:rsidRPr="00FB77EB">
        <w:rPr>
          <w:sz w:val="24"/>
          <w:szCs w:val="24"/>
        </w:rPr>
        <w:t xml:space="preserve">Intravenøs administration af calciumantagonister så som </w:t>
      </w:r>
      <w:proofErr w:type="spellStart"/>
      <w:r w:rsidRPr="00FB77EB">
        <w:rPr>
          <w:sz w:val="24"/>
          <w:szCs w:val="24"/>
        </w:rPr>
        <w:t>verapamil</w:t>
      </w:r>
      <w:proofErr w:type="spellEnd"/>
      <w:r w:rsidRPr="00FB77EB">
        <w:rPr>
          <w:sz w:val="24"/>
          <w:szCs w:val="24"/>
        </w:rPr>
        <w:t xml:space="preserve"> eller </w:t>
      </w:r>
      <w:proofErr w:type="spellStart"/>
      <w:r w:rsidRPr="00FB77EB">
        <w:rPr>
          <w:sz w:val="24"/>
          <w:szCs w:val="24"/>
        </w:rPr>
        <w:t>diltiazem</w:t>
      </w:r>
      <w:proofErr w:type="spellEnd"/>
      <w:r w:rsidRPr="00FB77EB">
        <w:rPr>
          <w:sz w:val="24"/>
          <w:szCs w:val="24"/>
        </w:rPr>
        <w:t>.</w:t>
      </w:r>
    </w:p>
    <w:p w14:paraId="39C90B3C" w14:textId="77777777" w:rsidR="009260DE" w:rsidRPr="00EB768C" w:rsidRDefault="009260DE" w:rsidP="009260DE">
      <w:pPr>
        <w:tabs>
          <w:tab w:val="left" w:pos="851"/>
        </w:tabs>
        <w:ind w:left="851"/>
        <w:rPr>
          <w:sz w:val="24"/>
          <w:szCs w:val="24"/>
        </w:rPr>
      </w:pPr>
    </w:p>
    <w:p w14:paraId="70C0BD4F" w14:textId="77777777" w:rsidR="009260DE" w:rsidRPr="00EB768C" w:rsidRDefault="009260DE" w:rsidP="009260DE">
      <w:pPr>
        <w:tabs>
          <w:tab w:val="left" w:pos="851"/>
        </w:tabs>
        <w:ind w:left="851" w:hanging="851"/>
        <w:rPr>
          <w:b/>
          <w:sz w:val="24"/>
          <w:szCs w:val="24"/>
        </w:rPr>
      </w:pPr>
      <w:r w:rsidRPr="00EB768C">
        <w:rPr>
          <w:b/>
          <w:sz w:val="24"/>
          <w:szCs w:val="24"/>
        </w:rPr>
        <w:t>4.4</w:t>
      </w:r>
      <w:r w:rsidRPr="00EB768C">
        <w:rPr>
          <w:b/>
          <w:sz w:val="24"/>
          <w:szCs w:val="24"/>
        </w:rPr>
        <w:tab/>
        <w:t>Særlige advarsler og forsigtighedsregler vedrørende brugen</w:t>
      </w:r>
    </w:p>
    <w:p w14:paraId="7DC553E7" w14:textId="77777777" w:rsidR="00A5655F" w:rsidRDefault="00A5655F" w:rsidP="00F65D87">
      <w:pPr>
        <w:ind w:left="851"/>
        <w:rPr>
          <w:sz w:val="24"/>
          <w:szCs w:val="24"/>
        </w:rPr>
      </w:pPr>
    </w:p>
    <w:p w14:paraId="74E1B38E" w14:textId="473CACFD" w:rsidR="00E4750A" w:rsidRPr="00A5655F" w:rsidRDefault="00E4750A" w:rsidP="00F65D87">
      <w:pPr>
        <w:ind w:left="851"/>
        <w:rPr>
          <w:sz w:val="24"/>
          <w:szCs w:val="24"/>
          <w:u w:val="single"/>
        </w:rPr>
      </w:pPr>
      <w:r w:rsidRPr="00A5655F">
        <w:rPr>
          <w:sz w:val="24"/>
          <w:szCs w:val="24"/>
          <w:u w:val="single"/>
        </w:rPr>
        <w:t>Iskæmiske hjertesygdomme</w:t>
      </w:r>
    </w:p>
    <w:p w14:paraId="11B23B89" w14:textId="77777777" w:rsidR="00E4750A" w:rsidRPr="00EB768C" w:rsidRDefault="00E4750A" w:rsidP="00F65D87">
      <w:pPr>
        <w:ind w:left="851"/>
        <w:rPr>
          <w:sz w:val="24"/>
          <w:szCs w:val="24"/>
        </w:rPr>
      </w:pPr>
      <w:r w:rsidRPr="00EB768C">
        <w:rPr>
          <w:sz w:val="24"/>
          <w:szCs w:val="24"/>
        </w:rPr>
        <w:t xml:space="preserve">Pludselig </w:t>
      </w:r>
      <w:proofErr w:type="spellStart"/>
      <w:r w:rsidRPr="00EB768C">
        <w:rPr>
          <w:sz w:val="24"/>
          <w:szCs w:val="24"/>
        </w:rPr>
        <w:t>seponering</w:t>
      </w:r>
      <w:proofErr w:type="spellEnd"/>
      <w:r w:rsidRPr="00EB768C">
        <w:rPr>
          <w:sz w:val="24"/>
          <w:szCs w:val="24"/>
        </w:rPr>
        <w:t xml:space="preserve"> bør undgås, især hos patienter med iskæmisk hjertesygdom. Doseringen bør reduceres trinvist, dvs. over 1-2 uger, om nødvendigt samtidig med påbegyndelse af substitutionsbehandling, for at forhindre forværring af angina pectoris. Derudover kan der opstå hypertension og </w:t>
      </w:r>
      <w:proofErr w:type="spellStart"/>
      <w:r w:rsidRPr="00EB768C">
        <w:rPr>
          <w:sz w:val="24"/>
          <w:szCs w:val="24"/>
        </w:rPr>
        <w:t>arytmier</w:t>
      </w:r>
      <w:proofErr w:type="spellEnd"/>
      <w:r w:rsidRPr="00EB768C">
        <w:rPr>
          <w:sz w:val="24"/>
          <w:szCs w:val="24"/>
        </w:rPr>
        <w:t>. Desuden er der risiko for myokardieinfarkt og pludselig død.</w:t>
      </w:r>
    </w:p>
    <w:p w14:paraId="7DA2AE70" w14:textId="77777777" w:rsidR="00E4750A" w:rsidRPr="00EB768C" w:rsidRDefault="00E4750A" w:rsidP="00F65D87">
      <w:pPr>
        <w:ind w:left="851"/>
        <w:rPr>
          <w:sz w:val="24"/>
          <w:szCs w:val="24"/>
        </w:rPr>
      </w:pPr>
    </w:p>
    <w:p w14:paraId="650AFD50" w14:textId="77777777" w:rsidR="00E4750A" w:rsidRPr="00A5655F" w:rsidRDefault="00E4750A" w:rsidP="00F65D87">
      <w:pPr>
        <w:ind w:left="851"/>
        <w:rPr>
          <w:sz w:val="24"/>
          <w:szCs w:val="24"/>
          <w:u w:val="single"/>
        </w:rPr>
      </w:pPr>
      <w:r w:rsidRPr="00A5655F">
        <w:rPr>
          <w:sz w:val="24"/>
          <w:szCs w:val="24"/>
          <w:u w:val="single"/>
        </w:rPr>
        <w:t>Ukontrolleret kongestiv hjertesygdom</w:t>
      </w:r>
    </w:p>
    <w:p w14:paraId="71A4E55D" w14:textId="77777777" w:rsidR="00E4750A" w:rsidRPr="00EB768C" w:rsidRDefault="00E4750A" w:rsidP="00F65D87">
      <w:pPr>
        <w:ind w:left="851"/>
        <w:rPr>
          <w:sz w:val="24"/>
          <w:szCs w:val="24"/>
        </w:rPr>
      </w:pPr>
      <w:r w:rsidRPr="00EB768C">
        <w:rPr>
          <w:sz w:val="24"/>
          <w:szCs w:val="24"/>
        </w:rPr>
        <w:t xml:space="preserve">Selvom </w:t>
      </w:r>
      <w:proofErr w:type="spellStart"/>
      <w:r w:rsidRPr="00EB768C">
        <w:rPr>
          <w:sz w:val="24"/>
          <w:szCs w:val="24"/>
        </w:rPr>
        <w:t>atenolol</w:t>
      </w:r>
      <w:proofErr w:type="spellEnd"/>
      <w:r w:rsidRPr="00EB768C">
        <w:rPr>
          <w:sz w:val="24"/>
          <w:szCs w:val="24"/>
        </w:rPr>
        <w:t xml:space="preserve"> er kontraindiceret ved ukontrolleret hjertesvigt (se pkt. 4.3), kan det anvendes hos patienter, hvis tegn på hjertesvigt er blevet kontrolleret. Der skal udvises forsigtighed hos patienter med lav hjertereservekraft.</w:t>
      </w:r>
    </w:p>
    <w:p w14:paraId="5E0011ED" w14:textId="77777777" w:rsidR="00E4750A" w:rsidRPr="00EB768C" w:rsidRDefault="00E4750A" w:rsidP="00F65D87">
      <w:pPr>
        <w:ind w:left="851"/>
        <w:rPr>
          <w:sz w:val="24"/>
          <w:szCs w:val="24"/>
        </w:rPr>
      </w:pPr>
    </w:p>
    <w:p w14:paraId="43BC95BA" w14:textId="77777777" w:rsidR="00E4750A" w:rsidRPr="00A5655F" w:rsidRDefault="00E4750A" w:rsidP="00F65D87">
      <w:pPr>
        <w:ind w:left="851"/>
        <w:rPr>
          <w:sz w:val="24"/>
          <w:szCs w:val="24"/>
          <w:u w:val="single"/>
        </w:rPr>
      </w:pPr>
      <w:r w:rsidRPr="00A5655F">
        <w:rPr>
          <w:sz w:val="24"/>
          <w:szCs w:val="24"/>
          <w:u w:val="single"/>
        </w:rPr>
        <w:t>AV-blok af 1. grad</w:t>
      </w:r>
    </w:p>
    <w:p w14:paraId="34C8D83D" w14:textId="77777777" w:rsidR="00E4750A" w:rsidRPr="00EB768C" w:rsidRDefault="00E4750A" w:rsidP="00F65D87">
      <w:pPr>
        <w:ind w:left="851"/>
        <w:rPr>
          <w:sz w:val="24"/>
          <w:szCs w:val="24"/>
        </w:rPr>
      </w:pPr>
      <w:r w:rsidRPr="00EB768C">
        <w:rPr>
          <w:sz w:val="24"/>
          <w:szCs w:val="24"/>
        </w:rPr>
        <w:t xml:space="preserve">På grund af den negative effekt på ledningstiden bør </w:t>
      </w:r>
      <w:proofErr w:type="spellStart"/>
      <w:r w:rsidRPr="00EB768C">
        <w:rPr>
          <w:sz w:val="24"/>
          <w:szCs w:val="24"/>
        </w:rPr>
        <w:t>atenolol</w:t>
      </w:r>
      <w:proofErr w:type="spellEnd"/>
      <w:r w:rsidRPr="00EB768C">
        <w:rPr>
          <w:sz w:val="24"/>
          <w:szCs w:val="24"/>
        </w:rPr>
        <w:t xml:space="preserve"> kun gives med forsigtighed til patienter med AV-blok af 1. grad.</w:t>
      </w:r>
    </w:p>
    <w:p w14:paraId="181C6392" w14:textId="77777777" w:rsidR="00E4750A" w:rsidRPr="00EB768C" w:rsidRDefault="00E4750A" w:rsidP="00F65D87">
      <w:pPr>
        <w:ind w:left="851"/>
        <w:rPr>
          <w:sz w:val="24"/>
          <w:szCs w:val="24"/>
        </w:rPr>
      </w:pPr>
    </w:p>
    <w:p w14:paraId="14248F7D" w14:textId="77777777" w:rsidR="00E4750A" w:rsidRPr="00A5655F" w:rsidRDefault="00E4750A" w:rsidP="00F65D87">
      <w:pPr>
        <w:ind w:left="851"/>
        <w:rPr>
          <w:sz w:val="24"/>
          <w:szCs w:val="24"/>
          <w:u w:val="single"/>
        </w:rPr>
      </w:pPr>
      <w:r w:rsidRPr="00A5655F">
        <w:rPr>
          <w:sz w:val="24"/>
          <w:szCs w:val="24"/>
          <w:u w:val="single"/>
        </w:rPr>
        <w:t>Bradykardi</w:t>
      </w:r>
    </w:p>
    <w:p w14:paraId="59A171C5" w14:textId="77777777" w:rsidR="00E4750A" w:rsidRPr="00EB768C" w:rsidRDefault="00E4750A" w:rsidP="00F65D87">
      <w:pPr>
        <w:ind w:left="851"/>
        <w:rPr>
          <w:sz w:val="24"/>
          <w:szCs w:val="24"/>
        </w:rPr>
      </w:pPr>
      <w:proofErr w:type="spellStart"/>
      <w:r w:rsidRPr="00EB768C">
        <w:rPr>
          <w:sz w:val="24"/>
          <w:szCs w:val="24"/>
        </w:rPr>
        <w:t>Atenolol</w:t>
      </w:r>
      <w:proofErr w:type="spellEnd"/>
      <w:r w:rsidRPr="00EB768C">
        <w:rPr>
          <w:sz w:val="24"/>
          <w:szCs w:val="24"/>
        </w:rPr>
        <w:t xml:space="preserve"> kan medføre bradykardi. Hvis pulsen falder til mindre end 50-55 slag i minuttet i hvile, og patienten oplever symptomer relateret til bradykardi, bør dosis reduceres.</w:t>
      </w:r>
    </w:p>
    <w:p w14:paraId="219677B9" w14:textId="77777777" w:rsidR="00E4750A" w:rsidRPr="00EB768C" w:rsidRDefault="00E4750A" w:rsidP="00F65D87">
      <w:pPr>
        <w:ind w:left="851"/>
        <w:rPr>
          <w:sz w:val="24"/>
          <w:szCs w:val="24"/>
        </w:rPr>
      </w:pPr>
    </w:p>
    <w:p w14:paraId="247BAFED" w14:textId="77777777" w:rsidR="00E4750A" w:rsidRPr="00A5655F" w:rsidRDefault="00E4750A" w:rsidP="00F65D87">
      <w:pPr>
        <w:ind w:left="851"/>
        <w:rPr>
          <w:sz w:val="24"/>
          <w:szCs w:val="24"/>
          <w:u w:val="single"/>
        </w:rPr>
      </w:pPr>
      <w:proofErr w:type="spellStart"/>
      <w:r w:rsidRPr="00A5655F">
        <w:rPr>
          <w:sz w:val="24"/>
          <w:szCs w:val="24"/>
          <w:u w:val="single"/>
        </w:rPr>
        <w:t>Prinzmetals</w:t>
      </w:r>
      <w:proofErr w:type="spellEnd"/>
      <w:r w:rsidRPr="00A5655F">
        <w:rPr>
          <w:sz w:val="24"/>
          <w:szCs w:val="24"/>
          <w:u w:val="single"/>
        </w:rPr>
        <w:t xml:space="preserve"> angina</w:t>
      </w:r>
    </w:p>
    <w:p w14:paraId="3818E805" w14:textId="77777777" w:rsidR="00E4750A" w:rsidRPr="00EB768C" w:rsidRDefault="00E4750A" w:rsidP="00F65D87">
      <w:pPr>
        <w:ind w:left="851"/>
        <w:rPr>
          <w:sz w:val="24"/>
          <w:szCs w:val="24"/>
        </w:rPr>
      </w:pPr>
      <w:proofErr w:type="spellStart"/>
      <w:r w:rsidRPr="00EB768C">
        <w:rPr>
          <w:sz w:val="24"/>
          <w:szCs w:val="24"/>
        </w:rPr>
        <w:t>Atenolol</w:t>
      </w:r>
      <w:proofErr w:type="spellEnd"/>
      <w:r w:rsidRPr="00EB768C">
        <w:rPr>
          <w:sz w:val="24"/>
          <w:szCs w:val="24"/>
        </w:rPr>
        <w:t xml:space="preserve"> kan øge antallet og varigheden af angina-anfald hos patienter med </w:t>
      </w:r>
      <w:proofErr w:type="spellStart"/>
      <w:r w:rsidRPr="00EB768C">
        <w:rPr>
          <w:sz w:val="24"/>
          <w:szCs w:val="24"/>
        </w:rPr>
        <w:t>Prinzmetal</w:t>
      </w:r>
      <w:proofErr w:type="spellEnd"/>
      <w:r w:rsidRPr="00EB768C">
        <w:rPr>
          <w:sz w:val="24"/>
          <w:szCs w:val="24"/>
        </w:rPr>
        <w:t xml:space="preserve"> angina på grund af ukontrolleret alfa-receptor-medieret </w:t>
      </w:r>
      <w:proofErr w:type="spellStart"/>
      <w:r w:rsidRPr="00EB768C">
        <w:rPr>
          <w:sz w:val="24"/>
          <w:szCs w:val="24"/>
        </w:rPr>
        <w:t>koronar</w:t>
      </w:r>
      <w:proofErr w:type="spellEnd"/>
      <w:r w:rsidRPr="00EB768C">
        <w:rPr>
          <w:sz w:val="24"/>
          <w:szCs w:val="24"/>
        </w:rPr>
        <w:t xml:space="preserve"> </w:t>
      </w:r>
      <w:proofErr w:type="spellStart"/>
      <w:r w:rsidRPr="00EB768C">
        <w:rPr>
          <w:sz w:val="24"/>
          <w:szCs w:val="24"/>
        </w:rPr>
        <w:t>vasokonstriktion</w:t>
      </w:r>
      <w:proofErr w:type="spellEnd"/>
      <w:r w:rsidRPr="00EB768C">
        <w:rPr>
          <w:sz w:val="24"/>
          <w:szCs w:val="24"/>
        </w:rPr>
        <w:t xml:space="preserve">. For disse patienter bør </w:t>
      </w:r>
      <w:proofErr w:type="spellStart"/>
      <w:r w:rsidRPr="00EB768C">
        <w:rPr>
          <w:sz w:val="24"/>
          <w:szCs w:val="24"/>
        </w:rPr>
        <w:t>atenolol</w:t>
      </w:r>
      <w:proofErr w:type="spellEnd"/>
      <w:r w:rsidRPr="00EB768C">
        <w:rPr>
          <w:sz w:val="24"/>
          <w:szCs w:val="24"/>
        </w:rPr>
        <w:t xml:space="preserve"> kun anvendes med yderste forsigtighed.</w:t>
      </w:r>
    </w:p>
    <w:p w14:paraId="2E89E840" w14:textId="77777777" w:rsidR="00E4750A" w:rsidRPr="00EB768C" w:rsidRDefault="00E4750A" w:rsidP="00F65D87">
      <w:pPr>
        <w:ind w:left="851"/>
        <w:rPr>
          <w:sz w:val="24"/>
          <w:szCs w:val="24"/>
        </w:rPr>
      </w:pPr>
    </w:p>
    <w:p w14:paraId="7B9FB052" w14:textId="77777777" w:rsidR="00E4750A" w:rsidRPr="00A5655F" w:rsidRDefault="00E4750A" w:rsidP="00F65D87">
      <w:pPr>
        <w:ind w:left="851"/>
        <w:rPr>
          <w:sz w:val="24"/>
          <w:szCs w:val="24"/>
          <w:u w:val="single"/>
        </w:rPr>
      </w:pPr>
      <w:r w:rsidRPr="00A5655F">
        <w:rPr>
          <w:sz w:val="24"/>
          <w:szCs w:val="24"/>
          <w:u w:val="single"/>
        </w:rPr>
        <w:t>Perifere kredsløbsforstyrrelser</w:t>
      </w:r>
    </w:p>
    <w:p w14:paraId="383C2829" w14:textId="799C8D0B" w:rsidR="00E4750A" w:rsidRPr="00EB768C" w:rsidRDefault="00E4750A" w:rsidP="00F65D87">
      <w:pPr>
        <w:ind w:left="851"/>
        <w:rPr>
          <w:sz w:val="24"/>
          <w:szCs w:val="24"/>
        </w:rPr>
      </w:pPr>
      <w:r w:rsidRPr="00EB768C">
        <w:rPr>
          <w:sz w:val="24"/>
          <w:szCs w:val="24"/>
        </w:rPr>
        <w:t>Hos patienter med perifere kredsløbsforstyrrelser (</w:t>
      </w:r>
      <w:proofErr w:type="spellStart"/>
      <w:r w:rsidRPr="00EB768C">
        <w:rPr>
          <w:sz w:val="24"/>
          <w:szCs w:val="24"/>
        </w:rPr>
        <w:t>Raynauds</w:t>
      </w:r>
      <w:proofErr w:type="spellEnd"/>
      <w:r w:rsidRPr="00EB768C">
        <w:rPr>
          <w:sz w:val="24"/>
          <w:szCs w:val="24"/>
        </w:rPr>
        <w:t xml:space="preserve"> sygdom eller syndrom, </w:t>
      </w:r>
      <w:proofErr w:type="spellStart"/>
      <w:r w:rsidRPr="00EB768C">
        <w:rPr>
          <w:sz w:val="24"/>
          <w:szCs w:val="24"/>
        </w:rPr>
        <w:t>Claudicatio</w:t>
      </w:r>
      <w:proofErr w:type="spellEnd"/>
      <w:r w:rsidRPr="00EB768C">
        <w:rPr>
          <w:sz w:val="24"/>
          <w:szCs w:val="24"/>
        </w:rPr>
        <w:t xml:space="preserve"> </w:t>
      </w:r>
      <w:proofErr w:type="spellStart"/>
      <w:r w:rsidRPr="00EB768C">
        <w:rPr>
          <w:sz w:val="24"/>
          <w:szCs w:val="24"/>
        </w:rPr>
        <w:t>intermittens</w:t>
      </w:r>
      <w:proofErr w:type="spellEnd"/>
      <w:r w:rsidRPr="00EB768C">
        <w:rPr>
          <w:sz w:val="24"/>
          <w:szCs w:val="24"/>
        </w:rPr>
        <w:t xml:space="preserve">) skal </w:t>
      </w:r>
      <w:proofErr w:type="spellStart"/>
      <w:r w:rsidRPr="00EB768C">
        <w:rPr>
          <w:sz w:val="24"/>
          <w:szCs w:val="24"/>
        </w:rPr>
        <w:t>atenolol</w:t>
      </w:r>
      <w:proofErr w:type="spellEnd"/>
      <w:r w:rsidRPr="00EB768C">
        <w:rPr>
          <w:sz w:val="24"/>
          <w:szCs w:val="24"/>
        </w:rPr>
        <w:t xml:space="preserve"> anvendes med stor forsigtighed, da der kan opstå forværring af disse forstyrrelser. Alvorlige perifere kredsløbsforstyrrelser er en kontraindikation (se pkt. 4.3).</w:t>
      </w:r>
    </w:p>
    <w:p w14:paraId="76DD75CC" w14:textId="77777777" w:rsidR="00E4750A" w:rsidRPr="00EB768C" w:rsidRDefault="00E4750A" w:rsidP="00F65D87">
      <w:pPr>
        <w:ind w:left="851"/>
        <w:rPr>
          <w:sz w:val="24"/>
          <w:szCs w:val="24"/>
        </w:rPr>
      </w:pPr>
    </w:p>
    <w:p w14:paraId="28FD0933" w14:textId="77777777" w:rsidR="00E4750A" w:rsidRPr="00A5655F" w:rsidRDefault="00E4750A" w:rsidP="00F65D87">
      <w:pPr>
        <w:ind w:left="851"/>
        <w:rPr>
          <w:sz w:val="24"/>
          <w:szCs w:val="24"/>
          <w:u w:val="single"/>
        </w:rPr>
      </w:pPr>
      <w:r w:rsidRPr="00A5655F">
        <w:rPr>
          <w:sz w:val="24"/>
          <w:szCs w:val="24"/>
          <w:u w:val="single"/>
        </w:rPr>
        <w:t xml:space="preserve">Respirationsforstyrrelser </w:t>
      </w:r>
    </w:p>
    <w:p w14:paraId="0E56A732" w14:textId="77777777" w:rsidR="00E4750A" w:rsidRPr="00EB768C" w:rsidRDefault="00E4750A" w:rsidP="00F65D87">
      <w:pPr>
        <w:ind w:left="851"/>
        <w:rPr>
          <w:sz w:val="24"/>
          <w:szCs w:val="24"/>
        </w:rPr>
      </w:pPr>
      <w:r w:rsidRPr="00EB768C">
        <w:rPr>
          <w:sz w:val="24"/>
          <w:szCs w:val="24"/>
        </w:rPr>
        <w:t xml:space="preserve">Hos patienter med kronisk obstruktiv lungesygdom kan luftvejsobstruktionerne forværres. Derfor bør </w:t>
      </w:r>
      <w:proofErr w:type="spellStart"/>
      <w:r w:rsidRPr="00EB768C">
        <w:rPr>
          <w:sz w:val="24"/>
          <w:szCs w:val="24"/>
        </w:rPr>
        <w:t>atenolol</w:t>
      </w:r>
      <w:proofErr w:type="spellEnd"/>
      <w:r w:rsidRPr="00EB768C">
        <w:rPr>
          <w:sz w:val="24"/>
          <w:szCs w:val="24"/>
        </w:rPr>
        <w:t xml:space="preserve"> kun anvendes til disse patienter med yderste omhu. Hvis der opstår øget luftvejsresistens, skal </w:t>
      </w:r>
      <w:proofErr w:type="spellStart"/>
      <w:r w:rsidRPr="00EB768C">
        <w:rPr>
          <w:sz w:val="24"/>
          <w:szCs w:val="24"/>
        </w:rPr>
        <w:t>atenolol</w:t>
      </w:r>
      <w:proofErr w:type="spellEnd"/>
      <w:r w:rsidRPr="00EB768C">
        <w:rPr>
          <w:sz w:val="24"/>
          <w:szCs w:val="24"/>
        </w:rPr>
        <w:t xml:space="preserve"> seponeres, og </w:t>
      </w:r>
      <w:proofErr w:type="spellStart"/>
      <w:r w:rsidRPr="00EB768C">
        <w:rPr>
          <w:sz w:val="24"/>
          <w:szCs w:val="24"/>
        </w:rPr>
        <w:t>bronkodilatorbehandling</w:t>
      </w:r>
      <w:proofErr w:type="spellEnd"/>
      <w:r w:rsidRPr="00EB768C">
        <w:rPr>
          <w:sz w:val="24"/>
          <w:szCs w:val="24"/>
        </w:rPr>
        <w:t xml:space="preserve"> (f.eks. </w:t>
      </w:r>
      <w:proofErr w:type="spellStart"/>
      <w:r w:rsidRPr="00EB768C">
        <w:rPr>
          <w:sz w:val="24"/>
          <w:szCs w:val="24"/>
        </w:rPr>
        <w:t>salbutamol</w:t>
      </w:r>
      <w:proofErr w:type="spellEnd"/>
      <w:r w:rsidRPr="00EB768C">
        <w:rPr>
          <w:sz w:val="24"/>
          <w:szCs w:val="24"/>
        </w:rPr>
        <w:t>) indgives, hvis det er nødvendigt.</w:t>
      </w:r>
    </w:p>
    <w:p w14:paraId="2D58EF73" w14:textId="77777777" w:rsidR="00E4750A" w:rsidRPr="00EB768C" w:rsidRDefault="00E4750A" w:rsidP="00F65D87">
      <w:pPr>
        <w:ind w:left="851"/>
        <w:rPr>
          <w:sz w:val="24"/>
          <w:szCs w:val="24"/>
        </w:rPr>
      </w:pPr>
    </w:p>
    <w:p w14:paraId="47E6D0CA" w14:textId="77777777" w:rsidR="00E4750A" w:rsidRPr="00A5655F" w:rsidRDefault="00E4750A" w:rsidP="00F65D87">
      <w:pPr>
        <w:ind w:left="851"/>
        <w:rPr>
          <w:sz w:val="24"/>
          <w:szCs w:val="24"/>
          <w:u w:val="single"/>
        </w:rPr>
      </w:pPr>
      <w:r w:rsidRPr="00A5655F">
        <w:rPr>
          <w:sz w:val="24"/>
          <w:szCs w:val="24"/>
          <w:u w:val="single"/>
        </w:rPr>
        <w:t>Kirurgi</w:t>
      </w:r>
    </w:p>
    <w:p w14:paraId="7CE4B031" w14:textId="77777777" w:rsidR="00E4750A" w:rsidRPr="00EB768C" w:rsidRDefault="00E4750A" w:rsidP="00F65D87">
      <w:pPr>
        <w:ind w:left="851"/>
        <w:rPr>
          <w:sz w:val="24"/>
          <w:szCs w:val="24"/>
        </w:rPr>
      </w:pPr>
      <w:r w:rsidRPr="00EB768C">
        <w:rPr>
          <w:sz w:val="24"/>
          <w:szCs w:val="24"/>
        </w:rPr>
        <w:t xml:space="preserve">Når det er besluttet at afbryde en betablokering som forberedelse til en operation, bør behandlingen seponeres i mindst 24 timer før operationen. Fortsættelse af betablokaden reducerer risikoen for </w:t>
      </w:r>
      <w:proofErr w:type="spellStart"/>
      <w:r w:rsidRPr="00EB768C">
        <w:rPr>
          <w:sz w:val="24"/>
          <w:szCs w:val="24"/>
        </w:rPr>
        <w:t>arytmier</w:t>
      </w:r>
      <w:proofErr w:type="spellEnd"/>
      <w:r w:rsidRPr="00EB768C">
        <w:rPr>
          <w:sz w:val="24"/>
          <w:szCs w:val="24"/>
        </w:rPr>
        <w:t xml:space="preserve"> under induktion og </w:t>
      </w:r>
      <w:proofErr w:type="spellStart"/>
      <w:r w:rsidRPr="00EB768C">
        <w:rPr>
          <w:sz w:val="24"/>
          <w:szCs w:val="24"/>
        </w:rPr>
        <w:t>intubation</w:t>
      </w:r>
      <w:proofErr w:type="spellEnd"/>
      <w:r w:rsidRPr="00EB768C">
        <w:rPr>
          <w:sz w:val="24"/>
          <w:szCs w:val="24"/>
        </w:rPr>
        <w:t xml:space="preserve">, men risikoen for hypotension kan også øges. </w:t>
      </w:r>
    </w:p>
    <w:p w14:paraId="6C484DB2" w14:textId="77777777" w:rsidR="00E4750A" w:rsidRPr="00EB768C" w:rsidRDefault="00E4750A" w:rsidP="00F65D87">
      <w:pPr>
        <w:ind w:left="851"/>
        <w:rPr>
          <w:sz w:val="24"/>
          <w:szCs w:val="24"/>
        </w:rPr>
      </w:pPr>
      <w:r w:rsidRPr="00EB768C">
        <w:rPr>
          <w:sz w:val="24"/>
          <w:szCs w:val="24"/>
        </w:rPr>
        <w:t xml:space="preserve">Hvis behandlingen fortsættes, bør der udvises forsigtighed ved brug af visse anæstesimidler. Patienten kan beskyttes mod </w:t>
      </w:r>
      <w:proofErr w:type="spellStart"/>
      <w:r w:rsidRPr="00EB768C">
        <w:rPr>
          <w:sz w:val="24"/>
          <w:szCs w:val="24"/>
        </w:rPr>
        <w:t>vagale</w:t>
      </w:r>
      <w:proofErr w:type="spellEnd"/>
      <w:r w:rsidRPr="00EB768C">
        <w:rPr>
          <w:sz w:val="24"/>
          <w:szCs w:val="24"/>
        </w:rPr>
        <w:t xml:space="preserve"> reaktioner ved intravenøs administration af atropin.</w:t>
      </w:r>
    </w:p>
    <w:p w14:paraId="2CD99648" w14:textId="110AC512" w:rsidR="00602DED" w:rsidRDefault="00602DED">
      <w:pPr>
        <w:rPr>
          <w:sz w:val="24"/>
          <w:szCs w:val="24"/>
        </w:rPr>
      </w:pPr>
      <w:r>
        <w:rPr>
          <w:sz w:val="24"/>
          <w:szCs w:val="24"/>
        </w:rPr>
        <w:br w:type="page"/>
      </w:r>
    </w:p>
    <w:p w14:paraId="65370686" w14:textId="77777777" w:rsidR="00E4750A" w:rsidRPr="00EB768C" w:rsidRDefault="00E4750A" w:rsidP="00F65D87">
      <w:pPr>
        <w:ind w:left="851"/>
        <w:rPr>
          <w:sz w:val="24"/>
          <w:szCs w:val="24"/>
        </w:rPr>
      </w:pPr>
    </w:p>
    <w:p w14:paraId="3267224C" w14:textId="77777777" w:rsidR="00E4750A" w:rsidRPr="00A5655F" w:rsidRDefault="00E4750A" w:rsidP="00F65D87">
      <w:pPr>
        <w:ind w:left="851"/>
        <w:rPr>
          <w:sz w:val="24"/>
          <w:szCs w:val="24"/>
          <w:u w:val="single"/>
        </w:rPr>
      </w:pPr>
      <w:r w:rsidRPr="00A5655F">
        <w:rPr>
          <w:sz w:val="24"/>
          <w:szCs w:val="24"/>
          <w:u w:val="single"/>
        </w:rPr>
        <w:t>Nedsat nyrefunktion</w:t>
      </w:r>
    </w:p>
    <w:p w14:paraId="399B84CB" w14:textId="77777777" w:rsidR="00E4750A" w:rsidRPr="00EB768C" w:rsidRDefault="00E4750A" w:rsidP="00F65D87">
      <w:pPr>
        <w:ind w:left="851"/>
        <w:rPr>
          <w:sz w:val="24"/>
          <w:szCs w:val="24"/>
        </w:rPr>
      </w:pPr>
      <w:r w:rsidRPr="00EB768C">
        <w:rPr>
          <w:sz w:val="24"/>
          <w:szCs w:val="24"/>
        </w:rPr>
        <w:t xml:space="preserve">Da </w:t>
      </w:r>
      <w:proofErr w:type="spellStart"/>
      <w:r w:rsidRPr="00EB768C">
        <w:rPr>
          <w:sz w:val="24"/>
          <w:szCs w:val="24"/>
        </w:rPr>
        <w:t>atenolol</w:t>
      </w:r>
      <w:proofErr w:type="spellEnd"/>
      <w:r w:rsidRPr="00EB768C">
        <w:rPr>
          <w:sz w:val="24"/>
          <w:szCs w:val="24"/>
        </w:rPr>
        <w:t xml:space="preserve"> udskilles via nyrerne, skal dosis reduceres hos patienter med en </w:t>
      </w:r>
      <w:proofErr w:type="spellStart"/>
      <w:r w:rsidRPr="00EB768C">
        <w:rPr>
          <w:sz w:val="24"/>
          <w:szCs w:val="24"/>
        </w:rPr>
        <w:t>kreatininclearance</w:t>
      </w:r>
      <w:proofErr w:type="spellEnd"/>
      <w:r w:rsidRPr="00EB768C">
        <w:rPr>
          <w:sz w:val="24"/>
          <w:szCs w:val="24"/>
        </w:rPr>
        <w:t xml:space="preserve"> under 35 ml/min/1,73 m</w:t>
      </w:r>
      <w:r w:rsidRPr="00EB768C">
        <w:rPr>
          <w:sz w:val="24"/>
          <w:szCs w:val="24"/>
          <w:vertAlign w:val="superscript"/>
        </w:rPr>
        <w:t>2</w:t>
      </w:r>
      <w:r w:rsidRPr="00EB768C">
        <w:rPr>
          <w:sz w:val="24"/>
          <w:szCs w:val="24"/>
        </w:rPr>
        <w:t>.</w:t>
      </w:r>
    </w:p>
    <w:p w14:paraId="1E4228A7" w14:textId="77777777" w:rsidR="00E4750A" w:rsidRPr="00EB768C" w:rsidRDefault="00E4750A" w:rsidP="00F65D87">
      <w:pPr>
        <w:ind w:left="851"/>
        <w:rPr>
          <w:sz w:val="24"/>
          <w:szCs w:val="24"/>
        </w:rPr>
      </w:pPr>
    </w:p>
    <w:p w14:paraId="6B1E5E64" w14:textId="77777777" w:rsidR="00E4750A" w:rsidRPr="00A5655F" w:rsidRDefault="00E4750A" w:rsidP="00F65D87">
      <w:pPr>
        <w:ind w:left="851"/>
        <w:rPr>
          <w:sz w:val="24"/>
          <w:szCs w:val="24"/>
          <w:u w:val="single"/>
        </w:rPr>
      </w:pPr>
      <w:r w:rsidRPr="00A5655F">
        <w:rPr>
          <w:sz w:val="24"/>
          <w:szCs w:val="24"/>
          <w:u w:val="single"/>
        </w:rPr>
        <w:t>Psoriasis</w:t>
      </w:r>
    </w:p>
    <w:p w14:paraId="0718065C" w14:textId="77777777" w:rsidR="00E4750A" w:rsidRPr="00EB768C" w:rsidRDefault="00E4750A" w:rsidP="00F65D87">
      <w:pPr>
        <w:ind w:left="851"/>
        <w:rPr>
          <w:sz w:val="24"/>
          <w:szCs w:val="24"/>
        </w:rPr>
      </w:pPr>
      <w:r w:rsidRPr="00EB768C">
        <w:rPr>
          <w:sz w:val="24"/>
          <w:szCs w:val="24"/>
        </w:rPr>
        <w:t xml:space="preserve">Patienter med psoriasis i anamnesen bør kun tage </w:t>
      </w:r>
      <w:proofErr w:type="spellStart"/>
      <w:r w:rsidRPr="00EB768C">
        <w:rPr>
          <w:sz w:val="24"/>
          <w:szCs w:val="24"/>
        </w:rPr>
        <w:t>atenolol</w:t>
      </w:r>
      <w:proofErr w:type="spellEnd"/>
      <w:r w:rsidRPr="00EB768C">
        <w:rPr>
          <w:sz w:val="24"/>
          <w:szCs w:val="24"/>
        </w:rPr>
        <w:t xml:space="preserve"> efter omhyggelig overvejelse.</w:t>
      </w:r>
    </w:p>
    <w:p w14:paraId="3FB8BDC8" w14:textId="77777777" w:rsidR="00E4750A" w:rsidRPr="00EB768C" w:rsidRDefault="00E4750A" w:rsidP="00F65D87">
      <w:pPr>
        <w:ind w:left="851"/>
        <w:rPr>
          <w:sz w:val="24"/>
          <w:szCs w:val="24"/>
        </w:rPr>
      </w:pPr>
    </w:p>
    <w:p w14:paraId="2D556AA3" w14:textId="77777777" w:rsidR="00E4750A" w:rsidRPr="00A5655F" w:rsidRDefault="00E4750A" w:rsidP="00F65D87">
      <w:pPr>
        <w:ind w:left="851"/>
        <w:rPr>
          <w:sz w:val="24"/>
          <w:szCs w:val="24"/>
          <w:u w:val="single"/>
        </w:rPr>
      </w:pPr>
      <w:r w:rsidRPr="00A5655F">
        <w:rPr>
          <w:sz w:val="24"/>
          <w:szCs w:val="24"/>
          <w:u w:val="single"/>
        </w:rPr>
        <w:t>Hypersensitivitetsreaktioner</w:t>
      </w:r>
    </w:p>
    <w:p w14:paraId="40E8C5E8" w14:textId="77777777" w:rsidR="00E4750A" w:rsidRPr="00EB768C" w:rsidRDefault="00E4750A" w:rsidP="00F65D87">
      <w:pPr>
        <w:ind w:left="851"/>
        <w:rPr>
          <w:sz w:val="24"/>
          <w:szCs w:val="24"/>
        </w:rPr>
      </w:pPr>
      <w:proofErr w:type="spellStart"/>
      <w:r w:rsidRPr="00EB768C">
        <w:rPr>
          <w:sz w:val="24"/>
          <w:szCs w:val="24"/>
        </w:rPr>
        <w:t>Atenolol</w:t>
      </w:r>
      <w:proofErr w:type="spellEnd"/>
      <w:r w:rsidRPr="00EB768C">
        <w:rPr>
          <w:sz w:val="24"/>
          <w:szCs w:val="24"/>
        </w:rPr>
        <w:t xml:space="preserve"> kan øge både følsomheden over for allergener og sværhedsgraden af </w:t>
      </w:r>
      <w:proofErr w:type="spellStart"/>
      <w:r w:rsidRPr="00EB768C">
        <w:rPr>
          <w:sz w:val="24"/>
          <w:szCs w:val="24"/>
        </w:rPr>
        <w:t>anafylaktiske</w:t>
      </w:r>
      <w:proofErr w:type="spellEnd"/>
      <w:r w:rsidRPr="00EB768C">
        <w:rPr>
          <w:sz w:val="24"/>
          <w:szCs w:val="24"/>
        </w:rPr>
        <w:t xml:space="preserve"> reaktioner og chok. </w:t>
      </w:r>
      <w:proofErr w:type="spellStart"/>
      <w:r w:rsidRPr="00EB768C">
        <w:rPr>
          <w:sz w:val="24"/>
          <w:szCs w:val="24"/>
        </w:rPr>
        <w:t>Betaadrenerge</w:t>
      </w:r>
      <w:proofErr w:type="spellEnd"/>
      <w:r w:rsidRPr="00EB768C">
        <w:rPr>
          <w:sz w:val="24"/>
          <w:szCs w:val="24"/>
        </w:rPr>
        <w:t xml:space="preserve"> </w:t>
      </w:r>
      <w:proofErr w:type="spellStart"/>
      <w:r w:rsidRPr="00EB768C">
        <w:rPr>
          <w:sz w:val="24"/>
          <w:szCs w:val="24"/>
        </w:rPr>
        <w:t>blokkere</w:t>
      </w:r>
      <w:proofErr w:type="spellEnd"/>
      <w:r w:rsidRPr="00EB768C">
        <w:rPr>
          <w:sz w:val="24"/>
          <w:szCs w:val="24"/>
        </w:rPr>
        <w:t xml:space="preserve"> kan hæmme de kompenserende </w:t>
      </w:r>
      <w:proofErr w:type="spellStart"/>
      <w:r w:rsidRPr="00EB768C">
        <w:rPr>
          <w:sz w:val="24"/>
          <w:szCs w:val="24"/>
        </w:rPr>
        <w:t>kardiovaskulære</w:t>
      </w:r>
      <w:proofErr w:type="spellEnd"/>
      <w:r w:rsidRPr="00EB768C">
        <w:rPr>
          <w:sz w:val="24"/>
          <w:szCs w:val="24"/>
        </w:rPr>
        <w:t xml:space="preserve"> reaktioner forbundet med hypotension eller chok. </w:t>
      </w:r>
      <w:proofErr w:type="spellStart"/>
      <w:r w:rsidRPr="00EB768C">
        <w:rPr>
          <w:sz w:val="24"/>
          <w:szCs w:val="24"/>
        </w:rPr>
        <w:t>Atenolol</w:t>
      </w:r>
      <w:proofErr w:type="spellEnd"/>
      <w:r w:rsidRPr="00EB768C">
        <w:rPr>
          <w:sz w:val="24"/>
          <w:szCs w:val="24"/>
        </w:rPr>
        <w:t xml:space="preserve"> kan reducere effekten af </w:t>
      </w:r>
      <w:proofErr w:type="spellStart"/>
      <w:r w:rsidRPr="00EB768C">
        <w:rPr>
          <w:sz w:val="24"/>
          <w:szCs w:val="24"/>
        </w:rPr>
        <w:t>epinefrin</w:t>
      </w:r>
      <w:proofErr w:type="spellEnd"/>
      <w:r w:rsidRPr="00EB768C">
        <w:rPr>
          <w:sz w:val="24"/>
          <w:szCs w:val="24"/>
        </w:rPr>
        <w:t xml:space="preserve">. </w:t>
      </w:r>
    </w:p>
    <w:p w14:paraId="3CFD3531" w14:textId="77777777" w:rsidR="00E4750A" w:rsidRPr="00EB768C" w:rsidRDefault="00E4750A" w:rsidP="00F65D87">
      <w:pPr>
        <w:ind w:left="851"/>
        <w:rPr>
          <w:sz w:val="24"/>
          <w:szCs w:val="24"/>
        </w:rPr>
      </w:pPr>
      <w:proofErr w:type="spellStart"/>
      <w:r w:rsidRPr="00EB768C">
        <w:rPr>
          <w:sz w:val="24"/>
          <w:szCs w:val="24"/>
        </w:rPr>
        <w:t>Atenolol</w:t>
      </w:r>
      <w:proofErr w:type="spellEnd"/>
      <w:r w:rsidRPr="00EB768C">
        <w:rPr>
          <w:sz w:val="24"/>
          <w:szCs w:val="24"/>
        </w:rPr>
        <w:t xml:space="preserve"> kan forårsage en overfølsomhedsreaktion, herunder </w:t>
      </w:r>
      <w:proofErr w:type="spellStart"/>
      <w:r w:rsidRPr="00EB768C">
        <w:rPr>
          <w:sz w:val="24"/>
          <w:szCs w:val="24"/>
        </w:rPr>
        <w:t>angioødem</w:t>
      </w:r>
      <w:proofErr w:type="spellEnd"/>
      <w:r w:rsidRPr="00EB768C">
        <w:rPr>
          <w:sz w:val="24"/>
          <w:szCs w:val="24"/>
        </w:rPr>
        <w:t xml:space="preserve"> og </w:t>
      </w:r>
      <w:proofErr w:type="spellStart"/>
      <w:r w:rsidRPr="00EB768C">
        <w:rPr>
          <w:sz w:val="24"/>
          <w:szCs w:val="24"/>
        </w:rPr>
        <w:t>urtikaria</w:t>
      </w:r>
      <w:proofErr w:type="spellEnd"/>
      <w:r w:rsidRPr="00EB768C">
        <w:rPr>
          <w:sz w:val="24"/>
          <w:szCs w:val="24"/>
        </w:rPr>
        <w:t>.</w:t>
      </w:r>
    </w:p>
    <w:p w14:paraId="58EE5F75" w14:textId="77777777" w:rsidR="00E4750A" w:rsidRPr="00EB768C" w:rsidRDefault="00E4750A" w:rsidP="00F65D87">
      <w:pPr>
        <w:ind w:left="851"/>
        <w:rPr>
          <w:sz w:val="24"/>
          <w:szCs w:val="24"/>
        </w:rPr>
      </w:pPr>
    </w:p>
    <w:p w14:paraId="4BD0F05B" w14:textId="77777777" w:rsidR="00E4750A" w:rsidRPr="00A5655F" w:rsidRDefault="00E4750A" w:rsidP="00F65D87">
      <w:pPr>
        <w:ind w:left="851"/>
        <w:rPr>
          <w:sz w:val="24"/>
          <w:szCs w:val="24"/>
          <w:u w:val="single"/>
        </w:rPr>
      </w:pPr>
      <w:r w:rsidRPr="00A5655F">
        <w:rPr>
          <w:sz w:val="24"/>
          <w:szCs w:val="24"/>
          <w:u w:val="single"/>
        </w:rPr>
        <w:t>Diabetes</w:t>
      </w:r>
    </w:p>
    <w:p w14:paraId="29A1BFA2" w14:textId="77777777" w:rsidR="00E4750A" w:rsidRPr="00EB768C" w:rsidRDefault="00E4750A" w:rsidP="00F65D87">
      <w:pPr>
        <w:ind w:left="851"/>
        <w:rPr>
          <w:sz w:val="24"/>
          <w:szCs w:val="24"/>
        </w:rPr>
      </w:pPr>
      <w:r w:rsidRPr="00EB768C">
        <w:rPr>
          <w:sz w:val="24"/>
          <w:szCs w:val="24"/>
        </w:rPr>
        <w:t xml:space="preserve">Behandlingen bør indledes med en </w:t>
      </w:r>
      <w:proofErr w:type="spellStart"/>
      <w:r w:rsidRPr="00EB768C">
        <w:rPr>
          <w:sz w:val="24"/>
          <w:szCs w:val="24"/>
        </w:rPr>
        <w:t>glykæmimonitorering</w:t>
      </w:r>
      <w:proofErr w:type="spellEnd"/>
      <w:r w:rsidRPr="00EB768C">
        <w:rPr>
          <w:sz w:val="24"/>
          <w:szCs w:val="24"/>
        </w:rPr>
        <w:t xml:space="preserve">. Betablokerende stoffer kan maskere symptomerne på hypoglykæmi, især </w:t>
      </w:r>
      <w:proofErr w:type="spellStart"/>
      <w:r w:rsidRPr="00EB768C">
        <w:rPr>
          <w:sz w:val="24"/>
          <w:szCs w:val="24"/>
        </w:rPr>
        <w:t>takykardi</w:t>
      </w:r>
      <w:proofErr w:type="spellEnd"/>
      <w:r w:rsidRPr="00EB768C">
        <w:rPr>
          <w:sz w:val="24"/>
          <w:szCs w:val="24"/>
        </w:rPr>
        <w:t xml:space="preserve">, hjertebanken og sveden. </w:t>
      </w:r>
      <w:proofErr w:type="spellStart"/>
      <w:r w:rsidRPr="00EB768C">
        <w:rPr>
          <w:sz w:val="24"/>
          <w:szCs w:val="24"/>
        </w:rPr>
        <w:t>Atenolol</w:t>
      </w:r>
      <w:proofErr w:type="spellEnd"/>
      <w:r w:rsidRPr="00EB768C">
        <w:rPr>
          <w:sz w:val="24"/>
          <w:szCs w:val="24"/>
        </w:rPr>
        <w:t xml:space="preserve"> har ingen forstærkende effekt på insulininduceret hypoglykæmi, og tilbagevenden til et normalt glukoseniveau ændres ikke.</w:t>
      </w:r>
    </w:p>
    <w:p w14:paraId="3D4164E5" w14:textId="77777777" w:rsidR="00E4750A" w:rsidRPr="00EB768C" w:rsidRDefault="00E4750A" w:rsidP="00F65D87">
      <w:pPr>
        <w:ind w:left="851"/>
        <w:rPr>
          <w:sz w:val="24"/>
          <w:szCs w:val="24"/>
        </w:rPr>
      </w:pPr>
    </w:p>
    <w:p w14:paraId="10C88421" w14:textId="77777777" w:rsidR="00E4750A" w:rsidRPr="00A5655F" w:rsidRDefault="00E4750A" w:rsidP="00F65D87">
      <w:pPr>
        <w:ind w:left="851"/>
        <w:rPr>
          <w:sz w:val="24"/>
          <w:szCs w:val="24"/>
          <w:u w:val="single"/>
        </w:rPr>
      </w:pPr>
      <w:proofErr w:type="spellStart"/>
      <w:r w:rsidRPr="00A5655F">
        <w:rPr>
          <w:sz w:val="24"/>
          <w:szCs w:val="24"/>
          <w:u w:val="single"/>
        </w:rPr>
        <w:t>Thyreotoksikose</w:t>
      </w:r>
      <w:proofErr w:type="spellEnd"/>
    </w:p>
    <w:p w14:paraId="77819EC8" w14:textId="77777777" w:rsidR="00E4750A" w:rsidRPr="00EB768C" w:rsidRDefault="00E4750A" w:rsidP="00F65D87">
      <w:pPr>
        <w:ind w:left="851"/>
        <w:rPr>
          <w:sz w:val="24"/>
          <w:szCs w:val="24"/>
        </w:rPr>
      </w:pPr>
      <w:r w:rsidRPr="00EB768C">
        <w:rPr>
          <w:sz w:val="24"/>
          <w:szCs w:val="24"/>
        </w:rPr>
        <w:t xml:space="preserve">Betablokade kan maskere symptomerne på </w:t>
      </w:r>
      <w:proofErr w:type="spellStart"/>
      <w:r w:rsidRPr="00EB768C">
        <w:rPr>
          <w:sz w:val="24"/>
          <w:szCs w:val="24"/>
        </w:rPr>
        <w:t>thyreotoksikose</w:t>
      </w:r>
      <w:proofErr w:type="spellEnd"/>
      <w:r w:rsidRPr="00EB768C">
        <w:rPr>
          <w:sz w:val="24"/>
          <w:szCs w:val="24"/>
        </w:rPr>
        <w:t>.</w:t>
      </w:r>
    </w:p>
    <w:p w14:paraId="42B552B8" w14:textId="77777777" w:rsidR="00E4750A" w:rsidRPr="00EB768C" w:rsidRDefault="00E4750A" w:rsidP="00F65D87">
      <w:pPr>
        <w:ind w:left="851"/>
        <w:rPr>
          <w:sz w:val="24"/>
          <w:szCs w:val="24"/>
        </w:rPr>
      </w:pPr>
    </w:p>
    <w:p w14:paraId="4133449F" w14:textId="77777777" w:rsidR="00E4750A" w:rsidRPr="00A5655F" w:rsidRDefault="00E4750A" w:rsidP="00F65D87">
      <w:pPr>
        <w:ind w:left="851"/>
        <w:rPr>
          <w:sz w:val="24"/>
          <w:szCs w:val="24"/>
          <w:u w:val="single"/>
        </w:rPr>
      </w:pPr>
      <w:r w:rsidRPr="00A5655F">
        <w:rPr>
          <w:sz w:val="24"/>
          <w:szCs w:val="24"/>
          <w:u w:val="single"/>
        </w:rPr>
        <w:t xml:space="preserve">Kontrolleret </w:t>
      </w:r>
      <w:proofErr w:type="spellStart"/>
      <w:r w:rsidRPr="00A5655F">
        <w:rPr>
          <w:sz w:val="24"/>
          <w:szCs w:val="24"/>
          <w:u w:val="single"/>
        </w:rPr>
        <w:t>fæokromocytom</w:t>
      </w:r>
      <w:proofErr w:type="spellEnd"/>
    </w:p>
    <w:p w14:paraId="66DC5130" w14:textId="77777777" w:rsidR="00E4750A" w:rsidRPr="00EB768C" w:rsidRDefault="00E4750A" w:rsidP="00F65D87">
      <w:pPr>
        <w:ind w:left="851"/>
        <w:rPr>
          <w:sz w:val="24"/>
          <w:szCs w:val="24"/>
        </w:rPr>
      </w:pPr>
      <w:r w:rsidRPr="00EB768C">
        <w:rPr>
          <w:sz w:val="24"/>
          <w:szCs w:val="24"/>
        </w:rPr>
        <w:t xml:space="preserve">Når </w:t>
      </w:r>
      <w:proofErr w:type="spellStart"/>
      <w:r w:rsidRPr="00EB768C">
        <w:rPr>
          <w:sz w:val="24"/>
          <w:szCs w:val="24"/>
        </w:rPr>
        <w:t>atenolol</w:t>
      </w:r>
      <w:proofErr w:type="spellEnd"/>
      <w:r w:rsidRPr="00EB768C">
        <w:rPr>
          <w:sz w:val="24"/>
          <w:szCs w:val="24"/>
        </w:rPr>
        <w:t xml:space="preserve"> ordineres til patienter med </w:t>
      </w:r>
      <w:proofErr w:type="spellStart"/>
      <w:r w:rsidRPr="00EB768C">
        <w:rPr>
          <w:sz w:val="24"/>
          <w:szCs w:val="24"/>
        </w:rPr>
        <w:t>fæokromocytom</w:t>
      </w:r>
      <w:proofErr w:type="spellEnd"/>
      <w:r w:rsidRPr="00EB768C">
        <w:rPr>
          <w:sz w:val="24"/>
          <w:szCs w:val="24"/>
        </w:rPr>
        <w:t xml:space="preserve">, skal der før og under behandlingen med </w:t>
      </w:r>
      <w:proofErr w:type="spellStart"/>
      <w:r w:rsidRPr="00EB768C">
        <w:rPr>
          <w:sz w:val="24"/>
          <w:szCs w:val="24"/>
        </w:rPr>
        <w:t>atenolol</w:t>
      </w:r>
      <w:proofErr w:type="spellEnd"/>
      <w:r w:rsidRPr="00EB768C">
        <w:rPr>
          <w:sz w:val="24"/>
          <w:szCs w:val="24"/>
        </w:rPr>
        <w:t xml:space="preserve"> gives en </w:t>
      </w:r>
      <w:proofErr w:type="spellStart"/>
      <w:r w:rsidRPr="00EB768C">
        <w:rPr>
          <w:sz w:val="24"/>
          <w:szCs w:val="24"/>
        </w:rPr>
        <w:t>alfablokker</w:t>
      </w:r>
      <w:proofErr w:type="spellEnd"/>
      <w:r w:rsidRPr="00EB768C">
        <w:rPr>
          <w:sz w:val="24"/>
          <w:szCs w:val="24"/>
        </w:rPr>
        <w:t>. Blodtrykket bør monitoreres tæt.</w:t>
      </w:r>
    </w:p>
    <w:p w14:paraId="2D239EF1" w14:textId="77777777" w:rsidR="00E4750A" w:rsidRPr="00EB768C" w:rsidRDefault="00E4750A" w:rsidP="00F65D87">
      <w:pPr>
        <w:ind w:left="851"/>
        <w:rPr>
          <w:sz w:val="24"/>
          <w:szCs w:val="24"/>
        </w:rPr>
      </w:pPr>
    </w:p>
    <w:p w14:paraId="4A954ABB" w14:textId="77777777" w:rsidR="00E4750A" w:rsidRPr="00A5655F" w:rsidRDefault="00E4750A" w:rsidP="00F65D87">
      <w:pPr>
        <w:ind w:left="851"/>
        <w:rPr>
          <w:sz w:val="24"/>
          <w:szCs w:val="24"/>
          <w:u w:val="single"/>
        </w:rPr>
      </w:pPr>
      <w:r w:rsidRPr="00A5655F">
        <w:rPr>
          <w:sz w:val="24"/>
          <w:szCs w:val="24"/>
          <w:u w:val="single"/>
        </w:rPr>
        <w:t>Ældre</w:t>
      </w:r>
    </w:p>
    <w:p w14:paraId="5C60D733" w14:textId="77777777" w:rsidR="00E4750A" w:rsidRPr="00EB768C" w:rsidRDefault="00E4750A" w:rsidP="00F65D87">
      <w:pPr>
        <w:ind w:left="851"/>
        <w:rPr>
          <w:sz w:val="24"/>
          <w:szCs w:val="24"/>
        </w:rPr>
      </w:pPr>
      <w:r w:rsidRPr="00EB768C">
        <w:rPr>
          <w:sz w:val="24"/>
          <w:szCs w:val="24"/>
        </w:rPr>
        <w:t>Ældre patienter bør behandles med forsigtighed (se pkt. 4.2).</w:t>
      </w:r>
    </w:p>
    <w:p w14:paraId="0A2CB59E" w14:textId="77777777" w:rsidR="00E4750A" w:rsidRPr="00EB768C" w:rsidRDefault="00E4750A" w:rsidP="00F65D87">
      <w:pPr>
        <w:ind w:left="851"/>
        <w:rPr>
          <w:sz w:val="24"/>
          <w:szCs w:val="24"/>
        </w:rPr>
      </w:pPr>
    </w:p>
    <w:p w14:paraId="70402C10" w14:textId="77777777" w:rsidR="00E4750A" w:rsidRPr="00A5655F" w:rsidRDefault="00E4750A" w:rsidP="00F65D87">
      <w:pPr>
        <w:ind w:left="851"/>
        <w:rPr>
          <w:i/>
          <w:iCs/>
          <w:sz w:val="24"/>
          <w:szCs w:val="24"/>
          <w:u w:val="single"/>
        </w:rPr>
      </w:pPr>
      <w:r w:rsidRPr="00A5655F">
        <w:rPr>
          <w:i/>
          <w:iCs/>
          <w:sz w:val="24"/>
          <w:szCs w:val="24"/>
          <w:u w:val="single"/>
        </w:rPr>
        <w:t>Hjælpestof(fer):</w:t>
      </w:r>
    </w:p>
    <w:p w14:paraId="68E74E75" w14:textId="77777777" w:rsidR="00E4750A" w:rsidRPr="00EB768C" w:rsidRDefault="00E4750A" w:rsidP="00F65D87">
      <w:pPr>
        <w:ind w:left="851"/>
        <w:rPr>
          <w:sz w:val="24"/>
          <w:szCs w:val="24"/>
        </w:rPr>
      </w:pPr>
      <w:r w:rsidRPr="00EB768C">
        <w:rPr>
          <w:sz w:val="24"/>
          <w:szCs w:val="24"/>
        </w:rPr>
        <w:t>Natrium</w:t>
      </w:r>
    </w:p>
    <w:p w14:paraId="0CB9C708" w14:textId="77777777" w:rsidR="00E4750A" w:rsidRPr="00EB768C" w:rsidRDefault="00E4750A" w:rsidP="00F65D87">
      <w:pPr>
        <w:ind w:left="851"/>
        <w:rPr>
          <w:sz w:val="24"/>
          <w:szCs w:val="24"/>
        </w:rPr>
      </w:pPr>
      <w:r w:rsidRPr="00EB768C">
        <w:rPr>
          <w:sz w:val="24"/>
          <w:szCs w:val="24"/>
        </w:rPr>
        <w:t>Dette lægemiddel indeholder mindre end 1 mmol (23 mg) natrium pr. dosis, dvs. det er i det væsentlige natriumfrit.</w:t>
      </w:r>
    </w:p>
    <w:p w14:paraId="75589ACF" w14:textId="77777777" w:rsidR="009260DE" w:rsidRPr="00EB768C" w:rsidRDefault="009260DE" w:rsidP="009260DE">
      <w:pPr>
        <w:tabs>
          <w:tab w:val="left" w:pos="851"/>
        </w:tabs>
        <w:ind w:left="851"/>
        <w:rPr>
          <w:sz w:val="24"/>
          <w:szCs w:val="24"/>
        </w:rPr>
      </w:pPr>
    </w:p>
    <w:p w14:paraId="6337E03F" w14:textId="77777777" w:rsidR="009260DE" w:rsidRPr="00EB768C" w:rsidRDefault="009260DE" w:rsidP="009260DE">
      <w:pPr>
        <w:tabs>
          <w:tab w:val="left" w:pos="851"/>
        </w:tabs>
        <w:ind w:left="851" w:hanging="851"/>
        <w:rPr>
          <w:b/>
          <w:sz w:val="24"/>
          <w:szCs w:val="24"/>
        </w:rPr>
      </w:pPr>
      <w:r w:rsidRPr="00EB768C">
        <w:rPr>
          <w:b/>
          <w:sz w:val="24"/>
          <w:szCs w:val="24"/>
        </w:rPr>
        <w:t>4.5</w:t>
      </w:r>
      <w:r w:rsidRPr="00EB768C">
        <w:rPr>
          <w:b/>
          <w:sz w:val="24"/>
          <w:szCs w:val="24"/>
        </w:rPr>
        <w:tab/>
        <w:t>Interaktion med andre lægemidler og andre former for interaktion</w:t>
      </w:r>
    </w:p>
    <w:p w14:paraId="66019F49" w14:textId="77777777" w:rsidR="00A5655F" w:rsidRDefault="00A5655F" w:rsidP="00F65D87">
      <w:pPr>
        <w:ind w:left="851"/>
        <w:rPr>
          <w:sz w:val="24"/>
          <w:szCs w:val="24"/>
        </w:rPr>
      </w:pPr>
    </w:p>
    <w:p w14:paraId="5C125F3A" w14:textId="1630B7A3" w:rsidR="00E4750A" w:rsidRPr="00A5655F" w:rsidRDefault="00E4750A" w:rsidP="00F65D87">
      <w:pPr>
        <w:ind w:left="851"/>
        <w:rPr>
          <w:sz w:val="24"/>
          <w:szCs w:val="24"/>
          <w:u w:val="single"/>
        </w:rPr>
      </w:pPr>
      <w:r w:rsidRPr="00A5655F">
        <w:rPr>
          <w:sz w:val="24"/>
          <w:szCs w:val="24"/>
          <w:u w:val="single"/>
        </w:rPr>
        <w:t>Calciumkanalblokkere</w:t>
      </w:r>
    </w:p>
    <w:p w14:paraId="47DC230A" w14:textId="77777777" w:rsidR="00E4750A" w:rsidRPr="00EB768C" w:rsidRDefault="00E4750A" w:rsidP="00F65D87">
      <w:pPr>
        <w:ind w:left="851"/>
        <w:rPr>
          <w:sz w:val="24"/>
          <w:szCs w:val="24"/>
        </w:rPr>
      </w:pPr>
      <w:r w:rsidRPr="00EB768C">
        <w:rPr>
          <w:sz w:val="24"/>
          <w:szCs w:val="24"/>
        </w:rPr>
        <w:t xml:space="preserve">Samtidig brug af betablokkere og calciumkanalblokkere med negative inotrope effekter, f.eks. </w:t>
      </w:r>
      <w:proofErr w:type="spellStart"/>
      <w:r w:rsidRPr="00EB768C">
        <w:rPr>
          <w:sz w:val="24"/>
          <w:szCs w:val="24"/>
        </w:rPr>
        <w:t>verapamil</w:t>
      </w:r>
      <w:proofErr w:type="spellEnd"/>
      <w:r w:rsidRPr="00EB768C">
        <w:rPr>
          <w:sz w:val="24"/>
          <w:szCs w:val="24"/>
        </w:rPr>
        <w:t xml:space="preserve"> og </w:t>
      </w:r>
      <w:proofErr w:type="spellStart"/>
      <w:r w:rsidRPr="00EB768C">
        <w:rPr>
          <w:sz w:val="24"/>
          <w:szCs w:val="24"/>
        </w:rPr>
        <w:t>diltiazem</w:t>
      </w:r>
      <w:proofErr w:type="spellEnd"/>
      <w:r w:rsidRPr="00EB768C">
        <w:rPr>
          <w:sz w:val="24"/>
          <w:szCs w:val="24"/>
        </w:rPr>
        <w:t xml:space="preserve">, kan føre til en overdrivelse af disse virkninger, især hos patienter med nedsat </w:t>
      </w:r>
      <w:proofErr w:type="spellStart"/>
      <w:r w:rsidRPr="00EB768C">
        <w:rPr>
          <w:sz w:val="24"/>
          <w:szCs w:val="24"/>
        </w:rPr>
        <w:t>ventrikulær</w:t>
      </w:r>
      <w:proofErr w:type="spellEnd"/>
      <w:r w:rsidRPr="00EB768C">
        <w:rPr>
          <w:sz w:val="24"/>
          <w:szCs w:val="24"/>
        </w:rPr>
        <w:t xml:space="preserve"> funktion og/eller abnormiteter i </w:t>
      </w:r>
      <w:proofErr w:type="spellStart"/>
      <w:r w:rsidRPr="00EB768C">
        <w:rPr>
          <w:sz w:val="24"/>
          <w:szCs w:val="24"/>
        </w:rPr>
        <w:t>sinoatrial</w:t>
      </w:r>
      <w:proofErr w:type="spellEnd"/>
      <w:r w:rsidRPr="00EB768C">
        <w:rPr>
          <w:sz w:val="24"/>
          <w:szCs w:val="24"/>
        </w:rPr>
        <w:t xml:space="preserve"> eller </w:t>
      </w:r>
      <w:proofErr w:type="spellStart"/>
      <w:r w:rsidRPr="00EB768C">
        <w:rPr>
          <w:sz w:val="24"/>
          <w:szCs w:val="24"/>
        </w:rPr>
        <w:t>atrioventrikulær</w:t>
      </w:r>
      <w:proofErr w:type="spellEnd"/>
      <w:r w:rsidRPr="00EB768C">
        <w:rPr>
          <w:sz w:val="24"/>
          <w:szCs w:val="24"/>
        </w:rPr>
        <w:t xml:space="preserve"> ledning. Dette kan medføre alvorlig hypotension, bradykardi og hjertesvigt. Hverken betablokkeren eller calciumkanal-blokkeren bør indgives intravenøst inden for 48 timer efter afbrydelse af den anden.</w:t>
      </w:r>
    </w:p>
    <w:p w14:paraId="633910D8" w14:textId="77777777" w:rsidR="00E4750A" w:rsidRPr="00EB768C" w:rsidRDefault="00E4750A" w:rsidP="00F65D87">
      <w:pPr>
        <w:ind w:left="851"/>
        <w:rPr>
          <w:sz w:val="24"/>
          <w:szCs w:val="24"/>
        </w:rPr>
      </w:pPr>
    </w:p>
    <w:p w14:paraId="1F4822FC" w14:textId="77777777" w:rsidR="00E4750A" w:rsidRPr="00A5655F" w:rsidRDefault="00E4750A" w:rsidP="00F65D87">
      <w:pPr>
        <w:ind w:left="851"/>
        <w:rPr>
          <w:sz w:val="24"/>
          <w:szCs w:val="24"/>
          <w:u w:val="single"/>
        </w:rPr>
      </w:pPr>
      <w:proofErr w:type="spellStart"/>
      <w:r w:rsidRPr="00A5655F">
        <w:rPr>
          <w:sz w:val="24"/>
          <w:szCs w:val="24"/>
          <w:u w:val="single"/>
        </w:rPr>
        <w:t>Dihydropyriner</w:t>
      </w:r>
      <w:proofErr w:type="spellEnd"/>
    </w:p>
    <w:p w14:paraId="2D72E255" w14:textId="77777777" w:rsidR="00E4750A" w:rsidRPr="00EB768C" w:rsidRDefault="00E4750A" w:rsidP="00F65D87">
      <w:pPr>
        <w:ind w:left="851"/>
        <w:rPr>
          <w:sz w:val="24"/>
          <w:szCs w:val="24"/>
        </w:rPr>
      </w:pPr>
      <w:r w:rsidRPr="00EB768C">
        <w:rPr>
          <w:sz w:val="24"/>
          <w:szCs w:val="24"/>
        </w:rPr>
        <w:t xml:space="preserve">Samtidig behandling med </w:t>
      </w:r>
      <w:proofErr w:type="spellStart"/>
      <w:r w:rsidRPr="00EB768C">
        <w:rPr>
          <w:sz w:val="24"/>
          <w:szCs w:val="24"/>
        </w:rPr>
        <w:t>dihydropyriner</w:t>
      </w:r>
      <w:proofErr w:type="spellEnd"/>
      <w:r w:rsidRPr="00EB768C">
        <w:rPr>
          <w:sz w:val="24"/>
          <w:szCs w:val="24"/>
        </w:rPr>
        <w:t xml:space="preserve"> (f.eks. </w:t>
      </w:r>
      <w:proofErr w:type="spellStart"/>
      <w:r w:rsidRPr="00EB768C">
        <w:rPr>
          <w:sz w:val="24"/>
          <w:szCs w:val="24"/>
        </w:rPr>
        <w:t>nifedipin</w:t>
      </w:r>
      <w:proofErr w:type="spellEnd"/>
      <w:r w:rsidRPr="00EB768C">
        <w:rPr>
          <w:sz w:val="24"/>
          <w:szCs w:val="24"/>
        </w:rPr>
        <w:t>) kan øge risikoen for hypotension og forårsage hjertesvigt hos patienter med latent hjerteinsufficiens.</w:t>
      </w:r>
    </w:p>
    <w:p w14:paraId="2B61A6FB" w14:textId="0B022B5C" w:rsidR="00602DED" w:rsidRDefault="00602DED">
      <w:pPr>
        <w:rPr>
          <w:sz w:val="24"/>
          <w:szCs w:val="24"/>
        </w:rPr>
      </w:pPr>
      <w:r>
        <w:rPr>
          <w:sz w:val="24"/>
          <w:szCs w:val="24"/>
        </w:rPr>
        <w:br w:type="page"/>
      </w:r>
    </w:p>
    <w:p w14:paraId="6D461261" w14:textId="77777777" w:rsidR="00E4750A" w:rsidRPr="00EB768C" w:rsidRDefault="00E4750A" w:rsidP="00F65D87">
      <w:pPr>
        <w:ind w:left="851"/>
        <w:rPr>
          <w:sz w:val="24"/>
          <w:szCs w:val="24"/>
        </w:rPr>
      </w:pPr>
    </w:p>
    <w:p w14:paraId="5C4FA554" w14:textId="77777777" w:rsidR="00E4750A" w:rsidRPr="00A5655F" w:rsidRDefault="00E4750A" w:rsidP="00F65D87">
      <w:pPr>
        <w:ind w:left="851"/>
        <w:rPr>
          <w:sz w:val="24"/>
          <w:szCs w:val="24"/>
          <w:u w:val="single"/>
        </w:rPr>
      </w:pPr>
      <w:r w:rsidRPr="00A5655F">
        <w:rPr>
          <w:sz w:val="24"/>
          <w:szCs w:val="24"/>
          <w:u w:val="single"/>
        </w:rPr>
        <w:t>Digitalisglykosider</w:t>
      </w:r>
    </w:p>
    <w:p w14:paraId="76865F8E" w14:textId="77777777" w:rsidR="00E4750A" w:rsidRPr="00EB768C" w:rsidRDefault="00E4750A" w:rsidP="00F65D87">
      <w:pPr>
        <w:ind w:left="851"/>
        <w:rPr>
          <w:sz w:val="24"/>
          <w:szCs w:val="24"/>
        </w:rPr>
      </w:pPr>
      <w:r w:rsidRPr="00EB768C">
        <w:rPr>
          <w:sz w:val="24"/>
          <w:szCs w:val="24"/>
        </w:rPr>
        <w:t xml:space="preserve">Digitalisglykosider i kombination med </w:t>
      </w:r>
      <w:proofErr w:type="gramStart"/>
      <w:r w:rsidRPr="00EB768C">
        <w:rPr>
          <w:sz w:val="24"/>
          <w:szCs w:val="24"/>
        </w:rPr>
        <w:t>betablokkere</w:t>
      </w:r>
      <w:proofErr w:type="gramEnd"/>
      <w:r w:rsidRPr="00EB768C">
        <w:rPr>
          <w:sz w:val="24"/>
          <w:szCs w:val="24"/>
        </w:rPr>
        <w:t xml:space="preserve"> kan forlænge den </w:t>
      </w:r>
      <w:proofErr w:type="spellStart"/>
      <w:r w:rsidRPr="00EB768C">
        <w:rPr>
          <w:sz w:val="24"/>
          <w:szCs w:val="24"/>
        </w:rPr>
        <w:t>atrioventrikulære</w:t>
      </w:r>
      <w:proofErr w:type="spellEnd"/>
      <w:r w:rsidRPr="00EB768C">
        <w:rPr>
          <w:sz w:val="24"/>
          <w:szCs w:val="24"/>
        </w:rPr>
        <w:t xml:space="preserve"> ledningstid. Samtidig administration kan forlænge den </w:t>
      </w:r>
      <w:proofErr w:type="spellStart"/>
      <w:r w:rsidRPr="00EB768C">
        <w:rPr>
          <w:sz w:val="24"/>
          <w:szCs w:val="24"/>
        </w:rPr>
        <w:t>atrioventrikulære</w:t>
      </w:r>
      <w:proofErr w:type="spellEnd"/>
      <w:r w:rsidRPr="00EB768C">
        <w:rPr>
          <w:sz w:val="24"/>
          <w:szCs w:val="24"/>
        </w:rPr>
        <w:t xml:space="preserve"> ledningstid og bradykardi.</w:t>
      </w:r>
    </w:p>
    <w:p w14:paraId="1C0CB4D6" w14:textId="77777777" w:rsidR="00E4750A" w:rsidRPr="00EB768C" w:rsidRDefault="00E4750A" w:rsidP="00F65D87">
      <w:pPr>
        <w:ind w:left="851"/>
        <w:rPr>
          <w:sz w:val="24"/>
          <w:szCs w:val="24"/>
        </w:rPr>
      </w:pPr>
    </w:p>
    <w:p w14:paraId="2E823F19" w14:textId="77777777" w:rsidR="00E4750A" w:rsidRPr="00A5655F" w:rsidRDefault="00E4750A" w:rsidP="00F65D87">
      <w:pPr>
        <w:ind w:left="851"/>
        <w:rPr>
          <w:sz w:val="24"/>
          <w:szCs w:val="24"/>
          <w:u w:val="single"/>
        </w:rPr>
      </w:pPr>
      <w:proofErr w:type="spellStart"/>
      <w:r w:rsidRPr="00A5655F">
        <w:rPr>
          <w:sz w:val="24"/>
          <w:szCs w:val="24"/>
          <w:u w:val="single"/>
        </w:rPr>
        <w:t>Clonidin</w:t>
      </w:r>
      <w:proofErr w:type="spellEnd"/>
    </w:p>
    <w:p w14:paraId="55BB7540" w14:textId="77777777" w:rsidR="00E4750A" w:rsidRPr="00EB768C" w:rsidRDefault="00E4750A" w:rsidP="00F65D87">
      <w:pPr>
        <w:ind w:left="851"/>
        <w:rPr>
          <w:sz w:val="24"/>
          <w:szCs w:val="24"/>
        </w:rPr>
      </w:pPr>
      <w:r w:rsidRPr="00EB768C">
        <w:rPr>
          <w:sz w:val="24"/>
          <w:szCs w:val="24"/>
        </w:rPr>
        <w:t xml:space="preserve">Betablokkere kan forværre den </w:t>
      </w:r>
      <w:proofErr w:type="spellStart"/>
      <w:r w:rsidRPr="00EB768C">
        <w:rPr>
          <w:i/>
          <w:iCs/>
          <w:sz w:val="24"/>
          <w:szCs w:val="24"/>
        </w:rPr>
        <w:t>rebound</w:t>
      </w:r>
      <w:proofErr w:type="spellEnd"/>
      <w:r w:rsidRPr="00EB768C">
        <w:rPr>
          <w:i/>
          <w:iCs/>
          <w:sz w:val="24"/>
          <w:szCs w:val="24"/>
        </w:rPr>
        <w:t>-</w:t>
      </w:r>
      <w:r w:rsidRPr="00EB768C">
        <w:rPr>
          <w:sz w:val="24"/>
          <w:szCs w:val="24"/>
        </w:rPr>
        <w:t xml:space="preserve">hypertension, der kan opstå, efter at </w:t>
      </w:r>
      <w:proofErr w:type="spellStart"/>
      <w:r w:rsidRPr="00EB768C">
        <w:rPr>
          <w:sz w:val="24"/>
          <w:szCs w:val="24"/>
        </w:rPr>
        <w:t>clonidin</w:t>
      </w:r>
      <w:proofErr w:type="spellEnd"/>
      <w:r w:rsidRPr="00EB768C">
        <w:rPr>
          <w:sz w:val="24"/>
          <w:szCs w:val="24"/>
        </w:rPr>
        <w:t xml:space="preserve"> er seponeret. Hvis de to lægemidler administreres samtidig, skal betablokkeren seponeres flere dage før afbrydelsen af </w:t>
      </w:r>
      <w:proofErr w:type="spellStart"/>
      <w:r w:rsidRPr="00EB768C">
        <w:rPr>
          <w:sz w:val="24"/>
          <w:szCs w:val="24"/>
        </w:rPr>
        <w:t>clonidin</w:t>
      </w:r>
      <w:proofErr w:type="spellEnd"/>
      <w:r w:rsidRPr="00EB768C">
        <w:rPr>
          <w:sz w:val="24"/>
          <w:szCs w:val="24"/>
        </w:rPr>
        <w:t xml:space="preserve">. Hvis </w:t>
      </w:r>
      <w:proofErr w:type="spellStart"/>
      <w:r w:rsidRPr="00EB768C">
        <w:rPr>
          <w:sz w:val="24"/>
          <w:szCs w:val="24"/>
        </w:rPr>
        <w:t>clonidin</w:t>
      </w:r>
      <w:proofErr w:type="spellEnd"/>
      <w:r w:rsidRPr="00EB768C">
        <w:rPr>
          <w:sz w:val="24"/>
          <w:szCs w:val="24"/>
        </w:rPr>
        <w:t xml:space="preserve"> erstattes af betablokkere, bør indførelsen af betablokkere udskydes med flere dage efter, at administrationen af </w:t>
      </w:r>
      <w:proofErr w:type="spellStart"/>
      <w:r w:rsidRPr="00EB768C">
        <w:rPr>
          <w:sz w:val="24"/>
          <w:szCs w:val="24"/>
        </w:rPr>
        <w:t>klonidin</w:t>
      </w:r>
      <w:proofErr w:type="spellEnd"/>
      <w:r w:rsidRPr="00EB768C">
        <w:rPr>
          <w:sz w:val="24"/>
          <w:szCs w:val="24"/>
        </w:rPr>
        <w:t xml:space="preserve"> er stoppet. Samtidig administration kan forlænge den </w:t>
      </w:r>
      <w:proofErr w:type="spellStart"/>
      <w:r w:rsidRPr="00EB768C">
        <w:rPr>
          <w:sz w:val="24"/>
          <w:szCs w:val="24"/>
        </w:rPr>
        <w:t>atrioventrikulære</w:t>
      </w:r>
      <w:proofErr w:type="spellEnd"/>
      <w:r w:rsidRPr="00EB768C">
        <w:rPr>
          <w:sz w:val="24"/>
          <w:szCs w:val="24"/>
        </w:rPr>
        <w:t xml:space="preserve"> ledningstid og bradykardi.</w:t>
      </w:r>
    </w:p>
    <w:p w14:paraId="138E09EB" w14:textId="77777777" w:rsidR="00E4750A" w:rsidRPr="00EB768C" w:rsidRDefault="00E4750A" w:rsidP="00F65D87">
      <w:pPr>
        <w:ind w:left="851"/>
        <w:rPr>
          <w:sz w:val="24"/>
          <w:szCs w:val="24"/>
        </w:rPr>
      </w:pPr>
    </w:p>
    <w:p w14:paraId="4B1F44E7" w14:textId="77777777" w:rsidR="00E4750A" w:rsidRPr="00A5655F" w:rsidRDefault="00E4750A" w:rsidP="00F65D87">
      <w:pPr>
        <w:ind w:left="851"/>
        <w:rPr>
          <w:sz w:val="24"/>
          <w:szCs w:val="24"/>
          <w:u w:val="single"/>
        </w:rPr>
      </w:pPr>
      <w:r w:rsidRPr="00A5655F">
        <w:rPr>
          <w:sz w:val="24"/>
          <w:szCs w:val="24"/>
          <w:u w:val="single"/>
        </w:rPr>
        <w:t xml:space="preserve">Klasse I </w:t>
      </w:r>
      <w:proofErr w:type="spellStart"/>
      <w:r w:rsidRPr="00A5655F">
        <w:rPr>
          <w:sz w:val="24"/>
          <w:szCs w:val="24"/>
          <w:u w:val="single"/>
        </w:rPr>
        <w:t>antiarytmika</w:t>
      </w:r>
      <w:proofErr w:type="spellEnd"/>
      <w:r w:rsidRPr="00A5655F">
        <w:rPr>
          <w:sz w:val="24"/>
          <w:szCs w:val="24"/>
          <w:u w:val="single"/>
        </w:rPr>
        <w:t xml:space="preserve"> og </w:t>
      </w:r>
      <w:proofErr w:type="spellStart"/>
      <w:r w:rsidRPr="00A5655F">
        <w:rPr>
          <w:sz w:val="24"/>
          <w:szCs w:val="24"/>
          <w:u w:val="single"/>
        </w:rPr>
        <w:t>amiodaron</w:t>
      </w:r>
      <w:proofErr w:type="spellEnd"/>
      <w:r w:rsidRPr="00A5655F">
        <w:rPr>
          <w:sz w:val="24"/>
          <w:szCs w:val="24"/>
          <w:u w:val="single"/>
        </w:rPr>
        <w:t xml:space="preserve"> </w:t>
      </w:r>
    </w:p>
    <w:p w14:paraId="09A3252B" w14:textId="77777777" w:rsidR="00E4750A" w:rsidRPr="00EB768C" w:rsidRDefault="00E4750A" w:rsidP="00F65D87">
      <w:pPr>
        <w:ind w:left="851"/>
        <w:rPr>
          <w:sz w:val="24"/>
          <w:szCs w:val="24"/>
        </w:rPr>
      </w:pPr>
      <w:r w:rsidRPr="00EB768C">
        <w:rPr>
          <w:sz w:val="24"/>
          <w:szCs w:val="24"/>
        </w:rPr>
        <w:t xml:space="preserve">Klasse I </w:t>
      </w:r>
      <w:proofErr w:type="spellStart"/>
      <w:r w:rsidRPr="00EB768C">
        <w:rPr>
          <w:sz w:val="24"/>
          <w:szCs w:val="24"/>
        </w:rPr>
        <w:t>antiarytmika</w:t>
      </w:r>
      <w:proofErr w:type="spellEnd"/>
      <w:r w:rsidRPr="00EB768C">
        <w:rPr>
          <w:sz w:val="24"/>
          <w:szCs w:val="24"/>
        </w:rPr>
        <w:t xml:space="preserve"> (f.eks. </w:t>
      </w:r>
      <w:proofErr w:type="spellStart"/>
      <w:r w:rsidRPr="00EB768C">
        <w:rPr>
          <w:sz w:val="24"/>
          <w:szCs w:val="24"/>
        </w:rPr>
        <w:t>disopyramid</w:t>
      </w:r>
      <w:proofErr w:type="spellEnd"/>
      <w:r w:rsidRPr="00EB768C">
        <w:rPr>
          <w:sz w:val="24"/>
          <w:szCs w:val="24"/>
        </w:rPr>
        <w:t xml:space="preserve">) og </w:t>
      </w:r>
      <w:proofErr w:type="spellStart"/>
      <w:r w:rsidRPr="00EB768C">
        <w:rPr>
          <w:sz w:val="24"/>
          <w:szCs w:val="24"/>
        </w:rPr>
        <w:t>amiodaron</w:t>
      </w:r>
      <w:proofErr w:type="spellEnd"/>
      <w:r w:rsidRPr="00EB768C">
        <w:rPr>
          <w:sz w:val="24"/>
          <w:szCs w:val="24"/>
        </w:rPr>
        <w:t xml:space="preserve"> kan have en forstærkende effekt på </w:t>
      </w:r>
      <w:proofErr w:type="spellStart"/>
      <w:r w:rsidRPr="00EB768C">
        <w:rPr>
          <w:sz w:val="24"/>
          <w:szCs w:val="24"/>
        </w:rPr>
        <w:t>atrial</w:t>
      </w:r>
      <w:proofErr w:type="spellEnd"/>
      <w:r w:rsidRPr="00EB768C">
        <w:rPr>
          <w:sz w:val="24"/>
          <w:szCs w:val="24"/>
        </w:rPr>
        <w:t xml:space="preserve">-ledningstiden og fremkalde en negativ inotrop effekt. Samtidig brug af </w:t>
      </w:r>
      <w:proofErr w:type="spellStart"/>
      <w:r w:rsidRPr="00EB768C">
        <w:rPr>
          <w:sz w:val="24"/>
          <w:szCs w:val="24"/>
        </w:rPr>
        <w:t>sympatomimetiske</w:t>
      </w:r>
      <w:proofErr w:type="spellEnd"/>
      <w:r w:rsidRPr="00EB768C">
        <w:rPr>
          <w:sz w:val="24"/>
          <w:szCs w:val="24"/>
        </w:rPr>
        <w:t xml:space="preserve"> midler, f.eks. adrenalin (</w:t>
      </w:r>
      <w:proofErr w:type="spellStart"/>
      <w:r w:rsidRPr="00EB768C">
        <w:rPr>
          <w:sz w:val="24"/>
          <w:szCs w:val="24"/>
        </w:rPr>
        <w:t>epinephrin</w:t>
      </w:r>
      <w:proofErr w:type="spellEnd"/>
      <w:r w:rsidRPr="00EB768C">
        <w:rPr>
          <w:sz w:val="24"/>
          <w:szCs w:val="24"/>
        </w:rPr>
        <w:t>), noradrenalin (</w:t>
      </w:r>
      <w:proofErr w:type="spellStart"/>
      <w:r w:rsidRPr="00EB768C">
        <w:rPr>
          <w:sz w:val="24"/>
          <w:szCs w:val="24"/>
        </w:rPr>
        <w:t>norepinephrin</w:t>
      </w:r>
      <w:proofErr w:type="spellEnd"/>
      <w:r w:rsidRPr="00EB768C">
        <w:rPr>
          <w:sz w:val="24"/>
          <w:szCs w:val="24"/>
        </w:rPr>
        <w:t>), kan modvirke effekten af betablokkere.</w:t>
      </w:r>
    </w:p>
    <w:p w14:paraId="52D58E87" w14:textId="77777777" w:rsidR="00E4750A" w:rsidRPr="00EB768C" w:rsidRDefault="00E4750A" w:rsidP="00F65D87">
      <w:pPr>
        <w:ind w:left="851"/>
        <w:rPr>
          <w:sz w:val="24"/>
          <w:szCs w:val="24"/>
        </w:rPr>
      </w:pPr>
    </w:p>
    <w:p w14:paraId="65C9BBD0" w14:textId="77777777" w:rsidR="00E4750A" w:rsidRPr="00A5655F" w:rsidRDefault="00E4750A" w:rsidP="00F65D87">
      <w:pPr>
        <w:ind w:left="851"/>
        <w:rPr>
          <w:sz w:val="24"/>
          <w:szCs w:val="24"/>
          <w:u w:val="single"/>
        </w:rPr>
      </w:pPr>
      <w:proofErr w:type="spellStart"/>
      <w:r w:rsidRPr="00A5655F">
        <w:rPr>
          <w:sz w:val="24"/>
          <w:szCs w:val="24"/>
          <w:u w:val="single"/>
        </w:rPr>
        <w:t>Prostaglandinsyntetase-hæmmere</w:t>
      </w:r>
      <w:proofErr w:type="spellEnd"/>
      <w:r w:rsidRPr="00A5655F">
        <w:rPr>
          <w:sz w:val="24"/>
          <w:szCs w:val="24"/>
          <w:u w:val="single"/>
        </w:rPr>
        <w:t xml:space="preserve"> (NSAID)</w:t>
      </w:r>
    </w:p>
    <w:p w14:paraId="0737148D" w14:textId="77777777" w:rsidR="00E4750A" w:rsidRPr="00EB768C" w:rsidRDefault="00E4750A" w:rsidP="00F65D87">
      <w:pPr>
        <w:ind w:left="851"/>
        <w:rPr>
          <w:sz w:val="24"/>
          <w:szCs w:val="24"/>
        </w:rPr>
      </w:pPr>
      <w:r w:rsidRPr="00EB768C">
        <w:rPr>
          <w:sz w:val="24"/>
          <w:szCs w:val="24"/>
        </w:rPr>
        <w:t xml:space="preserve">Samtidig behandling med </w:t>
      </w:r>
      <w:proofErr w:type="spellStart"/>
      <w:r w:rsidRPr="00EB768C">
        <w:rPr>
          <w:sz w:val="24"/>
          <w:szCs w:val="24"/>
        </w:rPr>
        <w:t>prostaglandinsyntetase-hæmmere</w:t>
      </w:r>
      <w:proofErr w:type="spellEnd"/>
      <w:r w:rsidRPr="00EB768C">
        <w:rPr>
          <w:sz w:val="24"/>
          <w:szCs w:val="24"/>
        </w:rPr>
        <w:t xml:space="preserve"> (f.eks. ibuprofen og </w:t>
      </w:r>
      <w:proofErr w:type="spellStart"/>
      <w:r w:rsidRPr="00EB768C">
        <w:rPr>
          <w:sz w:val="24"/>
          <w:szCs w:val="24"/>
        </w:rPr>
        <w:t>indometacin</w:t>
      </w:r>
      <w:proofErr w:type="spellEnd"/>
      <w:r w:rsidRPr="00EB768C">
        <w:rPr>
          <w:sz w:val="24"/>
          <w:szCs w:val="24"/>
        </w:rPr>
        <w:t xml:space="preserve">) kan nedsætte de </w:t>
      </w:r>
      <w:proofErr w:type="spellStart"/>
      <w:r w:rsidRPr="00EB768C">
        <w:rPr>
          <w:sz w:val="24"/>
          <w:szCs w:val="24"/>
        </w:rPr>
        <w:t>hypotensive</w:t>
      </w:r>
      <w:proofErr w:type="spellEnd"/>
      <w:r w:rsidRPr="00EB768C">
        <w:rPr>
          <w:sz w:val="24"/>
          <w:szCs w:val="24"/>
        </w:rPr>
        <w:t xml:space="preserve"> virkninger af betablokkere.</w:t>
      </w:r>
    </w:p>
    <w:p w14:paraId="671C0D9B" w14:textId="77777777" w:rsidR="00E4750A" w:rsidRPr="00EB768C" w:rsidRDefault="00E4750A" w:rsidP="00F65D87">
      <w:pPr>
        <w:ind w:left="851"/>
        <w:rPr>
          <w:sz w:val="24"/>
          <w:szCs w:val="24"/>
        </w:rPr>
      </w:pPr>
    </w:p>
    <w:p w14:paraId="3A42EFD7" w14:textId="77777777" w:rsidR="00E4750A" w:rsidRPr="00A5655F" w:rsidRDefault="00E4750A" w:rsidP="00F65D87">
      <w:pPr>
        <w:ind w:left="851"/>
        <w:rPr>
          <w:sz w:val="24"/>
          <w:szCs w:val="24"/>
          <w:u w:val="single"/>
        </w:rPr>
      </w:pPr>
      <w:proofErr w:type="spellStart"/>
      <w:r w:rsidRPr="00A5655F">
        <w:rPr>
          <w:sz w:val="24"/>
          <w:szCs w:val="24"/>
          <w:u w:val="single"/>
        </w:rPr>
        <w:t>Anæstetika</w:t>
      </w:r>
      <w:proofErr w:type="spellEnd"/>
    </w:p>
    <w:p w14:paraId="34F7E09A" w14:textId="77777777" w:rsidR="00E4750A" w:rsidRPr="00EB768C" w:rsidRDefault="00E4750A" w:rsidP="00F65D87">
      <w:pPr>
        <w:ind w:left="851"/>
        <w:rPr>
          <w:sz w:val="24"/>
          <w:szCs w:val="24"/>
        </w:rPr>
      </w:pPr>
      <w:r w:rsidRPr="00EB768C">
        <w:rPr>
          <w:sz w:val="24"/>
          <w:szCs w:val="24"/>
        </w:rPr>
        <w:t xml:space="preserve">Der skal udvises forsigtighed ved samtidig behandling med </w:t>
      </w:r>
      <w:proofErr w:type="spellStart"/>
      <w:r w:rsidRPr="00EB768C">
        <w:rPr>
          <w:sz w:val="24"/>
          <w:szCs w:val="24"/>
        </w:rPr>
        <w:t>anæstetika</w:t>
      </w:r>
      <w:proofErr w:type="spellEnd"/>
      <w:r w:rsidRPr="00EB768C">
        <w:rPr>
          <w:sz w:val="24"/>
          <w:szCs w:val="24"/>
        </w:rPr>
        <w:t xml:space="preserve">. Anæstesiologen bør informeres, og der bør anvendes et </w:t>
      </w:r>
      <w:proofErr w:type="spellStart"/>
      <w:r w:rsidRPr="00EB768C">
        <w:rPr>
          <w:sz w:val="24"/>
          <w:szCs w:val="24"/>
        </w:rPr>
        <w:t>anæstetika</w:t>
      </w:r>
      <w:proofErr w:type="spellEnd"/>
      <w:r w:rsidRPr="00EB768C">
        <w:rPr>
          <w:sz w:val="24"/>
          <w:szCs w:val="24"/>
        </w:rPr>
        <w:t xml:space="preserve"> med en så svag negativ inotrop virkning som muligt. Brug af betablokkere og </w:t>
      </w:r>
      <w:proofErr w:type="spellStart"/>
      <w:r w:rsidRPr="00EB768C">
        <w:rPr>
          <w:sz w:val="24"/>
          <w:szCs w:val="24"/>
        </w:rPr>
        <w:t>anæstetika</w:t>
      </w:r>
      <w:proofErr w:type="spellEnd"/>
      <w:r w:rsidRPr="00EB768C">
        <w:rPr>
          <w:sz w:val="24"/>
          <w:szCs w:val="24"/>
        </w:rPr>
        <w:t xml:space="preserve"> kan medføre en dæmpet </w:t>
      </w:r>
      <w:proofErr w:type="spellStart"/>
      <w:r w:rsidRPr="00EB768C">
        <w:rPr>
          <w:sz w:val="24"/>
          <w:szCs w:val="24"/>
        </w:rPr>
        <w:t>reflekstakykardi</w:t>
      </w:r>
      <w:proofErr w:type="spellEnd"/>
      <w:r w:rsidRPr="00EB768C">
        <w:rPr>
          <w:sz w:val="24"/>
          <w:szCs w:val="24"/>
        </w:rPr>
        <w:t xml:space="preserve"> og øge risikoen for hypotension. </w:t>
      </w:r>
      <w:proofErr w:type="spellStart"/>
      <w:r w:rsidRPr="00EB768C">
        <w:rPr>
          <w:sz w:val="24"/>
          <w:szCs w:val="24"/>
        </w:rPr>
        <w:t>Anæstetika</w:t>
      </w:r>
      <w:proofErr w:type="spellEnd"/>
      <w:r w:rsidRPr="00EB768C">
        <w:rPr>
          <w:sz w:val="24"/>
          <w:szCs w:val="24"/>
        </w:rPr>
        <w:t xml:space="preserve">, der forårsager </w:t>
      </w:r>
      <w:proofErr w:type="spellStart"/>
      <w:r w:rsidRPr="00EB768C">
        <w:rPr>
          <w:sz w:val="24"/>
          <w:szCs w:val="24"/>
        </w:rPr>
        <w:t>myokardiedepression</w:t>
      </w:r>
      <w:proofErr w:type="spellEnd"/>
      <w:r w:rsidRPr="00EB768C">
        <w:rPr>
          <w:sz w:val="24"/>
          <w:szCs w:val="24"/>
        </w:rPr>
        <w:t xml:space="preserve">, bør undgås. </w:t>
      </w:r>
    </w:p>
    <w:p w14:paraId="24703117" w14:textId="77777777" w:rsidR="00E4750A" w:rsidRPr="00EB768C" w:rsidRDefault="00E4750A" w:rsidP="00F65D87">
      <w:pPr>
        <w:ind w:left="851"/>
        <w:rPr>
          <w:sz w:val="24"/>
          <w:szCs w:val="24"/>
        </w:rPr>
      </w:pPr>
    </w:p>
    <w:p w14:paraId="7F17FB38" w14:textId="77777777" w:rsidR="00E4750A" w:rsidRPr="00A5655F" w:rsidRDefault="00E4750A" w:rsidP="00F65D87">
      <w:pPr>
        <w:ind w:left="851"/>
        <w:rPr>
          <w:sz w:val="24"/>
          <w:szCs w:val="24"/>
          <w:u w:val="single"/>
        </w:rPr>
      </w:pPr>
      <w:r w:rsidRPr="00A5655F">
        <w:rPr>
          <w:sz w:val="24"/>
          <w:szCs w:val="24"/>
          <w:u w:val="single"/>
        </w:rPr>
        <w:t>Jodholdige kontrastmidler</w:t>
      </w:r>
    </w:p>
    <w:p w14:paraId="560D9891" w14:textId="77777777" w:rsidR="00E4750A" w:rsidRPr="00EB768C" w:rsidRDefault="00E4750A" w:rsidP="00F65D87">
      <w:pPr>
        <w:ind w:left="851"/>
        <w:rPr>
          <w:sz w:val="24"/>
          <w:szCs w:val="24"/>
        </w:rPr>
      </w:pPr>
      <w:proofErr w:type="spellStart"/>
      <w:r w:rsidRPr="00EB768C">
        <w:rPr>
          <w:sz w:val="24"/>
          <w:szCs w:val="24"/>
        </w:rPr>
        <w:t>Atenolol</w:t>
      </w:r>
      <w:proofErr w:type="spellEnd"/>
      <w:r w:rsidRPr="00EB768C">
        <w:rPr>
          <w:sz w:val="24"/>
          <w:szCs w:val="24"/>
        </w:rPr>
        <w:t xml:space="preserve"> kan hæmme de kompenserende </w:t>
      </w:r>
      <w:proofErr w:type="spellStart"/>
      <w:r w:rsidRPr="00EB768C">
        <w:rPr>
          <w:sz w:val="24"/>
          <w:szCs w:val="24"/>
        </w:rPr>
        <w:t>kardiovaskulære</w:t>
      </w:r>
      <w:proofErr w:type="spellEnd"/>
      <w:r w:rsidRPr="00EB768C">
        <w:rPr>
          <w:sz w:val="24"/>
          <w:szCs w:val="24"/>
        </w:rPr>
        <w:t xml:space="preserve"> reaktioner, der er forbundet med hypotension eller chok, som er induceret af jodholdige kontrastmidler. Betablokkere er generelt blevet forbundet med hypotension eller chok, som er induceret af jodholdige kontrastmidler.</w:t>
      </w:r>
    </w:p>
    <w:p w14:paraId="62A2CB04" w14:textId="77777777" w:rsidR="00E4750A" w:rsidRPr="00EB768C" w:rsidRDefault="00E4750A" w:rsidP="00F65D87">
      <w:pPr>
        <w:ind w:left="851"/>
        <w:rPr>
          <w:sz w:val="24"/>
          <w:szCs w:val="24"/>
        </w:rPr>
      </w:pPr>
    </w:p>
    <w:p w14:paraId="1A533837" w14:textId="77777777" w:rsidR="00E4750A" w:rsidRPr="00A5655F" w:rsidRDefault="00E4750A" w:rsidP="00F65D87">
      <w:pPr>
        <w:ind w:left="851"/>
        <w:rPr>
          <w:sz w:val="24"/>
          <w:szCs w:val="24"/>
          <w:u w:val="single"/>
        </w:rPr>
      </w:pPr>
      <w:r w:rsidRPr="00A5655F">
        <w:rPr>
          <w:sz w:val="24"/>
          <w:szCs w:val="24"/>
          <w:u w:val="single"/>
        </w:rPr>
        <w:t xml:space="preserve">Insulin og orale </w:t>
      </w:r>
      <w:proofErr w:type="spellStart"/>
      <w:r w:rsidRPr="00A5655F">
        <w:rPr>
          <w:sz w:val="24"/>
          <w:szCs w:val="24"/>
          <w:u w:val="single"/>
        </w:rPr>
        <w:t>antidiabetika</w:t>
      </w:r>
      <w:proofErr w:type="spellEnd"/>
    </w:p>
    <w:p w14:paraId="05A04EB4" w14:textId="77777777" w:rsidR="00E4750A" w:rsidRPr="00EB768C" w:rsidRDefault="00E4750A" w:rsidP="00F65D87">
      <w:pPr>
        <w:ind w:left="851"/>
        <w:rPr>
          <w:sz w:val="24"/>
          <w:szCs w:val="24"/>
        </w:rPr>
      </w:pPr>
      <w:r w:rsidRPr="00EB768C">
        <w:rPr>
          <w:sz w:val="24"/>
          <w:szCs w:val="24"/>
        </w:rPr>
        <w:t xml:space="preserve">Samtidig brug med insulin og orale </w:t>
      </w:r>
      <w:proofErr w:type="spellStart"/>
      <w:r w:rsidRPr="00EB768C">
        <w:rPr>
          <w:sz w:val="24"/>
          <w:szCs w:val="24"/>
        </w:rPr>
        <w:t>antidiabetika</w:t>
      </w:r>
      <w:proofErr w:type="spellEnd"/>
      <w:r w:rsidRPr="00EB768C">
        <w:rPr>
          <w:sz w:val="24"/>
          <w:szCs w:val="24"/>
        </w:rPr>
        <w:t xml:space="preserve"> kan medføre en forstærkning af disse lægemidlers blodsukkerreducerende virkning. Symptomerne på hypoglykæmi, især </w:t>
      </w:r>
      <w:proofErr w:type="spellStart"/>
      <w:r w:rsidRPr="00EB768C">
        <w:rPr>
          <w:sz w:val="24"/>
          <w:szCs w:val="24"/>
        </w:rPr>
        <w:t>takykardi</w:t>
      </w:r>
      <w:proofErr w:type="spellEnd"/>
      <w:r w:rsidRPr="00EB768C">
        <w:rPr>
          <w:sz w:val="24"/>
          <w:szCs w:val="24"/>
        </w:rPr>
        <w:t xml:space="preserve"> og </w:t>
      </w:r>
      <w:proofErr w:type="spellStart"/>
      <w:r w:rsidRPr="00EB768C">
        <w:rPr>
          <w:sz w:val="24"/>
          <w:szCs w:val="24"/>
        </w:rPr>
        <w:t>tremor</w:t>
      </w:r>
      <w:proofErr w:type="spellEnd"/>
      <w:r w:rsidRPr="00EB768C">
        <w:rPr>
          <w:sz w:val="24"/>
          <w:szCs w:val="24"/>
        </w:rPr>
        <w:t>, kan maskeres eller formindskes (se pkt. 4.4).</w:t>
      </w:r>
    </w:p>
    <w:p w14:paraId="71F8161F" w14:textId="77777777" w:rsidR="00E4750A" w:rsidRPr="00EB768C" w:rsidRDefault="00E4750A" w:rsidP="00F65D87">
      <w:pPr>
        <w:ind w:left="851"/>
        <w:rPr>
          <w:sz w:val="24"/>
          <w:szCs w:val="24"/>
        </w:rPr>
      </w:pPr>
    </w:p>
    <w:p w14:paraId="55758F15" w14:textId="77777777" w:rsidR="00E4750A" w:rsidRPr="00A5655F" w:rsidRDefault="00E4750A" w:rsidP="00F65D87">
      <w:pPr>
        <w:ind w:left="851"/>
        <w:rPr>
          <w:bCs/>
          <w:sz w:val="24"/>
          <w:szCs w:val="24"/>
          <w:u w:val="single"/>
        </w:rPr>
      </w:pPr>
      <w:proofErr w:type="spellStart"/>
      <w:r w:rsidRPr="00A5655F">
        <w:rPr>
          <w:bCs/>
          <w:sz w:val="24"/>
          <w:szCs w:val="24"/>
          <w:u w:val="single"/>
        </w:rPr>
        <w:t>Baclofen</w:t>
      </w:r>
      <w:proofErr w:type="spellEnd"/>
    </w:p>
    <w:p w14:paraId="19FF0128" w14:textId="77777777" w:rsidR="00E4750A" w:rsidRPr="00EB768C" w:rsidRDefault="00E4750A" w:rsidP="00F65D87">
      <w:pPr>
        <w:ind w:left="851"/>
        <w:rPr>
          <w:sz w:val="24"/>
          <w:szCs w:val="24"/>
        </w:rPr>
      </w:pPr>
      <w:r w:rsidRPr="00EB768C">
        <w:rPr>
          <w:sz w:val="24"/>
          <w:szCs w:val="24"/>
        </w:rPr>
        <w:t xml:space="preserve">Samtidig brug af </w:t>
      </w:r>
      <w:proofErr w:type="spellStart"/>
      <w:r w:rsidRPr="00EB768C">
        <w:rPr>
          <w:sz w:val="24"/>
          <w:szCs w:val="24"/>
        </w:rPr>
        <w:t>baclofen</w:t>
      </w:r>
      <w:proofErr w:type="spellEnd"/>
      <w:r w:rsidRPr="00EB768C">
        <w:rPr>
          <w:sz w:val="24"/>
          <w:szCs w:val="24"/>
        </w:rPr>
        <w:t xml:space="preserve"> kan forøge den </w:t>
      </w:r>
      <w:proofErr w:type="spellStart"/>
      <w:r w:rsidRPr="00EB768C">
        <w:rPr>
          <w:sz w:val="24"/>
          <w:szCs w:val="24"/>
        </w:rPr>
        <w:t>antihypertensive</w:t>
      </w:r>
      <w:proofErr w:type="spellEnd"/>
      <w:r w:rsidRPr="00EB768C">
        <w:rPr>
          <w:sz w:val="24"/>
          <w:szCs w:val="24"/>
        </w:rPr>
        <w:t xml:space="preserve"> effekt, hvilket gør dosisjusteringer nødvendige. </w:t>
      </w:r>
    </w:p>
    <w:p w14:paraId="66DC1DEA" w14:textId="77777777" w:rsidR="00E4750A" w:rsidRPr="00EB768C" w:rsidRDefault="00E4750A" w:rsidP="00F65D87">
      <w:pPr>
        <w:ind w:left="851"/>
        <w:rPr>
          <w:sz w:val="24"/>
          <w:szCs w:val="24"/>
        </w:rPr>
      </w:pPr>
    </w:p>
    <w:p w14:paraId="257497AA" w14:textId="77777777" w:rsidR="00E4750A" w:rsidRPr="00EB768C" w:rsidRDefault="00E4750A" w:rsidP="00F65D87">
      <w:pPr>
        <w:ind w:left="851"/>
        <w:rPr>
          <w:sz w:val="24"/>
          <w:szCs w:val="24"/>
        </w:rPr>
      </w:pPr>
      <w:r w:rsidRPr="00EB768C">
        <w:rPr>
          <w:sz w:val="24"/>
          <w:szCs w:val="24"/>
        </w:rPr>
        <w:t xml:space="preserve">Tricykliske </w:t>
      </w:r>
      <w:proofErr w:type="spellStart"/>
      <w:r w:rsidRPr="00EB768C">
        <w:rPr>
          <w:sz w:val="24"/>
          <w:szCs w:val="24"/>
        </w:rPr>
        <w:t>antidepressiva</w:t>
      </w:r>
      <w:proofErr w:type="spellEnd"/>
      <w:r w:rsidRPr="00EB768C">
        <w:rPr>
          <w:sz w:val="24"/>
          <w:szCs w:val="24"/>
        </w:rPr>
        <w:t xml:space="preserve">, barbiturater og </w:t>
      </w:r>
      <w:proofErr w:type="spellStart"/>
      <w:r w:rsidRPr="00EB768C">
        <w:rPr>
          <w:sz w:val="24"/>
          <w:szCs w:val="24"/>
        </w:rPr>
        <w:t>fenothiaziner</w:t>
      </w:r>
      <w:proofErr w:type="spellEnd"/>
      <w:r w:rsidRPr="00EB768C">
        <w:rPr>
          <w:sz w:val="24"/>
          <w:szCs w:val="24"/>
        </w:rPr>
        <w:t xml:space="preserve"> samt andre </w:t>
      </w:r>
      <w:proofErr w:type="spellStart"/>
      <w:r w:rsidRPr="00EB768C">
        <w:rPr>
          <w:sz w:val="24"/>
          <w:szCs w:val="24"/>
        </w:rPr>
        <w:t>antihypertensiva</w:t>
      </w:r>
      <w:proofErr w:type="spellEnd"/>
      <w:r w:rsidRPr="00EB768C">
        <w:rPr>
          <w:sz w:val="24"/>
          <w:szCs w:val="24"/>
        </w:rPr>
        <w:t xml:space="preserve"> </w:t>
      </w:r>
    </w:p>
    <w:p w14:paraId="04EB1FB1" w14:textId="77777777" w:rsidR="00E4750A" w:rsidRPr="00EB768C" w:rsidRDefault="00E4750A" w:rsidP="00F65D87">
      <w:pPr>
        <w:ind w:left="851"/>
        <w:rPr>
          <w:sz w:val="24"/>
          <w:szCs w:val="24"/>
        </w:rPr>
      </w:pPr>
      <w:r w:rsidRPr="00EB768C">
        <w:rPr>
          <w:sz w:val="24"/>
          <w:szCs w:val="24"/>
        </w:rPr>
        <w:t>Samtidig administration kan øge den blodtrykssænkende effekt.</w:t>
      </w:r>
    </w:p>
    <w:p w14:paraId="4B2B6EFD" w14:textId="343C08A7" w:rsidR="00602DED" w:rsidRDefault="00602DED">
      <w:pPr>
        <w:rPr>
          <w:sz w:val="24"/>
          <w:szCs w:val="24"/>
        </w:rPr>
      </w:pPr>
      <w:r>
        <w:rPr>
          <w:sz w:val="24"/>
          <w:szCs w:val="24"/>
        </w:rPr>
        <w:br w:type="page"/>
      </w:r>
    </w:p>
    <w:p w14:paraId="7E24BA6B" w14:textId="77777777" w:rsidR="00E4750A" w:rsidRPr="00EB768C" w:rsidRDefault="00E4750A" w:rsidP="00F65D87">
      <w:pPr>
        <w:ind w:left="851"/>
        <w:rPr>
          <w:sz w:val="24"/>
          <w:szCs w:val="24"/>
        </w:rPr>
      </w:pPr>
    </w:p>
    <w:p w14:paraId="5C4DC7C2" w14:textId="77777777" w:rsidR="00E4750A" w:rsidRPr="00A5655F" w:rsidRDefault="00E4750A" w:rsidP="00F65D87">
      <w:pPr>
        <w:ind w:left="851"/>
        <w:rPr>
          <w:sz w:val="24"/>
          <w:szCs w:val="24"/>
          <w:u w:val="single"/>
        </w:rPr>
      </w:pPr>
      <w:proofErr w:type="spellStart"/>
      <w:r w:rsidRPr="00A5655F">
        <w:rPr>
          <w:sz w:val="24"/>
          <w:szCs w:val="24"/>
          <w:u w:val="single"/>
        </w:rPr>
        <w:t>Monoaminoxidase-hæmmere</w:t>
      </w:r>
      <w:proofErr w:type="spellEnd"/>
    </w:p>
    <w:p w14:paraId="2EF5543D" w14:textId="77777777" w:rsidR="00E4750A" w:rsidRPr="00EB768C" w:rsidRDefault="00E4750A" w:rsidP="00F65D87">
      <w:pPr>
        <w:ind w:left="851"/>
        <w:rPr>
          <w:sz w:val="24"/>
          <w:szCs w:val="24"/>
        </w:rPr>
      </w:pPr>
      <w:r w:rsidRPr="00EB768C">
        <w:rPr>
          <w:sz w:val="24"/>
          <w:szCs w:val="24"/>
        </w:rPr>
        <w:t xml:space="preserve">Samtidig administration af </w:t>
      </w:r>
      <w:proofErr w:type="spellStart"/>
      <w:r w:rsidRPr="00EB768C">
        <w:rPr>
          <w:sz w:val="24"/>
          <w:szCs w:val="24"/>
        </w:rPr>
        <w:t>atenolol</w:t>
      </w:r>
      <w:proofErr w:type="spellEnd"/>
      <w:r w:rsidRPr="00EB768C">
        <w:rPr>
          <w:sz w:val="24"/>
          <w:szCs w:val="24"/>
        </w:rPr>
        <w:t xml:space="preserve"> med </w:t>
      </w:r>
      <w:proofErr w:type="spellStart"/>
      <w:r w:rsidRPr="00EB768C">
        <w:rPr>
          <w:sz w:val="24"/>
          <w:szCs w:val="24"/>
        </w:rPr>
        <w:t>monoaminoxidase-hæmmere</w:t>
      </w:r>
      <w:proofErr w:type="spellEnd"/>
      <w:r w:rsidRPr="00EB768C">
        <w:rPr>
          <w:sz w:val="24"/>
          <w:szCs w:val="24"/>
        </w:rPr>
        <w:t xml:space="preserve"> (undtagen MAO-B-</w:t>
      </w:r>
      <w:proofErr w:type="spellStart"/>
      <w:r w:rsidRPr="00EB768C">
        <w:rPr>
          <w:sz w:val="24"/>
          <w:szCs w:val="24"/>
        </w:rPr>
        <w:t>hæmmere</w:t>
      </w:r>
      <w:proofErr w:type="spellEnd"/>
      <w:r w:rsidRPr="00EB768C">
        <w:rPr>
          <w:sz w:val="24"/>
          <w:szCs w:val="24"/>
        </w:rPr>
        <w:t xml:space="preserve">) anbefales ikke, da det fører til en øget </w:t>
      </w:r>
      <w:proofErr w:type="spellStart"/>
      <w:r w:rsidRPr="00EB768C">
        <w:rPr>
          <w:sz w:val="24"/>
          <w:szCs w:val="24"/>
        </w:rPr>
        <w:t>hypotensiv</w:t>
      </w:r>
      <w:proofErr w:type="spellEnd"/>
      <w:r w:rsidRPr="00EB768C">
        <w:rPr>
          <w:sz w:val="24"/>
          <w:szCs w:val="24"/>
        </w:rPr>
        <w:t xml:space="preserve"> effekt af betablokkeren, men der er også en øget risiko for en </w:t>
      </w:r>
      <w:proofErr w:type="spellStart"/>
      <w:r w:rsidRPr="00EB768C">
        <w:rPr>
          <w:sz w:val="24"/>
          <w:szCs w:val="24"/>
        </w:rPr>
        <w:t>hypertensiv</w:t>
      </w:r>
      <w:proofErr w:type="spellEnd"/>
      <w:r w:rsidRPr="00EB768C">
        <w:rPr>
          <w:sz w:val="24"/>
          <w:szCs w:val="24"/>
        </w:rPr>
        <w:t xml:space="preserve"> krise forårsaget af MAO-</w:t>
      </w:r>
      <w:proofErr w:type="spellStart"/>
      <w:r w:rsidRPr="00EB768C">
        <w:rPr>
          <w:sz w:val="24"/>
          <w:szCs w:val="24"/>
        </w:rPr>
        <w:t>hæmmeren</w:t>
      </w:r>
      <w:proofErr w:type="spellEnd"/>
      <w:r w:rsidRPr="00EB768C">
        <w:rPr>
          <w:sz w:val="24"/>
          <w:szCs w:val="24"/>
        </w:rPr>
        <w:t>.</w:t>
      </w:r>
    </w:p>
    <w:p w14:paraId="14AD7E2E" w14:textId="77777777" w:rsidR="00E4750A" w:rsidRPr="00EB768C" w:rsidRDefault="00E4750A" w:rsidP="00F65D87">
      <w:pPr>
        <w:ind w:left="851"/>
        <w:rPr>
          <w:sz w:val="24"/>
          <w:szCs w:val="24"/>
        </w:rPr>
      </w:pPr>
    </w:p>
    <w:p w14:paraId="5ECE7244" w14:textId="77777777" w:rsidR="00E4750A" w:rsidRPr="00A5655F" w:rsidRDefault="00E4750A" w:rsidP="00F65D87">
      <w:pPr>
        <w:ind w:left="851"/>
        <w:rPr>
          <w:sz w:val="24"/>
          <w:szCs w:val="24"/>
          <w:u w:val="single"/>
        </w:rPr>
      </w:pPr>
      <w:proofErr w:type="spellStart"/>
      <w:r w:rsidRPr="00A5655F">
        <w:rPr>
          <w:sz w:val="24"/>
          <w:szCs w:val="24"/>
          <w:u w:val="single"/>
        </w:rPr>
        <w:t>Sultoprid</w:t>
      </w:r>
      <w:proofErr w:type="spellEnd"/>
    </w:p>
    <w:p w14:paraId="31028674" w14:textId="77777777" w:rsidR="00E4750A" w:rsidRPr="00EB768C" w:rsidRDefault="00E4750A" w:rsidP="00F65D87">
      <w:pPr>
        <w:ind w:left="851"/>
        <w:rPr>
          <w:sz w:val="24"/>
          <w:szCs w:val="24"/>
        </w:rPr>
      </w:pPr>
      <w:proofErr w:type="spellStart"/>
      <w:r w:rsidRPr="00EB768C">
        <w:rPr>
          <w:sz w:val="24"/>
          <w:szCs w:val="24"/>
        </w:rPr>
        <w:t>Atenolol</w:t>
      </w:r>
      <w:proofErr w:type="spellEnd"/>
      <w:r w:rsidRPr="00EB768C">
        <w:rPr>
          <w:sz w:val="24"/>
          <w:szCs w:val="24"/>
        </w:rPr>
        <w:t xml:space="preserve"> bør ikke gives samtidig med </w:t>
      </w:r>
      <w:proofErr w:type="spellStart"/>
      <w:r w:rsidRPr="00EB768C">
        <w:rPr>
          <w:sz w:val="24"/>
          <w:szCs w:val="24"/>
        </w:rPr>
        <w:t>sultoprid</w:t>
      </w:r>
      <w:proofErr w:type="spellEnd"/>
      <w:r w:rsidRPr="00EB768C">
        <w:rPr>
          <w:sz w:val="24"/>
          <w:szCs w:val="24"/>
        </w:rPr>
        <w:t xml:space="preserve">, da der er en øget risiko for </w:t>
      </w:r>
      <w:proofErr w:type="spellStart"/>
      <w:r w:rsidRPr="00EB768C">
        <w:rPr>
          <w:sz w:val="24"/>
          <w:szCs w:val="24"/>
        </w:rPr>
        <w:t>ventrikulære</w:t>
      </w:r>
      <w:proofErr w:type="spellEnd"/>
      <w:r w:rsidRPr="00EB768C">
        <w:rPr>
          <w:sz w:val="24"/>
          <w:szCs w:val="24"/>
        </w:rPr>
        <w:t xml:space="preserve"> </w:t>
      </w:r>
      <w:proofErr w:type="spellStart"/>
      <w:r w:rsidRPr="00EB768C">
        <w:rPr>
          <w:sz w:val="24"/>
          <w:szCs w:val="24"/>
        </w:rPr>
        <w:t>arytmier</w:t>
      </w:r>
      <w:proofErr w:type="spellEnd"/>
      <w:r w:rsidRPr="00EB768C">
        <w:rPr>
          <w:sz w:val="24"/>
          <w:szCs w:val="24"/>
        </w:rPr>
        <w:t xml:space="preserve">, f.eks. </w:t>
      </w:r>
      <w:proofErr w:type="spellStart"/>
      <w:r w:rsidRPr="00EB768C">
        <w:rPr>
          <w:sz w:val="24"/>
          <w:szCs w:val="24"/>
        </w:rPr>
        <w:t>torsades</w:t>
      </w:r>
      <w:proofErr w:type="spellEnd"/>
      <w:r w:rsidRPr="00EB768C">
        <w:rPr>
          <w:sz w:val="24"/>
          <w:szCs w:val="24"/>
        </w:rPr>
        <w:t xml:space="preserve"> de pointes.</w:t>
      </w:r>
    </w:p>
    <w:p w14:paraId="48ECCB42" w14:textId="77777777" w:rsidR="00E4750A" w:rsidRPr="00EB768C" w:rsidRDefault="00E4750A" w:rsidP="00F65D87">
      <w:pPr>
        <w:ind w:left="851"/>
        <w:rPr>
          <w:sz w:val="24"/>
          <w:szCs w:val="24"/>
        </w:rPr>
      </w:pPr>
    </w:p>
    <w:p w14:paraId="3F3E88E1" w14:textId="77777777" w:rsidR="00E4750A" w:rsidRPr="00A5655F" w:rsidRDefault="00E4750A" w:rsidP="00F65D87">
      <w:pPr>
        <w:ind w:left="851"/>
        <w:rPr>
          <w:bCs/>
          <w:sz w:val="24"/>
          <w:szCs w:val="24"/>
          <w:u w:val="single"/>
        </w:rPr>
      </w:pPr>
      <w:proofErr w:type="spellStart"/>
      <w:r w:rsidRPr="00A5655F">
        <w:rPr>
          <w:bCs/>
          <w:sz w:val="24"/>
          <w:szCs w:val="24"/>
          <w:u w:val="single"/>
        </w:rPr>
        <w:t>Ampicillin</w:t>
      </w:r>
      <w:proofErr w:type="spellEnd"/>
    </w:p>
    <w:p w14:paraId="5D15FAC6" w14:textId="77777777" w:rsidR="00E4750A" w:rsidRPr="00EB768C" w:rsidRDefault="00E4750A" w:rsidP="00F65D87">
      <w:pPr>
        <w:ind w:left="851"/>
        <w:rPr>
          <w:sz w:val="24"/>
          <w:szCs w:val="24"/>
        </w:rPr>
      </w:pPr>
      <w:r w:rsidRPr="00EB768C">
        <w:rPr>
          <w:sz w:val="24"/>
          <w:szCs w:val="24"/>
        </w:rPr>
        <w:t xml:space="preserve">Kan reducere </w:t>
      </w:r>
      <w:proofErr w:type="spellStart"/>
      <w:r w:rsidRPr="00EB768C">
        <w:rPr>
          <w:sz w:val="24"/>
          <w:szCs w:val="24"/>
        </w:rPr>
        <w:t>atenolols</w:t>
      </w:r>
      <w:proofErr w:type="spellEnd"/>
      <w:r w:rsidRPr="00EB768C">
        <w:rPr>
          <w:sz w:val="24"/>
          <w:szCs w:val="24"/>
        </w:rPr>
        <w:t xml:space="preserve"> biotilgængelighed. Derfor bør lægen være opmærksom på tegn på ændret </w:t>
      </w:r>
      <w:proofErr w:type="spellStart"/>
      <w:r w:rsidRPr="00EB768C">
        <w:rPr>
          <w:sz w:val="24"/>
          <w:szCs w:val="24"/>
        </w:rPr>
        <w:t>atenolol</w:t>
      </w:r>
      <w:proofErr w:type="spellEnd"/>
      <w:r w:rsidRPr="00EB768C">
        <w:rPr>
          <w:sz w:val="24"/>
          <w:szCs w:val="24"/>
        </w:rPr>
        <w:t xml:space="preserve">-respons, især når store doser </w:t>
      </w:r>
      <w:proofErr w:type="spellStart"/>
      <w:r w:rsidRPr="00EB768C">
        <w:rPr>
          <w:sz w:val="24"/>
          <w:szCs w:val="24"/>
        </w:rPr>
        <w:t>ampicillin</w:t>
      </w:r>
      <w:proofErr w:type="spellEnd"/>
      <w:r w:rsidRPr="00EB768C">
        <w:rPr>
          <w:sz w:val="24"/>
          <w:szCs w:val="24"/>
        </w:rPr>
        <w:t xml:space="preserve"> administreres samtidig.</w:t>
      </w:r>
    </w:p>
    <w:p w14:paraId="2F42725F" w14:textId="77777777" w:rsidR="00E4750A" w:rsidRPr="00EB768C" w:rsidRDefault="00E4750A" w:rsidP="00F65D87">
      <w:pPr>
        <w:ind w:left="851"/>
        <w:rPr>
          <w:sz w:val="24"/>
          <w:szCs w:val="24"/>
        </w:rPr>
      </w:pPr>
    </w:p>
    <w:p w14:paraId="232A6454" w14:textId="77777777" w:rsidR="00E4750A" w:rsidRPr="00A5655F" w:rsidRDefault="00E4750A" w:rsidP="00F65D87">
      <w:pPr>
        <w:ind w:left="851"/>
        <w:rPr>
          <w:sz w:val="24"/>
          <w:szCs w:val="24"/>
          <w:u w:val="single"/>
        </w:rPr>
      </w:pPr>
      <w:proofErr w:type="spellStart"/>
      <w:r w:rsidRPr="00A5655F">
        <w:rPr>
          <w:sz w:val="24"/>
          <w:szCs w:val="24"/>
          <w:u w:val="single"/>
        </w:rPr>
        <w:t>Ophtalmiske</w:t>
      </w:r>
      <w:proofErr w:type="spellEnd"/>
      <w:r w:rsidRPr="00A5655F">
        <w:rPr>
          <w:sz w:val="24"/>
          <w:szCs w:val="24"/>
          <w:u w:val="single"/>
        </w:rPr>
        <w:t xml:space="preserve"> betablokkere</w:t>
      </w:r>
    </w:p>
    <w:p w14:paraId="2C57BEBD" w14:textId="77777777" w:rsidR="00E4750A" w:rsidRPr="00EB768C" w:rsidRDefault="00E4750A" w:rsidP="00F65D87">
      <w:pPr>
        <w:ind w:left="851"/>
        <w:rPr>
          <w:sz w:val="24"/>
          <w:szCs w:val="24"/>
        </w:rPr>
      </w:pPr>
      <w:r w:rsidRPr="00EB768C">
        <w:rPr>
          <w:sz w:val="24"/>
          <w:szCs w:val="24"/>
        </w:rPr>
        <w:t xml:space="preserve">Systemiske virkninger af orale betablokkere kan forstærkes, når de anvendes samtidig med </w:t>
      </w:r>
      <w:proofErr w:type="spellStart"/>
      <w:r w:rsidRPr="00EB768C">
        <w:rPr>
          <w:sz w:val="24"/>
          <w:szCs w:val="24"/>
        </w:rPr>
        <w:t>oftalmiske</w:t>
      </w:r>
      <w:proofErr w:type="spellEnd"/>
      <w:r w:rsidRPr="00EB768C">
        <w:rPr>
          <w:sz w:val="24"/>
          <w:szCs w:val="24"/>
        </w:rPr>
        <w:t xml:space="preserve"> betablokkere.</w:t>
      </w:r>
    </w:p>
    <w:p w14:paraId="3D3D126E" w14:textId="77777777" w:rsidR="00E4750A" w:rsidRPr="00EB768C" w:rsidRDefault="00E4750A" w:rsidP="00F65D87">
      <w:pPr>
        <w:ind w:left="851"/>
        <w:rPr>
          <w:sz w:val="24"/>
          <w:szCs w:val="24"/>
        </w:rPr>
      </w:pPr>
    </w:p>
    <w:p w14:paraId="6AF8E185" w14:textId="77777777" w:rsidR="00E4750A" w:rsidRPr="00A5655F" w:rsidRDefault="00E4750A" w:rsidP="00F65D87">
      <w:pPr>
        <w:ind w:left="851"/>
        <w:rPr>
          <w:sz w:val="24"/>
          <w:szCs w:val="24"/>
          <w:u w:val="single"/>
        </w:rPr>
      </w:pPr>
      <w:r w:rsidRPr="00A5655F">
        <w:rPr>
          <w:sz w:val="24"/>
          <w:szCs w:val="24"/>
          <w:u w:val="single"/>
        </w:rPr>
        <w:t xml:space="preserve">Perifere </w:t>
      </w:r>
      <w:proofErr w:type="spellStart"/>
      <w:r w:rsidRPr="00A5655F">
        <w:rPr>
          <w:sz w:val="24"/>
          <w:szCs w:val="24"/>
          <w:u w:val="single"/>
        </w:rPr>
        <w:t>muskelrelaksantia</w:t>
      </w:r>
      <w:proofErr w:type="spellEnd"/>
    </w:p>
    <w:p w14:paraId="68F0AA2B" w14:textId="53A4D691" w:rsidR="00E4750A" w:rsidRPr="00EB768C" w:rsidRDefault="00E4750A" w:rsidP="00F65D87">
      <w:pPr>
        <w:ind w:left="851"/>
        <w:rPr>
          <w:sz w:val="24"/>
          <w:szCs w:val="24"/>
        </w:rPr>
      </w:pPr>
      <w:proofErr w:type="spellStart"/>
      <w:r w:rsidRPr="00EB768C">
        <w:rPr>
          <w:sz w:val="24"/>
          <w:szCs w:val="24"/>
        </w:rPr>
        <w:t>Atenolol</w:t>
      </w:r>
      <w:proofErr w:type="spellEnd"/>
      <w:r w:rsidRPr="00EB768C">
        <w:rPr>
          <w:sz w:val="24"/>
          <w:szCs w:val="24"/>
        </w:rPr>
        <w:t xml:space="preserve"> kan forstærke og forlænge den muskelafslappende effekt af perifere </w:t>
      </w:r>
      <w:proofErr w:type="spellStart"/>
      <w:r w:rsidRPr="00EB768C">
        <w:rPr>
          <w:sz w:val="24"/>
          <w:szCs w:val="24"/>
        </w:rPr>
        <w:t>muskel</w:t>
      </w:r>
      <w:r w:rsidR="00347B06">
        <w:rPr>
          <w:sz w:val="24"/>
          <w:szCs w:val="24"/>
        </w:rPr>
        <w:softHyphen/>
      </w:r>
      <w:r w:rsidRPr="00EB768C">
        <w:rPr>
          <w:sz w:val="24"/>
          <w:szCs w:val="24"/>
        </w:rPr>
        <w:t>relaksantia</w:t>
      </w:r>
      <w:proofErr w:type="spellEnd"/>
      <w:r w:rsidRPr="00EB768C">
        <w:rPr>
          <w:sz w:val="24"/>
          <w:szCs w:val="24"/>
        </w:rPr>
        <w:t>.</w:t>
      </w:r>
    </w:p>
    <w:p w14:paraId="73BD2163" w14:textId="77777777" w:rsidR="00E4750A" w:rsidRPr="00EB768C" w:rsidRDefault="00E4750A" w:rsidP="00F65D87">
      <w:pPr>
        <w:ind w:left="851"/>
        <w:rPr>
          <w:sz w:val="24"/>
          <w:szCs w:val="24"/>
        </w:rPr>
      </w:pPr>
    </w:p>
    <w:p w14:paraId="39B6D724" w14:textId="77777777" w:rsidR="00E4750A" w:rsidRPr="00A5655F" w:rsidRDefault="00E4750A" w:rsidP="00F65D87">
      <w:pPr>
        <w:ind w:left="851"/>
        <w:rPr>
          <w:sz w:val="24"/>
          <w:szCs w:val="24"/>
          <w:u w:val="single"/>
        </w:rPr>
      </w:pPr>
      <w:proofErr w:type="spellStart"/>
      <w:r w:rsidRPr="00A5655F">
        <w:rPr>
          <w:sz w:val="24"/>
          <w:szCs w:val="24"/>
          <w:u w:val="single"/>
        </w:rPr>
        <w:t>Reserpin</w:t>
      </w:r>
      <w:proofErr w:type="spellEnd"/>
      <w:r w:rsidRPr="00A5655F">
        <w:rPr>
          <w:sz w:val="24"/>
          <w:szCs w:val="24"/>
          <w:u w:val="single"/>
        </w:rPr>
        <w:t>, alfa-</w:t>
      </w:r>
      <w:proofErr w:type="spellStart"/>
      <w:r w:rsidRPr="00A5655F">
        <w:rPr>
          <w:sz w:val="24"/>
          <w:szCs w:val="24"/>
          <w:u w:val="single"/>
        </w:rPr>
        <w:t>methyldopa</w:t>
      </w:r>
      <w:proofErr w:type="spellEnd"/>
      <w:r w:rsidRPr="00A5655F">
        <w:rPr>
          <w:sz w:val="24"/>
          <w:szCs w:val="24"/>
          <w:u w:val="single"/>
        </w:rPr>
        <w:t xml:space="preserve">, </w:t>
      </w:r>
      <w:proofErr w:type="spellStart"/>
      <w:r w:rsidRPr="00A5655F">
        <w:rPr>
          <w:sz w:val="24"/>
          <w:szCs w:val="24"/>
          <w:u w:val="single"/>
        </w:rPr>
        <w:t>guanfacin</w:t>
      </w:r>
      <w:proofErr w:type="spellEnd"/>
      <w:r w:rsidRPr="00A5655F">
        <w:rPr>
          <w:sz w:val="24"/>
          <w:szCs w:val="24"/>
          <w:u w:val="single"/>
        </w:rPr>
        <w:t xml:space="preserve"> </w:t>
      </w:r>
    </w:p>
    <w:p w14:paraId="36684371" w14:textId="77777777" w:rsidR="00E4750A" w:rsidRPr="00EB768C" w:rsidRDefault="00E4750A" w:rsidP="00F65D87">
      <w:pPr>
        <w:ind w:left="851"/>
        <w:rPr>
          <w:sz w:val="24"/>
          <w:szCs w:val="24"/>
        </w:rPr>
      </w:pPr>
      <w:r w:rsidRPr="00EB768C">
        <w:rPr>
          <w:sz w:val="24"/>
          <w:szCs w:val="24"/>
        </w:rPr>
        <w:t xml:space="preserve">Samtidig brug kan forlænge den </w:t>
      </w:r>
      <w:proofErr w:type="spellStart"/>
      <w:r w:rsidRPr="00EB768C">
        <w:rPr>
          <w:sz w:val="24"/>
          <w:szCs w:val="24"/>
        </w:rPr>
        <w:t>atrioventrikulære</w:t>
      </w:r>
      <w:proofErr w:type="spellEnd"/>
      <w:r w:rsidRPr="00EB768C">
        <w:rPr>
          <w:sz w:val="24"/>
          <w:szCs w:val="24"/>
        </w:rPr>
        <w:t xml:space="preserve"> ledningstid og bradykardi.</w:t>
      </w:r>
    </w:p>
    <w:p w14:paraId="0C4DC746" w14:textId="77777777" w:rsidR="009260DE" w:rsidRPr="00EB768C" w:rsidRDefault="009260DE" w:rsidP="009260DE">
      <w:pPr>
        <w:tabs>
          <w:tab w:val="left" w:pos="851"/>
        </w:tabs>
        <w:ind w:left="851"/>
        <w:rPr>
          <w:sz w:val="24"/>
          <w:szCs w:val="24"/>
        </w:rPr>
      </w:pPr>
    </w:p>
    <w:p w14:paraId="1EE28DE4" w14:textId="77777777" w:rsidR="009260DE" w:rsidRPr="00EB768C" w:rsidRDefault="009260DE" w:rsidP="009260DE">
      <w:pPr>
        <w:tabs>
          <w:tab w:val="left" w:pos="851"/>
        </w:tabs>
        <w:ind w:left="851" w:hanging="851"/>
        <w:rPr>
          <w:b/>
          <w:sz w:val="24"/>
          <w:szCs w:val="24"/>
        </w:rPr>
      </w:pPr>
      <w:r w:rsidRPr="00EB768C">
        <w:rPr>
          <w:b/>
          <w:sz w:val="24"/>
          <w:szCs w:val="24"/>
        </w:rPr>
        <w:t>4.6</w:t>
      </w:r>
      <w:r w:rsidRPr="00EB768C">
        <w:rPr>
          <w:b/>
          <w:sz w:val="24"/>
          <w:szCs w:val="24"/>
        </w:rPr>
        <w:tab/>
      </w:r>
      <w:r w:rsidR="0071241E" w:rsidRPr="00EB768C">
        <w:rPr>
          <w:b/>
          <w:sz w:val="24"/>
          <w:szCs w:val="24"/>
        </w:rPr>
        <w:t>Fertilitet, g</w:t>
      </w:r>
      <w:r w:rsidRPr="00EB768C">
        <w:rPr>
          <w:b/>
          <w:sz w:val="24"/>
          <w:szCs w:val="24"/>
        </w:rPr>
        <w:t>raviditet og amning</w:t>
      </w:r>
    </w:p>
    <w:p w14:paraId="684C5299" w14:textId="77777777" w:rsidR="00A5655F" w:rsidRDefault="00A5655F" w:rsidP="00F65D87">
      <w:pPr>
        <w:ind w:left="851"/>
        <w:rPr>
          <w:sz w:val="24"/>
          <w:szCs w:val="24"/>
        </w:rPr>
      </w:pPr>
    </w:p>
    <w:p w14:paraId="054F1654" w14:textId="6748A0C3" w:rsidR="00E4750A" w:rsidRPr="00A5655F" w:rsidRDefault="00E4750A" w:rsidP="00F65D87">
      <w:pPr>
        <w:ind w:left="851"/>
        <w:rPr>
          <w:sz w:val="24"/>
          <w:szCs w:val="24"/>
          <w:u w:val="single"/>
        </w:rPr>
      </w:pPr>
      <w:r w:rsidRPr="00A5655F">
        <w:rPr>
          <w:sz w:val="24"/>
          <w:szCs w:val="24"/>
          <w:u w:val="single"/>
        </w:rPr>
        <w:t>Graviditet</w:t>
      </w:r>
    </w:p>
    <w:p w14:paraId="461843CC" w14:textId="5F845AC6" w:rsidR="00E4750A" w:rsidRPr="00EB768C" w:rsidRDefault="00E4750A" w:rsidP="00F65D87">
      <w:pPr>
        <w:ind w:left="851"/>
        <w:rPr>
          <w:sz w:val="24"/>
          <w:szCs w:val="24"/>
        </w:rPr>
      </w:pPr>
      <w:proofErr w:type="spellStart"/>
      <w:r w:rsidRPr="00EB768C">
        <w:rPr>
          <w:sz w:val="24"/>
          <w:szCs w:val="24"/>
        </w:rPr>
        <w:t>Atenolol</w:t>
      </w:r>
      <w:proofErr w:type="spellEnd"/>
      <w:r w:rsidRPr="00EB768C">
        <w:rPr>
          <w:sz w:val="24"/>
          <w:szCs w:val="24"/>
        </w:rPr>
        <w:t xml:space="preserve"> krydser placentabarrieren. Der er ikke tilstrækkelige data for brugen af </w:t>
      </w:r>
      <w:proofErr w:type="spellStart"/>
      <w:r w:rsidRPr="00EB768C">
        <w:rPr>
          <w:sz w:val="24"/>
          <w:szCs w:val="24"/>
        </w:rPr>
        <w:t>atenolol</w:t>
      </w:r>
      <w:proofErr w:type="spellEnd"/>
      <w:r w:rsidRPr="00EB768C">
        <w:rPr>
          <w:sz w:val="24"/>
          <w:szCs w:val="24"/>
        </w:rPr>
        <w:t xml:space="preserve"> hos gravide. </w:t>
      </w:r>
      <w:proofErr w:type="spellStart"/>
      <w:r w:rsidRPr="00EB768C">
        <w:rPr>
          <w:sz w:val="24"/>
          <w:szCs w:val="24"/>
        </w:rPr>
        <w:t>Atenolol</w:t>
      </w:r>
      <w:proofErr w:type="spellEnd"/>
      <w:r w:rsidRPr="00EB768C">
        <w:rPr>
          <w:sz w:val="24"/>
          <w:szCs w:val="24"/>
        </w:rPr>
        <w:t xml:space="preserve"> bør kun bruges under graviditet på tvingende indikation. Epidemiologiske undersøgelser har ikke afsløret misdannelsesvirkninger, men viser en risiko for intrauterin væksthæmning, når betablokkere administreres via den orale rute. Desuden er der observeret tegn og symptomer på betablokering (f.eks. bradykardi, hypotension, åndedrætsbesvær og hypoglykæmi) hos nyfødte, når betablokkere er blevet administreret indtil fødslen. Hvis </w:t>
      </w:r>
      <w:proofErr w:type="spellStart"/>
      <w:r w:rsidRPr="00EB768C">
        <w:rPr>
          <w:sz w:val="24"/>
          <w:szCs w:val="24"/>
        </w:rPr>
        <w:t>Atenolol</w:t>
      </w:r>
      <w:proofErr w:type="spellEnd"/>
      <w:r w:rsidRPr="00EB768C">
        <w:rPr>
          <w:sz w:val="24"/>
          <w:szCs w:val="24"/>
        </w:rPr>
        <w:t xml:space="preserve"> </w:t>
      </w:r>
      <w:r w:rsidR="00602DED">
        <w:rPr>
          <w:sz w:val="24"/>
          <w:szCs w:val="24"/>
        </w:rPr>
        <w:t>"</w:t>
      </w:r>
      <w:r w:rsidRPr="00EB768C">
        <w:rPr>
          <w:sz w:val="24"/>
          <w:szCs w:val="24"/>
        </w:rPr>
        <w:t>Medical Valley</w:t>
      </w:r>
      <w:r w:rsidR="00B167E7">
        <w:rPr>
          <w:sz w:val="24"/>
          <w:szCs w:val="24"/>
        </w:rPr>
        <w:t>"</w:t>
      </w:r>
      <w:r w:rsidRPr="00EB768C">
        <w:rPr>
          <w:sz w:val="24"/>
          <w:szCs w:val="24"/>
        </w:rPr>
        <w:t xml:space="preserve"> gives indtil fødslen, bør den nyfødte monitoreres nøje i de første dage af livet.</w:t>
      </w:r>
    </w:p>
    <w:p w14:paraId="2BEDB430" w14:textId="77777777" w:rsidR="00E4750A" w:rsidRPr="00EB768C" w:rsidRDefault="00E4750A" w:rsidP="00F65D87">
      <w:pPr>
        <w:ind w:left="851"/>
        <w:rPr>
          <w:sz w:val="24"/>
          <w:szCs w:val="24"/>
        </w:rPr>
      </w:pPr>
    </w:p>
    <w:p w14:paraId="59266F6D" w14:textId="77777777" w:rsidR="00E4750A" w:rsidRPr="00A5655F" w:rsidRDefault="00E4750A" w:rsidP="00F65D87">
      <w:pPr>
        <w:ind w:left="851"/>
        <w:rPr>
          <w:sz w:val="24"/>
          <w:szCs w:val="24"/>
          <w:u w:val="single"/>
        </w:rPr>
      </w:pPr>
      <w:r w:rsidRPr="00A5655F">
        <w:rPr>
          <w:sz w:val="24"/>
          <w:szCs w:val="24"/>
          <w:u w:val="single"/>
        </w:rPr>
        <w:t xml:space="preserve">Amning </w:t>
      </w:r>
    </w:p>
    <w:p w14:paraId="328D8835" w14:textId="77777777" w:rsidR="00E4750A" w:rsidRPr="00EB768C" w:rsidRDefault="00E4750A" w:rsidP="00F65D87">
      <w:pPr>
        <w:ind w:left="851"/>
        <w:rPr>
          <w:sz w:val="24"/>
          <w:szCs w:val="24"/>
        </w:rPr>
      </w:pPr>
      <w:proofErr w:type="spellStart"/>
      <w:r w:rsidRPr="00EB768C">
        <w:rPr>
          <w:sz w:val="24"/>
          <w:szCs w:val="24"/>
        </w:rPr>
        <w:t>Atenolol</w:t>
      </w:r>
      <w:proofErr w:type="spellEnd"/>
      <w:r w:rsidRPr="00EB768C">
        <w:rPr>
          <w:sz w:val="24"/>
          <w:szCs w:val="24"/>
        </w:rPr>
        <w:t xml:space="preserve"> udskilles i modermælken og opnår højere koncentrationer end i plasma. En risiko for det ammede barn kan ikke udelukkes (betablokade). Amning bør derfor afbrydes under behandling med </w:t>
      </w:r>
      <w:proofErr w:type="spellStart"/>
      <w:r w:rsidRPr="00EB768C">
        <w:rPr>
          <w:sz w:val="24"/>
          <w:szCs w:val="24"/>
        </w:rPr>
        <w:t>atenolol</w:t>
      </w:r>
      <w:proofErr w:type="spellEnd"/>
      <w:r w:rsidRPr="00EB768C">
        <w:rPr>
          <w:sz w:val="24"/>
          <w:szCs w:val="24"/>
        </w:rPr>
        <w:t>.</w:t>
      </w:r>
    </w:p>
    <w:p w14:paraId="7AAF2A66" w14:textId="77777777" w:rsidR="00E4750A" w:rsidRPr="00EB768C" w:rsidRDefault="00E4750A" w:rsidP="00F65D87">
      <w:pPr>
        <w:ind w:left="851"/>
        <w:rPr>
          <w:sz w:val="24"/>
          <w:szCs w:val="24"/>
        </w:rPr>
      </w:pPr>
    </w:p>
    <w:p w14:paraId="2CFA8065" w14:textId="77777777" w:rsidR="00E4750A" w:rsidRPr="00A5655F" w:rsidRDefault="00E4750A" w:rsidP="00F65D87">
      <w:pPr>
        <w:ind w:left="851"/>
        <w:rPr>
          <w:sz w:val="24"/>
          <w:szCs w:val="24"/>
          <w:u w:val="single"/>
        </w:rPr>
      </w:pPr>
      <w:r w:rsidRPr="00A5655F">
        <w:rPr>
          <w:sz w:val="24"/>
          <w:szCs w:val="24"/>
          <w:u w:val="single"/>
        </w:rPr>
        <w:t>Fertilitet</w:t>
      </w:r>
    </w:p>
    <w:p w14:paraId="211C678D" w14:textId="77777777" w:rsidR="00E4750A" w:rsidRPr="00EB768C" w:rsidRDefault="00E4750A" w:rsidP="00F65D87">
      <w:pPr>
        <w:ind w:left="851"/>
        <w:rPr>
          <w:sz w:val="24"/>
          <w:szCs w:val="24"/>
        </w:rPr>
      </w:pPr>
      <w:r w:rsidRPr="00EB768C">
        <w:rPr>
          <w:sz w:val="24"/>
          <w:szCs w:val="24"/>
        </w:rPr>
        <w:t xml:space="preserve">Der er ingen data om de mulige effekter af </w:t>
      </w:r>
      <w:proofErr w:type="spellStart"/>
      <w:r w:rsidRPr="00EB768C">
        <w:rPr>
          <w:sz w:val="24"/>
          <w:szCs w:val="24"/>
        </w:rPr>
        <w:t>atenolol</w:t>
      </w:r>
      <w:proofErr w:type="spellEnd"/>
      <w:r w:rsidRPr="00EB768C">
        <w:rPr>
          <w:sz w:val="24"/>
          <w:szCs w:val="24"/>
        </w:rPr>
        <w:t xml:space="preserve"> på fertiliteten.</w:t>
      </w:r>
    </w:p>
    <w:p w14:paraId="273D63CB" w14:textId="77777777" w:rsidR="009260DE" w:rsidRPr="00EB768C" w:rsidRDefault="009260DE" w:rsidP="009260DE">
      <w:pPr>
        <w:tabs>
          <w:tab w:val="left" w:pos="851"/>
        </w:tabs>
        <w:ind w:left="851"/>
        <w:rPr>
          <w:sz w:val="24"/>
          <w:szCs w:val="24"/>
        </w:rPr>
      </w:pPr>
    </w:p>
    <w:p w14:paraId="792A17DE" w14:textId="77777777" w:rsidR="009260DE" w:rsidRPr="00EB768C" w:rsidRDefault="009260DE" w:rsidP="009260DE">
      <w:pPr>
        <w:tabs>
          <w:tab w:val="left" w:pos="851"/>
        </w:tabs>
        <w:ind w:left="851" w:hanging="851"/>
        <w:rPr>
          <w:b/>
          <w:sz w:val="24"/>
          <w:szCs w:val="24"/>
        </w:rPr>
      </w:pPr>
      <w:r w:rsidRPr="00EB768C">
        <w:rPr>
          <w:b/>
          <w:sz w:val="24"/>
          <w:szCs w:val="24"/>
        </w:rPr>
        <w:t>4.7</w:t>
      </w:r>
      <w:r w:rsidRPr="00EB768C">
        <w:rPr>
          <w:b/>
          <w:sz w:val="24"/>
          <w:szCs w:val="24"/>
        </w:rPr>
        <w:tab/>
        <w:t xml:space="preserve">Virkning på evnen til at føre motorkøretøj </w:t>
      </w:r>
      <w:r w:rsidR="0071241E" w:rsidRPr="00EB768C">
        <w:rPr>
          <w:b/>
          <w:sz w:val="24"/>
          <w:szCs w:val="24"/>
        </w:rPr>
        <w:t>og</w:t>
      </w:r>
      <w:r w:rsidRPr="00EB768C">
        <w:rPr>
          <w:b/>
          <w:sz w:val="24"/>
          <w:szCs w:val="24"/>
        </w:rPr>
        <w:t xml:space="preserve"> betjene maskiner</w:t>
      </w:r>
    </w:p>
    <w:p w14:paraId="074753BB" w14:textId="77777777" w:rsidR="00E4750A" w:rsidRPr="00EB768C" w:rsidRDefault="00E4750A" w:rsidP="00F65D87">
      <w:pPr>
        <w:ind w:left="851"/>
        <w:rPr>
          <w:sz w:val="24"/>
          <w:szCs w:val="24"/>
        </w:rPr>
      </w:pPr>
      <w:r w:rsidRPr="00EB768C">
        <w:rPr>
          <w:sz w:val="24"/>
          <w:szCs w:val="24"/>
        </w:rPr>
        <w:t>Ikke mærkning.</w:t>
      </w:r>
    </w:p>
    <w:p w14:paraId="5663E80D" w14:textId="77777777" w:rsidR="00E4750A" w:rsidRPr="00EB768C" w:rsidRDefault="00E4750A" w:rsidP="00F65D87">
      <w:pPr>
        <w:ind w:left="851"/>
        <w:rPr>
          <w:sz w:val="24"/>
          <w:szCs w:val="24"/>
        </w:rPr>
      </w:pPr>
      <w:r w:rsidRPr="00EB768C">
        <w:rPr>
          <w:sz w:val="24"/>
          <w:szCs w:val="24"/>
        </w:rPr>
        <w:t>Dette lægemiddel påvirker i mindre grad evnen til at føre motorkøretøj eller betjene maskiner.</w:t>
      </w:r>
    </w:p>
    <w:p w14:paraId="51CA20A0" w14:textId="77777777" w:rsidR="00E4750A" w:rsidRPr="00EB768C" w:rsidRDefault="00E4750A" w:rsidP="00F65D87">
      <w:pPr>
        <w:ind w:left="851"/>
        <w:rPr>
          <w:sz w:val="24"/>
          <w:szCs w:val="24"/>
        </w:rPr>
      </w:pPr>
      <w:r w:rsidRPr="00EB768C">
        <w:rPr>
          <w:sz w:val="24"/>
          <w:szCs w:val="24"/>
        </w:rPr>
        <w:t>Den individuelle reaktion på evnen til at køre bil eller betjene maskiner kan påvirkes på grund af lejlighedsvis svimmelhed eller træthed.</w:t>
      </w:r>
    </w:p>
    <w:p w14:paraId="35DC2E39" w14:textId="77777777" w:rsidR="009260DE" w:rsidRPr="00EB768C" w:rsidRDefault="009260DE" w:rsidP="009260DE">
      <w:pPr>
        <w:tabs>
          <w:tab w:val="left" w:pos="851"/>
        </w:tabs>
        <w:ind w:left="851"/>
        <w:rPr>
          <w:sz w:val="24"/>
          <w:szCs w:val="24"/>
        </w:rPr>
      </w:pPr>
    </w:p>
    <w:p w14:paraId="5AE6172C" w14:textId="77777777" w:rsidR="009260DE" w:rsidRPr="00EB768C" w:rsidRDefault="009260DE" w:rsidP="009260DE">
      <w:pPr>
        <w:tabs>
          <w:tab w:val="left" w:pos="851"/>
        </w:tabs>
        <w:ind w:left="851" w:hanging="851"/>
        <w:rPr>
          <w:b/>
          <w:sz w:val="24"/>
          <w:szCs w:val="24"/>
        </w:rPr>
      </w:pPr>
      <w:r w:rsidRPr="00EB768C">
        <w:rPr>
          <w:b/>
          <w:sz w:val="24"/>
          <w:szCs w:val="24"/>
        </w:rPr>
        <w:t>4.8</w:t>
      </w:r>
      <w:r w:rsidRPr="00EB768C">
        <w:rPr>
          <w:b/>
          <w:sz w:val="24"/>
          <w:szCs w:val="24"/>
        </w:rPr>
        <w:tab/>
        <w:t>Bivirkninger</w:t>
      </w:r>
    </w:p>
    <w:p w14:paraId="321102EA" w14:textId="77777777" w:rsidR="00A5655F" w:rsidRDefault="00A5655F" w:rsidP="00F65D87">
      <w:pPr>
        <w:ind w:left="851"/>
        <w:rPr>
          <w:sz w:val="24"/>
          <w:szCs w:val="24"/>
        </w:rPr>
      </w:pPr>
    </w:p>
    <w:p w14:paraId="1EF39958" w14:textId="530997CA" w:rsidR="00E4750A" w:rsidRPr="00A5655F" w:rsidRDefault="00E4750A" w:rsidP="00F65D87">
      <w:pPr>
        <w:ind w:left="851"/>
        <w:rPr>
          <w:sz w:val="24"/>
          <w:szCs w:val="24"/>
          <w:u w:val="single"/>
        </w:rPr>
      </w:pPr>
      <w:r w:rsidRPr="00A5655F">
        <w:rPr>
          <w:sz w:val="24"/>
          <w:szCs w:val="24"/>
          <w:u w:val="single"/>
        </w:rPr>
        <w:t>Liste over bivirkninger</w:t>
      </w:r>
    </w:p>
    <w:p w14:paraId="024E94B3" w14:textId="77777777" w:rsidR="00E4750A" w:rsidRPr="00EB768C" w:rsidRDefault="00E4750A" w:rsidP="00F65D87">
      <w:pPr>
        <w:ind w:left="851"/>
        <w:rPr>
          <w:sz w:val="24"/>
          <w:szCs w:val="24"/>
        </w:rPr>
      </w:pPr>
      <w:r w:rsidRPr="00EB768C">
        <w:rPr>
          <w:sz w:val="24"/>
          <w:szCs w:val="24"/>
        </w:rPr>
        <w:t>Følgende liste over bivirkninger er baseret på erfaringer fra kliniske studier og erfaringer efter markedsføring og er vist efter systemorganklasse og hyppighed i nedenstående tabel: meget almindelig (≥ 1/10); almindelig (≥ 1/100 til &lt; 1/10); ualmindelig (≥ 1/1 000 til &lt; 1/100); sjælden (≥ 1/10 000 til &lt; 1/1 000); meget sjælden (&lt; 1/10 000); og ikke kendt (kan ikke estimeres ud fra forhåndenværende data).</w:t>
      </w:r>
    </w:p>
    <w:p w14:paraId="1BAB3CB8" w14:textId="77777777" w:rsidR="00E4750A" w:rsidRPr="00EB768C" w:rsidRDefault="00E4750A" w:rsidP="00E4750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7"/>
        <w:gridCol w:w="1956"/>
        <w:gridCol w:w="5265"/>
      </w:tblGrid>
      <w:tr w:rsidR="00E4750A" w:rsidRPr="00355D82" w14:paraId="459C398D" w14:textId="77777777" w:rsidTr="00F65D87">
        <w:trPr>
          <w:trHeight w:val="340"/>
        </w:trPr>
        <w:tc>
          <w:tcPr>
            <w:tcW w:w="1250" w:type="pct"/>
            <w:tcBorders>
              <w:top w:val="single" w:sz="4" w:space="0" w:color="auto"/>
              <w:left w:val="single" w:sz="4" w:space="0" w:color="auto"/>
              <w:bottom w:val="single" w:sz="4" w:space="0" w:color="auto"/>
              <w:right w:val="single" w:sz="4" w:space="0" w:color="auto"/>
            </w:tcBorders>
            <w:hideMark/>
          </w:tcPr>
          <w:p w14:paraId="13452056" w14:textId="77777777" w:rsidR="00E4750A" w:rsidRPr="00355D82" w:rsidRDefault="00E4750A">
            <w:pPr>
              <w:suppressAutoHyphens/>
              <w:rPr>
                <w:sz w:val="24"/>
                <w:szCs w:val="24"/>
              </w:rPr>
            </w:pPr>
            <w:r w:rsidRPr="00355D82">
              <w:rPr>
                <w:b/>
                <w:sz w:val="24"/>
                <w:szCs w:val="24"/>
              </w:rPr>
              <w:t>Systemorganklasse</w:t>
            </w:r>
          </w:p>
        </w:tc>
        <w:tc>
          <w:tcPr>
            <w:tcW w:w="1016" w:type="pct"/>
            <w:tcBorders>
              <w:top w:val="single" w:sz="4" w:space="0" w:color="auto"/>
              <w:left w:val="single" w:sz="4" w:space="0" w:color="auto"/>
              <w:bottom w:val="single" w:sz="4" w:space="0" w:color="auto"/>
              <w:right w:val="single" w:sz="4" w:space="0" w:color="auto"/>
            </w:tcBorders>
            <w:hideMark/>
          </w:tcPr>
          <w:p w14:paraId="5DF64447" w14:textId="77777777" w:rsidR="00E4750A" w:rsidRPr="00355D82" w:rsidRDefault="00E4750A">
            <w:pPr>
              <w:rPr>
                <w:b/>
                <w:bCs/>
                <w:sz w:val="24"/>
                <w:szCs w:val="24"/>
              </w:rPr>
            </w:pPr>
            <w:r w:rsidRPr="00355D82">
              <w:rPr>
                <w:b/>
                <w:bCs/>
                <w:sz w:val="24"/>
                <w:szCs w:val="24"/>
              </w:rPr>
              <w:t>Hyppighed</w:t>
            </w:r>
          </w:p>
        </w:tc>
        <w:tc>
          <w:tcPr>
            <w:tcW w:w="2734" w:type="pct"/>
            <w:tcBorders>
              <w:top w:val="single" w:sz="4" w:space="0" w:color="auto"/>
              <w:left w:val="single" w:sz="4" w:space="0" w:color="auto"/>
              <w:bottom w:val="single" w:sz="4" w:space="0" w:color="auto"/>
              <w:right w:val="single" w:sz="4" w:space="0" w:color="auto"/>
            </w:tcBorders>
            <w:hideMark/>
          </w:tcPr>
          <w:p w14:paraId="4BA64B1B" w14:textId="77777777" w:rsidR="00E4750A" w:rsidRPr="00355D82" w:rsidRDefault="00E4750A">
            <w:pPr>
              <w:rPr>
                <w:sz w:val="24"/>
                <w:szCs w:val="24"/>
              </w:rPr>
            </w:pPr>
            <w:r w:rsidRPr="00355D82">
              <w:rPr>
                <w:b/>
                <w:bCs/>
                <w:sz w:val="24"/>
                <w:szCs w:val="24"/>
              </w:rPr>
              <w:t>Bivirkning</w:t>
            </w:r>
          </w:p>
        </w:tc>
      </w:tr>
      <w:tr w:rsidR="00E4750A" w:rsidRPr="00355D82" w14:paraId="7897BC2B" w14:textId="77777777" w:rsidTr="00F65D87">
        <w:trPr>
          <w:trHeight w:val="340"/>
        </w:trPr>
        <w:tc>
          <w:tcPr>
            <w:tcW w:w="1250" w:type="pct"/>
            <w:vMerge w:val="restart"/>
            <w:tcBorders>
              <w:top w:val="single" w:sz="4" w:space="0" w:color="auto"/>
              <w:left w:val="single" w:sz="4" w:space="0" w:color="auto"/>
              <w:bottom w:val="single" w:sz="4" w:space="0" w:color="auto"/>
              <w:right w:val="single" w:sz="4" w:space="0" w:color="auto"/>
            </w:tcBorders>
            <w:hideMark/>
          </w:tcPr>
          <w:p w14:paraId="1558C1E6" w14:textId="77777777" w:rsidR="00E4750A" w:rsidRPr="00355D82" w:rsidRDefault="00E4750A">
            <w:pPr>
              <w:rPr>
                <w:b/>
                <w:sz w:val="24"/>
                <w:szCs w:val="24"/>
              </w:rPr>
            </w:pPr>
            <w:r w:rsidRPr="00355D82">
              <w:rPr>
                <w:b/>
                <w:sz w:val="24"/>
                <w:szCs w:val="24"/>
              </w:rPr>
              <w:t>Hjerte</w:t>
            </w:r>
          </w:p>
        </w:tc>
        <w:tc>
          <w:tcPr>
            <w:tcW w:w="1016" w:type="pct"/>
            <w:tcBorders>
              <w:top w:val="single" w:sz="4" w:space="0" w:color="auto"/>
              <w:left w:val="single" w:sz="4" w:space="0" w:color="auto"/>
              <w:bottom w:val="single" w:sz="4" w:space="0" w:color="auto"/>
              <w:right w:val="single" w:sz="4" w:space="0" w:color="auto"/>
            </w:tcBorders>
            <w:hideMark/>
          </w:tcPr>
          <w:p w14:paraId="091348B5" w14:textId="77777777" w:rsidR="00E4750A" w:rsidRPr="00355D82" w:rsidRDefault="00E4750A">
            <w:pPr>
              <w:rPr>
                <w:sz w:val="24"/>
                <w:szCs w:val="24"/>
              </w:rPr>
            </w:pPr>
            <w:r w:rsidRPr="00355D82">
              <w:rPr>
                <w:sz w:val="24"/>
                <w:szCs w:val="24"/>
              </w:rPr>
              <w:t>Almindelig</w:t>
            </w:r>
          </w:p>
        </w:tc>
        <w:tc>
          <w:tcPr>
            <w:tcW w:w="2734" w:type="pct"/>
            <w:tcBorders>
              <w:top w:val="single" w:sz="4" w:space="0" w:color="auto"/>
              <w:left w:val="single" w:sz="4" w:space="0" w:color="auto"/>
              <w:bottom w:val="single" w:sz="4" w:space="0" w:color="auto"/>
              <w:right w:val="single" w:sz="4" w:space="0" w:color="auto"/>
            </w:tcBorders>
            <w:hideMark/>
          </w:tcPr>
          <w:p w14:paraId="43D90B6A" w14:textId="77777777" w:rsidR="00E4750A" w:rsidRPr="00355D82" w:rsidRDefault="00E4750A">
            <w:pPr>
              <w:rPr>
                <w:sz w:val="24"/>
                <w:szCs w:val="24"/>
              </w:rPr>
            </w:pPr>
            <w:r w:rsidRPr="00355D82">
              <w:rPr>
                <w:sz w:val="24"/>
                <w:szCs w:val="24"/>
              </w:rPr>
              <w:t>Bradykardi</w:t>
            </w:r>
          </w:p>
        </w:tc>
      </w:tr>
      <w:tr w:rsidR="00E4750A" w:rsidRPr="00355D82" w14:paraId="6CDF5C76" w14:textId="77777777" w:rsidTr="00F65D87">
        <w:trPr>
          <w:trHeight w:val="340"/>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701AB594" w14:textId="77777777" w:rsidR="00E4750A" w:rsidRPr="00355D82" w:rsidRDefault="00E4750A">
            <w:pPr>
              <w:rPr>
                <w:b/>
                <w:sz w:val="24"/>
                <w:szCs w:val="24"/>
              </w:rPr>
            </w:pPr>
          </w:p>
        </w:tc>
        <w:tc>
          <w:tcPr>
            <w:tcW w:w="1016" w:type="pct"/>
            <w:tcBorders>
              <w:top w:val="single" w:sz="4" w:space="0" w:color="auto"/>
              <w:left w:val="single" w:sz="4" w:space="0" w:color="auto"/>
              <w:bottom w:val="single" w:sz="4" w:space="0" w:color="auto"/>
              <w:right w:val="single" w:sz="4" w:space="0" w:color="auto"/>
            </w:tcBorders>
            <w:hideMark/>
          </w:tcPr>
          <w:p w14:paraId="4BB4E7A0" w14:textId="77777777" w:rsidR="00E4750A" w:rsidRPr="00355D82" w:rsidRDefault="00E4750A">
            <w:pPr>
              <w:rPr>
                <w:sz w:val="24"/>
                <w:szCs w:val="24"/>
              </w:rPr>
            </w:pPr>
            <w:r w:rsidRPr="00355D82">
              <w:rPr>
                <w:sz w:val="24"/>
                <w:szCs w:val="24"/>
              </w:rPr>
              <w:t>Sjælden</w:t>
            </w:r>
          </w:p>
        </w:tc>
        <w:tc>
          <w:tcPr>
            <w:tcW w:w="2734" w:type="pct"/>
            <w:tcBorders>
              <w:top w:val="single" w:sz="4" w:space="0" w:color="auto"/>
              <w:left w:val="single" w:sz="4" w:space="0" w:color="auto"/>
              <w:bottom w:val="single" w:sz="4" w:space="0" w:color="auto"/>
              <w:right w:val="single" w:sz="4" w:space="0" w:color="auto"/>
            </w:tcBorders>
            <w:hideMark/>
          </w:tcPr>
          <w:p w14:paraId="7626BE83" w14:textId="77777777" w:rsidR="00E4750A" w:rsidRPr="00355D82" w:rsidRDefault="00E4750A">
            <w:pPr>
              <w:rPr>
                <w:sz w:val="24"/>
                <w:szCs w:val="24"/>
              </w:rPr>
            </w:pPr>
            <w:r w:rsidRPr="00355D82">
              <w:rPr>
                <w:sz w:val="24"/>
                <w:szCs w:val="24"/>
              </w:rPr>
              <w:t>Forværring af hjerteinsufficiens</w:t>
            </w:r>
          </w:p>
          <w:p w14:paraId="47679C2E" w14:textId="77777777" w:rsidR="00E4750A" w:rsidRPr="00355D82" w:rsidRDefault="00E4750A">
            <w:pPr>
              <w:rPr>
                <w:sz w:val="24"/>
                <w:szCs w:val="24"/>
              </w:rPr>
            </w:pPr>
            <w:r w:rsidRPr="00355D82">
              <w:rPr>
                <w:sz w:val="24"/>
                <w:szCs w:val="24"/>
              </w:rPr>
              <w:t xml:space="preserve">Udfældning af </w:t>
            </w:r>
            <w:proofErr w:type="spellStart"/>
            <w:r w:rsidRPr="00355D82">
              <w:rPr>
                <w:sz w:val="24"/>
                <w:szCs w:val="24"/>
              </w:rPr>
              <w:t>atrioventrikulær</w:t>
            </w:r>
            <w:proofErr w:type="spellEnd"/>
            <w:r w:rsidRPr="00355D82">
              <w:rPr>
                <w:sz w:val="24"/>
                <w:szCs w:val="24"/>
              </w:rPr>
              <w:t xml:space="preserve"> blok</w:t>
            </w:r>
          </w:p>
        </w:tc>
      </w:tr>
      <w:tr w:rsidR="00E4750A" w:rsidRPr="00355D82" w14:paraId="3527B139" w14:textId="77777777" w:rsidTr="00F65D87">
        <w:trPr>
          <w:trHeight w:val="340"/>
        </w:trPr>
        <w:tc>
          <w:tcPr>
            <w:tcW w:w="1250" w:type="pct"/>
            <w:vMerge w:val="restart"/>
            <w:tcBorders>
              <w:top w:val="single" w:sz="4" w:space="0" w:color="auto"/>
              <w:left w:val="single" w:sz="4" w:space="0" w:color="auto"/>
              <w:bottom w:val="single" w:sz="4" w:space="0" w:color="auto"/>
              <w:right w:val="single" w:sz="4" w:space="0" w:color="auto"/>
            </w:tcBorders>
            <w:hideMark/>
          </w:tcPr>
          <w:p w14:paraId="4FEB0D35" w14:textId="77777777" w:rsidR="00E4750A" w:rsidRPr="00355D82" w:rsidRDefault="00E4750A">
            <w:pPr>
              <w:rPr>
                <w:b/>
                <w:sz w:val="24"/>
                <w:szCs w:val="24"/>
              </w:rPr>
            </w:pPr>
            <w:proofErr w:type="spellStart"/>
            <w:r w:rsidRPr="00355D82">
              <w:rPr>
                <w:b/>
                <w:sz w:val="24"/>
                <w:szCs w:val="24"/>
              </w:rPr>
              <w:t>Vaskulære</w:t>
            </w:r>
            <w:proofErr w:type="spellEnd"/>
            <w:r w:rsidRPr="00355D82">
              <w:rPr>
                <w:b/>
                <w:sz w:val="24"/>
                <w:szCs w:val="24"/>
              </w:rPr>
              <w:t xml:space="preserve"> sygdomme</w:t>
            </w:r>
          </w:p>
        </w:tc>
        <w:tc>
          <w:tcPr>
            <w:tcW w:w="1016" w:type="pct"/>
            <w:tcBorders>
              <w:top w:val="single" w:sz="4" w:space="0" w:color="auto"/>
              <w:left w:val="single" w:sz="4" w:space="0" w:color="auto"/>
              <w:bottom w:val="single" w:sz="4" w:space="0" w:color="auto"/>
              <w:right w:val="single" w:sz="4" w:space="0" w:color="auto"/>
            </w:tcBorders>
            <w:hideMark/>
          </w:tcPr>
          <w:p w14:paraId="07668B4A" w14:textId="77777777" w:rsidR="00E4750A" w:rsidRPr="00355D82" w:rsidRDefault="00E4750A">
            <w:pPr>
              <w:rPr>
                <w:sz w:val="24"/>
                <w:szCs w:val="24"/>
              </w:rPr>
            </w:pPr>
            <w:r w:rsidRPr="00355D82">
              <w:rPr>
                <w:sz w:val="24"/>
                <w:szCs w:val="24"/>
              </w:rPr>
              <w:t>Almindelig</w:t>
            </w:r>
          </w:p>
        </w:tc>
        <w:tc>
          <w:tcPr>
            <w:tcW w:w="2734" w:type="pct"/>
            <w:tcBorders>
              <w:top w:val="single" w:sz="4" w:space="0" w:color="auto"/>
              <w:left w:val="single" w:sz="4" w:space="0" w:color="auto"/>
              <w:bottom w:val="single" w:sz="4" w:space="0" w:color="auto"/>
              <w:right w:val="single" w:sz="4" w:space="0" w:color="auto"/>
            </w:tcBorders>
            <w:hideMark/>
          </w:tcPr>
          <w:p w14:paraId="03FA51FB" w14:textId="77777777" w:rsidR="00E4750A" w:rsidRPr="00355D82" w:rsidRDefault="00E4750A">
            <w:pPr>
              <w:rPr>
                <w:sz w:val="24"/>
                <w:szCs w:val="24"/>
              </w:rPr>
            </w:pPr>
            <w:r w:rsidRPr="00355D82">
              <w:rPr>
                <w:sz w:val="24"/>
                <w:szCs w:val="24"/>
              </w:rPr>
              <w:t>Kolde hænder og fødder</w:t>
            </w:r>
          </w:p>
        </w:tc>
      </w:tr>
      <w:tr w:rsidR="00E4750A" w:rsidRPr="00355D82" w14:paraId="7E93A144" w14:textId="77777777" w:rsidTr="00F65D87">
        <w:trPr>
          <w:trHeight w:val="340"/>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EC6A389" w14:textId="77777777" w:rsidR="00E4750A" w:rsidRPr="00355D82" w:rsidRDefault="00E4750A">
            <w:pPr>
              <w:rPr>
                <w:b/>
                <w:sz w:val="24"/>
                <w:szCs w:val="24"/>
              </w:rPr>
            </w:pPr>
          </w:p>
        </w:tc>
        <w:tc>
          <w:tcPr>
            <w:tcW w:w="1016" w:type="pct"/>
            <w:tcBorders>
              <w:top w:val="single" w:sz="4" w:space="0" w:color="auto"/>
              <w:left w:val="single" w:sz="4" w:space="0" w:color="auto"/>
              <w:bottom w:val="single" w:sz="4" w:space="0" w:color="auto"/>
              <w:right w:val="single" w:sz="4" w:space="0" w:color="auto"/>
            </w:tcBorders>
            <w:hideMark/>
          </w:tcPr>
          <w:p w14:paraId="357C91B7" w14:textId="77777777" w:rsidR="00E4750A" w:rsidRPr="00355D82" w:rsidRDefault="00E4750A">
            <w:pPr>
              <w:rPr>
                <w:sz w:val="24"/>
                <w:szCs w:val="24"/>
              </w:rPr>
            </w:pPr>
            <w:r w:rsidRPr="00355D82">
              <w:rPr>
                <w:sz w:val="24"/>
                <w:szCs w:val="24"/>
              </w:rPr>
              <w:t>Sjælden</w:t>
            </w:r>
          </w:p>
        </w:tc>
        <w:tc>
          <w:tcPr>
            <w:tcW w:w="2734" w:type="pct"/>
            <w:tcBorders>
              <w:top w:val="single" w:sz="4" w:space="0" w:color="auto"/>
              <w:left w:val="single" w:sz="4" w:space="0" w:color="auto"/>
              <w:bottom w:val="single" w:sz="4" w:space="0" w:color="auto"/>
              <w:right w:val="single" w:sz="4" w:space="0" w:color="auto"/>
            </w:tcBorders>
          </w:tcPr>
          <w:p w14:paraId="06EEF63F" w14:textId="77777777" w:rsidR="00E4750A" w:rsidRPr="00355D82" w:rsidRDefault="00E4750A">
            <w:pPr>
              <w:rPr>
                <w:sz w:val="24"/>
                <w:szCs w:val="24"/>
              </w:rPr>
            </w:pPr>
            <w:proofErr w:type="spellStart"/>
            <w:r w:rsidRPr="00355D82">
              <w:rPr>
                <w:sz w:val="24"/>
                <w:szCs w:val="24"/>
              </w:rPr>
              <w:t>Postural</w:t>
            </w:r>
            <w:proofErr w:type="spellEnd"/>
            <w:r w:rsidRPr="00355D82">
              <w:rPr>
                <w:sz w:val="24"/>
                <w:szCs w:val="24"/>
              </w:rPr>
              <w:t xml:space="preserve"> hypotension, der kan være forbundet med synkope</w:t>
            </w:r>
          </w:p>
          <w:p w14:paraId="18697D6C" w14:textId="77777777" w:rsidR="00E4750A" w:rsidRPr="00355D82" w:rsidRDefault="00E4750A">
            <w:pPr>
              <w:rPr>
                <w:sz w:val="24"/>
                <w:szCs w:val="24"/>
              </w:rPr>
            </w:pPr>
          </w:p>
          <w:p w14:paraId="21FD43FF" w14:textId="77777777" w:rsidR="00E4750A" w:rsidRPr="00355D82" w:rsidRDefault="00E4750A">
            <w:pPr>
              <w:rPr>
                <w:sz w:val="24"/>
                <w:szCs w:val="24"/>
              </w:rPr>
            </w:pPr>
            <w:r w:rsidRPr="00355D82">
              <w:rPr>
                <w:sz w:val="24"/>
                <w:szCs w:val="24"/>
              </w:rPr>
              <w:t>Hos modtagelige patienter:</w:t>
            </w:r>
          </w:p>
          <w:p w14:paraId="0C26441D" w14:textId="77777777" w:rsidR="00E4750A" w:rsidRPr="00355D82" w:rsidRDefault="00E4750A">
            <w:pPr>
              <w:rPr>
                <w:sz w:val="24"/>
                <w:szCs w:val="24"/>
              </w:rPr>
            </w:pPr>
            <w:r w:rsidRPr="00355D82">
              <w:rPr>
                <w:sz w:val="24"/>
                <w:szCs w:val="24"/>
              </w:rPr>
              <w:t xml:space="preserve">Forværring af allerede eksisterende </w:t>
            </w:r>
            <w:proofErr w:type="spellStart"/>
            <w:r w:rsidRPr="00355D82">
              <w:rPr>
                <w:sz w:val="24"/>
                <w:szCs w:val="24"/>
              </w:rPr>
              <w:t>claudicatio</w:t>
            </w:r>
            <w:proofErr w:type="spellEnd"/>
            <w:r w:rsidRPr="00355D82">
              <w:rPr>
                <w:sz w:val="24"/>
                <w:szCs w:val="24"/>
              </w:rPr>
              <w:t xml:space="preserve"> </w:t>
            </w:r>
            <w:proofErr w:type="spellStart"/>
            <w:r w:rsidRPr="00355D82">
              <w:rPr>
                <w:sz w:val="24"/>
                <w:szCs w:val="24"/>
              </w:rPr>
              <w:t>intermittens</w:t>
            </w:r>
            <w:proofErr w:type="spellEnd"/>
          </w:p>
          <w:p w14:paraId="330FC209" w14:textId="77777777" w:rsidR="00E4750A" w:rsidRPr="00355D82" w:rsidRDefault="00E4750A">
            <w:pPr>
              <w:rPr>
                <w:sz w:val="24"/>
                <w:szCs w:val="24"/>
              </w:rPr>
            </w:pPr>
            <w:proofErr w:type="spellStart"/>
            <w:r w:rsidRPr="00355D82">
              <w:rPr>
                <w:sz w:val="24"/>
                <w:szCs w:val="24"/>
              </w:rPr>
              <w:t>Raynauds</w:t>
            </w:r>
            <w:proofErr w:type="spellEnd"/>
            <w:r w:rsidRPr="00355D82">
              <w:rPr>
                <w:sz w:val="24"/>
                <w:szCs w:val="24"/>
              </w:rPr>
              <w:t xml:space="preserve"> fænomen</w:t>
            </w:r>
          </w:p>
        </w:tc>
      </w:tr>
      <w:tr w:rsidR="00E4750A" w:rsidRPr="00355D82" w14:paraId="7D6839DF" w14:textId="77777777" w:rsidTr="00F65D87">
        <w:trPr>
          <w:trHeight w:val="340"/>
        </w:trPr>
        <w:tc>
          <w:tcPr>
            <w:tcW w:w="1250" w:type="pct"/>
            <w:tcBorders>
              <w:top w:val="single" w:sz="4" w:space="0" w:color="auto"/>
              <w:left w:val="single" w:sz="4" w:space="0" w:color="auto"/>
              <w:bottom w:val="single" w:sz="4" w:space="0" w:color="auto"/>
              <w:right w:val="single" w:sz="4" w:space="0" w:color="auto"/>
            </w:tcBorders>
          </w:tcPr>
          <w:p w14:paraId="6303C922" w14:textId="51A99F60" w:rsidR="00E4750A" w:rsidRPr="00355D82" w:rsidRDefault="00E4750A" w:rsidP="00A5655F">
            <w:pPr>
              <w:rPr>
                <w:sz w:val="24"/>
                <w:szCs w:val="24"/>
              </w:rPr>
            </w:pPr>
            <w:r w:rsidRPr="00355D82">
              <w:rPr>
                <w:b/>
                <w:sz w:val="24"/>
                <w:szCs w:val="24"/>
              </w:rPr>
              <w:t>Nervesystemet</w:t>
            </w:r>
          </w:p>
        </w:tc>
        <w:tc>
          <w:tcPr>
            <w:tcW w:w="1016" w:type="pct"/>
            <w:tcBorders>
              <w:top w:val="single" w:sz="4" w:space="0" w:color="auto"/>
              <w:left w:val="single" w:sz="4" w:space="0" w:color="auto"/>
              <w:bottom w:val="single" w:sz="4" w:space="0" w:color="auto"/>
              <w:right w:val="single" w:sz="4" w:space="0" w:color="auto"/>
            </w:tcBorders>
            <w:hideMark/>
          </w:tcPr>
          <w:p w14:paraId="2347FD1D" w14:textId="77777777" w:rsidR="00E4750A" w:rsidRPr="00355D82" w:rsidRDefault="00E4750A">
            <w:pPr>
              <w:rPr>
                <w:sz w:val="24"/>
                <w:szCs w:val="24"/>
              </w:rPr>
            </w:pPr>
            <w:r w:rsidRPr="00355D82">
              <w:rPr>
                <w:sz w:val="24"/>
                <w:szCs w:val="24"/>
              </w:rPr>
              <w:t>Sjælden</w:t>
            </w:r>
          </w:p>
        </w:tc>
        <w:tc>
          <w:tcPr>
            <w:tcW w:w="2734" w:type="pct"/>
            <w:tcBorders>
              <w:top w:val="single" w:sz="4" w:space="0" w:color="auto"/>
              <w:left w:val="single" w:sz="4" w:space="0" w:color="auto"/>
              <w:bottom w:val="single" w:sz="4" w:space="0" w:color="auto"/>
              <w:right w:val="single" w:sz="4" w:space="0" w:color="auto"/>
            </w:tcBorders>
            <w:hideMark/>
          </w:tcPr>
          <w:p w14:paraId="1BC605B9" w14:textId="77777777" w:rsidR="00E4750A" w:rsidRPr="00355D82" w:rsidRDefault="00E4750A">
            <w:pPr>
              <w:rPr>
                <w:sz w:val="24"/>
                <w:szCs w:val="24"/>
              </w:rPr>
            </w:pPr>
            <w:r w:rsidRPr="00355D82">
              <w:rPr>
                <w:sz w:val="24"/>
                <w:szCs w:val="24"/>
              </w:rPr>
              <w:t>Svimmelhed</w:t>
            </w:r>
          </w:p>
          <w:p w14:paraId="16D648ED" w14:textId="77777777" w:rsidR="00E4750A" w:rsidRPr="00355D82" w:rsidRDefault="00E4750A">
            <w:pPr>
              <w:rPr>
                <w:sz w:val="24"/>
                <w:szCs w:val="24"/>
              </w:rPr>
            </w:pPr>
            <w:r w:rsidRPr="00355D82">
              <w:rPr>
                <w:sz w:val="24"/>
                <w:szCs w:val="24"/>
              </w:rPr>
              <w:t>Hovedpine</w:t>
            </w:r>
          </w:p>
          <w:p w14:paraId="35B860D9" w14:textId="77777777" w:rsidR="00E4750A" w:rsidRPr="00355D82" w:rsidRDefault="00E4750A">
            <w:pPr>
              <w:rPr>
                <w:sz w:val="24"/>
                <w:szCs w:val="24"/>
              </w:rPr>
            </w:pPr>
            <w:proofErr w:type="spellStart"/>
            <w:r w:rsidRPr="00355D82">
              <w:rPr>
                <w:sz w:val="24"/>
                <w:szCs w:val="24"/>
              </w:rPr>
              <w:t>Paræstesi</w:t>
            </w:r>
            <w:proofErr w:type="spellEnd"/>
          </w:p>
        </w:tc>
      </w:tr>
      <w:tr w:rsidR="00E4750A" w:rsidRPr="00355D82" w14:paraId="36D430A2" w14:textId="77777777" w:rsidTr="00F65D87">
        <w:trPr>
          <w:trHeight w:val="340"/>
        </w:trPr>
        <w:tc>
          <w:tcPr>
            <w:tcW w:w="1250" w:type="pct"/>
            <w:vMerge w:val="restart"/>
            <w:tcBorders>
              <w:top w:val="single" w:sz="4" w:space="0" w:color="auto"/>
              <w:left w:val="single" w:sz="4" w:space="0" w:color="auto"/>
              <w:bottom w:val="single" w:sz="4" w:space="0" w:color="auto"/>
              <w:right w:val="single" w:sz="4" w:space="0" w:color="auto"/>
            </w:tcBorders>
          </w:tcPr>
          <w:p w14:paraId="4FAC4511" w14:textId="735413F1" w:rsidR="00E4750A" w:rsidRPr="00355D82" w:rsidRDefault="00E4750A" w:rsidP="00A5655F">
            <w:pPr>
              <w:rPr>
                <w:b/>
                <w:sz w:val="24"/>
                <w:szCs w:val="24"/>
              </w:rPr>
            </w:pPr>
            <w:r w:rsidRPr="00355D82">
              <w:rPr>
                <w:b/>
                <w:sz w:val="24"/>
                <w:szCs w:val="24"/>
              </w:rPr>
              <w:t>Psykiatriske lidelser</w:t>
            </w:r>
          </w:p>
        </w:tc>
        <w:tc>
          <w:tcPr>
            <w:tcW w:w="1016" w:type="pct"/>
            <w:tcBorders>
              <w:top w:val="single" w:sz="4" w:space="0" w:color="auto"/>
              <w:left w:val="single" w:sz="4" w:space="0" w:color="auto"/>
              <w:bottom w:val="single" w:sz="4" w:space="0" w:color="auto"/>
              <w:right w:val="single" w:sz="4" w:space="0" w:color="auto"/>
            </w:tcBorders>
            <w:hideMark/>
          </w:tcPr>
          <w:p w14:paraId="1EE287BA" w14:textId="77777777" w:rsidR="00E4750A" w:rsidRPr="00355D82" w:rsidRDefault="00E4750A">
            <w:pPr>
              <w:rPr>
                <w:sz w:val="24"/>
                <w:szCs w:val="24"/>
              </w:rPr>
            </w:pPr>
            <w:r w:rsidRPr="00355D82">
              <w:rPr>
                <w:sz w:val="24"/>
                <w:szCs w:val="24"/>
              </w:rPr>
              <w:t>Ikke almindelig</w:t>
            </w:r>
          </w:p>
        </w:tc>
        <w:tc>
          <w:tcPr>
            <w:tcW w:w="2734" w:type="pct"/>
            <w:tcBorders>
              <w:top w:val="single" w:sz="4" w:space="0" w:color="auto"/>
              <w:left w:val="single" w:sz="4" w:space="0" w:color="auto"/>
              <w:bottom w:val="single" w:sz="4" w:space="0" w:color="auto"/>
              <w:right w:val="single" w:sz="4" w:space="0" w:color="auto"/>
            </w:tcBorders>
            <w:hideMark/>
          </w:tcPr>
          <w:p w14:paraId="737DA948" w14:textId="77777777" w:rsidR="00E4750A" w:rsidRPr="00355D82" w:rsidRDefault="00E4750A">
            <w:pPr>
              <w:rPr>
                <w:sz w:val="24"/>
                <w:szCs w:val="24"/>
              </w:rPr>
            </w:pPr>
            <w:r w:rsidRPr="00355D82">
              <w:rPr>
                <w:sz w:val="24"/>
                <w:szCs w:val="24"/>
              </w:rPr>
              <w:t>Søvnforstyrrelser af den type, der er rapporteret for andre betablokkere</w:t>
            </w:r>
          </w:p>
        </w:tc>
      </w:tr>
      <w:tr w:rsidR="00E4750A" w:rsidRPr="00355D82" w14:paraId="23D0AB54" w14:textId="77777777" w:rsidTr="00F65D87">
        <w:trPr>
          <w:trHeight w:val="340"/>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055A8BE6" w14:textId="77777777" w:rsidR="00E4750A" w:rsidRPr="00355D82" w:rsidRDefault="00E4750A">
            <w:pPr>
              <w:rPr>
                <w:b/>
                <w:sz w:val="24"/>
                <w:szCs w:val="24"/>
              </w:rPr>
            </w:pPr>
          </w:p>
        </w:tc>
        <w:tc>
          <w:tcPr>
            <w:tcW w:w="1016" w:type="pct"/>
            <w:tcBorders>
              <w:top w:val="single" w:sz="4" w:space="0" w:color="auto"/>
              <w:left w:val="single" w:sz="4" w:space="0" w:color="auto"/>
              <w:bottom w:val="single" w:sz="4" w:space="0" w:color="auto"/>
              <w:right w:val="single" w:sz="4" w:space="0" w:color="auto"/>
            </w:tcBorders>
            <w:hideMark/>
          </w:tcPr>
          <w:p w14:paraId="7DB5B03F" w14:textId="77777777" w:rsidR="00E4750A" w:rsidRPr="00355D82" w:rsidRDefault="00E4750A">
            <w:pPr>
              <w:rPr>
                <w:sz w:val="24"/>
                <w:szCs w:val="24"/>
              </w:rPr>
            </w:pPr>
            <w:r w:rsidRPr="00355D82">
              <w:rPr>
                <w:sz w:val="24"/>
                <w:szCs w:val="24"/>
              </w:rPr>
              <w:t>Sjælden</w:t>
            </w:r>
          </w:p>
        </w:tc>
        <w:tc>
          <w:tcPr>
            <w:tcW w:w="2734" w:type="pct"/>
            <w:tcBorders>
              <w:top w:val="single" w:sz="4" w:space="0" w:color="auto"/>
              <w:left w:val="single" w:sz="4" w:space="0" w:color="auto"/>
              <w:bottom w:val="single" w:sz="4" w:space="0" w:color="auto"/>
              <w:right w:val="single" w:sz="4" w:space="0" w:color="auto"/>
            </w:tcBorders>
            <w:hideMark/>
          </w:tcPr>
          <w:p w14:paraId="3E375BD8" w14:textId="77777777" w:rsidR="00E4750A" w:rsidRPr="00355D82" w:rsidRDefault="00E4750A">
            <w:pPr>
              <w:rPr>
                <w:sz w:val="24"/>
                <w:szCs w:val="24"/>
              </w:rPr>
            </w:pPr>
            <w:r w:rsidRPr="00355D82">
              <w:rPr>
                <w:sz w:val="24"/>
                <w:szCs w:val="24"/>
              </w:rPr>
              <w:t>Humørsvingninger</w:t>
            </w:r>
          </w:p>
          <w:p w14:paraId="6CCB4A27" w14:textId="77777777" w:rsidR="00E4750A" w:rsidRPr="00355D82" w:rsidRDefault="00E4750A">
            <w:pPr>
              <w:rPr>
                <w:sz w:val="24"/>
                <w:szCs w:val="24"/>
              </w:rPr>
            </w:pPr>
            <w:r w:rsidRPr="00355D82">
              <w:rPr>
                <w:sz w:val="24"/>
                <w:szCs w:val="24"/>
              </w:rPr>
              <w:t>Depression</w:t>
            </w:r>
          </w:p>
          <w:p w14:paraId="4DE8AE75" w14:textId="77777777" w:rsidR="00E4750A" w:rsidRPr="00355D82" w:rsidRDefault="00E4750A">
            <w:pPr>
              <w:rPr>
                <w:sz w:val="24"/>
                <w:szCs w:val="24"/>
              </w:rPr>
            </w:pPr>
            <w:r w:rsidRPr="00355D82">
              <w:rPr>
                <w:sz w:val="24"/>
                <w:szCs w:val="24"/>
              </w:rPr>
              <w:t>Mareridt</w:t>
            </w:r>
          </w:p>
          <w:p w14:paraId="727994BE" w14:textId="77777777" w:rsidR="00E4750A" w:rsidRPr="00355D82" w:rsidRDefault="00E4750A">
            <w:pPr>
              <w:rPr>
                <w:sz w:val="24"/>
                <w:szCs w:val="24"/>
              </w:rPr>
            </w:pPr>
            <w:r w:rsidRPr="00355D82">
              <w:rPr>
                <w:sz w:val="24"/>
                <w:szCs w:val="24"/>
              </w:rPr>
              <w:t>Psykoser og hallucinationer</w:t>
            </w:r>
          </w:p>
          <w:p w14:paraId="3D4C3FD9" w14:textId="77777777" w:rsidR="00E4750A" w:rsidRPr="00355D82" w:rsidRDefault="00E4750A">
            <w:pPr>
              <w:rPr>
                <w:sz w:val="24"/>
                <w:szCs w:val="24"/>
              </w:rPr>
            </w:pPr>
            <w:r w:rsidRPr="00355D82">
              <w:rPr>
                <w:sz w:val="24"/>
                <w:szCs w:val="24"/>
              </w:rPr>
              <w:t>Konfusion</w:t>
            </w:r>
          </w:p>
          <w:p w14:paraId="313A475E" w14:textId="77777777" w:rsidR="00E4750A" w:rsidRPr="00355D82" w:rsidRDefault="00E4750A">
            <w:pPr>
              <w:rPr>
                <w:sz w:val="24"/>
                <w:szCs w:val="24"/>
              </w:rPr>
            </w:pPr>
            <w:r w:rsidRPr="00355D82">
              <w:rPr>
                <w:sz w:val="24"/>
                <w:szCs w:val="24"/>
              </w:rPr>
              <w:t>Angst</w:t>
            </w:r>
          </w:p>
        </w:tc>
      </w:tr>
      <w:tr w:rsidR="00E4750A" w:rsidRPr="00355D82" w14:paraId="05C8EE35" w14:textId="77777777" w:rsidTr="00F65D87">
        <w:trPr>
          <w:trHeight w:val="340"/>
        </w:trPr>
        <w:tc>
          <w:tcPr>
            <w:tcW w:w="1250" w:type="pct"/>
            <w:vMerge w:val="restart"/>
            <w:tcBorders>
              <w:top w:val="single" w:sz="4" w:space="0" w:color="auto"/>
              <w:left w:val="single" w:sz="4" w:space="0" w:color="auto"/>
              <w:bottom w:val="single" w:sz="4" w:space="0" w:color="auto"/>
              <w:right w:val="single" w:sz="4" w:space="0" w:color="auto"/>
            </w:tcBorders>
            <w:hideMark/>
          </w:tcPr>
          <w:p w14:paraId="1749889D" w14:textId="77777777" w:rsidR="00E4750A" w:rsidRPr="00355D82" w:rsidRDefault="00E4750A">
            <w:pPr>
              <w:rPr>
                <w:b/>
                <w:sz w:val="24"/>
                <w:szCs w:val="24"/>
              </w:rPr>
            </w:pPr>
            <w:r w:rsidRPr="00355D82">
              <w:rPr>
                <w:b/>
                <w:sz w:val="24"/>
                <w:szCs w:val="24"/>
              </w:rPr>
              <w:t>Mave-tarm-kanalen</w:t>
            </w:r>
          </w:p>
        </w:tc>
        <w:tc>
          <w:tcPr>
            <w:tcW w:w="1016" w:type="pct"/>
            <w:tcBorders>
              <w:top w:val="single" w:sz="4" w:space="0" w:color="auto"/>
              <w:left w:val="single" w:sz="4" w:space="0" w:color="auto"/>
              <w:bottom w:val="single" w:sz="4" w:space="0" w:color="auto"/>
              <w:right w:val="single" w:sz="4" w:space="0" w:color="auto"/>
            </w:tcBorders>
            <w:hideMark/>
          </w:tcPr>
          <w:p w14:paraId="7B0AB35E" w14:textId="77777777" w:rsidR="00E4750A" w:rsidRPr="00355D82" w:rsidRDefault="00E4750A">
            <w:pPr>
              <w:rPr>
                <w:sz w:val="24"/>
                <w:szCs w:val="24"/>
              </w:rPr>
            </w:pPr>
            <w:r w:rsidRPr="00355D82">
              <w:rPr>
                <w:sz w:val="24"/>
                <w:szCs w:val="24"/>
              </w:rPr>
              <w:t xml:space="preserve">Almindelig </w:t>
            </w:r>
          </w:p>
        </w:tc>
        <w:tc>
          <w:tcPr>
            <w:tcW w:w="2734" w:type="pct"/>
            <w:tcBorders>
              <w:top w:val="single" w:sz="4" w:space="0" w:color="auto"/>
              <w:left w:val="single" w:sz="4" w:space="0" w:color="auto"/>
              <w:bottom w:val="single" w:sz="4" w:space="0" w:color="auto"/>
              <w:right w:val="single" w:sz="4" w:space="0" w:color="auto"/>
            </w:tcBorders>
            <w:hideMark/>
          </w:tcPr>
          <w:p w14:paraId="64901029" w14:textId="77777777" w:rsidR="00E4750A" w:rsidRPr="00355D82" w:rsidRDefault="00E4750A">
            <w:pPr>
              <w:rPr>
                <w:sz w:val="24"/>
                <w:szCs w:val="24"/>
              </w:rPr>
            </w:pPr>
            <w:proofErr w:type="spellStart"/>
            <w:r w:rsidRPr="00355D82">
              <w:rPr>
                <w:sz w:val="24"/>
                <w:szCs w:val="24"/>
              </w:rPr>
              <w:t>Gastrointestinale</w:t>
            </w:r>
            <w:proofErr w:type="spellEnd"/>
            <w:r w:rsidRPr="00355D82">
              <w:rPr>
                <w:sz w:val="24"/>
                <w:szCs w:val="24"/>
              </w:rPr>
              <w:t xml:space="preserve"> lidelser, kvalme og opkastning, diarré og obstipation</w:t>
            </w:r>
          </w:p>
        </w:tc>
      </w:tr>
      <w:tr w:rsidR="00E4750A" w:rsidRPr="00355D82" w14:paraId="59D41129" w14:textId="77777777" w:rsidTr="00F65D87">
        <w:trPr>
          <w:trHeight w:val="340"/>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08671DA8" w14:textId="77777777" w:rsidR="00E4750A" w:rsidRPr="00355D82" w:rsidRDefault="00E4750A">
            <w:pPr>
              <w:rPr>
                <w:b/>
                <w:sz w:val="24"/>
                <w:szCs w:val="24"/>
              </w:rPr>
            </w:pPr>
          </w:p>
        </w:tc>
        <w:tc>
          <w:tcPr>
            <w:tcW w:w="1016" w:type="pct"/>
            <w:tcBorders>
              <w:top w:val="single" w:sz="4" w:space="0" w:color="auto"/>
              <w:left w:val="single" w:sz="4" w:space="0" w:color="auto"/>
              <w:bottom w:val="single" w:sz="4" w:space="0" w:color="auto"/>
              <w:right w:val="single" w:sz="4" w:space="0" w:color="auto"/>
            </w:tcBorders>
            <w:hideMark/>
          </w:tcPr>
          <w:p w14:paraId="76E9648F" w14:textId="77777777" w:rsidR="00E4750A" w:rsidRPr="00355D82" w:rsidRDefault="00E4750A">
            <w:pPr>
              <w:rPr>
                <w:sz w:val="24"/>
                <w:szCs w:val="24"/>
              </w:rPr>
            </w:pPr>
            <w:r w:rsidRPr="00355D82">
              <w:rPr>
                <w:sz w:val="24"/>
                <w:szCs w:val="24"/>
              </w:rPr>
              <w:t>Sjælden</w:t>
            </w:r>
          </w:p>
        </w:tc>
        <w:tc>
          <w:tcPr>
            <w:tcW w:w="2734" w:type="pct"/>
            <w:tcBorders>
              <w:top w:val="single" w:sz="4" w:space="0" w:color="auto"/>
              <w:left w:val="single" w:sz="4" w:space="0" w:color="auto"/>
              <w:bottom w:val="single" w:sz="4" w:space="0" w:color="auto"/>
              <w:right w:val="single" w:sz="4" w:space="0" w:color="auto"/>
            </w:tcBorders>
            <w:hideMark/>
          </w:tcPr>
          <w:p w14:paraId="72C3BA6E" w14:textId="77777777" w:rsidR="00E4750A" w:rsidRPr="00355D82" w:rsidRDefault="00E4750A">
            <w:pPr>
              <w:rPr>
                <w:sz w:val="24"/>
                <w:szCs w:val="24"/>
              </w:rPr>
            </w:pPr>
            <w:r w:rsidRPr="00355D82">
              <w:rPr>
                <w:sz w:val="24"/>
                <w:szCs w:val="24"/>
              </w:rPr>
              <w:t>Mundtørhed</w:t>
            </w:r>
          </w:p>
        </w:tc>
      </w:tr>
      <w:tr w:rsidR="00E4750A" w:rsidRPr="00355D82" w14:paraId="1ED4BBF4" w14:textId="77777777" w:rsidTr="00F65D87">
        <w:trPr>
          <w:trHeight w:val="340"/>
        </w:trPr>
        <w:tc>
          <w:tcPr>
            <w:tcW w:w="1250" w:type="pct"/>
            <w:tcBorders>
              <w:top w:val="single" w:sz="4" w:space="0" w:color="auto"/>
              <w:left w:val="single" w:sz="4" w:space="0" w:color="auto"/>
              <w:bottom w:val="single" w:sz="4" w:space="0" w:color="auto"/>
              <w:right w:val="single" w:sz="4" w:space="0" w:color="auto"/>
            </w:tcBorders>
            <w:hideMark/>
          </w:tcPr>
          <w:p w14:paraId="37A32DD5" w14:textId="77777777" w:rsidR="00E4750A" w:rsidRPr="00355D82" w:rsidRDefault="00E4750A">
            <w:pPr>
              <w:rPr>
                <w:b/>
                <w:sz w:val="24"/>
                <w:szCs w:val="24"/>
              </w:rPr>
            </w:pPr>
            <w:r w:rsidRPr="00355D82">
              <w:rPr>
                <w:b/>
                <w:sz w:val="24"/>
                <w:szCs w:val="24"/>
              </w:rPr>
              <w:t>Lever- og galdeveje</w:t>
            </w:r>
          </w:p>
        </w:tc>
        <w:tc>
          <w:tcPr>
            <w:tcW w:w="1016" w:type="pct"/>
            <w:tcBorders>
              <w:top w:val="single" w:sz="4" w:space="0" w:color="auto"/>
              <w:left w:val="single" w:sz="4" w:space="0" w:color="auto"/>
              <w:bottom w:val="single" w:sz="4" w:space="0" w:color="auto"/>
              <w:right w:val="single" w:sz="4" w:space="0" w:color="auto"/>
            </w:tcBorders>
            <w:hideMark/>
          </w:tcPr>
          <w:p w14:paraId="0A22195A" w14:textId="77777777" w:rsidR="00E4750A" w:rsidRPr="00355D82" w:rsidRDefault="00E4750A">
            <w:pPr>
              <w:rPr>
                <w:sz w:val="24"/>
                <w:szCs w:val="24"/>
              </w:rPr>
            </w:pPr>
            <w:r w:rsidRPr="00355D82">
              <w:rPr>
                <w:sz w:val="24"/>
                <w:szCs w:val="24"/>
              </w:rPr>
              <w:t>Sjælden</w:t>
            </w:r>
          </w:p>
        </w:tc>
        <w:tc>
          <w:tcPr>
            <w:tcW w:w="2734" w:type="pct"/>
            <w:tcBorders>
              <w:top w:val="single" w:sz="4" w:space="0" w:color="auto"/>
              <w:left w:val="single" w:sz="4" w:space="0" w:color="auto"/>
              <w:bottom w:val="single" w:sz="4" w:space="0" w:color="auto"/>
              <w:right w:val="single" w:sz="4" w:space="0" w:color="auto"/>
            </w:tcBorders>
            <w:hideMark/>
          </w:tcPr>
          <w:p w14:paraId="5933446C" w14:textId="77777777" w:rsidR="00E4750A" w:rsidRPr="00355D82" w:rsidRDefault="00E4750A">
            <w:pPr>
              <w:rPr>
                <w:sz w:val="24"/>
                <w:szCs w:val="24"/>
              </w:rPr>
            </w:pPr>
            <w:r w:rsidRPr="00355D82">
              <w:rPr>
                <w:sz w:val="24"/>
                <w:szCs w:val="24"/>
              </w:rPr>
              <w:t xml:space="preserve">Levertoksicitet inklusive </w:t>
            </w:r>
            <w:proofErr w:type="spellStart"/>
            <w:r w:rsidRPr="00355D82">
              <w:rPr>
                <w:sz w:val="24"/>
                <w:szCs w:val="24"/>
              </w:rPr>
              <w:t>intrahepatisk</w:t>
            </w:r>
            <w:proofErr w:type="spellEnd"/>
            <w:r w:rsidRPr="00355D82">
              <w:rPr>
                <w:sz w:val="24"/>
                <w:szCs w:val="24"/>
              </w:rPr>
              <w:t xml:space="preserve"> </w:t>
            </w:r>
            <w:proofErr w:type="spellStart"/>
            <w:r w:rsidRPr="00355D82">
              <w:rPr>
                <w:sz w:val="24"/>
                <w:szCs w:val="24"/>
              </w:rPr>
              <w:t>cholestasis</w:t>
            </w:r>
            <w:proofErr w:type="spellEnd"/>
          </w:p>
        </w:tc>
      </w:tr>
      <w:tr w:rsidR="00E4750A" w:rsidRPr="00355D82" w14:paraId="3B150800" w14:textId="77777777" w:rsidTr="00F65D87">
        <w:trPr>
          <w:trHeight w:val="340"/>
        </w:trPr>
        <w:tc>
          <w:tcPr>
            <w:tcW w:w="1250" w:type="pct"/>
            <w:tcBorders>
              <w:top w:val="single" w:sz="4" w:space="0" w:color="auto"/>
              <w:left w:val="single" w:sz="4" w:space="0" w:color="auto"/>
              <w:bottom w:val="single" w:sz="4" w:space="0" w:color="auto"/>
              <w:right w:val="single" w:sz="4" w:space="0" w:color="auto"/>
            </w:tcBorders>
            <w:hideMark/>
          </w:tcPr>
          <w:p w14:paraId="623B3583" w14:textId="77777777" w:rsidR="00E4750A" w:rsidRPr="00355D82" w:rsidRDefault="00E4750A">
            <w:pPr>
              <w:rPr>
                <w:sz w:val="24"/>
                <w:szCs w:val="24"/>
              </w:rPr>
            </w:pPr>
            <w:r w:rsidRPr="00355D82">
              <w:rPr>
                <w:b/>
                <w:sz w:val="24"/>
                <w:szCs w:val="24"/>
              </w:rPr>
              <w:t>Blod og lymfesystem</w:t>
            </w:r>
          </w:p>
        </w:tc>
        <w:tc>
          <w:tcPr>
            <w:tcW w:w="1016" w:type="pct"/>
            <w:tcBorders>
              <w:top w:val="single" w:sz="4" w:space="0" w:color="auto"/>
              <w:left w:val="single" w:sz="4" w:space="0" w:color="auto"/>
              <w:bottom w:val="single" w:sz="4" w:space="0" w:color="auto"/>
              <w:right w:val="single" w:sz="4" w:space="0" w:color="auto"/>
            </w:tcBorders>
            <w:hideMark/>
          </w:tcPr>
          <w:p w14:paraId="1480D36F" w14:textId="77777777" w:rsidR="00E4750A" w:rsidRPr="00355D82" w:rsidRDefault="00E4750A">
            <w:pPr>
              <w:rPr>
                <w:sz w:val="24"/>
                <w:szCs w:val="24"/>
              </w:rPr>
            </w:pPr>
            <w:r w:rsidRPr="00355D82">
              <w:rPr>
                <w:sz w:val="24"/>
                <w:szCs w:val="24"/>
              </w:rPr>
              <w:t>Sjælden</w:t>
            </w:r>
          </w:p>
        </w:tc>
        <w:tc>
          <w:tcPr>
            <w:tcW w:w="2734" w:type="pct"/>
            <w:tcBorders>
              <w:top w:val="single" w:sz="4" w:space="0" w:color="auto"/>
              <w:left w:val="single" w:sz="4" w:space="0" w:color="auto"/>
              <w:bottom w:val="single" w:sz="4" w:space="0" w:color="auto"/>
              <w:right w:val="single" w:sz="4" w:space="0" w:color="auto"/>
            </w:tcBorders>
            <w:hideMark/>
          </w:tcPr>
          <w:p w14:paraId="2D3C11EE" w14:textId="77777777" w:rsidR="00E4750A" w:rsidRPr="00355D82" w:rsidRDefault="00E4750A">
            <w:pPr>
              <w:rPr>
                <w:sz w:val="24"/>
                <w:szCs w:val="24"/>
              </w:rPr>
            </w:pPr>
            <w:proofErr w:type="spellStart"/>
            <w:r w:rsidRPr="00355D82">
              <w:rPr>
                <w:sz w:val="24"/>
                <w:szCs w:val="24"/>
              </w:rPr>
              <w:t>Purpura</w:t>
            </w:r>
            <w:proofErr w:type="spellEnd"/>
          </w:p>
          <w:p w14:paraId="7488B1AC" w14:textId="77777777" w:rsidR="00E4750A" w:rsidRPr="00355D82" w:rsidRDefault="00E4750A">
            <w:pPr>
              <w:rPr>
                <w:sz w:val="24"/>
                <w:szCs w:val="24"/>
              </w:rPr>
            </w:pPr>
            <w:proofErr w:type="spellStart"/>
            <w:r w:rsidRPr="00355D82">
              <w:rPr>
                <w:sz w:val="24"/>
                <w:szCs w:val="24"/>
              </w:rPr>
              <w:t>Trombocytopeni</w:t>
            </w:r>
            <w:proofErr w:type="spellEnd"/>
          </w:p>
        </w:tc>
      </w:tr>
      <w:tr w:rsidR="00E4750A" w:rsidRPr="00355D82" w14:paraId="79457AFE" w14:textId="77777777" w:rsidTr="00F65D87">
        <w:trPr>
          <w:trHeight w:val="340"/>
        </w:trPr>
        <w:tc>
          <w:tcPr>
            <w:tcW w:w="1250" w:type="pct"/>
            <w:vMerge w:val="restart"/>
            <w:tcBorders>
              <w:top w:val="single" w:sz="4" w:space="0" w:color="auto"/>
              <w:left w:val="single" w:sz="4" w:space="0" w:color="auto"/>
              <w:bottom w:val="single" w:sz="4" w:space="0" w:color="auto"/>
              <w:right w:val="single" w:sz="4" w:space="0" w:color="auto"/>
            </w:tcBorders>
            <w:hideMark/>
          </w:tcPr>
          <w:p w14:paraId="30E0ACDC" w14:textId="77777777" w:rsidR="00E4750A" w:rsidRPr="00355D82" w:rsidRDefault="00E4750A">
            <w:pPr>
              <w:rPr>
                <w:b/>
                <w:sz w:val="24"/>
                <w:szCs w:val="24"/>
              </w:rPr>
            </w:pPr>
            <w:r w:rsidRPr="00355D82">
              <w:rPr>
                <w:b/>
                <w:sz w:val="24"/>
                <w:szCs w:val="24"/>
              </w:rPr>
              <w:t>Hud og subkutane væv</w:t>
            </w:r>
          </w:p>
        </w:tc>
        <w:tc>
          <w:tcPr>
            <w:tcW w:w="1016" w:type="pct"/>
            <w:tcBorders>
              <w:top w:val="single" w:sz="4" w:space="0" w:color="auto"/>
              <w:left w:val="single" w:sz="4" w:space="0" w:color="auto"/>
              <w:bottom w:val="single" w:sz="4" w:space="0" w:color="auto"/>
              <w:right w:val="single" w:sz="4" w:space="0" w:color="auto"/>
            </w:tcBorders>
            <w:hideMark/>
          </w:tcPr>
          <w:p w14:paraId="36544AFD" w14:textId="77777777" w:rsidR="00E4750A" w:rsidRPr="00355D82" w:rsidRDefault="00E4750A">
            <w:pPr>
              <w:rPr>
                <w:sz w:val="24"/>
                <w:szCs w:val="24"/>
              </w:rPr>
            </w:pPr>
            <w:r w:rsidRPr="00355D82">
              <w:rPr>
                <w:sz w:val="24"/>
                <w:szCs w:val="24"/>
              </w:rPr>
              <w:t>Sjælden</w:t>
            </w:r>
          </w:p>
        </w:tc>
        <w:tc>
          <w:tcPr>
            <w:tcW w:w="2734" w:type="pct"/>
            <w:tcBorders>
              <w:top w:val="single" w:sz="4" w:space="0" w:color="auto"/>
              <w:left w:val="single" w:sz="4" w:space="0" w:color="auto"/>
              <w:bottom w:val="single" w:sz="4" w:space="0" w:color="auto"/>
              <w:right w:val="single" w:sz="4" w:space="0" w:color="auto"/>
            </w:tcBorders>
            <w:hideMark/>
          </w:tcPr>
          <w:p w14:paraId="5ACDA84C" w14:textId="77777777" w:rsidR="00E4750A" w:rsidRPr="00355D82" w:rsidRDefault="00E4750A">
            <w:pPr>
              <w:rPr>
                <w:sz w:val="24"/>
                <w:szCs w:val="24"/>
              </w:rPr>
            </w:pPr>
            <w:proofErr w:type="spellStart"/>
            <w:r w:rsidRPr="00355D82">
              <w:rPr>
                <w:sz w:val="24"/>
                <w:szCs w:val="24"/>
              </w:rPr>
              <w:t>Alopeci</w:t>
            </w:r>
            <w:proofErr w:type="spellEnd"/>
          </w:p>
          <w:p w14:paraId="1EBE4407" w14:textId="77777777" w:rsidR="00E4750A" w:rsidRPr="00355D82" w:rsidRDefault="00E4750A">
            <w:pPr>
              <w:rPr>
                <w:sz w:val="24"/>
                <w:szCs w:val="24"/>
              </w:rPr>
            </w:pPr>
            <w:r w:rsidRPr="00355D82">
              <w:rPr>
                <w:sz w:val="24"/>
                <w:szCs w:val="24"/>
              </w:rPr>
              <w:t>Hudreaktioner af psoriasis-typen</w:t>
            </w:r>
          </w:p>
          <w:p w14:paraId="044480E9" w14:textId="77777777" w:rsidR="00E4750A" w:rsidRPr="00355D82" w:rsidRDefault="00E4750A">
            <w:pPr>
              <w:rPr>
                <w:sz w:val="24"/>
                <w:szCs w:val="24"/>
              </w:rPr>
            </w:pPr>
            <w:r w:rsidRPr="00355D82">
              <w:rPr>
                <w:sz w:val="24"/>
                <w:szCs w:val="24"/>
              </w:rPr>
              <w:t>Forværring af psoriasis</w:t>
            </w:r>
          </w:p>
          <w:p w14:paraId="53121F3E" w14:textId="77777777" w:rsidR="00E4750A" w:rsidRPr="00355D82" w:rsidRDefault="00E4750A">
            <w:pPr>
              <w:rPr>
                <w:sz w:val="24"/>
                <w:szCs w:val="24"/>
              </w:rPr>
            </w:pPr>
            <w:r w:rsidRPr="00355D82">
              <w:rPr>
                <w:sz w:val="24"/>
                <w:szCs w:val="24"/>
              </w:rPr>
              <w:t>Hududslæt</w:t>
            </w:r>
          </w:p>
        </w:tc>
      </w:tr>
      <w:tr w:rsidR="00E4750A" w:rsidRPr="00355D82" w14:paraId="2953672C" w14:textId="77777777" w:rsidTr="00F65D87">
        <w:trPr>
          <w:trHeight w:val="340"/>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798C4A92" w14:textId="77777777" w:rsidR="00E4750A" w:rsidRPr="00355D82" w:rsidRDefault="00E4750A">
            <w:pPr>
              <w:rPr>
                <w:b/>
                <w:sz w:val="24"/>
                <w:szCs w:val="24"/>
              </w:rPr>
            </w:pPr>
          </w:p>
        </w:tc>
        <w:tc>
          <w:tcPr>
            <w:tcW w:w="1016" w:type="pct"/>
            <w:tcBorders>
              <w:top w:val="single" w:sz="4" w:space="0" w:color="auto"/>
              <w:left w:val="single" w:sz="4" w:space="0" w:color="auto"/>
              <w:bottom w:val="single" w:sz="4" w:space="0" w:color="auto"/>
              <w:right w:val="single" w:sz="4" w:space="0" w:color="auto"/>
            </w:tcBorders>
            <w:hideMark/>
          </w:tcPr>
          <w:p w14:paraId="1615BD40" w14:textId="77777777" w:rsidR="00E4750A" w:rsidRPr="00355D82" w:rsidRDefault="00E4750A">
            <w:pPr>
              <w:rPr>
                <w:sz w:val="24"/>
                <w:szCs w:val="24"/>
              </w:rPr>
            </w:pPr>
            <w:r w:rsidRPr="00355D82">
              <w:rPr>
                <w:sz w:val="24"/>
                <w:szCs w:val="24"/>
              </w:rPr>
              <w:t>Ikke kendt</w:t>
            </w:r>
          </w:p>
        </w:tc>
        <w:tc>
          <w:tcPr>
            <w:tcW w:w="2734" w:type="pct"/>
            <w:tcBorders>
              <w:top w:val="single" w:sz="4" w:space="0" w:color="auto"/>
              <w:left w:val="single" w:sz="4" w:space="0" w:color="auto"/>
              <w:bottom w:val="single" w:sz="4" w:space="0" w:color="auto"/>
              <w:right w:val="single" w:sz="4" w:space="0" w:color="auto"/>
            </w:tcBorders>
            <w:hideMark/>
          </w:tcPr>
          <w:p w14:paraId="5B09FD9D" w14:textId="77777777" w:rsidR="00E4750A" w:rsidRPr="00355D82" w:rsidRDefault="00E4750A">
            <w:pPr>
              <w:rPr>
                <w:sz w:val="24"/>
                <w:szCs w:val="24"/>
              </w:rPr>
            </w:pPr>
            <w:r w:rsidRPr="00355D82">
              <w:rPr>
                <w:sz w:val="24"/>
                <w:szCs w:val="24"/>
              </w:rPr>
              <w:t xml:space="preserve">Hypersensitivitetsreaktioner inklusive </w:t>
            </w:r>
            <w:proofErr w:type="spellStart"/>
            <w:r w:rsidRPr="00355D82">
              <w:rPr>
                <w:sz w:val="24"/>
                <w:szCs w:val="24"/>
              </w:rPr>
              <w:t>angioødem</w:t>
            </w:r>
            <w:proofErr w:type="spellEnd"/>
            <w:r w:rsidRPr="00355D82">
              <w:rPr>
                <w:sz w:val="24"/>
                <w:szCs w:val="24"/>
              </w:rPr>
              <w:t xml:space="preserve"> og </w:t>
            </w:r>
            <w:proofErr w:type="spellStart"/>
            <w:r w:rsidRPr="00355D82">
              <w:rPr>
                <w:sz w:val="24"/>
                <w:szCs w:val="24"/>
              </w:rPr>
              <w:t>urticaria</w:t>
            </w:r>
            <w:proofErr w:type="spellEnd"/>
          </w:p>
        </w:tc>
      </w:tr>
      <w:tr w:rsidR="00E4750A" w:rsidRPr="00355D82" w14:paraId="2BB5AFDA" w14:textId="77777777" w:rsidTr="00F65D87">
        <w:trPr>
          <w:trHeight w:val="340"/>
        </w:trPr>
        <w:tc>
          <w:tcPr>
            <w:tcW w:w="1250" w:type="pct"/>
            <w:tcBorders>
              <w:top w:val="single" w:sz="4" w:space="0" w:color="auto"/>
              <w:left w:val="single" w:sz="4" w:space="0" w:color="auto"/>
              <w:bottom w:val="single" w:sz="4" w:space="0" w:color="auto"/>
              <w:right w:val="single" w:sz="4" w:space="0" w:color="auto"/>
            </w:tcBorders>
            <w:hideMark/>
          </w:tcPr>
          <w:p w14:paraId="7FA9D57A" w14:textId="77777777" w:rsidR="00E4750A" w:rsidRPr="00355D82" w:rsidRDefault="00E4750A">
            <w:pPr>
              <w:rPr>
                <w:b/>
                <w:sz w:val="24"/>
                <w:szCs w:val="24"/>
              </w:rPr>
            </w:pPr>
            <w:r w:rsidRPr="00355D82">
              <w:rPr>
                <w:b/>
                <w:sz w:val="24"/>
                <w:szCs w:val="24"/>
              </w:rPr>
              <w:t>Knogler, led, muskler og bindevæv</w:t>
            </w:r>
          </w:p>
        </w:tc>
        <w:tc>
          <w:tcPr>
            <w:tcW w:w="1016" w:type="pct"/>
            <w:tcBorders>
              <w:top w:val="single" w:sz="4" w:space="0" w:color="auto"/>
              <w:left w:val="single" w:sz="4" w:space="0" w:color="auto"/>
              <w:bottom w:val="single" w:sz="4" w:space="0" w:color="auto"/>
              <w:right w:val="single" w:sz="4" w:space="0" w:color="auto"/>
            </w:tcBorders>
            <w:hideMark/>
          </w:tcPr>
          <w:p w14:paraId="316FA900" w14:textId="77777777" w:rsidR="00E4750A" w:rsidRPr="00355D82" w:rsidRDefault="00E4750A">
            <w:pPr>
              <w:rPr>
                <w:sz w:val="24"/>
                <w:szCs w:val="24"/>
              </w:rPr>
            </w:pPr>
            <w:r w:rsidRPr="00355D82">
              <w:rPr>
                <w:sz w:val="24"/>
                <w:szCs w:val="24"/>
              </w:rPr>
              <w:t>Ikke kendt</w:t>
            </w:r>
          </w:p>
        </w:tc>
        <w:tc>
          <w:tcPr>
            <w:tcW w:w="2734" w:type="pct"/>
            <w:tcBorders>
              <w:top w:val="single" w:sz="4" w:space="0" w:color="auto"/>
              <w:left w:val="single" w:sz="4" w:space="0" w:color="auto"/>
              <w:bottom w:val="single" w:sz="4" w:space="0" w:color="auto"/>
              <w:right w:val="single" w:sz="4" w:space="0" w:color="auto"/>
            </w:tcBorders>
            <w:hideMark/>
          </w:tcPr>
          <w:p w14:paraId="23B32C42" w14:textId="77777777" w:rsidR="00E4750A" w:rsidRPr="00355D82" w:rsidRDefault="00E4750A">
            <w:pPr>
              <w:rPr>
                <w:sz w:val="24"/>
                <w:szCs w:val="24"/>
              </w:rPr>
            </w:pPr>
            <w:r w:rsidRPr="00355D82">
              <w:rPr>
                <w:sz w:val="24"/>
                <w:szCs w:val="24"/>
              </w:rPr>
              <w:t>Lupus-lignende syndrom</w:t>
            </w:r>
          </w:p>
        </w:tc>
      </w:tr>
      <w:tr w:rsidR="00E4750A" w:rsidRPr="00355D82" w14:paraId="08FBB4F1" w14:textId="77777777" w:rsidTr="00F65D87">
        <w:trPr>
          <w:trHeight w:val="340"/>
        </w:trPr>
        <w:tc>
          <w:tcPr>
            <w:tcW w:w="1250" w:type="pct"/>
            <w:tcBorders>
              <w:top w:val="single" w:sz="4" w:space="0" w:color="auto"/>
              <w:left w:val="single" w:sz="4" w:space="0" w:color="auto"/>
              <w:bottom w:val="single" w:sz="4" w:space="0" w:color="auto"/>
              <w:right w:val="single" w:sz="4" w:space="0" w:color="auto"/>
            </w:tcBorders>
            <w:hideMark/>
          </w:tcPr>
          <w:p w14:paraId="742809CC" w14:textId="77777777" w:rsidR="00E4750A" w:rsidRPr="00355D82" w:rsidRDefault="00E4750A">
            <w:pPr>
              <w:rPr>
                <w:sz w:val="24"/>
                <w:szCs w:val="24"/>
              </w:rPr>
            </w:pPr>
            <w:r w:rsidRPr="00355D82">
              <w:rPr>
                <w:b/>
                <w:sz w:val="24"/>
                <w:szCs w:val="24"/>
              </w:rPr>
              <w:t>Øjne</w:t>
            </w:r>
          </w:p>
        </w:tc>
        <w:tc>
          <w:tcPr>
            <w:tcW w:w="1016" w:type="pct"/>
            <w:tcBorders>
              <w:top w:val="single" w:sz="4" w:space="0" w:color="auto"/>
              <w:left w:val="single" w:sz="4" w:space="0" w:color="auto"/>
              <w:bottom w:val="single" w:sz="4" w:space="0" w:color="auto"/>
              <w:right w:val="single" w:sz="4" w:space="0" w:color="auto"/>
            </w:tcBorders>
            <w:hideMark/>
          </w:tcPr>
          <w:p w14:paraId="3F0CBB83" w14:textId="77777777" w:rsidR="00E4750A" w:rsidRPr="00355D82" w:rsidRDefault="00E4750A">
            <w:pPr>
              <w:rPr>
                <w:sz w:val="24"/>
                <w:szCs w:val="24"/>
              </w:rPr>
            </w:pPr>
            <w:r w:rsidRPr="00355D82">
              <w:rPr>
                <w:sz w:val="24"/>
                <w:szCs w:val="24"/>
              </w:rPr>
              <w:t>Sjælden</w:t>
            </w:r>
          </w:p>
        </w:tc>
        <w:tc>
          <w:tcPr>
            <w:tcW w:w="2734" w:type="pct"/>
            <w:tcBorders>
              <w:top w:val="single" w:sz="4" w:space="0" w:color="auto"/>
              <w:left w:val="single" w:sz="4" w:space="0" w:color="auto"/>
              <w:bottom w:val="single" w:sz="4" w:space="0" w:color="auto"/>
              <w:right w:val="single" w:sz="4" w:space="0" w:color="auto"/>
            </w:tcBorders>
            <w:hideMark/>
          </w:tcPr>
          <w:p w14:paraId="668279B6" w14:textId="77777777" w:rsidR="00E4750A" w:rsidRPr="00355D82" w:rsidRDefault="00E4750A">
            <w:pPr>
              <w:rPr>
                <w:sz w:val="24"/>
                <w:szCs w:val="24"/>
              </w:rPr>
            </w:pPr>
            <w:r w:rsidRPr="00355D82">
              <w:rPr>
                <w:sz w:val="24"/>
                <w:szCs w:val="24"/>
              </w:rPr>
              <w:t>Øjentørhed</w:t>
            </w:r>
          </w:p>
          <w:p w14:paraId="36843540" w14:textId="77777777" w:rsidR="00E4750A" w:rsidRPr="00355D82" w:rsidRDefault="00E4750A">
            <w:pPr>
              <w:rPr>
                <w:sz w:val="24"/>
                <w:szCs w:val="24"/>
              </w:rPr>
            </w:pPr>
            <w:r w:rsidRPr="00355D82">
              <w:rPr>
                <w:sz w:val="24"/>
                <w:szCs w:val="24"/>
              </w:rPr>
              <w:t>Synsforstyrrelser</w:t>
            </w:r>
          </w:p>
        </w:tc>
      </w:tr>
      <w:tr w:rsidR="00E4750A" w:rsidRPr="00355D82" w14:paraId="2CB7EC80" w14:textId="77777777" w:rsidTr="00F65D87">
        <w:trPr>
          <w:trHeight w:val="340"/>
        </w:trPr>
        <w:tc>
          <w:tcPr>
            <w:tcW w:w="1250" w:type="pct"/>
            <w:tcBorders>
              <w:top w:val="single" w:sz="4" w:space="0" w:color="auto"/>
              <w:left w:val="single" w:sz="4" w:space="0" w:color="auto"/>
              <w:bottom w:val="single" w:sz="4" w:space="0" w:color="auto"/>
              <w:right w:val="single" w:sz="4" w:space="0" w:color="auto"/>
            </w:tcBorders>
            <w:hideMark/>
          </w:tcPr>
          <w:p w14:paraId="3B59291D" w14:textId="77777777" w:rsidR="00E4750A" w:rsidRPr="00355D82" w:rsidRDefault="00E4750A">
            <w:pPr>
              <w:rPr>
                <w:b/>
                <w:sz w:val="24"/>
                <w:szCs w:val="24"/>
              </w:rPr>
            </w:pPr>
            <w:r w:rsidRPr="00355D82">
              <w:rPr>
                <w:b/>
                <w:sz w:val="24"/>
                <w:szCs w:val="24"/>
              </w:rPr>
              <w:t>Det reproduktive system og mammae</w:t>
            </w:r>
          </w:p>
        </w:tc>
        <w:tc>
          <w:tcPr>
            <w:tcW w:w="1016" w:type="pct"/>
            <w:tcBorders>
              <w:top w:val="single" w:sz="4" w:space="0" w:color="auto"/>
              <w:left w:val="single" w:sz="4" w:space="0" w:color="auto"/>
              <w:bottom w:val="single" w:sz="4" w:space="0" w:color="auto"/>
              <w:right w:val="single" w:sz="4" w:space="0" w:color="auto"/>
            </w:tcBorders>
            <w:hideMark/>
          </w:tcPr>
          <w:p w14:paraId="668B13C7" w14:textId="77777777" w:rsidR="00E4750A" w:rsidRPr="00355D82" w:rsidRDefault="00E4750A">
            <w:pPr>
              <w:rPr>
                <w:sz w:val="24"/>
                <w:szCs w:val="24"/>
              </w:rPr>
            </w:pPr>
            <w:r w:rsidRPr="00355D82">
              <w:rPr>
                <w:sz w:val="24"/>
                <w:szCs w:val="24"/>
              </w:rPr>
              <w:t>Sjælden</w:t>
            </w:r>
          </w:p>
        </w:tc>
        <w:tc>
          <w:tcPr>
            <w:tcW w:w="2734" w:type="pct"/>
            <w:tcBorders>
              <w:top w:val="single" w:sz="4" w:space="0" w:color="auto"/>
              <w:left w:val="single" w:sz="4" w:space="0" w:color="auto"/>
              <w:bottom w:val="single" w:sz="4" w:space="0" w:color="auto"/>
              <w:right w:val="single" w:sz="4" w:space="0" w:color="auto"/>
            </w:tcBorders>
            <w:hideMark/>
          </w:tcPr>
          <w:p w14:paraId="008295C2" w14:textId="77777777" w:rsidR="00E4750A" w:rsidRPr="00355D82" w:rsidRDefault="00E4750A">
            <w:pPr>
              <w:rPr>
                <w:sz w:val="24"/>
                <w:szCs w:val="24"/>
              </w:rPr>
            </w:pPr>
            <w:r w:rsidRPr="00355D82">
              <w:rPr>
                <w:sz w:val="24"/>
                <w:szCs w:val="24"/>
              </w:rPr>
              <w:t>Impotens</w:t>
            </w:r>
          </w:p>
        </w:tc>
      </w:tr>
      <w:tr w:rsidR="00E4750A" w:rsidRPr="00355D82" w14:paraId="629AC76C" w14:textId="77777777" w:rsidTr="00F65D87">
        <w:trPr>
          <w:trHeight w:val="340"/>
        </w:trPr>
        <w:tc>
          <w:tcPr>
            <w:tcW w:w="1250" w:type="pct"/>
            <w:tcBorders>
              <w:top w:val="single" w:sz="4" w:space="0" w:color="auto"/>
              <w:left w:val="single" w:sz="4" w:space="0" w:color="auto"/>
              <w:bottom w:val="single" w:sz="4" w:space="0" w:color="auto"/>
              <w:right w:val="single" w:sz="4" w:space="0" w:color="auto"/>
            </w:tcBorders>
            <w:hideMark/>
          </w:tcPr>
          <w:p w14:paraId="26F8A6BF" w14:textId="77777777" w:rsidR="00E4750A" w:rsidRPr="00355D82" w:rsidRDefault="00E4750A">
            <w:pPr>
              <w:rPr>
                <w:sz w:val="24"/>
                <w:szCs w:val="24"/>
              </w:rPr>
            </w:pPr>
            <w:r w:rsidRPr="00355D82">
              <w:rPr>
                <w:b/>
                <w:sz w:val="24"/>
                <w:szCs w:val="24"/>
              </w:rPr>
              <w:t xml:space="preserve">Luftveje, thorax og </w:t>
            </w:r>
            <w:proofErr w:type="spellStart"/>
            <w:r w:rsidRPr="00355D82">
              <w:rPr>
                <w:b/>
                <w:sz w:val="24"/>
                <w:szCs w:val="24"/>
              </w:rPr>
              <w:t>mediastinum</w:t>
            </w:r>
            <w:proofErr w:type="spellEnd"/>
          </w:p>
        </w:tc>
        <w:tc>
          <w:tcPr>
            <w:tcW w:w="1016" w:type="pct"/>
            <w:tcBorders>
              <w:top w:val="single" w:sz="4" w:space="0" w:color="auto"/>
              <w:left w:val="single" w:sz="4" w:space="0" w:color="auto"/>
              <w:bottom w:val="single" w:sz="4" w:space="0" w:color="auto"/>
              <w:right w:val="single" w:sz="4" w:space="0" w:color="auto"/>
            </w:tcBorders>
            <w:hideMark/>
          </w:tcPr>
          <w:p w14:paraId="2C21ADDD" w14:textId="77777777" w:rsidR="00E4750A" w:rsidRPr="00355D82" w:rsidRDefault="00E4750A">
            <w:pPr>
              <w:rPr>
                <w:sz w:val="24"/>
                <w:szCs w:val="24"/>
              </w:rPr>
            </w:pPr>
            <w:r w:rsidRPr="00355D82">
              <w:rPr>
                <w:sz w:val="24"/>
                <w:szCs w:val="24"/>
              </w:rPr>
              <w:t>Sjælden</w:t>
            </w:r>
          </w:p>
        </w:tc>
        <w:tc>
          <w:tcPr>
            <w:tcW w:w="2734" w:type="pct"/>
            <w:tcBorders>
              <w:top w:val="single" w:sz="4" w:space="0" w:color="auto"/>
              <w:left w:val="single" w:sz="4" w:space="0" w:color="auto"/>
              <w:bottom w:val="single" w:sz="4" w:space="0" w:color="auto"/>
              <w:right w:val="single" w:sz="4" w:space="0" w:color="auto"/>
            </w:tcBorders>
            <w:hideMark/>
          </w:tcPr>
          <w:p w14:paraId="2317C985" w14:textId="77777777" w:rsidR="00E4750A" w:rsidRPr="00355D82" w:rsidRDefault="00E4750A">
            <w:pPr>
              <w:rPr>
                <w:sz w:val="24"/>
                <w:szCs w:val="24"/>
              </w:rPr>
            </w:pPr>
            <w:proofErr w:type="spellStart"/>
            <w:r w:rsidRPr="00355D82">
              <w:rPr>
                <w:sz w:val="24"/>
                <w:szCs w:val="24"/>
              </w:rPr>
              <w:t>Bronkospasme</w:t>
            </w:r>
            <w:proofErr w:type="spellEnd"/>
            <w:r w:rsidRPr="00355D82">
              <w:rPr>
                <w:sz w:val="24"/>
                <w:szCs w:val="24"/>
              </w:rPr>
              <w:t xml:space="preserve"> kan opstå hos patienter med astma </w:t>
            </w:r>
            <w:proofErr w:type="spellStart"/>
            <w:r w:rsidRPr="00355D82">
              <w:rPr>
                <w:sz w:val="24"/>
                <w:szCs w:val="24"/>
              </w:rPr>
              <w:t>bronchiale</w:t>
            </w:r>
            <w:proofErr w:type="spellEnd"/>
            <w:r w:rsidRPr="00355D82">
              <w:rPr>
                <w:sz w:val="24"/>
                <w:szCs w:val="24"/>
              </w:rPr>
              <w:t xml:space="preserve"> eller astmatiske lidelser i anamnesen</w:t>
            </w:r>
          </w:p>
        </w:tc>
      </w:tr>
      <w:tr w:rsidR="00E4750A" w:rsidRPr="00355D82" w14:paraId="300D53C2" w14:textId="77777777" w:rsidTr="00F65D87">
        <w:trPr>
          <w:trHeight w:val="340"/>
        </w:trPr>
        <w:tc>
          <w:tcPr>
            <w:tcW w:w="1250" w:type="pct"/>
            <w:tcBorders>
              <w:top w:val="single" w:sz="4" w:space="0" w:color="auto"/>
              <w:left w:val="single" w:sz="4" w:space="0" w:color="auto"/>
              <w:bottom w:val="single" w:sz="4" w:space="0" w:color="auto"/>
              <w:right w:val="single" w:sz="4" w:space="0" w:color="auto"/>
            </w:tcBorders>
            <w:hideMark/>
          </w:tcPr>
          <w:p w14:paraId="66E16318" w14:textId="77777777" w:rsidR="00E4750A" w:rsidRPr="00355D82" w:rsidRDefault="00E4750A">
            <w:pPr>
              <w:rPr>
                <w:b/>
                <w:sz w:val="24"/>
                <w:szCs w:val="24"/>
              </w:rPr>
            </w:pPr>
            <w:r w:rsidRPr="00355D82">
              <w:rPr>
                <w:b/>
                <w:sz w:val="24"/>
                <w:szCs w:val="24"/>
              </w:rPr>
              <w:t>Almene symptomer og reaktioner på administrationsstedet</w:t>
            </w:r>
          </w:p>
        </w:tc>
        <w:tc>
          <w:tcPr>
            <w:tcW w:w="1016" w:type="pct"/>
            <w:tcBorders>
              <w:top w:val="single" w:sz="4" w:space="0" w:color="auto"/>
              <w:left w:val="single" w:sz="4" w:space="0" w:color="auto"/>
              <w:bottom w:val="single" w:sz="4" w:space="0" w:color="auto"/>
              <w:right w:val="single" w:sz="4" w:space="0" w:color="auto"/>
            </w:tcBorders>
            <w:hideMark/>
          </w:tcPr>
          <w:p w14:paraId="6FA3849B" w14:textId="77777777" w:rsidR="00E4750A" w:rsidRPr="00355D82" w:rsidRDefault="00E4750A">
            <w:pPr>
              <w:rPr>
                <w:sz w:val="24"/>
                <w:szCs w:val="24"/>
              </w:rPr>
            </w:pPr>
            <w:r w:rsidRPr="00355D82">
              <w:rPr>
                <w:sz w:val="24"/>
                <w:szCs w:val="24"/>
              </w:rPr>
              <w:t>Almindelig</w:t>
            </w:r>
          </w:p>
        </w:tc>
        <w:tc>
          <w:tcPr>
            <w:tcW w:w="2734" w:type="pct"/>
            <w:tcBorders>
              <w:top w:val="single" w:sz="4" w:space="0" w:color="auto"/>
              <w:left w:val="single" w:sz="4" w:space="0" w:color="auto"/>
              <w:bottom w:val="single" w:sz="4" w:space="0" w:color="auto"/>
              <w:right w:val="single" w:sz="4" w:space="0" w:color="auto"/>
            </w:tcBorders>
            <w:hideMark/>
          </w:tcPr>
          <w:p w14:paraId="6F2315EF" w14:textId="77777777" w:rsidR="00E4750A" w:rsidRPr="00355D82" w:rsidRDefault="00E4750A">
            <w:pPr>
              <w:rPr>
                <w:sz w:val="24"/>
                <w:szCs w:val="24"/>
              </w:rPr>
            </w:pPr>
            <w:r w:rsidRPr="00355D82">
              <w:rPr>
                <w:sz w:val="24"/>
                <w:szCs w:val="24"/>
              </w:rPr>
              <w:t>Træthed</w:t>
            </w:r>
          </w:p>
        </w:tc>
      </w:tr>
      <w:tr w:rsidR="00E4750A" w:rsidRPr="00355D82" w14:paraId="3E07A68B" w14:textId="77777777" w:rsidTr="00F65D87">
        <w:trPr>
          <w:trHeight w:val="340"/>
        </w:trPr>
        <w:tc>
          <w:tcPr>
            <w:tcW w:w="1250" w:type="pct"/>
            <w:vMerge w:val="restart"/>
            <w:tcBorders>
              <w:top w:val="single" w:sz="4" w:space="0" w:color="auto"/>
              <w:left w:val="single" w:sz="4" w:space="0" w:color="auto"/>
              <w:bottom w:val="single" w:sz="4" w:space="0" w:color="auto"/>
              <w:right w:val="single" w:sz="4" w:space="0" w:color="auto"/>
            </w:tcBorders>
            <w:hideMark/>
          </w:tcPr>
          <w:p w14:paraId="0A52FC8A" w14:textId="77777777" w:rsidR="00E4750A" w:rsidRPr="00355D82" w:rsidRDefault="00E4750A">
            <w:pPr>
              <w:rPr>
                <w:b/>
                <w:sz w:val="24"/>
                <w:szCs w:val="24"/>
              </w:rPr>
            </w:pPr>
            <w:r w:rsidRPr="00355D82">
              <w:rPr>
                <w:b/>
                <w:sz w:val="24"/>
                <w:szCs w:val="24"/>
              </w:rPr>
              <w:t>Kirurgiske og medicinske procedurer</w:t>
            </w:r>
          </w:p>
        </w:tc>
        <w:tc>
          <w:tcPr>
            <w:tcW w:w="1016" w:type="pct"/>
            <w:tcBorders>
              <w:top w:val="single" w:sz="4" w:space="0" w:color="auto"/>
              <w:left w:val="single" w:sz="4" w:space="0" w:color="auto"/>
              <w:bottom w:val="single" w:sz="4" w:space="0" w:color="auto"/>
              <w:right w:val="single" w:sz="4" w:space="0" w:color="auto"/>
            </w:tcBorders>
            <w:hideMark/>
          </w:tcPr>
          <w:p w14:paraId="2CAF036A" w14:textId="77777777" w:rsidR="00E4750A" w:rsidRPr="00355D82" w:rsidRDefault="00E4750A">
            <w:pPr>
              <w:rPr>
                <w:sz w:val="24"/>
                <w:szCs w:val="24"/>
              </w:rPr>
            </w:pPr>
            <w:r w:rsidRPr="00355D82">
              <w:rPr>
                <w:sz w:val="24"/>
                <w:szCs w:val="24"/>
              </w:rPr>
              <w:t>Ikke almindelig</w:t>
            </w:r>
          </w:p>
        </w:tc>
        <w:tc>
          <w:tcPr>
            <w:tcW w:w="2734" w:type="pct"/>
            <w:tcBorders>
              <w:top w:val="single" w:sz="4" w:space="0" w:color="auto"/>
              <w:left w:val="single" w:sz="4" w:space="0" w:color="auto"/>
              <w:bottom w:val="single" w:sz="4" w:space="0" w:color="auto"/>
              <w:right w:val="single" w:sz="4" w:space="0" w:color="auto"/>
            </w:tcBorders>
            <w:hideMark/>
          </w:tcPr>
          <w:p w14:paraId="5122C5B6" w14:textId="77777777" w:rsidR="00E4750A" w:rsidRPr="00355D82" w:rsidRDefault="00E4750A">
            <w:pPr>
              <w:rPr>
                <w:sz w:val="24"/>
                <w:szCs w:val="24"/>
              </w:rPr>
            </w:pPr>
            <w:r w:rsidRPr="00355D82">
              <w:rPr>
                <w:sz w:val="24"/>
                <w:szCs w:val="24"/>
              </w:rPr>
              <w:t xml:space="preserve">Forhøjede </w:t>
            </w:r>
            <w:proofErr w:type="spellStart"/>
            <w:r w:rsidRPr="00355D82">
              <w:rPr>
                <w:sz w:val="24"/>
                <w:szCs w:val="24"/>
              </w:rPr>
              <w:t>transaminaser</w:t>
            </w:r>
            <w:proofErr w:type="spellEnd"/>
          </w:p>
        </w:tc>
      </w:tr>
      <w:tr w:rsidR="00E4750A" w:rsidRPr="00355D82" w14:paraId="5499696D" w14:textId="77777777" w:rsidTr="00F65D87">
        <w:trPr>
          <w:trHeight w:val="340"/>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68CEAA7" w14:textId="77777777" w:rsidR="00E4750A" w:rsidRPr="00355D82" w:rsidRDefault="00E4750A">
            <w:pPr>
              <w:rPr>
                <w:b/>
                <w:sz w:val="24"/>
                <w:szCs w:val="24"/>
              </w:rPr>
            </w:pPr>
          </w:p>
        </w:tc>
        <w:tc>
          <w:tcPr>
            <w:tcW w:w="1016" w:type="pct"/>
            <w:tcBorders>
              <w:top w:val="single" w:sz="4" w:space="0" w:color="auto"/>
              <w:left w:val="single" w:sz="4" w:space="0" w:color="auto"/>
              <w:bottom w:val="single" w:sz="4" w:space="0" w:color="auto"/>
              <w:right w:val="single" w:sz="4" w:space="0" w:color="auto"/>
            </w:tcBorders>
            <w:hideMark/>
          </w:tcPr>
          <w:p w14:paraId="2712DF70" w14:textId="77777777" w:rsidR="00E4750A" w:rsidRPr="00355D82" w:rsidRDefault="00E4750A">
            <w:pPr>
              <w:rPr>
                <w:sz w:val="24"/>
                <w:szCs w:val="24"/>
              </w:rPr>
            </w:pPr>
            <w:r w:rsidRPr="00355D82">
              <w:rPr>
                <w:sz w:val="24"/>
                <w:szCs w:val="24"/>
              </w:rPr>
              <w:t>Meget sjælden</w:t>
            </w:r>
          </w:p>
        </w:tc>
        <w:tc>
          <w:tcPr>
            <w:tcW w:w="2734" w:type="pct"/>
            <w:tcBorders>
              <w:top w:val="single" w:sz="4" w:space="0" w:color="auto"/>
              <w:left w:val="single" w:sz="4" w:space="0" w:color="auto"/>
              <w:bottom w:val="single" w:sz="4" w:space="0" w:color="auto"/>
              <w:right w:val="single" w:sz="4" w:space="0" w:color="auto"/>
            </w:tcBorders>
            <w:hideMark/>
          </w:tcPr>
          <w:p w14:paraId="1A128C34" w14:textId="77777777" w:rsidR="00E4750A" w:rsidRPr="00355D82" w:rsidRDefault="00E4750A">
            <w:pPr>
              <w:rPr>
                <w:sz w:val="24"/>
                <w:szCs w:val="24"/>
              </w:rPr>
            </w:pPr>
            <w:r w:rsidRPr="00355D82">
              <w:rPr>
                <w:sz w:val="24"/>
                <w:szCs w:val="24"/>
              </w:rPr>
              <w:t>Stigning i ANA (</w:t>
            </w:r>
            <w:proofErr w:type="spellStart"/>
            <w:r w:rsidRPr="00355D82">
              <w:rPr>
                <w:sz w:val="24"/>
                <w:szCs w:val="24"/>
              </w:rPr>
              <w:t>antinuklearantistoffer</w:t>
            </w:r>
            <w:proofErr w:type="spellEnd"/>
            <w:r w:rsidRPr="00355D82">
              <w:rPr>
                <w:sz w:val="24"/>
                <w:szCs w:val="24"/>
              </w:rPr>
              <w:t>)</w:t>
            </w:r>
          </w:p>
        </w:tc>
      </w:tr>
    </w:tbl>
    <w:p w14:paraId="1C6E5FD4" w14:textId="77777777" w:rsidR="00E4750A" w:rsidRPr="00EB768C" w:rsidRDefault="00E4750A" w:rsidP="00E4750A">
      <w:pPr>
        <w:rPr>
          <w:sz w:val="24"/>
          <w:szCs w:val="24"/>
        </w:rPr>
      </w:pPr>
    </w:p>
    <w:p w14:paraId="515F0AB3" w14:textId="77777777" w:rsidR="00E4750A" w:rsidRPr="00EB768C" w:rsidRDefault="00E4750A" w:rsidP="00F65D87">
      <w:pPr>
        <w:ind w:left="851"/>
        <w:rPr>
          <w:sz w:val="24"/>
          <w:szCs w:val="24"/>
        </w:rPr>
      </w:pPr>
      <w:proofErr w:type="spellStart"/>
      <w:r w:rsidRPr="00EB768C">
        <w:rPr>
          <w:sz w:val="24"/>
          <w:szCs w:val="24"/>
        </w:rPr>
        <w:t>Seponering</w:t>
      </w:r>
      <w:proofErr w:type="spellEnd"/>
      <w:r w:rsidRPr="00EB768C">
        <w:rPr>
          <w:sz w:val="24"/>
          <w:szCs w:val="24"/>
        </w:rPr>
        <w:t xml:space="preserve"> af lægemidlet bør overvejes, hvis patientens velbefindende fra et klinisk synspunkt påvirkes negativt af nogen af de ovenfor beskrevne virkninger. I alle tilfælde bør behandlingen seponeres trinvist.</w:t>
      </w:r>
    </w:p>
    <w:p w14:paraId="462A6831" w14:textId="77777777" w:rsidR="00E4750A" w:rsidRPr="00EB768C" w:rsidRDefault="00E4750A" w:rsidP="00F65D87">
      <w:pPr>
        <w:ind w:left="851"/>
        <w:rPr>
          <w:sz w:val="24"/>
          <w:szCs w:val="24"/>
        </w:rPr>
      </w:pPr>
    </w:p>
    <w:p w14:paraId="63EC009B" w14:textId="77777777" w:rsidR="00E4750A" w:rsidRPr="00EB768C" w:rsidRDefault="00E4750A" w:rsidP="00F65D87">
      <w:pPr>
        <w:ind w:left="851"/>
        <w:rPr>
          <w:sz w:val="24"/>
          <w:szCs w:val="24"/>
          <w:u w:val="single"/>
        </w:rPr>
      </w:pPr>
      <w:r w:rsidRPr="00EB768C">
        <w:rPr>
          <w:noProof/>
          <w:sz w:val="24"/>
          <w:szCs w:val="24"/>
          <w:u w:val="single"/>
        </w:rPr>
        <w:t>Indberetning af formodede bivirkninger</w:t>
      </w:r>
    </w:p>
    <w:p w14:paraId="6FE02E38" w14:textId="77777777" w:rsidR="00E4750A" w:rsidRPr="00EB768C" w:rsidRDefault="00E4750A" w:rsidP="00F65D87">
      <w:pPr>
        <w:ind w:left="851"/>
        <w:rPr>
          <w:noProof/>
          <w:sz w:val="24"/>
          <w:szCs w:val="24"/>
        </w:rPr>
      </w:pPr>
      <w:r w:rsidRPr="00EB768C">
        <w:rPr>
          <w:noProof/>
          <w:sz w:val="24"/>
          <w:szCs w:val="24"/>
        </w:rPr>
        <w:t>Når lægemidlet er godkendt, er indberetning af formodede bivirkninger vigtig.</w:t>
      </w:r>
      <w:r w:rsidRPr="00EB768C">
        <w:rPr>
          <w:sz w:val="24"/>
          <w:szCs w:val="24"/>
        </w:rPr>
        <w:t xml:space="preserve"> </w:t>
      </w:r>
      <w:r w:rsidRPr="00EB768C">
        <w:rPr>
          <w:noProof/>
          <w:sz w:val="24"/>
          <w:szCs w:val="24"/>
        </w:rPr>
        <w:t>Det muliggør løbende overvågning af benefit/risk-forholdet for lægemidlet.</w:t>
      </w:r>
      <w:r w:rsidRPr="00EB768C">
        <w:rPr>
          <w:sz w:val="24"/>
          <w:szCs w:val="24"/>
        </w:rPr>
        <w:t xml:space="preserve"> </w:t>
      </w:r>
      <w:r w:rsidRPr="00EB768C">
        <w:rPr>
          <w:noProof/>
          <w:sz w:val="24"/>
          <w:szCs w:val="24"/>
        </w:rPr>
        <w:t xml:space="preserve">Sundhedspersoner anmodes om at indberette alle formodede bivirkninger via </w:t>
      </w:r>
    </w:p>
    <w:p w14:paraId="065A1A7A" w14:textId="77777777" w:rsidR="00E4750A" w:rsidRPr="00EB768C" w:rsidRDefault="00E4750A" w:rsidP="00F65D87">
      <w:pPr>
        <w:ind w:left="851"/>
        <w:rPr>
          <w:color w:val="000000"/>
          <w:sz w:val="24"/>
          <w:szCs w:val="24"/>
        </w:rPr>
      </w:pPr>
    </w:p>
    <w:p w14:paraId="49B65ECF" w14:textId="77777777" w:rsidR="00E4750A" w:rsidRPr="00EB768C" w:rsidRDefault="00E4750A" w:rsidP="00F65D87">
      <w:pPr>
        <w:ind w:left="851"/>
        <w:rPr>
          <w:color w:val="000000"/>
          <w:sz w:val="24"/>
          <w:szCs w:val="24"/>
        </w:rPr>
      </w:pPr>
      <w:r w:rsidRPr="00EB768C">
        <w:rPr>
          <w:color w:val="000000"/>
          <w:sz w:val="24"/>
          <w:szCs w:val="24"/>
        </w:rPr>
        <w:t>Lægemiddelstyrelsen</w:t>
      </w:r>
    </w:p>
    <w:p w14:paraId="746016A5" w14:textId="77777777" w:rsidR="00E4750A" w:rsidRPr="00EB768C" w:rsidRDefault="00E4750A" w:rsidP="00F65D87">
      <w:pPr>
        <w:ind w:left="851"/>
        <w:rPr>
          <w:color w:val="000000"/>
          <w:sz w:val="24"/>
          <w:szCs w:val="24"/>
        </w:rPr>
      </w:pPr>
      <w:r w:rsidRPr="00EB768C">
        <w:rPr>
          <w:color w:val="000000"/>
          <w:sz w:val="24"/>
          <w:szCs w:val="24"/>
        </w:rPr>
        <w:t>Axel Heides Gade 1</w:t>
      </w:r>
    </w:p>
    <w:p w14:paraId="2551A3EA" w14:textId="77777777" w:rsidR="00E4750A" w:rsidRPr="00EB768C" w:rsidRDefault="00E4750A" w:rsidP="00F65D87">
      <w:pPr>
        <w:ind w:left="851"/>
        <w:rPr>
          <w:color w:val="000000"/>
          <w:sz w:val="24"/>
          <w:szCs w:val="24"/>
        </w:rPr>
      </w:pPr>
      <w:r w:rsidRPr="00EB768C">
        <w:rPr>
          <w:color w:val="000000"/>
          <w:sz w:val="24"/>
          <w:szCs w:val="24"/>
        </w:rPr>
        <w:t>DK-2300 København S</w:t>
      </w:r>
    </w:p>
    <w:p w14:paraId="480A181B" w14:textId="77777777" w:rsidR="00E4750A" w:rsidRPr="00EB768C" w:rsidRDefault="00E4750A" w:rsidP="00F65D87">
      <w:pPr>
        <w:ind w:left="851"/>
        <w:rPr>
          <w:color w:val="000000"/>
          <w:sz w:val="24"/>
          <w:szCs w:val="24"/>
        </w:rPr>
      </w:pPr>
      <w:r w:rsidRPr="00EB768C">
        <w:rPr>
          <w:color w:val="000000"/>
          <w:sz w:val="24"/>
          <w:szCs w:val="24"/>
        </w:rPr>
        <w:t xml:space="preserve">Websted: </w:t>
      </w:r>
      <w:hyperlink r:id="rId8" w:history="1">
        <w:r w:rsidRPr="00EB768C">
          <w:rPr>
            <w:rStyle w:val="Hyperlink"/>
            <w:sz w:val="24"/>
            <w:szCs w:val="24"/>
          </w:rPr>
          <w:t>www.meldenbivirkning.dk</w:t>
        </w:r>
      </w:hyperlink>
    </w:p>
    <w:p w14:paraId="3E2C23B7" w14:textId="77777777" w:rsidR="009260DE" w:rsidRPr="00EB768C" w:rsidRDefault="009260DE" w:rsidP="00A10294">
      <w:pPr>
        <w:tabs>
          <w:tab w:val="left" w:pos="851"/>
        </w:tabs>
        <w:ind w:left="851"/>
        <w:rPr>
          <w:sz w:val="24"/>
          <w:szCs w:val="24"/>
        </w:rPr>
      </w:pPr>
    </w:p>
    <w:p w14:paraId="3E630736" w14:textId="77777777" w:rsidR="009260DE" w:rsidRPr="00EB768C" w:rsidRDefault="009260DE" w:rsidP="009260DE">
      <w:pPr>
        <w:tabs>
          <w:tab w:val="left" w:pos="851"/>
        </w:tabs>
        <w:ind w:left="851" w:hanging="851"/>
        <w:rPr>
          <w:b/>
          <w:sz w:val="24"/>
          <w:szCs w:val="24"/>
        </w:rPr>
      </w:pPr>
      <w:r w:rsidRPr="00EB768C">
        <w:rPr>
          <w:b/>
          <w:sz w:val="24"/>
          <w:szCs w:val="24"/>
        </w:rPr>
        <w:t>4.9</w:t>
      </w:r>
      <w:r w:rsidRPr="00EB768C">
        <w:rPr>
          <w:b/>
          <w:sz w:val="24"/>
          <w:szCs w:val="24"/>
        </w:rPr>
        <w:tab/>
        <w:t>Overdosering</w:t>
      </w:r>
    </w:p>
    <w:p w14:paraId="58AF6104" w14:textId="77777777" w:rsidR="00E4750A" w:rsidRPr="00EB768C" w:rsidRDefault="00E4750A" w:rsidP="00F65D87">
      <w:pPr>
        <w:ind w:left="851"/>
        <w:rPr>
          <w:sz w:val="24"/>
          <w:szCs w:val="24"/>
        </w:rPr>
      </w:pPr>
      <w:r w:rsidRPr="00EB768C">
        <w:rPr>
          <w:sz w:val="24"/>
          <w:szCs w:val="24"/>
        </w:rPr>
        <w:t xml:space="preserve">Symptomerne på overdosering kan omfatte hypotension, bradykardi der fører til hjertestop, akut hjertesvigt, </w:t>
      </w:r>
      <w:proofErr w:type="spellStart"/>
      <w:r w:rsidRPr="00EB768C">
        <w:rPr>
          <w:sz w:val="24"/>
          <w:szCs w:val="24"/>
        </w:rPr>
        <w:t>kardiogent</w:t>
      </w:r>
      <w:proofErr w:type="spellEnd"/>
      <w:r w:rsidRPr="00EB768C">
        <w:rPr>
          <w:sz w:val="24"/>
          <w:szCs w:val="24"/>
        </w:rPr>
        <w:t xml:space="preserve"> chok, </w:t>
      </w:r>
      <w:proofErr w:type="spellStart"/>
      <w:r w:rsidRPr="00EB768C">
        <w:rPr>
          <w:sz w:val="24"/>
          <w:szCs w:val="24"/>
        </w:rPr>
        <w:t>bronkospasme</w:t>
      </w:r>
      <w:proofErr w:type="spellEnd"/>
      <w:r w:rsidRPr="00EB768C">
        <w:rPr>
          <w:sz w:val="24"/>
          <w:szCs w:val="24"/>
        </w:rPr>
        <w:t>, vejrtrækningsbesvær, opkastning, bevidsthedssvækkelse og generaliserede anfald.</w:t>
      </w:r>
    </w:p>
    <w:p w14:paraId="5B29CB44" w14:textId="77777777" w:rsidR="00E4750A" w:rsidRPr="00EB768C" w:rsidRDefault="00E4750A" w:rsidP="00F65D87">
      <w:pPr>
        <w:ind w:left="851"/>
        <w:rPr>
          <w:sz w:val="24"/>
          <w:szCs w:val="24"/>
        </w:rPr>
      </w:pPr>
      <w:r w:rsidRPr="00EB768C">
        <w:rPr>
          <w:sz w:val="24"/>
          <w:szCs w:val="24"/>
        </w:rPr>
        <w:t xml:space="preserve">I tilfælde af overdosering eller truende fald i puls og/eller blodtryk skal behandlingen med </w:t>
      </w:r>
      <w:proofErr w:type="spellStart"/>
      <w:r w:rsidRPr="00EB768C">
        <w:rPr>
          <w:sz w:val="24"/>
          <w:szCs w:val="24"/>
        </w:rPr>
        <w:t>atenolol</w:t>
      </w:r>
      <w:proofErr w:type="spellEnd"/>
      <w:r w:rsidRPr="00EB768C">
        <w:rPr>
          <w:sz w:val="24"/>
          <w:szCs w:val="24"/>
        </w:rPr>
        <w:t xml:space="preserve"> afbrydes. Generel behandling bør omfatte: nøje overvågning; behandling på intensivafdelingen; brug af ventrikelskylning; aktivt kul og et laksativ for at forhindre absorption af eventuelle lægemidler, der stadig er til stede i mave-tarm-kanalen; brug af intravenøse isotoniske opløsninger og </w:t>
      </w:r>
      <w:proofErr w:type="spellStart"/>
      <w:r w:rsidRPr="00EB768C">
        <w:rPr>
          <w:sz w:val="24"/>
          <w:szCs w:val="24"/>
        </w:rPr>
        <w:t>vasopressorer</w:t>
      </w:r>
      <w:proofErr w:type="spellEnd"/>
      <w:r w:rsidRPr="00EB768C">
        <w:rPr>
          <w:sz w:val="24"/>
          <w:szCs w:val="24"/>
        </w:rPr>
        <w:t xml:space="preserve"> til behandling af hypotension og chok. Hæmodialyse eller </w:t>
      </w:r>
      <w:proofErr w:type="spellStart"/>
      <w:r w:rsidRPr="00EB768C">
        <w:rPr>
          <w:sz w:val="24"/>
          <w:szCs w:val="24"/>
        </w:rPr>
        <w:t>hæmoperfusion</w:t>
      </w:r>
      <w:proofErr w:type="spellEnd"/>
      <w:r w:rsidRPr="00EB768C">
        <w:rPr>
          <w:sz w:val="24"/>
          <w:szCs w:val="24"/>
        </w:rPr>
        <w:t xml:space="preserve"> kan overvejes.</w:t>
      </w:r>
    </w:p>
    <w:p w14:paraId="6D67D05C" w14:textId="77777777" w:rsidR="00E4750A" w:rsidRPr="00EB768C" w:rsidRDefault="00E4750A" w:rsidP="00F65D87">
      <w:pPr>
        <w:ind w:left="851"/>
        <w:rPr>
          <w:sz w:val="24"/>
          <w:szCs w:val="24"/>
        </w:rPr>
      </w:pPr>
    </w:p>
    <w:p w14:paraId="42B13F66" w14:textId="77777777" w:rsidR="00E4750A" w:rsidRPr="00EB768C" w:rsidRDefault="00E4750A" w:rsidP="00F65D87">
      <w:pPr>
        <w:ind w:left="851"/>
        <w:rPr>
          <w:sz w:val="24"/>
          <w:szCs w:val="24"/>
        </w:rPr>
      </w:pPr>
      <w:r w:rsidRPr="00EB768C">
        <w:rPr>
          <w:sz w:val="24"/>
          <w:szCs w:val="24"/>
        </w:rPr>
        <w:t xml:space="preserve">Overdreven bradykardi kan modvirkes med atropin 1-2 mg intravenøst og/eller en pacemaker. Et </w:t>
      </w:r>
      <w:proofErr w:type="spellStart"/>
      <w:r w:rsidRPr="00EB768C">
        <w:rPr>
          <w:sz w:val="24"/>
          <w:szCs w:val="24"/>
        </w:rPr>
        <w:t>betaadrenoceptor</w:t>
      </w:r>
      <w:proofErr w:type="spellEnd"/>
      <w:r w:rsidRPr="00EB768C">
        <w:rPr>
          <w:sz w:val="24"/>
          <w:szCs w:val="24"/>
        </w:rPr>
        <w:t xml:space="preserve">-stimulerende middel såsom </w:t>
      </w:r>
      <w:proofErr w:type="spellStart"/>
      <w:r w:rsidRPr="00EB768C">
        <w:rPr>
          <w:sz w:val="24"/>
          <w:szCs w:val="24"/>
        </w:rPr>
        <w:t>dobutamin</w:t>
      </w:r>
      <w:proofErr w:type="spellEnd"/>
      <w:r w:rsidRPr="00EB768C">
        <w:rPr>
          <w:sz w:val="24"/>
          <w:szCs w:val="24"/>
        </w:rPr>
        <w:t xml:space="preserve"> 2,5 til 10 mikrogram/kg/minut ved intravenøs infusion kan gives. </w:t>
      </w:r>
      <w:proofErr w:type="spellStart"/>
      <w:r w:rsidRPr="00EB768C">
        <w:rPr>
          <w:sz w:val="24"/>
          <w:szCs w:val="24"/>
        </w:rPr>
        <w:t>Dobutamin</w:t>
      </w:r>
      <w:proofErr w:type="spellEnd"/>
      <w:r w:rsidRPr="00EB768C">
        <w:rPr>
          <w:sz w:val="24"/>
          <w:szCs w:val="24"/>
        </w:rPr>
        <w:t xml:space="preserve"> kan på grund af dets positive </w:t>
      </w:r>
      <w:proofErr w:type="spellStart"/>
      <w:r w:rsidRPr="00EB768C">
        <w:rPr>
          <w:sz w:val="24"/>
          <w:szCs w:val="24"/>
        </w:rPr>
        <w:t>inotropiske</w:t>
      </w:r>
      <w:proofErr w:type="spellEnd"/>
      <w:r w:rsidRPr="00EB768C">
        <w:rPr>
          <w:sz w:val="24"/>
          <w:szCs w:val="24"/>
        </w:rPr>
        <w:t xml:space="preserve"> virkning også bruges til at behandle hypotension og akut hjerteinsufficiens. Det er sandsynligt, at disse doser vil være utilstrækkelige til at reversere de kardiale virkninger af betablokade, hvis der er taget en stor overdosis. </w:t>
      </w:r>
      <w:proofErr w:type="spellStart"/>
      <w:r w:rsidRPr="00EB768C">
        <w:rPr>
          <w:sz w:val="24"/>
          <w:szCs w:val="24"/>
        </w:rPr>
        <w:t>Dobutamin</w:t>
      </w:r>
      <w:proofErr w:type="spellEnd"/>
      <w:r w:rsidRPr="00EB768C">
        <w:rPr>
          <w:sz w:val="24"/>
          <w:szCs w:val="24"/>
        </w:rPr>
        <w:t xml:space="preserve">-dosis bør derfor øges, hvis det er nødvendigt for at opnå den nødvendige respons i henhold til patientens kliniske tilstand. Insulin i kombination med </w:t>
      </w:r>
      <w:proofErr w:type="spellStart"/>
      <w:r w:rsidRPr="00EB768C">
        <w:rPr>
          <w:sz w:val="24"/>
          <w:szCs w:val="24"/>
        </w:rPr>
        <w:t>glucoseinfusion</w:t>
      </w:r>
      <w:proofErr w:type="spellEnd"/>
      <w:r w:rsidRPr="00EB768C">
        <w:rPr>
          <w:sz w:val="24"/>
          <w:szCs w:val="24"/>
        </w:rPr>
        <w:t xml:space="preserve"> kan overvejes på grund af de positive inotrope virkninger. </w:t>
      </w:r>
      <w:proofErr w:type="spellStart"/>
      <w:r w:rsidRPr="00EB768C">
        <w:rPr>
          <w:sz w:val="24"/>
          <w:szCs w:val="24"/>
        </w:rPr>
        <w:t>Calciumgluconat</w:t>
      </w:r>
      <w:proofErr w:type="spellEnd"/>
      <w:r w:rsidRPr="00EB768C">
        <w:rPr>
          <w:sz w:val="24"/>
          <w:szCs w:val="24"/>
        </w:rPr>
        <w:t xml:space="preserve"> kan også overvejes (hvis digitalis-forgiftning er udelukket) på grund af de positive inotrope effekter. </w:t>
      </w:r>
      <w:proofErr w:type="spellStart"/>
      <w:r w:rsidRPr="00EB768C">
        <w:rPr>
          <w:sz w:val="24"/>
          <w:szCs w:val="24"/>
        </w:rPr>
        <w:t>Phosphodiesterase</w:t>
      </w:r>
      <w:proofErr w:type="spellEnd"/>
      <w:r w:rsidRPr="00EB768C">
        <w:rPr>
          <w:sz w:val="24"/>
          <w:szCs w:val="24"/>
        </w:rPr>
        <w:t> III-</w:t>
      </w:r>
      <w:proofErr w:type="spellStart"/>
      <w:r w:rsidRPr="00EB768C">
        <w:rPr>
          <w:sz w:val="24"/>
          <w:szCs w:val="24"/>
        </w:rPr>
        <w:t>hæmmere</w:t>
      </w:r>
      <w:proofErr w:type="spellEnd"/>
      <w:r w:rsidRPr="00EB768C">
        <w:rPr>
          <w:sz w:val="24"/>
          <w:szCs w:val="24"/>
        </w:rPr>
        <w:t xml:space="preserve"> har positive inotrope virkninger uafhængigt af det </w:t>
      </w:r>
      <w:proofErr w:type="spellStart"/>
      <w:r w:rsidRPr="00EB768C">
        <w:rPr>
          <w:sz w:val="24"/>
          <w:szCs w:val="24"/>
        </w:rPr>
        <w:t>adrenerge</w:t>
      </w:r>
      <w:proofErr w:type="spellEnd"/>
      <w:r w:rsidRPr="00EB768C">
        <w:rPr>
          <w:sz w:val="24"/>
          <w:szCs w:val="24"/>
        </w:rPr>
        <w:t xml:space="preserve"> system og kan også overvejes. </w:t>
      </w:r>
      <w:proofErr w:type="spellStart"/>
      <w:r w:rsidRPr="00EB768C">
        <w:rPr>
          <w:sz w:val="24"/>
          <w:szCs w:val="24"/>
        </w:rPr>
        <w:t>Bronkospasme</w:t>
      </w:r>
      <w:proofErr w:type="spellEnd"/>
      <w:r w:rsidRPr="00EB768C">
        <w:rPr>
          <w:sz w:val="24"/>
          <w:szCs w:val="24"/>
        </w:rPr>
        <w:t xml:space="preserve"> kan normalt reverseres med inhalerede </w:t>
      </w:r>
      <w:proofErr w:type="spellStart"/>
      <w:r w:rsidRPr="00EB768C">
        <w:rPr>
          <w:sz w:val="24"/>
          <w:szCs w:val="24"/>
        </w:rPr>
        <w:t>bronkodilatorer</w:t>
      </w:r>
      <w:proofErr w:type="spellEnd"/>
      <w:r w:rsidRPr="00EB768C">
        <w:rPr>
          <w:sz w:val="24"/>
          <w:szCs w:val="24"/>
        </w:rPr>
        <w:t xml:space="preserve">. I tilfælde af generaliserede anfald anbefales langsom intravenøs administration af </w:t>
      </w:r>
      <w:proofErr w:type="spellStart"/>
      <w:r w:rsidRPr="00EB768C">
        <w:rPr>
          <w:sz w:val="24"/>
          <w:szCs w:val="24"/>
        </w:rPr>
        <w:t>diazepam</w:t>
      </w:r>
      <w:proofErr w:type="spellEnd"/>
      <w:r w:rsidRPr="00EB768C">
        <w:rPr>
          <w:sz w:val="24"/>
          <w:szCs w:val="24"/>
        </w:rPr>
        <w:t>.</w:t>
      </w:r>
    </w:p>
    <w:p w14:paraId="5D0F95D3" w14:textId="77777777" w:rsidR="009260DE" w:rsidRPr="00EB768C" w:rsidRDefault="009260DE" w:rsidP="009260DE">
      <w:pPr>
        <w:tabs>
          <w:tab w:val="left" w:pos="851"/>
        </w:tabs>
        <w:ind w:left="851"/>
        <w:rPr>
          <w:sz w:val="24"/>
          <w:szCs w:val="24"/>
        </w:rPr>
      </w:pPr>
    </w:p>
    <w:p w14:paraId="39F3990B" w14:textId="77777777" w:rsidR="009260DE" w:rsidRPr="00EB768C" w:rsidRDefault="009260DE" w:rsidP="009260DE">
      <w:pPr>
        <w:tabs>
          <w:tab w:val="left" w:pos="851"/>
        </w:tabs>
        <w:ind w:left="851" w:hanging="851"/>
        <w:rPr>
          <w:b/>
          <w:sz w:val="24"/>
          <w:szCs w:val="24"/>
        </w:rPr>
      </w:pPr>
      <w:r w:rsidRPr="00EB768C">
        <w:rPr>
          <w:b/>
          <w:sz w:val="24"/>
          <w:szCs w:val="24"/>
        </w:rPr>
        <w:t>4.10</w:t>
      </w:r>
      <w:r w:rsidRPr="00EB768C">
        <w:rPr>
          <w:b/>
          <w:sz w:val="24"/>
          <w:szCs w:val="24"/>
        </w:rPr>
        <w:tab/>
        <w:t>Udlevering</w:t>
      </w:r>
    </w:p>
    <w:p w14:paraId="51430938" w14:textId="6593B760" w:rsidR="009260DE" w:rsidRPr="00EB768C" w:rsidRDefault="00E4750A" w:rsidP="009260DE">
      <w:pPr>
        <w:tabs>
          <w:tab w:val="left" w:pos="851"/>
        </w:tabs>
        <w:ind w:left="851"/>
        <w:rPr>
          <w:sz w:val="24"/>
          <w:szCs w:val="24"/>
        </w:rPr>
      </w:pPr>
      <w:r w:rsidRPr="00EB768C">
        <w:rPr>
          <w:sz w:val="24"/>
          <w:szCs w:val="24"/>
        </w:rPr>
        <w:t>B</w:t>
      </w:r>
    </w:p>
    <w:p w14:paraId="13C59B76" w14:textId="77777777" w:rsidR="009260DE" w:rsidRPr="00EB768C" w:rsidRDefault="009260DE" w:rsidP="009260DE">
      <w:pPr>
        <w:tabs>
          <w:tab w:val="left" w:pos="851"/>
        </w:tabs>
        <w:ind w:left="851"/>
        <w:rPr>
          <w:sz w:val="24"/>
          <w:szCs w:val="24"/>
        </w:rPr>
      </w:pPr>
    </w:p>
    <w:p w14:paraId="1EE9C9D9" w14:textId="77777777" w:rsidR="009260DE" w:rsidRPr="00EB768C" w:rsidRDefault="009260DE" w:rsidP="009260DE">
      <w:pPr>
        <w:tabs>
          <w:tab w:val="left" w:pos="851"/>
        </w:tabs>
        <w:ind w:left="851"/>
        <w:rPr>
          <w:sz w:val="24"/>
          <w:szCs w:val="24"/>
        </w:rPr>
      </w:pPr>
    </w:p>
    <w:p w14:paraId="09F1445B" w14:textId="77777777" w:rsidR="009260DE" w:rsidRPr="00EB768C" w:rsidRDefault="009260DE" w:rsidP="009260DE">
      <w:pPr>
        <w:tabs>
          <w:tab w:val="left" w:pos="851"/>
        </w:tabs>
        <w:ind w:left="851" w:hanging="851"/>
        <w:rPr>
          <w:b/>
          <w:sz w:val="24"/>
          <w:szCs w:val="24"/>
        </w:rPr>
      </w:pPr>
      <w:r w:rsidRPr="00EB768C">
        <w:rPr>
          <w:b/>
          <w:sz w:val="24"/>
          <w:szCs w:val="24"/>
        </w:rPr>
        <w:t>5.</w:t>
      </w:r>
      <w:r w:rsidRPr="00EB768C">
        <w:rPr>
          <w:b/>
          <w:sz w:val="24"/>
          <w:szCs w:val="24"/>
        </w:rPr>
        <w:tab/>
        <w:t>FARMAKOLOGISKE EGENSKABER</w:t>
      </w:r>
    </w:p>
    <w:p w14:paraId="07D80538" w14:textId="77777777" w:rsidR="009260DE" w:rsidRPr="00EB768C" w:rsidRDefault="009260DE" w:rsidP="009260DE">
      <w:pPr>
        <w:tabs>
          <w:tab w:val="left" w:pos="851"/>
        </w:tabs>
        <w:ind w:left="851"/>
        <w:rPr>
          <w:sz w:val="24"/>
          <w:szCs w:val="24"/>
        </w:rPr>
      </w:pPr>
    </w:p>
    <w:p w14:paraId="054CE4A1" w14:textId="77777777" w:rsidR="009260DE" w:rsidRPr="00EB768C" w:rsidRDefault="009260DE" w:rsidP="009260DE">
      <w:pPr>
        <w:tabs>
          <w:tab w:val="num" w:pos="851"/>
        </w:tabs>
        <w:ind w:left="851" w:hanging="851"/>
        <w:rPr>
          <w:b/>
          <w:sz w:val="24"/>
          <w:szCs w:val="24"/>
        </w:rPr>
      </w:pPr>
      <w:r w:rsidRPr="00EB768C">
        <w:rPr>
          <w:b/>
          <w:sz w:val="24"/>
          <w:szCs w:val="24"/>
        </w:rPr>
        <w:t>5.1</w:t>
      </w:r>
      <w:r w:rsidRPr="00EB768C">
        <w:rPr>
          <w:b/>
          <w:sz w:val="24"/>
          <w:szCs w:val="24"/>
        </w:rPr>
        <w:tab/>
      </w:r>
      <w:proofErr w:type="spellStart"/>
      <w:r w:rsidRPr="00EB768C">
        <w:rPr>
          <w:b/>
          <w:sz w:val="24"/>
          <w:szCs w:val="24"/>
        </w:rPr>
        <w:t>Farmakodynamiske</w:t>
      </w:r>
      <w:proofErr w:type="spellEnd"/>
      <w:r w:rsidRPr="00EB768C">
        <w:rPr>
          <w:b/>
          <w:sz w:val="24"/>
          <w:szCs w:val="24"/>
        </w:rPr>
        <w:t xml:space="preserve"> egenskaber</w:t>
      </w:r>
    </w:p>
    <w:p w14:paraId="68916AB8" w14:textId="7B8DFE3B" w:rsidR="00E4750A" w:rsidRPr="00EB768C" w:rsidRDefault="00E4750A" w:rsidP="00F65D87">
      <w:pPr>
        <w:ind w:left="851"/>
        <w:rPr>
          <w:sz w:val="24"/>
          <w:szCs w:val="24"/>
        </w:rPr>
      </w:pPr>
      <w:proofErr w:type="spellStart"/>
      <w:r w:rsidRPr="00EB768C">
        <w:rPr>
          <w:sz w:val="24"/>
          <w:szCs w:val="24"/>
        </w:rPr>
        <w:t>Farmakoterapeutisk</w:t>
      </w:r>
      <w:proofErr w:type="spellEnd"/>
      <w:r w:rsidRPr="00EB768C">
        <w:rPr>
          <w:sz w:val="24"/>
          <w:szCs w:val="24"/>
        </w:rPr>
        <w:t xml:space="preserve"> klassifikation: Betablokerende midler, usammensatte, selektive, ATC-kode: C07AB03</w:t>
      </w:r>
      <w:r w:rsidR="00A5655F">
        <w:rPr>
          <w:sz w:val="24"/>
          <w:szCs w:val="24"/>
        </w:rPr>
        <w:t>.</w:t>
      </w:r>
    </w:p>
    <w:p w14:paraId="2DB811C0" w14:textId="77777777" w:rsidR="00E4750A" w:rsidRPr="00EB768C" w:rsidRDefault="00E4750A" w:rsidP="00F65D87">
      <w:pPr>
        <w:ind w:left="851"/>
        <w:rPr>
          <w:sz w:val="24"/>
          <w:szCs w:val="24"/>
        </w:rPr>
      </w:pPr>
    </w:p>
    <w:p w14:paraId="098DC4BA" w14:textId="068E3867" w:rsidR="00E4750A" w:rsidRPr="00EB768C" w:rsidRDefault="00E4750A" w:rsidP="00F65D87">
      <w:pPr>
        <w:ind w:left="851"/>
        <w:rPr>
          <w:sz w:val="24"/>
          <w:szCs w:val="24"/>
        </w:rPr>
      </w:pPr>
      <w:proofErr w:type="spellStart"/>
      <w:r w:rsidRPr="00EB768C">
        <w:rPr>
          <w:sz w:val="24"/>
          <w:szCs w:val="24"/>
        </w:rPr>
        <w:t>Atenolol</w:t>
      </w:r>
      <w:proofErr w:type="spellEnd"/>
      <w:r w:rsidRPr="00EB768C">
        <w:rPr>
          <w:sz w:val="24"/>
          <w:szCs w:val="24"/>
        </w:rPr>
        <w:t xml:space="preserve"> er et selektivt beta-1-adrenerg blokerende middel uden iboende </w:t>
      </w:r>
      <w:proofErr w:type="spellStart"/>
      <w:r w:rsidRPr="00EB768C">
        <w:rPr>
          <w:sz w:val="24"/>
          <w:szCs w:val="24"/>
        </w:rPr>
        <w:t>sympatomime</w:t>
      </w:r>
      <w:r w:rsidR="00355D82">
        <w:rPr>
          <w:sz w:val="24"/>
          <w:szCs w:val="24"/>
        </w:rPr>
        <w:softHyphen/>
      </w:r>
      <w:r w:rsidRPr="00EB768C">
        <w:rPr>
          <w:sz w:val="24"/>
          <w:szCs w:val="24"/>
        </w:rPr>
        <w:t>tiske</w:t>
      </w:r>
      <w:proofErr w:type="spellEnd"/>
      <w:r w:rsidRPr="00EB768C">
        <w:rPr>
          <w:sz w:val="24"/>
          <w:szCs w:val="24"/>
        </w:rPr>
        <w:t xml:space="preserve"> eller membranstabiliserende egenskaber. De kliniske virkninger opnås hurtigt og vil vare mindst 24 timer efter indtagelse af </w:t>
      </w:r>
      <w:proofErr w:type="spellStart"/>
      <w:r w:rsidRPr="00EB768C">
        <w:rPr>
          <w:sz w:val="24"/>
          <w:szCs w:val="24"/>
        </w:rPr>
        <w:t>atenolol</w:t>
      </w:r>
      <w:proofErr w:type="spellEnd"/>
      <w:r w:rsidRPr="00EB768C">
        <w:rPr>
          <w:sz w:val="24"/>
          <w:szCs w:val="24"/>
        </w:rPr>
        <w:t xml:space="preserve">. Derfor kan </w:t>
      </w:r>
      <w:proofErr w:type="spellStart"/>
      <w:r w:rsidRPr="00EB768C">
        <w:rPr>
          <w:sz w:val="24"/>
          <w:szCs w:val="24"/>
        </w:rPr>
        <w:t>atenolol</w:t>
      </w:r>
      <w:proofErr w:type="spellEnd"/>
      <w:r w:rsidRPr="00EB768C">
        <w:rPr>
          <w:sz w:val="24"/>
          <w:szCs w:val="24"/>
        </w:rPr>
        <w:t xml:space="preserve"> 50 mg og 100 mg tabletter tages én gang dagligt, hvilket forenkler behandlingen. </w:t>
      </w:r>
      <w:proofErr w:type="spellStart"/>
      <w:r w:rsidRPr="00EB768C">
        <w:rPr>
          <w:sz w:val="24"/>
          <w:szCs w:val="24"/>
        </w:rPr>
        <w:t>Atenolol</w:t>
      </w:r>
      <w:proofErr w:type="spellEnd"/>
      <w:r w:rsidRPr="00EB768C">
        <w:rPr>
          <w:sz w:val="24"/>
          <w:szCs w:val="24"/>
        </w:rPr>
        <w:t xml:space="preserve"> er en meget hydrofil forbindelse, som kun passerer blod-hjernebarrieren i meget begrænsede mængder. Dette medfører en relativt lav forekomst af centralnervesystem-bivirkninger. </w:t>
      </w:r>
      <w:proofErr w:type="spellStart"/>
      <w:r w:rsidRPr="00EB768C">
        <w:rPr>
          <w:sz w:val="24"/>
          <w:szCs w:val="24"/>
        </w:rPr>
        <w:t>Atenolol</w:t>
      </w:r>
      <w:proofErr w:type="spellEnd"/>
      <w:r w:rsidRPr="00EB768C">
        <w:rPr>
          <w:sz w:val="24"/>
          <w:szCs w:val="24"/>
        </w:rPr>
        <w:t xml:space="preserve"> virker hovedsageligt på hjertets betareceptorer og kan derfor, i modsætning til ikke-selektive </w:t>
      </w:r>
      <w:proofErr w:type="spellStart"/>
      <w:r w:rsidRPr="00EB768C">
        <w:rPr>
          <w:sz w:val="24"/>
          <w:szCs w:val="24"/>
        </w:rPr>
        <w:t>betaadrenerge</w:t>
      </w:r>
      <w:proofErr w:type="spellEnd"/>
      <w:r w:rsidRPr="00EB768C">
        <w:rPr>
          <w:sz w:val="24"/>
          <w:szCs w:val="24"/>
        </w:rPr>
        <w:t xml:space="preserve"> blokerende midler, under nøje overvågning og kontrol af lungefunktionen administreres til patienter med kronisk obstruktive lungesygdomme, som ikke kan tåle et ikke-selektivt </w:t>
      </w:r>
      <w:proofErr w:type="spellStart"/>
      <w:r w:rsidRPr="00EB768C">
        <w:rPr>
          <w:sz w:val="24"/>
          <w:szCs w:val="24"/>
        </w:rPr>
        <w:t>betaadrenerg</w:t>
      </w:r>
      <w:proofErr w:type="spellEnd"/>
      <w:r w:rsidRPr="00EB768C">
        <w:rPr>
          <w:sz w:val="24"/>
          <w:szCs w:val="24"/>
        </w:rPr>
        <w:t xml:space="preserve"> blokerende middel.</w:t>
      </w:r>
    </w:p>
    <w:p w14:paraId="1EC0BC1C" w14:textId="77777777" w:rsidR="00E4750A" w:rsidRPr="00EB768C" w:rsidRDefault="00E4750A" w:rsidP="00F65D87">
      <w:pPr>
        <w:ind w:left="851"/>
        <w:rPr>
          <w:sz w:val="24"/>
          <w:szCs w:val="24"/>
        </w:rPr>
      </w:pPr>
      <w:r w:rsidRPr="00EB768C">
        <w:rPr>
          <w:sz w:val="24"/>
          <w:szCs w:val="24"/>
        </w:rPr>
        <w:t xml:space="preserve">Beta-1-selektiviteten reduceres med øget dosis. </w:t>
      </w:r>
      <w:proofErr w:type="spellStart"/>
      <w:r w:rsidRPr="00EB768C">
        <w:rPr>
          <w:sz w:val="24"/>
          <w:szCs w:val="24"/>
        </w:rPr>
        <w:t>Betaadrenerge</w:t>
      </w:r>
      <w:proofErr w:type="spellEnd"/>
      <w:r w:rsidRPr="00EB768C">
        <w:rPr>
          <w:sz w:val="24"/>
          <w:szCs w:val="24"/>
        </w:rPr>
        <w:t xml:space="preserve"> blokerende midler har en negativ inotrop og </w:t>
      </w:r>
      <w:proofErr w:type="spellStart"/>
      <w:r w:rsidRPr="00EB768C">
        <w:rPr>
          <w:sz w:val="24"/>
          <w:szCs w:val="24"/>
        </w:rPr>
        <w:t>kronotrop</w:t>
      </w:r>
      <w:proofErr w:type="spellEnd"/>
      <w:r w:rsidRPr="00EB768C">
        <w:rPr>
          <w:sz w:val="24"/>
          <w:szCs w:val="24"/>
        </w:rPr>
        <w:t xml:space="preserve"> effekt og hæmmer effekten af </w:t>
      </w:r>
      <w:proofErr w:type="spellStart"/>
      <w:r w:rsidRPr="00EB768C">
        <w:rPr>
          <w:sz w:val="24"/>
          <w:szCs w:val="24"/>
        </w:rPr>
        <w:t>katekolaminer</w:t>
      </w:r>
      <w:proofErr w:type="spellEnd"/>
      <w:r w:rsidRPr="00EB768C">
        <w:rPr>
          <w:sz w:val="24"/>
          <w:szCs w:val="24"/>
        </w:rPr>
        <w:t>, hvilket resulterer i nedsat hjertefrekvens og blodtryk.</w:t>
      </w:r>
    </w:p>
    <w:p w14:paraId="62FD3BE9" w14:textId="77777777" w:rsidR="00E4750A" w:rsidRPr="00EB768C" w:rsidRDefault="00E4750A" w:rsidP="00F65D87">
      <w:pPr>
        <w:ind w:left="851"/>
        <w:rPr>
          <w:sz w:val="24"/>
          <w:szCs w:val="24"/>
        </w:rPr>
      </w:pPr>
    </w:p>
    <w:p w14:paraId="27F04D43" w14:textId="76B70CCA" w:rsidR="00E4750A" w:rsidRPr="00EB768C" w:rsidRDefault="00E4750A" w:rsidP="00F65D87">
      <w:pPr>
        <w:ind w:left="851"/>
        <w:rPr>
          <w:sz w:val="24"/>
          <w:szCs w:val="24"/>
        </w:rPr>
      </w:pPr>
      <w:proofErr w:type="spellStart"/>
      <w:r w:rsidRPr="00EB768C">
        <w:rPr>
          <w:sz w:val="24"/>
          <w:szCs w:val="24"/>
        </w:rPr>
        <w:t>Atenolol</w:t>
      </w:r>
      <w:proofErr w:type="spellEnd"/>
      <w:r w:rsidRPr="00EB768C">
        <w:rPr>
          <w:sz w:val="24"/>
          <w:szCs w:val="24"/>
        </w:rPr>
        <w:t xml:space="preserve"> </w:t>
      </w:r>
      <w:r w:rsidR="00B167E7">
        <w:rPr>
          <w:sz w:val="24"/>
          <w:szCs w:val="24"/>
        </w:rPr>
        <w:t>"</w:t>
      </w:r>
      <w:r w:rsidRPr="00EB768C">
        <w:rPr>
          <w:sz w:val="24"/>
          <w:szCs w:val="24"/>
        </w:rPr>
        <w:t>Medical Valley</w:t>
      </w:r>
      <w:r w:rsidR="00B167E7">
        <w:rPr>
          <w:sz w:val="24"/>
          <w:szCs w:val="24"/>
        </w:rPr>
        <w:t>"</w:t>
      </w:r>
      <w:r w:rsidRPr="00EB768C">
        <w:rPr>
          <w:sz w:val="24"/>
          <w:szCs w:val="24"/>
        </w:rPr>
        <w:t xml:space="preserve"> er forligeligt med </w:t>
      </w:r>
      <w:proofErr w:type="spellStart"/>
      <w:r w:rsidRPr="00EB768C">
        <w:rPr>
          <w:sz w:val="24"/>
          <w:szCs w:val="24"/>
        </w:rPr>
        <w:t>diuretika</w:t>
      </w:r>
      <w:proofErr w:type="spellEnd"/>
      <w:r w:rsidRPr="00EB768C">
        <w:rPr>
          <w:sz w:val="24"/>
          <w:szCs w:val="24"/>
        </w:rPr>
        <w:t xml:space="preserve">, andre </w:t>
      </w:r>
      <w:proofErr w:type="spellStart"/>
      <w:r w:rsidRPr="00EB768C">
        <w:rPr>
          <w:sz w:val="24"/>
          <w:szCs w:val="24"/>
        </w:rPr>
        <w:t>antihypertensiva</w:t>
      </w:r>
      <w:proofErr w:type="spellEnd"/>
      <w:r w:rsidRPr="00EB768C">
        <w:rPr>
          <w:sz w:val="24"/>
          <w:szCs w:val="24"/>
        </w:rPr>
        <w:t xml:space="preserve"> og antiangina midler (se pkt. 4.5).</w:t>
      </w:r>
    </w:p>
    <w:p w14:paraId="766139E0" w14:textId="77777777" w:rsidR="009260DE" w:rsidRPr="00EB768C" w:rsidRDefault="009260DE" w:rsidP="009260DE">
      <w:pPr>
        <w:tabs>
          <w:tab w:val="left" w:pos="851"/>
        </w:tabs>
        <w:ind w:left="851"/>
        <w:rPr>
          <w:sz w:val="24"/>
          <w:szCs w:val="24"/>
        </w:rPr>
      </w:pPr>
    </w:p>
    <w:p w14:paraId="0AF64C6D" w14:textId="77777777" w:rsidR="009260DE" w:rsidRPr="00EB768C" w:rsidRDefault="009260DE" w:rsidP="009260DE">
      <w:pPr>
        <w:tabs>
          <w:tab w:val="left" w:pos="851"/>
        </w:tabs>
        <w:ind w:left="851" w:hanging="851"/>
        <w:rPr>
          <w:b/>
          <w:sz w:val="24"/>
          <w:szCs w:val="24"/>
        </w:rPr>
      </w:pPr>
      <w:r w:rsidRPr="00EB768C">
        <w:rPr>
          <w:b/>
          <w:sz w:val="24"/>
          <w:szCs w:val="24"/>
        </w:rPr>
        <w:t>5.2</w:t>
      </w:r>
      <w:r w:rsidRPr="00EB768C">
        <w:rPr>
          <w:b/>
          <w:sz w:val="24"/>
          <w:szCs w:val="24"/>
        </w:rPr>
        <w:tab/>
      </w:r>
      <w:proofErr w:type="spellStart"/>
      <w:r w:rsidRPr="00EB768C">
        <w:rPr>
          <w:b/>
          <w:sz w:val="24"/>
          <w:szCs w:val="24"/>
        </w:rPr>
        <w:t>Farmakokinetiske</w:t>
      </w:r>
      <w:proofErr w:type="spellEnd"/>
      <w:r w:rsidRPr="00EB768C">
        <w:rPr>
          <w:b/>
          <w:sz w:val="24"/>
          <w:szCs w:val="24"/>
        </w:rPr>
        <w:t xml:space="preserve"> egenskaber</w:t>
      </w:r>
    </w:p>
    <w:p w14:paraId="08E9C900" w14:textId="77777777" w:rsidR="00A5655F" w:rsidRDefault="00A5655F" w:rsidP="00F65D87">
      <w:pPr>
        <w:ind w:left="851"/>
        <w:rPr>
          <w:sz w:val="24"/>
          <w:szCs w:val="24"/>
        </w:rPr>
      </w:pPr>
    </w:p>
    <w:p w14:paraId="0E98B653" w14:textId="115F1D0A" w:rsidR="00E4750A" w:rsidRPr="00A5655F" w:rsidRDefault="00E4750A" w:rsidP="00F65D87">
      <w:pPr>
        <w:ind w:left="851"/>
        <w:rPr>
          <w:sz w:val="24"/>
          <w:szCs w:val="24"/>
          <w:u w:val="single"/>
        </w:rPr>
      </w:pPr>
      <w:r w:rsidRPr="00A5655F">
        <w:rPr>
          <w:sz w:val="24"/>
          <w:szCs w:val="24"/>
          <w:u w:val="single"/>
        </w:rPr>
        <w:t>Absorption</w:t>
      </w:r>
    </w:p>
    <w:p w14:paraId="139752B7" w14:textId="77777777" w:rsidR="00E4750A" w:rsidRPr="00EB768C" w:rsidRDefault="00E4750A" w:rsidP="00F65D87">
      <w:pPr>
        <w:ind w:left="851"/>
        <w:rPr>
          <w:sz w:val="24"/>
          <w:szCs w:val="24"/>
        </w:rPr>
      </w:pPr>
      <w:r w:rsidRPr="00EB768C">
        <w:rPr>
          <w:sz w:val="24"/>
          <w:szCs w:val="24"/>
        </w:rPr>
        <w:t xml:space="preserve">Den orale biotilgængelighed er omkring 50 til 60 %. Biotilgængeligheden er nedsat med 20 %, når den tages sammen med mad. Maksimal plasmakoncentration opnås 2-4 timer efter gentagen oral administration. Der er en lineær sammenhæng mellem dosis og plasmakoncentration. Variabiliteten mellem individerne i AUC og </w:t>
      </w:r>
      <w:proofErr w:type="spellStart"/>
      <w:r w:rsidRPr="00EB768C">
        <w:rPr>
          <w:sz w:val="24"/>
          <w:szCs w:val="24"/>
        </w:rPr>
        <w:t>C</w:t>
      </w:r>
      <w:r w:rsidRPr="00355D82">
        <w:rPr>
          <w:sz w:val="24"/>
          <w:szCs w:val="24"/>
          <w:vertAlign w:val="subscript"/>
        </w:rPr>
        <w:t>max</w:t>
      </w:r>
      <w:proofErr w:type="spellEnd"/>
      <w:r w:rsidRPr="00EB768C">
        <w:rPr>
          <w:sz w:val="24"/>
          <w:szCs w:val="24"/>
        </w:rPr>
        <w:t xml:space="preserve"> er omkring 30-40 %.</w:t>
      </w:r>
    </w:p>
    <w:p w14:paraId="2F4CF1AD" w14:textId="77777777" w:rsidR="00E4750A" w:rsidRPr="00EB768C" w:rsidRDefault="00E4750A" w:rsidP="00F65D87">
      <w:pPr>
        <w:ind w:left="851"/>
        <w:rPr>
          <w:sz w:val="24"/>
          <w:szCs w:val="24"/>
        </w:rPr>
      </w:pPr>
    </w:p>
    <w:p w14:paraId="35E0405B" w14:textId="77777777" w:rsidR="00E4750A" w:rsidRPr="00A5655F" w:rsidRDefault="00E4750A" w:rsidP="00F65D87">
      <w:pPr>
        <w:ind w:left="851"/>
        <w:rPr>
          <w:sz w:val="24"/>
          <w:szCs w:val="24"/>
          <w:u w:val="single"/>
        </w:rPr>
      </w:pPr>
      <w:r w:rsidRPr="00A5655F">
        <w:rPr>
          <w:noProof/>
          <w:sz w:val="24"/>
          <w:szCs w:val="24"/>
          <w:u w:val="single"/>
        </w:rPr>
        <w:t>Fordeling</w:t>
      </w:r>
    </w:p>
    <w:p w14:paraId="7711B9F9" w14:textId="77777777" w:rsidR="00E4750A" w:rsidRPr="00EB768C" w:rsidRDefault="00E4750A" w:rsidP="00F65D87">
      <w:pPr>
        <w:ind w:left="851"/>
        <w:rPr>
          <w:sz w:val="24"/>
          <w:szCs w:val="24"/>
        </w:rPr>
      </w:pPr>
      <w:r w:rsidRPr="00EB768C">
        <w:rPr>
          <w:sz w:val="24"/>
          <w:szCs w:val="24"/>
        </w:rPr>
        <w:t xml:space="preserve">Fordelingsvolumenet er 50 til 75 l. Kun små mængder er rapporteret at krydse blod-hjerne-barrieren, og binding til plasmaprotein er minimal (mindre end 5 %). </w:t>
      </w:r>
    </w:p>
    <w:p w14:paraId="7E187A44" w14:textId="77777777" w:rsidR="00E4750A" w:rsidRPr="00EB768C" w:rsidRDefault="00E4750A" w:rsidP="00F65D87">
      <w:pPr>
        <w:ind w:left="851"/>
        <w:rPr>
          <w:sz w:val="24"/>
          <w:szCs w:val="24"/>
        </w:rPr>
      </w:pPr>
      <w:r w:rsidRPr="00EB768C">
        <w:rPr>
          <w:sz w:val="24"/>
          <w:szCs w:val="24"/>
        </w:rPr>
        <w:t>(Kvinder: det krydser moderkagen og fordeles i modermælk, hvor der er opnået højere koncentrationer end i moderens plasma).</w:t>
      </w:r>
    </w:p>
    <w:p w14:paraId="0C1789CD" w14:textId="77777777" w:rsidR="00E4750A" w:rsidRPr="00EB768C" w:rsidRDefault="00E4750A" w:rsidP="00F65D87">
      <w:pPr>
        <w:ind w:left="851"/>
        <w:rPr>
          <w:sz w:val="24"/>
          <w:szCs w:val="24"/>
        </w:rPr>
      </w:pPr>
    </w:p>
    <w:p w14:paraId="7E0E4420" w14:textId="77777777" w:rsidR="00E4750A" w:rsidRPr="00A5655F" w:rsidRDefault="00E4750A" w:rsidP="00F65D87">
      <w:pPr>
        <w:ind w:left="851"/>
        <w:rPr>
          <w:sz w:val="24"/>
          <w:szCs w:val="24"/>
          <w:u w:val="single"/>
        </w:rPr>
      </w:pPr>
      <w:r w:rsidRPr="00A5655F">
        <w:rPr>
          <w:sz w:val="24"/>
          <w:szCs w:val="24"/>
          <w:u w:val="single"/>
        </w:rPr>
        <w:t>Biotransformation</w:t>
      </w:r>
    </w:p>
    <w:p w14:paraId="04588AD9" w14:textId="77777777" w:rsidR="00E4750A" w:rsidRPr="00EB768C" w:rsidRDefault="00E4750A" w:rsidP="00F65D87">
      <w:pPr>
        <w:ind w:left="851"/>
        <w:rPr>
          <w:sz w:val="24"/>
          <w:szCs w:val="24"/>
        </w:rPr>
      </w:pPr>
      <w:proofErr w:type="spellStart"/>
      <w:r w:rsidRPr="00EB768C">
        <w:rPr>
          <w:sz w:val="24"/>
          <w:szCs w:val="24"/>
        </w:rPr>
        <w:t>Atenolol</w:t>
      </w:r>
      <w:proofErr w:type="spellEnd"/>
      <w:r w:rsidRPr="00EB768C">
        <w:rPr>
          <w:sz w:val="24"/>
          <w:szCs w:val="24"/>
        </w:rPr>
        <w:t xml:space="preserve"> undergår kun ringe eller ingen levermetabolisme.</w:t>
      </w:r>
    </w:p>
    <w:p w14:paraId="53D346D3" w14:textId="77777777" w:rsidR="00E4750A" w:rsidRPr="00EB768C" w:rsidRDefault="00E4750A" w:rsidP="00F65D87">
      <w:pPr>
        <w:ind w:left="851"/>
        <w:rPr>
          <w:sz w:val="24"/>
          <w:szCs w:val="24"/>
        </w:rPr>
      </w:pPr>
    </w:p>
    <w:p w14:paraId="6B50FBFE" w14:textId="77777777" w:rsidR="00E4750A" w:rsidRPr="00A5655F" w:rsidRDefault="00E4750A" w:rsidP="00F65D87">
      <w:pPr>
        <w:ind w:left="851"/>
        <w:rPr>
          <w:sz w:val="24"/>
          <w:szCs w:val="24"/>
          <w:u w:val="single"/>
        </w:rPr>
      </w:pPr>
      <w:r w:rsidRPr="00A5655F">
        <w:rPr>
          <w:sz w:val="24"/>
          <w:szCs w:val="24"/>
          <w:u w:val="single"/>
        </w:rPr>
        <w:t>Elimination</w:t>
      </w:r>
    </w:p>
    <w:p w14:paraId="1CE03C55" w14:textId="77777777" w:rsidR="00E4750A" w:rsidRPr="00EB768C" w:rsidRDefault="00E4750A" w:rsidP="00F65D87">
      <w:pPr>
        <w:ind w:left="851"/>
        <w:rPr>
          <w:sz w:val="24"/>
          <w:szCs w:val="24"/>
        </w:rPr>
      </w:pPr>
      <w:r w:rsidRPr="00EB768C">
        <w:rPr>
          <w:sz w:val="24"/>
          <w:szCs w:val="24"/>
        </w:rPr>
        <w:t xml:space="preserve">Størstedelen af en absorberet dosis (85-100 %) udskilles uændret via urinen. </w:t>
      </w:r>
      <w:proofErr w:type="spellStart"/>
      <w:r w:rsidRPr="00EB768C">
        <w:rPr>
          <w:sz w:val="24"/>
          <w:szCs w:val="24"/>
        </w:rPr>
        <w:t>Clearance</w:t>
      </w:r>
      <w:proofErr w:type="spellEnd"/>
      <w:r w:rsidRPr="00EB768C">
        <w:rPr>
          <w:sz w:val="24"/>
          <w:szCs w:val="24"/>
        </w:rPr>
        <w:t xml:space="preserve"> er ca. 6 l/time, og halveringstiden er ca. 6 til 9 timer. Hos ældre patienter er </w:t>
      </w:r>
      <w:proofErr w:type="spellStart"/>
      <w:r w:rsidRPr="00EB768C">
        <w:rPr>
          <w:sz w:val="24"/>
          <w:szCs w:val="24"/>
        </w:rPr>
        <w:t>clearance</w:t>
      </w:r>
      <w:proofErr w:type="spellEnd"/>
      <w:r w:rsidRPr="00EB768C">
        <w:rPr>
          <w:sz w:val="24"/>
          <w:szCs w:val="24"/>
        </w:rPr>
        <w:t xml:space="preserve"> reduceret, og eliminationshalveringstiden forøget. </w:t>
      </w:r>
      <w:proofErr w:type="spellStart"/>
      <w:r w:rsidRPr="00EB768C">
        <w:rPr>
          <w:sz w:val="24"/>
          <w:szCs w:val="24"/>
        </w:rPr>
        <w:t>Clearance</w:t>
      </w:r>
      <w:proofErr w:type="spellEnd"/>
      <w:r w:rsidRPr="00EB768C">
        <w:rPr>
          <w:sz w:val="24"/>
          <w:szCs w:val="24"/>
        </w:rPr>
        <w:t xml:space="preserve"> er korreleret med nyrefunktionen, og eliminationen er forlænget hos patienter med nedsat nyrefunktion. Nedsat leverfunktion påvirker ikke farmakokinetikken af </w:t>
      </w:r>
      <w:proofErr w:type="spellStart"/>
      <w:r w:rsidRPr="00EB768C">
        <w:rPr>
          <w:sz w:val="24"/>
          <w:szCs w:val="24"/>
        </w:rPr>
        <w:t>atenolol</w:t>
      </w:r>
      <w:proofErr w:type="spellEnd"/>
      <w:r w:rsidRPr="00EB768C">
        <w:rPr>
          <w:sz w:val="24"/>
          <w:szCs w:val="24"/>
        </w:rPr>
        <w:t>.</w:t>
      </w:r>
    </w:p>
    <w:p w14:paraId="69305E6B" w14:textId="77777777" w:rsidR="009260DE" w:rsidRPr="00EB768C" w:rsidRDefault="009260DE" w:rsidP="009260DE">
      <w:pPr>
        <w:tabs>
          <w:tab w:val="left" w:pos="851"/>
        </w:tabs>
        <w:ind w:left="851"/>
        <w:rPr>
          <w:sz w:val="24"/>
          <w:szCs w:val="24"/>
        </w:rPr>
      </w:pPr>
    </w:p>
    <w:p w14:paraId="7FA31632" w14:textId="77777777" w:rsidR="009260DE" w:rsidRPr="00EB768C" w:rsidRDefault="009260DE" w:rsidP="009260DE">
      <w:pPr>
        <w:tabs>
          <w:tab w:val="left" w:pos="851"/>
        </w:tabs>
        <w:ind w:left="851" w:hanging="851"/>
        <w:rPr>
          <w:b/>
          <w:sz w:val="24"/>
          <w:szCs w:val="24"/>
        </w:rPr>
      </w:pPr>
      <w:r w:rsidRPr="00EB768C">
        <w:rPr>
          <w:b/>
          <w:sz w:val="24"/>
          <w:szCs w:val="24"/>
        </w:rPr>
        <w:t>5.3</w:t>
      </w:r>
      <w:r w:rsidRPr="00EB768C">
        <w:rPr>
          <w:b/>
          <w:sz w:val="24"/>
          <w:szCs w:val="24"/>
        </w:rPr>
        <w:tab/>
      </w:r>
      <w:r w:rsidR="00BD7931" w:rsidRPr="00EB768C">
        <w:rPr>
          <w:b/>
          <w:sz w:val="24"/>
          <w:szCs w:val="24"/>
        </w:rPr>
        <w:t>Non-</w:t>
      </w:r>
      <w:r w:rsidRPr="00EB768C">
        <w:rPr>
          <w:b/>
          <w:sz w:val="24"/>
          <w:szCs w:val="24"/>
        </w:rPr>
        <w:t>kliniske sikkerhedsdata</w:t>
      </w:r>
    </w:p>
    <w:p w14:paraId="5E240374" w14:textId="77777777" w:rsidR="00E4750A" w:rsidRPr="00EB768C" w:rsidRDefault="00E4750A" w:rsidP="00F65D87">
      <w:pPr>
        <w:numPr>
          <w:ilvl w:val="12"/>
          <w:numId w:val="0"/>
        </w:numPr>
        <w:ind w:left="851" w:right="11"/>
        <w:rPr>
          <w:sz w:val="24"/>
          <w:szCs w:val="24"/>
        </w:rPr>
      </w:pPr>
      <w:proofErr w:type="spellStart"/>
      <w:r w:rsidRPr="00EB768C">
        <w:rPr>
          <w:sz w:val="24"/>
          <w:szCs w:val="24"/>
        </w:rPr>
        <w:t>Atenolol</w:t>
      </w:r>
      <w:proofErr w:type="spellEnd"/>
      <w:r w:rsidRPr="00EB768C">
        <w:rPr>
          <w:sz w:val="24"/>
          <w:szCs w:val="24"/>
        </w:rPr>
        <w:t xml:space="preserve"> er et lægemiddel, der er stor klinisk erfaring med. Alle relevante oplysninger for den ordinerende læge er beskrevet i dette produktresumé. Der er ingen prækliniske data af relevans for den ordinerende læge, som er supplerende til dem, der allerede er inkluderet i andre afsnit.</w:t>
      </w:r>
    </w:p>
    <w:p w14:paraId="3ADABB65" w14:textId="0BD0B99A" w:rsidR="009260DE" w:rsidRDefault="009260DE" w:rsidP="009260DE">
      <w:pPr>
        <w:tabs>
          <w:tab w:val="left" w:pos="851"/>
        </w:tabs>
        <w:ind w:left="851"/>
        <w:rPr>
          <w:sz w:val="24"/>
          <w:szCs w:val="24"/>
        </w:rPr>
      </w:pPr>
    </w:p>
    <w:p w14:paraId="616D100D" w14:textId="77777777" w:rsidR="00A5655F" w:rsidRPr="00EB768C" w:rsidRDefault="00A5655F" w:rsidP="009260DE">
      <w:pPr>
        <w:tabs>
          <w:tab w:val="left" w:pos="851"/>
        </w:tabs>
        <w:ind w:left="851"/>
        <w:rPr>
          <w:sz w:val="24"/>
          <w:szCs w:val="24"/>
        </w:rPr>
      </w:pPr>
    </w:p>
    <w:p w14:paraId="7453E77C" w14:textId="77777777" w:rsidR="009260DE" w:rsidRPr="00EB768C" w:rsidRDefault="009260DE" w:rsidP="009260DE">
      <w:pPr>
        <w:tabs>
          <w:tab w:val="left" w:pos="851"/>
        </w:tabs>
        <w:ind w:left="851" w:hanging="851"/>
        <w:rPr>
          <w:b/>
          <w:sz w:val="24"/>
          <w:szCs w:val="24"/>
        </w:rPr>
      </w:pPr>
      <w:r w:rsidRPr="00EB768C">
        <w:rPr>
          <w:b/>
          <w:sz w:val="24"/>
          <w:szCs w:val="24"/>
        </w:rPr>
        <w:t>6.</w:t>
      </w:r>
      <w:r w:rsidRPr="00EB768C">
        <w:rPr>
          <w:b/>
          <w:sz w:val="24"/>
          <w:szCs w:val="24"/>
        </w:rPr>
        <w:tab/>
        <w:t>FARMACEUTISKE OPLYSNINGER</w:t>
      </w:r>
    </w:p>
    <w:p w14:paraId="51E46486" w14:textId="77777777" w:rsidR="009260DE" w:rsidRPr="00EB768C" w:rsidRDefault="009260DE" w:rsidP="009260DE">
      <w:pPr>
        <w:tabs>
          <w:tab w:val="left" w:pos="851"/>
        </w:tabs>
        <w:ind w:left="851"/>
        <w:rPr>
          <w:sz w:val="24"/>
          <w:szCs w:val="24"/>
        </w:rPr>
      </w:pPr>
    </w:p>
    <w:p w14:paraId="41F158D9" w14:textId="77777777" w:rsidR="009260DE" w:rsidRPr="00EB768C" w:rsidRDefault="009260DE" w:rsidP="009260DE">
      <w:pPr>
        <w:tabs>
          <w:tab w:val="left" w:pos="851"/>
        </w:tabs>
        <w:ind w:left="851" w:hanging="851"/>
        <w:rPr>
          <w:b/>
          <w:sz w:val="24"/>
          <w:szCs w:val="24"/>
        </w:rPr>
      </w:pPr>
      <w:r w:rsidRPr="00EB768C">
        <w:rPr>
          <w:b/>
          <w:sz w:val="24"/>
          <w:szCs w:val="24"/>
        </w:rPr>
        <w:t>6.1</w:t>
      </w:r>
      <w:r w:rsidRPr="00EB768C">
        <w:rPr>
          <w:b/>
          <w:sz w:val="24"/>
          <w:szCs w:val="24"/>
        </w:rPr>
        <w:tab/>
        <w:t>Hjælpestoffer</w:t>
      </w:r>
    </w:p>
    <w:p w14:paraId="1766D907" w14:textId="77777777" w:rsidR="00A5655F" w:rsidRDefault="00A5655F" w:rsidP="00F65D87">
      <w:pPr>
        <w:ind w:left="851"/>
        <w:rPr>
          <w:sz w:val="24"/>
          <w:szCs w:val="24"/>
          <w:u w:val="single"/>
        </w:rPr>
      </w:pPr>
    </w:p>
    <w:p w14:paraId="20D7B784" w14:textId="300DAB06" w:rsidR="00E4750A" w:rsidRPr="00EB768C" w:rsidRDefault="00E4750A" w:rsidP="00F65D87">
      <w:pPr>
        <w:ind w:left="851"/>
        <w:rPr>
          <w:sz w:val="24"/>
          <w:szCs w:val="24"/>
        </w:rPr>
      </w:pPr>
      <w:r w:rsidRPr="00EB768C">
        <w:rPr>
          <w:sz w:val="24"/>
          <w:szCs w:val="24"/>
          <w:u w:val="single"/>
        </w:rPr>
        <w:t>Tabletten indeholder også:</w:t>
      </w:r>
    </w:p>
    <w:p w14:paraId="0EA8100F" w14:textId="77777777" w:rsidR="00E4750A" w:rsidRPr="00EB768C" w:rsidRDefault="00E4750A" w:rsidP="00F65D87">
      <w:pPr>
        <w:ind w:left="851"/>
        <w:rPr>
          <w:sz w:val="24"/>
          <w:szCs w:val="24"/>
        </w:rPr>
      </w:pPr>
    </w:p>
    <w:p w14:paraId="607CBF67" w14:textId="77777777" w:rsidR="00E4750A" w:rsidRPr="00EB768C" w:rsidRDefault="00E4750A" w:rsidP="00F65D87">
      <w:pPr>
        <w:ind w:left="851"/>
        <w:rPr>
          <w:sz w:val="24"/>
          <w:szCs w:val="24"/>
        </w:rPr>
      </w:pPr>
      <w:r w:rsidRPr="00EB768C">
        <w:rPr>
          <w:sz w:val="24"/>
          <w:szCs w:val="24"/>
          <w:u w:val="single"/>
        </w:rPr>
        <w:t>Tabletkerne:</w:t>
      </w:r>
    </w:p>
    <w:p w14:paraId="2CC7B5D9" w14:textId="77777777" w:rsidR="00E4750A" w:rsidRPr="00EB768C" w:rsidRDefault="00E4750A" w:rsidP="00F65D87">
      <w:pPr>
        <w:ind w:left="851"/>
        <w:rPr>
          <w:sz w:val="24"/>
          <w:szCs w:val="24"/>
        </w:rPr>
      </w:pPr>
      <w:r w:rsidRPr="00EB768C">
        <w:rPr>
          <w:sz w:val="24"/>
          <w:szCs w:val="24"/>
        </w:rPr>
        <w:t xml:space="preserve">Tungt </w:t>
      </w:r>
      <w:proofErr w:type="spellStart"/>
      <w:r w:rsidRPr="00EB768C">
        <w:rPr>
          <w:sz w:val="24"/>
          <w:szCs w:val="24"/>
        </w:rPr>
        <w:t>magnesiumcarbonat</w:t>
      </w:r>
      <w:proofErr w:type="spellEnd"/>
      <w:r w:rsidRPr="00EB768C">
        <w:rPr>
          <w:sz w:val="24"/>
          <w:szCs w:val="24"/>
        </w:rPr>
        <w:t xml:space="preserve"> (E504)</w:t>
      </w:r>
    </w:p>
    <w:p w14:paraId="04982119" w14:textId="77777777" w:rsidR="00E4750A" w:rsidRPr="00EB768C" w:rsidRDefault="00E4750A" w:rsidP="00F65D87">
      <w:pPr>
        <w:ind w:left="851"/>
        <w:rPr>
          <w:sz w:val="24"/>
          <w:szCs w:val="24"/>
        </w:rPr>
      </w:pPr>
      <w:r w:rsidRPr="00EB768C">
        <w:rPr>
          <w:sz w:val="24"/>
          <w:szCs w:val="24"/>
        </w:rPr>
        <w:t>Majsstivelse (E1403)</w:t>
      </w:r>
    </w:p>
    <w:p w14:paraId="5B3A78B3" w14:textId="77777777" w:rsidR="00E4750A" w:rsidRPr="00EB768C" w:rsidRDefault="00E4750A" w:rsidP="00F65D87">
      <w:pPr>
        <w:ind w:left="851"/>
        <w:rPr>
          <w:sz w:val="24"/>
          <w:szCs w:val="24"/>
        </w:rPr>
      </w:pPr>
      <w:proofErr w:type="spellStart"/>
      <w:r w:rsidRPr="00EB768C">
        <w:rPr>
          <w:sz w:val="24"/>
          <w:szCs w:val="24"/>
        </w:rPr>
        <w:t>Natriumstivelsesglycolat</w:t>
      </w:r>
      <w:proofErr w:type="spellEnd"/>
    </w:p>
    <w:p w14:paraId="6D3542D7" w14:textId="77777777" w:rsidR="00E4750A" w:rsidRPr="00EB768C" w:rsidRDefault="00E4750A" w:rsidP="00F65D87">
      <w:pPr>
        <w:ind w:left="851"/>
        <w:rPr>
          <w:sz w:val="24"/>
          <w:szCs w:val="24"/>
        </w:rPr>
      </w:pPr>
      <w:proofErr w:type="spellStart"/>
      <w:r w:rsidRPr="00EB768C">
        <w:rPr>
          <w:sz w:val="24"/>
          <w:szCs w:val="24"/>
        </w:rPr>
        <w:t>Silica</w:t>
      </w:r>
      <w:proofErr w:type="spellEnd"/>
      <w:r w:rsidRPr="00EB768C">
        <w:rPr>
          <w:sz w:val="24"/>
          <w:szCs w:val="24"/>
        </w:rPr>
        <w:t>, kolloid vandfri (E551)</w:t>
      </w:r>
    </w:p>
    <w:p w14:paraId="2F522DD0" w14:textId="77777777" w:rsidR="00E4750A" w:rsidRPr="00EB768C" w:rsidRDefault="00E4750A" w:rsidP="00F65D87">
      <w:pPr>
        <w:ind w:left="851"/>
        <w:rPr>
          <w:sz w:val="24"/>
          <w:szCs w:val="24"/>
        </w:rPr>
      </w:pPr>
      <w:proofErr w:type="spellStart"/>
      <w:r w:rsidRPr="00EB768C">
        <w:rPr>
          <w:sz w:val="24"/>
          <w:szCs w:val="24"/>
        </w:rPr>
        <w:t>Natriumlaurilsulfat</w:t>
      </w:r>
      <w:proofErr w:type="spellEnd"/>
    </w:p>
    <w:p w14:paraId="7EB45A34" w14:textId="77777777" w:rsidR="00E4750A" w:rsidRPr="00EB768C" w:rsidRDefault="00E4750A" w:rsidP="00F65D87">
      <w:pPr>
        <w:ind w:left="851"/>
        <w:rPr>
          <w:sz w:val="24"/>
          <w:szCs w:val="24"/>
        </w:rPr>
      </w:pPr>
      <w:proofErr w:type="spellStart"/>
      <w:r w:rsidRPr="00EB768C">
        <w:rPr>
          <w:sz w:val="24"/>
          <w:szCs w:val="24"/>
        </w:rPr>
        <w:t>Magnesiumstearat</w:t>
      </w:r>
      <w:proofErr w:type="spellEnd"/>
      <w:r w:rsidRPr="00EB768C">
        <w:rPr>
          <w:sz w:val="24"/>
          <w:szCs w:val="24"/>
        </w:rPr>
        <w:t xml:space="preserve"> (E572)</w:t>
      </w:r>
    </w:p>
    <w:p w14:paraId="67F56E54" w14:textId="77777777" w:rsidR="00E4750A" w:rsidRPr="00EB768C" w:rsidRDefault="00E4750A" w:rsidP="00F65D87">
      <w:pPr>
        <w:ind w:left="851"/>
        <w:rPr>
          <w:sz w:val="24"/>
          <w:szCs w:val="24"/>
        </w:rPr>
      </w:pPr>
    </w:p>
    <w:p w14:paraId="4D968D04" w14:textId="77777777" w:rsidR="00E4750A" w:rsidRPr="00EB768C" w:rsidRDefault="00E4750A" w:rsidP="00F65D87">
      <w:pPr>
        <w:ind w:left="851"/>
        <w:rPr>
          <w:sz w:val="24"/>
          <w:szCs w:val="24"/>
        </w:rPr>
      </w:pPr>
      <w:r w:rsidRPr="00EB768C">
        <w:rPr>
          <w:sz w:val="24"/>
          <w:szCs w:val="24"/>
          <w:u w:val="single"/>
        </w:rPr>
        <w:t>Tabletovertræk:</w:t>
      </w:r>
    </w:p>
    <w:p w14:paraId="23ACC000" w14:textId="77777777" w:rsidR="00E4750A" w:rsidRPr="00EB768C" w:rsidRDefault="00E4750A" w:rsidP="00F65D87">
      <w:pPr>
        <w:ind w:left="851"/>
        <w:rPr>
          <w:sz w:val="24"/>
          <w:szCs w:val="24"/>
        </w:rPr>
      </w:pPr>
      <w:proofErr w:type="spellStart"/>
      <w:r w:rsidRPr="00EB768C">
        <w:rPr>
          <w:sz w:val="24"/>
          <w:szCs w:val="24"/>
        </w:rPr>
        <w:t>Hypromellose</w:t>
      </w:r>
      <w:proofErr w:type="spellEnd"/>
      <w:r w:rsidRPr="00EB768C">
        <w:rPr>
          <w:sz w:val="24"/>
          <w:szCs w:val="24"/>
        </w:rPr>
        <w:t xml:space="preserve"> (E464)</w:t>
      </w:r>
    </w:p>
    <w:p w14:paraId="354E88E8" w14:textId="77777777" w:rsidR="00E4750A" w:rsidRPr="00EB768C" w:rsidRDefault="00E4750A" w:rsidP="00F65D87">
      <w:pPr>
        <w:ind w:left="851"/>
        <w:rPr>
          <w:sz w:val="24"/>
          <w:szCs w:val="24"/>
        </w:rPr>
      </w:pPr>
      <w:proofErr w:type="spellStart"/>
      <w:r w:rsidRPr="00EB768C">
        <w:rPr>
          <w:sz w:val="24"/>
          <w:szCs w:val="24"/>
        </w:rPr>
        <w:t>Macrogol</w:t>
      </w:r>
      <w:proofErr w:type="spellEnd"/>
    </w:p>
    <w:p w14:paraId="20E6FC02" w14:textId="77777777" w:rsidR="00E4750A" w:rsidRPr="00EB768C" w:rsidRDefault="00E4750A" w:rsidP="00F65D87">
      <w:pPr>
        <w:ind w:left="851"/>
        <w:rPr>
          <w:sz w:val="24"/>
          <w:szCs w:val="24"/>
        </w:rPr>
      </w:pPr>
      <w:r w:rsidRPr="00EB768C">
        <w:rPr>
          <w:sz w:val="24"/>
          <w:szCs w:val="24"/>
        </w:rPr>
        <w:t>Titaniumdioxid (E171)</w:t>
      </w:r>
    </w:p>
    <w:p w14:paraId="585E9664" w14:textId="77777777" w:rsidR="00E4750A" w:rsidRPr="00EB768C" w:rsidRDefault="00E4750A" w:rsidP="00F65D87">
      <w:pPr>
        <w:ind w:left="851"/>
        <w:rPr>
          <w:sz w:val="24"/>
          <w:szCs w:val="24"/>
        </w:rPr>
      </w:pPr>
      <w:proofErr w:type="spellStart"/>
      <w:r w:rsidRPr="00EB768C">
        <w:rPr>
          <w:sz w:val="24"/>
          <w:szCs w:val="24"/>
        </w:rPr>
        <w:t>Talcum</w:t>
      </w:r>
      <w:proofErr w:type="spellEnd"/>
      <w:r w:rsidRPr="00EB768C">
        <w:rPr>
          <w:sz w:val="24"/>
          <w:szCs w:val="24"/>
        </w:rPr>
        <w:t xml:space="preserve"> (E553b)</w:t>
      </w:r>
    </w:p>
    <w:p w14:paraId="52903BB7" w14:textId="77777777" w:rsidR="009260DE" w:rsidRPr="00EB768C" w:rsidRDefault="009260DE" w:rsidP="009260DE">
      <w:pPr>
        <w:tabs>
          <w:tab w:val="left" w:pos="851"/>
        </w:tabs>
        <w:ind w:left="851"/>
        <w:rPr>
          <w:sz w:val="24"/>
          <w:szCs w:val="24"/>
        </w:rPr>
      </w:pPr>
    </w:p>
    <w:p w14:paraId="024FCCA0" w14:textId="77777777" w:rsidR="009260DE" w:rsidRPr="00EB768C" w:rsidRDefault="009260DE" w:rsidP="009260DE">
      <w:pPr>
        <w:tabs>
          <w:tab w:val="left" w:pos="851"/>
        </w:tabs>
        <w:ind w:left="851" w:hanging="851"/>
        <w:rPr>
          <w:b/>
          <w:sz w:val="24"/>
          <w:szCs w:val="24"/>
        </w:rPr>
      </w:pPr>
      <w:r w:rsidRPr="00EB768C">
        <w:rPr>
          <w:b/>
          <w:sz w:val="24"/>
          <w:szCs w:val="24"/>
        </w:rPr>
        <w:t>6.2</w:t>
      </w:r>
      <w:r w:rsidRPr="00EB768C">
        <w:rPr>
          <w:b/>
          <w:sz w:val="24"/>
          <w:szCs w:val="24"/>
        </w:rPr>
        <w:tab/>
        <w:t>Uforligeligheder</w:t>
      </w:r>
    </w:p>
    <w:p w14:paraId="15499737" w14:textId="77777777" w:rsidR="00E4750A" w:rsidRPr="00EB768C" w:rsidRDefault="00E4750A" w:rsidP="00F65D87">
      <w:pPr>
        <w:ind w:left="851"/>
        <w:rPr>
          <w:sz w:val="24"/>
          <w:szCs w:val="24"/>
        </w:rPr>
      </w:pPr>
      <w:r w:rsidRPr="00EB768C">
        <w:rPr>
          <w:sz w:val="24"/>
          <w:szCs w:val="24"/>
        </w:rPr>
        <w:t>Ikke relevant.</w:t>
      </w:r>
    </w:p>
    <w:p w14:paraId="59001841" w14:textId="77777777" w:rsidR="009260DE" w:rsidRPr="00EB768C" w:rsidRDefault="009260DE" w:rsidP="009260DE">
      <w:pPr>
        <w:tabs>
          <w:tab w:val="left" w:pos="851"/>
        </w:tabs>
        <w:ind w:left="851"/>
        <w:rPr>
          <w:sz w:val="24"/>
          <w:szCs w:val="24"/>
        </w:rPr>
      </w:pPr>
    </w:p>
    <w:p w14:paraId="73AF5C43" w14:textId="77777777" w:rsidR="009260DE" w:rsidRPr="00EB768C" w:rsidRDefault="009260DE" w:rsidP="009260DE">
      <w:pPr>
        <w:tabs>
          <w:tab w:val="left" w:pos="851"/>
        </w:tabs>
        <w:ind w:left="851" w:hanging="851"/>
        <w:rPr>
          <w:b/>
          <w:sz w:val="24"/>
          <w:szCs w:val="24"/>
        </w:rPr>
      </w:pPr>
      <w:r w:rsidRPr="00EB768C">
        <w:rPr>
          <w:b/>
          <w:sz w:val="24"/>
          <w:szCs w:val="24"/>
        </w:rPr>
        <w:t>6.3</w:t>
      </w:r>
      <w:r w:rsidRPr="00EB768C">
        <w:rPr>
          <w:b/>
          <w:sz w:val="24"/>
          <w:szCs w:val="24"/>
        </w:rPr>
        <w:tab/>
        <w:t>Opbevaringstid</w:t>
      </w:r>
    </w:p>
    <w:p w14:paraId="02B54393" w14:textId="77777777" w:rsidR="00E4750A" w:rsidRPr="00EB768C" w:rsidRDefault="00E4750A" w:rsidP="00F65D87">
      <w:pPr>
        <w:ind w:left="851"/>
        <w:rPr>
          <w:sz w:val="24"/>
          <w:szCs w:val="24"/>
        </w:rPr>
      </w:pPr>
      <w:r w:rsidRPr="00EB768C">
        <w:rPr>
          <w:sz w:val="24"/>
          <w:szCs w:val="24"/>
        </w:rPr>
        <w:t>3 år</w:t>
      </w:r>
    </w:p>
    <w:p w14:paraId="4CB74E54" w14:textId="77777777" w:rsidR="009260DE" w:rsidRPr="00EB768C" w:rsidRDefault="009260DE" w:rsidP="009260DE">
      <w:pPr>
        <w:tabs>
          <w:tab w:val="left" w:pos="851"/>
        </w:tabs>
        <w:ind w:left="851"/>
        <w:rPr>
          <w:sz w:val="24"/>
          <w:szCs w:val="24"/>
        </w:rPr>
      </w:pPr>
    </w:p>
    <w:p w14:paraId="2F44DB69" w14:textId="77777777" w:rsidR="009260DE" w:rsidRPr="00EB768C" w:rsidRDefault="009260DE" w:rsidP="009260DE">
      <w:pPr>
        <w:tabs>
          <w:tab w:val="left" w:pos="851"/>
        </w:tabs>
        <w:ind w:left="851" w:hanging="851"/>
        <w:rPr>
          <w:b/>
          <w:sz w:val="24"/>
          <w:szCs w:val="24"/>
        </w:rPr>
      </w:pPr>
      <w:r w:rsidRPr="00EB768C">
        <w:rPr>
          <w:b/>
          <w:sz w:val="24"/>
          <w:szCs w:val="24"/>
        </w:rPr>
        <w:t>6.4</w:t>
      </w:r>
      <w:r w:rsidRPr="00EB768C">
        <w:rPr>
          <w:b/>
          <w:sz w:val="24"/>
          <w:szCs w:val="24"/>
        </w:rPr>
        <w:tab/>
        <w:t>Særlige opbevaringsforhold</w:t>
      </w:r>
    </w:p>
    <w:p w14:paraId="0E4118C3" w14:textId="77777777" w:rsidR="00E4750A" w:rsidRPr="00EB768C" w:rsidRDefault="00E4750A" w:rsidP="00F65D87">
      <w:pPr>
        <w:ind w:left="851"/>
        <w:rPr>
          <w:noProof/>
          <w:sz w:val="24"/>
          <w:szCs w:val="24"/>
        </w:rPr>
      </w:pPr>
      <w:r w:rsidRPr="00EB768C">
        <w:rPr>
          <w:noProof/>
          <w:sz w:val="24"/>
          <w:szCs w:val="24"/>
        </w:rPr>
        <w:t>Dette lægemiddel kræver ingen særlige forholdsregler vedrørende opbevaringen.</w:t>
      </w:r>
    </w:p>
    <w:p w14:paraId="0974B49A" w14:textId="77777777" w:rsidR="009260DE" w:rsidRPr="00EB768C" w:rsidRDefault="009260DE" w:rsidP="009260DE">
      <w:pPr>
        <w:tabs>
          <w:tab w:val="left" w:pos="851"/>
        </w:tabs>
        <w:ind w:left="851"/>
        <w:rPr>
          <w:sz w:val="24"/>
          <w:szCs w:val="24"/>
        </w:rPr>
      </w:pPr>
    </w:p>
    <w:p w14:paraId="5D413C81" w14:textId="77777777" w:rsidR="009260DE" w:rsidRPr="00EB768C" w:rsidRDefault="009260DE" w:rsidP="009260DE">
      <w:pPr>
        <w:tabs>
          <w:tab w:val="left" w:pos="851"/>
        </w:tabs>
        <w:ind w:left="851" w:hanging="851"/>
        <w:rPr>
          <w:b/>
          <w:sz w:val="24"/>
          <w:szCs w:val="24"/>
        </w:rPr>
      </w:pPr>
      <w:r w:rsidRPr="00EB768C">
        <w:rPr>
          <w:b/>
          <w:sz w:val="24"/>
          <w:szCs w:val="24"/>
        </w:rPr>
        <w:t>6.5</w:t>
      </w:r>
      <w:r w:rsidRPr="00EB768C">
        <w:rPr>
          <w:b/>
          <w:sz w:val="24"/>
          <w:szCs w:val="24"/>
        </w:rPr>
        <w:tab/>
        <w:t>Emballagetype og pakningsstørrelser</w:t>
      </w:r>
    </w:p>
    <w:p w14:paraId="0FA90707" w14:textId="77777777" w:rsidR="00355D82" w:rsidRDefault="00355D82" w:rsidP="00F65D87">
      <w:pPr>
        <w:ind w:left="851"/>
        <w:rPr>
          <w:sz w:val="24"/>
          <w:szCs w:val="24"/>
        </w:rPr>
      </w:pPr>
    </w:p>
    <w:p w14:paraId="4638238D" w14:textId="191682EA" w:rsidR="00E4750A" w:rsidRPr="00355D82" w:rsidRDefault="00E4750A" w:rsidP="00F65D87">
      <w:pPr>
        <w:ind w:left="851"/>
        <w:rPr>
          <w:sz w:val="24"/>
          <w:szCs w:val="24"/>
          <w:u w:val="single"/>
        </w:rPr>
      </w:pPr>
      <w:proofErr w:type="spellStart"/>
      <w:r w:rsidRPr="00355D82">
        <w:rPr>
          <w:sz w:val="24"/>
          <w:szCs w:val="24"/>
          <w:u w:val="single"/>
        </w:rPr>
        <w:t>Atenolol</w:t>
      </w:r>
      <w:proofErr w:type="spellEnd"/>
      <w:r w:rsidRPr="00355D82">
        <w:rPr>
          <w:sz w:val="24"/>
          <w:szCs w:val="24"/>
          <w:u w:val="single"/>
        </w:rPr>
        <w:t xml:space="preserve"> </w:t>
      </w:r>
      <w:r w:rsidR="00B167E7" w:rsidRPr="00355D82">
        <w:rPr>
          <w:sz w:val="24"/>
          <w:szCs w:val="24"/>
          <w:u w:val="single"/>
        </w:rPr>
        <w:t>"</w:t>
      </w:r>
      <w:r w:rsidRPr="00355D82">
        <w:rPr>
          <w:sz w:val="24"/>
          <w:szCs w:val="24"/>
          <w:u w:val="single"/>
        </w:rPr>
        <w:t>Medical Valley</w:t>
      </w:r>
      <w:r w:rsidR="00B167E7" w:rsidRPr="00355D82">
        <w:rPr>
          <w:sz w:val="24"/>
          <w:szCs w:val="24"/>
          <w:u w:val="single"/>
        </w:rPr>
        <w:t>"</w:t>
      </w:r>
      <w:r w:rsidRPr="00355D82">
        <w:rPr>
          <w:sz w:val="24"/>
          <w:szCs w:val="24"/>
          <w:u w:val="single"/>
        </w:rPr>
        <w:t xml:space="preserve"> 25 mg filmovertrukne tabletter</w:t>
      </w:r>
    </w:p>
    <w:p w14:paraId="72B8A146" w14:textId="5F4C2CB3" w:rsidR="00E4750A" w:rsidRPr="00EB768C" w:rsidRDefault="00E4750A" w:rsidP="00F65D87">
      <w:pPr>
        <w:ind w:left="851"/>
        <w:rPr>
          <w:sz w:val="24"/>
          <w:szCs w:val="24"/>
        </w:rPr>
      </w:pPr>
      <w:r w:rsidRPr="00EB768C">
        <w:rPr>
          <w:sz w:val="24"/>
          <w:szCs w:val="24"/>
        </w:rPr>
        <w:t xml:space="preserve">HDPE-beholder dækket med et skruelåg, der består af en induktionsforsegling af aluminium og et skruelåg af Rayon-fibre. </w:t>
      </w:r>
    </w:p>
    <w:p w14:paraId="300FFE74" w14:textId="77777777" w:rsidR="00E4750A" w:rsidRPr="00EB768C" w:rsidRDefault="00E4750A" w:rsidP="00F65D87">
      <w:pPr>
        <w:ind w:left="851"/>
        <w:rPr>
          <w:sz w:val="24"/>
          <w:szCs w:val="24"/>
        </w:rPr>
      </w:pPr>
    </w:p>
    <w:p w14:paraId="70A18413" w14:textId="77777777" w:rsidR="00E4750A" w:rsidRPr="00EB768C" w:rsidRDefault="00E4750A" w:rsidP="00F65D87">
      <w:pPr>
        <w:ind w:left="851"/>
        <w:rPr>
          <w:sz w:val="24"/>
          <w:szCs w:val="24"/>
        </w:rPr>
      </w:pPr>
      <w:r w:rsidRPr="00EB768C">
        <w:rPr>
          <w:sz w:val="24"/>
          <w:szCs w:val="24"/>
        </w:rPr>
        <w:t>Pakningsstørrelser: 100, 105 og 112 filmovertrukne tabletter.</w:t>
      </w:r>
    </w:p>
    <w:p w14:paraId="7F54C83B" w14:textId="77777777" w:rsidR="00E4750A" w:rsidRPr="00EB768C" w:rsidRDefault="00E4750A" w:rsidP="00F65D87">
      <w:pPr>
        <w:ind w:left="851"/>
        <w:rPr>
          <w:sz w:val="24"/>
          <w:szCs w:val="24"/>
        </w:rPr>
      </w:pPr>
    </w:p>
    <w:p w14:paraId="72927F09" w14:textId="0BC1AF06" w:rsidR="00E4750A" w:rsidRPr="00355D82" w:rsidRDefault="00E4750A" w:rsidP="00F65D87">
      <w:pPr>
        <w:ind w:left="851"/>
        <w:rPr>
          <w:sz w:val="24"/>
          <w:szCs w:val="24"/>
          <w:u w:val="single"/>
        </w:rPr>
      </w:pPr>
      <w:proofErr w:type="spellStart"/>
      <w:r w:rsidRPr="00355D82">
        <w:rPr>
          <w:sz w:val="24"/>
          <w:szCs w:val="24"/>
          <w:u w:val="single"/>
        </w:rPr>
        <w:t>Atenolol</w:t>
      </w:r>
      <w:proofErr w:type="spellEnd"/>
      <w:r w:rsidRPr="00355D82">
        <w:rPr>
          <w:sz w:val="24"/>
          <w:szCs w:val="24"/>
          <w:u w:val="single"/>
        </w:rPr>
        <w:t xml:space="preserve"> </w:t>
      </w:r>
      <w:r w:rsidR="00B167E7" w:rsidRPr="00355D82">
        <w:rPr>
          <w:sz w:val="24"/>
          <w:szCs w:val="24"/>
          <w:u w:val="single"/>
        </w:rPr>
        <w:t>"</w:t>
      </w:r>
      <w:r w:rsidRPr="00355D82">
        <w:rPr>
          <w:sz w:val="24"/>
          <w:szCs w:val="24"/>
          <w:u w:val="single"/>
        </w:rPr>
        <w:t>Medical Valley</w:t>
      </w:r>
      <w:r w:rsidR="00B167E7" w:rsidRPr="00355D82">
        <w:rPr>
          <w:sz w:val="24"/>
          <w:szCs w:val="24"/>
          <w:u w:val="single"/>
        </w:rPr>
        <w:t>"</w:t>
      </w:r>
      <w:r w:rsidRPr="00355D82">
        <w:rPr>
          <w:sz w:val="24"/>
          <w:szCs w:val="24"/>
          <w:u w:val="single"/>
        </w:rPr>
        <w:t xml:space="preserve"> 50 mg filmovertrukne tabletter</w:t>
      </w:r>
    </w:p>
    <w:p w14:paraId="792062FE" w14:textId="1B7300EE" w:rsidR="00E4750A" w:rsidRPr="00EB768C" w:rsidRDefault="00E4750A" w:rsidP="00F65D87">
      <w:pPr>
        <w:ind w:left="851"/>
        <w:rPr>
          <w:sz w:val="24"/>
          <w:szCs w:val="24"/>
        </w:rPr>
      </w:pPr>
      <w:r w:rsidRPr="00EB768C">
        <w:rPr>
          <w:sz w:val="24"/>
          <w:szCs w:val="24"/>
        </w:rPr>
        <w:t xml:space="preserve">HDPE-beholder dækket med et skruelåg, der består af en induktionsforsegling af aluminium og et skruelåg af Rayon-fibre. </w:t>
      </w:r>
    </w:p>
    <w:p w14:paraId="6A82ABAC" w14:textId="77777777" w:rsidR="00E4750A" w:rsidRPr="00EB768C" w:rsidRDefault="00E4750A" w:rsidP="00F65D87">
      <w:pPr>
        <w:ind w:left="851"/>
        <w:rPr>
          <w:sz w:val="24"/>
          <w:szCs w:val="24"/>
        </w:rPr>
      </w:pPr>
    </w:p>
    <w:p w14:paraId="3200DA00" w14:textId="77777777" w:rsidR="00E4750A" w:rsidRPr="00EB768C" w:rsidRDefault="00E4750A" w:rsidP="00F65D87">
      <w:pPr>
        <w:ind w:left="851"/>
        <w:rPr>
          <w:sz w:val="24"/>
          <w:szCs w:val="24"/>
        </w:rPr>
      </w:pPr>
      <w:r w:rsidRPr="00EB768C">
        <w:rPr>
          <w:sz w:val="24"/>
          <w:szCs w:val="24"/>
        </w:rPr>
        <w:t>Pakningsstørrelser: 100, 105 og 112 filmovertrukne tabletter.</w:t>
      </w:r>
    </w:p>
    <w:p w14:paraId="65B7F6C8" w14:textId="77777777" w:rsidR="00E4750A" w:rsidRPr="00EB768C" w:rsidRDefault="00E4750A" w:rsidP="00F65D87">
      <w:pPr>
        <w:ind w:left="851"/>
        <w:rPr>
          <w:sz w:val="24"/>
          <w:szCs w:val="24"/>
        </w:rPr>
      </w:pPr>
    </w:p>
    <w:p w14:paraId="5D834D1E" w14:textId="4535E8A7" w:rsidR="00E4750A" w:rsidRPr="00355D82" w:rsidRDefault="00E4750A" w:rsidP="00F65D87">
      <w:pPr>
        <w:ind w:left="851"/>
        <w:rPr>
          <w:sz w:val="24"/>
          <w:szCs w:val="24"/>
          <w:u w:val="single"/>
        </w:rPr>
      </w:pPr>
      <w:proofErr w:type="spellStart"/>
      <w:r w:rsidRPr="00355D82">
        <w:rPr>
          <w:sz w:val="24"/>
          <w:szCs w:val="24"/>
          <w:u w:val="single"/>
        </w:rPr>
        <w:t>Atenolol</w:t>
      </w:r>
      <w:proofErr w:type="spellEnd"/>
      <w:r w:rsidRPr="00355D82">
        <w:rPr>
          <w:sz w:val="24"/>
          <w:szCs w:val="24"/>
          <w:u w:val="single"/>
        </w:rPr>
        <w:t xml:space="preserve"> </w:t>
      </w:r>
      <w:r w:rsidR="00B167E7" w:rsidRPr="00355D82">
        <w:rPr>
          <w:sz w:val="24"/>
          <w:szCs w:val="24"/>
          <w:u w:val="single"/>
        </w:rPr>
        <w:t>"</w:t>
      </w:r>
      <w:r w:rsidRPr="00355D82">
        <w:rPr>
          <w:sz w:val="24"/>
          <w:szCs w:val="24"/>
          <w:u w:val="single"/>
        </w:rPr>
        <w:t>Medical Valley</w:t>
      </w:r>
      <w:r w:rsidR="00B167E7" w:rsidRPr="00355D82">
        <w:rPr>
          <w:sz w:val="24"/>
          <w:szCs w:val="24"/>
          <w:u w:val="single"/>
        </w:rPr>
        <w:t>"</w:t>
      </w:r>
      <w:r w:rsidRPr="00355D82">
        <w:rPr>
          <w:sz w:val="24"/>
          <w:szCs w:val="24"/>
          <w:u w:val="single"/>
        </w:rPr>
        <w:t xml:space="preserve"> 100 mg filmovertrukne tabletter</w:t>
      </w:r>
    </w:p>
    <w:p w14:paraId="11325869" w14:textId="3016DFF4" w:rsidR="00E4750A" w:rsidRPr="00EB768C" w:rsidRDefault="00E4750A" w:rsidP="00F65D87">
      <w:pPr>
        <w:ind w:left="851"/>
        <w:rPr>
          <w:sz w:val="24"/>
          <w:szCs w:val="24"/>
        </w:rPr>
      </w:pPr>
      <w:r w:rsidRPr="00EB768C">
        <w:rPr>
          <w:sz w:val="24"/>
          <w:szCs w:val="24"/>
        </w:rPr>
        <w:t xml:space="preserve">HDPE-beholder </w:t>
      </w:r>
      <w:bookmarkStart w:id="0" w:name="_GoBack"/>
      <w:bookmarkEnd w:id="0"/>
      <w:r w:rsidRPr="00EB768C">
        <w:rPr>
          <w:sz w:val="24"/>
          <w:szCs w:val="24"/>
        </w:rPr>
        <w:t xml:space="preserve">dækket med et skruelåg, der består af en induktionsforsegling af aluminium og et skruelåg af Rayon-fibre. </w:t>
      </w:r>
    </w:p>
    <w:p w14:paraId="537665D2" w14:textId="77777777" w:rsidR="00E4750A" w:rsidRPr="00EB768C" w:rsidRDefault="00E4750A" w:rsidP="00F65D87">
      <w:pPr>
        <w:ind w:left="851"/>
        <w:rPr>
          <w:sz w:val="24"/>
          <w:szCs w:val="24"/>
        </w:rPr>
      </w:pPr>
    </w:p>
    <w:p w14:paraId="002D138B" w14:textId="77777777" w:rsidR="00E4750A" w:rsidRPr="00EB768C" w:rsidRDefault="00E4750A" w:rsidP="00F65D87">
      <w:pPr>
        <w:ind w:left="851"/>
        <w:rPr>
          <w:sz w:val="24"/>
          <w:szCs w:val="24"/>
        </w:rPr>
      </w:pPr>
      <w:r w:rsidRPr="00EB768C">
        <w:rPr>
          <w:sz w:val="24"/>
          <w:szCs w:val="24"/>
        </w:rPr>
        <w:t>Pakningsstørrelser: 100, 105 og 112 filmovertrukne tabletter.</w:t>
      </w:r>
    </w:p>
    <w:p w14:paraId="5C535E56" w14:textId="77777777" w:rsidR="00E4750A" w:rsidRPr="00EB768C" w:rsidRDefault="00E4750A" w:rsidP="00F65D87">
      <w:pPr>
        <w:ind w:left="851"/>
        <w:rPr>
          <w:sz w:val="24"/>
          <w:szCs w:val="24"/>
        </w:rPr>
      </w:pPr>
    </w:p>
    <w:p w14:paraId="0556F4D8" w14:textId="77777777" w:rsidR="00E4750A" w:rsidRPr="00EB768C" w:rsidRDefault="00E4750A" w:rsidP="00F65D87">
      <w:pPr>
        <w:ind w:left="851"/>
        <w:rPr>
          <w:sz w:val="24"/>
          <w:szCs w:val="24"/>
        </w:rPr>
      </w:pPr>
      <w:r w:rsidRPr="00EB768C">
        <w:rPr>
          <w:sz w:val="24"/>
          <w:szCs w:val="24"/>
        </w:rPr>
        <w:t>Ikke alle pakningsstørrelser er nødvendigvis markedsført.</w:t>
      </w:r>
    </w:p>
    <w:p w14:paraId="6358AFBD" w14:textId="77777777" w:rsidR="009260DE" w:rsidRPr="00EB768C" w:rsidRDefault="009260DE" w:rsidP="009260DE">
      <w:pPr>
        <w:tabs>
          <w:tab w:val="left" w:pos="851"/>
        </w:tabs>
        <w:ind w:left="851"/>
        <w:rPr>
          <w:sz w:val="24"/>
          <w:szCs w:val="24"/>
        </w:rPr>
      </w:pPr>
    </w:p>
    <w:p w14:paraId="5C5AE2F0" w14:textId="77777777" w:rsidR="009260DE" w:rsidRPr="00EB768C" w:rsidRDefault="009260DE" w:rsidP="009260DE">
      <w:pPr>
        <w:tabs>
          <w:tab w:val="left" w:pos="851"/>
        </w:tabs>
        <w:ind w:left="851" w:hanging="851"/>
        <w:rPr>
          <w:b/>
          <w:sz w:val="24"/>
          <w:szCs w:val="24"/>
        </w:rPr>
      </w:pPr>
      <w:r w:rsidRPr="00EB768C">
        <w:rPr>
          <w:b/>
          <w:sz w:val="24"/>
          <w:szCs w:val="24"/>
        </w:rPr>
        <w:t>6.6</w:t>
      </w:r>
      <w:r w:rsidRPr="00EB768C">
        <w:rPr>
          <w:b/>
          <w:sz w:val="24"/>
          <w:szCs w:val="24"/>
        </w:rPr>
        <w:tab/>
        <w:t xml:space="preserve">Regler for </w:t>
      </w:r>
      <w:r w:rsidR="00BD7931" w:rsidRPr="00EB768C">
        <w:rPr>
          <w:b/>
          <w:sz w:val="24"/>
          <w:szCs w:val="24"/>
        </w:rPr>
        <w:t>bortskaffelse</w:t>
      </w:r>
      <w:r w:rsidRPr="00EB768C">
        <w:rPr>
          <w:b/>
          <w:sz w:val="24"/>
          <w:szCs w:val="24"/>
        </w:rPr>
        <w:t xml:space="preserve"> og anden håndtering</w:t>
      </w:r>
    </w:p>
    <w:p w14:paraId="6514FC00" w14:textId="77777777" w:rsidR="00E4750A" w:rsidRPr="00EB768C" w:rsidRDefault="00E4750A" w:rsidP="00EB768C">
      <w:pPr>
        <w:ind w:left="851"/>
        <w:rPr>
          <w:sz w:val="24"/>
          <w:szCs w:val="24"/>
        </w:rPr>
      </w:pPr>
      <w:r w:rsidRPr="00EB768C">
        <w:rPr>
          <w:sz w:val="24"/>
          <w:szCs w:val="24"/>
        </w:rPr>
        <w:t>Ingen særlige forholdsregler ved bortskaffelse.</w:t>
      </w:r>
    </w:p>
    <w:p w14:paraId="7114707A" w14:textId="77777777" w:rsidR="00E4750A" w:rsidRPr="00EB768C" w:rsidRDefault="00E4750A" w:rsidP="00EB768C">
      <w:pPr>
        <w:ind w:left="851"/>
        <w:rPr>
          <w:sz w:val="24"/>
          <w:szCs w:val="24"/>
        </w:rPr>
      </w:pPr>
      <w:r w:rsidRPr="00EB768C">
        <w:rPr>
          <w:sz w:val="24"/>
          <w:szCs w:val="24"/>
        </w:rPr>
        <w:t>Ikke anvendt lægemiddel samt affald heraf skal bortskaffes i henhold til lokale retningslinjer.</w:t>
      </w:r>
    </w:p>
    <w:p w14:paraId="79100EA8" w14:textId="77777777" w:rsidR="009260DE" w:rsidRPr="00EB768C" w:rsidRDefault="009260DE" w:rsidP="000730CA">
      <w:pPr>
        <w:tabs>
          <w:tab w:val="left" w:pos="851"/>
        </w:tabs>
        <w:ind w:left="851"/>
        <w:rPr>
          <w:sz w:val="24"/>
          <w:szCs w:val="24"/>
        </w:rPr>
      </w:pPr>
    </w:p>
    <w:p w14:paraId="780F2901" w14:textId="77777777" w:rsidR="009260DE" w:rsidRPr="00EB768C" w:rsidRDefault="009260DE" w:rsidP="009260DE">
      <w:pPr>
        <w:tabs>
          <w:tab w:val="left" w:pos="851"/>
        </w:tabs>
        <w:ind w:left="851" w:hanging="851"/>
        <w:rPr>
          <w:b/>
          <w:sz w:val="24"/>
          <w:szCs w:val="24"/>
        </w:rPr>
      </w:pPr>
      <w:r w:rsidRPr="00EB768C">
        <w:rPr>
          <w:b/>
          <w:sz w:val="24"/>
          <w:szCs w:val="24"/>
        </w:rPr>
        <w:t>7.</w:t>
      </w:r>
      <w:r w:rsidRPr="00EB768C">
        <w:rPr>
          <w:b/>
          <w:sz w:val="24"/>
          <w:szCs w:val="24"/>
        </w:rPr>
        <w:tab/>
        <w:t>INDEHAVER AF MARKEDSFØRINGSTILLADELSEN</w:t>
      </w:r>
    </w:p>
    <w:p w14:paraId="051BD419" w14:textId="77777777" w:rsidR="00E4750A" w:rsidRPr="00EB768C" w:rsidRDefault="00E4750A" w:rsidP="00EB768C">
      <w:pPr>
        <w:ind w:left="851"/>
        <w:rPr>
          <w:sz w:val="24"/>
          <w:szCs w:val="24"/>
        </w:rPr>
      </w:pPr>
      <w:r w:rsidRPr="00EB768C">
        <w:rPr>
          <w:sz w:val="24"/>
          <w:szCs w:val="24"/>
        </w:rPr>
        <w:t>Medical Valley Invest AB</w:t>
      </w:r>
    </w:p>
    <w:p w14:paraId="17A482D9" w14:textId="77777777" w:rsidR="00E4750A" w:rsidRPr="00EB768C" w:rsidRDefault="00E4750A" w:rsidP="00EB768C">
      <w:pPr>
        <w:ind w:left="851"/>
        <w:rPr>
          <w:sz w:val="24"/>
          <w:szCs w:val="24"/>
        </w:rPr>
      </w:pPr>
      <w:proofErr w:type="spellStart"/>
      <w:r w:rsidRPr="00EB768C">
        <w:rPr>
          <w:sz w:val="24"/>
          <w:szCs w:val="24"/>
        </w:rPr>
        <w:t>Brädgårdsvägen</w:t>
      </w:r>
      <w:proofErr w:type="spellEnd"/>
      <w:r w:rsidRPr="00EB768C">
        <w:rPr>
          <w:sz w:val="24"/>
          <w:szCs w:val="24"/>
        </w:rPr>
        <w:t> 28</w:t>
      </w:r>
    </w:p>
    <w:p w14:paraId="1D3C886A" w14:textId="77777777" w:rsidR="00E4750A" w:rsidRPr="00EB768C" w:rsidRDefault="00E4750A" w:rsidP="00EB768C">
      <w:pPr>
        <w:ind w:left="851"/>
        <w:rPr>
          <w:sz w:val="24"/>
          <w:szCs w:val="24"/>
        </w:rPr>
      </w:pPr>
      <w:r w:rsidRPr="00EB768C">
        <w:rPr>
          <w:sz w:val="24"/>
          <w:szCs w:val="24"/>
        </w:rPr>
        <w:t>236 32 </w:t>
      </w:r>
      <w:proofErr w:type="spellStart"/>
      <w:r w:rsidRPr="00EB768C">
        <w:rPr>
          <w:sz w:val="24"/>
          <w:szCs w:val="24"/>
        </w:rPr>
        <w:t>Höllviken</w:t>
      </w:r>
      <w:proofErr w:type="spellEnd"/>
    </w:p>
    <w:p w14:paraId="364A0C39" w14:textId="77777777" w:rsidR="00E4750A" w:rsidRPr="00EB768C" w:rsidRDefault="00E4750A" w:rsidP="00EB768C">
      <w:pPr>
        <w:ind w:left="851"/>
        <w:rPr>
          <w:sz w:val="24"/>
          <w:szCs w:val="24"/>
        </w:rPr>
      </w:pPr>
      <w:r w:rsidRPr="00EB768C">
        <w:rPr>
          <w:noProof/>
          <w:sz w:val="24"/>
          <w:szCs w:val="24"/>
        </w:rPr>
        <w:t>Sverige</w:t>
      </w:r>
    </w:p>
    <w:p w14:paraId="240C3BA2" w14:textId="77777777" w:rsidR="00641C65" w:rsidRPr="00EB768C" w:rsidRDefault="00641C65" w:rsidP="009260DE">
      <w:pPr>
        <w:tabs>
          <w:tab w:val="left" w:pos="851"/>
        </w:tabs>
        <w:ind w:left="851"/>
        <w:rPr>
          <w:sz w:val="24"/>
          <w:szCs w:val="24"/>
        </w:rPr>
      </w:pPr>
    </w:p>
    <w:p w14:paraId="0458776B" w14:textId="77777777" w:rsidR="009260DE" w:rsidRPr="00EB768C" w:rsidRDefault="009260DE" w:rsidP="009260DE">
      <w:pPr>
        <w:tabs>
          <w:tab w:val="left" w:pos="851"/>
        </w:tabs>
        <w:ind w:left="851" w:hanging="851"/>
        <w:rPr>
          <w:b/>
          <w:sz w:val="24"/>
          <w:szCs w:val="24"/>
        </w:rPr>
      </w:pPr>
      <w:r w:rsidRPr="00EB768C">
        <w:rPr>
          <w:b/>
          <w:sz w:val="24"/>
          <w:szCs w:val="24"/>
        </w:rPr>
        <w:t>8.</w:t>
      </w:r>
      <w:r w:rsidRPr="00EB768C">
        <w:rPr>
          <w:b/>
          <w:sz w:val="24"/>
          <w:szCs w:val="24"/>
        </w:rPr>
        <w:tab/>
        <w:t>MARKEDSFØRINGSTILLADELSESNUMMER (</w:t>
      </w:r>
      <w:r w:rsidR="00BF6243" w:rsidRPr="00EB768C">
        <w:rPr>
          <w:b/>
          <w:sz w:val="24"/>
          <w:szCs w:val="24"/>
        </w:rPr>
        <w:t>-</w:t>
      </w:r>
      <w:r w:rsidRPr="00EB768C">
        <w:rPr>
          <w:b/>
          <w:sz w:val="24"/>
          <w:szCs w:val="24"/>
        </w:rPr>
        <w:t>NUMRE)</w:t>
      </w:r>
    </w:p>
    <w:p w14:paraId="50E9F4E0" w14:textId="505052D0" w:rsidR="009260DE" w:rsidRPr="00EB768C" w:rsidRDefault="00E4750A" w:rsidP="00355D82">
      <w:pPr>
        <w:tabs>
          <w:tab w:val="left" w:pos="851"/>
          <w:tab w:val="left" w:pos="1985"/>
        </w:tabs>
        <w:ind w:left="851"/>
        <w:rPr>
          <w:sz w:val="24"/>
          <w:szCs w:val="24"/>
        </w:rPr>
      </w:pPr>
      <w:r w:rsidRPr="00EB768C">
        <w:rPr>
          <w:sz w:val="24"/>
          <w:szCs w:val="24"/>
        </w:rPr>
        <w:t xml:space="preserve">25 mg: </w:t>
      </w:r>
      <w:r w:rsidR="00355D82">
        <w:rPr>
          <w:sz w:val="24"/>
          <w:szCs w:val="24"/>
        </w:rPr>
        <w:tab/>
      </w:r>
      <w:r w:rsidRPr="00EB768C">
        <w:rPr>
          <w:sz w:val="24"/>
          <w:szCs w:val="24"/>
        </w:rPr>
        <w:t>69142</w:t>
      </w:r>
    </w:p>
    <w:p w14:paraId="27180453" w14:textId="3485C55D" w:rsidR="00E4750A" w:rsidRPr="00EB768C" w:rsidRDefault="00E4750A" w:rsidP="00355D82">
      <w:pPr>
        <w:tabs>
          <w:tab w:val="left" w:pos="851"/>
          <w:tab w:val="left" w:pos="1985"/>
        </w:tabs>
        <w:ind w:left="851"/>
        <w:rPr>
          <w:sz w:val="24"/>
          <w:szCs w:val="24"/>
        </w:rPr>
      </w:pPr>
      <w:r w:rsidRPr="00EB768C">
        <w:rPr>
          <w:sz w:val="24"/>
          <w:szCs w:val="24"/>
        </w:rPr>
        <w:t xml:space="preserve">50 mg: </w:t>
      </w:r>
      <w:r w:rsidR="00355D82">
        <w:rPr>
          <w:sz w:val="24"/>
          <w:szCs w:val="24"/>
        </w:rPr>
        <w:tab/>
      </w:r>
      <w:r w:rsidRPr="00EB768C">
        <w:rPr>
          <w:sz w:val="24"/>
          <w:szCs w:val="24"/>
        </w:rPr>
        <w:t>69144</w:t>
      </w:r>
    </w:p>
    <w:p w14:paraId="33E616BE" w14:textId="0AF1456C" w:rsidR="00E4750A" w:rsidRPr="00EB768C" w:rsidRDefault="00E4750A" w:rsidP="00355D82">
      <w:pPr>
        <w:tabs>
          <w:tab w:val="left" w:pos="851"/>
          <w:tab w:val="left" w:pos="1985"/>
        </w:tabs>
        <w:ind w:left="851"/>
        <w:rPr>
          <w:sz w:val="24"/>
          <w:szCs w:val="24"/>
        </w:rPr>
      </w:pPr>
      <w:r w:rsidRPr="00EB768C">
        <w:rPr>
          <w:sz w:val="24"/>
          <w:szCs w:val="24"/>
        </w:rPr>
        <w:t xml:space="preserve">100 mg: </w:t>
      </w:r>
      <w:r w:rsidR="00355D82">
        <w:rPr>
          <w:sz w:val="24"/>
          <w:szCs w:val="24"/>
        </w:rPr>
        <w:tab/>
      </w:r>
      <w:r w:rsidRPr="00EB768C">
        <w:rPr>
          <w:sz w:val="24"/>
          <w:szCs w:val="24"/>
        </w:rPr>
        <w:t>69145</w:t>
      </w:r>
    </w:p>
    <w:p w14:paraId="3A640746" w14:textId="77777777" w:rsidR="009260DE" w:rsidRPr="00EB768C" w:rsidRDefault="009260DE" w:rsidP="009260DE">
      <w:pPr>
        <w:tabs>
          <w:tab w:val="left" w:pos="851"/>
        </w:tabs>
        <w:ind w:left="851"/>
        <w:jc w:val="both"/>
        <w:rPr>
          <w:sz w:val="24"/>
          <w:szCs w:val="24"/>
        </w:rPr>
      </w:pPr>
    </w:p>
    <w:p w14:paraId="2A77D05D" w14:textId="77777777" w:rsidR="009260DE" w:rsidRPr="00EB768C" w:rsidRDefault="009260DE" w:rsidP="009260DE">
      <w:pPr>
        <w:tabs>
          <w:tab w:val="left" w:pos="851"/>
        </w:tabs>
        <w:ind w:left="851" w:hanging="851"/>
        <w:rPr>
          <w:b/>
          <w:sz w:val="24"/>
          <w:szCs w:val="24"/>
        </w:rPr>
      </w:pPr>
      <w:r w:rsidRPr="00EB768C">
        <w:rPr>
          <w:b/>
          <w:sz w:val="24"/>
          <w:szCs w:val="24"/>
        </w:rPr>
        <w:t>9.</w:t>
      </w:r>
      <w:r w:rsidRPr="00EB768C">
        <w:rPr>
          <w:b/>
          <w:sz w:val="24"/>
          <w:szCs w:val="24"/>
        </w:rPr>
        <w:tab/>
        <w:t>DATO FOR FØRSTE MARKEDSFØRINGSTILLADELSE</w:t>
      </w:r>
    </w:p>
    <w:p w14:paraId="518141A5" w14:textId="26DC3599" w:rsidR="009260DE" w:rsidRPr="00EB768C" w:rsidRDefault="00E24132" w:rsidP="009260DE">
      <w:pPr>
        <w:tabs>
          <w:tab w:val="left" w:pos="851"/>
        </w:tabs>
        <w:ind w:left="851"/>
        <w:rPr>
          <w:sz w:val="24"/>
          <w:szCs w:val="24"/>
        </w:rPr>
      </w:pPr>
      <w:r>
        <w:rPr>
          <w:sz w:val="24"/>
          <w:szCs w:val="24"/>
        </w:rPr>
        <w:t>1. august 2024</w:t>
      </w:r>
    </w:p>
    <w:p w14:paraId="66C04A2E" w14:textId="77777777" w:rsidR="009260DE" w:rsidRPr="00EB768C" w:rsidRDefault="009260DE" w:rsidP="009260DE">
      <w:pPr>
        <w:tabs>
          <w:tab w:val="left" w:pos="851"/>
        </w:tabs>
        <w:ind w:left="851"/>
        <w:rPr>
          <w:sz w:val="24"/>
          <w:szCs w:val="24"/>
        </w:rPr>
      </w:pPr>
    </w:p>
    <w:p w14:paraId="79EAAE7C" w14:textId="77777777" w:rsidR="009260DE" w:rsidRPr="00EB768C" w:rsidRDefault="009260DE" w:rsidP="009260DE">
      <w:pPr>
        <w:tabs>
          <w:tab w:val="left" w:pos="851"/>
        </w:tabs>
        <w:ind w:left="851" w:hanging="851"/>
        <w:rPr>
          <w:b/>
          <w:sz w:val="24"/>
          <w:szCs w:val="24"/>
        </w:rPr>
      </w:pPr>
      <w:r w:rsidRPr="00EB768C">
        <w:rPr>
          <w:b/>
          <w:sz w:val="24"/>
          <w:szCs w:val="24"/>
        </w:rPr>
        <w:t>10.</w:t>
      </w:r>
      <w:r w:rsidRPr="00EB768C">
        <w:rPr>
          <w:b/>
          <w:sz w:val="24"/>
          <w:szCs w:val="24"/>
        </w:rPr>
        <w:tab/>
        <w:t>DATO FOR ÆNDRING AF TEKSTEN</w:t>
      </w:r>
    </w:p>
    <w:p w14:paraId="3B34BAD7" w14:textId="224CA536" w:rsidR="009260DE" w:rsidRPr="00EB768C" w:rsidRDefault="00E4750A" w:rsidP="009260DE">
      <w:pPr>
        <w:tabs>
          <w:tab w:val="left" w:pos="851"/>
        </w:tabs>
        <w:ind w:left="851"/>
        <w:rPr>
          <w:sz w:val="24"/>
          <w:szCs w:val="24"/>
        </w:rPr>
      </w:pPr>
      <w:r w:rsidRPr="00EB768C">
        <w:rPr>
          <w:sz w:val="24"/>
          <w:szCs w:val="24"/>
        </w:rPr>
        <w:t>-</w:t>
      </w:r>
    </w:p>
    <w:sectPr w:rsidR="009260DE" w:rsidRPr="00EB768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4BE40" w14:textId="77777777" w:rsidR="00EF1A74" w:rsidRDefault="00EF1A74">
      <w:r>
        <w:separator/>
      </w:r>
    </w:p>
  </w:endnote>
  <w:endnote w:type="continuationSeparator" w:id="0">
    <w:p w14:paraId="5C268DA0" w14:textId="77777777" w:rsidR="00EF1A74" w:rsidRDefault="00EF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3481" w14:textId="77777777" w:rsidR="000259B9" w:rsidRDefault="000259B9">
    <w:pPr>
      <w:pStyle w:val="Sidefod"/>
      <w:pBdr>
        <w:bottom w:val="single" w:sz="6" w:space="1" w:color="auto"/>
      </w:pBdr>
    </w:pPr>
  </w:p>
  <w:p w14:paraId="19D4286F" w14:textId="77777777" w:rsidR="000259B9" w:rsidRDefault="000259B9" w:rsidP="00C42586">
    <w:pPr>
      <w:pStyle w:val="Sidefod"/>
      <w:tabs>
        <w:tab w:val="clear" w:pos="4819"/>
        <w:tab w:val="left" w:pos="8505"/>
      </w:tabs>
      <w:rPr>
        <w:i/>
        <w:sz w:val="18"/>
        <w:szCs w:val="18"/>
      </w:rPr>
    </w:pPr>
  </w:p>
  <w:p w14:paraId="7B1FEFA1" w14:textId="300631A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02DED">
      <w:rPr>
        <w:i/>
        <w:noProof/>
        <w:sz w:val="18"/>
        <w:szCs w:val="18"/>
      </w:rPr>
      <w:t>Atenolol Medical Valley, filmovertrukne tabletter 25 mg, 50 mg og 100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72366" w14:textId="77777777" w:rsidR="00EF1A74" w:rsidRDefault="00EF1A74">
      <w:r>
        <w:separator/>
      </w:r>
    </w:p>
  </w:footnote>
  <w:footnote w:type="continuationSeparator" w:id="0">
    <w:p w14:paraId="5FBF9364" w14:textId="77777777" w:rsidR="00EF1A74" w:rsidRDefault="00EF1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F6669"/>
    <w:multiLevelType w:val="hybridMultilevel"/>
    <w:tmpl w:val="17A20F32"/>
    <w:lvl w:ilvl="0" w:tplc="1F64859E">
      <w:numFmt w:val="bullet"/>
      <w:lvlText w:val="-"/>
      <w:lvlJc w:val="left"/>
      <w:pPr>
        <w:ind w:left="1571" w:hanging="360"/>
      </w:pPr>
      <w:rPr>
        <w:rFonts w:ascii="Times New Roman" w:eastAsia="Times New Roman" w:hAnsi="Times New Roman" w:cs="Times New Roman" w:hint="default"/>
        <w:w w:val="99"/>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94A09A2"/>
    <w:multiLevelType w:val="hybridMultilevel"/>
    <w:tmpl w:val="8D521C0E"/>
    <w:lvl w:ilvl="0" w:tplc="04060003">
      <w:start w:val="1"/>
      <w:numFmt w:val="bullet"/>
      <w:lvlText w:val="o"/>
      <w:lvlJc w:val="left"/>
      <w:pPr>
        <w:ind w:left="1571" w:hanging="360"/>
      </w:pPr>
      <w:rPr>
        <w:rFonts w:ascii="Courier New" w:hAnsi="Courier New" w:cs="Courier New" w:hint="default"/>
        <w:w w:val="99"/>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3625953"/>
    <w:multiLevelType w:val="hybridMultilevel"/>
    <w:tmpl w:val="FA30B0A8"/>
    <w:lvl w:ilvl="0" w:tplc="04060003">
      <w:start w:val="1"/>
      <w:numFmt w:val="bullet"/>
      <w:lvlText w:val="o"/>
      <w:lvlJc w:val="left"/>
      <w:pPr>
        <w:ind w:left="1571" w:hanging="360"/>
      </w:pPr>
      <w:rPr>
        <w:rFonts w:ascii="Courier New" w:hAnsi="Courier New" w:cs="Courier New" w:hint="default"/>
        <w:w w:val="99"/>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A7B0D5F"/>
    <w:multiLevelType w:val="hybridMultilevel"/>
    <w:tmpl w:val="30BACFCA"/>
    <w:lvl w:ilvl="0" w:tplc="1F64859E">
      <w:numFmt w:val="bullet"/>
      <w:lvlText w:val="-"/>
      <w:lvlJc w:val="left"/>
      <w:pPr>
        <w:ind w:left="1146" w:hanging="360"/>
      </w:pPr>
      <w:rPr>
        <w:rFonts w:ascii="Times New Roman" w:eastAsia="Times New Roman" w:hAnsi="Times New Roman" w:cs="Times New Roman" w:hint="default"/>
        <w:w w:val="99"/>
        <w:sz w:val="22"/>
        <w:szCs w:val="22"/>
        <w:lang w:val="en-US" w:eastAsia="en-US" w:bidi="ar-SA"/>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8" w15:restartNumberingAfterBreak="0">
    <w:nsid w:val="53180080"/>
    <w:multiLevelType w:val="hybridMultilevel"/>
    <w:tmpl w:val="ADF2CF4E"/>
    <w:lvl w:ilvl="0" w:tplc="1F64859E">
      <w:numFmt w:val="bullet"/>
      <w:lvlText w:val="-"/>
      <w:lvlJc w:val="left"/>
      <w:pPr>
        <w:ind w:left="1571" w:hanging="360"/>
      </w:pPr>
      <w:rPr>
        <w:rFonts w:ascii="Times New Roman" w:eastAsia="Times New Roman" w:hAnsi="Times New Roman" w:cs="Times New Roman" w:hint="default"/>
        <w:w w:val="99"/>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8"/>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A74"/>
    <w:rsid w:val="000259B9"/>
    <w:rsid w:val="00041491"/>
    <w:rsid w:val="00050D16"/>
    <w:rsid w:val="000730CA"/>
    <w:rsid w:val="00074F2A"/>
    <w:rsid w:val="000A1CA8"/>
    <w:rsid w:val="000A466B"/>
    <w:rsid w:val="000B058C"/>
    <w:rsid w:val="000D68B0"/>
    <w:rsid w:val="000E4EE6"/>
    <w:rsid w:val="001155DC"/>
    <w:rsid w:val="001454E2"/>
    <w:rsid w:val="00206CE8"/>
    <w:rsid w:val="0021526C"/>
    <w:rsid w:val="0023403C"/>
    <w:rsid w:val="00283A2B"/>
    <w:rsid w:val="002B30AD"/>
    <w:rsid w:val="002C1EC0"/>
    <w:rsid w:val="002C2C01"/>
    <w:rsid w:val="00347B06"/>
    <w:rsid w:val="00355D82"/>
    <w:rsid w:val="003A29AE"/>
    <w:rsid w:val="003A32D7"/>
    <w:rsid w:val="003B4074"/>
    <w:rsid w:val="003C769A"/>
    <w:rsid w:val="003D3A90"/>
    <w:rsid w:val="003F1838"/>
    <w:rsid w:val="004251C1"/>
    <w:rsid w:val="0045746C"/>
    <w:rsid w:val="004901E8"/>
    <w:rsid w:val="0049104B"/>
    <w:rsid w:val="004E3B12"/>
    <w:rsid w:val="00532310"/>
    <w:rsid w:val="00565F0F"/>
    <w:rsid w:val="00594A86"/>
    <w:rsid w:val="00596D86"/>
    <w:rsid w:val="00602DED"/>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9E3A52"/>
    <w:rsid w:val="00A10294"/>
    <w:rsid w:val="00A5655F"/>
    <w:rsid w:val="00B003BF"/>
    <w:rsid w:val="00B167E7"/>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033E1"/>
    <w:rsid w:val="00E108AA"/>
    <w:rsid w:val="00E24132"/>
    <w:rsid w:val="00E3749A"/>
    <w:rsid w:val="00E4750A"/>
    <w:rsid w:val="00E7437F"/>
    <w:rsid w:val="00E865B8"/>
    <w:rsid w:val="00EB768C"/>
    <w:rsid w:val="00EC0B9B"/>
    <w:rsid w:val="00ED5E9F"/>
    <w:rsid w:val="00EF1A74"/>
    <w:rsid w:val="00F65D87"/>
    <w:rsid w:val="00F66D4F"/>
    <w:rsid w:val="00FB6D01"/>
    <w:rsid w:val="00FB77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E17E1"/>
  <w15:chartTrackingRefBased/>
  <w15:docId w15:val="{59F838ED-C467-4985-A858-B0288933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4750A"/>
    <w:pPr>
      <w:ind w:left="720"/>
      <w:contextualSpacing/>
    </w:pPr>
    <w:rPr>
      <w:sz w:val="22"/>
    </w:rPr>
  </w:style>
  <w:style w:type="paragraph" w:styleId="Brdtekst">
    <w:name w:val="Body Text"/>
    <w:basedOn w:val="Normal"/>
    <w:link w:val="BrdtekstTegn"/>
    <w:uiPriority w:val="1"/>
    <w:semiHidden/>
    <w:unhideWhenUsed/>
    <w:qFormat/>
    <w:rsid w:val="00E4750A"/>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E4750A"/>
    <w:rPr>
      <w:sz w:val="22"/>
      <w:szCs w:val="22"/>
      <w:lang w:val="en-US" w:eastAsia="en-US"/>
    </w:rPr>
  </w:style>
  <w:style w:type="table" w:styleId="Tabel-Gitter">
    <w:name w:val="Table Grid"/>
    <w:basedOn w:val="Tabel-Normal"/>
    <w:uiPriority w:val="39"/>
    <w:rsid w:val="00E4750A"/>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E47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476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1085686">
      <w:bodyDiv w:val="1"/>
      <w:marLeft w:val="0"/>
      <w:marRight w:val="0"/>
      <w:marTop w:val="0"/>
      <w:marBottom w:val="0"/>
      <w:divBdr>
        <w:top w:val="none" w:sz="0" w:space="0" w:color="auto"/>
        <w:left w:val="none" w:sz="0" w:space="0" w:color="auto"/>
        <w:bottom w:val="none" w:sz="0" w:space="0" w:color="auto"/>
        <w:right w:val="none" w:sz="0" w:space="0" w:color="auto"/>
      </w:divBdr>
    </w:div>
    <w:div w:id="365297725">
      <w:bodyDiv w:val="1"/>
      <w:marLeft w:val="0"/>
      <w:marRight w:val="0"/>
      <w:marTop w:val="0"/>
      <w:marBottom w:val="0"/>
      <w:divBdr>
        <w:top w:val="none" w:sz="0" w:space="0" w:color="auto"/>
        <w:left w:val="none" w:sz="0" w:space="0" w:color="auto"/>
        <w:bottom w:val="none" w:sz="0" w:space="0" w:color="auto"/>
        <w:right w:val="none" w:sz="0" w:space="0" w:color="auto"/>
      </w:divBdr>
    </w:div>
    <w:div w:id="398672499">
      <w:bodyDiv w:val="1"/>
      <w:marLeft w:val="0"/>
      <w:marRight w:val="0"/>
      <w:marTop w:val="0"/>
      <w:marBottom w:val="0"/>
      <w:divBdr>
        <w:top w:val="none" w:sz="0" w:space="0" w:color="auto"/>
        <w:left w:val="none" w:sz="0" w:space="0" w:color="auto"/>
        <w:bottom w:val="none" w:sz="0" w:space="0" w:color="auto"/>
        <w:right w:val="none" w:sz="0" w:space="0" w:color="auto"/>
      </w:divBdr>
    </w:div>
    <w:div w:id="413624999">
      <w:bodyDiv w:val="1"/>
      <w:marLeft w:val="0"/>
      <w:marRight w:val="0"/>
      <w:marTop w:val="0"/>
      <w:marBottom w:val="0"/>
      <w:divBdr>
        <w:top w:val="none" w:sz="0" w:space="0" w:color="auto"/>
        <w:left w:val="none" w:sz="0" w:space="0" w:color="auto"/>
        <w:bottom w:val="none" w:sz="0" w:space="0" w:color="auto"/>
        <w:right w:val="none" w:sz="0" w:space="0" w:color="auto"/>
      </w:divBdr>
    </w:div>
    <w:div w:id="464084470">
      <w:bodyDiv w:val="1"/>
      <w:marLeft w:val="0"/>
      <w:marRight w:val="0"/>
      <w:marTop w:val="0"/>
      <w:marBottom w:val="0"/>
      <w:divBdr>
        <w:top w:val="none" w:sz="0" w:space="0" w:color="auto"/>
        <w:left w:val="none" w:sz="0" w:space="0" w:color="auto"/>
        <w:bottom w:val="none" w:sz="0" w:space="0" w:color="auto"/>
        <w:right w:val="none" w:sz="0" w:space="0" w:color="auto"/>
      </w:divBdr>
    </w:div>
    <w:div w:id="579633123">
      <w:bodyDiv w:val="1"/>
      <w:marLeft w:val="0"/>
      <w:marRight w:val="0"/>
      <w:marTop w:val="0"/>
      <w:marBottom w:val="0"/>
      <w:divBdr>
        <w:top w:val="none" w:sz="0" w:space="0" w:color="auto"/>
        <w:left w:val="none" w:sz="0" w:space="0" w:color="auto"/>
        <w:bottom w:val="none" w:sz="0" w:space="0" w:color="auto"/>
        <w:right w:val="none" w:sz="0" w:space="0" w:color="auto"/>
      </w:divBdr>
    </w:div>
    <w:div w:id="631600069">
      <w:bodyDiv w:val="1"/>
      <w:marLeft w:val="0"/>
      <w:marRight w:val="0"/>
      <w:marTop w:val="0"/>
      <w:marBottom w:val="0"/>
      <w:divBdr>
        <w:top w:val="none" w:sz="0" w:space="0" w:color="auto"/>
        <w:left w:val="none" w:sz="0" w:space="0" w:color="auto"/>
        <w:bottom w:val="none" w:sz="0" w:space="0" w:color="auto"/>
        <w:right w:val="none" w:sz="0" w:space="0" w:color="auto"/>
      </w:divBdr>
    </w:div>
    <w:div w:id="640112836">
      <w:bodyDiv w:val="1"/>
      <w:marLeft w:val="0"/>
      <w:marRight w:val="0"/>
      <w:marTop w:val="0"/>
      <w:marBottom w:val="0"/>
      <w:divBdr>
        <w:top w:val="none" w:sz="0" w:space="0" w:color="auto"/>
        <w:left w:val="none" w:sz="0" w:space="0" w:color="auto"/>
        <w:bottom w:val="none" w:sz="0" w:space="0" w:color="auto"/>
        <w:right w:val="none" w:sz="0" w:space="0" w:color="auto"/>
      </w:divBdr>
    </w:div>
    <w:div w:id="640308777">
      <w:bodyDiv w:val="1"/>
      <w:marLeft w:val="0"/>
      <w:marRight w:val="0"/>
      <w:marTop w:val="0"/>
      <w:marBottom w:val="0"/>
      <w:divBdr>
        <w:top w:val="none" w:sz="0" w:space="0" w:color="auto"/>
        <w:left w:val="none" w:sz="0" w:space="0" w:color="auto"/>
        <w:bottom w:val="none" w:sz="0" w:space="0" w:color="auto"/>
        <w:right w:val="none" w:sz="0" w:space="0" w:color="auto"/>
      </w:divBdr>
    </w:div>
    <w:div w:id="728958033">
      <w:bodyDiv w:val="1"/>
      <w:marLeft w:val="0"/>
      <w:marRight w:val="0"/>
      <w:marTop w:val="0"/>
      <w:marBottom w:val="0"/>
      <w:divBdr>
        <w:top w:val="none" w:sz="0" w:space="0" w:color="auto"/>
        <w:left w:val="none" w:sz="0" w:space="0" w:color="auto"/>
        <w:bottom w:val="none" w:sz="0" w:space="0" w:color="auto"/>
        <w:right w:val="none" w:sz="0" w:space="0" w:color="auto"/>
      </w:divBdr>
    </w:div>
    <w:div w:id="754210272">
      <w:bodyDiv w:val="1"/>
      <w:marLeft w:val="0"/>
      <w:marRight w:val="0"/>
      <w:marTop w:val="0"/>
      <w:marBottom w:val="0"/>
      <w:divBdr>
        <w:top w:val="none" w:sz="0" w:space="0" w:color="auto"/>
        <w:left w:val="none" w:sz="0" w:space="0" w:color="auto"/>
        <w:bottom w:val="none" w:sz="0" w:space="0" w:color="auto"/>
        <w:right w:val="none" w:sz="0" w:space="0" w:color="auto"/>
      </w:divBdr>
    </w:div>
    <w:div w:id="800685590">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1052077759">
      <w:bodyDiv w:val="1"/>
      <w:marLeft w:val="0"/>
      <w:marRight w:val="0"/>
      <w:marTop w:val="0"/>
      <w:marBottom w:val="0"/>
      <w:divBdr>
        <w:top w:val="none" w:sz="0" w:space="0" w:color="auto"/>
        <w:left w:val="none" w:sz="0" w:space="0" w:color="auto"/>
        <w:bottom w:val="none" w:sz="0" w:space="0" w:color="auto"/>
        <w:right w:val="none" w:sz="0" w:space="0" w:color="auto"/>
      </w:divBdr>
    </w:div>
    <w:div w:id="1195580104">
      <w:bodyDiv w:val="1"/>
      <w:marLeft w:val="0"/>
      <w:marRight w:val="0"/>
      <w:marTop w:val="0"/>
      <w:marBottom w:val="0"/>
      <w:divBdr>
        <w:top w:val="none" w:sz="0" w:space="0" w:color="auto"/>
        <w:left w:val="none" w:sz="0" w:space="0" w:color="auto"/>
        <w:bottom w:val="none" w:sz="0" w:space="0" w:color="auto"/>
        <w:right w:val="none" w:sz="0" w:space="0" w:color="auto"/>
      </w:divBdr>
    </w:div>
    <w:div w:id="1622223507">
      <w:bodyDiv w:val="1"/>
      <w:marLeft w:val="0"/>
      <w:marRight w:val="0"/>
      <w:marTop w:val="0"/>
      <w:marBottom w:val="0"/>
      <w:divBdr>
        <w:top w:val="none" w:sz="0" w:space="0" w:color="auto"/>
        <w:left w:val="none" w:sz="0" w:space="0" w:color="auto"/>
        <w:bottom w:val="none" w:sz="0" w:space="0" w:color="auto"/>
        <w:right w:val="none" w:sz="0" w:space="0" w:color="auto"/>
      </w:divBdr>
    </w:div>
    <w:div w:id="1637685234">
      <w:bodyDiv w:val="1"/>
      <w:marLeft w:val="0"/>
      <w:marRight w:val="0"/>
      <w:marTop w:val="0"/>
      <w:marBottom w:val="0"/>
      <w:divBdr>
        <w:top w:val="none" w:sz="0" w:space="0" w:color="auto"/>
        <w:left w:val="none" w:sz="0" w:space="0" w:color="auto"/>
        <w:bottom w:val="none" w:sz="0" w:space="0" w:color="auto"/>
        <w:right w:val="none" w:sz="0" w:space="0" w:color="auto"/>
      </w:divBdr>
    </w:div>
    <w:div w:id="1823890772">
      <w:bodyDiv w:val="1"/>
      <w:marLeft w:val="0"/>
      <w:marRight w:val="0"/>
      <w:marTop w:val="0"/>
      <w:marBottom w:val="0"/>
      <w:divBdr>
        <w:top w:val="none" w:sz="0" w:space="0" w:color="auto"/>
        <w:left w:val="none" w:sz="0" w:space="0" w:color="auto"/>
        <w:bottom w:val="none" w:sz="0" w:space="0" w:color="auto"/>
        <w:right w:val="none" w:sz="0" w:space="0" w:color="auto"/>
      </w:divBdr>
    </w:div>
    <w:div w:id="1927882416">
      <w:bodyDiv w:val="1"/>
      <w:marLeft w:val="0"/>
      <w:marRight w:val="0"/>
      <w:marTop w:val="0"/>
      <w:marBottom w:val="0"/>
      <w:divBdr>
        <w:top w:val="none" w:sz="0" w:space="0" w:color="auto"/>
        <w:left w:val="none" w:sz="0" w:space="0" w:color="auto"/>
        <w:bottom w:val="none" w:sz="0" w:space="0" w:color="auto"/>
        <w:right w:val="none" w:sz="0" w:space="0" w:color="auto"/>
      </w:divBdr>
    </w:div>
    <w:div w:id="1981418587">
      <w:bodyDiv w:val="1"/>
      <w:marLeft w:val="0"/>
      <w:marRight w:val="0"/>
      <w:marTop w:val="0"/>
      <w:marBottom w:val="0"/>
      <w:divBdr>
        <w:top w:val="none" w:sz="0" w:space="0" w:color="auto"/>
        <w:left w:val="none" w:sz="0" w:space="0" w:color="auto"/>
        <w:bottom w:val="none" w:sz="0" w:space="0" w:color="auto"/>
        <w:right w:val="none" w:sz="0" w:space="0" w:color="auto"/>
      </w:divBdr>
    </w:div>
    <w:div w:id="207908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34</TotalTime>
  <Pages>12</Pages>
  <Words>3106</Words>
  <Characters>21045</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2023020924, MT</dc:description>
  <cp:lastModifiedBy>Gitte Jørgensen</cp:lastModifiedBy>
  <cp:revision>14</cp:revision>
  <cp:lastPrinted>2012-08-22T08:53:00Z</cp:lastPrinted>
  <dcterms:created xsi:type="dcterms:W3CDTF">2024-07-31T13:23:00Z</dcterms:created>
  <dcterms:modified xsi:type="dcterms:W3CDTF">2024-08-02T06:36:00Z</dcterms:modified>
</cp:coreProperties>
</file>